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988574">
      <w:pPr>
        <w:bidi w:val="0"/>
        <w:rPr>
          <w:rFonts w:hint="default"/>
          <w:color w:val="000000" w:themeColor="text1"/>
          <w:highlight w:val="none"/>
          <w:lang w:eastAsia="zh-CN"/>
          <w14:textFill>
            <w14:solidFill>
              <w14:schemeClr w14:val="tx1"/>
            </w14:solidFill>
          </w14:textFill>
        </w:rPr>
      </w:pPr>
      <w:bookmarkStart w:id="0" w:name="_Hlk17835790"/>
      <w:bookmarkStart w:id="1" w:name="_Hlk15474646"/>
      <w:bookmarkStart w:id="2" w:name="_Hlk17835333"/>
    </w:p>
    <w:p w14:paraId="733CA9A7">
      <w:pPr>
        <w:bidi w:val="0"/>
        <w:rPr>
          <w:rFonts w:hint="default"/>
          <w:color w:val="000000" w:themeColor="text1"/>
          <w:highlight w:val="none"/>
          <w:lang w:eastAsia="zh-CN"/>
          <w14:textFill>
            <w14:solidFill>
              <w14:schemeClr w14:val="tx1"/>
            </w14:solidFill>
          </w14:textFill>
        </w:rPr>
      </w:pPr>
    </w:p>
    <w:p w14:paraId="358ADE7A">
      <w:pPr>
        <w:bidi w:val="0"/>
        <w:rPr>
          <w:rFonts w:hint="default"/>
          <w:color w:val="000000" w:themeColor="text1"/>
          <w:highlight w:val="none"/>
          <w:lang w:eastAsia="zh-CN"/>
          <w14:textFill>
            <w14:solidFill>
              <w14:schemeClr w14:val="tx1"/>
            </w14:solidFill>
          </w14:textFill>
        </w:rPr>
      </w:pPr>
    </w:p>
    <w:p w14:paraId="0BEEBCFC">
      <w:pPr>
        <w:pStyle w:val="24"/>
        <w:bidi w:val="0"/>
        <w:rPr>
          <w:rFonts w:hint="default"/>
          <w:color w:val="000000" w:themeColor="text1"/>
          <w:sz w:val="52"/>
          <w:szCs w:val="36"/>
          <w:highlight w:val="none"/>
          <w14:textFill>
            <w14:solidFill>
              <w14:schemeClr w14:val="tx1"/>
            </w14:solidFill>
          </w14:textFill>
        </w:rPr>
      </w:pPr>
      <w:bookmarkStart w:id="3" w:name="OLE_LINK13"/>
      <w:bookmarkStart w:id="4" w:name="OLE_LINK30"/>
      <w:r>
        <w:rPr>
          <w:rFonts w:hint="default"/>
          <w:color w:val="000000" w:themeColor="text1"/>
          <w:sz w:val="52"/>
          <w:szCs w:val="36"/>
          <w:highlight w:val="none"/>
          <w:lang w:eastAsia="zh-CN"/>
          <w14:textFill>
            <w14:solidFill>
              <w14:schemeClr w14:val="tx1"/>
            </w14:solidFill>
          </w14:textFill>
        </w:rPr>
        <w:t>湘阴佳海绿色食品产业园一期</w:t>
      </w:r>
      <w:bookmarkEnd w:id="3"/>
      <w:r>
        <w:rPr>
          <w:rFonts w:hint="default"/>
          <w:color w:val="000000" w:themeColor="text1"/>
          <w:sz w:val="52"/>
          <w:szCs w:val="36"/>
          <w:highlight w:val="none"/>
          <w:lang w:eastAsia="zh-CN"/>
          <w14:textFill>
            <w14:solidFill>
              <w14:schemeClr w14:val="tx1"/>
            </w14:solidFill>
          </w14:textFill>
        </w:rPr>
        <w:t>污水处理站</w:t>
      </w:r>
      <w:bookmarkEnd w:id="4"/>
      <w:r>
        <w:rPr>
          <w:rFonts w:hint="default"/>
          <w:color w:val="000000" w:themeColor="text1"/>
          <w:sz w:val="52"/>
          <w:szCs w:val="36"/>
          <w:highlight w:val="none"/>
          <w:lang w:eastAsia="zh-CN"/>
          <w14:textFill>
            <w14:solidFill>
              <w14:schemeClr w14:val="tx1"/>
            </w14:solidFill>
          </w14:textFill>
        </w:rPr>
        <w:t>建设项目</w:t>
      </w:r>
      <w:bookmarkEnd w:id="0"/>
      <w:bookmarkEnd w:id="1"/>
      <w:bookmarkStart w:id="5" w:name="_Hlk22023921"/>
      <w:bookmarkStart w:id="6" w:name="_Toc25993"/>
      <w:bookmarkStart w:id="7" w:name="_Toc8063"/>
      <w:bookmarkStart w:id="8" w:name="_Hlk15475605"/>
      <w:r>
        <w:rPr>
          <w:rFonts w:hint="default"/>
          <w:color w:val="000000" w:themeColor="text1"/>
          <w:sz w:val="52"/>
          <w:szCs w:val="36"/>
          <w:highlight w:val="none"/>
          <w14:textFill>
            <w14:solidFill>
              <w14:schemeClr w14:val="tx1"/>
            </w14:solidFill>
          </w14:textFill>
        </w:rPr>
        <w:t>环境影响报告</w:t>
      </w:r>
      <w:bookmarkEnd w:id="5"/>
      <w:r>
        <w:rPr>
          <w:rFonts w:hint="default"/>
          <w:color w:val="000000" w:themeColor="text1"/>
          <w:sz w:val="52"/>
          <w:szCs w:val="36"/>
          <w:highlight w:val="none"/>
          <w14:textFill>
            <w14:solidFill>
              <w14:schemeClr w14:val="tx1"/>
            </w14:solidFill>
          </w14:textFill>
        </w:rPr>
        <w:t>书</w:t>
      </w:r>
      <w:bookmarkEnd w:id="6"/>
      <w:bookmarkEnd w:id="7"/>
    </w:p>
    <w:bookmarkEnd w:id="2"/>
    <w:bookmarkEnd w:id="8"/>
    <w:p w14:paraId="1D27C356">
      <w:pPr>
        <w:pageBreakBefore w:val="0"/>
        <w:wordWrap/>
        <w:overflowPunct/>
        <w:topLinePunct w:val="0"/>
        <w:bidi w:val="0"/>
        <w:spacing w:line="360" w:lineRule="auto"/>
        <w:ind w:left="0" w:leftChars="0" w:right="0" w:rightChars="0"/>
        <w:jc w:val="both"/>
        <w:rPr>
          <w:rFonts w:hint="default" w:ascii="Times New Roman" w:hAnsi="Times New Roman" w:eastAsia="宋体" w:cs="Times New Roman"/>
          <w:b/>
          <w:color w:val="000000" w:themeColor="text1"/>
          <w:sz w:val="36"/>
          <w:highlight w:val="none"/>
          <w14:textFill>
            <w14:solidFill>
              <w14:schemeClr w14:val="tx1"/>
            </w14:solidFill>
          </w14:textFill>
        </w:rPr>
      </w:pPr>
    </w:p>
    <w:p w14:paraId="7915576E">
      <w:pPr>
        <w:pageBreakBefore w:val="0"/>
        <w:wordWrap/>
        <w:overflowPunct/>
        <w:topLinePunct w:val="0"/>
        <w:bidi w:val="0"/>
        <w:spacing w:line="360" w:lineRule="auto"/>
        <w:ind w:left="0" w:leftChars="0" w:right="0" w:rightChars="0"/>
        <w:jc w:val="both"/>
        <w:rPr>
          <w:rFonts w:hint="default" w:ascii="Times New Roman" w:hAnsi="Times New Roman" w:eastAsia="宋体" w:cs="Times New Roman"/>
          <w:b/>
          <w:color w:val="000000" w:themeColor="text1"/>
          <w:sz w:val="36"/>
          <w:highlight w:val="none"/>
          <w14:textFill>
            <w14:solidFill>
              <w14:schemeClr w14:val="tx1"/>
            </w14:solidFill>
          </w14:textFill>
        </w:rPr>
      </w:pPr>
    </w:p>
    <w:p w14:paraId="7CBAEA42">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29F52E11">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6A46A5BF">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265640F6">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7717644F">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07783423">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36EAE395">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2424000F">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28218488">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03B9FF12">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0A02041E">
      <w:pPr>
        <w:pStyle w:val="63"/>
        <w:pageBreakBefore w:val="0"/>
        <w:wordWrap/>
        <w:overflowPunct/>
        <w:topLinePunct w:val="0"/>
        <w:bidi w:val="0"/>
        <w:spacing w:line="360" w:lineRule="auto"/>
        <w:ind w:left="0" w:leftChars="0" w:right="0" w:rightChars="0"/>
        <w:jc w:val="both"/>
        <w:rPr>
          <w:rFonts w:hint="default" w:ascii="Times New Roman" w:hAnsi="Times New Roman" w:eastAsia="宋体" w:cs="Times New Roman"/>
          <w:color w:val="000000" w:themeColor="text1"/>
          <w:highlight w:val="none"/>
          <w14:textFill>
            <w14:solidFill>
              <w14:schemeClr w14:val="tx1"/>
            </w14:solidFill>
          </w14:textFill>
        </w:rPr>
      </w:pPr>
    </w:p>
    <w:p w14:paraId="1EC6B536">
      <w:pPr>
        <w:pageBreakBefore w:val="0"/>
        <w:wordWrap/>
        <w:overflowPunct/>
        <w:topLinePunct w:val="0"/>
        <w:bidi w:val="0"/>
        <w:spacing w:line="360" w:lineRule="auto"/>
        <w:ind w:left="0" w:leftChars="0" w:right="0" w:rightChars="0"/>
        <w:jc w:val="both"/>
        <w:rPr>
          <w:rFonts w:hint="default" w:ascii="Times New Roman" w:hAnsi="Times New Roman" w:eastAsia="宋体" w:cs="Times New Roman"/>
          <w:b/>
          <w:color w:val="000000" w:themeColor="text1"/>
          <w:sz w:val="36"/>
          <w:highlight w:val="none"/>
          <w14:textFill>
            <w14:solidFill>
              <w14:schemeClr w14:val="tx1"/>
            </w14:solidFill>
          </w14:textFill>
        </w:rPr>
      </w:pPr>
    </w:p>
    <w:p w14:paraId="3D64C224">
      <w:pPr>
        <w:pageBreakBefore w:val="0"/>
        <w:wordWrap/>
        <w:overflowPunct/>
        <w:topLinePunct w:val="0"/>
        <w:bidi w:val="0"/>
        <w:spacing w:line="360" w:lineRule="auto"/>
        <w:ind w:left="0" w:leftChars="0" w:right="0" w:rightChars="0"/>
        <w:jc w:val="center"/>
        <w:rPr>
          <w:rFonts w:hint="default" w:ascii="Times New Roman" w:hAnsi="Times New Roman" w:eastAsia="宋体" w:cs="Times New Roman"/>
          <w:b/>
          <w:color w:val="000000" w:themeColor="text1"/>
          <w:sz w:val="32"/>
          <w:highlight w:val="none"/>
          <w14:textFill>
            <w14:solidFill>
              <w14:schemeClr w14:val="tx1"/>
            </w14:solidFill>
          </w14:textFill>
        </w:rPr>
      </w:pPr>
      <w:r>
        <w:rPr>
          <w:rFonts w:hint="default" w:ascii="Times New Roman" w:hAnsi="Times New Roman" w:eastAsia="宋体" w:cs="Times New Roman"/>
          <w:b/>
          <w:color w:val="000000" w:themeColor="text1"/>
          <w:sz w:val="32"/>
          <w:highlight w:val="none"/>
          <w14:textFill>
            <w14:solidFill>
              <w14:schemeClr w14:val="tx1"/>
            </w14:solidFill>
          </w14:textFill>
        </w:rPr>
        <w:t>建设单位：</w:t>
      </w:r>
      <w:r>
        <w:rPr>
          <w:rFonts w:hint="default" w:ascii="Times New Roman" w:hAnsi="Times New Roman" w:eastAsia="宋体" w:cs="Times New Roman"/>
          <w:b/>
          <w:color w:val="000000" w:themeColor="text1"/>
          <w:sz w:val="32"/>
          <w:highlight w:val="none"/>
          <w:lang w:eastAsia="zh-CN"/>
          <w14:textFill>
            <w14:solidFill>
              <w14:schemeClr w14:val="tx1"/>
            </w14:solidFill>
          </w14:textFill>
        </w:rPr>
        <w:t>湘阴佳海产业园发展有限公司</w:t>
      </w:r>
    </w:p>
    <w:p w14:paraId="325CA557">
      <w:pPr>
        <w:pStyle w:val="16"/>
        <w:pageBreakBefore w:val="0"/>
        <w:wordWrap/>
        <w:overflowPunct/>
        <w:topLinePunct w:val="0"/>
        <w:bidi w:val="0"/>
        <w:spacing w:after="0" w:line="360" w:lineRule="auto"/>
        <w:ind w:left="0" w:leftChars="0" w:right="0" w:right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 w:val="32"/>
          <w:highlight w:val="none"/>
          <w14:textFill>
            <w14:solidFill>
              <w14:schemeClr w14:val="tx1"/>
            </w14:solidFill>
          </w14:textFill>
        </w:rPr>
        <w:t>评价单位：湖南</w:t>
      </w:r>
      <w:r>
        <w:rPr>
          <w:rFonts w:hint="default" w:ascii="Times New Roman" w:hAnsi="Times New Roman" w:cs="Times New Roman"/>
          <w:b/>
          <w:color w:val="000000" w:themeColor="text1"/>
          <w:sz w:val="32"/>
          <w:highlight w:val="none"/>
          <w:lang w:val="en-US" w:eastAsia="zh-CN"/>
          <w14:textFill>
            <w14:solidFill>
              <w14:schemeClr w14:val="tx1"/>
            </w14:solidFill>
          </w14:textFill>
        </w:rPr>
        <w:t>至中</w:t>
      </w:r>
      <w:r>
        <w:rPr>
          <w:rFonts w:hint="default" w:ascii="Times New Roman" w:hAnsi="Times New Roman" w:eastAsia="宋体" w:cs="Times New Roman"/>
          <w:b/>
          <w:color w:val="000000" w:themeColor="text1"/>
          <w:sz w:val="32"/>
          <w:highlight w:val="none"/>
          <w14:textFill>
            <w14:solidFill>
              <w14:schemeClr w14:val="tx1"/>
            </w14:solidFill>
          </w14:textFill>
        </w:rPr>
        <w:t>环保科技有限公司</w:t>
      </w:r>
    </w:p>
    <w:p w14:paraId="61C5982C">
      <w:pPr>
        <w:ind w:left="0" w:leftChars="0" w:firstLine="0" w:firstLineChars="0"/>
        <w:jc w:val="center"/>
        <w:rPr>
          <w:rFonts w:hint="eastAsia"/>
          <w:color w:val="000000" w:themeColor="text1"/>
          <w:highlight w:val="none"/>
          <w:u w:val="none" w:color="auto"/>
          <w:lang w:val="en-US" w:eastAsia="zh-CN"/>
          <w14:textFill>
            <w14:solidFill>
              <w14:schemeClr w14:val="tx1"/>
            </w14:solidFill>
          </w14:textFill>
        </w:rPr>
      </w:pPr>
      <w:r>
        <w:rPr>
          <w:rFonts w:hint="default" w:ascii="Times New Roman" w:hAnsi="Times New Roman" w:eastAsia="宋体" w:cs="Times New Roman"/>
          <w:b/>
          <w:color w:val="000000" w:themeColor="text1"/>
          <w:sz w:val="32"/>
          <w:highlight w:val="none"/>
          <w14:textFill>
            <w14:solidFill>
              <w14:schemeClr w14:val="tx1"/>
            </w14:solidFill>
          </w14:textFill>
        </w:rPr>
        <w:t>二〇二</w:t>
      </w:r>
      <w:r>
        <w:rPr>
          <w:rFonts w:hint="eastAsia" w:cs="Times New Roman"/>
          <w:b/>
          <w:color w:val="000000" w:themeColor="text1"/>
          <w:sz w:val="32"/>
          <w:highlight w:val="none"/>
          <w:lang w:val="en-US" w:eastAsia="zh-CN"/>
          <w14:textFill>
            <w14:solidFill>
              <w14:schemeClr w14:val="tx1"/>
            </w14:solidFill>
          </w14:textFill>
        </w:rPr>
        <w:t>五</w:t>
      </w:r>
      <w:r>
        <w:rPr>
          <w:rFonts w:hint="default" w:ascii="Times New Roman" w:hAnsi="Times New Roman" w:eastAsia="宋体" w:cs="Times New Roman"/>
          <w:b/>
          <w:color w:val="000000" w:themeColor="text1"/>
          <w:sz w:val="32"/>
          <w:highlight w:val="none"/>
          <w14:textFill>
            <w14:solidFill>
              <w14:schemeClr w14:val="tx1"/>
            </w14:solidFill>
          </w14:textFill>
        </w:rPr>
        <w:t>年</w:t>
      </w:r>
      <w:r>
        <w:rPr>
          <w:rFonts w:hint="eastAsia" w:cs="Times New Roman"/>
          <w:b/>
          <w:color w:val="000000" w:themeColor="text1"/>
          <w:sz w:val="32"/>
          <w:highlight w:val="none"/>
          <w:lang w:val="en-US" w:eastAsia="zh-CN"/>
          <w14:textFill>
            <w14:solidFill>
              <w14:schemeClr w14:val="tx1"/>
            </w14:solidFill>
          </w14:textFill>
        </w:rPr>
        <w:t>三</w:t>
      </w:r>
      <w:r>
        <w:rPr>
          <w:rFonts w:hint="default" w:ascii="Times New Roman" w:hAnsi="Times New Roman" w:eastAsia="宋体" w:cs="Times New Roman"/>
          <w:b/>
          <w:color w:val="000000" w:themeColor="text1"/>
          <w:sz w:val="32"/>
          <w:highlight w:val="none"/>
          <w14:textFill>
            <w14:solidFill>
              <w14:schemeClr w14:val="tx1"/>
            </w14:solidFill>
          </w14:textFill>
        </w:rPr>
        <w:t>月</w:t>
      </w:r>
      <w:r>
        <w:rPr>
          <w:color w:val="000000" w:themeColor="text1"/>
          <w:sz w:val="24"/>
          <w:highlight w:val="none"/>
          <w:u w:val="none" w:color="auto"/>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1621790</wp:posOffset>
                </wp:positionH>
                <wp:positionV relativeFrom="paragraph">
                  <wp:posOffset>1981200</wp:posOffset>
                </wp:positionV>
                <wp:extent cx="5786755" cy="391160"/>
                <wp:effectExtent l="0" t="0" r="0" b="0"/>
                <wp:wrapNone/>
                <wp:docPr id="6" name="文本框 6"/>
                <wp:cNvGraphicFramePr/>
                <a:graphic xmlns:a="http://schemas.openxmlformats.org/drawingml/2006/main">
                  <a:graphicData uri="http://schemas.microsoft.com/office/word/2010/wordprocessingShape">
                    <wps:wsp>
                      <wps:cNvSpPr txBox="1"/>
                      <wps:spPr>
                        <a:xfrm rot="19200000">
                          <a:off x="2459990" y="2914650"/>
                          <a:ext cx="5786755" cy="391160"/>
                        </a:xfrm>
                        <a:prstGeom prst="rect">
                          <a:avLst/>
                        </a:prstGeom>
                        <a:noFill/>
                        <a:ln w="6350">
                          <a:noFill/>
                        </a:ln>
                        <a:effectLst/>
                      </wps:spPr>
                      <wps:txbx>
                        <w:txbxContent>
                          <w:p w14:paraId="56296CD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7pt;margin-top:156pt;height:30.8pt;width:455.65pt;rotation:-2621440f;z-index:251669504;mso-width-relative:page;mso-height-relative:page;" filled="f" stroked="f" coordsize="21600,21600" o:gfxdata="UEsDBAoAAAAAAIdO4kAAAAAAAAAAAAAAAAAEAAAAZHJzL1BLAwQUAAAACACHTuJAg2bMD9sAAAAM&#10;AQAADwAAAGRycy9kb3ducmV2LnhtbE2PwU7DMAyG70i8Q2QkLhNL27F2Kk0ngTTgwIENHiBLTFvR&#10;OKXJtu7t8U5wtP3p9/dX68n14ohj6DwpSOcJCCTjbUeNgs+Pzd0KRIiarO49oYIzBljX11eVLq0/&#10;0RaPu9gIDqFQagVtjEMpZTAtOh3mfkDi25cfnY48jo20oz5xuOtlliS5dLoj/tDqAZ9aNN+7g1PQ&#10;zx7NtniJz9N7R28/m9eVPc+MUrc3afIAIuIU/2C46LM61Oy09weyQfQKsuXynlEFizTjUhcizfMC&#10;xJ5XxSIHWVfyf4n6F1BLAwQUAAAACACHTuJAIdTLAlQCAACPBAAADgAAAGRycy9lMm9Eb2MueG1s&#10;rVTNbhMxEL4j8Q6W73SzaZI2UTZVaFWEVNFKBXF2vN7sSv7DdrpbHgDegBMX7jxXnoPP3k0phUMP&#10;5GCNPV9m5vtmZpdnnZLkTjjfGF3Q/GhEidDclI3eFvTD+8tXp5T4wHTJpNGioPfC07PVyxfL1i7E&#10;2NRGlsIRBNF+0dqC1iHYRZZ5XgvF/JGxQsNZGadYwNVts9KxFtGVzMaj0SxrjSutM1x4j9eL3kmH&#10;iO45AU1VNVxcGL5TQoc+qhOSBVDydWM9XaVqq0rwcF1VXgQiCwqmIZ1IAnsTz2y1ZIutY7Zu+FAC&#10;e04JTzgp1mgkfQh1wQIjO9f8FUo13BlvqnDEjcp6IkkRsMhHT7S5rZkViQuk9vZBdP//wvJ3dzeO&#10;NGVBZ5RoptDw/bev++8/9z++kFmUp7V+AdStBS50r02HoTm8ezxG1l3lFHEG6uZz9Bi/JAboEcDH&#10;k+l8Pofi97Dn+WQ2HXQXXSAcgOnJ6exkOqWEA3E8z/NZAmR94JjAOh/eCKNINArq0NeUgd1d+YAi&#10;AT1AIlyby0bK1FupSQtyx8j5hwf/kDq+iDQlQ5hIticVrdBtukGBjSnvIUDiCCbe8ssGpVwxH26Y&#10;w8jgEUsVrnFU0iClGSxKauM+/+s94tFJeClpMYIF9Z92zAlK5FuNHkOqCcKGdJlMT8a4uMeezWOP&#10;3qlzgynPU3XJjPggD2bljPqI3VvHrHAxzZG7oOFgnod+MbC7XKzXCYQptSxc6VvLY+hewvUumKpJ&#10;ukeZem3QhHjBnKZ2DDsVF+HxPaF+f0dW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ZswP2wAA&#10;AAwBAAAPAAAAAAAAAAEAIAAAACIAAABkcnMvZG93bnJldi54bWxQSwECFAAUAAAACACHTuJAIdTL&#10;AlQCAACPBAAADgAAAAAAAAABACAAAAAqAQAAZHJzL2Uyb0RvYy54bWxQSwUGAAAAAAYABgBZAQAA&#10;8AUAAAAA&#10;">
                <v:fill on="f" focussize="0,0"/>
                <v:stroke on="f" weight="0.5pt"/>
                <v:imagedata o:title=""/>
                <o:lock v:ext="edit" aspectratio="f"/>
                <v:textbox>
                  <w:txbxContent>
                    <w:p w14:paraId="56296CD5"/>
                  </w:txbxContent>
                </v:textbox>
              </v:shape>
            </w:pict>
          </mc:Fallback>
        </mc:AlternateContent>
      </w:r>
    </w:p>
    <w:p w14:paraId="15B16396">
      <w:pPr>
        <w:rPr>
          <w:rFonts w:ascii="Times New Roman" w:hAnsi="Times New Roman"/>
          <w:color w:val="000000" w:themeColor="text1"/>
          <w:sz w:val="36"/>
          <w:szCs w:val="36"/>
          <w:highlight w:val="none"/>
          <w:u w:val="none" w:color="auto"/>
          <w14:textFill>
            <w14:solidFill>
              <w14:schemeClr w14:val="tx1"/>
            </w14:solidFill>
          </w14:textFill>
        </w:rPr>
      </w:pPr>
      <w:r>
        <w:rPr>
          <w:rFonts w:ascii="Times New Roman" w:hAnsi="Times New Roman"/>
          <w:color w:val="000000" w:themeColor="text1"/>
          <w:sz w:val="36"/>
          <w:szCs w:val="36"/>
          <w:highlight w:val="none"/>
          <w:u w:val="none" w:color="auto"/>
          <w14:textFill>
            <w14:solidFill>
              <w14:schemeClr w14:val="tx1"/>
            </w14:solidFill>
          </w14:textFill>
        </w:rPr>
        <w:br w:type="page"/>
      </w:r>
    </w:p>
    <w:p w14:paraId="2DD9F770">
      <w:pPr>
        <w:pStyle w:val="2"/>
        <w:rPr>
          <w:rFonts w:hint="eastAsia" w:eastAsia="宋体"/>
          <w:lang w:eastAsia="zh-CN"/>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0" w:num="1"/>
          <w:docGrid w:type="linesAndChars" w:linePitch="312" w:charSpace="0"/>
        </w:sectPr>
      </w:pPr>
      <w:r>
        <w:drawing>
          <wp:inline distT="0" distB="0" distL="114300" distR="114300">
            <wp:extent cx="5252720" cy="7427595"/>
            <wp:effectExtent l="0" t="0" r="5080" b="190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8"/>
                    <a:stretch>
                      <a:fillRect/>
                    </a:stretch>
                  </pic:blipFill>
                  <pic:spPr>
                    <a:xfrm>
                      <a:off x="0" y="0"/>
                      <a:ext cx="5252720" cy="7427595"/>
                    </a:xfrm>
                    <a:prstGeom prst="rect">
                      <a:avLst/>
                    </a:prstGeom>
                    <a:noFill/>
                    <a:ln>
                      <a:noFill/>
                    </a:ln>
                  </pic:spPr>
                </pic:pic>
              </a:graphicData>
            </a:graphic>
          </wp:inline>
        </w:drawing>
      </w:r>
      <w:r>
        <w:drawing>
          <wp:inline distT="0" distB="0" distL="114300" distR="114300">
            <wp:extent cx="5252720" cy="7427595"/>
            <wp:effectExtent l="0" t="0" r="508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9"/>
                    <a:stretch>
                      <a:fillRect/>
                    </a:stretch>
                  </pic:blipFill>
                  <pic:spPr>
                    <a:xfrm>
                      <a:off x="0" y="0"/>
                      <a:ext cx="5252720" cy="7427595"/>
                    </a:xfrm>
                    <a:prstGeom prst="rect">
                      <a:avLst/>
                    </a:prstGeom>
                    <a:noFill/>
                    <a:ln>
                      <a:noFill/>
                    </a:ln>
                  </pic:spPr>
                </pic:pic>
              </a:graphicData>
            </a:graphic>
          </wp:inline>
        </w:drawing>
      </w:r>
      <w:r>
        <w:drawing>
          <wp:inline distT="0" distB="0" distL="114300" distR="114300">
            <wp:extent cx="5252720" cy="7427595"/>
            <wp:effectExtent l="0" t="0" r="508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stretch>
                      <a:fillRect/>
                    </a:stretch>
                  </pic:blipFill>
                  <pic:spPr>
                    <a:xfrm>
                      <a:off x="0" y="0"/>
                      <a:ext cx="5252720" cy="7427595"/>
                    </a:xfrm>
                    <a:prstGeom prst="rect">
                      <a:avLst/>
                    </a:prstGeom>
                    <a:noFill/>
                    <a:ln>
                      <a:noFill/>
                    </a:ln>
                  </pic:spPr>
                </pic:pic>
              </a:graphicData>
            </a:graphic>
          </wp:inline>
        </w:drawing>
      </w:r>
      <w:r>
        <w:drawing>
          <wp:inline distT="0" distB="0" distL="114300" distR="114300">
            <wp:extent cx="5252720" cy="7427595"/>
            <wp:effectExtent l="0" t="0" r="508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a:stretch>
                      <a:fillRect/>
                    </a:stretch>
                  </pic:blipFill>
                  <pic:spPr>
                    <a:xfrm>
                      <a:off x="0" y="0"/>
                      <a:ext cx="5252720" cy="7427595"/>
                    </a:xfrm>
                    <a:prstGeom prst="rect">
                      <a:avLst/>
                    </a:prstGeom>
                    <a:noFill/>
                    <a:ln>
                      <a:noFill/>
                    </a:ln>
                  </pic:spPr>
                </pic:pic>
              </a:graphicData>
            </a:graphic>
          </wp:inline>
        </w:drawing>
      </w:r>
      <w:r>
        <w:drawing>
          <wp:inline distT="0" distB="0" distL="114300" distR="114300">
            <wp:extent cx="5252720" cy="7427595"/>
            <wp:effectExtent l="0" t="0" r="508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2"/>
                    <a:stretch>
                      <a:fillRect/>
                    </a:stretch>
                  </pic:blipFill>
                  <pic:spPr>
                    <a:xfrm>
                      <a:off x="0" y="0"/>
                      <a:ext cx="5252720" cy="7427595"/>
                    </a:xfrm>
                    <a:prstGeom prst="rect">
                      <a:avLst/>
                    </a:prstGeom>
                    <a:noFill/>
                    <a:ln>
                      <a:noFill/>
                    </a:ln>
                  </pic:spPr>
                </pic:pic>
              </a:graphicData>
            </a:graphic>
          </wp:inline>
        </w:drawing>
      </w:r>
      <w:r>
        <w:rPr>
          <w:rFonts w:hint="eastAsia" w:eastAsia="宋体"/>
          <w:lang w:eastAsia="zh-CN"/>
        </w:rPr>
        <w:drawing>
          <wp:inline distT="0" distB="0" distL="114300" distR="114300">
            <wp:extent cx="5271770" cy="7461885"/>
            <wp:effectExtent l="0" t="0" r="5080" b="5715"/>
            <wp:docPr id="20" name="图片 20" descr="个人参保证明-贺桔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个人参保证明-贺桔 (1)_00"/>
                    <pic:cNvPicPr>
                      <a:picLocks noChangeAspect="1"/>
                    </pic:cNvPicPr>
                  </pic:nvPicPr>
                  <pic:blipFill>
                    <a:blip r:embed="rId23"/>
                    <a:stretch>
                      <a:fillRect/>
                    </a:stretch>
                  </pic:blipFill>
                  <pic:spPr>
                    <a:xfrm>
                      <a:off x="0" y="0"/>
                      <a:ext cx="5271770" cy="7461885"/>
                    </a:xfrm>
                    <a:prstGeom prst="rect">
                      <a:avLst/>
                    </a:prstGeom>
                  </pic:spPr>
                </pic:pic>
              </a:graphicData>
            </a:graphic>
          </wp:inline>
        </w:drawing>
      </w:r>
      <w:r>
        <w:rPr>
          <w:rFonts w:hint="eastAsia" w:eastAsia="宋体"/>
          <w:lang w:eastAsia="zh-CN"/>
        </w:rPr>
        <w:drawing>
          <wp:inline distT="0" distB="0" distL="114300" distR="114300">
            <wp:extent cx="5271770" cy="7461885"/>
            <wp:effectExtent l="0" t="0" r="5080" b="5715"/>
            <wp:docPr id="21" name="图片 21" descr="个人参保证明-贺桔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个人参保证明-贺桔 (1)_01"/>
                    <pic:cNvPicPr>
                      <a:picLocks noChangeAspect="1"/>
                    </pic:cNvPicPr>
                  </pic:nvPicPr>
                  <pic:blipFill>
                    <a:blip r:embed="rId24"/>
                    <a:stretch>
                      <a:fillRect/>
                    </a:stretch>
                  </pic:blipFill>
                  <pic:spPr>
                    <a:xfrm>
                      <a:off x="0" y="0"/>
                      <a:ext cx="5271770" cy="7461885"/>
                    </a:xfrm>
                    <a:prstGeom prst="rect">
                      <a:avLst/>
                    </a:prstGeom>
                  </pic:spPr>
                </pic:pic>
              </a:graphicData>
            </a:graphic>
          </wp:inline>
        </w:drawing>
      </w:r>
    </w:p>
    <w:p w14:paraId="2B6FD514">
      <w:pPr>
        <w:ind w:firstLine="0" w:firstLineChars="0"/>
        <w:jc w:val="center"/>
        <w:rPr>
          <w:rFonts w:hint="default" w:ascii="Times New Roman" w:hAnsi="Times New Roman" w:cs="Times New Roman"/>
          <w:b/>
          <w:bCs/>
          <w:color w:val="auto"/>
          <w:sz w:val="36"/>
          <w:szCs w:val="36"/>
          <w:highlight w:val="none"/>
          <w:u w:val="none" w:color="auto"/>
        </w:rPr>
      </w:pPr>
    </w:p>
    <w:p w14:paraId="39ACE731">
      <w:pPr>
        <w:ind w:firstLine="0" w:firstLineChars="0"/>
        <w:jc w:val="center"/>
        <w:rPr>
          <w:rFonts w:hint="default" w:ascii="Times New Roman" w:hAnsi="Times New Roman" w:cs="Times New Roman"/>
          <w:b/>
          <w:bCs/>
          <w:color w:val="auto"/>
          <w:sz w:val="36"/>
          <w:szCs w:val="36"/>
          <w:highlight w:val="none"/>
          <w:u w:val="none" w:color="auto"/>
        </w:rPr>
      </w:pPr>
      <w:r>
        <w:rPr>
          <w:rFonts w:hint="default" w:ascii="Times New Roman" w:hAnsi="Times New Roman" w:cs="Times New Roman"/>
          <w:b/>
          <w:bCs/>
          <w:color w:val="auto"/>
          <w:sz w:val="36"/>
          <w:szCs w:val="36"/>
          <w:highlight w:val="none"/>
          <w:u w:val="none" w:color="auto"/>
        </w:rPr>
        <w:t>目 录</w:t>
      </w:r>
    </w:p>
    <w:p w14:paraId="49773596">
      <w:pPr>
        <w:pStyle w:val="15"/>
        <w:rPr>
          <w:rFonts w:hint="default" w:ascii="Times New Roman" w:hAnsi="Times New Roman" w:cs="Times New Roman"/>
          <w:b/>
          <w:bCs/>
          <w:color w:val="auto"/>
          <w:sz w:val="36"/>
          <w:szCs w:val="36"/>
          <w:highlight w:val="none"/>
          <w:u w:val="none" w:color="auto"/>
        </w:rPr>
      </w:pPr>
    </w:p>
    <w:p w14:paraId="10EC27D2">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color w:val="auto"/>
          <w:highlight w:val="yellow"/>
          <w:u w:val="none" w:color="auto"/>
        </w:rPr>
        <w:instrText xml:space="preserve">TOC \o "1-2" \h \u </w:instrText>
      </w:r>
      <w:r>
        <w:rPr>
          <w:rFonts w:hint="default" w:ascii="Times New Roman" w:hAnsi="Times New Roman" w:cs="Times New Roman"/>
          <w:color w:val="auto"/>
          <w:highlight w:val="yellow"/>
          <w:u w:val="none" w:color="auto"/>
        </w:rPr>
        <w:fldChar w:fldCharType="separate"/>
      </w: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_Toc1441 </w:instrText>
      </w:r>
      <w:r>
        <w:rPr>
          <w:rFonts w:hint="default" w:ascii="Times New Roman" w:hAnsi="Times New Roman" w:cs="Times New Roman"/>
          <w:highlight w:val="yellow"/>
        </w:rPr>
        <w:fldChar w:fldCharType="separate"/>
      </w:r>
      <w:r>
        <w:rPr>
          <w:rFonts w:hint="default"/>
        </w:rPr>
        <w:t xml:space="preserve">1. </w:t>
      </w:r>
      <w:r>
        <w:rPr>
          <w:rFonts w:hint="default"/>
          <w:highlight w:val="none"/>
        </w:rPr>
        <w:t>概述</w:t>
      </w:r>
      <w:r>
        <w:tab/>
      </w:r>
      <w:r>
        <w:fldChar w:fldCharType="begin"/>
      </w:r>
      <w:r>
        <w:instrText xml:space="preserve"> PAGEREF _Toc1441 \h </w:instrText>
      </w:r>
      <w:r>
        <w:fldChar w:fldCharType="separate"/>
      </w:r>
      <w:r>
        <w:t>1</w:t>
      </w:r>
      <w:r>
        <w:fldChar w:fldCharType="end"/>
      </w:r>
      <w:r>
        <w:rPr>
          <w:rFonts w:hint="default" w:ascii="Times New Roman" w:hAnsi="Times New Roman" w:cs="Times New Roman"/>
          <w:color w:val="auto"/>
          <w:highlight w:val="yellow"/>
          <w:u w:val="none" w:color="auto"/>
        </w:rPr>
        <w:fldChar w:fldCharType="end"/>
      </w:r>
    </w:p>
    <w:p w14:paraId="007AC692">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_Toc24510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1.1. </w:t>
      </w:r>
      <w:r>
        <w:rPr>
          <w:rFonts w:hint="default" w:ascii="Times New Roman" w:hAnsi="Times New Roman" w:cs="Times New Roman"/>
          <w:highlight w:val="none"/>
        </w:rPr>
        <w:t>项目由来</w:t>
      </w:r>
      <w:r>
        <w:tab/>
      </w:r>
      <w:r>
        <w:fldChar w:fldCharType="begin"/>
      </w:r>
      <w:r>
        <w:instrText xml:space="preserve"> PAGEREF _Toc24510 \h </w:instrText>
      </w:r>
      <w:r>
        <w:fldChar w:fldCharType="separate"/>
      </w:r>
      <w:r>
        <w:t>1</w:t>
      </w:r>
      <w:r>
        <w:fldChar w:fldCharType="end"/>
      </w:r>
      <w:r>
        <w:rPr>
          <w:rFonts w:hint="default" w:ascii="Times New Roman" w:hAnsi="Times New Roman" w:cs="Times New Roman"/>
          <w:color w:val="auto"/>
          <w:highlight w:val="yellow"/>
          <w:u w:val="none" w:color="auto"/>
        </w:rPr>
        <w:fldChar w:fldCharType="end"/>
      </w:r>
    </w:p>
    <w:p w14:paraId="6CE767DC">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_Toc23736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1.2. </w:t>
      </w:r>
      <w:r>
        <w:rPr>
          <w:rFonts w:hint="default" w:ascii="Times New Roman" w:hAnsi="Times New Roman" w:cs="Times New Roman"/>
          <w:highlight w:val="none"/>
        </w:rPr>
        <w:t>环境影响评价的工作过程</w:t>
      </w:r>
      <w:r>
        <w:tab/>
      </w:r>
      <w:r>
        <w:fldChar w:fldCharType="begin"/>
      </w:r>
      <w:r>
        <w:instrText xml:space="preserve"> PAGEREF _Toc23736 \h </w:instrText>
      </w:r>
      <w:r>
        <w:fldChar w:fldCharType="separate"/>
      </w:r>
      <w:r>
        <w:t>2</w:t>
      </w:r>
      <w:r>
        <w:fldChar w:fldCharType="end"/>
      </w:r>
      <w:r>
        <w:rPr>
          <w:rFonts w:hint="default" w:ascii="Times New Roman" w:hAnsi="Times New Roman" w:cs="Times New Roman"/>
          <w:color w:val="auto"/>
          <w:highlight w:val="yellow"/>
          <w:u w:val="none" w:color="auto"/>
        </w:rPr>
        <w:fldChar w:fldCharType="end"/>
      </w:r>
    </w:p>
    <w:p w14:paraId="39B8F13F">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_Toc13004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1.3. </w:t>
      </w:r>
      <w:r>
        <w:rPr>
          <w:rFonts w:hint="default" w:ascii="Times New Roman" w:hAnsi="Times New Roman" w:cs="Times New Roman"/>
          <w:highlight w:val="none"/>
        </w:rPr>
        <w:t>主要评价内容及评价重点</w:t>
      </w:r>
      <w:r>
        <w:tab/>
      </w:r>
      <w:r>
        <w:fldChar w:fldCharType="begin"/>
      </w:r>
      <w:r>
        <w:instrText xml:space="preserve"> PAGEREF _Toc13004 \h </w:instrText>
      </w:r>
      <w:r>
        <w:fldChar w:fldCharType="separate"/>
      </w:r>
      <w:r>
        <w:t>3</w:t>
      </w:r>
      <w:r>
        <w:fldChar w:fldCharType="end"/>
      </w:r>
      <w:r>
        <w:rPr>
          <w:rFonts w:hint="default" w:ascii="Times New Roman" w:hAnsi="Times New Roman" w:cs="Times New Roman"/>
          <w:color w:val="auto"/>
          <w:highlight w:val="yellow"/>
          <w:u w:val="none" w:color="auto"/>
        </w:rPr>
        <w:fldChar w:fldCharType="end"/>
      </w:r>
    </w:p>
    <w:p w14:paraId="154DC264">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_Toc15543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1.4. </w:t>
      </w:r>
      <w:r>
        <w:rPr>
          <w:rFonts w:hint="default" w:ascii="Times New Roman" w:hAnsi="Times New Roman" w:cs="Times New Roman"/>
          <w:highlight w:val="none"/>
        </w:rPr>
        <w:t>相关情况判定</w:t>
      </w:r>
      <w:r>
        <w:tab/>
      </w:r>
      <w:r>
        <w:fldChar w:fldCharType="begin"/>
      </w:r>
      <w:r>
        <w:instrText xml:space="preserve"> PAGEREF _Toc15543 \h </w:instrText>
      </w:r>
      <w:r>
        <w:fldChar w:fldCharType="separate"/>
      </w:r>
      <w:r>
        <w:t>4</w:t>
      </w:r>
      <w:r>
        <w:fldChar w:fldCharType="end"/>
      </w:r>
      <w:r>
        <w:rPr>
          <w:rFonts w:hint="default" w:ascii="Times New Roman" w:hAnsi="Times New Roman" w:cs="Times New Roman"/>
          <w:color w:val="auto"/>
          <w:highlight w:val="yellow"/>
          <w:u w:val="none" w:color="auto"/>
        </w:rPr>
        <w:fldChar w:fldCharType="end"/>
      </w:r>
    </w:p>
    <w:p w14:paraId="16B3C7BC">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_Toc24816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1.5. </w:t>
      </w:r>
      <w:r>
        <w:rPr>
          <w:rFonts w:hint="default" w:ascii="Times New Roman" w:hAnsi="Times New Roman" w:cs="Times New Roman"/>
          <w:highlight w:val="none"/>
        </w:rPr>
        <w:t>主要结论</w:t>
      </w:r>
      <w:r>
        <w:tab/>
      </w:r>
      <w:r>
        <w:fldChar w:fldCharType="begin"/>
      </w:r>
      <w:r>
        <w:instrText xml:space="preserve"> PAGEREF _Toc24816 \h </w:instrText>
      </w:r>
      <w:r>
        <w:fldChar w:fldCharType="separate"/>
      </w:r>
      <w:r>
        <w:t>19</w:t>
      </w:r>
      <w:r>
        <w:fldChar w:fldCharType="end"/>
      </w:r>
      <w:r>
        <w:rPr>
          <w:rFonts w:hint="default" w:ascii="Times New Roman" w:hAnsi="Times New Roman" w:cs="Times New Roman"/>
          <w:color w:val="auto"/>
          <w:highlight w:val="yellow"/>
          <w:u w:val="none" w:color="auto"/>
        </w:rPr>
        <w:fldChar w:fldCharType="end"/>
      </w:r>
    </w:p>
    <w:p w14:paraId="45D3E327">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_Toc15108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 </w:t>
      </w:r>
      <w:r>
        <w:rPr>
          <w:rFonts w:hint="default" w:ascii="Times New Roman" w:hAnsi="Times New Roman" w:cs="Times New Roman"/>
          <w:highlight w:val="none"/>
        </w:rPr>
        <w:t>总则</w:t>
      </w:r>
      <w:r>
        <w:tab/>
      </w:r>
      <w:r>
        <w:fldChar w:fldCharType="begin"/>
      </w:r>
      <w:r>
        <w:instrText xml:space="preserve"> PAGEREF _Toc15108 \h </w:instrText>
      </w:r>
      <w:r>
        <w:fldChar w:fldCharType="separate"/>
      </w:r>
      <w:r>
        <w:t>20</w:t>
      </w:r>
      <w:r>
        <w:fldChar w:fldCharType="end"/>
      </w:r>
      <w:r>
        <w:rPr>
          <w:rFonts w:hint="default" w:ascii="Times New Roman" w:hAnsi="Times New Roman" w:cs="Times New Roman"/>
          <w:color w:val="auto"/>
          <w:highlight w:val="yellow"/>
          <w:u w:val="none" w:color="auto"/>
        </w:rPr>
        <w:fldChar w:fldCharType="end"/>
      </w:r>
    </w:p>
    <w:p w14:paraId="73247440">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_Toc29312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2.1. </w:t>
      </w:r>
      <w:r>
        <w:rPr>
          <w:rFonts w:hint="default" w:ascii="Times New Roman" w:hAnsi="Times New Roman" w:cs="Times New Roman"/>
          <w:highlight w:val="none"/>
        </w:rPr>
        <w:t>编制依据</w:t>
      </w:r>
      <w:r>
        <w:tab/>
      </w:r>
      <w:r>
        <w:fldChar w:fldCharType="begin"/>
      </w:r>
      <w:r>
        <w:instrText xml:space="preserve"> PAGEREF _Toc29312 \h </w:instrText>
      </w:r>
      <w:r>
        <w:fldChar w:fldCharType="separate"/>
      </w:r>
      <w:r>
        <w:t>20</w:t>
      </w:r>
      <w:r>
        <w:fldChar w:fldCharType="end"/>
      </w:r>
      <w:r>
        <w:rPr>
          <w:rFonts w:hint="default" w:ascii="Times New Roman" w:hAnsi="Times New Roman" w:cs="Times New Roman"/>
          <w:color w:val="auto"/>
          <w:highlight w:val="yellow"/>
          <w:u w:val="none" w:color="auto"/>
        </w:rPr>
        <w:fldChar w:fldCharType="end"/>
      </w:r>
    </w:p>
    <w:p w14:paraId="0B69BA3C">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_Toc27927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2.2. </w:t>
      </w:r>
      <w:r>
        <w:rPr>
          <w:rFonts w:hint="default" w:ascii="Times New Roman" w:hAnsi="Times New Roman" w:cs="Times New Roman"/>
          <w:highlight w:val="none"/>
        </w:rPr>
        <w:t>环境影响识别与评价因子</w:t>
      </w:r>
      <w:r>
        <w:tab/>
      </w:r>
      <w:r>
        <w:fldChar w:fldCharType="begin"/>
      </w:r>
      <w:r>
        <w:instrText xml:space="preserve"> PAGEREF _Toc27927 \h </w:instrText>
      </w:r>
      <w:r>
        <w:fldChar w:fldCharType="separate"/>
      </w:r>
      <w:r>
        <w:t>22</w:t>
      </w:r>
      <w:r>
        <w:fldChar w:fldCharType="end"/>
      </w:r>
      <w:r>
        <w:rPr>
          <w:rFonts w:hint="default" w:ascii="Times New Roman" w:hAnsi="Times New Roman" w:cs="Times New Roman"/>
          <w:color w:val="auto"/>
          <w:highlight w:val="yellow"/>
          <w:u w:val="none" w:color="auto"/>
        </w:rPr>
        <w:fldChar w:fldCharType="end"/>
      </w:r>
    </w:p>
    <w:p w14:paraId="0DA9EAFE">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_Toc927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2.3. </w:t>
      </w:r>
      <w:r>
        <w:rPr>
          <w:rFonts w:hint="default" w:ascii="Times New Roman" w:hAnsi="Times New Roman" w:cs="Times New Roman"/>
          <w:highlight w:val="none"/>
        </w:rPr>
        <w:t>评价标准</w:t>
      </w:r>
      <w:r>
        <w:tab/>
      </w:r>
      <w:r>
        <w:fldChar w:fldCharType="begin"/>
      </w:r>
      <w:r>
        <w:instrText xml:space="preserve"> PAGEREF _Toc927 \h </w:instrText>
      </w:r>
      <w:r>
        <w:fldChar w:fldCharType="separate"/>
      </w:r>
      <w:r>
        <w:t>24</w:t>
      </w:r>
      <w:r>
        <w:fldChar w:fldCharType="end"/>
      </w:r>
      <w:r>
        <w:rPr>
          <w:rFonts w:hint="default" w:ascii="Times New Roman" w:hAnsi="Times New Roman" w:cs="Times New Roman"/>
          <w:color w:val="auto"/>
          <w:highlight w:val="yellow"/>
          <w:u w:val="none" w:color="auto"/>
        </w:rPr>
        <w:fldChar w:fldCharType="end"/>
      </w:r>
    </w:p>
    <w:p w14:paraId="73FD1555">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_Toc12495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2.4. </w:t>
      </w:r>
      <w:r>
        <w:rPr>
          <w:rFonts w:hint="default" w:ascii="Times New Roman" w:hAnsi="Times New Roman" w:cs="Times New Roman"/>
          <w:highlight w:val="none"/>
        </w:rPr>
        <w:t>评价工作等级及评价范围</w:t>
      </w:r>
      <w:r>
        <w:tab/>
      </w:r>
      <w:r>
        <w:fldChar w:fldCharType="begin"/>
      </w:r>
      <w:r>
        <w:instrText xml:space="preserve"> PAGEREF _Toc12495 \h </w:instrText>
      </w:r>
      <w:r>
        <w:fldChar w:fldCharType="separate"/>
      </w:r>
      <w:r>
        <w:t>29</w:t>
      </w:r>
      <w:r>
        <w:fldChar w:fldCharType="end"/>
      </w:r>
      <w:r>
        <w:rPr>
          <w:rFonts w:hint="default" w:ascii="Times New Roman" w:hAnsi="Times New Roman" w:cs="Times New Roman"/>
          <w:color w:val="auto"/>
          <w:highlight w:val="yellow"/>
          <w:u w:val="none" w:color="auto"/>
        </w:rPr>
        <w:fldChar w:fldCharType="end"/>
      </w:r>
    </w:p>
    <w:p w14:paraId="3CD6D74F">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_Toc3030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2.5. </w:t>
      </w:r>
      <w:r>
        <w:rPr>
          <w:rFonts w:hint="default" w:ascii="Times New Roman" w:hAnsi="Times New Roman" w:cs="Times New Roman"/>
          <w:highlight w:val="none"/>
        </w:rPr>
        <w:t>环境功能区划</w:t>
      </w:r>
      <w:r>
        <w:tab/>
      </w:r>
      <w:r>
        <w:fldChar w:fldCharType="begin"/>
      </w:r>
      <w:r>
        <w:instrText xml:space="preserve"> PAGEREF _Toc3030 \h </w:instrText>
      </w:r>
      <w:r>
        <w:fldChar w:fldCharType="separate"/>
      </w:r>
      <w:r>
        <w:t>35</w:t>
      </w:r>
      <w:r>
        <w:fldChar w:fldCharType="end"/>
      </w:r>
      <w:r>
        <w:rPr>
          <w:rFonts w:hint="default" w:ascii="Times New Roman" w:hAnsi="Times New Roman" w:cs="Times New Roman"/>
          <w:color w:val="auto"/>
          <w:highlight w:val="yellow"/>
          <w:u w:val="none" w:color="auto"/>
        </w:rPr>
        <w:fldChar w:fldCharType="end"/>
      </w:r>
    </w:p>
    <w:p w14:paraId="65D5EC2C">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_Toc29741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2.6. </w:t>
      </w:r>
      <w:r>
        <w:rPr>
          <w:rFonts w:hint="default" w:ascii="Times New Roman" w:hAnsi="Times New Roman" w:cs="Times New Roman"/>
          <w:highlight w:val="none"/>
        </w:rPr>
        <w:t>环境保护目标</w:t>
      </w:r>
      <w:r>
        <w:tab/>
      </w:r>
      <w:r>
        <w:fldChar w:fldCharType="begin"/>
      </w:r>
      <w:r>
        <w:instrText xml:space="preserve"> PAGEREF _Toc29741 \h </w:instrText>
      </w:r>
      <w:r>
        <w:fldChar w:fldCharType="separate"/>
      </w:r>
      <w:r>
        <w:t>36</w:t>
      </w:r>
      <w:r>
        <w:fldChar w:fldCharType="end"/>
      </w:r>
      <w:r>
        <w:rPr>
          <w:rFonts w:hint="default" w:ascii="Times New Roman" w:hAnsi="Times New Roman" w:cs="Times New Roman"/>
          <w:color w:val="auto"/>
          <w:highlight w:val="yellow"/>
          <w:u w:val="none" w:color="auto"/>
        </w:rPr>
        <w:fldChar w:fldCharType="end"/>
      </w:r>
    </w:p>
    <w:p w14:paraId="45FBB602">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_Toc11092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3. </w:t>
      </w:r>
      <w:r>
        <w:rPr>
          <w:rFonts w:hint="default" w:ascii="Times New Roman" w:hAnsi="Times New Roman" w:cs="Times New Roman"/>
          <w:highlight w:val="none"/>
          <w:lang w:val="en-US" w:eastAsia="zh-CN"/>
        </w:rPr>
        <w:t>拟建</w:t>
      </w:r>
      <w:r>
        <w:rPr>
          <w:rFonts w:hint="default" w:ascii="Times New Roman" w:hAnsi="Times New Roman" w:cs="Times New Roman"/>
          <w:highlight w:val="none"/>
        </w:rPr>
        <w:t>项目概况</w:t>
      </w:r>
      <w:r>
        <w:tab/>
      </w:r>
      <w:r>
        <w:fldChar w:fldCharType="begin"/>
      </w:r>
      <w:r>
        <w:instrText xml:space="preserve"> PAGEREF _Toc11092 \h </w:instrText>
      </w:r>
      <w:r>
        <w:fldChar w:fldCharType="separate"/>
      </w:r>
      <w:r>
        <w:t>39</w:t>
      </w:r>
      <w:r>
        <w:fldChar w:fldCharType="end"/>
      </w:r>
      <w:r>
        <w:rPr>
          <w:rFonts w:hint="default" w:ascii="Times New Roman" w:hAnsi="Times New Roman" w:cs="Times New Roman"/>
          <w:color w:val="auto"/>
          <w:highlight w:val="yellow"/>
          <w:u w:val="none" w:color="auto"/>
        </w:rPr>
        <w:fldChar w:fldCharType="end"/>
      </w:r>
    </w:p>
    <w:p w14:paraId="1A75D89A">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_Toc24588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3.1. </w:t>
      </w:r>
      <w:r>
        <w:rPr>
          <w:rFonts w:hint="default" w:ascii="Times New Roman" w:hAnsi="Times New Roman" w:cs="Times New Roman"/>
          <w:highlight w:val="none"/>
        </w:rPr>
        <w:t>基本情况</w:t>
      </w:r>
      <w:r>
        <w:tab/>
      </w:r>
      <w:r>
        <w:fldChar w:fldCharType="begin"/>
      </w:r>
      <w:r>
        <w:instrText xml:space="preserve"> PAGEREF _Toc24588 \h </w:instrText>
      </w:r>
      <w:r>
        <w:fldChar w:fldCharType="separate"/>
      </w:r>
      <w:r>
        <w:t>39</w:t>
      </w:r>
      <w:r>
        <w:fldChar w:fldCharType="end"/>
      </w:r>
      <w:r>
        <w:rPr>
          <w:rFonts w:hint="default" w:ascii="Times New Roman" w:hAnsi="Times New Roman" w:cs="Times New Roman"/>
          <w:color w:val="auto"/>
          <w:highlight w:val="yellow"/>
          <w:u w:val="none" w:color="auto"/>
        </w:rPr>
        <w:fldChar w:fldCharType="end"/>
      </w:r>
    </w:p>
    <w:p w14:paraId="07B0A8C4">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_Toc29512 </w:instrText>
      </w:r>
      <w:r>
        <w:rPr>
          <w:rFonts w:hint="default" w:ascii="Times New Roman" w:hAnsi="Times New Roman" w:cs="Times New Roman"/>
          <w:highlight w:val="yellow"/>
        </w:rPr>
        <w:fldChar w:fldCharType="separate"/>
      </w:r>
      <w:r>
        <w:rPr>
          <w:rFonts w:hint="default"/>
        </w:rPr>
        <w:t>3.2. 建设规模及进出水水质论证</w:t>
      </w:r>
      <w:r>
        <w:tab/>
      </w:r>
      <w:r>
        <w:fldChar w:fldCharType="begin"/>
      </w:r>
      <w:r>
        <w:instrText xml:space="preserve"> PAGEREF _Toc29512 \h </w:instrText>
      </w:r>
      <w:r>
        <w:fldChar w:fldCharType="separate"/>
      </w:r>
      <w:r>
        <w:t>39</w:t>
      </w:r>
      <w:r>
        <w:fldChar w:fldCharType="end"/>
      </w:r>
      <w:r>
        <w:rPr>
          <w:rFonts w:hint="default" w:ascii="Times New Roman" w:hAnsi="Times New Roman" w:cs="Times New Roman"/>
          <w:color w:val="auto"/>
          <w:highlight w:val="yellow"/>
          <w:u w:val="none" w:color="auto"/>
        </w:rPr>
        <w:fldChar w:fldCharType="end"/>
      </w:r>
    </w:p>
    <w:p w14:paraId="4FAC5AC2">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_Toc9629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3.3. </w:t>
      </w:r>
      <w:r>
        <w:rPr>
          <w:rFonts w:hint="default" w:ascii="Times New Roman" w:hAnsi="Times New Roman" w:cs="Times New Roman"/>
          <w:highlight w:val="none"/>
        </w:rPr>
        <w:t>建设内容</w:t>
      </w:r>
      <w:r>
        <w:tab/>
      </w:r>
      <w:r>
        <w:fldChar w:fldCharType="begin"/>
      </w:r>
      <w:r>
        <w:instrText xml:space="preserve"> PAGEREF _Toc9629 \h </w:instrText>
      </w:r>
      <w:r>
        <w:fldChar w:fldCharType="separate"/>
      </w:r>
      <w:r>
        <w:t>41</w:t>
      </w:r>
      <w:r>
        <w:fldChar w:fldCharType="end"/>
      </w:r>
      <w:r>
        <w:rPr>
          <w:rFonts w:hint="default" w:ascii="Times New Roman" w:hAnsi="Times New Roman" w:cs="Times New Roman"/>
          <w:color w:val="auto"/>
          <w:highlight w:val="yellow"/>
          <w:u w:val="none" w:color="auto"/>
        </w:rPr>
        <w:fldChar w:fldCharType="end"/>
      </w:r>
    </w:p>
    <w:p w14:paraId="6CF5350E">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_Toc2545 </w:instrText>
      </w:r>
      <w:r>
        <w:rPr>
          <w:rFonts w:hint="default" w:ascii="Times New Roman" w:hAnsi="Times New Roman" w:cs="Times New Roman"/>
          <w:highlight w:val="yellow"/>
        </w:rPr>
        <w:fldChar w:fldCharType="separate"/>
      </w:r>
      <w:r>
        <w:rPr>
          <w:rFonts w:hint="default"/>
        </w:rPr>
        <w:t xml:space="preserve">3.4. </w:t>
      </w:r>
      <w:r>
        <w:rPr>
          <w:rFonts w:hint="eastAsia"/>
          <w:lang w:val="en-US" w:eastAsia="zh-CN"/>
        </w:rPr>
        <w:t>污水处理站</w:t>
      </w:r>
      <w:r>
        <w:rPr>
          <w:rFonts w:hint="default"/>
        </w:rPr>
        <w:t>主要工艺设备</w:t>
      </w:r>
      <w:r>
        <w:tab/>
      </w:r>
      <w:r>
        <w:fldChar w:fldCharType="begin"/>
      </w:r>
      <w:r>
        <w:instrText xml:space="preserve"> PAGEREF _Toc2545 \h </w:instrText>
      </w:r>
      <w:r>
        <w:fldChar w:fldCharType="separate"/>
      </w:r>
      <w:r>
        <w:t>47</w:t>
      </w:r>
      <w:r>
        <w:fldChar w:fldCharType="end"/>
      </w:r>
      <w:r>
        <w:rPr>
          <w:rFonts w:hint="default" w:ascii="Times New Roman" w:hAnsi="Times New Roman" w:cs="Times New Roman"/>
          <w:color w:val="auto"/>
          <w:highlight w:val="yellow"/>
          <w:u w:val="none" w:color="auto"/>
        </w:rPr>
        <w:fldChar w:fldCharType="end"/>
      </w:r>
    </w:p>
    <w:p w14:paraId="3D60F058">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_Toc27815 </w:instrText>
      </w:r>
      <w:r>
        <w:rPr>
          <w:rFonts w:hint="default" w:ascii="Times New Roman" w:hAnsi="Times New Roman" w:cs="Times New Roman"/>
          <w:highlight w:val="yellow"/>
        </w:rPr>
        <w:fldChar w:fldCharType="separate"/>
      </w:r>
      <w:r>
        <w:rPr>
          <w:rFonts w:hint="default"/>
          <w:lang w:eastAsia="zh-CN"/>
        </w:rPr>
        <w:t xml:space="preserve">3.5. </w:t>
      </w:r>
      <w:r>
        <w:rPr>
          <w:rFonts w:hint="eastAsia"/>
          <w:lang w:eastAsia="zh-CN"/>
        </w:rPr>
        <w:t>污水处理工程主要原辅材料消耗</w:t>
      </w:r>
      <w:r>
        <w:tab/>
      </w:r>
      <w:r>
        <w:fldChar w:fldCharType="begin"/>
      </w:r>
      <w:r>
        <w:instrText xml:space="preserve"> PAGEREF _Toc27815 \h </w:instrText>
      </w:r>
      <w:r>
        <w:fldChar w:fldCharType="separate"/>
      </w:r>
      <w:r>
        <w:t>49</w:t>
      </w:r>
      <w:r>
        <w:fldChar w:fldCharType="end"/>
      </w:r>
      <w:r>
        <w:rPr>
          <w:rFonts w:hint="default" w:ascii="Times New Roman" w:hAnsi="Times New Roman" w:cs="Times New Roman"/>
          <w:color w:val="auto"/>
          <w:highlight w:val="yellow"/>
          <w:u w:val="none" w:color="auto"/>
        </w:rPr>
        <w:fldChar w:fldCharType="end"/>
      </w:r>
    </w:p>
    <w:p w14:paraId="4257C474">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_Toc20575 </w:instrText>
      </w:r>
      <w:r>
        <w:rPr>
          <w:rFonts w:hint="default" w:ascii="Times New Roman" w:hAnsi="Times New Roman" w:cs="Times New Roman"/>
          <w:highlight w:val="yellow"/>
        </w:rPr>
        <w:fldChar w:fldCharType="separate"/>
      </w:r>
      <w:r>
        <w:rPr>
          <w:rFonts w:hint="default"/>
        </w:rPr>
        <w:t xml:space="preserve">3.6. </w:t>
      </w:r>
      <w:r>
        <w:rPr>
          <w:rFonts w:hint="default"/>
          <w:highlight w:val="none"/>
        </w:rPr>
        <w:t>公用及辅助工程</w:t>
      </w:r>
      <w:r>
        <w:tab/>
      </w:r>
      <w:r>
        <w:fldChar w:fldCharType="begin"/>
      </w:r>
      <w:r>
        <w:instrText xml:space="preserve"> PAGEREF _Toc20575 \h </w:instrText>
      </w:r>
      <w:r>
        <w:fldChar w:fldCharType="separate"/>
      </w:r>
      <w:r>
        <w:t>50</w:t>
      </w:r>
      <w:r>
        <w:fldChar w:fldCharType="end"/>
      </w:r>
      <w:r>
        <w:rPr>
          <w:rFonts w:hint="default" w:ascii="Times New Roman" w:hAnsi="Times New Roman" w:cs="Times New Roman"/>
          <w:color w:val="auto"/>
          <w:highlight w:val="yellow"/>
          <w:u w:val="none" w:color="auto"/>
        </w:rPr>
        <w:fldChar w:fldCharType="end"/>
      </w:r>
    </w:p>
    <w:p w14:paraId="32D2C2B8">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_Toc4315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3.7. </w:t>
      </w:r>
      <w:r>
        <w:rPr>
          <w:rFonts w:hint="default" w:ascii="Times New Roman" w:hAnsi="Times New Roman" w:cs="Times New Roman"/>
          <w:highlight w:val="none"/>
        </w:rPr>
        <w:t>劳动定员及工作制度</w:t>
      </w:r>
      <w:r>
        <w:tab/>
      </w:r>
      <w:r>
        <w:fldChar w:fldCharType="begin"/>
      </w:r>
      <w:r>
        <w:instrText xml:space="preserve"> PAGEREF _Toc4315 \h </w:instrText>
      </w:r>
      <w:r>
        <w:fldChar w:fldCharType="separate"/>
      </w:r>
      <w:r>
        <w:t>51</w:t>
      </w:r>
      <w:r>
        <w:fldChar w:fldCharType="end"/>
      </w:r>
      <w:r>
        <w:rPr>
          <w:rFonts w:hint="default" w:ascii="Times New Roman" w:hAnsi="Times New Roman" w:cs="Times New Roman"/>
          <w:color w:val="auto"/>
          <w:highlight w:val="yellow"/>
          <w:u w:val="none" w:color="auto"/>
        </w:rPr>
        <w:fldChar w:fldCharType="end"/>
      </w:r>
    </w:p>
    <w:p w14:paraId="4A01981F">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_Toc7922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3.8. </w:t>
      </w:r>
      <w:r>
        <w:rPr>
          <w:rFonts w:hint="default" w:ascii="Times New Roman" w:hAnsi="Times New Roman" w:cs="Times New Roman"/>
          <w:highlight w:val="none"/>
        </w:rPr>
        <w:t>总平面布置</w:t>
      </w:r>
      <w:r>
        <w:tab/>
      </w:r>
      <w:r>
        <w:fldChar w:fldCharType="begin"/>
      </w:r>
      <w:r>
        <w:instrText xml:space="preserve"> PAGEREF _Toc7922 \h </w:instrText>
      </w:r>
      <w:r>
        <w:fldChar w:fldCharType="separate"/>
      </w:r>
      <w:r>
        <w:t>51</w:t>
      </w:r>
      <w:r>
        <w:fldChar w:fldCharType="end"/>
      </w:r>
      <w:r>
        <w:rPr>
          <w:rFonts w:hint="default" w:ascii="Times New Roman" w:hAnsi="Times New Roman" w:cs="Times New Roman"/>
          <w:color w:val="auto"/>
          <w:highlight w:val="yellow"/>
          <w:u w:val="none" w:color="auto"/>
        </w:rPr>
        <w:fldChar w:fldCharType="end"/>
      </w:r>
    </w:p>
    <w:p w14:paraId="76CE6D18">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_Toc3772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 </w:t>
      </w:r>
      <w:r>
        <w:rPr>
          <w:rFonts w:hint="default" w:ascii="Times New Roman" w:hAnsi="Times New Roman" w:cs="Times New Roman"/>
          <w:highlight w:val="none"/>
        </w:rPr>
        <w:t>工程分析</w:t>
      </w:r>
      <w:r>
        <w:tab/>
      </w:r>
      <w:r>
        <w:fldChar w:fldCharType="begin"/>
      </w:r>
      <w:r>
        <w:instrText xml:space="preserve"> PAGEREF _Toc3772 \h </w:instrText>
      </w:r>
      <w:r>
        <w:fldChar w:fldCharType="separate"/>
      </w:r>
      <w:r>
        <w:t>53</w:t>
      </w:r>
      <w:r>
        <w:fldChar w:fldCharType="end"/>
      </w:r>
      <w:r>
        <w:rPr>
          <w:rFonts w:hint="default" w:ascii="Times New Roman" w:hAnsi="Times New Roman" w:cs="Times New Roman"/>
          <w:color w:val="auto"/>
          <w:highlight w:val="yellow"/>
          <w:u w:val="none" w:color="auto"/>
        </w:rPr>
        <w:fldChar w:fldCharType="end"/>
      </w:r>
    </w:p>
    <w:p w14:paraId="3EBD4925">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_Toc5915 </w:instrText>
      </w:r>
      <w:r>
        <w:rPr>
          <w:rFonts w:hint="default" w:ascii="Times New Roman" w:hAnsi="Times New Roman" w:cs="Times New Roman"/>
          <w:highlight w:val="yellow"/>
        </w:rPr>
        <w:fldChar w:fldCharType="separate"/>
      </w:r>
      <w:r>
        <w:rPr>
          <w:rFonts w:hint="default" w:ascii="Times New Roman" w:hAnsi="Times New Roman" w:cs="Times New Roman"/>
          <w:bCs/>
        </w:rPr>
        <w:t xml:space="preserve">4.1. </w:t>
      </w:r>
      <w:r>
        <w:rPr>
          <w:rFonts w:hint="default" w:ascii="Times New Roman" w:hAnsi="Times New Roman" w:cs="Times New Roman"/>
          <w:bCs/>
          <w:highlight w:val="none"/>
        </w:rPr>
        <w:t>施工期工程分析和</w:t>
      </w:r>
      <w:r>
        <w:rPr>
          <w:rFonts w:hint="default" w:ascii="Times New Roman" w:hAnsi="Times New Roman" w:cs="Times New Roman"/>
          <w:highlight w:val="none"/>
        </w:rPr>
        <w:t>产污环节分析</w:t>
      </w:r>
      <w:r>
        <w:tab/>
      </w:r>
      <w:r>
        <w:fldChar w:fldCharType="begin"/>
      </w:r>
      <w:r>
        <w:instrText xml:space="preserve"> PAGEREF _Toc5915 \h </w:instrText>
      </w:r>
      <w:r>
        <w:fldChar w:fldCharType="separate"/>
      </w:r>
      <w:r>
        <w:t>53</w:t>
      </w:r>
      <w:r>
        <w:fldChar w:fldCharType="end"/>
      </w:r>
      <w:r>
        <w:rPr>
          <w:rFonts w:hint="default" w:ascii="Times New Roman" w:hAnsi="Times New Roman" w:cs="Times New Roman"/>
          <w:color w:val="auto"/>
          <w:highlight w:val="yellow"/>
          <w:u w:val="none" w:color="auto"/>
        </w:rPr>
        <w:fldChar w:fldCharType="end"/>
      </w:r>
    </w:p>
    <w:p w14:paraId="403F78E5">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_Toc17654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4.2. </w:t>
      </w:r>
      <w:r>
        <w:rPr>
          <w:rFonts w:hint="default" w:ascii="Times New Roman" w:hAnsi="Times New Roman" w:cs="Times New Roman"/>
          <w:highlight w:val="none"/>
        </w:rPr>
        <w:t>营运期工艺流程和产污环节分析</w:t>
      </w:r>
      <w:r>
        <w:tab/>
      </w:r>
      <w:r>
        <w:fldChar w:fldCharType="begin"/>
      </w:r>
      <w:r>
        <w:instrText xml:space="preserve"> PAGEREF _Toc17654 \h </w:instrText>
      </w:r>
      <w:r>
        <w:fldChar w:fldCharType="separate"/>
      </w:r>
      <w:r>
        <w:t>54</w:t>
      </w:r>
      <w:r>
        <w:fldChar w:fldCharType="end"/>
      </w:r>
      <w:r>
        <w:rPr>
          <w:rFonts w:hint="default" w:ascii="Times New Roman" w:hAnsi="Times New Roman" w:cs="Times New Roman"/>
          <w:color w:val="auto"/>
          <w:highlight w:val="yellow"/>
          <w:u w:val="none" w:color="auto"/>
        </w:rPr>
        <w:fldChar w:fldCharType="end"/>
      </w:r>
    </w:p>
    <w:p w14:paraId="709E175D">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_Toc15346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4.3. </w:t>
      </w:r>
      <w:r>
        <w:rPr>
          <w:rFonts w:hint="default" w:ascii="Times New Roman" w:hAnsi="Times New Roman" w:cs="Times New Roman"/>
          <w:highlight w:val="none"/>
        </w:rPr>
        <w:t>产污环节</w:t>
      </w:r>
      <w:r>
        <w:tab/>
      </w:r>
      <w:r>
        <w:fldChar w:fldCharType="begin"/>
      </w:r>
      <w:r>
        <w:instrText xml:space="preserve"> PAGEREF _Toc15346 \h </w:instrText>
      </w:r>
      <w:r>
        <w:fldChar w:fldCharType="separate"/>
      </w:r>
      <w:r>
        <w:t>60</w:t>
      </w:r>
      <w:r>
        <w:fldChar w:fldCharType="end"/>
      </w:r>
      <w:r>
        <w:rPr>
          <w:rFonts w:hint="default" w:ascii="Times New Roman" w:hAnsi="Times New Roman" w:cs="Times New Roman"/>
          <w:color w:val="auto"/>
          <w:highlight w:val="yellow"/>
          <w:u w:val="none" w:color="auto"/>
        </w:rPr>
        <w:fldChar w:fldCharType="end"/>
      </w:r>
    </w:p>
    <w:p w14:paraId="65D2050F">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_Toc5384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4.4. </w:t>
      </w:r>
      <w:r>
        <w:rPr>
          <w:rFonts w:hint="default" w:ascii="Times New Roman" w:hAnsi="Times New Roman" w:cs="Times New Roman"/>
          <w:highlight w:val="none"/>
        </w:rPr>
        <w:t>施工期污染源分析</w:t>
      </w:r>
      <w:r>
        <w:tab/>
      </w:r>
      <w:r>
        <w:fldChar w:fldCharType="begin"/>
      </w:r>
      <w:r>
        <w:instrText xml:space="preserve"> PAGEREF _Toc5384 \h </w:instrText>
      </w:r>
      <w:r>
        <w:fldChar w:fldCharType="separate"/>
      </w:r>
      <w:r>
        <w:t>61</w:t>
      </w:r>
      <w:r>
        <w:fldChar w:fldCharType="end"/>
      </w:r>
      <w:r>
        <w:rPr>
          <w:rFonts w:hint="default" w:ascii="Times New Roman" w:hAnsi="Times New Roman" w:cs="Times New Roman"/>
          <w:color w:val="auto"/>
          <w:highlight w:val="yellow"/>
          <w:u w:val="none" w:color="auto"/>
        </w:rPr>
        <w:fldChar w:fldCharType="end"/>
      </w:r>
    </w:p>
    <w:p w14:paraId="0D298928">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_Toc20629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4.5. </w:t>
      </w:r>
      <w:r>
        <w:rPr>
          <w:rFonts w:hint="default" w:ascii="Times New Roman" w:hAnsi="Times New Roman" w:cs="Times New Roman"/>
          <w:highlight w:val="none"/>
        </w:rPr>
        <w:t>营运期污染源分析</w:t>
      </w:r>
      <w:r>
        <w:tab/>
      </w:r>
      <w:r>
        <w:fldChar w:fldCharType="begin"/>
      </w:r>
      <w:r>
        <w:instrText xml:space="preserve"> PAGEREF _Toc20629 \h </w:instrText>
      </w:r>
      <w:r>
        <w:fldChar w:fldCharType="separate"/>
      </w:r>
      <w:r>
        <w:t>62</w:t>
      </w:r>
      <w:r>
        <w:fldChar w:fldCharType="end"/>
      </w:r>
      <w:r>
        <w:rPr>
          <w:rFonts w:hint="default" w:ascii="Times New Roman" w:hAnsi="Times New Roman" w:cs="Times New Roman"/>
          <w:color w:val="auto"/>
          <w:highlight w:val="yellow"/>
          <w:u w:val="none" w:color="auto"/>
        </w:rPr>
        <w:fldChar w:fldCharType="end"/>
      </w:r>
    </w:p>
    <w:p w14:paraId="3C8C847B">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_Toc1716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4.6. </w:t>
      </w:r>
      <w:r>
        <w:rPr>
          <w:rFonts w:hint="default" w:ascii="Times New Roman" w:hAnsi="Times New Roman" w:cs="Times New Roman"/>
          <w:highlight w:val="none"/>
        </w:rPr>
        <w:t>营运期污染源强汇总</w:t>
      </w:r>
      <w:r>
        <w:tab/>
      </w:r>
      <w:r>
        <w:fldChar w:fldCharType="begin"/>
      </w:r>
      <w:r>
        <w:instrText xml:space="preserve"> PAGEREF _Toc1716 \h </w:instrText>
      </w:r>
      <w:r>
        <w:fldChar w:fldCharType="separate"/>
      </w:r>
      <w:r>
        <w:t>72</w:t>
      </w:r>
      <w:r>
        <w:fldChar w:fldCharType="end"/>
      </w:r>
      <w:r>
        <w:rPr>
          <w:rFonts w:hint="default" w:ascii="Times New Roman" w:hAnsi="Times New Roman" w:cs="Times New Roman"/>
          <w:color w:val="auto"/>
          <w:highlight w:val="yellow"/>
          <w:u w:val="none" w:color="auto"/>
        </w:rPr>
        <w:fldChar w:fldCharType="end"/>
      </w:r>
    </w:p>
    <w:p w14:paraId="6ED42460">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_Toc12913 </w:instrText>
      </w:r>
      <w:r>
        <w:rPr>
          <w:rFonts w:hint="default" w:ascii="Times New Roman" w:hAnsi="Times New Roman" w:cs="Times New Roman"/>
          <w:highlight w:val="yellow"/>
        </w:rPr>
        <w:fldChar w:fldCharType="separate"/>
      </w:r>
      <w:r>
        <w:rPr>
          <w:rFonts w:hint="default"/>
        </w:rPr>
        <w:t>5. 环境现状调查与评价</w:t>
      </w:r>
      <w:r>
        <w:tab/>
      </w:r>
      <w:r>
        <w:fldChar w:fldCharType="begin"/>
      </w:r>
      <w:r>
        <w:instrText xml:space="preserve"> PAGEREF _Toc12913 \h </w:instrText>
      </w:r>
      <w:r>
        <w:fldChar w:fldCharType="separate"/>
      </w:r>
      <w:r>
        <w:t>74</w:t>
      </w:r>
      <w:r>
        <w:fldChar w:fldCharType="end"/>
      </w:r>
      <w:r>
        <w:rPr>
          <w:rFonts w:hint="default" w:ascii="Times New Roman" w:hAnsi="Times New Roman" w:cs="Times New Roman"/>
          <w:color w:val="auto"/>
          <w:highlight w:val="yellow"/>
          <w:u w:val="none" w:color="auto"/>
        </w:rPr>
        <w:fldChar w:fldCharType="end"/>
      </w:r>
    </w:p>
    <w:p w14:paraId="1213B65B">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_Toc27549 </w:instrText>
      </w:r>
      <w:r>
        <w:rPr>
          <w:rFonts w:hint="default" w:ascii="Times New Roman" w:hAnsi="Times New Roman" w:cs="Times New Roman"/>
          <w:highlight w:val="yellow"/>
        </w:rPr>
        <w:fldChar w:fldCharType="separate"/>
      </w:r>
      <w:r>
        <w:rPr>
          <w:rFonts w:hint="default"/>
        </w:rPr>
        <w:t>5.1. 自然环境</w:t>
      </w:r>
      <w:r>
        <w:tab/>
      </w:r>
      <w:r>
        <w:fldChar w:fldCharType="begin"/>
      </w:r>
      <w:r>
        <w:instrText xml:space="preserve"> PAGEREF _Toc27549 \h </w:instrText>
      </w:r>
      <w:r>
        <w:fldChar w:fldCharType="separate"/>
      </w:r>
      <w:r>
        <w:t>74</w:t>
      </w:r>
      <w:r>
        <w:fldChar w:fldCharType="end"/>
      </w:r>
      <w:r>
        <w:rPr>
          <w:rFonts w:hint="default" w:ascii="Times New Roman" w:hAnsi="Times New Roman" w:cs="Times New Roman"/>
          <w:color w:val="auto"/>
          <w:highlight w:val="yellow"/>
          <w:u w:val="none" w:color="auto"/>
        </w:rPr>
        <w:fldChar w:fldCharType="end"/>
      </w:r>
    </w:p>
    <w:p w14:paraId="1C4D3F6D">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_Toc22243 </w:instrText>
      </w:r>
      <w:r>
        <w:rPr>
          <w:rFonts w:hint="default" w:ascii="Times New Roman" w:hAnsi="Times New Roman" w:cs="Times New Roman"/>
          <w:highlight w:val="yellow"/>
        </w:rPr>
        <w:fldChar w:fldCharType="separate"/>
      </w:r>
      <w:r>
        <w:rPr>
          <w:rFonts w:hint="default"/>
        </w:rPr>
        <w:t>5.2. 湘阴高新技术产业开发区基本情况</w:t>
      </w:r>
      <w:r>
        <w:tab/>
      </w:r>
      <w:r>
        <w:fldChar w:fldCharType="begin"/>
      </w:r>
      <w:r>
        <w:instrText xml:space="preserve"> PAGEREF _Toc22243 \h </w:instrText>
      </w:r>
      <w:r>
        <w:fldChar w:fldCharType="separate"/>
      </w:r>
      <w:r>
        <w:t>81</w:t>
      </w:r>
      <w:r>
        <w:fldChar w:fldCharType="end"/>
      </w:r>
      <w:r>
        <w:rPr>
          <w:rFonts w:hint="default" w:ascii="Times New Roman" w:hAnsi="Times New Roman" w:cs="Times New Roman"/>
          <w:color w:val="auto"/>
          <w:highlight w:val="yellow"/>
          <w:u w:val="none" w:color="auto"/>
        </w:rPr>
        <w:fldChar w:fldCharType="end"/>
      </w:r>
    </w:p>
    <w:p w14:paraId="75EF87A5">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_Toc11492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5.3. </w:t>
      </w:r>
      <w:r>
        <w:rPr>
          <w:rFonts w:hint="default" w:ascii="Times New Roman" w:hAnsi="Times New Roman" w:cs="Times New Roman"/>
          <w:highlight w:val="none"/>
        </w:rPr>
        <w:t>环境质量现状调查与评价</w:t>
      </w:r>
      <w:r>
        <w:tab/>
      </w:r>
      <w:r>
        <w:fldChar w:fldCharType="begin"/>
      </w:r>
      <w:r>
        <w:instrText xml:space="preserve"> PAGEREF _Toc11492 \h </w:instrText>
      </w:r>
      <w:r>
        <w:fldChar w:fldCharType="separate"/>
      </w:r>
      <w:r>
        <w:t>86</w:t>
      </w:r>
      <w:r>
        <w:fldChar w:fldCharType="end"/>
      </w:r>
      <w:r>
        <w:rPr>
          <w:rFonts w:hint="default" w:ascii="Times New Roman" w:hAnsi="Times New Roman" w:cs="Times New Roman"/>
          <w:color w:val="auto"/>
          <w:highlight w:val="yellow"/>
          <w:u w:val="none" w:color="auto"/>
        </w:rPr>
        <w:fldChar w:fldCharType="end"/>
      </w:r>
    </w:p>
    <w:p w14:paraId="63B49E1D">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_Toc3796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6. </w:t>
      </w:r>
      <w:r>
        <w:rPr>
          <w:rFonts w:hint="default" w:ascii="Times New Roman" w:hAnsi="Times New Roman" w:cs="Times New Roman"/>
          <w:highlight w:val="none"/>
        </w:rPr>
        <w:t>环境影响预测与评价</w:t>
      </w:r>
      <w:r>
        <w:tab/>
      </w:r>
      <w:r>
        <w:fldChar w:fldCharType="begin"/>
      </w:r>
      <w:r>
        <w:instrText xml:space="preserve"> PAGEREF _Toc3796 \h </w:instrText>
      </w:r>
      <w:r>
        <w:fldChar w:fldCharType="separate"/>
      </w:r>
      <w:r>
        <w:t>99</w:t>
      </w:r>
      <w:r>
        <w:fldChar w:fldCharType="end"/>
      </w:r>
      <w:r>
        <w:rPr>
          <w:rFonts w:hint="default" w:ascii="Times New Roman" w:hAnsi="Times New Roman" w:cs="Times New Roman"/>
          <w:color w:val="auto"/>
          <w:highlight w:val="yellow"/>
          <w:u w:val="none" w:color="auto"/>
        </w:rPr>
        <w:fldChar w:fldCharType="end"/>
      </w:r>
    </w:p>
    <w:p w14:paraId="0D6E9B8A">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_Toc31449 </w:instrText>
      </w:r>
      <w:r>
        <w:rPr>
          <w:rFonts w:hint="default" w:ascii="Times New Roman" w:hAnsi="Times New Roman" w:cs="Times New Roman"/>
          <w:highlight w:val="yellow"/>
        </w:rPr>
        <w:fldChar w:fldCharType="separate"/>
      </w:r>
      <w:r>
        <w:rPr>
          <w:rFonts w:hint="default" w:ascii="Times New Roman" w:hAnsi="Times New Roman" w:cs="Times New Roman"/>
          <w:lang w:val="en-US" w:eastAsia="zh-CN"/>
        </w:rPr>
        <w:t xml:space="preserve">6.1. </w:t>
      </w:r>
      <w:r>
        <w:rPr>
          <w:rFonts w:hint="default" w:ascii="Times New Roman" w:hAnsi="Times New Roman" w:cs="Times New Roman"/>
          <w:highlight w:val="none"/>
          <w:lang w:val="en-US" w:eastAsia="zh-CN"/>
        </w:rPr>
        <w:t>施工期环境影响预测及分析</w:t>
      </w:r>
      <w:r>
        <w:tab/>
      </w:r>
      <w:r>
        <w:fldChar w:fldCharType="begin"/>
      </w:r>
      <w:r>
        <w:instrText xml:space="preserve"> PAGEREF _Toc31449 \h </w:instrText>
      </w:r>
      <w:r>
        <w:fldChar w:fldCharType="separate"/>
      </w:r>
      <w:r>
        <w:t>99</w:t>
      </w:r>
      <w:r>
        <w:fldChar w:fldCharType="end"/>
      </w:r>
      <w:r>
        <w:rPr>
          <w:rFonts w:hint="default" w:ascii="Times New Roman" w:hAnsi="Times New Roman" w:cs="Times New Roman"/>
          <w:color w:val="auto"/>
          <w:highlight w:val="yellow"/>
          <w:u w:val="none" w:color="auto"/>
        </w:rPr>
        <w:fldChar w:fldCharType="end"/>
      </w:r>
    </w:p>
    <w:p w14:paraId="4D52319F">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_Toc2108 </w:instrText>
      </w:r>
      <w:r>
        <w:rPr>
          <w:rFonts w:hint="default" w:ascii="Times New Roman" w:hAnsi="Times New Roman" w:cs="Times New Roman"/>
          <w:highlight w:val="yellow"/>
        </w:rPr>
        <w:fldChar w:fldCharType="separate"/>
      </w:r>
      <w:r>
        <w:rPr>
          <w:rFonts w:hint="default" w:ascii="Times New Roman" w:hAnsi="Times New Roman" w:cs="Times New Roman"/>
          <w:szCs w:val="30"/>
        </w:rPr>
        <w:t xml:space="preserve">6.2. </w:t>
      </w:r>
      <w:r>
        <w:rPr>
          <w:rFonts w:hint="default" w:ascii="Times New Roman" w:hAnsi="Times New Roman" w:cs="Times New Roman"/>
          <w:szCs w:val="30"/>
          <w:highlight w:val="none"/>
        </w:rPr>
        <w:t>营运期环境影响预测及分析</w:t>
      </w:r>
      <w:r>
        <w:tab/>
      </w:r>
      <w:r>
        <w:fldChar w:fldCharType="begin"/>
      </w:r>
      <w:r>
        <w:instrText xml:space="preserve"> PAGEREF _Toc2108 \h </w:instrText>
      </w:r>
      <w:r>
        <w:fldChar w:fldCharType="separate"/>
      </w:r>
      <w:r>
        <w:t>105</w:t>
      </w:r>
      <w:r>
        <w:fldChar w:fldCharType="end"/>
      </w:r>
      <w:r>
        <w:rPr>
          <w:rFonts w:hint="default" w:ascii="Times New Roman" w:hAnsi="Times New Roman" w:cs="Times New Roman"/>
          <w:color w:val="auto"/>
          <w:highlight w:val="yellow"/>
          <w:u w:val="none" w:color="auto"/>
        </w:rPr>
        <w:fldChar w:fldCharType="end"/>
      </w:r>
    </w:p>
    <w:p w14:paraId="70416429">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_Toc5872 </w:instrText>
      </w:r>
      <w:r>
        <w:rPr>
          <w:rFonts w:hint="default" w:ascii="Times New Roman" w:hAnsi="Times New Roman" w:cs="Times New Roman"/>
          <w:highlight w:val="yellow"/>
        </w:rPr>
        <w:fldChar w:fldCharType="separate"/>
      </w:r>
      <w:r>
        <w:rPr>
          <w:rFonts w:hint="default"/>
        </w:rPr>
        <w:t>6.3. 生态环境影响分析</w:t>
      </w:r>
      <w:r>
        <w:tab/>
      </w:r>
      <w:r>
        <w:fldChar w:fldCharType="begin"/>
      </w:r>
      <w:r>
        <w:instrText xml:space="preserve"> PAGEREF _Toc5872 \h </w:instrText>
      </w:r>
      <w:r>
        <w:fldChar w:fldCharType="separate"/>
      </w:r>
      <w:r>
        <w:t>149</w:t>
      </w:r>
      <w:r>
        <w:fldChar w:fldCharType="end"/>
      </w:r>
      <w:r>
        <w:rPr>
          <w:rFonts w:hint="default" w:ascii="Times New Roman" w:hAnsi="Times New Roman" w:cs="Times New Roman"/>
          <w:color w:val="auto"/>
          <w:highlight w:val="yellow"/>
          <w:u w:val="none" w:color="auto"/>
        </w:rPr>
        <w:fldChar w:fldCharType="end"/>
      </w:r>
    </w:p>
    <w:p w14:paraId="6AD2F171">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_Toc1197 </w:instrText>
      </w:r>
      <w:r>
        <w:rPr>
          <w:rFonts w:hint="default" w:ascii="Times New Roman" w:hAnsi="Times New Roman" w:cs="Times New Roman"/>
          <w:highlight w:val="yellow"/>
        </w:rPr>
        <w:fldChar w:fldCharType="separate"/>
      </w:r>
      <w:r>
        <w:rPr>
          <w:rFonts w:hint="default" w:ascii="Times New Roman" w:hAnsi="Times New Roman" w:cs="Times New Roman"/>
          <w:szCs w:val="30"/>
        </w:rPr>
        <w:t xml:space="preserve">6.4. </w:t>
      </w:r>
      <w:r>
        <w:rPr>
          <w:rFonts w:hint="default" w:ascii="Times New Roman" w:hAnsi="Times New Roman" w:cs="Times New Roman"/>
          <w:szCs w:val="30"/>
          <w:highlight w:val="none"/>
        </w:rPr>
        <w:t>风险分析</w:t>
      </w:r>
      <w:r>
        <w:tab/>
      </w:r>
      <w:r>
        <w:fldChar w:fldCharType="begin"/>
      </w:r>
      <w:r>
        <w:instrText xml:space="preserve"> PAGEREF _Toc1197 \h </w:instrText>
      </w:r>
      <w:r>
        <w:fldChar w:fldCharType="separate"/>
      </w:r>
      <w:r>
        <w:t>150</w:t>
      </w:r>
      <w:r>
        <w:fldChar w:fldCharType="end"/>
      </w:r>
      <w:r>
        <w:rPr>
          <w:rFonts w:hint="default" w:ascii="Times New Roman" w:hAnsi="Times New Roman" w:cs="Times New Roman"/>
          <w:color w:val="auto"/>
          <w:highlight w:val="yellow"/>
          <w:u w:val="none" w:color="auto"/>
        </w:rPr>
        <w:fldChar w:fldCharType="end"/>
      </w:r>
    </w:p>
    <w:p w14:paraId="5961056D">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_Toc29336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6.5. </w:t>
      </w:r>
      <w:r>
        <w:rPr>
          <w:rFonts w:hint="default" w:ascii="Times New Roman" w:hAnsi="Times New Roman" w:cs="Times New Roman"/>
          <w:highlight w:val="none"/>
        </w:rPr>
        <w:t>总量控制指标</w:t>
      </w:r>
      <w:r>
        <w:tab/>
      </w:r>
      <w:r>
        <w:fldChar w:fldCharType="begin"/>
      </w:r>
      <w:r>
        <w:instrText xml:space="preserve"> PAGEREF _Toc29336 \h </w:instrText>
      </w:r>
      <w:r>
        <w:fldChar w:fldCharType="separate"/>
      </w:r>
      <w:r>
        <w:t>166</w:t>
      </w:r>
      <w:r>
        <w:fldChar w:fldCharType="end"/>
      </w:r>
      <w:r>
        <w:rPr>
          <w:rFonts w:hint="default" w:ascii="Times New Roman" w:hAnsi="Times New Roman" w:cs="Times New Roman"/>
          <w:color w:val="auto"/>
          <w:highlight w:val="yellow"/>
          <w:u w:val="none" w:color="auto"/>
        </w:rPr>
        <w:fldChar w:fldCharType="end"/>
      </w:r>
    </w:p>
    <w:p w14:paraId="328E70D0">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_Toc13660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 </w:t>
      </w:r>
      <w:r>
        <w:rPr>
          <w:rFonts w:hint="default" w:ascii="Times New Roman" w:hAnsi="Times New Roman" w:cs="Times New Roman"/>
          <w:highlight w:val="none"/>
        </w:rPr>
        <w:t>污染防治措施及可行性分析</w:t>
      </w:r>
      <w:r>
        <w:tab/>
      </w:r>
      <w:r>
        <w:fldChar w:fldCharType="begin"/>
      </w:r>
      <w:r>
        <w:instrText xml:space="preserve"> PAGEREF _Toc13660 \h </w:instrText>
      </w:r>
      <w:r>
        <w:fldChar w:fldCharType="separate"/>
      </w:r>
      <w:r>
        <w:t>167</w:t>
      </w:r>
      <w:r>
        <w:fldChar w:fldCharType="end"/>
      </w:r>
      <w:r>
        <w:rPr>
          <w:rFonts w:hint="default" w:ascii="Times New Roman" w:hAnsi="Times New Roman" w:cs="Times New Roman"/>
          <w:color w:val="auto"/>
          <w:highlight w:val="yellow"/>
          <w:u w:val="none" w:color="auto"/>
        </w:rPr>
        <w:fldChar w:fldCharType="end"/>
      </w:r>
    </w:p>
    <w:p w14:paraId="078587C0">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_Toc29106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7.1. </w:t>
      </w:r>
      <w:r>
        <w:rPr>
          <w:rFonts w:hint="default" w:ascii="Times New Roman" w:hAnsi="Times New Roman" w:cs="Times New Roman"/>
          <w:highlight w:val="none"/>
        </w:rPr>
        <w:t>施工期环境保护措施可行性分析</w:t>
      </w:r>
      <w:r>
        <w:tab/>
      </w:r>
      <w:r>
        <w:fldChar w:fldCharType="begin"/>
      </w:r>
      <w:r>
        <w:instrText xml:space="preserve"> PAGEREF _Toc29106 \h </w:instrText>
      </w:r>
      <w:r>
        <w:fldChar w:fldCharType="separate"/>
      </w:r>
      <w:r>
        <w:t>167</w:t>
      </w:r>
      <w:r>
        <w:fldChar w:fldCharType="end"/>
      </w:r>
      <w:r>
        <w:rPr>
          <w:rFonts w:hint="default" w:ascii="Times New Roman" w:hAnsi="Times New Roman" w:cs="Times New Roman"/>
          <w:color w:val="auto"/>
          <w:highlight w:val="yellow"/>
          <w:u w:val="none" w:color="auto"/>
        </w:rPr>
        <w:fldChar w:fldCharType="end"/>
      </w:r>
    </w:p>
    <w:p w14:paraId="126C466A">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_Toc28733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7.2. </w:t>
      </w:r>
      <w:r>
        <w:rPr>
          <w:rFonts w:hint="default" w:ascii="Times New Roman" w:hAnsi="Times New Roman" w:cs="Times New Roman"/>
          <w:highlight w:val="none"/>
        </w:rPr>
        <w:t>营运期大气环境污染防治措施及可行性</w:t>
      </w:r>
      <w:r>
        <w:tab/>
      </w:r>
      <w:r>
        <w:fldChar w:fldCharType="begin"/>
      </w:r>
      <w:r>
        <w:instrText xml:space="preserve"> PAGEREF _Toc28733 \h </w:instrText>
      </w:r>
      <w:r>
        <w:fldChar w:fldCharType="separate"/>
      </w:r>
      <w:r>
        <w:t>170</w:t>
      </w:r>
      <w:r>
        <w:fldChar w:fldCharType="end"/>
      </w:r>
      <w:r>
        <w:rPr>
          <w:rFonts w:hint="default" w:ascii="Times New Roman" w:hAnsi="Times New Roman" w:cs="Times New Roman"/>
          <w:color w:val="auto"/>
          <w:highlight w:val="yellow"/>
          <w:u w:val="none" w:color="auto"/>
        </w:rPr>
        <w:fldChar w:fldCharType="end"/>
      </w:r>
    </w:p>
    <w:p w14:paraId="7BD50877">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_Toc21929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7.3. </w:t>
      </w:r>
      <w:r>
        <w:rPr>
          <w:rFonts w:hint="default" w:ascii="Times New Roman" w:hAnsi="Times New Roman" w:cs="Times New Roman"/>
          <w:highlight w:val="none"/>
        </w:rPr>
        <w:t>营运期地表水环境污染防治措施及可行性分析</w:t>
      </w:r>
      <w:r>
        <w:tab/>
      </w:r>
      <w:r>
        <w:fldChar w:fldCharType="begin"/>
      </w:r>
      <w:r>
        <w:instrText xml:space="preserve"> PAGEREF _Toc21929 \h </w:instrText>
      </w:r>
      <w:r>
        <w:fldChar w:fldCharType="separate"/>
      </w:r>
      <w:r>
        <w:t>173</w:t>
      </w:r>
      <w:r>
        <w:fldChar w:fldCharType="end"/>
      </w:r>
      <w:r>
        <w:rPr>
          <w:rFonts w:hint="default" w:ascii="Times New Roman" w:hAnsi="Times New Roman" w:cs="Times New Roman"/>
          <w:color w:val="auto"/>
          <w:highlight w:val="yellow"/>
          <w:u w:val="none" w:color="auto"/>
        </w:rPr>
        <w:fldChar w:fldCharType="end"/>
      </w:r>
    </w:p>
    <w:p w14:paraId="4739502D">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_Toc20266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7.4. </w:t>
      </w:r>
      <w:r>
        <w:rPr>
          <w:rFonts w:hint="default" w:ascii="Times New Roman" w:hAnsi="Times New Roman" w:cs="Times New Roman"/>
          <w:highlight w:val="none"/>
        </w:rPr>
        <w:t>营运期地下水污染防治措施及可行性分析</w:t>
      </w:r>
      <w:r>
        <w:tab/>
      </w:r>
      <w:r>
        <w:fldChar w:fldCharType="begin"/>
      </w:r>
      <w:r>
        <w:instrText xml:space="preserve"> PAGEREF _Toc20266 \h </w:instrText>
      </w:r>
      <w:r>
        <w:fldChar w:fldCharType="separate"/>
      </w:r>
      <w:r>
        <w:t>176</w:t>
      </w:r>
      <w:r>
        <w:fldChar w:fldCharType="end"/>
      </w:r>
      <w:r>
        <w:rPr>
          <w:rFonts w:hint="default" w:ascii="Times New Roman" w:hAnsi="Times New Roman" w:cs="Times New Roman"/>
          <w:color w:val="auto"/>
          <w:highlight w:val="yellow"/>
          <w:u w:val="none" w:color="auto"/>
        </w:rPr>
        <w:fldChar w:fldCharType="end"/>
      </w:r>
    </w:p>
    <w:p w14:paraId="6821AEE0">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_Toc16008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7.5. </w:t>
      </w:r>
      <w:r>
        <w:rPr>
          <w:rFonts w:hint="default" w:ascii="Times New Roman" w:hAnsi="Times New Roman" w:cs="Times New Roman"/>
          <w:highlight w:val="none"/>
        </w:rPr>
        <w:t>营运期声环境污染防治措施及可行性分析</w:t>
      </w:r>
      <w:r>
        <w:tab/>
      </w:r>
      <w:r>
        <w:fldChar w:fldCharType="begin"/>
      </w:r>
      <w:r>
        <w:instrText xml:space="preserve"> PAGEREF _Toc16008 \h </w:instrText>
      </w:r>
      <w:r>
        <w:fldChar w:fldCharType="separate"/>
      </w:r>
      <w:r>
        <w:t>178</w:t>
      </w:r>
      <w:r>
        <w:fldChar w:fldCharType="end"/>
      </w:r>
      <w:r>
        <w:rPr>
          <w:rFonts w:hint="default" w:ascii="Times New Roman" w:hAnsi="Times New Roman" w:cs="Times New Roman"/>
          <w:color w:val="auto"/>
          <w:highlight w:val="yellow"/>
          <w:u w:val="none" w:color="auto"/>
        </w:rPr>
        <w:fldChar w:fldCharType="end"/>
      </w:r>
    </w:p>
    <w:p w14:paraId="008F6518">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_Toc4408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7.6. </w:t>
      </w:r>
      <w:r>
        <w:rPr>
          <w:rFonts w:hint="default" w:ascii="Times New Roman" w:hAnsi="Times New Roman" w:cs="Times New Roman"/>
          <w:highlight w:val="none"/>
        </w:rPr>
        <w:t>营运期固体废物污染防治措施及可行性分析</w:t>
      </w:r>
      <w:r>
        <w:tab/>
      </w:r>
      <w:r>
        <w:fldChar w:fldCharType="begin"/>
      </w:r>
      <w:r>
        <w:instrText xml:space="preserve"> PAGEREF _Toc4408 \h </w:instrText>
      </w:r>
      <w:r>
        <w:fldChar w:fldCharType="separate"/>
      </w:r>
      <w:r>
        <w:t>179</w:t>
      </w:r>
      <w:r>
        <w:fldChar w:fldCharType="end"/>
      </w:r>
      <w:r>
        <w:rPr>
          <w:rFonts w:hint="default" w:ascii="Times New Roman" w:hAnsi="Times New Roman" w:cs="Times New Roman"/>
          <w:color w:val="auto"/>
          <w:highlight w:val="yellow"/>
          <w:u w:val="none" w:color="auto"/>
        </w:rPr>
        <w:fldChar w:fldCharType="end"/>
      </w:r>
    </w:p>
    <w:p w14:paraId="0568B8D1">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_Toc22911 </w:instrText>
      </w:r>
      <w:r>
        <w:rPr>
          <w:rFonts w:hint="default" w:ascii="Times New Roman" w:hAnsi="Times New Roman" w:cs="Times New Roman"/>
          <w:highlight w:val="yellow"/>
        </w:rPr>
        <w:fldChar w:fldCharType="separate"/>
      </w:r>
      <w:r>
        <w:rPr>
          <w:rFonts w:hint="default" w:ascii="Times New Roman" w:hAnsi="Times New Roman" w:cs="Times New Roman"/>
          <w:kern w:val="0"/>
          <w:szCs w:val="32"/>
        </w:rPr>
        <w:t xml:space="preserve">8. </w:t>
      </w:r>
      <w:r>
        <w:rPr>
          <w:rFonts w:hint="default" w:ascii="Times New Roman" w:hAnsi="Times New Roman" w:cs="Times New Roman"/>
          <w:kern w:val="0"/>
          <w:szCs w:val="32"/>
          <w:highlight w:val="none"/>
        </w:rPr>
        <w:t>环境影响经济损益分析</w:t>
      </w:r>
      <w:r>
        <w:tab/>
      </w:r>
      <w:r>
        <w:fldChar w:fldCharType="begin"/>
      </w:r>
      <w:r>
        <w:instrText xml:space="preserve"> PAGEREF _Toc22911 \h </w:instrText>
      </w:r>
      <w:r>
        <w:fldChar w:fldCharType="separate"/>
      </w:r>
      <w:r>
        <w:t>181</w:t>
      </w:r>
      <w:r>
        <w:fldChar w:fldCharType="end"/>
      </w:r>
      <w:r>
        <w:rPr>
          <w:rFonts w:hint="default" w:ascii="Times New Roman" w:hAnsi="Times New Roman" w:cs="Times New Roman"/>
          <w:color w:val="auto"/>
          <w:highlight w:val="yellow"/>
          <w:u w:val="none" w:color="auto"/>
        </w:rPr>
        <w:fldChar w:fldCharType="end"/>
      </w:r>
    </w:p>
    <w:p w14:paraId="0D52B2FB">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_Toc6041 </w:instrText>
      </w:r>
      <w:r>
        <w:rPr>
          <w:rFonts w:hint="default" w:ascii="Times New Roman" w:hAnsi="Times New Roman" w:cs="Times New Roman"/>
          <w:highlight w:val="yellow"/>
        </w:rPr>
        <w:fldChar w:fldCharType="separate"/>
      </w:r>
      <w:r>
        <w:rPr>
          <w:rFonts w:hint="default" w:ascii="Times New Roman" w:hAnsi="Times New Roman" w:cs="Times New Roman"/>
          <w:szCs w:val="30"/>
        </w:rPr>
        <w:t xml:space="preserve">8.1. </w:t>
      </w:r>
      <w:r>
        <w:rPr>
          <w:rFonts w:hint="default" w:ascii="Times New Roman" w:hAnsi="Times New Roman" w:cs="Times New Roman"/>
          <w:szCs w:val="30"/>
          <w:highlight w:val="none"/>
        </w:rPr>
        <w:t>环保投资分析</w:t>
      </w:r>
      <w:r>
        <w:tab/>
      </w:r>
      <w:r>
        <w:fldChar w:fldCharType="begin"/>
      </w:r>
      <w:r>
        <w:instrText xml:space="preserve"> PAGEREF _Toc6041 \h </w:instrText>
      </w:r>
      <w:r>
        <w:fldChar w:fldCharType="separate"/>
      </w:r>
      <w:r>
        <w:t>181</w:t>
      </w:r>
      <w:r>
        <w:fldChar w:fldCharType="end"/>
      </w:r>
      <w:r>
        <w:rPr>
          <w:rFonts w:hint="default" w:ascii="Times New Roman" w:hAnsi="Times New Roman" w:cs="Times New Roman"/>
          <w:color w:val="auto"/>
          <w:highlight w:val="yellow"/>
          <w:u w:val="none" w:color="auto"/>
        </w:rPr>
        <w:fldChar w:fldCharType="end"/>
      </w:r>
    </w:p>
    <w:p w14:paraId="732405E6">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_Toc20651 </w:instrText>
      </w:r>
      <w:r>
        <w:rPr>
          <w:rFonts w:hint="default" w:ascii="Times New Roman" w:hAnsi="Times New Roman" w:cs="Times New Roman"/>
          <w:highlight w:val="yellow"/>
        </w:rPr>
        <w:fldChar w:fldCharType="separate"/>
      </w:r>
      <w:r>
        <w:rPr>
          <w:rFonts w:hint="default" w:ascii="Times New Roman" w:hAnsi="Times New Roman" w:cs="Times New Roman"/>
          <w:szCs w:val="30"/>
        </w:rPr>
        <w:t xml:space="preserve">8.2. </w:t>
      </w:r>
      <w:r>
        <w:rPr>
          <w:rFonts w:hint="default"/>
          <w:highlight w:val="none"/>
        </w:rPr>
        <w:t>环境</w:t>
      </w:r>
      <w:r>
        <w:rPr>
          <w:rFonts w:hint="default" w:ascii="Times New Roman" w:hAnsi="Times New Roman" w:cs="Times New Roman"/>
          <w:szCs w:val="30"/>
          <w:highlight w:val="none"/>
        </w:rPr>
        <w:t>经济效益分析</w:t>
      </w:r>
      <w:r>
        <w:tab/>
      </w:r>
      <w:r>
        <w:fldChar w:fldCharType="begin"/>
      </w:r>
      <w:r>
        <w:instrText xml:space="preserve"> PAGEREF _Toc20651 \h </w:instrText>
      </w:r>
      <w:r>
        <w:fldChar w:fldCharType="separate"/>
      </w:r>
      <w:r>
        <w:t>182</w:t>
      </w:r>
      <w:r>
        <w:fldChar w:fldCharType="end"/>
      </w:r>
      <w:r>
        <w:rPr>
          <w:rFonts w:hint="default" w:ascii="Times New Roman" w:hAnsi="Times New Roman" w:cs="Times New Roman"/>
          <w:color w:val="auto"/>
          <w:highlight w:val="yellow"/>
          <w:u w:val="none" w:color="auto"/>
        </w:rPr>
        <w:fldChar w:fldCharType="end"/>
      </w:r>
    </w:p>
    <w:p w14:paraId="04DEDD1B">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_Toc25287 </w:instrText>
      </w:r>
      <w:r>
        <w:rPr>
          <w:rFonts w:hint="default" w:ascii="Times New Roman" w:hAnsi="Times New Roman" w:cs="Times New Roman"/>
          <w:highlight w:val="yellow"/>
        </w:rPr>
        <w:fldChar w:fldCharType="separate"/>
      </w:r>
      <w:r>
        <w:rPr>
          <w:rFonts w:hint="default"/>
        </w:rPr>
        <w:t>8.3. 小结</w:t>
      </w:r>
      <w:r>
        <w:tab/>
      </w:r>
      <w:r>
        <w:fldChar w:fldCharType="begin"/>
      </w:r>
      <w:r>
        <w:instrText xml:space="preserve"> PAGEREF _Toc25287 \h </w:instrText>
      </w:r>
      <w:r>
        <w:fldChar w:fldCharType="separate"/>
      </w:r>
      <w:r>
        <w:t>182</w:t>
      </w:r>
      <w:r>
        <w:fldChar w:fldCharType="end"/>
      </w:r>
      <w:r>
        <w:rPr>
          <w:rFonts w:hint="default" w:ascii="Times New Roman" w:hAnsi="Times New Roman" w:cs="Times New Roman"/>
          <w:color w:val="auto"/>
          <w:highlight w:val="yellow"/>
          <w:u w:val="none" w:color="auto"/>
        </w:rPr>
        <w:fldChar w:fldCharType="end"/>
      </w:r>
    </w:p>
    <w:p w14:paraId="6D6EF404">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_Toc28201 </w:instrText>
      </w:r>
      <w:r>
        <w:rPr>
          <w:rFonts w:hint="default" w:ascii="Times New Roman" w:hAnsi="Times New Roman" w:cs="Times New Roman"/>
          <w:highlight w:val="yellow"/>
        </w:rPr>
        <w:fldChar w:fldCharType="separate"/>
      </w:r>
      <w:r>
        <w:rPr>
          <w:rFonts w:hint="default"/>
        </w:rPr>
        <w:t>9. 环境管理与监测计划</w:t>
      </w:r>
      <w:r>
        <w:tab/>
      </w:r>
      <w:r>
        <w:fldChar w:fldCharType="begin"/>
      </w:r>
      <w:r>
        <w:instrText xml:space="preserve"> PAGEREF _Toc28201 \h </w:instrText>
      </w:r>
      <w:r>
        <w:fldChar w:fldCharType="separate"/>
      </w:r>
      <w:r>
        <w:t>184</w:t>
      </w:r>
      <w:r>
        <w:fldChar w:fldCharType="end"/>
      </w:r>
      <w:r>
        <w:rPr>
          <w:rFonts w:hint="default" w:ascii="Times New Roman" w:hAnsi="Times New Roman" w:cs="Times New Roman"/>
          <w:color w:val="auto"/>
          <w:highlight w:val="yellow"/>
          <w:u w:val="none" w:color="auto"/>
        </w:rPr>
        <w:fldChar w:fldCharType="end"/>
      </w:r>
    </w:p>
    <w:p w14:paraId="5588782A">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_Toc22988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9.1. </w:t>
      </w:r>
      <w:r>
        <w:rPr>
          <w:rFonts w:hint="default" w:ascii="Times New Roman" w:hAnsi="Times New Roman" w:cs="Times New Roman"/>
          <w:highlight w:val="none"/>
        </w:rPr>
        <w:t>环境管理</w:t>
      </w:r>
      <w:r>
        <w:tab/>
      </w:r>
      <w:r>
        <w:fldChar w:fldCharType="begin"/>
      </w:r>
      <w:r>
        <w:instrText xml:space="preserve"> PAGEREF _Toc22988 \h </w:instrText>
      </w:r>
      <w:r>
        <w:fldChar w:fldCharType="separate"/>
      </w:r>
      <w:r>
        <w:t>184</w:t>
      </w:r>
      <w:r>
        <w:fldChar w:fldCharType="end"/>
      </w:r>
      <w:r>
        <w:rPr>
          <w:rFonts w:hint="default" w:ascii="Times New Roman" w:hAnsi="Times New Roman" w:cs="Times New Roman"/>
          <w:color w:val="auto"/>
          <w:highlight w:val="yellow"/>
          <w:u w:val="none" w:color="auto"/>
        </w:rPr>
        <w:fldChar w:fldCharType="end"/>
      </w:r>
    </w:p>
    <w:p w14:paraId="5BFBC076">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_Toc13500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9.2. </w:t>
      </w:r>
      <w:r>
        <w:rPr>
          <w:rFonts w:hint="default" w:ascii="Times New Roman" w:hAnsi="Times New Roman" w:cs="Times New Roman"/>
          <w:highlight w:val="none"/>
        </w:rPr>
        <w:t>环境监测计划</w:t>
      </w:r>
      <w:r>
        <w:tab/>
      </w:r>
      <w:r>
        <w:fldChar w:fldCharType="begin"/>
      </w:r>
      <w:r>
        <w:instrText xml:space="preserve"> PAGEREF _Toc13500 \h </w:instrText>
      </w:r>
      <w:r>
        <w:fldChar w:fldCharType="separate"/>
      </w:r>
      <w:r>
        <w:t>186</w:t>
      </w:r>
      <w:r>
        <w:fldChar w:fldCharType="end"/>
      </w:r>
      <w:r>
        <w:rPr>
          <w:rFonts w:hint="default" w:ascii="Times New Roman" w:hAnsi="Times New Roman" w:cs="Times New Roman"/>
          <w:color w:val="auto"/>
          <w:highlight w:val="yellow"/>
          <w:u w:val="none" w:color="auto"/>
        </w:rPr>
        <w:fldChar w:fldCharType="end"/>
      </w:r>
    </w:p>
    <w:p w14:paraId="558D2A16">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_Toc13523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9.3. </w:t>
      </w:r>
      <w:r>
        <w:rPr>
          <w:rFonts w:hint="default" w:ascii="Times New Roman" w:hAnsi="Times New Roman" w:cs="Times New Roman"/>
          <w:highlight w:val="none"/>
        </w:rPr>
        <w:t>竣工环境保护验收</w:t>
      </w:r>
      <w:r>
        <w:tab/>
      </w:r>
      <w:r>
        <w:fldChar w:fldCharType="begin"/>
      </w:r>
      <w:r>
        <w:instrText xml:space="preserve"> PAGEREF _Toc13523 \h </w:instrText>
      </w:r>
      <w:r>
        <w:fldChar w:fldCharType="separate"/>
      </w:r>
      <w:r>
        <w:t>188</w:t>
      </w:r>
      <w:r>
        <w:fldChar w:fldCharType="end"/>
      </w:r>
      <w:r>
        <w:rPr>
          <w:rFonts w:hint="default" w:ascii="Times New Roman" w:hAnsi="Times New Roman" w:cs="Times New Roman"/>
          <w:color w:val="auto"/>
          <w:highlight w:val="yellow"/>
          <w:u w:val="none" w:color="auto"/>
        </w:rPr>
        <w:fldChar w:fldCharType="end"/>
      </w:r>
    </w:p>
    <w:p w14:paraId="1F37E3B8">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_Toc645 </w:instrText>
      </w:r>
      <w:r>
        <w:rPr>
          <w:rFonts w:hint="default" w:ascii="Times New Roman" w:hAnsi="Times New Roman" w:cs="Times New Roman"/>
          <w:highlight w:val="yellow"/>
        </w:rPr>
        <w:fldChar w:fldCharType="separate"/>
      </w:r>
      <w:r>
        <w:rPr>
          <w:rFonts w:hint="default"/>
        </w:rPr>
        <w:t>9.4. 排污口规范化管理</w:t>
      </w:r>
      <w:r>
        <w:tab/>
      </w:r>
      <w:r>
        <w:fldChar w:fldCharType="begin"/>
      </w:r>
      <w:r>
        <w:instrText xml:space="preserve"> PAGEREF _Toc645 \h </w:instrText>
      </w:r>
      <w:r>
        <w:fldChar w:fldCharType="separate"/>
      </w:r>
      <w:r>
        <w:t>190</w:t>
      </w:r>
      <w:r>
        <w:fldChar w:fldCharType="end"/>
      </w:r>
      <w:r>
        <w:rPr>
          <w:rFonts w:hint="default" w:ascii="Times New Roman" w:hAnsi="Times New Roman" w:cs="Times New Roman"/>
          <w:color w:val="auto"/>
          <w:highlight w:val="yellow"/>
          <w:u w:val="none" w:color="auto"/>
        </w:rPr>
        <w:fldChar w:fldCharType="end"/>
      </w:r>
    </w:p>
    <w:p w14:paraId="13402504">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_Toc13984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9.5. </w:t>
      </w:r>
      <w:r>
        <w:rPr>
          <w:rFonts w:hint="default" w:ascii="Times New Roman" w:hAnsi="Times New Roman" w:cs="Times New Roman"/>
          <w:highlight w:val="none"/>
        </w:rPr>
        <w:t>信息公开</w:t>
      </w:r>
      <w:r>
        <w:tab/>
      </w:r>
      <w:r>
        <w:fldChar w:fldCharType="begin"/>
      </w:r>
      <w:r>
        <w:instrText xml:space="preserve"> PAGEREF _Toc13984 \h </w:instrText>
      </w:r>
      <w:r>
        <w:fldChar w:fldCharType="separate"/>
      </w:r>
      <w:r>
        <w:t>193</w:t>
      </w:r>
      <w:r>
        <w:fldChar w:fldCharType="end"/>
      </w:r>
      <w:r>
        <w:rPr>
          <w:rFonts w:hint="default" w:ascii="Times New Roman" w:hAnsi="Times New Roman" w:cs="Times New Roman"/>
          <w:color w:val="auto"/>
          <w:highlight w:val="yellow"/>
          <w:u w:val="none" w:color="auto"/>
        </w:rPr>
        <w:fldChar w:fldCharType="end"/>
      </w:r>
    </w:p>
    <w:p w14:paraId="15C27E59">
      <w:pPr>
        <w:pStyle w:val="22"/>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_Toc27265 </w:instrText>
      </w:r>
      <w:r>
        <w:rPr>
          <w:rFonts w:hint="default" w:ascii="Times New Roman" w:hAnsi="Times New Roman" w:cs="Times New Roman"/>
          <w:highlight w:val="yellow"/>
        </w:rPr>
        <w:fldChar w:fldCharType="separate"/>
      </w:r>
      <w:r>
        <w:rPr>
          <w:rFonts w:hint="default" w:ascii="Times New Roman" w:hAnsi="Times New Roman" w:cs="Times New Roman"/>
          <w:kern w:val="0"/>
          <w:szCs w:val="32"/>
        </w:rPr>
        <w:t xml:space="preserve">10. </w:t>
      </w:r>
      <w:r>
        <w:rPr>
          <w:rFonts w:hint="default" w:ascii="Times New Roman" w:hAnsi="Times New Roman" w:cs="Times New Roman"/>
          <w:kern w:val="0"/>
          <w:szCs w:val="32"/>
          <w:highlight w:val="none"/>
        </w:rPr>
        <w:t>结论与建议</w:t>
      </w:r>
      <w:r>
        <w:tab/>
      </w:r>
      <w:r>
        <w:fldChar w:fldCharType="begin"/>
      </w:r>
      <w:r>
        <w:instrText xml:space="preserve"> PAGEREF _Toc27265 \h </w:instrText>
      </w:r>
      <w:r>
        <w:fldChar w:fldCharType="separate"/>
      </w:r>
      <w:r>
        <w:t>194</w:t>
      </w:r>
      <w:r>
        <w:fldChar w:fldCharType="end"/>
      </w:r>
      <w:r>
        <w:rPr>
          <w:rFonts w:hint="default" w:ascii="Times New Roman" w:hAnsi="Times New Roman" w:cs="Times New Roman"/>
          <w:color w:val="auto"/>
          <w:highlight w:val="yellow"/>
          <w:u w:val="none" w:color="auto"/>
        </w:rPr>
        <w:fldChar w:fldCharType="end"/>
      </w:r>
    </w:p>
    <w:p w14:paraId="4B90DE70">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_Toc22704 </w:instrText>
      </w:r>
      <w:r>
        <w:rPr>
          <w:rFonts w:hint="default" w:ascii="Times New Roman" w:hAnsi="Times New Roman" w:cs="Times New Roman"/>
          <w:highlight w:val="yellow"/>
        </w:rPr>
        <w:fldChar w:fldCharType="separate"/>
      </w:r>
      <w:r>
        <w:rPr>
          <w:rFonts w:hint="default" w:ascii="Times New Roman" w:hAnsi="Times New Roman" w:cs="Times New Roman"/>
          <w:szCs w:val="30"/>
        </w:rPr>
        <w:t xml:space="preserve">10.1. </w:t>
      </w:r>
      <w:r>
        <w:rPr>
          <w:rFonts w:hint="default" w:ascii="Times New Roman" w:hAnsi="Times New Roman" w:cs="Times New Roman"/>
          <w:szCs w:val="30"/>
          <w:highlight w:val="none"/>
        </w:rPr>
        <w:t>结论</w:t>
      </w:r>
      <w:r>
        <w:tab/>
      </w:r>
      <w:r>
        <w:fldChar w:fldCharType="begin"/>
      </w:r>
      <w:r>
        <w:instrText xml:space="preserve"> PAGEREF _Toc22704 \h </w:instrText>
      </w:r>
      <w:r>
        <w:fldChar w:fldCharType="separate"/>
      </w:r>
      <w:r>
        <w:t>194</w:t>
      </w:r>
      <w:r>
        <w:fldChar w:fldCharType="end"/>
      </w:r>
      <w:r>
        <w:rPr>
          <w:rFonts w:hint="default" w:ascii="Times New Roman" w:hAnsi="Times New Roman" w:cs="Times New Roman"/>
          <w:color w:val="auto"/>
          <w:highlight w:val="yellow"/>
          <w:u w:val="none" w:color="auto"/>
        </w:rPr>
        <w:fldChar w:fldCharType="end"/>
      </w:r>
    </w:p>
    <w:p w14:paraId="72C88812">
      <w:pPr>
        <w:pStyle w:val="26"/>
        <w:tabs>
          <w:tab w:val="right" w:leader="dot" w:pos="8312"/>
        </w:tabs>
      </w:pPr>
      <w:r>
        <w:rPr>
          <w:rFonts w:hint="default" w:ascii="Times New Roman" w:hAnsi="Times New Roman" w:cs="Times New Roman"/>
          <w:color w:val="auto"/>
          <w:highlight w:val="yellow"/>
          <w:u w:val="none" w:color="auto"/>
        </w:rPr>
        <w:fldChar w:fldCharType="begin"/>
      </w:r>
      <w:r>
        <w:rPr>
          <w:rFonts w:hint="default" w:ascii="Times New Roman" w:hAnsi="Times New Roman" w:cs="Times New Roman"/>
          <w:highlight w:val="yellow"/>
        </w:rPr>
        <w:instrText xml:space="preserve"> HYPERLINK \l _Toc2463 </w:instrText>
      </w:r>
      <w:r>
        <w:rPr>
          <w:rFonts w:hint="default" w:ascii="Times New Roman" w:hAnsi="Times New Roman" w:cs="Times New Roman"/>
          <w:highlight w:val="yellow"/>
        </w:rPr>
        <w:fldChar w:fldCharType="separate"/>
      </w:r>
      <w:r>
        <w:rPr>
          <w:rFonts w:hint="default" w:ascii="Times New Roman" w:hAnsi="Times New Roman" w:cs="Times New Roman"/>
        </w:rPr>
        <w:t xml:space="preserve">10.2. </w:t>
      </w:r>
      <w:r>
        <w:rPr>
          <w:rFonts w:hint="default" w:ascii="Times New Roman" w:hAnsi="Times New Roman" w:cs="Times New Roman"/>
          <w:highlight w:val="none"/>
        </w:rPr>
        <w:t>建议</w:t>
      </w:r>
      <w:r>
        <w:tab/>
      </w:r>
      <w:r>
        <w:fldChar w:fldCharType="begin"/>
      </w:r>
      <w:r>
        <w:instrText xml:space="preserve"> PAGEREF _Toc2463 \h </w:instrText>
      </w:r>
      <w:r>
        <w:fldChar w:fldCharType="separate"/>
      </w:r>
      <w:r>
        <w:t>198</w:t>
      </w:r>
      <w:r>
        <w:fldChar w:fldCharType="end"/>
      </w:r>
      <w:r>
        <w:rPr>
          <w:rFonts w:hint="default" w:ascii="Times New Roman" w:hAnsi="Times New Roman" w:cs="Times New Roman"/>
          <w:color w:val="auto"/>
          <w:highlight w:val="yellow"/>
          <w:u w:val="none" w:color="auto"/>
        </w:rPr>
        <w:fldChar w:fldCharType="end"/>
      </w:r>
    </w:p>
    <w:p w14:paraId="25F5804A">
      <w:pPr>
        <w:ind w:firstLine="0" w:firstLineChars="0"/>
        <w:rPr>
          <w:rFonts w:hint="default" w:ascii="Times New Roman" w:hAnsi="Times New Roman" w:cs="Times New Roman"/>
          <w:color w:val="auto"/>
          <w:highlight w:val="yellow"/>
          <w:u w:val="none" w:color="auto"/>
        </w:rPr>
      </w:pPr>
      <w:r>
        <w:rPr>
          <w:rFonts w:hint="default" w:ascii="Times New Roman" w:hAnsi="Times New Roman" w:cs="Times New Roman"/>
          <w:color w:val="auto"/>
          <w:highlight w:val="yellow"/>
          <w:u w:val="none" w:color="auto"/>
        </w:rPr>
        <w:fldChar w:fldCharType="end"/>
      </w:r>
      <w:bookmarkStart w:id="9" w:name="_Toc15506"/>
    </w:p>
    <w:p w14:paraId="79B9E27C">
      <w:pPr>
        <w:bidi w:val="0"/>
        <w:rPr>
          <w:rFonts w:hint="default" w:ascii="Times New Roman" w:hAnsi="Times New Roman" w:cs="Times New Roman"/>
          <w:b/>
          <w:bCs/>
          <w:color w:val="auto"/>
          <w:highlight w:val="none"/>
          <w:u w:val="none" w:color="auto"/>
        </w:rPr>
      </w:pPr>
      <w:r>
        <w:rPr>
          <w:rFonts w:hint="default" w:ascii="Times New Roman" w:hAnsi="Times New Roman" w:cs="Times New Roman"/>
          <w:color w:val="auto"/>
          <w:highlight w:val="yellow"/>
          <w:u w:val="none" w:color="auto"/>
        </w:rPr>
        <w:br w:type="page"/>
      </w:r>
      <w:r>
        <w:rPr>
          <w:rFonts w:hint="default" w:ascii="Times New Roman" w:hAnsi="Times New Roman" w:cs="Times New Roman"/>
          <w:b/>
          <w:bCs/>
          <w:color w:val="auto"/>
          <w:highlight w:val="none"/>
          <w:u w:val="none" w:color="auto"/>
        </w:rPr>
        <w:t>附件</w:t>
      </w:r>
    </w:p>
    <w:p w14:paraId="0BDC969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附件1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委托函</w:t>
      </w:r>
    </w:p>
    <w:p w14:paraId="0211DED3">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附件2：</w:t>
      </w:r>
      <w:r>
        <w:rPr>
          <w:rFonts w:hint="default" w:ascii="Times New Roman" w:hAnsi="Times New Roman" w:eastAsia="宋体" w:cs="Times New Roman"/>
          <w:color w:val="auto"/>
          <w:highlight w:val="none"/>
          <w:u w:val="none" w:color="auto"/>
          <w:lang w:val="en-US" w:eastAsia="zh-CN"/>
        </w:rPr>
        <w:t>公司营业执照</w:t>
      </w:r>
    </w:p>
    <w:p w14:paraId="5FF16F9C">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附件3：关于佳海绿色食品产业园建设项目的联深意见（湘阴项目联深[2023]26号）</w:t>
      </w:r>
    </w:p>
    <w:p w14:paraId="4A24BD65">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附件4：</w:t>
      </w:r>
      <w:r>
        <w:rPr>
          <w:rFonts w:hint="default" w:ascii="Times New Roman" w:hAnsi="Times New Roman" w:eastAsia="宋体" w:cs="Times New Roman"/>
          <w:color w:val="auto"/>
          <w:highlight w:val="none"/>
          <w:u w:val="none" w:color="auto"/>
          <w:lang w:val="en-US" w:eastAsia="zh-CN"/>
        </w:rPr>
        <w:t>湘阴佳海绿色食品产业园建设项目</w:t>
      </w:r>
      <w:bookmarkStart w:id="10" w:name="OLE_LINK3"/>
      <w:r>
        <w:rPr>
          <w:rFonts w:hint="default" w:ascii="Times New Roman" w:hAnsi="Times New Roman" w:eastAsia="宋体" w:cs="Times New Roman"/>
          <w:color w:val="auto"/>
          <w:highlight w:val="none"/>
          <w:u w:val="none" w:color="auto"/>
          <w:lang w:val="en-US" w:eastAsia="zh-CN"/>
        </w:rPr>
        <w:t>一期</w:t>
      </w:r>
      <w:bookmarkEnd w:id="10"/>
      <w:r>
        <w:rPr>
          <w:rFonts w:hint="default" w:ascii="Times New Roman" w:hAnsi="Times New Roman" w:eastAsia="宋体" w:cs="Times New Roman"/>
          <w:color w:val="auto"/>
          <w:highlight w:val="none"/>
          <w:u w:val="none" w:color="auto"/>
          <w:lang w:val="en-US" w:eastAsia="zh-CN"/>
        </w:rPr>
        <w:t>备案的证明（湘阴高新审[2024]4号）</w:t>
      </w:r>
    </w:p>
    <w:p w14:paraId="6454B297">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附件5：</w:t>
      </w:r>
      <w:r>
        <w:rPr>
          <w:rFonts w:hint="default" w:ascii="Times New Roman" w:hAnsi="Times New Roman" w:eastAsia="宋体" w:cs="Times New Roman"/>
          <w:color w:val="auto"/>
          <w:highlight w:val="none"/>
          <w:u w:val="none" w:color="auto"/>
          <w:lang w:val="en-US" w:eastAsia="zh-CN"/>
        </w:rPr>
        <w:t>环境质量现状监测报告</w:t>
      </w:r>
    </w:p>
    <w:p w14:paraId="7049DA30">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附件6：</w:t>
      </w:r>
      <w:r>
        <w:rPr>
          <w:rFonts w:hint="default" w:ascii="Times New Roman" w:hAnsi="Times New Roman" w:eastAsia="宋体" w:cs="Times New Roman"/>
          <w:color w:val="auto"/>
          <w:highlight w:val="none"/>
          <w:u w:val="none" w:color="auto"/>
          <w:lang w:val="en-US" w:eastAsia="zh-CN"/>
        </w:rPr>
        <w:t>关于园区规划环评的审查意见</w:t>
      </w:r>
    </w:p>
    <w:p w14:paraId="28A2F74A">
      <w:pPr>
        <w:bidi w:val="0"/>
        <w:rPr>
          <w:rFonts w:hint="eastAsia"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附件</w:t>
      </w:r>
      <w:r>
        <w:rPr>
          <w:rFonts w:hint="default" w:ascii="Times New Roman" w:hAnsi="Times New Roman" w:cs="Times New Roman"/>
          <w:color w:val="auto"/>
          <w:highlight w:val="none"/>
          <w:u w:val="none" w:color="auto"/>
          <w:lang w:val="en-US" w:eastAsia="zh-CN"/>
        </w:rPr>
        <w:t>7</w:t>
      </w:r>
      <w:r>
        <w:rPr>
          <w:rFonts w:hint="default" w:ascii="Times New Roman" w:hAnsi="Times New Roman" w:eastAsia="宋体" w:cs="Times New Roman"/>
          <w:color w:val="auto"/>
          <w:highlight w:val="none"/>
          <w:u w:val="none" w:color="auto"/>
        </w:rPr>
        <w:t>：湘阴县自然资源局</w:t>
      </w:r>
      <w:r>
        <w:rPr>
          <w:rFonts w:hint="eastAsia" w:ascii="Times New Roman" w:hAnsi="Times New Roman" w:cs="Times New Roman"/>
          <w:color w:val="auto"/>
          <w:highlight w:val="none"/>
          <w:u w:val="none" w:color="auto"/>
          <w:lang w:val="en-US" w:eastAsia="zh-CN"/>
        </w:rPr>
        <w:t>文件</w:t>
      </w:r>
    </w:p>
    <w:p w14:paraId="34F253F4">
      <w:pP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附件8</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湘阴佳海产业园规划红线图</w:t>
      </w:r>
    </w:p>
    <w:p w14:paraId="61238C69">
      <w:pPr>
        <w:bidi w:val="0"/>
        <w:rPr>
          <w:rFonts w:hint="default" w:ascii="Times New Roman" w:hAnsi="Times New Roman" w:eastAsia="宋体" w:cs="Times New Roman"/>
          <w:color w:val="auto"/>
          <w:highlight w:val="none"/>
          <w:lang w:val="en-US" w:eastAsia="zh-CN"/>
        </w:rPr>
      </w:pPr>
    </w:p>
    <w:p w14:paraId="75A8F171">
      <w:pPr>
        <w:bidi w:val="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附图</w:t>
      </w:r>
    </w:p>
    <w:p w14:paraId="77CCB052">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附图1：项目地理位置图</w:t>
      </w:r>
    </w:p>
    <w:p w14:paraId="77A4E89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附图2：平面布置图</w:t>
      </w:r>
    </w:p>
    <w:p w14:paraId="4FD5AA9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default"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：环保目标分布图</w:t>
      </w:r>
    </w:p>
    <w:p w14:paraId="3E4EA0D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default" w:ascii="Times New Roman" w:hAnsi="Times New Roman" w:cs="Times New Roman"/>
          <w:color w:val="auto"/>
          <w:highlight w:val="none"/>
          <w:u w:val="none" w:color="auto"/>
          <w:lang w:val="en-US" w:eastAsia="zh-CN"/>
        </w:rPr>
        <w:t>4</w:t>
      </w:r>
      <w:r>
        <w:rPr>
          <w:rFonts w:hint="default" w:ascii="Times New Roman" w:hAnsi="Times New Roman" w:cs="Times New Roman"/>
          <w:color w:val="auto"/>
          <w:highlight w:val="none"/>
          <w:u w:val="none" w:color="auto"/>
        </w:rPr>
        <w:t>：分区防渗图</w:t>
      </w:r>
    </w:p>
    <w:p w14:paraId="14DB85D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附图5</w:t>
      </w: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监测布点</w:t>
      </w:r>
      <w:r>
        <w:rPr>
          <w:rFonts w:hint="default" w:ascii="Times New Roman" w:hAnsi="Times New Roman" w:cs="Times New Roman"/>
          <w:color w:val="auto"/>
          <w:highlight w:val="none"/>
          <w:u w:val="none" w:color="auto"/>
        </w:rPr>
        <w:t>图</w:t>
      </w:r>
    </w:p>
    <w:p w14:paraId="4DFE0A1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eastAsia"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 xml:space="preserve">  佳海产业园雨污管网分布图</w:t>
      </w:r>
    </w:p>
    <w:p w14:paraId="3E7414E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eastAsia"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片区产业布局规划图</w:t>
      </w:r>
    </w:p>
    <w:p w14:paraId="33D244C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eastAsia" w:ascii="Times New Roman" w:hAnsi="Times New Roman" w:cs="Times New Roman"/>
          <w:color w:val="auto"/>
          <w:highlight w:val="none"/>
          <w:u w:val="none" w:color="auto"/>
          <w:lang w:val="en-US" w:eastAsia="zh-CN"/>
        </w:rPr>
        <w:t>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片区污水工程规划图</w:t>
      </w:r>
    </w:p>
    <w:p w14:paraId="0837315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eastAsia" w:ascii="Times New Roman" w:hAnsi="Times New Roman" w:cs="Times New Roman"/>
          <w:color w:val="auto"/>
          <w:highlight w:val="none"/>
          <w:u w:val="none" w:color="auto"/>
          <w:lang w:val="en-US" w:eastAsia="zh-CN"/>
        </w:rPr>
        <w:t>9</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片区雨水工程规划图</w:t>
      </w:r>
    </w:p>
    <w:p w14:paraId="28E90104">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w:t>
      </w:r>
      <w:r>
        <w:rPr>
          <w:rFonts w:hint="eastAsia" w:ascii="Times New Roman" w:hAnsi="Times New Roman" w:cs="Times New Roman"/>
          <w:color w:val="auto"/>
          <w:highlight w:val="none"/>
          <w:u w:val="none" w:color="auto"/>
          <w:lang w:val="en-US" w:eastAsia="zh-CN"/>
        </w:rPr>
        <w:t>10</w:t>
      </w:r>
      <w:r>
        <w:rPr>
          <w:rFonts w:hint="default" w:ascii="Times New Roman" w:hAnsi="Times New Roman" w:cs="Times New Roman"/>
          <w:color w:val="auto"/>
          <w:highlight w:val="none"/>
          <w:u w:val="none" w:color="auto"/>
          <w:lang w:eastAsia="zh-CN"/>
        </w:rPr>
        <w:t>：本项目与-东湖湿地公园位置关系图</w:t>
      </w:r>
    </w:p>
    <w:p w14:paraId="0C19F80D">
      <w:pPr>
        <w:bidi w:val="0"/>
        <w:rPr>
          <w:rFonts w:hint="default" w:ascii="Times New Roman" w:hAnsi="Times New Roman" w:cs="Times New Roman"/>
          <w:color w:val="auto"/>
          <w:highlight w:val="none"/>
          <w:u w:val="none" w:color="auto"/>
          <w:lang w:val="en-US"/>
        </w:rPr>
      </w:pPr>
      <w:r>
        <w:rPr>
          <w:rFonts w:hint="default" w:ascii="Times New Roman" w:hAnsi="Times New Roman" w:cs="Times New Roman"/>
          <w:color w:val="auto"/>
          <w:highlight w:val="none"/>
          <w:u w:val="none" w:color="auto"/>
        </w:rPr>
        <w:t>附图1</w:t>
      </w:r>
      <w:r>
        <w:rPr>
          <w:rFonts w:hint="eastAsia"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区域水系图</w:t>
      </w:r>
    </w:p>
    <w:p w14:paraId="60A1710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附图1</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评价范围图</w:t>
      </w:r>
    </w:p>
    <w:p w14:paraId="7B49B257">
      <w:pPr>
        <w:bidi w:val="0"/>
        <w:rPr>
          <w:rFonts w:hint="default" w:ascii="Times New Roman" w:hAnsi="Times New Roman" w:eastAsia="宋体" w:cs="Times New Roman"/>
          <w:color w:val="auto"/>
          <w:highlight w:val="none"/>
          <w:u w:val="none" w:color="auto"/>
          <w:lang w:val="en-US" w:eastAsia="zh-CN"/>
        </w:rPr>
      </w:pPr>
      <w:bookmarkStart w:id="259" w:name="_GoBack"/>
      <w:bookmarkEnd w:id="259"/>
    </w:p>
    <w:p w14:paraId="7B9F4588">
      <w:pPr>
        <w:bidi w:val="0"/>
        <w:rPr>
          <w:rFonts w:hint="default" w:ascii="Times New Roman" w:hAnsi="Times New Roman" w:eastAsia="宋体" w:cs="Times New Roman"/>
          <w:color w:val="auto"/>
          <w:highlight w:val="none"/>
          <w:u w:val="none" w:color="auto"/>
          <w:lang w:val="en-US" w:eastAsia="zh-CN"/>
        </w:rPr>
      </w:pPr>
    </w:p>
    <w:p w14:paraId="42C114A6">
      <w:pPr>
        <w:bidi w:val="0"/>
        <w:rPr>
          <w:rFonts w:hint="default" w:ascii="Times New Roman" w:hAnsi="Times New Roman" w:eastAsia="宋体" w:cs="Times New Roman"/>
          <w:color w:val="auto"/>
          <w:highlight w:val="none"/>
          <w:u w:val="none" w:color="auto"/>
          <w:lang w:val="en-US" w:eastAsia="zh-CN"/>
        </w:rPr>
      </w:pPr>
    </w:p>
    <w:p w14:paraId="5A5EE420">
      <w:pPr>
        <w:bidi w:val="0"/>
        <w:rPr>
          <w:rFonts w:hint="default" w:ascii="Times New Roman" w:hAnsi="Times New Roman" w:eastAsia="宋体" w:cs="Times New Roman"/>
          <w:color w:val="auto"/>
          <w:highlight w:val="none"/>
          <w:u w:val="none" w:color="auto"/>
          <w:lang w:val="en-US" w:eastAsia="zh-CN"/>
        </w:rPr>
      </w:pPr>
    </w:p>
    <w:p w14:paraId="68B39E34">
      <w:pPr>
        <w:bidi w:val="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附表</w:t>
      </w:r>
    </w:p>
    <w:p w14:paraId="1C9C035A">
      <w:pPr>
        <w:bidi w:val="0"/>
        <w:rPr>
          <w:rFonts w:hint="default" w:ascii="Times New Roman" w:hAnsi="Times New Roman" w:cs="Times New Roman"/>
          <w:highlight w:val="none"/>
        </w:rPr>
      </w:pPr>
      <w:r>
        <w:rPr>
          <w:rFonts w:hint="default" w:ascii="Times New Roman" w:hAnsi="Times New Roman" w:cs="Times New Roman"/>
          <w:highlight w:val="none"/>
        </w:rPr>
        <w:t>大气环境影响评价自查表</w:t>
      </w:r>
    </w:p>
    <w:p w14:paraId="3AC98C26">
      <w:pPr>
        <w:bidi w:val="0"/>
        <w:rPr>
          <w:rFonts w:hint="default" w:ascii="Times New Roman" w:hAnsi="Times New Roman" w:cs="Times New Roman"/>
          <w:highlight w:val="none"/>
        </w:rPr>
      </w:pPr>
      <w:r>
        <w:rPr>
          <w:rFonts w:hint="default" w:ascii="Times New Roman" w:hAnsi="Times New Roman" w:cs="Times New Roman"/>
          <w:highlight w:val="none"/>
        </w:rPr>
        <w:t>环境风险评价自查表</w:t>
      </w:r>
    </w:p>
    <w:p w14:paraId="44D1E880">
      <w:pPr>
        <w:bidi w:val="0"/>
        <w:rPr>
          <w:rFonts w:hint="default" w:ascii="Times New Roman" w:hAnsi="Times New Roman" w:cs="Times New Roman"/>
          <w:highlight w:val="none"/>
        </w:rPr>
      </w:pPr>
      <w:r>
        <w:rPr>
          <w:rFonts w:hint="default" w:ascii="Times New Roman" w:hAnsi="Times New Roman" w:cs="Times New Roman"/>
          <w:highlight w:val="none"/>
        </w:rPr>
        <w:t>地表水环境影响评价自查表</w:t>
      </w:r>
    </w:p>
    <w:p w14:paraId="00515A17">
      <w:pPr>
        <w:bidi w:val="0"/>
        <w:rPr>
          <w:rFonts w:hint="default" w:ascii="Times New Roman" w:hAnsi="Times New Roman" w:cs="Times New Roman"/>
          <w:highlight w:val="none"/>
        </w:rPr>
      </w:pPr>
      <w:r>
        <w:rPr>
          <w:rFonts w:hint="default" w:ascii="Times New Roman" w:hAnsi="Times New Roman" w:cs="Times New Roman"/>
          <w:highlight w:val="none"/>
        </w:rPr>
        <w:t>土壤环境影响评价自查表</w:t>
      </w:r>
    </w:p>
    <w:p w14:paraId="6397495F">
      <w:pPr>
        <w:bidi w:val="0"/>
        <w:rPr>
          <w:rFonts w:hint="default" w:ascii="Times New Roman" w:hAnsi="Times New Roman" w:cs="Times New Roman"/>
          <w:highlight w:val="none"/>
        </w:rPr>
      </w:pPr>
      <w:r>
        <w:rPr>
          <w:rFonts w:hint="default" w:ascii="Times New Roman" w:hAnsi="Times New Roman" w:cs="Times New Roman"/>
          <w:highlight w:val="none"/>
        </w:rPr>
        <w:t>生态影响评价自查表</w:t>
      </w:r>
    </w:p>
    <w:p w14:paraId="1BAEAC86">
      <w:pPr>
        <w:bidi w:val="0"/>
        <w:rPr>
          <w:rFonts w:hint="default" w:ascii="Times New Roman" w:hAnsi="Times New Roman" w:cs="Times New Roman"/>
          <w:highlight w:val="none"/>
        </w:rPr>
      </w:pPr>
      <w:r>
        <w:rPr>
          <w:rFonts w:hint="default" w:ascii="Times New Roman" w:hAnsi="Times New Roman" w:cs="Times New Roman"/>
          <w:highlight w:val="none"/>
        </w:rPr>
        <w:t>声环境影响评价自查表</w:t>
      </w:r>
    </w:p>
    <w:p w14:paraId="5B55D754">
      <w:pPr>
        <w:bidi w:val="0"/>
        <w:rPr>
          <w:rFonts w:hint="default" w:ascii="Times New Roman" w:hAnsi="Times New Roman" w:cs="Times New Roman"/>
          <w:highlight w:val="none"/>
        </w:rPr>
      </w:pPr>
      <w:r>
        <w:rPr>
          <w:rFonts w:hint="default" w:ascii="Times New Roman" w:hAnsi="Times New Roman" w:cs="Times New Roman"/>
          <w:highlight w:val="none"/>
        </w:rPr>
        <w:t>建设项目环评审批基础信息表</w:t>
      </w:r>
    </w:p>
    <w:p w14:paraId="63ABCF45">
      <w:pPr>
        <w:ind w:firstLine="0" w:firstLineChars="0"/>
        <w:rPr>
          <w:rFonts w:hint="default" w:ascii="Times New Roman" w:hAnsi="Times New Roman" w:cs="Times New Roman"/>
          <w:color w:val="auto"/>
          <w:highlight w:val="none"/>
          <w:u w:val="none" w:color="auto"/>
        </w:rPr>
      </w:pPr>
    </w:p>
    <w:bookmarkEnd w:id="9"/>
    <w:p w14:paraId="62489C77">
      <w:pPr>
        <w:rPr>
          <w:rFonts w:hint="default" w:ascii="Times New Roman" w:hAnsi="Times New Roman" w:cs="Times New Roman"/>
          <w:color w:val="auto"/>
          <w:highlight w:val="none"/>
          <w:u w:val="none" w:color="auto"/>
        </w:rPr>
        <w:sectPr>
          <w:headerReference r:id="rId7" w:type="default"/>
          <w:footerReference r:id="rId8"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3E1DFF95">
      <w:pPr>
        <w:pStyle w:val="4"/>
        <w:bidi w:val="0"/>
        <w:rPr>
          <w:rFonts w:hint="default"/>
          <w:highlight w:val="none"/>
        </w:rPr>
      </w:pPr>
      <w:bookmarkStart w:id="11" w:name="_Toc1441"/>
      <w:bookmarkStart w:id="12" w:name="_Toc29506"/>
      <w:r>
        <w:rPr>
          <w:rFonts w:hint="default"/>
          <w:highlight w:val="none"/>
        </w:rPr>
        <w:t>概述</w:t>
      </w:r>
      <w:bookmarkEnd w:id="11"/>
    </w:p>
    <w:p w14:paraId="31765576">
      <w:pPr>
        <w:pStyle w:val="5"/>
        <w:numPr>
          <w:numberingChange w:id="0" w:author="WIN-" w:date="2018-09-12T10:26:00Z" w:original="%1:1:0:.%2:1:0:."/>
        </w:numPr>
        <w:rPr>
          <w:rFonts w:hint="default" w:ascii="Times New Roman" w:hAnsi="Times New Roman" w:cs="Times New Roman"/>
          <w:color w:val="auto"/>
          <w:highlight w:val="none"/>
          <w:u w:val="none" w:color="auto"/>
        </w:rPr>
      </w:pPr>
      <w:bookmarkStart w:id="13" w:name="_Toc31582"/>
      <w:bookmarkStart w:id="14" w:name="_Toc24510"/>
      <w:r>
        <w:rPr>
          <w:rFonts w:hint="default" w:ascii="Times New Roman" w:hAnsi="Times New Roman" w:cs="Times New Roman"/>
          <w:color w:val="auto"/>
          <w:highlight w:val="none"/>
          <w:u w:val="none" w:color="auto"/>
        </w:rPr>
        <w:t>项目由来</w:t>
      </w:r>
      <w:bookmarkEnd w:id="13"/>
      <w:bookmarkEnd w:id="14"/>
    </w:p>
    <w:p w14:paraId="36080D15">
      <w:pPr>
        <w:bidi w:val="0"/>
        <w:rPr>
          <w:rFonts w:hint="default" w:ascii="Times New Roman" w:hAnsi="Times New Roman" w:cs="Times New Roman"/>
          <w:highlight w:val="none"/>
          <w:lang w:val="en-US" w:eastAsia="zh-CN"/>
        </w:rPr>
      </w:pPr>
      <w:bookmarkStart w:id="15" w:name="OLE_LINK33"/>
      <w:r>
        <w:rPr>
          <w:rFonts w:hint="default" w:ascii="Times New Roman" w:hAnsi="Times New Roman" w:cs="Times New Roman"/>
          <w:highlight w:val="none"/>
          <w:lang w:val="en-US" w:eastAsia="zh-CN"/>
        </w:rPr>
        <w:t>湘阴佳海产业园发展有限公司</w:t>
      </w:r>
      <w:bookmarkEnd w:id="15"/>
      <w:r>
        <w:rPr>
          <w:rFonts w:hint="default" w:ascii="Times New Roman" w:hAnsi="Times New Roman" w:cs="Times New Roman"/>
          <w:highlight w:val="none"/>
          <w:lang w:val="en-US" w:eastAsia="zh-CN"/>
        </w:rPr>
        <w:t>成立于</w:t>
      </w:r>
      <w:r>
        <w:rPr>
          <w:rFonts w:hint="eastAsia" w:ascii="Times New Roman" w:hAnsi="Times New Roman" w:cs="Times New Roman"/>
          <w:highlight w:val="none"/>
          <w:lang w:val="en-US" w:eastAsia="zh-CN"/>
        </w:rPr>
        <w:t>2023</w:t>
      </w:r>
      <w:r>
        <w:rPr>
          <w:rFonts w:hint="default" w:ascii="Times New Roman" w:hAnsi="Times New Roman" w:cs="Times New Roman"/>
          <w:highlight w:val="none"/>
          <w:lang w:val="en-US" w:eastAsia="zh-CN"/>
        </w:rPr>
        <w:t>年</w:t>
      </w:r>
      <w:r>
        <w:rPr>
          <w:rFonts w:hint="eastAsia" w:ascii="Times New Roman" w:hAnsi="Times New Roman" w:cs="Times New Roman"/>
          <w:highlight w:val="none"/>
          <w:lang w:val="en-US" w:eastAsia="zh-CN"/>
        </w:rPr>
        <w:t>05</w:t>
      </w:r>
      <w:r>
        <w:rPr>
          <w:rFonts w:hint="default" w:ascii="Times New Roman" w:hAnsi="Times New Roman" w:cs="Times New Roman"/>
          <w:highlight w:val="none"/>
          <w:lang w:val="en-US" w:eastAsia="zh-CN"/>
        </w:rPr>
        <w:t>月</w:t>
      </w:r>
      <w:r>
        <w:rPr>
          <w:rFonts w:hint="eastAsia" w:ascii="Times New Roman" w:hAnsi="Times New Roman" w:cs="Times New Roman"/>
          <w:highlight w:val="none"/>
          <w:lang w:val="en-US" w:eastAsia="zh-CN"/>
        </w:rPr>
        <w:t>10</w:t>
      </w:r>
      <w:r>
        <w:rPr>
          <w:rFonts w:hint="default" w:ascii="Times New Roman" w:hAnsi="Times New Roman" w:cs="Times New Roman"/>
          <w:highlight w:val="none"/>
          <w:lang w:val="en-US" w:eastAsia="zh-CN"/>
        </w:rPr>
        <w:t>日，</w:t>
      </w:r>
      <w:bookmarkStart w:id="16" w:name="OLE_LINK11"/>
      <w:r>
        <w:rPr>
          <w:rFonts w:hint="default"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bookmarkEnd w:id="16"/>
      <w:r>
        <w:rPr>
          <w:rFonts w:hint="default" w:ascii="Times New Roman" w:hAnsi="Times New Roman" w:cs="Times New Roman"/>
          <w:highlight w:val="none"/>
          <w:lang w:val="en-US" w:eastAsia="zh-CN"/>
        </w:rPr>
        <w:t>地处湖南省岳阳市湘阴县，位于湘阴工业园区下的产业园片区内，该片区临近县城，以产业转型升级发展区、现代产业新城为定位，重点发展以绿色装备制造、绿色建筑建材、绿色食品为主导的产业。该区域内已集聚长康集团、海日食品、义丰祥实业等知名食品企业，依托湘阴县本身丰富的农业资源与品牌优势，大力发展农副产品精深加工产业，打造省级绿色食品加工示范基地。</w:t>
      </w:r>
    </w:p>
    <w:p w14:paraId="58096B52">
      <w:pPr>
        <w:bidi w:val="0"/>
        <w:rPr>
          <w:rFonts w:hint="eastAsia" w:ascii="Times New Roman" w:hAnsi="Times New Roman" w:cs="Times New Roman"/>
          <w:highlight w:val="none"/>
          <w:lang w:val="en-US" w:eastAsia="zh-CN"/>
        </w:rPr>
      </w:pPr>
      <w:bookmarkStart w:id="17" w:name="OLE_LINK2"/>
      <w:bookmarkStart w:id="18" w:name="OLE_LINK8"/>
      <w:r>
        <w:rPr>
          <w:rFonts w:hint="default" w:ascii="Times New Roman" w:hAnsi="Times New Roman" w:cs="Times New Roman"/>
          <w:highlight w:val="none"/>
          <w:lang w:val="en-US" w:eastAsia="zh-CN"/>
        </w:rPr>
        <w:t>湘阴佳海绿色食品产业园</w:t>
      </w:r>
      <w:bookmarkEnd w:id="17"/>
      <w:r>
        <w:rPr>
          <w:rFonts w:hint="default" w:ascii="Times New Roman" w:hAnsi="Times New Roman" w:eastAsia="宋体" w:cs="Times New Roman"/>
          <w:color w:val="auto"/>
          <w:highlight w:val="none"/>
          <w:u w:val="none" w:color="auto"/>
          <w:lang w:val="en-US" w:eastAsia="zh-CN"/>
        </w:rPr>
        <w:t>一期</w:t>
      </w:r>
      <w:bookmarkEnd w:id="18"/>
      <w:r>
        <w:rPr>
          <w:rFonts w:hint="default" w:ascii="Times New Roman" w:hAnsi="Times New Roman" w:cs="Times New Roman"/>
          <w:highlight w:val="none"/>
          <w:lang w:val="en-US" w:eastAsia="zh-CN"/>
        </w:rPr>
        <w:t>产业定位为食品原材料生产、健康食品半加工、农副产品精深加工、功能性保健食品、中央厨房、新型食品加工及相关原辅材料研发、生产、检测等配套项目，打造一站式食品产业集中地</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为湖南湘阴高新技术产业开发区提高绿色食品精深加工能力，积极培育农业产业化龙头企业和绿色、有机和名优产品、实现农产品由初级加工向精深加工转变，由传统加工工艺向采用先进适用技术和高新技术转变提供基地。湘阴佳海绿色食品产业园</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highlight w:val="none"/>
          <w:lang w:val="en-US" w:eastAsia="zh-CN"/>
        </w:rPr>
        <w:t>总用地面积83124.19m</w:t>
      </w:r>
      <w:r>
        <w:rPr>
          <w:rFonts w:hint="eastAsia" w:ascii="Times New Roman" w:hAnsi="Times New Roman" w:cs="Times New Roman"/>
          <w:highlight w:val="none"/>
          <w:vertAlign w:val="superscript"/>
          <w:lang w:val="en-US" w:eastAsia="zh-CN"/>
        </w:rPr>
        <w:t>2</w:t>
      </w:r>
      <w:r>
        <w:rPr>
          <w:rFonts w:hint="eastAsia" w:ascii="Times New Roman" w:hAnsi="Times New Roman" w:cs="Times New Roman"/>
          <w:highlight w:val="none"/>
          <w:lang w:val="en-US" w:eastAsia="zh-CN"/>
        </w:rPr>
        <w:t>，建设内容主要为6层标准厂房、5层标准厂房、3层标准厂房、地下设备用房及配套设施设备用房，同时配套建设道路、绿化及景观、供配电、给排水、消防、环保等设施。</w:t>
      </w:r>
      <w:r>
        <w:rPr>
          <w:rFonts w:hint="default"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color w:val="auto"/>
          <w:highlight w:val="none"/>
          <w:u w:val="none" w:color="auto"/>
          <w:lang w:val="en-US" w:eastAsia="zh-CN"/>
        </w:rPr>
        <w:t>取得湘阴县项目联审联办工作领导小组的联审意见《关于佳海绿色食品产业园建设项目的联审意见》（湘阴项目联审【2023】26号），详见附件3；同时在湖南省投资项目在线审批监管配套备案，详见附件4。</w:t>
      </w:r>
      <w:r>
        <w:rPr>
          <w:rFonts w:hint="eastAsia" w:ascii="Times New Roman" w:hAnsi="Times New Roman" w:cs="Times New Roman"/>
          <w:highlight w:val="none"/>
          <w:lang w:val="en-US" w:eastAsia="zh-CN"/>
        </w:rPr>
        <w:t>目前湘阴佳海绿色食品产业园</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highlight w:val="none"/>
          <w:lang w:val="en-US" w:eastAsia="zh-CN"/>
        </w:rPr>
        <w:t>正在建设中，在工业园区内，不涉及环境敏感区，根据《建设项目环境影响评价分类管理名录（2021年版）》，不涉及环境敏感区的标准厂房无需进行环境影响评价工作。</w:t>
      </w:r>
    </w:p>
    <w:p w14:paraId="130E0F78">
      <w:pPr>
        <w:bidi w:val="0"/>
        <w:rPr>
          <w:rFonts w:hint="default" w:ascii="Times New Roman" w:hAnsi="Times New Roman" w:cs="Times New Roman"/>
          <w:color w:val="auto"/>
          <w:sz w:val="24"/>
          <w:highlight w:val="none"/>
          <w:u w:val="none"/>
          <w:lang w:val="en-US" w:eastAsia="zh-CN"/>
        </w:rPr>
      </w:pPr>
      <w:bookmarkStart w:id="19" w:name="OLE_LINK32"/>
      <w:r>
        <w:rPr>
          <w:rFonts w:hint="eastAsia" w:ascii="Times New Roman" w:hAnsi="Times New Roman" w:cs="Times New Roman"/>
          <w:highlight w:val="none"/>
          <w:lang w:val="en-US" w:eastAsia="zh-CN"/>
        </w:rPr>
        <w:t>为完善</w:t>
      </w:r>
      <w:bookmarkStart w:id="20" w:name="OLE_LINK6"/>
      <w:r>
        <w:rPr>
          <w:rFonts w:hint="eastAsia"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bookmarkEnd w:id="20"/>
      <w:r>
        <w:rPr>
          <w:rFonts w:hint="eastAsia" w:ascii="Times New Roman" w:hAnsi="Times New Roman" w:cs="Times New Roman"/>
          <w:highlight w:val="none"/>
          <w:lang w:val="en-US" w:eastAsia="zh-CN"/>
        </w:rPr>
        <w:t>片区配套设施，集中处理产业园区引进企业食品生产废水，拟在产业园区东南角配套建设工业污水处理站，即本项目“湘阴佳海绿色食品产业园一期污水处理站建设项目”，服务范围为佳海产业园区内企业</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highlight w:val="none"/>
          <w:lang w:val="en-US" w:eastAsia="zh-CN"/>
        </w:rPr>
        <w:t>食品生产废水，占地面积为1080m²，建设规模1200m</w:t>
      </w:r>
      <w:r>
        <w:rPr>
          <w:rFonts w:hint="eastAsia" w:ascii="Times New Roman" w:hAnsi="Times New Roman" w:cs="Times New Roman"/>
          <w:highlight w:val="none"/>
          <w:vertAlign w:val="superscript"/>
          <w:lang w:val="en-US" w:eastAsia="zh-CN"/>
        </w:rPr>
        <w:t>3</w:t>
      </w:r>
      <w:r>
        <w:rPr>
          <w:rFonts w:hint="eastAsia" w:ascii="Times New Roman" w:hAnsi="Times New Roman" w:cs="Times New Roman"/>
          <w:highlight w:val="none"/>
          <w:lang w:val="en-US" w:eastAsia="zh-CN"/>
        </w:rPr>
        <w:t>/d</w:t>
      </w:r>
      <w:bookmarkEnd w:id="19"/>
      <w:r>
        <w:rPr>
          <w:rFonts w:hint="eastAsia" w:ascii="Times New Roman" w:hAnsi="Times New Roman" w:cs="Times New Roman"/>
          <w:highlight w:val="none"/>
          <w:lang w:val="en-US" w:eastAsia="zh-CN"/>
        </w:rPr>
        <w:t>，采用“集水池+微滤机+隔油预沉池+调节池/应急池+厌氧流化床+好氧池+缺氧池+消化池+好氧流化床+去磷池+清水池”处理工艺，处理达标后尾水进入湘阴县第二污水处理厂集中处理。由湘阴县第二污水处理厂集中处理达《城镇污水处理厂污染物排放标准》（GB18918-2002）一级A标准后排入湘江。</w:t>
      </w:r>
    </w:p>
    <w:p w14:paraId="62456FF3">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为了严格贯彻执行国家及地方有关环境保护政策、法规，并根据《中华人民共和国环境保护法》、《中华人民共和国环境影响评价法》、《建设项目环境保护管理条例》（国务院令第682号）中的有关规定，本项目属于《国民经济行业分类》（2017年版）中污水处理及其再生利用（D4620），根据</w:t>
      </w:r>
      <w:bookmarkStart w:id="21" w:name="OLE_LINK1"/>
      <w:r>
        <w:rPr>
          <w:rFonts w:hint="default" w:ascii="Times New Roman" w:hAnsi="Times New Roman" w:cs="Times New Roman"/>
          <w:color w:val="auto"/>
          <w:highlight w:val="none"/>
          <w:u w:val="none" w:color="auto"/>
          <w:lang w:eastAsia="zh-CN"/>
        </w:rPr>
        <w:t>《建设项目环境影响评价分类管理名录（2021年版）》</w:t>
      </w:r>
      <w:bookmarkEnd w:id="21"/>
      <w:r>
        <w:rPr>
          <w:rFonts w:hint="default" w:ascii="Times New Roman" w:hAnsi="Times New Roman" w:cs="Times New Roman"/>
          <w:color w:val="auto"/>
          <w:highlight w:val="none"/>
          <w:u w:val="none" w:color="auto"/>
          <w:lang w:eastAsia="zh-CN"/>
        </w:rPr>
        <w:t>，项目属于名录中“</w:t>
      </w:r>
      <w:bookmarkStart w:id="22" w:name="OLE_LINK12"/>
      <w:r>
        <w:rPr>
          <w:rFonts w:hint="default" w:ascii="Times New Roman" w:hAnsi="Times New Roman" w:cs="Times New Roman"/>
          <w:color w:val="auto"/>
          <w:highlight w:val="none"/>
          <w:u w:val="none" w:color="auto"/>
          <w:lang w:eastAsia="zh-CN"/>
        </w:rPr>
        <w:t>四十三、水的生产和供应业”中“95 污水处理及其再生利用</w:t>
      </w:r>
      <w:bookmarkEnd w:id="22"/>
      <w:r>
        <w:rPr>
          <w:rFonts w:hint="default" w:ascii="Times New Roman" w:hAnsi="Times New Roman" w:cs="Times New Roman"/>
          <w:color w:val="auto"/>
          <w:highlight w:val="none"/>
          <w:u w:val="none" w:color="auto"/>
          <w:lang w:eastAsia="zh-CN"/>
        </w:rPr>
        <w:t>-新建、扩建工业废水集中处理的”，应编制环境影响报告书。</w:t>
      </w:r>
      <w:r>
        <w:rPr>
          <w:rFonts w:hint="default" w:ascii="Times New Roman" w:hAnsi="Times New Roman" w:cs="Times New Roman"/>
          <w:color w:val="auto"/>
          <w:highlight w:val="none"/>
          <w:u w:val="none" w:color="auto"/>
          <w:shd w:val="clear"/>
          <w:lang w:eastAsia="zh-CN"/>
        </w:rPr>
        <w:t>为此</w:t>
      </w:r>
      <w:r>
        <w:rPr>
          <w:rFonts w:hint="default" w:ascii="Times New Roman" w:hAnsi="Times New Roman" w:eastAsia="宋体" w:cs="Times New Roman"/>
          <w:color w:val="auto"/>
          <w:sz w:val="24"/>
          <w:szCs w:val="24"/>
          <w:highlight w:val="none"/>
          <w:u w:val="none"/>
          <w:shd w:val="clear"/>
          <w:lang w:val="en-US" w:eastAsia="zh-CN"/>
        </w:rPr>
        <w:t>湘阴佳海产业园发展有限公司</w:t>
      </w:r>
      <w:r>
        <w:rPr>
          <w:rFonts w:hint="default" w:ascii="Times New Roman" w:hAnsi="Times New Roman" w:cs="Times New Roman"/>
          <w:color w:val="auto"/>
          <w:highlight w:val="none"/>
          <w:u w:val="none" w:color="auto"/>
          <w:shd w:val="clear"/>
          <w:lang w:eastAsia="zh-CN"/>
        </w:rPr>
        <w:t>委托</w:t>
      </w:r>
      <w:r>
        <w:rPr>
          <w:rFonts w:hint="default" w:ascii="Times New Roman" w:hAnsi="Times New Roman" w:cs="Times New Roman"/>
          <w:color w:val="auto"/>
          <w:highlight w:val="none"/>
          <w:u w:val="none" w:color="auto"/>
          <w:shd w:val="clear"/>
          <w:lang w:val="en-US" w:eastAsia="zh-CN"/>
        </w:rPr>
        <w:t>湖南至中环保科技有限公司</w:t>
      </w:r>
      <w:r>
        <w:rPr>
          <w:rFonts w:hint="default" w:ascii="Times New Roman" w:hAnsi="Times New Roman" w:cs="Times New Roman"/>
          <w:color w:val="auto"/>
          <w:highlight w:val="none"/>
          <w:u w:val="none" w:color="auto"/>
          <w:lang w:eastAsia="zh-CN"/>
        </w:rPr>
        <w:t>（以下简称“我公司”）承担“</w:t>
      </w:r>
      <w:bookmarkStart w:id="23" w:name="OLE_LINK7"/>
      <w:r>
        <w:rPr>
          <w:rFonts w:hint="eastAsia" w:ascii="Times New Roman" w:hAnsi="Times New Roman" w:cs="Times New Roman"/>
          <w:sz w:val="24"/>
          <w:highlight w:val="none"/>
          <w:lang w:val="en-US" w:eastAsia="zh-CN"/>
        </w:rPr>
        <w:t>湘阴佳海绿色食品产业园一期</w:t>
      </w:r>
      <w:bookmarkEnd w:id="23"/>
      <w:r>
        <w:rPr>
          <w:rFonts w:hint="eastAsia" w:ascii="Times New Roman" w:hAnsi="Times New Roman" w:cs="Times New Roman"/>
          <w:sz w:val="24"/>
          <w:highlight w:val="none"/>
          <w:lang w:val="en-US" w:eastAsia="zh-CN"/>
        </w:rPr>
        <w:t>污水处理站建设项目</w:t>
      </w:r>
      <w:r>
        <w:rPr>
          <w:rFonts w:hint="default" w:ascii="Times New Roman" w:hAnsi="Times New Roman" w:cs="Times New Roman"/>
          <w:color w:val="auto"/>
          <w:highlight w:val="none"/>
          <w:u w:val="none" w:color="auto"/>
          <w:lang w:eastAsia="zh-CN"/>
        </w:rPr>
        <w:t>”的环境影响评价工作。我公司在接受委托后成立了环评工作小组，对项目现场及周边环境进行实地勘查、调研和资料收集，在此基础上，按照相关法律、法规、环境影响评价技术导则、规范和标准，编制了本项目的环境影响报告书。</w:t>
      </w:r>
    </w:p>
    <w:p w14:paraId="1521BA0C">
      <w:pPr>
        <w:pStyle w:val="5"/>
        <w:numPr>
          <w:numberingChange w:id="1" w:author="WIN-" w:date="2018-09-12T10:26:00Z" w:original="%1:1:0:.%2:2:0:."/>
        </w:numPr>
        <w:rPr>
          <w:rFonts w:hint="default" w:ascii="Times New Roman" w:hAnsi="Times New Roman" w:cs="Times New Roman"/>
          <w:color w:val="auto"/>
          <w:highlight w:val="none"/>
          <w:u w:val="none" w:color="auto"/>
        </w:rPr>
      </w:pPr>
      <w:bookmarkStart w:id="24" w:name="_Toc22262"/>
      <w:bookmarkStart w:id="25" w:name="_Toc23736"/>
      <w:bookmarkStart w:id="26" w:name="_Toc27267"/>
      <w:r>
        <w:rPr>
          <w:rFonts w:hint="default" w:ascii="Times New Roman" w:hAnsi="Times New Roman" w:cs="Times New Roman"/>
          <w:color w:val="auto"/>
          <w:highlight w:val="none"/>
          <w:u w:val="none" w:color="auto"/>
        </w:rPr>
        <w:t>环境影响评价的工作过程</w:t>
      </w:r>
      <w:bookmarkEnd w:id="24"/>
      <w:bookmarkEnd w:id="25"/>
      <w:bookmarkEnd w:id="26"/>
    </w:p>
    <w:p w14:paraId="14C7BC60">
      <w:pPr>
        <w:bidi w:val="0"/>
        <w:rPr>
          <w:rFonts w:hint="default" w:ascii="Times New Roman" w:hAnsi="Times New Roman" w:cs="Times New Roman"/>
          <w:highlight w:val="none"/>
        </w:rPr>
      </w:pPr>
      <w:r>
        <w:rPr>
          <w:rFonts w:hint="default" w:ascii="Times New Roman" w:hAnsi="Times New Roman" w:cs="Times New Roman"/>
          <w:highlight w:val="none"/>
        </w:rPr>
        <w:t>本次环境影响评价工作分为三个阶段</w:t>
      </w:r>
      <w:r>
        <w:rPr>
          <w:rFonts w:hint="default" w:ascii="Times New Roman" w:hAnsi="Times New Roman" w:cs="Times New Roman"/>
          <w:highlight w:val="none"/>
          <w:lang w:eastAsia="zh-CN"/>
        </w:rPr>
        <w:t>，</w:t>
      </w:r>
      <w:r>
        <w:rPr>
          <w:rFonts w:hint="default" w:ascii="Times New Roman" w:hAnsi="Times New Roman" w:cs="Times New Roman"/>
          <w:highlight w:val="none"/>
        </w:rPr>
        <w:t>第一阶段的主要工作为前期准备、调研。具体工作内容是研究国家和地方有关环境保护的法律法规、政策、标准及相关规划</w:t>
      </w:r>
      <w:r>
        <w:rPr>
          <w:rFonts w:hint="default" w:ascii="Times New Roman" w:hAnsi="Times New Roman" w:cs="Times New Roman"/>
          <w:highlight w:val="none"/>
          <w:lang w:eastAsia="zh-CN"/>
        </w:rPr>
        <w:t>，</w:t>
      </w:r>
      <w:r>
        <w:rPr>
          <w:rFonts w:hint="default" w:ascii="Times New Roman" w:hAnsi="Times New Roman" w:cs="Times New Roman"/>
          <w:highlight w:val="none"/>
        </w:rPr>
        <w:t>并在此基础上进行环境影响因素的识别与评价因子筛选</w:t>
      </w:r>
      <w:r>
        <w:rPr>
          <w:rFonts w:hint="default" w:ascii="Times New Roman" w:hAnsi="Times New Roman" w:cs="Times New Roman"/>
          <w:highlight w:val="none"/>
          <w:lang w:eastAsia="zh-CN"/>
        </w:rPr>
        <w:t>，</w:t>
      </w:r>
      <w:r>
        <w:rPr>
          <w:rFonts w:hint="default" w:ascii="Times New Roman" w:hAnsi="Times New Roman" w:cs="Times New Roman"/>
          <w:highlight w:val="none"/>
        </w:rPr>
        <w:t>明确评价工作的重点和环境保护目标</w:t>
      </w:r>
      <w:r>
        <w:rPr>
          <w:rFonts w:hint="default" w:ascii="Times New Roman" w:hAnsi="Times New Roman" w:cs="Times New Roman"/>
          <w:highlight w:val="none"/>
          <w:lang w:eastAsia="zh-CN"/>
        </w:rPr>
        <w:t>，</w:t>
      </w:r>
      <w:r>
        <w:rPr>
          <w:rFonts w:hint="default" w:ascii="Times New Roman" w:hAnsi="Times New Roman" w:cs="Times New Roman"/>
          <w:highlight w:val="none"/>
        </w:rPr>
        <w:t>确定大气、水、噪声、土壤等专项评价的工作等级、评价范围和评价基础</w:t>
      </w:r>
      <w:r>
        <w:rPr>
          <w:rFonts w:hint="default" w:ascii="Times New Roman" w:hAnsi="Times New Roman" w:cs="Times New Roman"/>
          <w:highlight w:val="none"/>
          <w:lang w:eastAsia="zh-CN"/>
        </w:rPr>
        <w:t>，</w:t>
      </w:r>
      <w:r>
        <w:rPr>
          <w:rFonts w:hint="default" w:ascii="Times New Roman" w:hAnsi="Times New Roman" w:cs="Times New Roman"/>
          <w:highlight w:val="none"/>
        </w:rPr>
        <w:t>制定本次评价的工作方案；第二阶段的工作是根据评价工作方案完成评价范围内的环境状况的调查、监测和建设项目的工程分析</w:t>
      </w:r>
      <w:r>
        <w:rPr>
          <w:rFonts w:hint="default" w:ascii="Times New Roman" w:hAnsi="Times New Roman" w:cs="Times New Roman"/>
          <w:highlight w:val="none"/>
          <w:lang w:eastAsia="zh-CN"/>
        </w:rPr>
        <w:t>，</w:t>
      </w:r>
      <w:r>
        <w:rPr>
          <w:rFonts w:hint="default" w:ascii="Times New Roman" w:hAnsi="Times New Roman" w:cs="Times New Roman"/>
          <w:highlight w:val="none"/>
        </w:rPr>
        <w:t>在此基础上对各环境要素进行环境影响预测与评价；第三阶段的工作是提出环境保护措施</w:t>
      </w:r>
      <w:r>
        <w:rPr>
          <w:rFonts w:hint="default" w:ascii="Times New Roman" w:hAnsi="Times New Roman" w:cs="Times New Roman"/>
          <w:highlight w:val="none"/>
          <w:lang w:eastAsia="zh-CN"/>
        </w:rPr>
        <w:t>，</w:t>
      </w:r>
      <w:r>
        <w:rPr>
          <w:rFonts w:hint="default" w:ascii="Times New Roman" w:hAnsi="Times New Roman" w:cs="Times New Roman"/>
          <w:highlight w:val="none"/>
        </w:rPr>
        <w:t>进行技术经济论证</w:t>
      </w:r>
      <w:r>
        <w:rPr>
          <w:rFonts w:hint="default" w:ascii="Times New Roman" w:hAnsi="Times New Roman" w:cs="Times New Roman"/>
          <w:highlight w:val="none"/>
          <w:lang w:eastAsia="zh-CN"/>
        </w:rPr>
        <w:t>，</w:t>
      </w:r>
      <w:r>
        <w:rPr>
          <w:rFonts w:hint="default" w:ascii="Times New Roman" w:hAnsi="Times New Roman" w:cs="Times New Roman"/>
          <w:highlight w:val="none"/>
        </w:rPr>
        <w:t>给出建设项目环境可行性的评价结论</w:t>
      </w:r>
      <w:r>
        <w:rPr>
          <w:rFonts w:hint="default" w:ascii="Times New Roman" w:hAnsi="Times New Roman" w:cs="Times New Roman"/>
          <w:highlight w:val="none"/>
          <w:lang w:eastAsia="zh-CN"/>
        </w:rPr>
        <w:t>，</w:t>
      </w:r>
      <w:r>
        <w:rPr>
          <w:rFonts w:hint="default" w:ascii="Times New Roman" w:hAnsi="Times New Roman" w:cs="Times New Roman"/>
          <w:highlight w:val="none"/>
        </w:rPr>
        <w:t>最终完成环境影响报告书的编制。评价过程见评价工作程序图。</w:t>
      </w:r>
    </w:p>
    <w:p w14:paraId="226B128C">
      <w:pPr>
        <w:ind w:firstLine="0" w:firstLineChars="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5280025" cy="5082540"/>
            <wp:effectExtent l="0" t="0" r="15875" b="3810"/>
            <wp:docPr id="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5"/>
                    <pic:cNvPicPr>
                      <a:picLocks noChangeAspect="1"/>
                    </pic:cNvPicPr>
                  </pic:nvPicPr>
                  <pic:blipFill>
                    <a:blip r:embed="rId25"/>
                    <a:stretch>
                      <a:fillRect/>
                    </a:stretch>
                  </pic:blipFill>
                  <pic:spPr>
                    <a:xfrm>
                      <a:off x="0" y="0"/>
                      <a:ext cx="5280025" cy="5082540"/>
                    </a:xfrm>
                    <a:prstGeom prst="rect">
                      <a:avLst/>
                    </a:prstGeom>
                    <a:noFill/>
                    <a:ln>
                      <a:noFill/>
                    </a:ln>
                  </pic:spPr>
                </pic:pic>
              </a:graphicData>
            </a:graphic>
          </wp:inline>
        </w:drawing>
      </w:r>
    </w:p>
    <w:p w14:paraId="60B2B2CF">
      <w:pPr>
        <w:spacing w:line="240" w:lineRule="auto"/>
        <w:ind w:firstLine="482"/>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图1.2-1  建设项目环境影响评价工作程序图</w:t>
      </w:r>
    </w:p>
    <w:p w14:paraId="1E919627">
      <w:pPr>
        <w:pStyle w:val="5"/>
        <w:rPr>
          <w:rFonts w:hint="default" w:ascii="Times New Roman" w:hAnsi="Times New Roman" w:cs="Times New Roman"/>
          <w:color w:val="auto"/>
          <w:highlight w:val="none"/>
          <w:u w:val="none" w:color="auto"/>
        </w:rPr>
      </w:pPr>
      <w:bookmarkStart w:id="27" w:name="_Toc13004"/>
      <w:bookmarkStart w:id="28" w:name="_Toc23745"/>
      <w:r>
        <w:rPr>
          <w:rFonts w:hint="default" w:ascii="Times New Roman" w:hAnsi="Times New Roman" w:cs="Times New Roman"/>
          <w:color w:val="auto"/>
          <w:highlight w:val="none"/>
          <w:u w:val="none" w:color="auto"/>
        </w:rPr>
        <w:t>主要评价内容及评价重点</w:t>
      </w:r>
      <w:bookmarkEnd w:id="27"/>
    </w:p>
    <w:bookmarkEnd w:id="28"/>
    <w:p w14:paraId="43A5340D">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主要评价内容</w:t>
      </w:r>
    </w:p>
    <w:p w14:paraId="7D8F97B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本项目主要评价内容包括：</w:t>
      </w:r>
    </w:p>
    <w:p w14:paraId="6BC0675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（1）通过环境现状调查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掌握项目厂区周围的自然环境及环境质量现状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为环境影响评价提供依据。</w:t>
      </w:r>
    </w:p>
    <w:p w14:paraId="0084169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（2）通过工程分析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针对项目特点和污染特征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确定主要污染因子和环境影响要素。</w:t>
      </w:r>
    </w:p>
    <w:p w14:paraId="57D3F83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（3）根据工程分析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提出避免或减轻污染的对策和建议。</w:t>
      </w:r>
    </w:p>
    <w:p w14:paraId="68DFF08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（4）评价项目的环境风险和环境可行性</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并提出防止和减轻工程建设对环境产生不利影响的对策和建议。</w:t>
      </w:r>
    </w:p>
    <w:p w14:paraId="77DDCF4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（5）根据</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污染物排放总量控制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的要求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对项目排放污染物的来源、排放浓度、排放总量做出分析和判断。</w:t>
      </w:r>
    </w:p>
    <w:p w14:paraId="0C125FF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（6）从环境保护的角度对项目建设是否可行做出明确的结论。</w:t>
      </w:r>
    </w:p>
    <w:p w14:paraId="645CBFB0">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评价重点</w:t>
      </w:r>
    </w:p>
    <w:p w14:paraId="1C4D943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根据本项目特征与所在地的环境特征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以及项目环境影响因子识别等综合分析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确定本项目评价重点为工程分析、大气环境影响评价、</w:t>
      </w:r>
      <w:r>
        <w:rPr>
          <w:rFonts w:hint="eastAsia" w:ascii="Times New Roman" w:hAnsi="Times New Roman" w:cs="Times New Roman"/>
          <w:color w:val="auto"/>
          <w:highlight w:val="none"/>
          <w:u w:val="none" w:color="auto"/>
          <w:lang w:val="en-US" w:eastAsia="zh-CN"/>
        </w:rPr>
        <w:t>地表水</w:t>
      </w:r>
      <w:r>
        <w:rPr>
          <w:rFonts w:hint="default" w:ascii="Times New Roman" w:hAnsi="Times New Roman" w:cs="Times New Roman"/>
          <w:color w:val="auto"/>
          <w:highlight w:val="none"/>
          <w:u w:val="none" w:color="auto"/>
        </w:rPr>
        <w:t>环境影响评价、固体废物分析、环境风险影响评价、污染防治措施可行性及选址环境可行性。</w:t>
      </w:r>
    </w:p>
    <w:p w14:paraId="487F841A">
      <w:pPr>
        <w:pStyle w:val="5"/>
        <w:rPr>
          <w:rFonts w:hint="default" w:ascii="Times New Roman" w:hAnsi="Times New Roman" w:cs="Times New Roman"/>
          <w:color w:val="auto"/>
          <w:highlight w:val="none"/>
          <w:u w:val="none" w:color="auto"/>
        </w:rPr>
      </w:pPr>
      <w:bookmarkStart w:id="29" w:name="_Toc15543"/>
      <w:r>
        <w:rPr>
          <w:rFonts w:hint="default" w:ascii="Times New Roman" w:hAnsi="Times New Roman" w:cs="Times New Roman"/>
          <w:color w:val="auto"/>
          <w:highlight w:val="none"/>
          <w:u w:val="none" w:color="auto"/>
        </w:rPr>
        <w:t>相关情况判定</w:t>
      </w:r>
      <w:bookmarkEnd w:id="29"/>
    </w:p>
    <w:p w14:paraId="4179685A">
      <w:pPr>
        <w:pStyle w:val="6"/>
        <w:rPr>
          <w:rFonts w:hint="default" w:ascii="Times New Roman" w:hAnsi="Times New Roman" w:cs="Times New Roman"/>
          <w:color w:val="auto"/>
          <w:highlight w:val="none"/>
          <w:u w:val="none" w:color="auto"/>
        </w:rPr>
      </w:pPr>
      <w:bookmarkStart w:id="30" w:name="1.4.1产业政策符合性分析"/>
      <w:bookmarkEnd w:id="30"/>
      <w:r>
        <w:rPr>
          <w:rFonts w:hint="default" w:ascii="Times New Roman" w:hAnsi="Times New Roman" w:cs="Times New Roman"/>
          <w:color w:val="auto"/>
          <w:highlight w:val="none"/>
          <w:u w:val="none" w:color="auto"/>
        </w:rPr>
        <w:t>产业政策符合性分析</w:t>
      </w:r>
    </w:p>
    <w:p w14:paraId="6659DD69">
      <w:pPr>
        <w:bidi w:val="0"/>
        <w:rPr>
          <w:rFonts w:hint="default" w:ascii="Times New Roman" w:hAnsi="Times New Roman" w:cs="Times New Roman"/>
          <w:color w:val="auto"/>
          <w:highlight w:val="none"/>
          <w:u w:val="none" w:color="auto"/>
        </w:rPr>
      </w:pPr>
      <w:bookmarkStart w:id="31" w:name="1.4.1.1与《产业结构调整指导目录（2019年本）》的符合性"/>
      <w:bookmarkEnd w:id="31"/>
      <w:r>
        <w:rPr>
          <w:rFonts w:hint="default" w:ascii="Times New Roman" w:hAnsi="Times New Roman" w:cs="Times New Roman"/>
          <w:color w:val="auto"/>
          <w:highlight w:val="none"/>
          <w:u w:val="none" w:color="auto"/>
        </w:rPr>
        <w:t>本项目国民经济行业类别为D4620污水处理及其再生利用，对照《产业结构调整指导目录（2024年本）》，项目属于第一类“鼓励类”第四十二条“环境保护与资源节约综合利用”第10项“工业“三废”循环利用”，项目符合国家产业政策。</w:t>
      </w:r>
      <w:r>
        <w:rPr>
          <w:rFonts w:hint="default" w:ascii="Times New Roman" w:hAnsi="Times New Roman" w:cs="Times New Roman"/>
          <w:highlight w:val="none"/>
        </w:rPr>
        <w:t>该项目不属于《市场准入负面清单（</w:t>
      </w:r>
      <w:r>
        <w:rPr>
          <w:rFonts w:hint="eastAsia" w:ascii="Times New Roman" w:hAnsi="Times New Roman" w:cs="Times New Roman"/>
          <w:highlight w:val="none"/>
          <w:lang w:val="en-US" w:eastAsia="zh-CN"/>
        </w:rPr>
        <w:t>2022</w:t>
      </w:r>
      <w:r>
        <w:rPr>
          <w:rFonts w:hint="default" w:ascii="Times New Roman" w:hAnsi="Times New Roman" w:cs="Times New Roman"/>
          <w:highlight w:val="none"/>
        </w:rPr>
        <w:t>年版）》中</w:t>
      </w:r>
      <w:r>
        <w:rPr>
          <w:rFonts w:hint="default" w:ascii="Times New Roman" w:hAnsi="Times New Roman" w:cs="Times New Roman"/>
          <w:highlight w:val="none"/>
          <w:lang w:eastAsia="zh-CN"/>
        </w:rPr>
        <w:t>“</w:t>
      </w:r>
      <w:r>
        <w:rPr>
          <w:rFonts w:hint="default" w:ascii="Times New Roman" w:hAnsi="Times New Roman" w:cs="Times New Roman"/>
          <w:highlight w:val="none"/>
        </w:rPr>
        <w:t>禁止类</w:t>
      </w:r>
      <w:r>
        <w:rPr>
          <w:rFonts w:hint="default" w:ascii="Times New Roman" w:hAnsi="Times New Roman" w:cs="Times New Roman"/>
          <w:highlight w:val="none"/>
          <w:lang w:eastAsia="zh-CN"/>
        </w:rPr>
        <w:t>”</w:t>
      </w:r>
      <w:r>
        <w:rPr>
          <w:rFonts w:hint="default" w:ascii="Times New Roman" w:hAnsi="Times New Roman" w:cs="Times New Roman"/>
          <w:highlight w:val="none"/>
        </w:rPr>
        <w:t>项目。因此，该项目符合当前国家产业政策</w:t>
      </w:r>
      <w:r>
        <w:rPr>
          <w:rFonts w:hint="default" w:ascii="Times New Roman" w:hAnsi="Times New Roman" w:cs="Times New Roman"/>
          <w:color w:val="auto"/>
          <w:highlight w:val="none"/>
          <w:u w:val="none" w:color="auto"/>
        </w:rPr>
        <w:t>。</w:t>
      </w:r>
    </w:p>
    <w:p w14:paraId="213D9B04">
      <w:pPr>
        <w:pStyle w:val="6"/>
        <w:rPr>
          <w:rFonts w:hint="default" w:ascii="Times New Roman" w:hAnsi="Times New Roman" w:cs="Times New Roman"/>
          <w:color w:val="auto"/>
          <w:highlight w:val="none"/>
          <w:u w:val="none" w:color="auto"/>
        </w:rPr>
      </w:pPr>
      <w:bookmarkStart w:id="32" w:name="1.4.1.4与《汽车产业投资管理规定》的符合性分析"/>
      <w:bookmarkEnd w:id="32"/>
      <w:bookmarkStart w:id="33" w:name="1.4.2规划符合性分析"/>
      <w:bookmarkEnd w:id="33"/>
      <w:bookmarkStart w:id="34" w:name="1.4.1.3与《汽车产业发展政策（2009年修订）》的符合性分析"/>
      <w:bookmarkEnd w:id="34"/>
      <w:r>
        <w:rPr>
          <w:rFonts w:hint="default" w:ascii="Times New Roman" w:hAnsi="Times New Roman" w:cs="Times New Roman"/>
          <w:color w:val="auto"/>
          <w:highlight w:val="none"/>
          <w:u w:val="none" w:color="auto"/>
        </w:rPr>
        <w:t>规划符合性分析</w:t>
      </w:r>
    </w:p>
    <w:p w14:paraId="53BD895A">
      <w:pPr>
        <w:bidi w:val="0"/>
        <w:rPr>
          <w:rFonts w:hint="default" w:ascii="Times New Roman" w:hAnsi="Times New Roman" w:eastAsia="宋体" w:cs="Times New Roman"/>
          <w:color w:val="auto"/>
          <w:szCs w:val="24"/>
          <w:highlight w:val="none"/>
          <w:u w:val="single"/>
        </w:rPr>
      </w:pPr>
      <w:bookmarkStart w:id="35" w:name="1.4.2.1与《大气污染防治行动计划》的符合性分析"/>
      <w:bookmarkEnd w:id="35"/>
      <w:r>
        <w:rPr>
          <w:rFonts w:hint="default" w:ascii="Times New Roman" w:hAnsi="Times New Roman" w:cs="Times New Roman"/>
          <w:highlight w:val="none"/>
        </w:rPr>
        <w:t>湘阴高新技术产业开发区原名为湖南湘阴工业园、湖南湘阴工业园，位于岳阳市湘阴县，成立于2003年4月。2006年4月，经湖南省人民政府（湘政函[2006]79号）批准为省级工业园区。2013年园区管委会委托编制《湖南湘阴工业园区环境影响报告书》，于2013年12月取得原湖南省环境保护厅批复（湘环评[2013]305号）。2016年7月，《湖南省人民政府关于设立湘阴高新技术产业开发区的批复》（湘政函［2016］103号），同意在湘阴工业园基础上建设湘阴高新技术产业开发区。2020年4月，湖南省发展和改革委员会《关于同意湘阴高新技术产业开发区开展调区扩区前期工作的函》（湘发改函[2020]52号）。2020年园区管委会委托湖南葆华环保有限公司编制《湘阴高新技术产业开发区调区扩区规划环境影响报告书》，2022年6月获得湖南省生态环境厅审查意见（湘环评函[2022]65号）。</w:t>
      </w:r>
    </w:p>
    <w:p w14:paraId="232B3BFA">
      <w:pPr>
        <w:keepNext w:val="0"/>
        <w:keepLines w:val="0"/>
        <w:pageBreakBefore w:val="0"/>
        <w:widowControl/>
        <w:kinsoku/>
        <w:wordWrap/>
        <w:overflowPunct/>
        <w:topLinePunct w:val="0"/>
        <w:bidi w:val="0"/>
        <w:spacing w:line="360" w:lineRule="auto"/>
        <w:ind w:right="0" w:firstLine="482" w:firstLineChars="200"/>
        <w:textAlignment w:val="auto"/>
        <w:rPr>
          <w:rFonts w:hint="default" w:ascii="Times New Roman" w:hAnsi="Times New Roman" w:eastAsia="宋体" w:cs="Times New Roman"/>
          <w:b/>
          <w:bCs/>
          <w:color w:val="auto"/>
          <w:sz w:val="24"/>
          <w:szCs w:val="24"/>
          <w:highlight w:val="none"/>
          <w:u w:val="none"/>
        </w:rPr>
      </w:pPr>
      <w:bookmarkStart w:id="36" w:name="1.4.3与《挥发性有机物（VOCs）污染防治技术政策》符合性分析"/>
      <w:bookmarkEnd w:id="36"/>
      <w:r>
        <w:rPr>
          <w:rFonts w:hint="eastAsia" w:ascii="Times New Roman" w:hAnsi="Times New Roman" w:cs="Times New Roman"/>
          <w:b/>
          <w:bCs/>
          <w:color w:val="auto"/>
          <w:sz w:val="24"/>
          <w:szCs w:val="24"/>
          <w:highlight w:val="none"/>
          <w:u w:val="none"/>
          <w:lang w:val="en-US" w:eastAsia="zh-CN"/>
        </w:rPr>
        <w:t>1</w:t>
      </w:r>
      <w:r>
        <w:rPr>
          <w:rFonts w:hint="default" w:ascii="Times New Roman" w:hAnsi="Times New Roman" w:eastAsia="宋体" w:cs="Times New Roman"/>
          <w:b/>
          <w:bCs/>
          <w:color w:val="auto"/>
          <w:sz w:val="24"/>
          <w:szCs w:val="24"/>
          <w:highlight w:val="none"/>
          <w:u w:val="none"/>
        </w:rPr>
        <w:t>、与湘阴高新技术产业开发区相符性分析</w:t>
      </w:r>
    </w:p>
    <w:p w14:paraId="76559D6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根据《湘阴高新技术产业开发区调区扩区规划环境影响报告书》，本项目位于片区新材料产业区，本项目与园区企业引进准入条件符合性分析如下：</w:t>
      </w:r>
    </w:p>
    <w:p w14:paraId="6A51FD57">
      <w:pPr>
        <w:pStyle w:val="39"/>
        <w:bidi w:val="0"/>
        <w:rPr>
          <w:rFonts w:hint="default"/>
        </w:rPr>
      </w:pPr>
      <w:r>
        <w:rPr>
          <w:rFonts w:hint="default"/>
        </w:rPr>
        <w:t>表 1.4</w:t>
      </w:r>
      <w:r>
        <w:rPr>
          <w:rFonts w:hint="default"/>
        </w:rPr>
        <w:noBreakHyphen/>
      </w:r>
      <w:r>
        <w:rPr>
          <w:rFonts w:hint="eastAsia"/>
          <w:lang w:val="en-US" w:eastAsia="zh-CN"/>
        </w:rPr>
        <w:t xml:space="preserve">1  </w:t>
      </w:r>
      <w:r>
        <w:rPr>
          <w:rFonts w:hint="default"/>
        </w:rPr>
        <w:t>湘阴高新区环境准入行业清单</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5"/>
        <w:gridCol w:w="709"/>
        <w:gridCol w:w="4963"/>
        <w:gridCol w:w="2032"/>
      </w:tblGrid>
      <w:tr w14:paraId="228B5C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78" w:type="pct"/>
            <w:vAlign w:val="center"/>
          </w:tcPr>
          <w:p w14:paraId="087B7E72">
            <w:pPr>
              <w:pStyle w:val="42"/>
              <w:keepNext w:val="0"/>
              <w:keepLines w:val="0"/>
              <w:widowControl/>
              <w:suppressLineNumbers w:val="0"/>
              <w:bidi w:val="0"/>
              <w:spacing w:before="0" w:beforeAutospacing="0" w:after="0" w:afterAutospacing="0"/>
              <w:jc w:val="center"/>
              <w:rPr>
                <w:rFonts w:hint="default"/>
              </w:rPr>
            </w:pPr>
            <w:bookmarkStart w:id="37" w:name="_Hlk97326084"/>
            <w:r>
              <w:rPr>
                <w:rFonts w:hint="default"/>
              </w:rPr>
              <w:t>区域</w:t>
            </w:r>
          </w:p>
        </w:tc>
        <w:tc>
          <w:tcPr>
            <w:tcW w:w="416" w:type="pct"/>
            <w:vAlign w:val="center"/>
          </w:tcPr>
          <w:p w14:paraId="4C916020">
            <w:pPr>
              <w:pStyle w:val="42"/>
              <w:keepNext w:val="0"/>
              <w:keepLines w:val="0"/>
              <w:widowControl/>
              <w:suppressLineNumbers w:val="0"/>
              <w:bidi w:val="0"/>
              <w:spacing w:before="0" w:beforeAutospacing="0" w:after="0" w:afterAutospacing="0"/>
              <w:jc w:val="center"/>
              <w:rPr>
                <w:rFonts w:hint="default"/>
              </w:rPr>
            </w:pPr>
            <w:r>
              <w:rPr>
                <w:rFonts w:hint="default"/>
              </w:rPr>
              <w:t>类别</w:t>
            </w:r>
          </w:p>
        </w:tc>
        <w:tc>
          <w:tcPr>
            <w:tcW w:w="2911" w:type="pct"/>
            <w:vAlign w:val="center"/>
          </w:tcPr>
          <w:p w14:paraId="5D8F88FF">
            <w:pPr>
              <w:pStyle w:val="42"/>
              <w:keepNext w:val="0"/>
              <w:keepLines w:val="0"/>
              <w:widowControl/>
              <w:suppressLineNumbers w:val="0"/>
              <w:bidi w:val="0"/>
              <w:spacing w:before="0" w:beforeAutospacing="0" w:after="0" w:afterAutospacing="0"/>
              <w:jc w:val="center"/>
              <w:rPr>
                <w:rFonts w:hint="default"/>
              </w:rPr>
            </w:pPr>
            <w:r>
              <w:rPr>
                <w:rFonts w:hint="default"/>
              </w:rPr>
              <w:t>行业</w:t>
            </w:r>
          </w:p>
        </w:tc>
        <w:tc>
          <w:tcPr>
            <w:tcW w:w="1192" w:type="pct"/>
            <w:vAlign w:val="center"/>
          </w:tcPr>
          <w:p w14:paraId="2B42B7AE">
            <w:pPr>
              <w:pStyle w:val="42"/>
              <w:keepNext w:val="0"/>
              <w:keepLines w:val="0"/>
              <w:widowControl/>
              <w:suppressLineNumbers w:val="0"/>
              <w:bidi w:val="0"/>
              <w:spacing w:before="0" w:beforeAutospacing="0" w:after="0" w:afterAutospacing="0"/>
              <w:jc w:val="center"/>
              <w:rPr>
                <w:rFonts w:hint="default"/>
              </w:rPr>
            </w:pPr>
            <w:r>
              <w:rPr>
                <w:rFonts w:hint="default"/>
              </w:rPr>
              <w:t>本项目情况</w:t>
            </w:r>
          </w:p>
        </w:tc>
      </w:tr>
      <w:tr w14:paraId="53F2F8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8" w:type="pct"/>
            <w:vMerge w:val="restart"/>
            <w:vAlign w:val="center"/>
          </w:tcPr>
          <w:p w14:paraId="0F9BE177">
            <w:pPr>
              <w:pStyle w:val="42"/>
              <w:keepNext w:val="0"/>
              <w:keepLines w:val="0"/>
              <w:widowControl/>
              <w:suppressLineNumbers w:val="0"/>
              <w:bidi w:val="0"/>
              <w:spacing w:before="0" w:beforeAutospacing="0" w:after="0" w:afterAutospacing="0"/>
              <w:jc w:val="center"/>
              <w:rPr>
                <w:rFonts w:hint="default" w:eastAsia="宋体"/>
                <w:highlight w:val="none"/>
                <w:lang w:val="en-US" w:eastAsia="zh-CN"/>
              </w:rPr>
            </w:pPr>
            <w:r>
              <w:rPr>
                <w:rFonts w:hint="default"/>
                <w:highlight w:val="none"/>
              </w:rPr>
              <w:t>片区</w:t>
            </w:r>
            <w:r>
              <w:rPr>
                <w:rFonts w:hint="eastAsia"/>
                <w:highlight w:val="none"/>
                <w:lang w:val="en-US" w:eastAsia="zh-CN"/>
              </w:rPr>
              <w:t>其它区域</w:t>
            </w:r>
          </w:p>
        </w:tc>
        <w:tc>
          <w:tcPr>
            <w:tcW w:w="416" w:type="pct"/>
            <w:vAlign w:val="center"/>
          </w:tcPr>
          <w:p w14:paraId="23D365FB">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产业定位</w:t>
            </w:r>
          </w:p>
        </w:tc>
        <w:tc>
          <w:tcPr>
            <w:tcW w:w="2911" w:type="pct"/>
            <w:vAlign w:val="center"/>
          </w:tcPr>
          <w:p w14:paraId="06B51F0C">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主要发展装备制造、食品加工、电子信息、建筑建材产业。代表行业：C13农副食品加工业、C14食品制造业；C21家具制造业；C33金属制品业、C34通用设备制造业、C35专用设备制造业，C36汽车制造业、C37铁路、船舶、航空航天和其他运输设备制造业、C38电气机械和器材制造业；C39计算机、通信和其他电子设备制造业；</w:t>
            </w:r>
          </w:p>
        </w:tc>
        <w:tc>
          <w:tcPr>
            <w:tcW w:w="1192" w:type="pct"/>
            <w:vAlign w:val="center"/>
          </w:tcPr>
          <w:p w14:paraId="638AA7ED">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本项目</w:t>
            </w:r>
            <w:r>
              <w:rPr>
                <w:rFonts w:hint="eastAsia"/>
                <w:highlight w:val="none"/>
                <w:lang w:val="en-US" w:eastAsia="zh-CN"/>
              </w:rPr>
              <w:t>为佳海食品产业园的配套污水处理站</w:t>
            </w:r>
            <w:r>
              <w:rPr>
                <w:rFonts w:hint="default"/>
                <w:highlight w:val="none"/>
              </w:rPr>
              <w:t>，符合产业定位。</w:t>
            </w:r>
          </w:p>
        </w:tc>
      </w:tr>
      <w:tr w14:paraId="1C3DC8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2AF2AD23">
            <w:pPr>
              <w:pStyle w:val="42"/>
              <w:keepNext w:val="0"/>
              <w:keepLines w:val="0"/>
              <w:widowControl/>
              <w:suppressLineNumbers w:val="0"/>
              <w:bidi w:val="0"/>
              <w:spacing w:before="0" w:beforeAutospacing="0" w:after="0" w:afterAutospacing="0"/>
              <w:jc w:val="center"/>
              <w:rPr>
                <w:rFonts w:hint="default"/>
                <w:highlight w:val="none"/>
              </w:rPr>
            </w:pPr>
          </w:p>
        </w:tc>
        <w:tc>
          <w:tcPr>
            <w:tcW w:w="416" w:type="pct"/>
            <w:vAlign w:val="center"/>
          </w:tcPr>
          <w:p w14:paraId="2FD145D0">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限制类</w:t>
            </w:r>
          </w:p>
        </w:tc>
        <w:tc>
          <w:tcPr>
            <w:tcW w:w="2911" w:type="pct"/>
            <w:vAlign w:val="center"/>
          </w:tcPr>
          <w:p w14:paraId="24C57221">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涉及挥发性有机物排放较大的喷漆、家具制造等行业；使用油性涂料且用量较大的项目；严格控制重金属类污染物和持久性有机污染物等有毒有害物质排放的项目。</w:t>
            </w:r>
          </w:p>
        </w:tc>
        <w:tc>
          <w:tcPr>
            <w:tcW w:w="1192" w:type="pct"/>
            <w:vAlign w:val="center"/>
          </w:tcPr>
          <w:p w14:paraId="124DFC0B">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本项目</w:t>
            </w:r>
            <w:r>
              <w:rPr>
                <w:rFonts w:hint="eastAsia"/>
                <w:highlight w:val="none"/>
                <w:lang w:val="en-US" w:eastAsia="zh-CN"/>
              </w:rPr>
              <w:t>不属于喷漆、家具制造，也无需使用油性涂料，且不涉及</w:t>
            </w:r>
            <w:r>
              <w:rPr>
                <w:rFonts w:hint="default"/>
                <w:highlight w:val="none"/>
              </w:rPr>
              <w:t>重金属类污染物和持久性有机污染物等有毒有害物质排放的项目。</w:t>
            </w:r>
          </w:p>
        </w:tc>
      </w:tr>
      <w:tr w14:paraId="54FDC4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8" w:type="pct"/>
            <w:vMerge w:val="continue"/>
            <w:vAlign w:val="center"/>
          </w:tcPr>
          <w:p w14:paraId="15F2D0D8">
            <w:pPr>
              <w:pStyle w:val="42"/>
              <w:keepNext w:val="0"/>
              <w:keepLines w:val="0"/>
              <w:widowControl/>
              <w:suppressLineNumbers w:val="0"/>
              <w:bidi w:val="0"/>
              <w:spacing w:before="0" w:beforeAutospacing="0" w:after="0" w:afterAutospacing="0"/>
              <w:jc w:val="center"/>
              <w:rPr>
                <w:rFonts w:hint="default"/>
                <w:highlight w:val="none"/>
              </w:rPr>
            </w:pPr>
          </w:p>
        </w:tc>
        <w:tc>
          <w:tcPr>
            <w:tcW w:w="416" w:type="pct"/>
            <w:vAlign w:val="center"/>
          </w:tcPr>
          <w:p w14:paraId="276F795C">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禁止类</w:t>
            </w:r>
          </w:p>
        </w:tc>
        <w:tc>
          <w:tcPr>
            <w:tcW w:w="2911" w:type="pct"/>
            <w:vAlign w:val="center"/>
          </w:tcPr>
          <w:p w14:paraId="464411E3">
            <w:pPr>
              <w:pStyle w:val="42"/>
              <w:keepNext w:val="0"/>
              <w:keepLines w:val="0"/>
              <w:widowControl/>
              <w:suppressLineNumbers w:val="0"/>
              <w:bidi w:val="0"/>
              <w:spacing w:before="0" w:beforeAutospacing="0" w:after="0" w:afterAutospacing="0"/>
              <w:jc w:val="center"/>
              <w:rPr>
                <w:rFonts w:hint="default"/>
                <w:highlight w:val="none"/>
              </w:rPr>
            </w:pPr>
            <w:r>
              <w:rPr>
                <w:rFonts w:hint="default"/>
                <w:highlight w:val="none"/>
              </w:rPr>
              <w:t>禁止建设印刷线路板项目；禁止引入化工、平板玻璃、水泥、烧结砖瓦、陶瓷制品项目；C271化学药品原料药制造；C31黑色金属冶炼和压延加工业（C313钢压延加工除外）、C32有色金属冶炼和压延加工业(C325有色金属压延加工除外)。</w:t>
            </w:r>
          </w:p>
        </w:tc>
        <w:tc>
          <w:tcPr>
            <w:tcW w:w="1192" w:type="pct"/>
            <w:vAlign w:val="center"/>
          </w:tcPr>
          <w:p w14:paraId="6286FE92">
            <w:pPr>
              <w:pStyle w:val="42"/>
              <w:keepNext w:val="0"/>
              <w:keepLines w:val="0"/>
              <w:widowControl/>
              <w:suppressLineNumbers w:val="0"/>
              <w:bidi w:val="0"/>
              <w:spacing w:before="0" w:beforeAutospacing="0" w:after="0" w:afterAutospacing="0"/>
              <w:jc w:val="center"/>
              <w:rPr>
                <w:rFonts w:hint="default"/>
                <w:highlight w:val="none"/>
                <w:lang w:val="en-US" w:eastAsia="zh-CN"/>
              </w:rPr>
            </w:pPr>
            <w:r>
              <w:rPr>
                <w:rFonts w:hint="eastAsia"/>
                <w:highlight w:val="none"/>
                <w:lang w:val="en-US" w:eastAsia="zh-CN"/>
              </w:rPr>
              <w:t>本项目为污水处理站建设项目</w:t>
            </w:r>
          </w:p>
        </w:tc>
      </w:tr>
      <w:bookmarkEnd w:id="37"/>
    </w:tbl>
    <w:p w14:paraId="575AC3EC">
      <w:pPr>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综上，本项目属于园区</w:t>
      </w:r>
      <w:r>
        <w:rPr>
          <w:rFonts w:hint="default" w:ascii="Times New Roman" w:hAnsi="Times New Roman" w:cs="Times New Roman"/>
          <w:color w:val="auto"/>
          <w:highlight w:val="none"/>
          <w:u w:val="none"/>
          <w:lang w:eastAsia="zh-CN"/>
        </w:rPr>
        <w:t>主区</w:t>
      </w:r>
      <w:r>
        <w:rPr>
          <w:rFonts w:hint="default" w:ascii="Times New Roman" w:hAnsi="Times New Roman" w:cs="Times New Roman"/>
          <w:color w:val="auto"/>
          <w:highlight w:val="none"/>
          <w:u w:val="none"/>
        </w:rPr>
        <w:t>产业定位的行业正面清单项目。</w:t>
      </w:r>
    </w:p>
    <w:p w14:paraId="66F63F3F">
      <w:pPr>
        <w:bidi w:val="0"/>
        <w:rPr>
          <w:rFonts w:hint="default" w:ascii="Times New Roman" w:hAnsi="Times New Roman" w:cs="Times New Roman"/>
          <w:b/>
          <w:bCs/>
          <w:highlight w:val="none"/>
        </w:rPr>
      </w:pPr>
      <w:r>
        <w:rPr>
          <w:rFonts w:hint="eastAsia" w:ascii="Times New Roman" w:hAnsi="Times New Roman" w:cs="Times New Roman"/>
          <w:b/>
          <w:bCs/>
          <w:highlight w:val="none"/>
          <w:lang w:val="en-US" w:eastAsia="zh-CN"/>
        </w:rPr>
        <w:t>2</w:t>
      </w:r>
      <w:r>
        <w:rPr>
          <w:rFonts w:hint="default" w:ascii="Times New Roman" w:hAnsi="Times New Roman" w:cs="Times New Roman"/>
          <w:b/>
          <w:bCs/>
          <w:highlight w:val="none"/>
          <w:lang w:val="en-US" w:eastAsia="zh-CN"/>
        </w:rPr>
        <w:t>、</w:t>
      </w:r>
      <w:r>
        <w:rPr>
          <w:rFonts w:hint="default" w:ascii="Times New Roman" w:hAnsi="Times New Roman" w:cs="Times New Roman"/>
          <w:b/>
          <w:bCs/>
          <w:highlight w:val="none"/>
        </w:rPr>
        <w:t>与湘阴高新技术产业开发区规划及环评审查意见的符合性</w:t>
      </w:r>
    </w:p>
    <w:p w14:paraId="208447EF">
      <w:pPr>
        <w:bidi w:val="0"/>
        <w:rPr>
          <w:rFonts w:hint="default"/>
        </w:rPr>
      </w:pPr>
      <w:r>
        <w:rPr>
          <w:rFonts w:hint="default"/>
        </w:rPr>
        <w:t>本项目位于湖南省岳阳市湘阴工业园区下的产业园片区内，属于湖南湘阴高新技术产业开发区范围内，本项目与《湘阴高新技术产业开发区调区扩区规划环境影响报告书》审查意见（湘环评函[2022]65号）相符性分析如下。</w:t>
      </w:r>
    </w:p>
    <w:p w14:paraId="6279E447">
      <w:pPr>
        <w:pStyle w:val="39"/>
        <w:bidi w:val="0"/>
        <w:rPr>
          <w:rFonts w:hint="default" w:ascii="Times New Roman" w:hAnsi="Times New Roman" w:cs="Times New Roman"/>
          <w:highlight w:val="none"/>
        </w:rPr>
      </w:pPr>
      <w:r>
        <w:rPr>
          <w:rFonts w:hint="default"/>
        </w:rPr>
        <w:t>表1</w:t>
      </w:r>
      <w:r>
        <w:rPr>
          <w:rFonts w:hint="default"/>
          <w:lang w:val="en-US" w:eastAsia="zh-CN"/>
        </w:rPr>
        <w:t>.4</w:t>
      </w:r>
      <w:r>
        <w:rPr>
          <w:rFonts w:hint="default"/>
        </w:rPr>
        <w:t>-</w:t>
      </w:r>
      <w:r>
        <w:rPr>
          <w:rFonts w:hint="default"/>
          <w:lang w:val="en-US" w:eastAsia="zh-CN"/>
        </w:rPr>
        <w:t>2</w:t>
      </w:r>
      <w:r>
        <w:rPr>
          <w:rFonts w:hint="default"/>
        </w:rPr>
        <w:t xml:space="preserve">  项目与《</w:t>
      </w:r>
      <w:bookmarkStart w:id="38" w:name="OLE_LINK9"/>
      <w:r>
        <w:rPr>
          <w:rFonts w:hint="default"/>
        </w:rPr>
        <w:t>湘阴高新技术产业开发区</w:t>
      </w:r>
      <w:bookmarkEnd w:id="38"/>
      <w:r>
        <w:rPr>
          <w:rFonts w:hint="default"/>
        </w:rPr>
        <w:t>调区扩区规划环境影响报告书》</w:t>
      </w:r>
      <w:r>
        <w:rPr>
          <w:rFonts w:hint="default" w:ascii="Times New Roman" w:hAnsi="Times New Roman" w:cs="Times New Roman"/>
          <w:highlight w:val="none"/>
        </w:rPr>
        <w:t>审查意见的相符性分析</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4795"/>
        <w:gridCol w:w="2154"/>
        <w:gridCol w:w="787"/>
      </w:tblGrid>
      <w:tr w14:paraId="2EF91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7A13EF68">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序号</w:t>
            </w:r>
          </w:p>
        </w:tc>
        <w:tc>
          <w:tcPr>
            <w:tcW w:w="5203" w:type="dxa"/>
            <w:noWrap w:val="0"/>
            <w:vAlign w:val="center"/>
          </w:tcPr>
          <w:p w14:paraId="2B7FE8CC">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园区规划及批复要求</w:t>
            </w:r>
          </w:p>
        </w:tc>
        <w:tc>
          <w:tcPr>
            <w:tcW w:w="2396" w:type="dxa"/>
            <w:noWrap w:val="0"/>
            <w:vAlign w:val="center"/>
          </w:tcPr>
          <w:p w14:paraId="416F6207">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项目情况</w:t>
            </w:r>
          </w:p>
        </w:tc>
        <w:tc>
          <w:tcPr>
            <w:tcW w:w="844" w:type="dxa"/>
            <w:noWrap w:val="0"/>
            <w:vAlign w:val="center"/>
          </w:tcPr>
          <w:p w14:paraId="409899AA">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是否符合</w:t>
            </w:r>
          </w:p>
        </w:tc>
      </w:tr>
      <w:tr w14:paraId="13A40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597892B8">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1</w:t>
            </w:r>
          </w:p>
        </w:tc>
        <w:tc>
          <w:tcPr>
            <w:tcW w:w="5203" w:type="dxa"/>
            <w:noWrap w:val="0"/>
            <w:vAlign w:val="center"/>
          </w:tcPr>
          <w:p w14:paraId="4BFE0683">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严格依规开发，优化空间功能</w:t>
            </w:r>
            <w:r>
              <w:rPr>
                <w:rFonts w:hint="eastAsia" w:cs="Times New Roman"/>
                <w:kern w:val="0"/>
                <w:highlight w:val="none"/>
                <w:u w:val="none"/>
                <w:lang w:eastAsia="zh-CN"/>
              </w:rPr>
              <w:t>。</w:t>
            </w:r>
            <w:r>
              <w:rPr>
                <w:rFonts w:hint="default" w:ascii="Times New Roman" w:hAnsi="Times New Roman" w:cs="Times New Roman"/>
                <w:kern w:val="0"/>
                <w:highlight w:val="none"/>
                <w:u w:val="none"/>
              </w:rPr>
              <w:t>布局园区在进行国土空间规划和开发建设过程中应充分吸收规划环评对不同功能用地和不同工业用地类别的设置意见，从规划层面提升环境相容性，并严格按照经核准的园区规划范围开发建设，园区规划用地不得涉及各类法定保护地。湘阴县政府应确保落实湘阴政函[2022]108号承诺对湘阴县老工业区17家企业的搬迁和退出方案，切实推进企业入园发展，不得违反相关规定要求在园区外新增工业项目，新引进项目及园外企业搬迁入园过程中应着重从降低环境影响的角度出发合理选址布局，不得在一类工业地上布局与之功能定位不相符的工业项目。园区调扩区发展方向区涉及状元塔、左太傅祠省级文物保护范围与建设控制地带的地块，以及涉及湖南湘阴-东湖国家湿地公园的地块，建议不纳入园区的扩区规划范围</w:t>
            </w:r>
          </w:p>
        </w:tc>
        <w:tc>
          <w:tcPr>
            <w:tcW w:w="2396" w:type="dxa"/>
            <w:noWrap w:val="0"/>
            <w:vAlign w:val="center"/>
          </w:tcPr>
          <w:p w14:paraId="19063A9A">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本项目位于湘阴高新技术产业开发区片区，用地属于</w:t>
            </w:r>
            <w:r>
              <w:rPr>
                <w:rFonts w:hint="eastAsia" w:cs="Times New Roman"/>
                <w:kern w:val="0"/>
                <w:highlight w:val="none"/>
                <w:u w:val="none"/>
                <w:lang w:val="en-US" w:eastAsia="zh-CN"/>
              </w:rPr>
              <w:t>二</w:t>
            </w:r>
            <w:r>
              <w:rPr>
                <w:rFonts w:hint="default" w:ascii="Times New Roman" w:hAnsi="Times New Roman" w:cs="Times New Roman"/>
                <w:kern w:val="0"/>
                <w:highlight w:val="none"/>
                <w:u w:val="none"/>
              </w:rPr>
              <w:t>类用地，用地符合园区用地规划，本项目</w:t>
            </w:r>
            <w:r>
              <w:rPr>
                <w:rFonts w:hint="eastAsia" w:cs="Times New Roman"/>
                <w:kern w:val="0"/>
                <w:highlight w:val="none"/>
                <w:u w:val="none"/>
                <w:lang w:val="en-US" w:eastAsia="zh-CN"/>
              </w:rPr>
              <w:t>属于佳海产业开发区配套污水处理站，项目用地不涉及</w:t>
            </w:r>
            <w:r>
              <w:rPr>
                <w:rFonts w:hint="default" w:ascii="Times New Roman" w:hAnsi="Times New Roman" w:cs="Times New Roman"/>
                <w:kern w:val="0"/>
                <w:highlight w:val="none"/>
                <w:u w:val="none"/>
              </w:rPr>
              <w:t>状元塔、左太傅祠省级文物保护范围与建设控制地带的地块，湖南湘阴-东湖国家湿地公园的地块。</w:t>
            </w:r>
          </w:p>
        </w:tc>
        <w:tc>
          <w:tcPr>
            <w:tcW w:w="844" w:type="dxa"/>
            <w:noWrap w:val="0"/>
            <w:vAlign w:val="center"/>
          </w:tcPr>
          <w:p w14:paraId="69337C4C">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符合</w:t>
            </w:r>
          </w:p>
        </w:tc>
      </w:tr>
      <w:tr w14:paraId="6D9D72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843" w:type="dxa"/>
            <w:noWrap w:val="0"/>
            <w:vAlign w:val="center"/>
          </w:tcPr>
          <w:p w14:paraId="0D704CC4">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2</w:t>
            </w:r>
          </w:p>
        </w:tc>
        <w:tc>
          <w:tcPr>
            <w:tcW w:w="5203" w:type="dxa"/>
            <w:noWrap w:val="0"/>
            <w:vAlign w:val="center"/>
          </w:tcPr>
          <w:p w14:paraId="7449D1B4">
            <w:pPr>
              <w:pStyle w:val="43"/>
              <w:keepNext w:val="0"/>
              <w:keepLines w:val="0"/>
              <w:widowControl/>
              <w:suppressLineNumbers w:val="0"/>
              <w:spacing w:before="0" w:beforeAutospacing="0" w:after="0" w:afterAutospacing="0"/>
              <w:ind w:left="0"/>
              <w:rPr>
                <w:rFonts w:hint="default"/>
                <w:highlight w:val="none"/>
              </w:rPr>
            </w:pPr>
            <w:r>
              <w:rPr>
                <w:rFonts w:hint="default" w:ascii="Times New Roman" w:hAnsi="Times New Roman" w:cs="Times New Roman"/>
                <w:kern w:val="0"/>
                <w:highlight w:val="none"/>
                <w:u w:val="none"/>
              </w:rPr>
              <w:t>严格环境准入，优化园区产业结构</w:t>
            </w:r>
            <w:r>
              <w:rPr>
                <w:rFonts w:hint="eastAsia" w:cs="Times New Roman"/>
                <w:kern w:val="0"/>
                <w:highlight w:val="none"/>
                <w:u w:val="none"/>
                <w:lang w:eastAsia="zh-CN"/>
              </w:rPr>
              <w:t>。</w:t>
            </w:r>
            <w:r>
              <w:rPr>
                <w:rFonts w:hint="default"/>
                <w:highlight w:val="none"/>
              </w:rPr>
              <w:t>园区产业引进应严格遵循《长江保护法》《长江经济带发展负面清单》《湘江保护条例》《洞庭湖保护条例》等法律法规及相关政策的要求，落实园区“三线一单”环境准入要求，严格执行《报告书》提出的产业定位和生态环境准入清单。对于园区外已有企业或项目的搬迁入园应确保实现其清洁生产水平的提升与污染物排放总量的降低。临港片区严控以气型污染为主的企业入驻；金龙片区限制水型污染为主的企业入驻。</w:t>
            </w:r>
          </w:p>
        </w:tc>
        <w:tc>
          <w:tcPr>
            <w:tcW w:w="2396" w:type="dxa"/>
            <w:noWrap w:val="0"/>
            <w:vAlign w:val="center"/>
          </w:tcPr>
          <w:p w14:paraId="6D90163D">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highlight w:val="none"/>
                <w:u w:val="none"/>
              </w:rPr>
              <w:t>本项目位于片区，</w:t>
            </w:r>
            <w:r>
              <w:rPr>
                <w:rFonts w:hint="eastAsia" w:cs="Times New Roman"/>
                <w:highlight w:val="none"/>
                <w:u w:val="none"/>
                <w:lang w:val="en-US" w:eastAsia="zh-CN"/>
              </w:rPr>
              <w:t>本项目废水</w:t>
            </w:r>
            <w:r>
              <w:rPr>
                <w:rFonts w:hint="default" w:ascii="Times New Roman" w:hAnsi="Times New Roman" w:cs="Times New Roman"/>
                <w:highlight w:val="none"/>
                <w:u w:val="none"/>
              </w:rPr>
              <w:t>经处理后能够实现达标排放。根据分析，经过采取措施处理后，污染物能够达标排放，对周边环境影响较小。</w:t>
            </w:r>
          </w:p>
        </w:tc>
        <w:tc>
          <w:tcPr>
            <w:tcW w:w="844" w:type="dxa"/>
            <w:noWrap w:val="0"/>
            <w:vAlign w:val="center"/>
          </w:tcPr>
          <w:p w14:paraId="715A4345">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符合</w:t>
            </w:r>
          </w:p>
        </w:tc>
      </w:tr>
      <w:tr w14:paraId="4BC9D9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30C31E11">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3</w:t>
            </w:r>
          </w:p>
        </w:tc>
        <w:tc>
          <w:tcPr>
            <w:tcW w:w="5203" w:type="dxa"/>
            <w:noWrap w:val="0"/>
            <w:vAlign w:val="center"/>
          </w:tcPr>
          <w:p w14:paraId="5942D46A">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落实管控措施，加强园区排污</w:t>
            </w:r>
            <w:r>
              <w:rPr>
                <w:rFonts w:hint="eastAsia" w:cs="Times New Roman"/>
                <w:kern w:val="0"/>
                <w:highlight w:val="none"/>
                <w:u w:val="none"/>
                <w:lang w:eastAsia="zh-CN"/>
              </w:rPr>
              <w:t>。</w:t>
            </w:r>
            <w:r>
              <w:rPr>
                <w:rFonts w:hint="default" w:ascii="Times New Roman" w:hAnsi="Times New Roman" w:cs="Times New Roman"/>
                <w:kern w:val="0"/>
                <w:highlight w:val="none"/>
                <w:u w:val="none"/>
              </w:rPr>
              <w:t>管理完善污水管网建设，做好雨污分流，确保园区各片区生产生活废水应收尽收，集中排入污水处理厂，园区不得超过污水处理厂的处理能力和入河排污口设置审批所规定的废水排放量引进项目。金龙片区应按承诺时限要求完成湘阴县第三污水处理厂提标升级改造工作，其排放标准应按《湖南省城镇污水处理厂主要水污染物排放标准》（DB43/T1546-2018）一级标准予以执行。园区应推广使用清洁能源，加强园区大气污染防治，采取有效措施减少污染物排放总量，严格控制无组织排放，加强对园区企业</w:t>
            </w:r>
            <w:r>
              <w:rPr>
                <w:rFonts w:hint="eastAsia" w:cs="Times New Roman"/>
                <w:kern w:val="0"/>
                <w:highlight w:val="none"/>
                <w:u w:val="none"/>
                <w:lang w:eastAsia="zh-CN"/>
              </w:rPr>
              <w:t>VOC</w:t>
            </w:r>
            <w:r>
              <w:rPr>
                <w:rFonts w:hint="eastAsia" w:cs="Times New Roman"/>
                <w:kern w:val="0"/>
                <w:highlight w:val="none"/>
                <w:u w:val="none"/>
                <w:vertAlign w:val="subscript"/>
                <w:lang w:eastAsia="zh-CN"/>
              </w:rPr>
              <w:t>S</w:t>
            </w:r>
            <w:r>
              <w:rPr>
                <w:rFonts w:hint="default" w:ascii="Times New Roman" w:hAnsi="Times New Roman" w:cs="Times New Roman"/>
                <w:kern w:val="0"/>
                <w:highlight w:val="none"/>
                <w:u w:val="none"/>
              </w:rPr>
              <w:t>排放的治理。建立园区固废规范化管理体系，做好工业固体废物和生活垃圾的分类收集、转运、综合利用和无害化处理。对危险废物产生企业和经营单位，应强化日常环境监管。园区企业须严格落实排污许可制度和污染物排放总量控制，推动入园企业开展清洁生产审核。</w:t>
            </w:r>
          </w:p>
        </w:tc>
        <w:tc>
          <w:tcPr>
            <w:tcW w:w="2396" w:type="dxa"/>
            <w:noWrap w:val="0"/>
            <w:vAlign w:val="center"/>
          </w:tcPr>
          <w:p w14:paraId="1C2FE45F">
            <w:pPr>
              <w:pStyle w:val="43"/>
              <w:keepNext w:val="0"/>
              <w:keepLines w:val="0"/>
              <w:widowControl/>
              <w:suppressLineNumbers w:val="0"/>
              <w:spacing w:before="0" w:beforeAutospacing="0" w:after="0" w:afterAutospacing="0"/>
              <w:ind w:left="0"/>
              <w:rPr>
                <w:rFonts w:hint="default" w:ascii="Times New Roman" w:hAnsi="Times New Roman" w:eastAsia="宋体" w:cs="Times New Roman"/>
                <w:kern w:val="0"/>
                <w:highlight w:val="none"/>
                <w:u w:val="none"/>
                <w:lang w:val="en-US" w:eastAsia="zh-CN"/>
              </w:rPr>
            </w:pPr>
            <w:r>
              <w:rPr>
                <w:rFonts w:hint="eastAsia" w:cs="Times New Roman"/>
                <w:kern w:val="0"/>
                <w:highlight w:val="none"/>
                <w:u w:val="none"/>
                <w:lang w:val="en-US" w:eastAsia="zh-CN"/>
              </w:rPr>
              <w:t>本项目为佳海食品产业园污水处理站建设项目，属于园区企业配套服务，对产业园工业废水进行处理。各项污染防治措施均会落实到位。</w:t>
            </w:r>
          </w:p>
        </w:tc>
        <w:tc>
          <w:tcPr>
            <w:tcW w:w="844" w:type="dxa"/>
            <w:noWrap w:val="0"/>
            <w:vAlign w:val="center"/>
          </w:tcPr>
          <w:p w14:paraId="59CD3DD9">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符合</w:t>
            </w:r>
          </w:p>
        </w:tc>
      </w:tr>
      <w:tr w14:paraId="6C438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0E88E89A">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4</w:t>
            </w:r>
          </w:p>
        </w:tc>
        <w:tc>
          <w:tcPr>
            <w:tcW w:w="5203" w:type="dxa"/>
            <w:noWrap w:val="0"/>
            <w:vAlign w:val="center"/>
          </w:tcPr>
          <w:p w14:paraId="1EA7E7D6">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强化风险管控，严防园区环境</w:t>
            </w:r>
            <w:r>
              <w:rPr>
                <w:rFonts w:hint="eastAsia" w:cs="Times New Roman"/>
                <w:kern w:val="0"/>
                <w:highlight w:val="none"/>
                <w:u w:val="none"/>
                <w:lang w:eastAsia="zh-CN"/>
              </w:rPr>
              <w:t>。</w:t>
            </w:r>
            <w:r>
              <w:rPr>
                <w:rFonts w:hint="default" w:ascii="Times New Roman" w:hAnsi="Times New Roman" w:cs="Times New Roman"/>
                <w:kern w:val="0"/>
                <w:highlight w:val="none"/>
                <w:u w:val="none"/>
              </w:rPr>
              <w:t>事故建立健全园区环境风险管理工作长效机制，开发区管理机构应建立环境监督管理机构；落实环境风险防控措施，及时完成园区环境应急预案的修订和备案工作及推动重点污染企业环境应急预案编制和备案工作，加强应急救援队伍、装备和设施建设，储备必要的应急物资，有计划地组织应急培训和演练，全面提升园区风险防控和事故应急处置能力。</w:t>
            </w:r>
          </w:p>
        </w:tc>
        <w:tc>
          <w:tcPr>
            <w:tcW w:w="2396" w:type="dxa"/>
            <w:noWrap w:val="0"/>
            <w:vAlign w:val="center"/>
          </w:tcPr>
          <w:p w14:paraId="6A61C1A9">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建设单位应建立非正常工况下应急处理措施，并做好记录。企业领导应该提高对突发性事故的警觉和认识，建立完善的环境风险防范应急预警机制。</w:t>
            </w:r>
          </w:p>
        </w:tc>
        <w:tc>
          <w:tcPr>
            <w:tcW w:w="844" w:type="dxa"/>
            <w:noWrap w:val="0"/>
            <w:vAlign w:val="center"/>
          </w:tcPr>
          <w:p w14:paraId="51901EB1">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符合</w:t>
            </w:r>
          </w:p>
        </w:tc>
      </w:tr>
      <w:tr w14:paraId="712FAD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4F7CC682">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5</w:t>
            </w:r>
          </w:p>
        </w:tc>
        <w:tc>
          <w:tcPr>
            <w:tcW w:w="5203" w:type="dxa"/>
            <w:noWrap w:val="0"/>
            <w:vAlign w:val="center"/>
          </w:tcPr>
          <w:p w14:paraId="719CFA0F">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做好周边控规，落实拆迁安置</w:t>
            </w:r>
            <w:r>
              <w:rPr>
                <w:rFonts w:hint="eastAsia" w:cs="Times New Roman"/>
                <w:kern w:val="0"/>
                <w:highlight w:val="none"/>
                <w:u w:val="none"/>
                <w:lang w:eastAsia="zh-CN"/>
              </w:rPr>
              <w:t>。</w:t>
            </w:r>
            <w:r>
              <w:rPr>
                <w:rFonts w:hint="default" w:ascii="Times New Roman" w:hAnsi="Times New Roman" w:cs="Times New Roman"/>
                <w:kern w:val="0"/>
                <w:highlight w:val="none"/>
                <w:u w:val="none"/>
              </w:rPr>
              <w:t>计划严格做好控规，杜绝在规划的工业用地上新增环境敏感目标，确保园区开发过程中的居民拆迁安置到位，防止发生居民再次安置和次生环境问题。对于具体项目环评设置防护距离和拆迁要求的，要确保予以落实。</w:t>
            </w:r>
          </w:p>
        </w:tc>
        <w:tc>
          <w:tcPr>
            <w:tcW w:w="2396" w:type="dxa"/>
            <w:noWrap w:val="0"/>
            <w:vAlign w:val="center"/>
          </w:tcPr>
          <w:p w14:paraId="0D4E52EF">
            <w:pPr>
              <w:pStyle w:val="43"/>
              <w:keepNext w:val="0"/>
              <w:keepLines w:val="0"/>
              <w:widowControl/>
              <w:suppressLineNumbers w:val="0"/>
              <w:spacing w:before="0" w:beforeAutospacing="0" w:after="0" w:afterAutospacing="0"/>
              <w:ind w:left="0"/>
              <w:rPr>
                <w:rFonts w:hint="default" w:ascii="Times New Roman" w:hAnsi="Times New Roman" w:eastAsia="宋体" w:cs="Times New Roman"/>
                <w:kern w:val="0"/>
                <w:highlight w:val="none"/>
                <w:u w:val="none"/>
                <w:lang w:val="en-US" w:eastAsia="zh-CN"/>
              </w:rPr>
            </w:pPr>
            <w:r>
              <w:rPr>
                <w:rFonts w:hint="eastAsia" w:cs="Times New Roman"/>
                <w:kern w:val="0"/>
                <w:highlight w:val="none"/>
                <w:u w:val="none"/>
                <w:lang w:val="en-US" w:eastAsia="zh-CN"/>
              </w:rPr>
              <w:t>移民安置拆迁工作已由园区落实完成，且场地均已平整</w:t>
            </w:r>
          </w:p>
        </w:tc>
        <w:tc>
          <w:tcPr>
            <w:tcW w:w="844" w:type="dxa"/>
            <w:noWrap w:val="0"/>
            <w:vAlign w:val="center"/>
          </w:tcPr>
          <w:p w14:paraId="15A46672">
            <w:pPr>
              <w:pStyle w:val="42"/>
              <w:keepNext w:val="0"/>
              <w:keepLines w:val="0"/>
              <w:widowControl/>
              <w:suppressLineNumbers w:val="0"/>
              <w:bidi w:val="0"/>
              <w:spacing w:before="0" w:beforeAutospacing="0" w:after="0" w:afterAutospacing="0"/>
              <w:rPr>
                <w:rFonts w:hint="default"/>
                <w:highlight w:val="none"/>
              </w:rPr>
            </w:pPr>
            <w:r>
              <w:rPr>
                <w:rFonts w:hint="default"/>
                <w:highlight w:val="none"/>
              </w:rPr>
              <w:t>符合</w:t>
            </w:r>
          </w:p>
        </w:tc>
      </w:tr>
      <w:tr w14:paraId="24F2C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 w:type="dxa"/>
            <w:noWrap w:val="0"/>
            <w:vAlign w:val="center"/>
          </w:tcPr>
          <w:p w14:paraId="7DDFAB0B">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6</w:t>
            </w:r>
          </w:p>
        </w:tc>
        <w:tc>
          <w:tcPr>
            <w:tcW w:w="5203" w:type="dxa"/>
            <w:noWrap w:val="0"/>
            <w:vAlign w:val="center"/>
          </w:tcPr>
          <w:p w14:paraId="11A319B0">
            <w:pPr>
              <w:pStyle w:val="43"/>
              <w:keepNext w:val="0"/>
              <w:keepLines w:val="0"/>
              <w:widowControl/>
              <w:suppressLineNumbers w:val="0"/>
              <w:spacing w:before="0" w:beforeAutospacing="0" w:after="0" w:afterAutospacing="0"/>
              <w:ind w:left="0"/>
              <w:rPr>
                <w:rFonts w:hint="default" w:ascii="Times New Roman" w:hAnsi="Times New Roman" w:cs="Times New Roman"/>
                <w:kern w:val="0"/>
                <w:highlight w:val="none"/>
                <w:u w:val="none"/>
              </w:rPr>
            </w:pPr>
            <w:r>
              <w:rPr>
                <w:rFonts w:hint="default" w:ascii="Times New Roman" w:hAnsi="Times New Roman" w:cs="Times New Roman"/>
                <w:kern w:val="0"/>
                <w:highlight w:val="none"/>
                <w:u w:val="none"/>
              </w:rPr>
              <w:t>做好园区建设期生态保护和水土保持</w:t>
            </w:r>
            <w:r>
              <w:rPr>
                <w:rFonts w:hint="eastAsia" w:cs="Times New Roman"/>
                <w:kern w:val="0"/>
                <w:highlight w:val="none"/>
                <w:u w:val="none"/>
                <w:lang w:eastAsia="zh-CN"/>
              </w:rPr>
              <w:t>。</w:t>
            </w:r>
            <w:r>
              <w:rPr>
                <w:rFonts w:hint="default" w:ascii="Times New Roman" w:hAnsi="Times New Roman" w:cs="Times New Roman"/>
                <w:kern w:val="0"/>
                <w:highlight w:val="none"/>
                <w:u w:val="none"/>
              </w:rPr>
              <w:t>施工期对于</w:t>
            </w:r>
            <w:r>
              <w:rPr>
                <w:rFonts w:hint="eastAsia" w:cs="Times New Roman"/>
                <w:kern w:val="0"/>
                <w:highlight w:val="none"/>
                <w:u w:val="none"/>
                <w:lang w:val="en-US" w:eastAsia="zh-CN"/>
              </w:rPr>
              <w:t>土</w:t>
            </w:r>
            <w:r>
              <w:rPr>
                <w:rFonts w:hint="default" w:ascii="Times New Roman" w:hAnsi="Times New Roman" w:cs="Times New Roman"/>
                <w:kern w:val="0"/>
                <w:highlight w:val="none"/>
                <w:u w:val="none"/>
              </w:rPr>
              <w:t>石方开挖、堆存及回填要实施围挡、护坡等措施，裸露地及时恢复植被，防止水土流失，杜绝后续施工建设对地表水体的污染。</w:t>
            </w:r>
          </w:p>
        </w:tc>
        <w:tc>
          <w:tcPr>
            <w:tcW w:w="2396" w:type="dxa"/>
            <w:noWrap w:val="0"/>
            <w:vAlign w:val="center"/>
          </w:tcPr>
          <w:p w14:paraId="3B0A2086">
            <w:pPr>
              <w:pStyle w:val="43"/>
              <w:keepNext w:val="0"/>
              <w:keepLines w:val="0"/>
              <w:widowControl/>
              <w:suppressLineNumbers w:val="0"/>
              <w:spacing w:before="0" w:beforeAutospacing="0" w:after="0" w:afterAutospacing="0"/>
              <w:ind w:left="0"/>
              <w:rPr>
                <w:rFonts w:hint="eastAsia" w:ascii="Times New Roman" w:hAnsi="Times New Roman" w:eastAsia="宋体" w:cs="Times New Roman"/>
                <w:kern w:val="0"/>
                <w:highlight w:val="none"/>
                <w:u w:val="none"/>
                <w:lang w:val="en-US" w:eastAsia="zh-CN"/>
              </w:rPr>
            </w:pPr>
            <w:r>
              <w:rPr>
                <w:rFonts w:hint="eastAsia" w:cs="Times New Roman"/>
                <w:kern w:val="0"/>
                <w:highlight w:val="none"/>
                <w:u w:val="none"/>
                <w:lang w:val="en-US" w:eastAsia="zh-CN"/>
              </w:rPr>
              <w:t>本项目施工期实施围挡、护坡等措施，施工完成后会进行</w:t>
            </w:r>
            <w:r>
              <w:rPr>
                <w:rFonts w:hint="default" w:ascii="Times New Roman" w:hAnsi="Times New Roman" w:cs="Times New Roman"/>
                <w:kern w:val="0"/>
                <w:highlight w:val="none"/>
                <w:u w:val="none"/>
              </w:rPr>
              <w:t>恢复植被，防止水土流失</w:t>
            </w:r>
            <w:r>
              <w:rPr>
                <w:rFonts w:hint="eastAsia" w:ascii="Times New Roman" w:hAnsi="Times New Roman" w:cs="Times New Roman"/>
                <w:kern w:val="0"/>
                <w:highlight w:val="none"/>
                <w:u w:val="none"/>
                <w:lang w:eastAsia="zh-CN"/>
              </w:rPr>
              <w:t>。</w:t>
            </w:r>
          </w:p>
        </w:tc>
        <w:tc>
          <w:tcPr>
            <w:tcW w:w="844" w:type="dxa"/>
            <w:noWrap w:val="0"/>
            <w:vAlign w:val="center"/>
          </w:tcPr>
          <w:p w14:paraId="2FA88A13">
            <w:pPr>
              <w:pStyle w:val="42"/>
              <w:keepNext w:val="0"/>
              <w:keepLines w:val="0"/>
              <w:widowControl/>
              <w:suppressLineNumbers w:val="0"/>
              <w:bidi w:val="0"/>
              <w:spacing w:before="0" w:beforeAutospacing="0" w:after="0" w:afterAutospacing="0"/>
              <w:rPr>
                <w:rFonts w:hint="default"/>
                <w:highlight w:val="none"/>
              </w:rPr>
            </w:pPr>
            <w:r>
              <w:rPr>
                <w:rFonts w:hint="default"/>
                <w:highlight w:val="none"/>
              </w:rPr>
              <w:t>符合</w:t>
            </w:r>
          </w:p>
        </w:tc>
      </w:tr>
    </w:tbl>
    <w:p w14:paraId="3D2CBC5D">
      <w:pPr>
        <w:bidi w:val="0"/>
        <w:rPr>
          <w:rFonts w:hint="default" w:ascii="Times New Roman" w:hAnsi="Times New Roman" w:cs="Times New Roman"/>
          <w:highlight w:val="none"/>
        </w:rPr>
      </w:pPr>
      <w:r>
        <w:rPr>
          <w:rFonts w:hint="default" w:ascii="Times New Roman" w:hAnsi="Times New Roman" w:cs="Times New Roman"/>
          <w:highlight w:val="none"/>
        </w:rPr>
        <w:t>综上，项目建成与《湘阴高新技术产业开发区调区扩区规划环境影响报告书》审查意见的要求是相符的。</w:t>
      </w:r>
    </w:p>
    <w:p w14:paraId="439B5798">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eastAsia="zh-CN"/>
        </w:rPr>
        <w:t>“</w:t>
      </w:r>
      <w:r>
        <w:rPr>
          <w:rFonts w:hint="eastAsia" w:cs="Times New Roman"/>
          <w:color w:val="auto"/>
          <w:highlight w:val="none"/>
          <w:u w:val="none" w:color="auto"/>
          <w:lang w:val="en-US" w:eastAsia="zh-CN"/>
        </w:rPr>
        <w:t>生态环境管控要求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分析</w:t>
      </w:r>
    </w:p>
    <w:p w14:paraId="0ED5F6AE">
      <w:pPr>
        <w:rPr>
          <w:rFonts w:hint="default" w:ascii="Times New Roman" w:hAnsi="Times New Roman" w:cs="Times New Roman"/>
          <w:highlight w:val="none"/>
        </w:rPr>
      </w:pPr>
      <w:r>
        <w:rPr>
          <w:rFonts w:hint="default" w:ascii="Times New Roman" w:hAnsi="Times New Roman" w:cs="Times New Roman"/>
          <w:highlight w:val="none"/>
        </w:rPr>
        <w:t>1）生态保护红线</w:t>
      </w:r>
    </w:p>
    <w:p w14:paraId="4684DC0B">
      <w:pPr>
        <w:rPr>
          <w:rFonts w:hint="default" w:ascii="Times New Roman" w:hAnsi="Times New Roman" w:cs="Times New Roman"/>
          <w:highlight w:val="none"/>
        </w:rPr>
      </w:pPr>
      <w:r>
        <w:rPr>
          <w:rFonts w:hint="default" w:ascii="Times New Roman" w:hAnsi="Times New Roman" w:cs="Times New Roman"/>
          <w:highlight w:val="none"/>
        </w:rPr>
        <w:t>根据《生态保护红线划定指南（环办生态〔2017〕48号）》，2018年7月26日，湖南省生态环境厅（原湖南省环保厅）印发了《湖南省生态保护红线》。全省生态保护红线空间格局为“一湖三山四水”：“一湖”为洞庭湖（主要包括东洞庭湖、南洞庭湖、横岭湖、西洞庭湖等自然保护区和长江岸线），“三山”为武陵-雪峰山脉、罗霄-幕阜山脉、南岭山脉，“四水”为湘资沅澧（湘江、资水、沅江、澧水）的源头区及重要水域。</w:t>
      </w:r>
    </w:p>
    <w:p w14:paraId="417E373C">
      <w:pPr>
        <w:rPr>
          <w:rFonts w:hint="default" w:ascii="Times New Roman" w:hAnsi="Times New Roman" w:cs="Times New Roman"/>
          <w:szCs w:val="21"/>
          <w:highlight w:val="none"/>
        </w:rPr>
      </w:pPr>
      <w:r>
        <w:rPr>
          <w:rFonts w:hint="eastAsia" w:ascii="Times New Roman" w:hAnsi="Times New Roman" w:cs="Times New Roman"/>
          <w:highlight w:val="none"/>
          <w:lang w:val="en-US" w:eastAsia="zh-CN"/>
        </w:rPr>
        <w:t>本项目位于湘阴高新技术产业开发区内</w:t>
      </w:r>
      <w:r>
        <w:rPr>
          <w:rFonts w:hint="default" w:ascii="Times New Roman" w:hAnsi="Times New Roman" w:cs="Times New Roman"/>
          <w:highlight w:val="none"/>
        </w:rPr>
        <w:t>，不在湘阴县生态保护红线范围内，项目周边以工业企业为主，距离-东湖国家湿地公园较远。</w:t>
      </w:r>
    </w:p>
    <w:p w14:paraId="6D8102E8">
      <w:pPr>
        <w:rPr>
          <w:rFonts w:hint="default" w:ascii="Times New Roman" w:hAnsi="Times New Roman" w:cs="Times New Roman"/>
          <w:szCs w:val="21"/>
          <w:highlight w:val="none"/>
        </w:rPr>
      </w:pPr>
      <w:r>
        <w:rPr>
          <w:rFonts w:hint="default" w:ascii="Times New Roman" w:hAnsi="Times New Roman" w:cs="Times New Roman"/>
          <w:szCs w:val="21"/>
          <w:highlight w:val="none"/>
        </w:rPr>
        <w:t>2）环境质量底线</w:t>
      </w:r>
    </w:p>
    <w:p w14:paraId="12F23D90">
      <w:pPr>
        <w:rPr>
          <w:rFonts w:hint="default" w:ascii="Times New Roman" w:hAnsi="Times New Roman" w:cs="Times New Roman"/>
          <w:highlight w:val="none"/>
        </w:rPr>
      </w:pPr>
      <w:r>
        <w:rPr>
          <w:rFonts w:hint="default" w:ascii="Times New Roman" w:hAnsi="Times New Roman" w:cs="Times New Roman"/>
          <w:highlight w:val="none"/>
        </w:rPr>
        <w:t>项目所在地环境空气质量目标为《环境空气质量标准》（GB3095-2012）二级标准。地表水环境质量目标为《地表水环境质量标准》（GB3838-2002）Ⅲ类标准。声环境质量为《声环境质量标准》(GB3096-2008)3类。</w:t>
      </w:r>
    </w:p>
    <w:p w14:paraId="05B50EB6">
      <w:pPr>
        <w:rPr>
          <w:rFonts w:hint="default" w:ascii="Times New Roman" w:hAnsi="Times New Roman" w:cs="Times New Roman"/>
          <w:highlight w:val="none"/>
        </w:rPr>
      </w:pPr>
      <w:r>
        <w:rPr>
          <w:rFonts w:hint="default" w:ascii="Times New Roman" w:hAnsi="Times New Roman" w:cs="Times New Roman"/>
          <w:highlight w:val="none"/>
        </w:rPr>
        <w:t>根据</w:t>
      </w:r>
      <w:r>
        <w:rPr>
          <w:rFonts w:hint="eastAsia" w:ascii="Times New Roman" w:hAnsi="Times New Roman" w:cs="Times New Roman"/>
          <w:highlight w:val="none"/>
          <w:lang w:val="en-US" w:eastAsia="zh-CN"/>
        </w:rPr>
        <w:t>湘阴县</w:t>
      </w:r>
      <w:r>
        <w:rPr>
          <w:rFonts w:hint="default" w:ascii="Times New Roman" w:hAnsi="Times New Roman" w:cs="Times New Roman"/>
          <w:highlight w:val="none"/>
        </w:rPr>
        <w:t>202</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年环境空气现状监测统计结果，</w:t>
      </w:r>
      <w:r>
        <w:rPr>
          <w:rFonts w:hint="eastAsia" w:ascii="Times New Roman" w:hAnsi="Times New Roman" w:cs="Times New Roman"/>
          <w:highlight w:val="none"/>
          <w:lang w:val="en-US" w:eastAsia="zh-CN"/>
        </w:rPr>
        <w:t>湘阴县</w:t>
      </w:r>
      <w:r>
        <w:rPr>
          <w:rFonts w:hint="default" w:ascii="Times New Roman" w:hAnsi="Times New Roman" w:cs="Times New Roman"/>
          <w:highlight w:val="none"/>
        </w:rPr>
        <w:t>环境空气常规监测点各监测因子均达到《环境空气质量标准》（GB3095-2012）二级标准要求，属于达标区。对地表水环境的质量调查，本次评价引用了202</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年乌龙嘴断面</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断面</w:t>
      </w:r>
      <w:r>
        <w:rPr>
          <w:rFonts w:hint="default" w:ascii="Times New Roman" w:hAnsi="Times New Roman" w:cs="Times New Roman"/>
          <w:highlight w:val="none"/>
        </w:rPr>
        <w:t>的监测数据。根据监测结果可知乌龙嘴断面的水质监测因子监测值均达到《地表水环境质量标准》（GB3838-2002）中的Ш类标准要求。本项目运营期产生生产废水经处理达标后排入湘阴县第二污水处理厂进一步处理，处理达标后的废水最终排入湘江。不会导致当地区域地表水环境质量下降，污染物排放不会对区域环境质量底线造成冲击。</w:t>
      </w:r>
    </w:p>
    <w:p w14:paraId="615840A3">
      <w:pPr>
        <w:rPr>
          <w:rFonts w:hint="default" w:ascii="Times New Roman" w:hAnsi="Times New Roman" w:cs="Times New Roman"/>
          <w:szCs w:val="21"/>
          <w:highlight w:val="none"/>
        </w:rPr>
      </w:pPr>
      <w:r>
        <w:rPr>
          <w:rFonts w:hint="default" w:ascii="Times New Roman" w:hAnsi="Times New Roman" w:cs="Times New Roman"/>
          <w:szCs w:val="21"/>
          <w:highlight w:val="none"/>
        </w:rPr>
        <w:t>3）资源利用上线</w:t>
      </w:r>
    </w:p>
    <w:p w14:paraId="749C4727">
      <w:pPr>
        <w:rPr>
          <w:rFonts w:hint="default" w:ascii="Times New Roman" w:hAnsi="Times New Roman" w:cs="Times New Roman"/>
          <w:szCs w:val="21"/>
          <w:highlight w:val="none"/>
        </w:rPr>
      </w:pPr>
      <w:r>
        <w:rPr>
          <w:rFonts w:hint="default" w:ascii="Times New Roman" w:hAnsi="Times New Roman" w:cs="Times New Roman"/>
          <w:highlight w:val="none"/>
        </w:rPr>
        <w:t>本项目为</w:t>
      </w:r>
      <w:r>
        <w:rPr>
          <w:rFonts w:hint="eastAsia" w:ascii="Times New Roman" w:hAnsi="Times New Roman" w:cs="Times New Roman"/>
          <w:highlight w:val="none"/>
          <w:lang w:val="en-US" w:eastAsia="zh-CN"/>
        </w:rPr>
        <w:t>污水处理站</w:t>
      </w:r>
      <w:r>
        <w:rPr>
          <w:rFonts w:hint="default" w:ascii="Times New Roman" w:hAnsi="Times New Roman" w:cs="Times New Roman"/>
          <w:highlight w:val="none"/>
        </w:rPr>
        <w:t>项目，用水来自园区市政供水管网，用水仅为工作人员的生活用水及冲洗用水，用电主要为生产和照明用电，来自市政电网，对当地资源利用影响较小。因此，项目建设符合资源利用上线要求。</w:t>
      </w:r>
    </w:p>
    <w:p w14:paraId="437CDCEE">
      <w:pPr>
        <w:rPr>
          <w:rFonts w:hint="default" w:ascii="Times New Roman" w:hAnsi="Times New Roman" w:cs="Times New Roman"/>
          <w:szCs w:val="21"/>
          <w:highlight w:val="none"/>
        </w:rPr>
      </w:pPr>
      <w:r>
        <w:rPr>
          <w:rFonts w:hint="default" w:ascii="Times New Roman" w:hAnsi="Times New Roman" w:cs="Times New Roman"/>
          <w:szCs w:val="21"/>
          <w:highlight w:val="none"/>
        </w:rPr>
        <w:t>4）项目与《湖南省</w:t>
      </w:r>
      <w:r>
        <w:rPr>
          <w:rFonts w:hint="eastAsia" w:ascii="Times New Roman" w:hAnsi="Times New Roman" w:cs="Times New Roman"/>
          <w:szCs w:val="21"/>
          <w:highlight w:val="none"/>
          <w:lang w:val="en-US" w:eastAsia="zh-CN"/>
        </w:rPr>
        <w:t>生态环境分区管控总体要求</w:t>
      </w:r>
      <w:r>
        <w:rPr>
          <w:rFonts w:hint="default" w:ascii="Times New Roman" w:hAnsi="Times New Roman" w:cs="Times New Roman"/>
          <w:szCs w:val="21"/>
          <w:highlight w:val="none"/>
        </w:rPr>
        <w:t>暨省级以上产业园区生态环境准入清单》（</w:t>
      </w:r>
      <w:r>
        <w:rPr>
          <w:rFonts w:hint="eastAsia" w:ascii="Times New Roman" w:hAnsi="Times New Roman" w:cs="Times New Roman"/>
          <w:szCs w:val="21"/>
          <w:highlight w:val="none"/>
          <w:lang w:val="en-US" w:eastAsia="zh-CN"/>
        </w:rPr>
        <w:t>2023版</w:t>
      </w:r>
      <w:r>
        <w:rPr>
          <w:rFonts w:hint="default" w:ascii="Times New Roman" w:hAnsi="Times New Roman" w:cs="Times New Roman"/>
          <w:szCs w:val="21"/>
          <w:highlight w:val="none"/>
        </w:rPr>
        <w:t>）的相符性分析</w:t>
      </w:r>
    </w:p>
    <w:p w14:paraId="734D007C">
      <w:pPr>
        <w:bidi w:val="0"/>
        <w:rPr>
          <w:rFonts w:hint="default"/>
          <w:highlight w:val="none"/>
        </w:rPr>
      </w:pPr>
      <w:r>
        <w:rPr>
          <w:rFonts w:hint="default"/>
          <w:highlight w:val="none"/>
        </w:rPr>
        <w:t>本项目位于湖南省岳阳市湘阴镇建铭大道北与芙蓉北路交汇处</w:t>
      </w:r>
      <w:r>
        <w:rPr>
          <w:rFonts w:hint="eastAsia"/>
          <w:highlight w:val="none"/>
          <w:lang w:eastAsia="zh-CN"/>
        </w:rPr>
        <w:t>湘阴佳海绿色食品产业园一期</w:t>
      </w:r>
      <w:r>
        <w:rPr>
          <w:rFonts w:hint="default"/>
          <w:highlight w:val="none"/>
        </w:rPr>
        <w:t>，属于湖南湘阴高新技术产业开发区片区，根据《湖南省“</w:t>
      </w:r>
      <w:r>
        <w:rPr>
          <w:rFonts w:hint="default"/>
        </w:rPr>
        <w:t>三线一单”生态环境总体管控要求暨省级以上产业园区</w:t>
      </w:r>
      <w:r>
        <w:rPr>
          <w:rFonts w:hint="default"/>
          <w:highlight w:val="none"/>
        </w:rPr>
        <w:t>生态环境准入清单》（湘环函〔2024〕26号）可知，项目所在地管控单元类型属于重点管控单元，编号为ZH43062420002，同时结合《湘阴高新技术产业开发区调区扩区规划环境影响报告书》中动态更新建议进行分析，具体分析如下。</w:t>
      </w:r>
    </w:p>
    <w:p w14:paraId="757A6CED">
      <w:pPr>
        <w:pStyle w:val="39"/>
        <w:bidi w:val="0"/>
        <w:rPr>
          <w:rFonts w:hint="default" w:ascii="Times New Roman" w:hAnsi="Times New Roman" w:cs="Times New Roman"/>
          <w:highlight w:val="none"/>
        </w:rPr>
      </w:pPr>
      <w:r>
        <w:rPr>
          <w:rFonts w:hint="default" w:ascii="Times New Roman" w:hAnsi="Times New Roman" w:cs="Times New Roman"/>
          <w:highlight w:val="none"/>
        </w:rPr>
        <w:t>表1</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 xml:space="preserve"> 省级以上产业园区生态环境准入清单符合性分析</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0"/>
        <w:gridCol w:w="4621"/>
        <w:gridCol w:w="2470"/>
        <w:gridCol w:w="759"/>
      </w:tblGrid>
      <w:tr w14:paraId="335F4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15220584">
            <w:pPr>
              <w:pStyle w:val="46"/>
              <w:keepNext w:val="0"/>
              <w:keepLines w:val="0"/>
              <w:widowControl/>
              <w:suppressLineNumbers w:val="0"/>
              <w:bidi w:val="0"/>
              <w:spacing w:beforeAutospacing="0" w:after="0" w:afterAutospacing="0"/>
              <w:ind w:left="0" w:right="0"/>
              <w:rPr>
                <w:rFonts w:hint="default"/>
              </w:rPr>
            </w:pPr>
            <w:r>
              <w:rPr>
                <w:rFonts w:hint="default"/>
              </w:rPr>
              <w:t>管控维度</w:t>
            </w:r>
          </w:p>
        </w:tc>
        <w:tc>
          <w:tcPr>
            <w:tcW w:w="2711" w:type="pct"/>
            <w:vAlign w:val="center"/>
          </w:tcPr>
          <w:p w14:paraId="7FACE6C8">
            <w:pPr>
              <w:pStyle w:val="46"/>
              <w:keepNext w:val="0"/>
              <w:keepLines w:val="0"/>
              <w:widowControl/>
              <w:suppressLineNumbers w:val="0"/>
              <w:bidi w:val="0"/>
              <w:spacing w:beforeAutospacing="0" w:after="0" w:afterAutospacing="0"/>
              <w:ind w:left="0" w:right="0"/>
              <w:rPr>
                <w:rFonts w:hint="default"/>
              </w:rPr>
            </w:pPr>
            <w:r>
              <w:rPr>
                <w:rFonts w:hint="default"/>
              </w:rPr>
              <w:t>管控要求</w:t>
            </w:r>
          </w:p>
        </w:tc>
        <w:tc>
          <w:tcPr>
            <w:tcW w:w="1449" w:type="pct"/>
            <w:vAlign w:val="center"/>
          </w:tcPr>
          <w:p w14:paraId="60FCE740">
            <w:pPr>
              <w:pStyle w:val="46"/>
              <w:keepNext w:val="0"/>
              <w:keepLines w:val="0"/>
              <w:widowControl/>
              <w:suppressLineNumbers w:val="0"/>
              <w:bidi w:val="0"/>
              <w:spacing w:beforeAutospacing="0" w:after="0" w:afterAutospacing="0"/>
              <w:ind w:left="0" w:right="0"/>
              <w:rPr>
                <w:rFonts w:hint="default"/>
              </w:rPr>
            </w:pPr>
            <w:r>
              <w:rPr>
                <w:rFonts w:hint="default"/>
              </w:rPr>
              <w:t>项目情况</w:t>
            </w:r>
          </w:p>
        </w:tc>
        <w:tc>
          <w:tcPr>
            <w:tcW w:w="445" w:type="pct"/>
            <w:vAlign w:val="center"/>
          </w:tcPr>
          <w:p w14:paraId="3DA50607">
            <w:pPr>
              <w:pStyle w:val="46"/>
              <w:keepNext w:val="0"/>
              <w:keepLines w:val="0"/>
              <w:widowControl/>
              <w:suppressLineNumbers w:val="0"/>
              <w:bidi w:val="0"/>
              <w:spacing w:beforeAutospacing="0" w:after="0" w:afterAutospacing="0"/>
              <w:ind w:left="0" w:right="0"/>
              <w:rPr>
                <w:rFonts w:hint="default"/>
              </w:rPr>
            </w:pPr>
            <w:r>
              <w:rPr>
                <w:rFonts w:hint="default"/>
              </w:rPr>
              <w:t>符合性</w:t>
            </w:r>
          </w:p>
        </w:tc>
      </w:tr>
      <w:tr w14:paraId="068CF1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1DC0FF22">
            <w:pPr>
              <w:pStyle w:val="46"/>
              <w:keepNext w:val="0"/>
              <w:keepLines w:val="0"/>
              <w:widowControl/>
              <w:suppressLineNumbers w:val="0"/>
              <w:bidi w:val="0"/>
              <w:spacing w:beforeAutospacing="0" w:after="0" w:afterAutospacing="0"/>
              <w:ind w:left="0" w:right="0"/>
              <w:rPr>
                <w:rFonts w:hint="default"/>
              </w:rPr>
            </w:pPr>
            <w:r>
              <w:rPr>
                <w:rFonts w:hint="default"/>
              </w:rPr>
              <w:t>主导产业</w:t>
            </w:r>
          </w:p>
        </w:tc>
        <w:tc>
          <w:tcPr>
            <w:tcW w:w="2711" w:type="pct"/>
            <w:vAlign w:val="center"/>
          </w:tcPr>
          <w:p w14:paraId="16965748">
            <w:pPr>
              <w:pStyle w:val="46"/>
              <w:keepNext w:val="0"/>
              <w:keepLines w:val="0"/>
              <w:widowControl/>
              <w:suppressLineNumbers w:val="0"/>
              <w:bidi w:val="0"/>
              <w:spacing w:beforeAutospacing="0" w:after="0" w:afterAutospacing="0"/>
              <w:ind w:left="0" w:right="0"/>
              <w:rPr>
                <w:rFonts w:hint="default"/>
              </w:rPr>
            </w:pPr>
            <w:r>
              <w:rPr>
                <w:rFonts w:hint="default"/>
              </w:rPr>
              <w:t>以装备制造、建筑建材、食品加工为主导产业，配套电子信息、新材料产业（主要包含电子专用材料制造、电池制造（不含铅酸蓄电池）等）、废弃资源综合利用（包括利用金属废料和碎屑加工处理和废油回收）产业。</w:t>
            </w:r>
          </w:p>
        </w:tc>
        <w:tc>
          <w:tcPr>
            <w:tcW w:w="1449" w:type="pct"/>
            <w:vAlign w:val="center"/>
          </w:tcPr>
          <w:p w14:paraId="295AF78E">
            <w:pPr>
              <w:pStyle w:val="46"/>
              <w:keepNext w:val="0"/>
              <w:keepLines w:val="0"/>
              <w:widowControl/>
              <w:suppressLineNumbers w:val="0"/>
              <w:bidi w:val="0"/>
              <w:spacing w:beforeAutospacing="0" w:after="0" w:afterAutospacing="0"/>
              <w:ind w:left="0" w:right="0"/>
              <w:rPr>
                <w:rFonts w:hint="default"/>
              </w:rPr>
            </w:pPr>
            <w:r>
              <w:rPr>
                <w:rFonts w:hint="default"/>
              </w:rPr>
              <w:t>本项目</w:t>
            </w:r>
            <w:r>
              <w:rPr>
                <w:rFonts w:hint="eastAsia"/>
                <w:lang w:val="en-US" w:eastAsia="zh-CN"/>
              </w:rPr>
              <w:t>为湘阴佳海食品产业园的配套污水处理站项目，建设完成后用于处理产业园区内食品企业的生产废水</w:t>
            </w:r>
            <w:r>
              <w:rPr>
                <w:rFonts w:hint="default"/>
              </w:rPr>
              <w:t>。</w:t>
            </w:r>
          </w:p>
        </w:tc>
        <w:tc>
          <w:tcPr>
            <w:tcW w:w="445" w:type="pct"/>
            <w:vAlign w:val="center"/>
          </w:tcPr>
          <w:p w14:paraId="750FBBA5">
            <w:pPr>
              <w:pStyle w:val="46"/>
              <w:keepNext w:val="0"/>
              <w:keepLines w:val="0"/>
              <w:widowControl/>
              <w:suppressLineNumbers w:val="0"/>
              <w:bidi w:val="0"/>
              <w:spacing w:beforeAutospacing="0" w:after="0" w:afterAutospacing="0"/>
              <w:ind w:left="0" w:right="0"/>
              <w:rPr>
                <w:rFonts w:hint="default"/>
              </w:rPr>
            </w:pPr>
            <w:r>
              <w:rPr>
                <w:rFonts w:hint="default"/>
              </w:rPr>
              <w:t>符合</w:t>
            </w:r>
          </w:p>
        </w:tc>
      </w:tr>
      <w:tr w14:paraId="4FF503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2CFAB5F5">
            <w:pPr>
              <w:pStyle w:val="46"/>
              <w:keepNext w:val="0"/>
              <w:keepLines w:val="0"/>
              <w:widowControl/>
              <w:suppressLineNumbers w:val="0"/>
              <w:bidi w:val="0"/>
              <w:spacing w:beforeAutospacing="0" w:after="0" w:afterAutospacing="0"/>
              <w:ind w:left="0" w:right="0"/>
              <w:rPr>
                <w:rFonts w:hint="default"/>
              </w:rPr>
            </w:pPr>
            <w:r>
              <w:rPr>
                <w:rFonts w:hint="default"/>
              </w:rPr>
              <w:t>空间布局</w:t>
            </w:r>
          </w:p>
          <w:p w14:paraId="48A80D6A">
            <w:pPr>
              <w:pStyle w:val="46"/>
              <w:keepNext w:val="0"/>
              <w:keepLines w:val="0"/>
              <w:widowControl/>
              <w:suppressLineNumbers w:val="0"/>
              <w:bidi w:val="0"/>
              <w:spacing w:beforeAutospacing="0" w:after="0" w:afterAutospacing="0"/>
              <w:ind w:left="0" w:right="0"/>
              <w:rPr>
                <w:rFonts w:hint="default"/>
              </w:rPr>
            </w:pPr>
            <w:r>
              <w:rPr>
                <w:rFonts w:hint="default"/>
              </w:rPr>
              <w:t>约束</w:t>
            </w:r>
          </w:p>
        </w:tc>
        <w:tc>
          <w:tcPr>
            <w:tcW w:w="2711" w:type="pct"/>
            <w:vAlign w:val="center"/>
          </w:tcPr>
          <w:p w14:paraId="6185FC20">
            <w:pPr>
              <w:pStyle w:val="46"/>
              <w:keepNext w:val="0"/>
              <w:keepLines w:val="0"/>
              <w:widowControl/>
              <w:suppressLineNumbers w:val="0"/>
              <w:bidi w:val="0"/>
              <w:spacing w:beforeAutospacing="0" w:after="0" w:afterAutospacing="0"/>
              <w:ind w:left="0" w:right="0"/>
              <w:rPr>
                <w:rFonts w:hint="default"/>
              </w:rPr>
            </w:pPr>
            <w:r>
              <w:rPr>
                <w:rFonts w:hint="default"/>
              </w:rPr>
              <w:t>（1.1）片区：按产业布局规划、用地布局引进产业，严格限制三类工业入驻；临居民区、学校的一类工业用地，严禁引进噪声、气型污染大的企业；严格控制排放一类污染物或持久性、难降解污染物的项目；</w:t>
            </w:r>
          </w:p>
          <w:p w14:paraId="4EFEB967">
            <w:pPr>
              <w:pStyle w:val="46"/>
              <w:keepNext w:val="0"/>
              <w:keepLines w:val="0"/>
              <w:widowControl/>
              <w:suppressLineNumbers w:val="0"/>
              <w:bidi w:val="0"/>
              <w:spacing w:beforeAutospacing="0" w:after="0" w:afterAutospacing="0"/>
              <w:ind w:left="0" w:right="0"/>
              <w:rPr>
                <w:rFonts w:hint="default"/>
              </w:rPr>
            </w:pPr>
            <w:r>
              <w:rPr>
                <w:rFonts w:hint="default"/>
              </w:rPr>
              <w:t>（1.2）临港片区：…；</w:t>
            </w:r>
          </w:p>
          <w:p w14:paraId="324DDCFD">
            <w:pPr>
              <w:pStyle w:val="46"/>
              <w:keepNext w:val="0"/>
              <w:keepLines w:val="0"/>
              <w:widowControl/>
              <w:suppressLineNumbers w:val="0"/>
              <w:bidi w:val="0"/>
              <w:spacing w:beforeAutospacing="0" w:after="0" w:afterAutospacing="0"/>
              <w:ind w:left="0" w:right="0"/>
              <w:rPr>
                <w:rFonts w:hint="default"/>
              </w:rPr>
            </w:pPr>
            <w:r>
              <w:rPr>
                <w:rFonts w:hint="default"/>
              </w:rPr>
              <w:t>（1.3）金龙片区：…。</w:t>
            </w:r>
          </w:p>
          <w:p w14:paraId="07ADFEFB">
            <w:pPr>
              <w:pStyle w:val="46"/>
              <w:keepNext w:val="0"/>
              <w:keepLines w:val="0"/>
              <w:widowControl/>
              <w:suppressLineNumbers w:val="0"/>
              <w:bidi w:val="0"/>
              <w:spacing w:beforeAutospacing="0" w:after="0" w:afterAutospacing="0"/>
              <w:ind w:left="0" w:right="0"/>
              <w:rPr>
                <w:rFonts w:hint="default"/>
              </w:rPr>
            </w:pPr>
            <w:r>
              <w:rPr>
                <w:rFonts w:hint="default"/>
              </w:rPr>
              <w:t>（1.4）严格按照经核准、认定的规划范围开展园区建设，涉及状元塔、左太傅祠省级文物保护范围、建设控制地带和涉及湖南湘阴-东湖国家湿地公园的地块，禁止占用和开发；</w:t>
            </w:r>
          </w:p>
          <w:p w14:paraId="69B27C2A">
            <w:pPr>
              <w:pStyle w:val="46"/>
              <w:keepNext w:val="0"/>
              <w:keepLines w:val="0"/>
              <w:widowControl/>
              <w:suppressLineNumbers w:val="0"/>
              <w:bidi w:val="0"/>
              <w:spacing w:beforeAutospacing="0" w:after="0" w:afterAutospacing="0"/>
              <w:ind w:left="0" w:right="0"/>
              <w:rPr>
                <w:rFonts w:hint="default"/>
              </w:rPr>
            </w:pPr>
            <w:r>
              <w:rPr>
                <w:rFonts w:hint="default"/>
              </w:rPr>
              <w:t>（1.5）产业准入：应严格遵循《长江保护法》、《长江经济带发展负面清单指南（试行）》、《湖南省湘江保护条例》、《湖南省洞庭湖保护条例》等法律法规及相关政策的要求，落实“三线一单”环境准入要求及《报告书》提出的准入条件。</w:t>
            </w:r>
          </w:p>
          <w:p w14:paraId="2A917AF1">
            <w:pPr>
              <w:pStyle w:val="46"/>
              <w:keepNext w:val="0"/>
              <w:keepLines w:val="0"/>
              <w:widowControl/>
              <w:suppressLineNumbers w:val="0"/>
              <w:bidi w:val="0"/>
              <w:spacing w:beforeAutospacing="0" w:after="0" w:afterAutospacing="0"/>
              <w:ind w:left="0" w:right="0"/>
              <w:rPr>
                <w:rFonts w:hint="default"/>
              </w:rPr>
            </w:pPr>
            <w:r>
              <w:rPr>
                <w:rFonts w:hint="default"/>
              </w:rPr>
              <w:t>（1.6）周边控规。优化开发时序，落实拆迁安置计划，杜绝在规划的工业用地上新增环境敏感目标，确保园区开发过程中的居民拆迁安置到位，防止发生居民再次安置和次生环境问题，对于具体项目环评设置防护距离和拆迁要求的，要确保予以落实。</w:t>
            </w:r>
          </w:p>
        </w:tc>
        <w:tc>
          <w:tcPr>
            <w:tcW w:w="1449" w:type="pct"/>
            <w:vAlign w:val="center"/>
          </w:tcPr>
          <w:p w14:paraId="0FA7F7A7">
            <w:pPr>
              <w:pStyle w:val="46"/>
              <w:keepNext w:val="0"/>
              <w:keepLines w:val="0"/>
              <w:widowControl/>
              <w:suppressLineNumbers w:val="0"/>
              <w:bidi w:val="0"/>
              <w:spacing w:beforeAutospacing="0" w:after="0" w:afterAutospacing="0"/>
              <w:ind w:left="0" w:right="0"/>
              <w:rPr>
                <w:rFonts w:hint="default"/>
              </w:rPr>
            </w:pPr>
            <w:r>
              <w:rPr>
                <w:rFonts w:hint="default"/>
              </w:rPr>
              <w:t>1、本项目位于片区</w:t>
            </w:r>
            <w:r>
              <w:rPr>
                <w:rFonts w:hint="eastAsia"/>
                <w:lang w:val="en-US" w:eastAsia="zh-CN"/>
              </w:rPr>
              <w:t>二</w:t>
            </w:r>
            <w:r>
              <w:rPr>
                <w:rFonts w:hint="default"/>
              </w:rPr>
              <w:t>类工业用地，</w:t>
            </w:r>
            <w:r>
              <w:rPr>
                <w:rFonts w:hint="eastAsia"/>
                <w:lang w:val="en-US" w:eastAsia="zh-CN"/>
              </w:rPr>
              <w:t>食品加工、电子信息产业集聚</w:t>
            </w:r>
            <w:r>
              <w:rPr>
                <w:rFonts w:hint="default"/>
              </w:rPr>
              <w:t>区，符合用地规划和产业布局。本项目无一类污染物或持久性、难降解污染物排放。</w:t>
            </w:r>
          </w:p>
          <w:p w14:paraId="6B355012">
            <w:pPr>
              <w:pStyle w:val="46"/>
              <w:keepNext w:val="0"/>
              <w:keepLines w:val="0"/>
              <w:widowControl/>
              <w:suppressLineNumbers w:val="0"/>
              <w:bidi w:val="0"/>
              <w:spacing w:beforeAutospacing="0" w:after="0" w:afterAutospacing="0"/>
              <w:ind w:left="0" w:right="0"/>
              <w:rPr>
                <w:rFonts w:hint="default"/>
              </w:rPr>
            </w:pPr>
            <w:r>
              <w:rPr>
                <w:rFonts w:hint="default"/>
              </w:rPr>
              <w:t>2、本项目不涉及状元塔、左太傅祠省级文物保护范围、建设控制地带和湖南湘阴-东湖国家湿地公园。</w:t>
            </w:r>
          </w:p>
          <w:p w14:paraId="4EF1E4D3">
            <w:pPr>
              <w:pStyle w:val="46"/>
              <w:keepNext w:val="0"/>
              <w:keepLines w:val="0"/>
              <w:widowControl/>
              <w:suppressLineNumbers w:val="0"/>
              <w:bidi w:val="0"/>
              <w:spacing w:beforeAutospacing="0" w:after="0" w:afterAutospacing="0"/>
              <w:ind w:left="0" w:right="0"/>
              <w:rPr>
                <w:rFonts w:hint="eastAsia" w:eastAsia="宋体"/>
                <w:lang w:val="en-US" w:eastAsia="zh-CN"/>
              </w:rPr>
            </w:pPr>
            <w:r>
              <w:rPr>
                <w:rFonts w:hint="default"/>
              </w:rPr>
              <w:t>3、本项目符合相关法律法规要求。</w:t>
            </w:r>
          </w:p>
        </w:tc>
        <w:tc>
          <w:tcPr>
            <w:tcW w:w="445" w:type="pct"/>
            <w:vAlign w:val="center"/>
          </w:tcPr>
          <w:p w14:paraId="51A85658">
            <w:pPr>
              <w:pStyle w:val="46"/>
              <w:keepNext w:val="0"/>
              <w:keepLines w:val="0"/>
              <w:widowControl/>
              <w:suppressLineNumbers w:val="0"/>
              <w:bidi w:val="0"/>
              <w:spacing w:beforeAutospacing="0" w:after="0" w:afterAutospacing="0"/>
              <w:ind w:left="0" w:right="0"/>
              <w:rPr>
                <w:rFonts w:hint="default"/>
              </w:rPr>
            </w:pPr>
            <w:r>
              <w:rPr>
                <w:rFonts w:hint="default"/>
              </w:rPr>
              <w:t>符合</w:t>
            </w:r>
          </w:p>
        </w:tc>
      </w:tr>
      <w:tr w14:paraId="0C910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192C37D6">
            <w:pPr>
              <w:pStyle w:val="46"/>
              <w:keepNext w:val="0"/>
              <w:keepLines w:val="0"/>
              <w:widowControl/>
              <w:suppressLineNumbers w:val="0"/>
              <w:bidi w:val="0"/>
              <w:spacing w:beforeAutospacing="0" w:after="0" w:afterAutospacing="0"/>
              <w:ind w:left="0" w:right="0"/>
              <w:rPr>
                <w:rFonts w:hint="default"/>
              </w:rPr>
            </w:pPr>
            <w:r>
              <w:rPr>
                <w:rFonts w:hint="default"/>
              </w:rPr>
              <w:t>污染物排</w:t>
            </w:r>
          </w:p>
          <w:p w14:paraId="2345C3DA">
            <w:pPr>
              <w:pStyle w:val="46"/>
              <w:keepNext w:val="0"/>
              <w:keepLines w:val="0"/>
              <w:widowControl/>
              <w:suppressLineNumbers w:val="0"/>
              <w:bidi w:val="0"/>
              <w:spacing w:beforeAutospacing="0" w:after="0" w:afterAutospacing="0"/>
              <w:ind w:left="0" w:right="0"/>
              <w:rPr>
                <w:rFonts w:hint="default"/>
              </w:rPr>
            </w:pPr>
            <w:r>
              <w:rPr>
                <w:rFonts w:hint="default"/>
              </w:rPr>
              <w:t>放管控</w:t>
            </w:r>
          </w:p>
        </w:tc>
        <w:tc>
          <w:tcPr>
            <w:tcW w:w="2711" w:type="pct"/>
            <w:vAlign w:val="center"/>
          </w:tcPr>
          <w:p w14:paraId="4E2C3856">
            <w:pPr>
              <w:pStyle w:val="46"/>
              <w:keepNext w:val="0"/>
              <w:keepLines w:val="0"/>
              <w:widowControl/>
              <w:suppressLineNumbers w:val="0"/>
              <w:bidi w:val="0"/>
              <w:spacing w:beforeAutospacing="0" w:after="0" w:afterAutospacing="0"/>
              <w:ind w:left="0" w:right="0"/>
              <w:rPr>
                <w:rFonts w:hint="default"/>
              </w:rPr>
            </w:pPr>
            <w:r>
              <w:rPr>
                <w:rFonts w:hint="default"/>
              </w:rPr>
              <w:t>（2.1）废水：园区排水实施雨污分流，园区雨水经雨水管网收集设置雨水排放口排放。临港片区废水依托湘阴县第一污水处理厂处理；片区废水进入湘阴县第二污水处理厂处理；金龙片区废水依托湘阴县第三污水处理厂处理，园区不得超过污水处理厂的处理能力和排污口审批所规定的废水排放量引进项目，加快湘阴县第三污水处理厂提标改造工作，出水满足《湖南省城镇污水处理厂主要水污染物排放标准》（DB43/T1546-2018）一级标准。</w:t>
            </w:r>
          </w:p>
          <w:p w14:paraId="403ABB27">
            <w:pPr>
              <w:pStyle w:val="46"/>
              <w:keepNext w:val="0"/>
              <w:keepLines w:val="0"/>
              <w:widowControl/>
              <w:suppressLineNumbers w:val="0"/>
              <w:bidi w:val="0"/>
              <w:spacing w:beforeAutospacing="0" w:after="0" w:afterAutospacing="0"/>
              <w:ind w:left="0" w:right="0"/>
              <w:rPr>
                <w:rFonts w:hint="default"/>
              </w:rPr>
            </w:pPr>
            <w:r>
              <w:rPr>
                <w:rFonts w:hint="default"/>
              </w:rPr>
              <w:t>（2.2）废气：禁止新建燃煤锅炉（集中供热除外），对各企业工艺废气产出的生产节点，须配置废气收集与处理净化装置，确保达标排放；加强生产工艺研究与技术改进，采取有效措施，减少入园企业工艺废气的无组织排放。推进装备制造、建筑建材等行业挥发性有机物综合治理。</w:t>
            </w:r>
          </w:p>
          <w:p w14:paraId="1E901DB0">
            <w:pPr>
              <w:pStyle w:val="46"/>
              <w:keepNext w:val="0"/>
              <w:keepLines w:val="0"/>
              <w:widowControl/>
              <w:suppressLineNumbers w:val="0"/>
              <w:bidi w:val="0"/>
              <w:spacing w:beforeAutospacing="0" w:after="0" w:afterAutospacing="0"/>
              <w:ind w:left="0" w:right="0"/>
              <w:rPr>
                <w:rFonts w:hint="default"/>
              </w:rPr>
            </w:pPr>
            <w:r>
              <w:rPr>
                <w:rFonts w:hint="default"/>
              </w:rPr>
              <w:t>（2.3）开发区内相关行业及锅炉废气污染物排放满足《湖南省生态环境厅关于执行污染物特别排放限值（第一批）的公告》中的要求。</w:t>
            </w:r>
          </w:p>
          <w:p w14:paraId="1E73D87D">
            <w:pPr>
              <w:pStyle w:val="46"/>
              <w:keepNext w:val="0"/>
              <w:keepLines w:val="0"/>
              <w:widowControl/>
              <w:suppressLineNumbers w:val="0"/>
              <w:bidi w:val="0"/>
              <w:spacing w:beforeAutospacing="0" w:after="0" w:afterAutospacing="0"/>
              <w:ind w:left="0" w:right="0"/>
              <w:rPr>
                <w:rFonts w:hint="default"/>
              </w:rPr>
            </w:pPr>
            <w:r>
              <w:rPr>
                <w:rFonts w:hint="default"/>
              </w:rPr>
              <w:t>（2.4）固体废物：做好园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对工业企业产生的固体废物特别是危险废物应按国家有关规定综合利用或妥善处置，严防二次污染。</w:t>
            </w:r>
          </w:p>
        </w:tc>
        <w:tc>
          <w:tcPr>
            <w:tcW w:w="1449" w:type="pct"/>
            <w:vAlign w:val="center"/>
          </w:tcPr>
          <w:p w14:paraId="747EC2A5">
            <w:pPr>
              <w:pStyle w:val="46"/>
              <w:keepNext w:val="0"/>
              <w:keepLines w:val="0"/>
              <w:widowControl/>
              <w:suppressLineNumbers w:val="0"/>
              <w:bidi w:val="0"/>
              <w:spacing w:beforeAutospacing="0" w:after="0" w:afterAutospacing="0"/>
              <w:ind w:left="0" w:right="0"/>
              <w:rPr>
                <w:rFonts w:hint="default"/>
              </w:rPr>
            </w:pPr>
            <w:r>
              <w:rPr>
                <w:rFonts w:hint="default"/>
              </w:rPr>
              <w:t>1、本项目实施雨污分流，项目</w:t>
            </w:r>
            <w:r>
              <w:rPr>
                <w:rFonts w:hint="eastAsia"/>
                <w:lang w:val="en-US" w:eastAsia="zh-CN"/>
              </w:rPr>
              <w:t>处理后尾水</w:t>
            </w:r>
            <w:r>
              <w:rPr>
                <w:rFonts w:hint="default"/>
              </w:rPr>
              <w:t>进入湘阴第二污水处理厂处理。</w:t>
            </w:r>
          </w:p>
          <w:p w14:paraId="562B59A5">
            <w:pPr>
              <w:pStyle w:val="46"/>
              <w:keepNext w:val="0"/>
              <w:keepLines w:val="0"/>
              <w:widowControl/>
              <w:suppressLineNumbers w:val="0"/>
              <w:bidi w:val="0"/>
              <w:spacing w:beforeAutospacing="0" w:after="0" w:afterAutospacing="0"/>
              <w:ind w:left="0" w:right="0"/>
              <w:rPr>
                <w:rFonts w:hint="default"/>
              </w:rPr>
            </w:pPr>
            <w:r>
              <w:rPr>
                <w:rFonts w:hint="default"/>
              </w:rPr>
              <w:t>2、项目无燃煤锅炉，各工艺废气均配备处理净化装置，达标排放。</w:t>
            </w:r>
          </w:p>
          <w:p w14:paraId="469A3DF0">
            <w:pPr>
              <w:pStyle w:val="46"/>
              <w:keepNext w:val="0"/>
              <w:keepLines w:val="0"/>
              <w:widowControl/>
              <w:suppressLineNumbers w:val="0"/>
              <w:bidi w:val="0"/>
              <w:spacing w:beforeAutospacing="0" w:after="0" w:afterAutospacing="0"/>
              <w:ind w:left="0" w:right="0"/>
              <w:rPr>
                <w:rFonts w:hint="default"/>
              </w:rPr>
            </w:pPr>
            <w:r>
              <w:rPr>
                <w:rFonts w:hint="default"/>
              </w:rPr>
              <w:t>3、设置了危险废物暂存间，危险废物在厂内暂存，定期送有资质单位处置。设置一般固废暂存间，一般固废在厂区暂存，定期交由回收单位处理。生活垃圾收集后由环卫部门处理。</w:t>
            </w:r>
          </w:p>
        </w:tc>
        <w:tc>
          <w:tcPr>
            <w:tcW w:w="445" w:type="pct"/>
            <w:vAlign w:val="center"/>
          </w:tcPr>
          <w:p w14:paraId="6062D158">
            <w:pPr>
              <w:pStyle w:val="46"/>
              <w:keepNext w:val="0"/>
              <w:keepLines w:val="0"/>
              <w:widowControl/>
              <w:suppressLineNumbers w:val="0"/>
              <w:bidi w:val="0"/>
              <w:spacing w:beforeAutospacing="0" w:after="0" w:afterAutospacing="0"/>
              <w:ind w:left="0" w:right="0"/>
              <w:rPr>
                <w:rFonts w:hint="default"/>
              </w:rPr>
            </w:pPr>
            <w:r>
              <w:rPr>
                <w:rFonts w:hint="default"/>
              </w:rPr>
              <w:t>符合</w:t>
            </w:r>
          </w:p>
        </w:tc>
      </w:tr>
      <w:tr w14:paraId="77351E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77F76661">
            <w:pPr>
              <w:pStyle w:val="46"/>
              <w:keepNext w:val="0"/>
              <w:keepLines w:val="0"/>
              <w:widowControl/>
              <w:suppressLineNumbers w:val="0"/>
              <w:bidi w:val="0"/>
              <w:spacing w:beforeAutospacing="0" w:after="0" w:afterAutospacing="0"/>
              <w:ind w:left="0" w:right="0"/>
              <w:rPr>
                <w:rFonts w:hint="default"/>
              </w:rPr>
            </w:pPr>
            <w:r>
              <w:rPr>
                <w:rFonts w:hint="default"/>
              </w:rPr>
              <w:t>环境风险</w:t>
            </w:r>
          </w:p>
          <w:p w14:paraId="1BA30444">
            <w:pPr>
              <w:pStyle w:val="46"/>
              <w:keepNext w:val="0"/>
              <w:keepLines w:val="0"/>
              <w:widowControl/>
              <w:suppressLineNumbers w:val="0"/>
              <w:bidi w:val="0"/>
              <w:spacing w:beforeAutospacing="0" w:after="0" w:afterAutospacing="0"/>
              <w:ind w:left="0" w:right="0"/>
              <w:rPr>
                <w:rFonts w:hint="default"/>
              </w:rPr>
            </w:pPr>
            <w:r>
              <w:rPr>
                <w:rFonts w:hint="default"/>
              </w:rPr>
              <w:t>防控</w:t>
            </w:r>
          </w:p>
        </w:tc>
        <w:tc>
          <w:tcPr>
            <w:tcW w:w="2711" w:type="pct"/>
            <w:vAlign w:val="center"/>
          </w:tcPr>
          <w:p w14:paraId="4C473892">
            <w:pPr>
              <w:pStyle w:val="46"/>
              <w:keepNext w:val="0"/>
              <w:keepLines w:val="0"/>
              <w:widowControl/>
              <w:suppressLineNumbers w:val="0"/>
              <w:bidi w:val="0"/>
              <w:spacing w:beforeAutospacing="0" w:after="0" w:afterAutospacing="0"/>
              <w:ind w:left="0" w:right="0"/>
              <w:rPr>
                <w:rFonts w:hint="default"/>
              </w:rPr>
            </w:pPr>
            <w:r>
              <w:rPr>
                <w:rFonts w:hint="default"/>
              </w:rPr>
              <w:t>（3.1）园区应建立健全环境风险防控体系，严格落实《湖南湘阴工业园区突发环境事件应急预案》中相关要求，园区定期修编园区突发环境应急预案、开展应急演练，储备环境应急物资及装备，健全环境风险事故防范措施，全面提升园区环境风险防控和应急处置能力。</w:t>
            </w:r>
          </w:p>
          <w:p w14:paraId="76BF07CE">
            <w:pPr>
              <w:pStyle w:val="46"/>
              <w:keepNext w:val="0"/>
              <w:keepLines w:val="0"/>
              <w:widowControl/>
              <w:suppressLineNumbers w:val="0"/>
              <w:bidi w:val="0"/>
              <w:spacing w:beforeAutospacing="0" w:after="0" w:afterAutospacing="0"/>
              <w:ind w:left="0" w:right="0"/>
              <w:rPr>
                <w:rFonts w:hint="default"/>
              </w:rPr>
            </w:pPr>
            <w:r>
              <w:rPr>
                <w:rFonts w:hint="default"/>
              </w:rPr>
              <w:t>（3.2）园区可能发生突发环境事件的污染物排放企业，生产、储存、运输、使用危险化学品的企业，产生、收集、贮存、运输危险废物的企业，应当编制和实施环境应急预案；鼓励其他企业制定单独的环境应急预案，或在突发事件应急预案中制定环境应急预案专章，并备案。</w:t>
            </w:r>
          </w:p>
          <w:p w14:paraId="5780FFCB">
            <w:pPr>
              <w:pStyle w:val="46"/>
              <w:keepNext w:val="0"/>
              <w:keepLines w:val="0"/>
              <w:widowControl/>
              <w:suppressLineNumbers w:val="0"/>
              <w:bidi w:val="0"/>
              <w:spacing w:beforeAutospacing="0" w:after="0" w:afterAutospacing="0"/>
              <w:ind w:left="0" w:right="0"/>
              <w:rPr>
                <w:rFonts w:hint="default"/>
              </w:rPr>
            </w:pPr>
            <w:r>
              <w:rPr>
                <w:rFonts w:hint="default"/>
              </w:rPr>
              <w:t>（3.3）建设用地土壤风险防控：对拟收回土地使用权的辖区内的土壤环境重点监管区域、地块、企业等用地，以及用途拟变更为居住和商业、学校、医疗、养老机构等公共设施的用地开展土壤环境状况调查评估。</w:t>
            </w:r>
          </w:p>
          <w:p w14:paraId="5AC989AF">
            <w:pPr>
              <w:pStyle w:val="46"/>
              <w:keepNext w:val="0"/>
              <w:keepLines w:val="0"/>
              <w:widowControl/>
              <w:suppressLineNumbers w:val="0"/>
              <w:bidi w:val="0"/>
              <w:spacing w:beforeAutospacing="0" w:after="0" w:afterAutospacing="0"/>
              <w:ind w:left="0" w:right="0"/>
              <w:rPr>
                <w:rFonts w:hint="default"/>
              </w:rPr>
            </w:pPr>
            <w:r>
              <w:rPr>
                <w:rFonts w:hint="default"/>
              </w:rPr>
              <w:t>（3.4）加强环境风险防控和应急管理。开展园区环境风险隐患调查评估，从严实施环境风险防控措施；深化园区范围内化工等重点企业环境风险评估，提升风险防控和突发环境事件应急处理处置能力。</w:t>
            </w:r>
          </w:p>
        </w:tc>
        <w:tc>
          <w:tcPr>
            <w:tcW w:w="1449" w:type="pct"/>
            <w:vAlign w:val="center"/>
          </w:tcPr>
          <w:p w14:paraId="36F88FF4">
            <w:pPr>
              <w:pStyle w:val="46"/>
              <w:keepNext w:val="0"/>
              <w:keepLines w:val="0"/>
              <w:widowControl/>
              <w:suppressLineNumbers w:val="0"/>
              <w:bidi w:val="0"/>
              <w:spacing w:beforeAutospacing="0" w:after="0" w:afterAutospacing="0"/>
              <w:ind w:left="0" w:right="0"/>
              <w:rPr>
                <w:rFonts w:hint="default"/>
              </w:rPr>
            </w:pPr>
            <w:r>
              <w:rPr>
                <w:rFonts w:hint="default"/>
              </w:rPr>
              <w:t>加强环境管理，定期检查、维护各类环保生产设备设施，制定环境风险事故应急预案和应急措施，防止火灾、泄漏等环境风险事故发生。</w:t>
            </w:r>
          </w:p>
        </w:tc>
        <w:tc>
          <w:tcPr>
            <w:tcW w:w="445" w:type="pct"/>
            <w:vAlign w:val="center"/>
          </w:tcPr>
          <w:p w14:paraId="7301DAEE">
            <w:pPr>
              <w:pStyle w:val="46"/>
              <w:keepNext w:val="0"/>
              <w:keepLines w:val="0"/>
              <w:widowControl/>
              <w:suppressLineNumbers w:val="0"/>
              <w:bidi w:val="0"/>
              <w:spacing w:beforeAutospacing="0" w:after="0" w:afterAutospacing="0"/>
              <w:ind w:left="0" w:right="0"/>
              <w:rPr>
                <w:rFonts w:hint="default"/>
              </w:rPr>
            </w:pPr>
            <w:r>
              <w:rPr>
                <w:rFonts w:hint="default"/>
              </w:rPr>
              <w:t>符合</w:t>
            </w:r>
          </w:p>
        </w:tc>
      </w:tr>
      <w:tr w14:paraId="7AF849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3" w:type="pct"/>
            <w:vAlign w:val="center"/>
          </w:tcPr>
          <w:p w14:paraId="77746817">
            <w:pPr>
              <w:pStyle w:val="46"/>
              <w:keepNext w:val="0"/>
              <w:keepLines w:val="0"/>
              <w:widowControl/>
              <w:suppressLineNumbers w:val="0"/>
              <w:bidi w:val="0"/>
              <w:spacing w:beforeAutospacing="0" w:after="0" w:afterAutospacing="0"/>
              <w:ind w:left="0" w:right="0"/>
              <w:rPr>
                <w:rFonts w:hint="default"/>
              </w:rPr>
            </w:pPr>
            <w:r>
              <w:rPr>
                <w:rFonts w:hint="default"/>
              </w:rPr>
              <w:t>资源开发</w:t>
            </w:r>
          </w:p>
          <w:p w14:paraId="51AD75E3">
            <w:pPr>
              <w:pStyle w:val="46"/>
              <w:keepNext w:val="0"/>
              <w:keepLines w:val="0"/>
              <w:widowControl/>
              <w:suppressLineNumbers w:val="0"/>
              <w:bidi w:val="0"/>
              <w:spacing w:beforeAutospacing="0" w:after="0" w:afterAutospacing="0"/>
              <w:ind w:left="0" w:right="0"/>
              <w:rPr>
                <w:rFonts w:hint="default"/>
              </w:rPr>
            </w:pPr>
            <w:r>
              <w:rPr>
                <w:rFonts w:hint="default"/>
              </w:rPr>
              <w:t>效率要求</w:t>
            </w:r>
          </w:p>
        </w:tc>
        <w:tc>
          <w:tcPr>
            <w:tcW w:w="2711" w:type="pct"/>
            <w:vAlign w:val="center"/>
          </w:tcPr>
          <w:p w14:paraId="1B8EF7C2">
            <w:pPr>
              <w:pStyle w:val="46"/>
              <w:keepNext w:val="0"/>
              <w:keepLines w:val="0"/>
              <w:widowControl/>
              <w:suppressLineNumbers w:val="0"/>
              <w:bidi w:val="0"/>
              <w:spacing w:beforeAutospacing="0" w:after="0" w:afterAutospacing="0"/>
              <w:ind w:left="0" w:right="0"/>
              <w:rPr>
                <w:rFonts w:hint="default"/>
              </w:rPr>
            </w:pPr>
            <w:r>
              <w:rPr>
                <w:rFonts w:hint="default"/>
              </w:rPr>
              <w:t>（4.1）能源：加快推进清洁能源替代利用。实施能源消耗总量和强度双控行动；鼓励使用电、天然气、生物质能源。</w:t>
            </w:r>
          </w:p>
          <w:p w14:paraId="5DD9C15B">
            <w:pPr>
              <w:pStyle w:val="46"/>
              <w:keepNext w:val="0"/>
              <w:keepLines w:val="0"/>
              <w:widowControl/>
              <w:suppressLineNumbers w:val="0"/>
              <w:bidi w:val="0"/>
              <w:spacing w:beforeAutospacing="0" w:after="0" w:afterAutospacing="0"/>
              <w:ind w:left="0" w:right="0"/>
              <w:rPr>
                <w:rFonts w:hint="default"/>
              </w:rPr>
            </w:pPr>
            <w:r>
              <w:rPr>
                <w:rFonts w:hint="default"/>
              </w:rPr>
              <w:t>（4.2）水资源：加强工业节水，重点开展相关工业行业节水技术改造，逐步淘汰高耗水的落后产能，积极推广工业水循环利用，支持引导企业开展水平衡测试，继续推进节水型企业、节水型工业园区建设。</w:t>
            </w:r>
          </w:p>
          <w:p w14:paraId="0FEF9D84">
            <w:pPr>
              <w:pStyle w:val="46"/>
              <w:keepNext w:val="0"/>
              <w:keepLines w:val="0"/>
              <w:widowControl/>
              <w:suppressLineNumbers w:val="0"/>
              <w:bidi w:val="0"/>
              <w:spacing w:beforeAutospacing="0" w:after="0" w:afterAutospacing="0"/>
              <w:ind w:left="0" w:right="0"/>
              <w:rPr>
                <w:rFonts w:hint="default"/>
              </w:rPr>
            </w:pPr>
            <w:r>
              <w:rPr>
                <w:rFonts w:hint="default"/>
              </w:rPr>
              <w:t>（4.3）土地资源：以国家产业发展政策为导向，合理制定区域产业用地政策，优先保障主导产业发展用地，严禁向禁止类工业项目供地，严格控制限制类工业项目用地，重点支持发展与区域资源环境条件相适应的产业。</w:t>
            </w:r>
          </w:p>
        </w:tc>
        <w:tc>
          <w:tcPr>
            <w:tcW w:w="1449" w:type="pct"/>
            <w:vAlign w:val="center"/>
          </w:tcPr>
          <w:p w14:paraId="2A1FA600">
            <w:pPr>
              <w:pStyle w:val="46"/>
              <w:keepNext w:val="0"/>
              <w:keepLines w:val="0"/>
              <w:widowControl/>
              <w:suppressLineNumbers w:val="0"/>
              <w:bidi w:val="0"/>
              <w:spacing w:beforeAutospacing="0" w:after="0" w:afterAutospacing="0"/>
              <w:ind w:left="0" w:right="0"/>
              <w:rPr>
                <w:rFonts w:hint="default"/>
              </w:rPr>
            </w:pPr>
            <w:r>
              <w:rPr>
                <w:rFonts w:hint="default"/>
              </w:rPr>
              <w:t>1、本项目使用电</w:t>
            </w:r>
            <w:r>
              <w:rPr>
                <w:rFonts w:hint="eastAsia"/>
                <w:lang w:val="en-US" w:eastAsia="zh-CN"/>
              </w:rPr>
              <w:t>能</w:t>
            </w:r>
            <w:r>
              <w:rPr>
                <w:rFonts w:hint="default"/>
              </w:rPr>
              <w:t>。</w:t>
            </w:r>
          </w:p>
          <w:p w14:paraId="6295B662">
            <w:pPr>
              <w:pStyle w:val="46"/>
              <w:keepNext w:val="0"/>
              <w:keepLines w:val="0"/>
              <w:widowControl/>
              <w:suppressLineNumbers w:val="0"/>
              <w:bidi w:val="0"/>
              <w:spacing w:beforeAutospacing="0" w:after="0" w:afterAutospacing="0"/>
              <w:ind w:left="0" w:right="0"/>
              <w:rPr>
                <w:rFonts w:hint="default"/>
              </w:rPr>
            </w:pPr>
            <w:r>
              <w:rPr>
                <w:rFonts w:hint="eastAsia"/>
                <w:lang w:val="en-US" w:eastAsia="zh-CN"/>
              </w:rPr>
              <w:t>2</w:t>
            </w:r>
            <w:r>
              <w:rPr>
                <w:rFonts w:hint="default"/>
              </w:rPr>
              <w:t>、本项目属于园区主导产业</w:t>
            </w:r>
            <w:r>
              <w:rPr>
                <w:rFonts w:hint="eastAsia"/>
                <w:lang w:val="en-US" w:eastAsia="zh-CN"/>
              </w:rPr>
              <w:t>配套服务</w:t>
            </w:r>
            <w:r>
              <w:rPr>
                <w:rFonts w:hint="default"/>
              </w:rPr>
              <w:t>，符合用地规划。</w:t>
            </w:r>
          </w:p>
        </w:tc>
        <w:tc>
          <w:tcPr>
            <w:tcW w:w="445" w:type="pct"/>
            <w:vAlign w:val="center"/>
          </w:tcPr>
          <w:p w14:paraId="56E95072">
            <w:pPr>
              <w:pStyle w:val="46"/>
              <w:keepNext w:val="0"/>
              <w:keepLines w:val="0"/>
              <w:widowControl/>
              <w:suppressLineNumbers w:val="0"/>
              <w:bidi w:val="0"/>
              <w:spacing w:beforeAutospacing="0" w:after="0" w:afterAutospacing="0"/>
              <w:ind w:left="0" w:right="0"/>
              <w:rPr>
                <w:rFonts w:hint="default"/>
              </w:rPr>
            </w:pPr>
            <w:r>
              <w:rPr>
                <w:rFonts w:hint="default"/>
              </w:rPr>
              <w:t>符合</w:t>
            </w:r>
          </w:p>
        </w:tc>
      </w:tr>
    </w:tbl>
    <w:p w14:paraId="4C6B11FC">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《湖南省洞庭湖保护条例》符合性分析</w:t>
      </w:r>
    </w:p>
    <w:p w14:paraId="20A9413A">
      <w:pPr>
        <w:bidi w:val="0"/>
        <w:rPr>
          <w:rFonts w:hint="default"/>
        </w:rPr>
      </w:pPr>
      <w:r>
        <w:rPr>
          <w:rFonts w:hint="default"/>
          <w:highlight w:val="none"/>
        </w:rPr>
        <w:t>本项目与《湖南省洞庭湖保护条例》相符性分析如下</w:t>
      </w:r>
      <w:r>
        <w:rPr>
          <w:rFonts w:hint="default"/>
        </w:rPr>
        <w:t>：</w:t>
      </w:r>
    </w:p>
    <w:p w14:paraId="111FF1AB">
      <w:pPr>
        <w:pStyle w:val="39"/>
        <w:bidi w:val="0"/>
        <w:rPr>
          <w:rFonts w:hint="default"/>
        </w:rPr>
      </w:pPr>
      <w:r>
        <w:rPr>
          <w:rFonts w:hint="default"/>
        </w:rPr>
        <w:t>表1</w:t>
      </w:r>
      <w:r>
        <w:rPr>
          <w:rFonts w:hint="eastAsia"/>
          <w:lang w:val="en-US" w:eastAsia="zh-CN"/>
        </w:rPr>
        <w:t>.4</w:t>
      </w:r>
      <w:r>
        <w:rPr>
          <w:rFonts w:hint="default"/>
        </w:rPr>
        <w:t>-4 与《湖南省洞庭湖保护条例》符合性分析一览表</w:t>
      </w:r>
    </w:p>
    <w:tbl>
      <w:tblPr>
        <w:tblStyle w:val="31"/>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3531"/>
        <w:gridCol w:w="3235"/>
        <w:gridCol w:w="968"/>
      </w:tblGrid>
      <w:tr w14:paraId="6E37E4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9" w:type="pct"/>
            <w:tcBorders>
              <w:tl2br w:val="nil"/>
              <w:tr2bl w:val="nil"/>
            </w:tcBorders>
            <w:noWrap w:val="0"/>
            <w:vAlign w:val="center"/>
          </w:tcPr>
          <w:p w14:paraId="22853CCD">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序号</w:t>
            </w:r>
          </w:p>
        </w:tc>
        <w:tc>
          <w:tcPr>
            <w:tcW w:w="2073" w:type="pct"/>
            <w:tcBorders>
              <w:tl2br w:val="nil"/>
              <w:tr2bl w:val="nil"/>
            </w:tcBorders>
            <w:noWrap w:val="0"/>
            <w:vAlign w:val="center"/>
          </w:tcPr>
          <w:p w14:paraId="161FE2EC">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要求</w:t>
            </w:r>
          </w:p>
        </w:tc>
        <w:tc>
          <w:tcPr>
            <w:tcW w:w="1899" w:type="pct"/>
            <w:tcBorders>
              <w:tl2br w:val="nil"/>
              <w:tr2bl w:val="nil"/>
            </w:tcBorders>
            <w:noWrap w:val="0"/>
            <w:vAlign w:val="center"/>
          </w:tcPr>
          <w:p w14:paraId="4E130867">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本项目情况</w:t>
            </w:r>
          </w:p>
        </w:tc>
        <w:tc>
          <w:tcPr>
            <w:tcW w:w="568" w:type="pct"/>
            <w:tcBorders>
              <w:tl2br w:val="nil"/>
              <w:tr2bl w:val="nil"/>
            </w:tcBorders>
            <w:noWrap w:val="0"/>
            <w:vAlign w:val="center"/>
          </w:tcPr>
          <w:p w14:paraId="49AFB770">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是否符合</w:t>
            </w:r>
          </w:p>
        </w:tc>
      </w:tr>
      <w:tr w14:paraId="092E0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6" w:hRule="atLeast"/>
        </w:trPr>
        <w:tc>
          <w:tcPr>
            <w:tcW w:w="459" w:type="pct"/>
            <w:tcBorders>
              <w:tl2br w:val="nil"/>
              <w:tr2bl w:val="nil"/>
            </w:tcBorders>
            <w:noWrap w:val="0"/>
            <w:vAlign w:val="center"/>
          </w:tcPr>
          <w:p w14:paraId="3E5B4B8E">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1</w:t>
            </w:r>
          </w:p>
        </w:tc>
        <w:tc>
          <w:tcPr>
            <w:tcW w:w="2073" w:type="pct"/>
            <w:tcBorders>
              <w:tl2br w:val="nil"/>
              <w:tr2bl w:val="nil"/>
            </w:tcBorders>
            <w:noWrap w:val="0"/>
            <w:vAlign w:val="center"/>
          </w:tcPr>
          <w:p w14:paraId="4BC60FA6">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禁止在湖区布局对生态系统有严重影响的产业。禁止重污染企业和项目向湖区转移。</w:t>
            </w:r>
          </w:p>
        </w:tc>
        <w:tc>
          <w:tcPr>
            <w:tcW w:w="1899" w:type="pct"/>
            <w:tcBorders>
              <w:tl2br w:val="nil"/>
              <w:tr2bl w:val="nil"/>
            </w:tcBorders>
            <w:noWrap w:val="0"/>
            <w:vAlign w:val="center"/>
          </w:tcPr>
          <w:p w14:paraId="7E3412CC">
            <w:pPr>
              <w:pStyle w:val="42"/>
              <w:keepNext w:val="0"/>
              <w:keepLines w:val="0"/>
              <w:widowControl w:val="0"/>
              <w:suppressLineNumbers w:val="0"/>
              <w:bidi w:val="0"/>
              <w:spacing w:before="0" w:beforeAutospacing="0" w:after="0" w:afterAutospacing="0"/>
              <w:rPr>
                <w:rFonts w:hint="default"/>
                <w:lang w:val="en-US" w:eastAsia="zh-CN"/>
              </w:rPr>
            </w:pPr>
            <w:r>
              <w:rPr>
                <w:rFonts w:hint="default"/>
              </w:rPr>
              <w:t>本项目位于</w:t>
            </w:r>
            <w:r>
              <w:rPr>
                <w:rFonts w:hint="eastAsia"/>
                <w:lang w:val="en-US" w:eastAsia="zh-CN"/>
              </w:rPr>
              <w:t>湘阴高新技术产业开发区片区内，用地为二类工业用地，本项目为湘阴佳海绿色食品产业园一期配套污水处理站项目，该园区规划入驻企业均为绿色食品加工业，入驻企业均须按照相关要求办理环保手续后入园生产。不会对湖区有严重影响。</w:t>
            </w:r>
          </w:p>
        </w:tc>
        <w:tc>
          <w:tcPr>
            <w:tcW w:w="568" w:type="pct"/>
            <w:tcBorders>
              <w:tl2br w:val="nil"/>
              <w:tr2bl w:val="nil"/>
            </w:tcBorders>
            <w:noWrap w:val="0"/>
            <w:vAlign w:val="center"/>
          </w:tcPr>
          <w:p w14:paraId="5EA2ADD6">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符合</w:t>
            </w:r>
          </w:p>
        </w:tc>
      </w:tr>
      <w:tr w14:paraId="228FF4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9" w:type="pct"/>
            <w:tcBorders>
              <w:tl2br w:val="nil"/>
              <w:tr2bl w:val="nil"/>
            </w:tcBorders>
            <w:noWrap w:val="0"/>
            <w:vAlign w:val="center"/>
          </w:tcPr>
          <w:p w14:paraId="756383CD">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2</w:t>
            </w:r>
          </w:p>
        </w:tc>
        <w:tc>
          <w:tcPr>
            <w:tcW w:w="2073" w:type="pct"/>
            <w:tcBorders>
              <w:tl2br w:val="nil"/>
              <w:tr2bl w:val="nil"/>
            </w:tcBorders>
            <w:noWrap w:val="0"/>
            <w:vAlign w:val="center"/>
          </w:tcPr>
          <w:p w14:paraId="52355C1E">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湖区市、县（市、区）人民政府应当按照国家、省有关标准统筹安排城乡排水与污水收集处理管网建设、改造和运行，确保生产生活污水全面收集，达标排放。湖区市、县（市、区）人民政府应当推广农村卫生厕所，推进粪污无害化处理与资源化利用，配套建设农村污水治理设施，防止粪污污染水体。鼓励城乡生活污水循环化利用。</w:t>
            </w:r>
          </w:p>
        </w:tc>
        <w:tc>
          <w:tcPr>
            <w:tcW w:w="1899" w:type="pct"/>
            <w:tcBorders>
              <w:tl2br w:val="nil"/>
              <w:tr2bl w:val="nil"/>
            </w:tcBorders>
            <w:noWrap w:val="0"/>
            <w:vAlign w:val="center"/>
          </w:tcPr>
          <w:p w14:paraId="20B1B40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本项目为湘阴佳海绿色食品产业园一期配套污水处理站项目，用于园区内生产废水的预处理后，进入湘阴县第二污水处理厂处理。</w:t>
            </w:r>
          </w:p>
        </w:tc>
        <w:tc>
          <w:tcPr>
            <w:tcW w:w="568" w:type="pct"/>
            <w:tcBorders>
              <w:tl2br w:val="nil"/>
              <w:tr2bl w:val="nil"/>
            </w:tcBorders>
            <w:noWrap w:val="0"/>
            <w:vAlign w:val="center"/>
          </w:tcPr>
          <w:p w14:paraId="6A7CBAA3">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符合</w:t>
            </w:r>
          </w:p>
        </w:tc>
      </w:tr>
      <w:tr w14:paraId="626715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9" w:type="pct"/>
            <w:tcBorders>
              <w:tl2br w:val="nil"/>
              <w:tr2bl w:val="nil"/>
            </w:tcBorders>
            <w:noWrap w:val="0"/>
            <w:vAlign w:val="center"/>
          </w:tcPr>
          <w:p w14:paraId="385130E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3</w:t>
            </w:r>
          </w:p>
        </w:tc>
        <w:tc>
          <w:tcPr>
            <w:tcW w:w="2073" w:type="pct"/>
            <w:tcBorders>
              <w:tl2br w:val="nil"/>
              <w:tr2bl w:val="nil"/>
            </w:tcBorders>
            <w:noWrap w:val="0"/>
            <w:vAlign w:val="center"/>
          </w:tcPr>
          <w:p w14:paraId="76912F93">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禁止填湖造地、围湖造田、建设矮围网围、填埋湿地等非法侵占河湖水域或者违法利用、占用河湖岸线的行为。</w:t>
            </w:r>
          </w:p>
        </w:tc>
        <w:tc>
          <w:tcPr>
            <w:tcW w:w="1899" w:type="pct"/>
            <w:tcBorders>
              <w:tl2br w:val="nil"/>
              <w:tr2bl w:val="nil"/>
            </w:tcBorders>
            <w:noWrap w:val="0"/>
            <w:vAlign w:val="center"/>
          </w:tcPr>
          <w:p w14:paraId="7BD881B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本项目不涉及</w:t>
            </w:r>
          </w:p>
        </w:tc>
        <w:tc>
          <w:tcPr>
            <w:tcW w:w="568" w:type="pct"/>
            <w:tcBorders>
              <w:tl2br w:val="nil"/>
              <w:tr2bl w:val="nil"/>
            </w:tcBorders>
            <w:noWrap w:val="0"/>
            <w:vAlign w:val="center"/>
          </w:tcPr>
          <w:p w14:paraId="5CF61BE5">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符合</w:t>
            </w:r>
          </w:p>
        </w:tc>
      </w:tr>
      <w:tr w14:paraId="56E3F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9" w:type="pct"/>
            <w:tcBorders>
              <w:tl2br w:val="nil"/>
              <w:tr2bl w:val="nil"/>
            </w:tcBorders>
            <w:noWrap w:val="0"/>
            <w:vAlign w:val="center"/>
          </w:tcPr>
          <w:p w14:paraId="25B94EE7">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4</w:t>
            </w:r>
          </w:p>
        </w:tc>
        <w:tc>
          <w:tcPr>
            <w:tcW w:w="2073" w:type="pct"/>
            <w:tcBorders>
              <w:tl2br w:val="nil"/>
              <w:tr2bl w:val="nil"/>
            </w:tcBorders>
            <w:noWrap w:val="0"/>
            <w:vAlign w:val="center"/>
          </w:tcPr>
          <w:p w14:paraId="665D6938">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洞庭湖生态保护红线划定、永久基本农田划定、城镇开发边界划定应当满足防洪设施建设管理要求，预留防洪设施建设空间和范围，确保防洪安全。</w:t>
            </w:r>
          </w:p>
        </w:tc>
        <w:tc>
          <w:tcPr>
            <w:tcW w:w="1899" w:type="pct"/>
            <w:tcBorders>
              <w:tl2br w:val="nil"/>
              <w:tr2bl w:val="nil"/>
            </w:tcBorders>
            <w:noWrap w:val="0"/>
            <w:vAlign w:val="center"/>
          </w:tcPr>
          <w:p w14:paraId="20E7A016">
            <w:pPr>
              <w:pStyle w:val="42"/>
              <w:keepNext w:val="0"/>
              <w:keepLines w:val="0"/>
              <w:widowControl w:val="0"/>
              <w:suppressLineNumbers w:val="0"/>
              <w:bidi w:val="0"/>
              <w:spacing w:before="0" w:beforeAutospacing="0" w:after="0" w:afterAutospacing="0"/>
              <w:rPr>
                <w:rFonts w:hint="default"/>
                <w:lang w:val="en-US" w:eastAsia="zh-CN"/>
              </w:rPr>
            </w:pPr>
            <w:r>
              <w:rPr>
                <w:rFonts w:hint="default"/>
              </w:rPr>
              <w:t>本项目位于</w:t>
            </w:r>
            <w:r>
              <w:rPr>
                <w:rFonts w:hint="eastAsia"/>
                <w:lang w:val="en-US" w:eastAsia="zh-CN"/>
              </w:rPr>
              <w:t>湘阴高新技术产业开发区片区内，离大堤较远，不会对大堤防洪产生影响。</w:t>
            </w:r>
          </w:p>
        </w:tc>
        <w:tc>
          <w:tcPr>
            <w:tcW w:w="568" w:type="pct"/>
            <w:tcBorders>
              <w:tl2br w:val="nil"/>
              <w:tr2bl w:val="nil"/>
            </w:tcBorders>
            <w:noWrap w:val="0"/>
            <w:vAlign w:val="center"/>
          </w:tcPr>
          <w:p w14:paraId="266D8042">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符合</w:t>
            </w:r>
          </w:p>
        </w:tc>
      </w:tr>
    </w:tbl>
    <w:p w14:paraId="7B23D16A">
      <w:pPr>
        <w:pStyle w:val="6"/>
        <w:bidi w:val="0"/>
        <w:rPr>
          <w:rFonts w:hint="default"/>
        </w:rPr>
      </w:pPr>
      <w:r>
        <w:rPr>
          <w:rFonts w:hint="default"/>
        </w:rPr>
        <w:t>与《湖南湘阴—东湖国家湿地公园保护管理办法》及《湖南湘阴-东湖国家湿地公园总体规划》相符性分析</w:t>
      </w:r>
    </w:p>
    <w:p w14:paraId="4658EDBB">
      <w:pPr>
        <w:rPr>
          <w:rFonts w:hint="default"/>
        </w:rPr>
      </w:pPr>
      <w:r>
        <w:rPr>
          <w:rFonts w:hint="default"/>
        </w:rPr>
        <w:t>湖南湘阴-东湖国家湿地公园于2016年正式成立，湘阴县人民政府实施了《湖南湘阴—东湖国家湿地公园保护管理办法》及《湖南湘阴-东湖国家湿地公园总体规划》，根据规划，湖南湘阴—东湖国家湿地公园共分为湘江河流湿地生态保护保育区、东湖湿地生态恢复重建区、湘江沿岸湿地科普宣教和文化展示带、湿地生态休闲游览区、西湖湿地生态利用示范区和综合管理服务区六个功能区。本项目位于湘江河流湿地生态保护保育区下游部分。</w:t>
      </w:r>
    </w:p>
    <w:p w14:paraId="0F74D8D7">
      <w:pPr>
        <w:rPr>
          <w:rFonts w:hint="default"/>
        </w:rPr>
      </w:pPr>
      <w:r>
        <w:rPr>
          <w:rFonts w:hint="default"/>
        </w:rPr>
        <w:t>《湖南湘阴—东湖国家湿地公园保护管理办法》对湿地公园的保护提出了保护内容和相应保护要求如下。</w:t>
      </w:r>
    </w:p>
    <w:p w14:paraId="03034F30">
      <w:pPr>
        <w:rPr>
          <w:rFonts w:hint="default"/>
        </w:rPr>
      </w:pPr>
      <w:r>
        <w:rPr>
          <w:rFonts w:hint="default"/>
        </w:rPr>
        <w:t>第十五条  湿地公园范围内所有建设项目，应当由生产经营者事先向湿地公园管理处提出书面报告，由湿地公园管理处组织有关部门和利害关系人参加听证会，并经合法性论证后，按程序报批实施。严格执行环境影响评价制度；利用湿地公园内水域从事水产养殖和捕捞的，应当持主管部门核发的养殖证和捕捞证按相关规定要求作业。</w:t>
      </w:r>
    </w:p>
    <w:p w14:paraId="13C68482">
      <w:pPr>
        <w:rPr>
          <w:rFonts w:hint="default"/>
        </w:rPr>
      </w:pPr>
      <w:r>
        <w:rPr>
          <w:rFonts w:hint="default"/>
        </w:rPr>
        <w:t>第十六条  湿地公园主要保护内容：</w:t>
      </w:r>
    </w:p>
    <w:p w14:paraId="10E39BFB">
      <w:pPr>
        <w:rPr>
          <w:rFonts w:hint="default"/>
        </w:rPr>
      </w:pPr>
      <w:r>
        <w:rPr>
          <w:rFonts w:hint="default"/>
        </w:rPr>
        <w:t>①水体保护。保护以湘江、白水江、、东湖、西湖为主的水体与水网形态，改善水质。</w:t>
      </w:r>
    </w:p>
    <w:p w14:paraId="7587B34D">
      <w:pPr>
        <w:rPr>
          <w:rFonts w:hint="default"/>
        </w:rPr>
      </w:pPr>
      <w:r>
        <w:rPr>
          <w:rFonts w:hint="default"/>
        </w:rPr>
        <w:t>②生物多样性保护。保护国家和地方重点保护动物的繁殖地、停歇地、栖息地，保护植物物种及其生长环境。</w:t>
      </w:r>
    </w:p>
    <w:p w14:paraId="4437F7CE">
      <w:pPr>
        <w:rPr>
          <w:rFonts w:hint="default"/>
        </w:rPr>
      </w:pPr>
      <w:r>
        <w:rPr>
          <w:rFonts w:hint="default"/>
        </w:rPr>
        <w:t>③土地资源保护。保护现有土地资源，提高土地资源的利用效率。</w:t>
      </w:r>
    </w:p>
    <w:p w14:paraId="504E8228">
      <w:pPr>
        <w:rPr>
          <w:rFonts w:hint="default"/>
        </w:rPr>
      </w:pPr>
      <w:r>
        <w:rPr>
          <w:rFonts w:hint="default"/>
        </w:rPr>
        <w:t>④湿地地形地貌保护。保护湿地相对负地形以及湘阴—东湖湿地特有的库塘地形。</w:t>
      </w:r>
    </w:p>
    <w:p w14:paraId="23FAE57F">
      <w:pPr>
        <w:rPr>
          <w:rFonts w:hint="default"/>
        </w:rPr>
      </w:pPr>
      <w:r>
        <w:rPr>
          <w:rFonts w:hint="default"/>
        </w:rPr>
        <w:t>⑤农业种养殖业保护。保护符合湿地自然生态规律的农业生产系统。</w:t>
      </w:r>
    </w:p>
    <w:p w14:paraId="2568700F">
      <w:pPr>
        <w:rPr>
          <w:rFonts w:hint="default"/>
        </w:rPr>
      </w:pPr>
      <w:r>
        <w:rPr>
          <w:rFonts w:hint="default"/>
        </w:rPr>
        <w:t>⑥各级文物保护单位、民俗民间文化、民族文化村及古文化遗存保护。保护文物古迹、古树名木和反映地域特色的文化等。</w:t>
      </w:r>
    </w:p>
    <w:p w14:paraId="326D9585">
      <w:pPr>
        <w:rPr>
          <w:rFonts w:hint="default"/>
        </w:rPr>
      </w:pPr>
      <w:r>
        <w:rPr>
          <w:rFonts w:hint="default"/>
        </w:rPr>
        <w:t>第十八条  湿地公园划分为湘江河流湿地生态保护保育区、东湖湿地生态恢复重建区、湘江沿岸湿地科普宣教和文化展示带、湿地生态休闲游览区、西湖湿地生态利用示范区和综合管理服务区六个功能区。保护保育区内不得建设任何生产经营性设施。</w:t>
      </w:r>
    </w:p>
    <w:p w14:paraId="02693706">
      <w:pPr>
        <w:rPr>
          <w:rFonts w:hint="default"/>
        </w:rPr>
      </w:pPr>
      <w:r>
        <w:rPr>
          <w:rFonts w:hint="default"/>
        </w:rPr>
        <w:t>湿地公园内不得建设污染环境、破坏资源和景观的生产经营性设施。规划允许建设的项目，其污染物排放不得超过国家和地方规定的污染物排放标准；已经建成的项目，其污染物排放超过国家和地方规定的污染物排放标准的，应当责成责任单位限期治理；造成损害的，必须采取补救措施。</w:t>
      </w:r>
    </w:p>
    <w:p w14:paraId="06AF14C7">
      <w:pPr>
        <w:rPr>
          <w:rFonts w:hint="default"/>
        </w:rPr>
      </w:pPr>
      <w:r>
        <w:rPr>
          <w:rFonts w:hint="default"/>
        </w:rPr>
        <w:t>湘阴—东湖国家湿地公园管理中心应当参与外围保护地带和周边景观控制区的保护、规划和建设管理工作。湿地公园内建设的项目不得损害湿地公园的环境质量；已建成并造成损害的，应当限期治理。</w:t>
      </w:r>
    </w:p>
    <w:p w14:paraId="58EA98FF">
      <w:pPr>
        <w:rPr>
          <w:rFonts w:hint="default"/>
        </w:rPr>
      </w:pPr>
      <w:r>
        <w:rPr>
          <w:rFonts w:hint="default"/>
        </w:rPr>
        <w:t>第十九条  禁止擅自占用、征用湖南湘阴—东湖国家湿地公园的土地。确需占用、征用的，用地单位应当征求湘阴—东湖国家湿地公园管理中心意见，并按要求报批后，方可依法办理相关手续。湿地公园内不得设立开发区、度假区，不得出让土地，严禁出租转让湿地资源；严禁举办与湿地公园保护方向不一致的各种活动。</w:t>
      </w:r>
    </w:p>
    <w:p w14:paraId="20DE1E47">
      <w:pPr>
        <w:rPr>
          <w:rFonts w:hint="default"/>
        </w:rPr>
      </w:pPr>
      <w:r>
        <w:rPr>
          <w:rFonts w:hint="default"/>
        </w:rPr>
        <w:t>第二十条  湿地公园内禁止开（围）湿地、砍伐、采药、开矿、挖沙、采石、修坟、生产性放牧、破坏泥炭层等改变地貌和破坏环境、景观的活动。已退田还湿、退塘还湖的地域禁止新建居民点或者其他永久性建筑物、构筑物。</w:t>
      </w:r>
    </w:p>
    <w:p w14:paraId="2B482BD4">
      <w:pPr>
        <w:rPr>
          <w:rFonts w:hint="default"/>
        </w:rPr>
      </w:pPr>
      <w:r>
        <w:rPr>
          <w:rFonts w:hint="default"/>
        </w:rPr>
        <w:t>第二十一条  湿地公园内及周边区域严格实行污染物排放总量控制制度和排污许可证制度。</w:t>
      </w:r>
    </w:p>
    <w:p w14:paraId="4132AF26">
      <w:pPr>
        <w:rPr>
          <w:rFonts w:hint="default"/>
        </w:rPr>
      </w:pPr>
      <w:r>
        <w:rPr>
          <w:rFonts w:hint="default"/>
        </w:rPr>
        <w:t>禁止任意存储固体废弃物，对农用薄膜和渔网等不可降解的废弃物，使用者应当采取回收利用等措施。</w:t>
      </w:r>
    </w:p>
    <w:p w14:paraId="3E12944E">
      <w:pPr>
        <w:rPr>
          <w:rFonts w:hint="default"/>
        </w:rPr>
      </w:pPr>
      <w:r>
        <w:rPr>
          <w:rFonts w:hint="default"/>
        </w:rPr>
        <w:t>湿地公园内航行的船舶，应当配置符合国家规定的防污设备，不得排放含油污水、生活污水及固体垃圾。</w:t>
      </w:r>
    </w:p>
    <w:p w14:paraId="05E0B6A8">
      <w:pPr>
        <w:rPr>
          <w:rFonts w:hint="default"/>
          <w:highlight w:val="none"/>
        </w:rPr>
      </w:pPr>
      <w:r>
        <w:rPr>
          <w:rFonts w:hint="default"/>
        </w:rPr>
        <w:t>本项目位于湘阴高新技术产业开发区片区内，本项目不在湘江河流湿地保护保育区范围内，且不属于开（围）湿地、砍伐、采药、开矿、挖沙、采石、修坟、生产性放牧、破坏泥炭层等</w:t>
      </w:r>
      <w:r>
        <w:rPr>
          <w:rFonts w:hint="default"/>
          <w:highlight w:val="none"/>
        </w:rPr>
        <w:t>改变地貌和破坏环境、景观等湿地公园禁止的活动，故本项目与《湖南湘阴—东湖国家湿地公园保护管理办法》及《湖南湘阴-东湖国家湿地公园总体规划》相符。</w:t>
      </w:r>
    </w:p>
    <w:p w14:paraId="5888126A">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与长江经济带相关环境保护规划相符性分析</w:t>
      </w:r>
    </w:p>
    <w:p w14:paraId="2400EBE0">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与《长江经济带发展负面清单指南（试行</w:t>
      </w:r>
      <w:r>
        <w:rPr>
          <w:rFonts w:hint="eastAsia" w:cs="Times New Roman"/>
          <w:color w:val="auto"/>
          <w:highlight w:val="none"/>
          <w:u w:val="none" w:color="auto"/>
          <w:lang w:val="en-US" w:eastAsia="zh-CN"/>
        </w:rPr>
        <w:t>2022年版</w:t>
      </w:r>
      <w:r>
        <w:rPr>
          <w:rFonts w:hint="default" w:ascii="Times New Roman" w:hAnsi="Times New Roman" w:cs="Times New Roman"/>
          <w:color w:val="auto"/>
          <w:highlight w:val="none"/>
          <w:u w:val="none" w:color="auto"/>
        </w:rPr>
        <w:t>）》的符合性分析</w:t>
      </w:r>
    </w:p>
    <w:p w14:paraId="0FE87AB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根据《长江经济带发展负面清单指南（试行）》，对照分析与本项目有关的政策要求相符性分析：</w:t>
      </w:r>
    </w:p>
    <w:p w14:paraId="5784A974">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default" w:ascii="Times New Roman" w:hAnsi="Times New Roman" w:cs="Times New Roman"/>
          <w:color w:val="auto"/>
          <w:highlight w:val="none"/>
          <w:u w:val="none" w:color="auto"/>
          <w:lang w:val="en-US" w:eastAsia="zh-CN"/>
        </w:rPr>
        <w:t>1.4-</w:t>
      </w:r>
      <w:r>
        <w:rPr>
          <w:rFonts w:hint="eastAsia"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 xml:space="preserve">   与《长江经济带发展负面清单指南（试行）》相符性分析</w:t>
      </w:r>
    </w:p>
    <w:tbl>
      <w:tblPr>
        <w:tblStyle w:val="51"/>
        <w:tblW w:w="503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047"/>
        <w:gridCol w:w="2241"/>
        <w:gridCol w:w="1101"/>
      </w:tblGrid>
      <w:tr w14:paraId="473152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783C6483">
            <w:pPr>
              <w:pStyle w:val="42"/>
              <w:bidi w:val="0"/>
              <w:rPr>
                <w:rFonts w:hint="default"/>
              </w:rPr>
            </w:pPr>
            <w:r>
              <w:rPr>
                <w:rFonts w:hint="default"/>
              </w:rPr>
              <w:t>与本项目有关的政策要求</w:t>
            </w:r>
          </w:p>
        </w:tc>
        <w:tc>
          <w:tcPr>
            <w:tcW w:w="2438" w:type="dxa"/>
            <w:tcBorders>
              <w:tl2br w:val="nil"/>
              <w:tr2bl w:val="nil"/>
            </w:tcBorders>
            <w:noWrap w:val="0"/>
            <w:vAlign w:val="center"/>
          </w:tcPr>
          <w:p w14:paraId="69EC0C6F">
            <w:pPr>
              <w:pStyle w:val="42"/>
              <w:bidi w:val="0"/>
              <w:rPr>
                <w:rFonts w:hint="default"/>
              </w:rPr>
            </w:pPr>
            <w:r>
              <w:rPr>
                <w:rFonts w:hint="default"/>
              </w:rPr>
              <w:t>项目情况</w:t>
            </w:r>
          </w:p>
        </w:tc>
        <w:tc>
          <w:tcPr>
            <w:tcW w:w="1198" w:type="dxa"/>
            <w:tcBorders>
              <w:tl2br w:val="nil"/>
              <w:tr2bl w:val="nil"/>
            </w:tcBorders>
            <w:noWrap w:val="0"/>
            <w:vAlign w:val="center"/>
          </w:tcPr>
          <w:p w14:paraId="7EEE1E1D">
            <w:pPr>
              <w:pStyle w:val="42"/>
              <w:bidi w:val="0"/>
              <w:rPr>
                <w:rFonts w:hint="default"/>
              </w:rPr>
            </w:pPr>
            <w:r>
              <w:rPr>
                <w:rFonts w:hint="default"/>
              </w:rPr>
              <w:t>相符性</w:t>
            </w:r>
          </w:p>
        </w:tc>
      </w:tr>
      <w:tr w14:paraId="2ED0C2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0C57D02D">
            <w:pPr>
              <w:pStyle w:val="42"/>
              <w:bidi w:val="0"/>
              <w:rPr>
                <w:rFonts w:hint="default"/>
              </w:rPr>
            </w:pPr>
            <w:r>
              <w:rPr>
                <w:rFonts w:hint="default"/>
              </w:rPr>
              <w:t>禁止在自然保护区核心区、缓冲区的岸线和河段范围内投资建设旅游和生产经营项目。禁止在风景名胜区核心景区的岸线和河段范围内投资建设与风景名胜资源保护无关的项目。</w:t>
            </w:r>
          </w:p>
        </w:tc>
        <w:tc>
          <w:tcPr>
            <w:tcW w:w="2438" w:type="dxa"/>
            <w:tcBorders>
              <w:tl2br w:val="nil"/>
              <w:tr2bl w:val="nil"/>
            </w:tcBorders>
            <w:noWrap w:val="0"/>
            <w:vAlign w:val="center"/>
          </w:tcPr>
          <w:p w14:paraId="277C4AC0">
            <w:pPr>
              <w:pStyle w:val="42"/>
              <w:bidi w:val="0"/>
              <w:rPr>
                <w:rFonts w:hint="default"/>
              </w:rPr>
            </w:pPr>
            <w:r>
              <w:rPr>
                <w:rFonts w:hint="default"/>
              </w:rPr>
              <w:t>不涉及自然保护区、风景名胜区</w:t>
            </w:r>
          </w:p>
        </w:tc>
        <w:tc>
          <w:tcPr>
            <w:tcW w:w="1198" w:type="dxa"/>
            <w:tcBorders>
              <w:tl2br w:val="nil"/>
              <w:tr2bl w:val="nil"/>
            </w:tcBorders>
            <w:noWrap w:val="0"/>
            <w:vAlign w:val="center"/>
          </w:tcPr>
          <w:p w14:paraId="5A0CCED6">
            <w:pPr>
              <w:pStyle w:val="42"/>
              <w:bidi w:val="0"/>
              <w:rPr>
                <w:rFonts w:hint="default"/>
              </w:rPr>
            </w:pPr>
            <w:r>
              <w:rPr>
                <w:rFonts w:hint="default"/>
              </w:rPr>
              <w:t>相符</w:t>
            </w:r>
          </w:p>
        </w:tc>
      </w:tr>
      <w:tr w14:paraId="45A054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1CB096AD">
            <w:pPr>
              <w:pStyle w:val="42"/>
              <w:bidi w:val="0"/>
              <w:rPr>
                <w:rFonts w:hint="default"/>
              </w:rPr>
            </w:pPr>
            <w:r>
              <w:rPr>
                <w:rFonts w:hint="default"/>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2438" w:type="dxa"/>
            <w:tcBorders>
              <w:tl2br w:val="nil"/>
              <w:tr2bl w:val="nil"/>
            </w:tcBorders>
            <w:noWrap w:val="0"/>
            <w:vAlign w:val="center"/>
          </w:tcPr>
          <w:p w14:paraId="57BBAD62">
            <w:pPr>
              <w:pStyle w:val="42"/>
              <w:bidi w:val="0"/>
              <w:rPr>
                <w:rFonts w:hint="default"/>
                <w:lang w:eastAsia="zh-CN"/>
              </w:rPr>
            </w:pPr>
            <w:r>
              <w:rPr>
                <w:rFonts w:hint="default"/>
                <w:lang w:val="en-US" w:eastAsia="zh-CN"/>
              </w:rPr>
              <w:t>不涉及</w:t>
            </w:r>
          </w:p>
        </w:tc>
        <w:tc>
          <w:tcPr>
            <w:tcW w:w="1198" w:type="dxa"/>
            <w:tcBorders>
              <w:tl2br w:val="nil"/>
              <w:tr2bl w:val="nil"/>
            </w:tcBorders>
            <w:noWrap w:val="0"/>
            <w:vAlign w:val="center"/>
          </w:tcPr>
          <w:p w14:paraId="063D2962">
            <w:pPr>
              <w:pStyle w:val="42"/>
              <w:bidi w:val="0"/>
              <w:rPr>
                <w:rFonts w:hint="default"/>
              </w:rPr>
            </w:pPr>
            <w:r>
              <w:rPr>
                <w:rFonts w:hint="default"/>
              </w:rPr>
              <w:t>相符</w:t>
            </w:r>
          </w:p>
        </w:tc>
      </w:tr>
      <w:tr w14:paraId="2C19E0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74CADB98">
            <w:pPr>
              <w:pStyle w:val="42"/>
              <w:bidi w:val="0"/>
              <w:rPr>
                <w:rFonts w:hint="default"/>
              </w:rPr>
            </w:pPr>
            <w:r>
              <w:rPr>
                <w:rFonts w:hint="default"/>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2438" w:type="dxa"/>
            <w:tcBorders>
              <w:tl2br w:val="nil"/>
              <w:tr2bl w:val="nil"/>
            </w:tcBorders>
            <w:noWrap w:val="0"/>
            <w:vAlign w:val="center"/>
          </w:tcPr>
          <w:p w14:paraId="61585775">
            <w:pPr>
              <w:pStyle w:val="42"/>
              <w:bidi w:val="0"/>
              <w:rPr>
                <w:rFonts w:hint="default"/>
                <w:lang w:val="en-US" w:eastAsia="zh-CN"/>
              </w:rPr>
            </w:pPr>
            <w:r>
              <w:rPr>
                <w:rFonts w:hint="default"/>
                <w:lang w:val="en-US" w:eastAsia="zh-CN"/>
              </w:rPr>
              <w:t>不涉及</w:t>
            </w:r>
          </w:p>
        </w:tc>
        <w:tc>
          <w:tcPr>
            <w:tcW w:w="1198" w:type="dxa"/>
            <w:tcBorders>
              <w:tl2br w:val="nil"/>
              <w:tr2bl w:val="nil"/>
            </w:tcBorders>
            <w:noWrap w:val="0"/>
            <w:vAlign w:val="center"/>
          </w:tcPr>
          <w:p w14:paraId="0BD37A17">
            <w:pPr>
              <w:pStyle w:val="42"/>
              <w:bidi w:val="0"/>
              <w:rPr>
                <w:rFonts w:hint="default"/>
              </w:rPr>
            </w:pPr>
            <w:r>
              <w:rPr>
                <w:rFonts w:hint="default"/>
              </w:rPr>
              <w:t>相符</w:t>
            </w:r>
          </w:p>
        </w:tc>
      </w:tr>
      <w:tr w14:paraId="154F7E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74A6E4BD">
            <w:pPr>
              <w:pStyle w:val="42"/>
              <w:bidi w:val="0"/>
              <w:rPr>
                <w:rFonts w:hint="default"/>
              </w:rPr>
            </w:pPr>
            <w:r>
              <w:rPr>
                <w:rFonts w:hint="default"/>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2438" w:type="dxa"/>
            <w:tcBorders>
              <w:tl2br w:val="nil"/>
              <w:tr2bl w:val="nil"/>
            </w:tcBorders>
            <w:noWrap w:val="0"/>
            <w:vAlign w:val="center"/>
          </w:tcPr>
          <w:p w14:paraId="19586C28">
            <w:pPr>
              <w:pStyle w:val="42"/>
              <w:bidi w:val="0"/>
              <w:rPr>
                <w:rFonts w:hint="default"/>
              </w:rPr>
            </w:pPr>
            <w:r>
              <w:rPr>
                <w:rFonts w:hint="default"/>
              </w:rPr>
              <w:t>本项目边界距离长江岸线直线距离约</w:t>
            </w:r>
            <w:r>
              <w:rPr>
                <w:rFonts w:hint="eastAsia"/>
                <w:lang w:val="en-US" w:eastAsia="zh-CN"/>
              </w:rPr>
              <w:t>44</w:t>
            </w:r>
            <w:r>
              <w:rPr>
                <w:rFonts w:hint="default"/>
                <w:lang w:val="en-US" w:eastAsia="zh-CN"/>
              </w:rPr>
              <w:t>km</w:t>
            </w:r>
            <w:r>
              <w:rPr>
                <w:rFonts w:hint="default"/>
              </w:rPr>
              <w:t>，不涉及《长江岸线保护和开发利用总体规划》划定的岸线保护区。不涉及《全囯重要江河湖泊水功能区划》划定的河段保护区，并符合岳阳市划定的蓝线、绿线要求。</w:t>
            </w:r>
          </w:p>
        </w:tc>
        <w:tc>
          <w:tcPr>
            <w:tcW w:w="1198" w:type="dxa"/>
            <w:tcBorders>
              <w:tl2br w:val="nil"/>
              <w:tr2bl w:val="nil"/>
            </w:tcBorders>
            <w:noWrap w:val="0"/>
            <w:vAlign w:val="center"/>
          </w:tcPr>
          <w:p w14:paraId="2DEF9BE1">
            <w:pPr>
              <w:pStyle w:val="42"/>
              <w:bidi w:val="0"/>
              <w:rPr>
                <w:rFonts w:hint="default"/>
              </w:rPr>
            </w:pPr>
            <w:r>
              <w:rPr>
                <w:rFonts w:hint="default"/>
              </w:rPr>
              <w:t>相符</w:t>
            </w:r>
          </w:p>
        </w:tc>
      </w:tr>
      <w:tr w14:paraId="2D436C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05D68EAA">
            <w:pPr>
              <w:pStyle w:val="42"/>
              <w:bidi w:val="0"/>
              <w:rPr>
                <w:rFonts w:hint="default"/>
              </w:rPr>
            </w:pPr>
            <w:r>
              <w:rPr>
                <w:rFonts w:hint="default"/>
              </w:rPr>
              <w:t>禁止未经许可在长江干支流及湖泊新设、改设或扩大排污口。</w:t>
            </w:r>
          </w:p>
        </w:tc>
        <w:tc>
          <w:tcPr>
            <w:tcW w:w="2438" w:type="dxa"/>
            <w:tcBorders>
              <w:tl2br w:val="nil"/>
              <w:tr2bl w:val="nil"/>
            </w:tcBorders>
            <w:noWrap w:val="0"/>
            <w:vAlign w:val="center"/>
          </w:tcPr>
          <w:p w14:paraId="0F0596A7">
            <w:pPr>
              <w:pStyle w:val="42"/>
              <w:bidi w:val="0"/>
              <w:rPr>
                <w:rFonts w:hint="default"/>
                <w:lang w:val="en-US" w:eastAsia="zh-CN"/>
              </w:rPr>
            </w:pPr>
            <w:r>
              <w:rPr>
                <w:rFonts w:hint="eastAsia"/>
                <w:lang w:val="en-US" w:eastAsia="zh-CN"/>
              </w:rPr>
              <w:t>本项目处理后尾水进入湘阴县第二污水处理厂，未</w:t>
            </w:r>
            <w:r>
              <w:rPr>
                <w:rFonts w:hint="default"/>
              </w:rPr>
              <w:t>新设、改设或扩大排污口</w:t>
            </w:r>
          </w:p>
        </w:tc>
        <w:tc>
          <w:tcPr>
            <w:tcW w:w="1198" w:type="dxa"/>
            <w:tcBorders>
              <w:tl2br w:val="nil"/>
              <w:tr2bl w:val="nil"/>
            </w:tcBorders>
            <w:noWrap w:val="0"/>
            <w:vAlign w:val="center"/>
          </w:tcPr>
          <w:p w14:paraId="7D06209D">
            <w:pPr>
              <w:pStyle w:val="42"/>
              <w:bidi w:val="0"/>
              <w:rPr>
                <w:rFonts w:hint="default"/>
              </w:rPr>
            </w:pPr>
            <w:r>
              <w:rPr>
                <w:rFonts w:hint="default"/>
              </w:rPr>
              <w:t>相符</w:t>
            </w:r>
          </w:p>
        </w:tc>
      </w:tr>
      <w:tr w14:paraId="562AF4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41ACBBBB">
            <w:pPr>
              <w:pStyle w:val="42"/>
              <w:bidi w:val="0"/>
              <w:rPr>
                <w:rFonts w:hint="default"/>
              </w:rPr>
            </w:pPr>
            <w:r>
              <w:rPr>
                <w:rFonts w:hint="default"/>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2438" w:type="dxa"/>
            <w:tcBorders>
              <w:tl2br w:val="nil"/>
              <w:tr2bl w:val="nil"/>
            </w:tcBorders>
            <w:noWrap w:val="0"/>
            <w:vAlign w:val="center"/>
          </w:tcPr>
          <w:p w14:paraId="4D53F91B">
            <w:pPr>
              <w:pStyle w:val="42"/>
              <w:bidi w:val="0"/>
              <w:rPr>
                <w:rFonts w:hint="default"/>
                <w:lang w:eastAsia="zh-CN"/>
              </w:rPr>
            </w:pPr>
            <w:r>
              <w:rPr>
                <w:rFonts w:hint="default"/>
              </w:rPr>
              <w:t>本项目不涉及岳阳市划定的生态红线、不涉及基本农田</w:t>
            </w:r>
            <w:r>
              <w:rPr>
                <w:rFonts w:hint="default"/>
                <w:lang w:eastAsia="zh-CN"/>
              </w:rPr>
              <w:t>。</w:t>
            </w:r>
          </w:p>
        </w:tc>
        <w:tc>
          <w:tcPr>
            <w:tcW w:w="1198" w:type="dxa"/>
            <w:tcBorders>
              <w:tl2br w:val="nil"/>
              <w:tr2bl w:val="nil"/>
            </w:tcBorders>
            <w:noWrap w:val="0"/>
            <w:vAlign w:val="center"/>
          </w:tcPr>
          <w:p w14:paraId="110BB68C">
            <w:pPr>
              <w:pStyle w:val="42"/>
              <w:bidi w:val="0"/>
              <w:rPr>
                <w:rFonts w:hint="default"/>
              </w:rPr>
            </w:pPr>
            <w:r>
              <w:rPr>
                <w:rFonts w:hint="default"/>
              </w:rPr>
              <w:t>相符</w:t>
            </w:r>
          </w:p>
        </w:tc>
      </w:tr>
      <w:tr w14:paraId="5F3310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2ED1627B">
            <w:pPr>
              <w:pStyle w:val="42"/>
              <w:bidi w:val="0"/>
              <w:rPr>
                <w:rFonts w:hint="default"/>
              </w:rPr>
            </w:pPr>
            <w:r>
              <w:rPr>
                <w:rFonts w:hint="default"/>
              </w:rPr>
              <w:t>禁止在长江</w:t>
            </w:r>
            <w:r>
              <w:rPr>
                <w:rFonts w:hint="eastAsia"/>
                <w:lang w:val="en-US" w:eastAsia="zh-CN"/>
              </w:rPr>
              <w:t>干</w:t>
            </w:r>
            <w:r>
              <w:rPr>
                <w:rFonts w:hint="default"/>
              </w:rPr>
              <w:t>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2438" w:type="dxa"/>
            <w:tcBorders>
              <w:tl2br w:val="nil"/>
              <w:tr2bl w:val="nil"/>
            </w:tcBorders>
            <w:noWrap w:val="0"/>
            <w:vAlign w:val="center"/>
          </w:tcPr>
          <w:p w14:paraId="6E99E506">
            <w:pPr>
              <w:pStyle w:val="42"/>
              <w:bidi w:val="0"/>
              <w:rPr>
                <w:rFonts w:hint="default"/>
                <w:lang w:val="en-US"/>
              </w:rPr>
            </w:pPr>
            <w:r>
              <w:rPr>
                <w:rFonts w:hint="default"/>
              </w:rPr>
              <w:t>本项目边界距离长江岸线直线距离约</w:t>
            </w:r>
            <w:r>
              <w:rPr>
                <w:rFonts w:hint="eastAsia"/>
                <w:lang w:val="en-US" w:eastAsia="zh-CN"/>
              </w:rPr>
              <w:t>44</w:t>
            </w:r>
            <w:r>
              <w:rPr>
                <w:rFonts w:hint="default"/>
                <w:lang w:val="en-US" w:eastAsia="zh-CN"/>
              </w:rPr>
              <w:t>km</w:t>
            </w:r>
          </w:p>
        </w:tc>
        <w:tc>
          <w:tcPr>
            <w:tcW w:w="1198" w:type="dxa"/>
            <w:tcBorders>
              <w:tl2br w:val="nil"/>
              <w:tr2bl w:val="nil"/>
            </w:tcBorders>
            <w:noWrap w:val="0"/>
            <w:vAlign w:val="center"/>
          </w:tcPr>
          <w:p w14:paraId="04936E5F">
            <w:pPr>
              <w:pStyle w:val="42"/>
              <w:bidi w:val="0"/>
              <w:rPr>
                <w:rFonts w:hint="default"/>
              </w:rPr>
            </w:pPr>
            <w:r>
              <w:rPr>
                <w:rFonts w:hint="default"/>
              </w:rPr>
              <w:t>相符</w:t>
            </w:r>
          </w:p>
        </w:tc>
      </w:tr>
      <w:tr w14:paraId="33BBD1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76E88318">
            <w:pPr>
              <w:pStyle w:val="42"/>
              <w:bidi w:val="0"/>
              <w:rPr>
                <w:rFonts w:hint="default"/>
              </w:rPr>
            </w:pPr>
            <w:r>
              <w:rPr>
                <w:rFonts w:hint="default"/>
              </w:rPr>
              <w:t>禁止在合规园区外新建、扩建钢铁、石化、化工、焦化、建材、有色、制浆造纸等高污染项目</w:t>
            </w:r>
          </w:p>
        </w:tc>
        <w:tc>
          <w:tcPr>
            <w:tcW w:w="2438" w:type="dxa"/>
            <w:tcBorders>
              <w:tl2br w:val="nil"/>
              <w:tr2bl w:val="nil"/>
            </w:tcBorders>
            <w:noWrap w:val="0"/>
            <w:vAlign w:val="center"/>
          </w:tcPr>
          <w:p w14:paraId="151CF3D5">
            <w:pPr>
              <w:pStyle w:val="42"/>
              <w:bidi w:val="0"/>
              <w:rPr>
                <w:rFonts w:hint="eastAsia"/>
                <w:lang w:val="en-US" w:eastAsia="zh-CN"/>
              </w:rPr>
            </w:pPr>
            <w:r>
              <w:rPr>
                <w:rFonts w:hint="eastAsia"/>
                <w:lang w:val="en-US" w:eastAsia="zh-CN"/>
              </w:rPr>
              <w:t>不涉及</w:t>
            </w:r>
          </w:p>
        </w:tc>
        <w:tc>
          <w:tcPr>
            <w:tcW w:w="1198" w:type="dxa"/>
            <w:tcBorders>
              <w:tl2br w:val="nil"/>
              <w:tr2bl w:val="nil"/>
            </w:tcBorders>
            <w:noWrap w:val="0"/>
            <w:vAlign w:val="center"/>
          </w:tcPr>
          <w:p w14:paraId="37E353E1">
            <w:pPr>
              <w:pStyle w:val="42"/>
              <w:bidi w:val="0"/>
              <w:rPr>
                <w:rFonts w:hint="default"/>
              </w:rPr>
            </w:pPr>
            <w:r>
              <w:rPr>
                <w:rFonts w:hint="default"/>
              </w:rPr>
              <w:t>相符</w:t>
            </w:r>
          </w:p>
        </w:tc>
      </w:tr>
      <w:tr w14:paraId="50F157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56FF6589">
            <w:pPr>
              <w:pStyle w:val="42"/>
              <w:bidi w:val="0"/>
              <w:rPr>
                <w:rFonts w:hint="default"/>
              </w:rPr>
            </w:pPr>
            <w:r>
              <w:rPr>
                <w:rFonts w:hint="default"/>
              </w:rPr>
              <w:t>禁止新建、扩建不符合国家石化、现代煤化工等产业布局规划的项目。</w:t>
            </w:r>
          </w:p>
        </w:tc>
        <w:tc>
          <w:tcPr>
            <w:tcW w:w="2438" w:type="dxa"/>
            <w:tcBorders>
              <w:tl2br w:val="nil"/>
              <w:tr2bl w:val="nil"/>
            </w:tcBorders>
            <w:noWrap w:val="0"/>
            <w:vAlign w:val="center"/>
          </w:tcPr>
          <w:p w14:paraId="5C2907FD">
            <w:pPr>
              <w:pStyle w:val="42"/>
              <w:bidi w:val="0"/>
              <w:rPr>
                <w:rFonts w:hint="default"/>
              </w:rPr>
            </w:pPr>
            <w:r>
              <w:rPr>
                <w:rFonts w:hint="eastAsia"/>
                <w:lang w:val="en-US" w:eastAsia="zh-CN"/>
              </w:rPr>
              <w:t>不涉及</w:t>
            </w:r>
          </w:p>
        </w:tc>
        <w:tc>
          <w:tcPr>
            <w:tcW w:w="1198" w:type="dxa"/>
            <w:tcBorders>
              <w:tl2br w:val="nil"/>
              <w:tr2bl w:val="nil"/>
            </w:tcBorders>
            <w:noWrap w:val="0"/>
            <w:vAlign w:val="center"/>
          </w:tcPr>
          <w:p w14:paraId="3D244F57">
            <w:pPr>
              <w:pStyle w:val="42"/>
              <w:bidi w:val="0"/>
              <w:rPr>
                <w:rFonts w:hint="default"/>
              </w:rPr>
            </w:pPr>
            <w:r>
              <w:rPr>
                <w:rFonts w:hint="default"/>
              </w:rPr>
              <w:t>相符</w:t>
            </w:r>
          </w:p>
        </w:tc>
      </w:tr>
      <w:tr w14:paraId="1C18F9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493" w:type="dxa"/>
            <w:tcBorders>
              <w:tl2br w:val="nil"/>
              <w:tr2bl w:val="nil"/>
            </w:tcBorders>
            <w:noWrap w:val="0"/>
            <w:vAlign w:val="center"/>
          </w:tcPr>
          <w:p w14:paraId="5FFC693A">
            <w:pPr>
              <w:pStyle w:val="42"/>
              <w:bidi w:val="0"/>
              <w:rPr>
                <w:rFonts w:hint="default"/>
              </w:rPr>
            </w:pPr>
            <w:r>
              <w:rPr>
                <w:rFonts w:hint="default"/>
              </w:rPr>
              <w:t>禁止新建、扩建法律法规和相关政策明令禁止的落后产能项目。禁止新建、扩建不符合国家产能置换要求的严重过剩产能行业的项目。禁止新建、扩建不符合要求的高耗能高排放项目。</w:t>
            </w:r>
          </w:p>
        </w:tc>
        <w:tc>
          <w:tcPr>
            <w:tcW w:w="2438" w:type="dxa"/>
            <w:tcBorders>
              <w:tl2br w:val="nil"/>
              <w:tr2bl w:val="nil"/>
            </w:tcBorders>
            <w:noWrap w:val="0"/>
            <w:vAlign w:val="center"/>
          </w:tcPr>
          <w:p w14:paraId="212F4B03">
            <w:pPr>
              <w:pStyle w:val="42"/>
              <w:bidi w:val="0"/>
              <w:rPr>
                <w:rFonts w:hint="default"/>
              </w:rPr>
            </w:pPr>
            <w:r>
              <w:rPr>
                <w:rFonts w:hint="default"/>
              </w:rPr>
              <w:t>本项目不属于禁止的落后产能</w:t>
            </w:r>
            <w:r>
              <w:rPr>
                <w:rFonts w:hint="eastAsia"/>
                <w:lang w:val="en-US" w:eastAsia="zh-CN"/>
              </w:rPr>
              <w:t>及</w:t>
            </w:r>
            <w:r>
              <w:rPr>
                <w:rFonts w:hint="default"/>
              </w:rPr>
              <w:t>严重过剩产能行业项目</w:t>
            </w:r>
          </w:p>
        </w:tc>
        <w:tc>
          <w:tcPr>
            <w:tcW w:w="1198" w:type="dxa"/>
            <w:tcBorders>
              <w:tl2br w:val="nil"/>
              <w:tr2bl w:val="nil"/>
            </w:tcBorders>
            <w:noWrap w:val="0"/>
            <w:vAlign w:val="center"/>
          </w:tcPr>
          <w:p w14:paraId="60CC16B3">
            <w:pPr>
              <w:pStyle w:val="42"/>
              <w:bidi w:val="0"/>
              <w:rPr>
                <w:rFonts w:hint="default"/>
              </w:rPr>
            </w:pPr>
            <w:r>
              <w:rPr>
                <w:rFonts w:hint="default"/>
              </w:rPr>
              <w:t>相符</w:t>
            </w:r>
          </w:p>
        </w:tc>
      </w:tr>
    </w:tbl>
    <w:p w14:paraId="77DE378C">
      <w:pPr>
        <w:pStyle w:val="7"/>
        <w:bidi w:val="0"/>
        <w:rPr>
          <w:rFonts w:hint="default"/>
        </w:rPr>
      </w:pPr>
      <w:r>
        <w:rPr>
          <w:rFonts w:hint="default"/>
        </w:rPr>
        <w:t>与《湖南省长江经济带发展负面清单实施细则（试行</w:t>
      </w:r>
      <w:r>
        <w:rPr>
          <w:rFonts w:hint="eastAsia"/>
          <w:lang w:val="en-US" w:eastAsia="zh-CN"/>
        </w:rPr>
        <w:t>2022年版</w:t>
      </w:r>
      <w:r>
        <w:rPr>
          <w:rFonts w:hint="default"/>
        </w:rPr>
        <w:t>）》的符合性分析</w:t>
      </w:r>
    </w:p>
    <w:p w14:paraId="65675EFA">
      <w:pPr>
        <w:pStyle w:val="39"/>
        <w:bidi w:val="0"/>
        <w:rPr>
          <w:rFonts w:hint="default"/>
        </w:rPr>
      </w:pPr>
      <w:r>
        <w:rPr>
          <w:rFonts w:hint="default"/>
        </w:rPr>
        <w:t>表1.4-</w:t>
      </w:r>
      <w:r>
        <w:rPr>
          <w:rFonts w:hint="eastAsia"/>
          <w:lang w:val="en-US" w:eastAsia="zh-CN"/>
        </w:rPr>
        <w:t>6</w:t>
      </w:r>
      <w:r>
        <w:rPr>
          <w:rFonts w:hint="default"/>
        </w:rPr>
        <w:t xml:space="preserve">  与《湖南省长江经济带发展负面清单实施细则（试行）》相符性分析</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47"/>
        <w:gridCol w:w="4901"/>
        <w:gridCol w:w="1656"/>
        <w:gridCol w:w="1115"/>
      </w:tblGrid>
      <w:tr w14:paraId="25DF5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97" w:type="pct"/>
            <w:tcBorders>
              <w:tl2br w:val="nil"/>
              <w:tr2bl w:val="nil"/>
            </w:tcBorders>
            <w:noWrap w:val="0"/>
            <w:vAlign w:val="center"/>
          </w:tcPr>
          <w:p w14:paraId="71690A5C">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序号</w:t>
            </w:r>
          </w:p>
        </w:tc>
        <w:tc>
          <w:tcPr>
            <w:tcW w:w="2876" w:type="pct"/>
            <w:tcBorders>
              <w:tl2br w:val="nil"/>
              <w:tr2bl w:val="nil"/>
            </w:tcBorders>
            <w:noWrap w:val="0"/>
            <w:vAlign w:val="center"/>
          </w:tcPr>
          <w:p w14:paraId="0796F3BB">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内容</w:t>
            </w:r>
          </w:p>
        </w:tc>
        <w:tc>
          <w:tcPr>
            <w:tcW w:w="972" w:type="pct"/>
            <w:tcBorders>
              <w:tl2br w:val="nil"/>
              <w:tr2bl w:val="nil"/>
            </w:tcBorders>
            <w:noWrap w:val="0"/>
            <w:vAlign w:val="center"/>
          </w:tcPr>
          <w:p w14:paraId="5B770716">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项目内容</w:t>
            </w:r>
          </w:p>
        </w:tc>
        <w:tc>
          <w:tcPr>
            <w:tcW w:w="654" w:type="pct"/>
            <w:tcBorders>
              <w:tl2br w:val="nil"/>
              <w:tr2bl w:val="nil"/>
            </w:tcBorders>
            <w:noWrap w:val="0"/>
            <w:vAlign w:val="center"/>
          </w:tcPr>
          <w:p w14:paraId="1DEBED21">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相符性</w:t>
            </w:r>
          </w:p>
        </w:tc>
      </w:tr>
      <w:tr w14:paraId="5A5966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97" w:type="pct"/>
            <w:tcBorders>
              <w:tl2br w:val="nil"/>
              <w:tr2bl w:val="nil"/>
            </w:tcBorders>
            <w:noWrap w:val="0"/>
            <w:vAlign w:val="center"/>
          </w:tcPr>
          <w:p w14:paraId="32DF56AD">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1</w:t>
            </w:r>
          </w:p>
        </w:tc>
        <w:tc>
          <w:tcPr>
            <w:tcW w:w="2876" w:type="pct"/>
            <w:tcBorders>
              <w:tl2br w:val="nil"/>
              <w:tr2bl w:val="nil"/>
            </w:tcBorders>
            <w:noWrap w:val="0"/>
            <w:vAlign w:val="center"/>
          </w:tcPr>
          <w:p w14:paraId="593734AA">
            <w:pPr>
              <w:pStyle w:val="42"/>
              <w:keepNext w:val="0"/>
              <w:keepLines w:val="0"/>
              <w:widowControl w:val="0"/>
              <w:suppressLineNumbers w:val="0"/>
              <w:bidi w:val="0"/>
              <w:spacing w:before="0" w:beforeAutospacing="0" w:after="0" w:afterAutospacing="0"/>
              <w:rPr>
                <w:rFonts w:hint="default"/>
              </w:rPr>
            </w:pPr>
            <w:r>
              <w:rPr>
                <w:rFonts w:hint="default"/>
                <w:lang w:val="en-US" w:eastAsia="zh-CN"/>
              </w:rPr>
              <w:t>禁止建设不符合全国和省级港口布局规划以及港口总体规划的码头项目。对不符合港口总体规划的新建、改建和扩建的码头工程</w:t>
            </w:r>
            <w:r>
              <w:rPr>
                <w:rFonts w:hint="eastAsia"/>
                <w:lang w:val="en-US" w:eastAsia="zh-CN"/>
              </w:rPr>
              <w:t>（</w:t>
            </w:r>
            <w:r>
              <w:rPr>
                <w:rFonts w:hint="default"/>
                <w:lang w:val="en-US" w:eastAsia="zh-CN"/>
              </w:rPr>
              <w:t>含舾装码头工程</w:t>
            </w:r>
            <w:r>
              <w:rPr>
                <w:rFonts w:hint="eastAsia"/>
                <w:lang w:val="en-US" w:eastAsia="zh-CN"/>
              </w:rPr>
              <w:t>）</w:t>
            </w:r>
            <w:r>
              <w:rPr>
                <w:rFonts w:hint="default"/>
                <w:lang w:val="en-US" w:eastAsia="zh-CN"/>
              </w:rPr>
              <w:t>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w:t>
            </w:r>
            <w:r>
              <w:rPr>
                <w:rFonts w:hint="eastAsia"/>
                <w:lang w:val="en-US" w:eastAsia="zh-CN"/>
              </w:rPr>
              <w:t>（</w:t>
            </w:r>
            <w:r>
              <w:rPr>
                <w:rFonts w:hint="default"/>
                <w:lang w:val="en-US" w:eastAsia="zh-CN"/>
              </w:rPr>
              <w:t>2020</w:t>
            </w:r>
            <w:r>
              <w:rPr>
                <w:rFonts w:hint="eastAsia"/>
                <w:lang w:val="en-US" w:eastAsia="zh-CN"/>
              </w:rPr>
              <w:t>—</w:t>
            </w:r>
            <w:r>
              <w:rPr>
                <w:rFonts w:hint="default"/>
                <w:lang w:val="en-US" w:eastAsia="zh-CN"/>
              </w:rPr>
              <w:t>2035年</w:t>
            </w:r>
            <w:r>
              <w:rPr>
                <w:rFonts w:hint="eastAsia"/>
                <w:lang w:val="en-US" w:eastAsia="zh-CN"/>
              </w:rPr>
              <w:t>）</w:t>
            </w:r>
            <w:r>
              <w:rPr>
                <w:rFonts w:hint="default"/>
                <w:lang w:val="en-US" w:eastAsia="zh-CN"/>
              </w:rPr>
              <w:t>》的过长江通道项目。</w:t>
            </w:r>
          </w:p>
        </w:tc>
        <w:tc>
          <w:tcPr>
            <w:tcW w:w="972" w:type="pct"/>
            <w:tcBorders>
              <w:tl2br w:val="nil"/>
              <w:tr2bl w:val="nil"/>
            </w:tcBorders>
            <w:noWrap w:val="0"/>
            <w:vAlign w:val="center"/>
          </w:tcPr>
          <w:p w14:paraId="7539B847">
            <w:pPr>
              <w:pStyle w:val="42"/>
              <w:keepNext w:val="0"/>
              <w:keepLines w:val="0"/>
              <w:widowControl w:val="0"/>
              <w:suppressLineNumbers w:val="0"/>
              <w:bidi w:val="0"/>
              <w:spacing w:before="0" w:beforeAutospacing="0" w:after="0" w:afterAutospacing="0"/>
              <w:rPr>
                <w:rFonts w:hint="default"/>
              </w:rPr>
            </w:pPr>
            <w:r>
              <w:rPr>
                <w:rFonts w:hint="eastAsia"/>
                <w:lang w:val="en-US" w:eastAsia="zh-CN"/>
              </w:rPr>
              <w:t>本项目为产业园区配套污水处理站建设项目，不属于</w:t>
            </w:r>
            <w:r>
              <w:rPr>
                <w:rFonts w:hint="default"/>
                <w:lang w:val="en-US" w:eastAsia="zh-CN"/>
              </w:rPr>
              <w:t>不符合全国和省级港口布局规划以及港口总体规划的码头项目</w:t>
            </w:r>
            <w:r>
              <w:rPr>
                <w:rFonts w:hint="eastAsia"/>
                <w:lang w:val="en-US" w:eastAsia="zh-CN"/>
              </w:rPr>
              <w:t>。</w:t>
            </w:r>
          </w:p>
        </w:tc>
        <w:tc>
          <w:tcPr>
            <w:tcW w:w="654" w:type="pct"/>
            <w:tcBorders>
              <w:tl2br w:val="nil"/>
              <w:tr2bl w:val="nil"/>
            </w:tcBorders>
            <w:noWrap w:val="0"/>
            <w:vAlign w:val="center"/>
          </w:tcPr>
          <w:p w14:paraId="24B1F89E">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7E649A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2741CFF1">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2</w:t>
            </w:r>
          </w:p>
        </w:tc>
        <w:tc>
          <w:tcPr>
            <w:tcW w:w="2876" w:type="pct"/>
            <w:tcBorders>
              <w:tl2br w:val="nil"/>
              <w:tr2bl w:val="nil"/>
            </w:tcBorders>
            <w:noWrap w:val="0"/>
            <w:vAlign w:val="center"/>
          </w:tcPr>
          <w:p w14:paraId="54694E4E">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禁止在自然保护区核心区、缓冲区的岸线和河段范围内投资建设以下旅游和生产经营项目</w:t>
            </w:r>
            <w:r>
              <w:rPr>
                <w:rFonts w:hint="eastAsia"/>
                <w:lang w:val="en-US" w:eastAsia="zh-CN"/>
              </w:rPr>
              <w:t>：</w:t>
            </w:r>
          </w:p>
          <w:p w14:paraId="41C1E345">
            <w:pPr>
              <w:pStyle w:val="42"/>
              <w:keepNext w:val="0"/>
              <w:keepLines w:val="0"/>
              <w:widowControl w:val="0"/>
              <w:suppressLineNumbers w:val="0"/>
              <w:bidi w:val="0"/>
              <w:spacing w:before="0" w:beforeAutospacing="0" w:after="0" w:afterAutospacing="0"/>
              <w:rPr>
                <w:rFonts w:hint="default"/>
              </w:rPr>
            </w:pPr>
            <w:r>
              <w:rPr>
                <w:rFonts w:hint="eastAsia"/>
                <w:lang w:val="en-US" w:eastAsia="zh-CN"/>
              </w:rPr>
              <w:t>（</w:t>
            </w:r>
            <w:r>
              <w:rPr>
                <w:rFonts w:hint="default"/>
                <w:lang w:val="en-US" w:eastAsia="zh-CN"/>
              </w:rPr>
              <w:t>一</w:t>
            </w:r>
            <w:r>
              <w:rPr>
                <w:rFonts w:hint="eastAsia"/>
                <w:lang w:val="en-US" w:eastAsia="zh-CN"/>
              </w:rPr>
              <w:t>）</w:t>
            </w:r>
            <w:r>
              <w:rPr>
                <w:rFonts w:hint="default"/>
                <w:lang w:val="en-US" w:eastAsia="zh-CN"/>
              </w:rPr>
              <w:t>高尔夫球场开发、房地产开发、索道建设、会所建设等项目</w:t>
            </w:r>
            <w:r>
              <w:rPr>
                <w:rFonts w:hint="eastAsia"/>
                <w:lang w:val="en-US" w:eastAsia="zh-CN"/>
              </w:rPr>
              <w:t>；（</w:t>
            </w:r>
            <w:r>
              <w:rPr>
                <w:rFonts w:hint="default"/>
                <w:lang w:val="en-US" w:eastAsia="zh-CN"/>
              </w:rPr>
              <w:t>二</w:t>
            </w:r>
            <w:r>
              <w:rPr>
                <w:rFonts w:hint="eastAsia"/>
                <w:lang w:val="en-US" w:eastAsia="zh-CN"/>
              </w:rPr>
              <w:t>）</w:t>
            </w:r>
            <w:r>
              <w:rPr>
                <w:rFonts w:hint="default"/>
                <w:lang w:val="en-US" w:eastAsia="zh-CN"/>
              </w:rPr>
              <w:t>光伏发电、风力发电、火力发电建设项目</w:t>
            </w:r>
            <w:r>
              <w:rPr>
                <w:rFonts w:hint="eastAsia"/>
                <w:lang w:val="en-US" w:eastAsia="zh-CN"/>
              </w:rPr>
              <w:t>；（</w:t>
            </w:r>
            <w:r>
              <w:rPr>
                <w:rFonts w:hint="default"/>
                <w:lang w:val="en-US" w:eastAsia="zh-CN"/>
              </w:rPr>
              <w:t>三</w:t>
            </w:r>
            <w:r>
              <w:rPr>
                <w:rFonts w:hint="eastAsia"/>
                <w:lang w:val="en-US" w:eastAsia="zh-CN"/>
              </w:rPr>
              <w:t>）</w:t>
            </w:r>
            <w:r>
              <w:rPr>
                <w:rFonts w:hint="default"/>
                <w:lang w:val="en-US" w:eastAsia="zh-CN"/>
              </w:rPr>
              <w:t>社会资金进行商业性探矿勘查，以及不属于国家紧缺矿种资源的基础地质调查和矿产远景调查等公益性工作的设施建设</w:t>
            </w:r>
            <w:r>
              <w:rPr>
                <w:rFonts w:hint="eastAsia"/>
                <w:lang w:val="en-US" w:eastAsia="zh-CN"/>
              </w:rPr>
              <w:t>；（</w:t>
            </w:r>
            <w:r>
              <w:rPr>
                <w:rFonts w:hint="default"/>
                <w:lang w:val="en-US" w:eastAsia="zh-CN"/>
              </w:rPr>
              <w:t>四</w:t>
            </w:r>
            <w:r>
              <w:rPr>
                <w:rFonts w:hint="eastAsia"/>
                <w:lang w:val="en-US" w:eastAsia="zh-CN"/>
              </w:rPr>
              <w:t>）</w:t>
            </w:r>
            <w:r>
              <w:rPr>
                <w:rFonts w:hint="default"/>
                <w:lang w:val="en-US" w:eastAsia="zh-CN"/>
              </w:rPr>
              <w:t>野生动物驯养繁殖、展览基地建设项目</w:t>
            </w:r>
            <w:r>
              <w:rPr>
                <w:rFonts w:hint="eastAsia"/>
                <w:lang w:val="en-US" w:eastAsia="zh-CN"/>
              </w:rPr>
              <w:t>；（</w:t>
            </w:r>
            <w:r>
              <w:rPr>
                <w:rFonts w:hint="default"/>
                <w:lang w:val="en-US" w:eastAsia="zh-CN"/>
              </w:rPr>
              <w:t>五</w:t>
            </w:r>
            <w:r>
              <w:rPr>
                <w:rFonts w:hint="eastAsia"/>
                <w:lang w:val="en-US" w:eastAsia="zh-CN"/>
              </w:rPr>
              <w:t>）</w:t>
            </w:r>
            <w:r>
              <w:rPr>
                <w:rFonts w:hint="default"/>
                <w:lang w:val="en-US" w:eastAsia="zh-CN"/>
              </w:rPr>
              <w:t>污染环境、破坏自然资源或自然景观的建设设施</w:t>
            </w:r>
            <w:r>
              <w:rPr>
                <w:rFonts w:hint="eastAsia"/>
                <w:lang w:val="en-US" w:eastAsia="zh-CN"/>
              </w:rPr>
              <w:t>；（</w:t>
            </w:r>
            <w:r>
              <w:rPr>
                <w:rFonts w:hint="default"/>
                <w:lang w:val="en-US" w:eastAsia="zh-CN"/>
              </w:rPr>
              <w:t>六</w:t>
            </w:r>
            <w:r>
              <w:rPr>
                <w:rFonts w:hint="eastAsia"/>
                <w:lang w:val="en-US" w:eastAsia="zh-CN"/>
              </w:rPr>
              <w:t>）</w:t>
            </w:r>
            <w:r>
              <w:rPr>
                <w:rFonts w:hint="default"/>
                <w:lang w:val="en-US" w:eastAsia="zh-CN"/>
              </w:rPr>
              <w:t>对自然保护区主要保护对象产生重大影响、改变自然生态系统完整性、原真性、破坏自然景观的设施</w:t>
            </w:r>
            <w:r>
              <w:rPr>
                <w:rFonts w:hint="eastAsia"/>
                <w:lang w:val="en-US" w:eastAsia="zh-CN"/>
              </w:rPr>
              <w:t>；（</w:t>
            </w:r>
            <w:r>
              <w:rPr>
                <w:rFonts w:hint="default"/>
                <w:lang w:val="en-US" w:eastAsia="zh-CN"/>
              </w:rPr>
              <w:t>七</w:t>
            </w:r>
            <w:r>
              <w:rPr>
                <w:rFonts w:hint="eastAsia"/>
                <w:lang w:val="en-US" w:eastAsia="zh-CN"/>
              </w:rPr>
              <w:t>）</w:t>
            </w:r>
            <w:r>
              <w:rPr>
                <w:rFonts w:hint="default"/>
                <w:lang w:val="en-US" w:eastAsia="zh-CN"/>
              </w:rPr>
              <w:t>其他不符合自然保护区主体功能定位和国家禁止的设施。</w:t>
            </w:r>
          </w:p>
        </w:tc>
        <w:tc>
          <w:tcPr>
            <w:tcW w:w="972" w:type="pct"/>
            <w:tcBorders>
              <w:tl2br w:val="nil"/>
              <w:tr2bl w:val="nil"/>
            </w:tcBorders>
            <w:noWrap w:val="0"/>
            <w:vAlign w:val="center"/>
          </w:tcPr>
          <w:p w14:paraId="0B63FB17">
            <w:pPr>
              <w:pStyle w:val="42"/>
              <w:keepNext w:val="0"/>
              <w:keepLines w:val="0"/>
              <w:widowControl w:val="0"/>
              <w:suppressLineNumbers w:val="0"/>
              <w:bidi w:val="0"/>
              <w:spacing w:before="0" w:beforeAutospacing="0" w:after="0" w:afterAutospacing="0"/>
              <w:rPr>
                <w:rFonts w:hint="default"/>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，不属于</w:t>
            </w:r>
            <w:r>
              <w:rPr>
                <w:rFonts w:hint="default"/>
                <w:lang w:val="en-US" w:eastAsia="zh-CN"/>
              </w:rPr>
              <w:t>在自然保护区核心区、缓冲区的岸线和河段范围内投资建设旅游和生产经营项目</w:t>
            </w:r>
            <w:r>
              <w:rPr>
                <w:rFonts w:hint="eastAsia"/>
                <w:lang w:val="en-US" w:eastAsia="zh-CN"/>
              </w:rPr>
              <w:t>。</w:t>
            </w:r>
          </w:p>
        </w:tc>
        <w:tc>
          <w:tcPr>
            <w:tcW w:w="654" w:type="pct"/>
            <w:tcBorders>
              <w:tl2br w:val="nil"/>
              <w:tr2bl w:val="nil"/>
            </w:tcBorders>
            <w:noWrap w:val="0"/>
            <w:vAlign w:val="center"/>
          </w:tcPr>
          <w:p w14:paraId="545770B7">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6CDD2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44EF0F73">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3</w:t>
            </w:r>
          </w:p>
        </w:tc>
        <w:tc>
          <w:tcPr>
            <w:tcW w:w="2876" w:type="pct"/>
            <w:tcBorders>
              <w:tl2br w:val="nil"/>
              <w:tr2bl w:val="nil"/>
            </w:tcBorders>
            <w:noWrap w:val="0"/>
            <w:vAlign w:val="center"/>
          </w:tcPr>
          <w:p w14:paraId="1F5024D2">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机场、铁路、公路、水利、围堰等公益性基础设施的选址选线应多方案优化比选，尽量避让相关自然保护区域、野生动物迁徙洄游通道</w:t>
            </w:r>
            <w:r>
              <w:rPr>
                <w:rFonts w:hint="eastAsia"/>
                <w:lang w:val="en-US" w:eastAsia="zh-CN"/>
              </w:rPr>
              <w:t>；</w:t>
            </w:r>
            <w:r>
              <w:rPr>
                <w:rFonts w:hint="default"/>
                <w:lang w:val="en-US" w:eastAsia="zh-CN"/>
              </w:rPr>
              <w:t>无法避让的，应当采取修建野生动物通道、过鱼设施等措施，消除或者减少对野生动物的不利影响。</w:t>
            </w:r>
          </w:p>
        </w:tc>
        <w:tc>
          <w:tcPr>
            <w:tcW w:w="972" w:type="pct"/>
            <w:tcBorders>
              <w:tl2br w:val="nil"/>
              <w:tr2bl w:val="nil"/>
            </w:tcBorders>
            <w:noWrap w:val="0"/>
            <w:vAlign w:val="center"/>
          </w:tcPr>
          <w:p w14:paraId="2D30593C">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本项目不涉及</w:t>
            </w:r>
            <w:r>
              <w:rPr>
                <w:rFonts w:hint="default"/>
                <w:lang w:val="en-US" w:eastAsia="zh-CN"/>
              </w:rPr>
              <w:t>机场、铁路、公路、水利、围堰等公益性基础设施</w:t>
            </w:r>
            <w:r>
              <w:rPr>
                <w:rFonts w:hint="eastAsia"/>
                <w:lang w:val="en-US" w:eastAsia="zh-CN"/>
              </w:rPr>
              <w:t>。</w:t>
            </w:r>
          </w:p>
        </w:tc>
        <w:tc>
          <w:tcPr>
            <w:tcW w:w="654" w:type="pct"/>
            <w:tcBorders>
              <w:tl2br w:val="nil"/>
              <w:tr2bl w:val="nil"/>
            </w:tcBorders>
            <w:noWrap w:val="0"/>
            <w:vAlign w:val="center"/>
          </w:tcPr>
          <w:p w14:paraId="4737CE3E">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1D3547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6A7AD6FF">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4</w:t>
            </w:r>
          </w:p>
        </w:tc>
        <w:tc>
          <w:tcPr>
            <w:tcW w:w="2876" w:type="pct"/>
            <w:tcBorders>
              <w:tl2br w:val="nil"/>
              <w:tr2bl w:val="nil"/>
            </w:tcBorders>
            <w:noWrap w:val="0"/>
            <w:vAlign w:val="center"/>
          </w:tcPr>
          <w:p w14:paraId="00492556">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禁止违反风景名胜区规划，在风景名胜区内设立各类开发区和在核心景区内建设宾馆、招待所、培训中心、疗养院以及与风景名胜资源保护无关的其他建筑物</w:t>
            </w:r>
            <w:r>
              <w:rPr>
                <w:rFonts w:hint="eastAsia"/>
                <w:lang w:val="en-US" w:eastAsia="zh-CN"/>
              </w:rPr>
              <w:t>；</w:t>
            </w:r>
            <w:r>
              <w:rPr>
                <w:rFonts w:hint="default"/>
                <w:lang w:val="en-US" w:eastAsia="zh-CN"/>
              </w:rPr>
              <w:t>已经建设的，应当按照风景名胜区规划，逐步迁出。</w:t>
            </w:r>
          </w:p>
        </w:tc>
        <w:tc>
          <w:tcPr>
            <w:tcW w:w="972" w:type="pct"/>
            <w:tcBorders>
              <w:tl2br w:val="nil"/>
              <w:tr2bl w:val="nil"/>
            </w:tcBorders>
            <w:noWrap w:val="0"/>
            <w:vAlign w:val="center"/>
          </w:tcPr>
          <w:p w14:paraId="5E81B7BD">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，不涉及风景名胜区。</w:t>
            </w:r>
          </w:p>
        </w:tc>
        <w:tc>
          <w:tcPr>
            <w:tcW w:w="654" w:type="pct"/>
            <w:tcBorders>
              <w:tl2br w:val="nil"/>
              <w:tr2bl w:val="nil"/>
            </w:tcBorders>
            <w:noWrap w:val="0"/>
            <w:vAlign w:val="center"/>
          </w:tcPr>
          <w:p w14:paraId="6A760847">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0AE08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4C95175A">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5</w:t>
            </w:r>
          </w:p>
        </w:tc>
        <w:tc>
          <w:tcPr>
            <w:tcW w:w="2876" w:type="pct"/>
            <w:tcBorders>
              <w:tl2br w:val="nil"/>
              <w:tr2bl w:val="nil"/>
            </w:tcBorders>
            <w:noWrap w:val="0"/>
            <w:vAlign w:val="center"/>
          </w:tcPr>
          <w:p w14:paraId="3A7583BF">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饮用水水源一级保护区内禁止新建、改建、扩建与供水设施和保护水源无关的建设项目，以及网箱养殖、畜禽养殖、旅游等可能污染饮用水水体的投资建设项目</w:t>
            </w:r>
            <w:r>
              <w:rPr>
                <w:rFonts w:hint="eastAsia"/>
                <w:lang w:val="en-US" w:eastAsia="zh-CN"/>
              </w:rPr>
              <w:t>；</w:t>
            </w:r>
            <w:r>
              <w:rPr>
                <w:rFonts w:hint="default"/>
                <w:lang w:val="en-US" w:eastAsia="zh-CN"/>
              </w:rPr>
              <w:t>禁止向水域排放污水，已设置的排污口必须拆除</w:t>
            </w:r>
            <w:r>
              <w:rPr>
                <w:rFonts w:hint="eastAsia"/>
                <w:lang w:val="en-US" w:eastAsia="zh-CN"/>
              </w:rPr>
              <w:t>；</w:t>
            </w:r>
            <w:r>
              <w:rPr>
                <w:rFonts w:hint="default"/>
                <w:lang w:val="en-US" w:eastAsia="zh-CN"/>
              </w:rPr>
              <w:t>不得设置与供水需要无关的码头，禁止停靠船舶</w:t>
            </w:r>
            <w:r>
              <w:rPr>
                <w:rFonts w:hint="eastAsia"/>
                <w:lang w:val="en-US" w:eastAsia="zh-CN"/>
              </w:rPr>
              <w:t>；</w:t>
            </w:r>
            <w:r>
              <w:rPr>
                <w:rFonts w:hint="default"/>
                <w:lang w:val="en-US" w:eastAsia="zh-CN"/>
              </w:rPr>
              <w:t>禁止堆置和存放工业废渣、城市垃圾、粪便</w:t>
            </w:r>
            <w:r>
              <w:rPr>
                <w:rFonts w:hint="eastAsia"/>
                <w:lang w:val="en-US" w:eastAsia="zh-CN"/>
              </w:rPr>
              <w:t>和其他</w:t>
            </w:r>
            <w:r>
              <w:rPr>
                <w:rFonts w:hint="default"/>
                <w:lang w:val="en-US" w:eastAsia="zh-CN"/>
              </w:rPr>
              <w:t>废弃物</w:t>
            </w:r>
            <w:r>
              <w:rPr>
                <w:rFonts w:hint="eastAsia"/>
                <w:lang w:val="en-US" w:eastAsia="zh-CN"/>
              </w:rPr>
              <w:t>；</w:t>
            </w:r>
            <w:r>
              <w:rPr>
                <w:rFonts w:hint="default"/>
                <w:lang w:val="en-US" w:eastAsia="zh-CN"/>
              </w:rPr>
              <w:t>禁止设置油库</w:t>
            </w:r>
            <w:r>
              <w:rPr>
                <w:rFonts w:hint="eastAsia"/>
                <w:lang w:val="en-US" w:eastAsia="zh-CN"/>
              </w:rPr>
              <w:t>；</w:t>
            </w:r>
            <w:r>
              <w:rPr>
                <w:rFonts w:hint="default"/>
                <w:lang w:val="en-US" w:eastAsia="zh-CN"/>
              </w:rPr>
              <w:t>禁止使用含磷洗涤用品。饮用水水源二级保护区内禁止新建、改建、扩建向水体排放污染物的投资建设项目。原有排污口依法拆除或关闭。禁止设立装卸垃圾、粪便、油类和有毒物品的码头。</w:t>
            </w:r>
          </w:p>
        </w:tc>
        <w:tc>
          <w:tcPr>
            <w:tcW w:w="972" w:type="pct"/>
            <w:tcBorders>
              <w:tl2br w:val="nil"/>
              <w:tr2bl w:val="nil"/>
            </w:tcBorders>
            <w:noWrap w:val="0"/>
            <w:vAlign w:val="center"/>
          </w:tcPr>
          <w:p w14:paraId="2320F929">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，不涉及在</w:t>
            </w:r>
            <w:r>
              <w:rPr>
                <w:rFonts w:hint="default"/>
                <w:lang w:val="en-US" w:eastAsia="zh-CN"/>
              </w:rPr>
              <w:t>饮用水水源一级保护区内禁止新建、改建、扩建的建设项目</w:t>
            </w:r>
            <w:r>
              <w:rPr>
                <w:rFonts w:hint="eastAsia"/>
                <w:lang w:val="en-US" w:eastAsia="zh-CN"/>
              </w:rPr>
              <w:t>。</w:t>
            </w:r>
          </w:p>
        </w:tc>
        <w:tc>
          <w:tcPr>
            <w:tcW w:w="654" w:type="pct"/>
            <w:tcBorders>
              <w:tl2br w:val="nil"/>
              <w:tr2bl w:val="nil"/>
            </w:tcBorders>
            <w:noWrap w:val="0"/>
            <w:vAlign w:val="center"/>
          </w:tcPr>
          <w:p w14:paraId="6262D99E">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32A52F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49DAF95D">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6</w:t>
            </w:r>
          </w:p>
        </w:tc>
        <w:tc>
          <w:tcPr>
            <w:tcW w:w="2876" w:type="pct"/>
            <w:tcBorders>
              <w:tl2br w:val="nil"/>
              <w:tr2bl w:val="nil"/>
            </w:tcBorders>
            <w:noWrap w:val="0"/>
            <w:vAlign w:val="center"/>
          </w:tcPr>
          <w:p w14:paraId="46A10365">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禁止在水产种质资源保护区的岸线和河段范围内新建排污口、实施非法围垦河道和围湖造田造地等投资建设项目。</w:t>
            </w:r>
          </w:p>
        </w:tc>
        <w:tc>
          <w:tcPr>
            <w:tcW w:w="972" w:type="pct"/>
            <w:tcBorders>
              <w:tl2br w:val="nil"/>
              <w:tr2bl w:val="nil"/>
            </w:tcBorders>
            <w:noWrap w:val="0"/>
            <w:vAlign w:val="center"/>
          </w:tcPr>
          <w:p w14:paraId="75D783C3">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，不涉及在</w:t>
            </w:r>
            <w:r>
              <w:rPr>
                <w:rFonts w:hint="default"/>
                <w:lang w:val="en-US" w:eastAsia="zh-CN"/>
              </w:rPr>
              <w:t>水产种质资源保护区的岸线和河段范围内新建排污口</w:t>
            </w:r>
            <w:r>
              <w:rPr>
                <w:rFonts w:hint="eastAsia"/>
                <w:lang w:val="en-US" w:eastAsia="zh-CN"/>
              </w:rPr>
              <w:t>。</w:t>
            </w:r>
          </w:p>
        </w:tc>
        <w:tc>
          <w:tcPr>
            <w:tcW w:w="654" w:type="pct"/>
            <w:tcBorders>
              <w:tl2br w:val="nil"/>
              <w:tr2bl w:val="nil"/>
            </w:tcBorders>
            <w:noWrap w:val="0"/>
            <w:vAlign w:val="center"/>
          </w:tcPr>
          <w:p w14:paraId="3E2ECE88">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076C00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20C91B64">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7</w:t>
            </w:r>
          </w:p>
        </w:tc>
        <w:tc>
          <w:tcPr>
            <w:tcW w:w="2876" w:type="pct"/>
            <w:tcBorders>
              <w:tl2br w:val="nil"/>
              <w:tr2bl w:val="nil"/>
            </w:tcBorders>
            <w:noWrap w:val="0"/>
            <w:vAlign w:val="center"/>
          </w:tcPr>
          <w:p w14:paraId="181938D5">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第十条除《中华人民共和国防洪法》规定的紧急防汛期采取的紧急措施外，禁止在国家湿地公园的岸线和河段范围内挖沙、采矿，以及以下不符合主体功能定位的行为和活动</w:t>
            </w:r>
            <w:r>
              <w:rPr>
                <w:rFonts w:hint="eastAsia"/>
                <w:lang w:val="en-US" w:eastAsia="zh-CN"/>
              </w:rPr>
              <w:t>：</w:t>
            </w:r>
          </w:p>
          <w:p w14:paraId="55B6D13F">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w:t>
            </w:r>
            <w:r>
              <w:rPr>
                <w:rFonts w:hint="default"/>
                <w:lang w:val="en-US" w:eastAsia="zh-CN"/>
              </w:rPr>
              <w:t>一</w:t>
            </w:r>
            <w:r>
              <w:rPr>
                <w:rFonts w:hint="eastAsia"/>
                <w:lang w:val="en-US" w:eastAsia="zh-CN"/>
              </w:rPr>
              <w:t>）</w:t>
            </w:r>
            <w:r>
              <w:rPr>
                <w:rFonts w:hint="default"/>
                <w:lang w:val="en-US" w:eastAsia="zh-CN"/>
              </w:rPr>
              <w:t>开</w:t>
            </w:r>
            <w:r>
              <w:rPr>
                <w:rFonts w:hint="eastAsia"/>
                <w:lang w:val="en-US" w:eastAsia="zh-CN"/>
              </w:rPr>
              <w:t>（</w:t>
            </w:r>
            <w:r>
              <w:rPr>
                <w:rFonts w:hint="default"/>
                <w:lang w:val="en-US" w:eastAsia="zh-CN"/>
              </w:rPr>
              <w:t>围</w:t>
            </w:r>
            <w:r>
              <w:rPr>
                <w:rFonts w:hint="eastAsia"/>
                <w:lang w:val="en-US" w:eastAsia="zh-CN"/>
              </w:rPr>
              <w:t>）</w:t>
            </w:r>
            <w:r>
              <w:rPr>
                <w:rFonts w:hint="default"/>
                <w:lang w:val="en-US" w:eastAsia="zh-CN"/>
              </w:rPr>
              <w:t>垦、填埋或者排干湿地。</w:t>
            </w:r>
            <w:r>
              <w:rPr>
                <w:rFonts w:hint="eastAsia"/>
                <w:lang w:val="en-US" w:eastAsia="zh-CN"/>
              </w:rPr>
              <w:t>（</w:t>
            </w:r>
            <w:r>
              <w:rPr>
                <w:rFonts w:hint="default"/>
                <w:lang w:val="en-US" w:eastAsia="zh-CN"/>
              </w:rPr>
              <w:t>二</w:t>
            </w:r>
            <w:r>
              <w:rPr>
                <w:rFonts w:hint="eastAsia"/>
                <w:lang w:val="en-US" w:eastAsia="zh-CN"/>
              </w:rPr>
              <w:t>）</w:t>
            </w:r>
            <w:r>
              <w:rPr>
                <w:rFonts w:hint="default"/>
                <w:lang w:val="en-US" w:eastAsia="zh-CN"/>
              </w:rPr>
              <w:t>截断湿地水源。</w:t>
            </w:r>
            <w:r>
              <w:rPr>
                <w:rFonts w:hint="eastAsia"/>
                <w:lang w:val="en-US" w:eastAsia="zh-CN"/>
              </w:rPr>
              <w:t>（</w:t>
            </w:r>
            <w:r>
              <w:rPr>
                <w:rFonts w:hint="default"/>
                <w:lang w:val="en-US" w:eastAsia="zh-CN"/>
              </w:rPr>
              <w:t>三</w:t>
            </w:r>
            <w:r>
              <w:rPr>
                <w:rFonts w:hint="eastAsia"/>
                <w:lang w:val="en-US" w:eastAsia="zh-CN"/>
              </w:rPr>
              <w:t>）</w:t>
            </w:r>
            <w:r>
              <w:rPr>
                <w:rFonts w:hint="default"/>
                <w:lang w:val="en-US" w:eastAsia="zh-CN"/>
              </w:rPr>
              <w:t>倾倒有毒有害物质、废弃物、垃圾。</w:t>
            </w:r>
            <w:r>
              <w:rPr>
                <w:rFonts w:hint="eastAsia"/>
                <w:lang w:val="en-US" w:eastAsia="zh-CN"/>
              </w:rPr>
              <w:t>（</w:t>
            </w:r>
            <w:r>
              <w:rPr>
                <w:rFonts w:hint="default"/>
                <w:lang w:val="en-US" w:eastAsia="zh-CN"/>
              </w:rPr>
              <w:t>四</w:t>
            </w:r>
            <w:r>
              <w:rPr>
                <w:rFonts w:hint="eastAsia"/>
                <w:lang w:val="en-US" w:eastAsia="zh-CN"/>
              </w:rPr>
              <w:t>）</w:t>
            </w:r>
            <w:r>
              <w:rPr>
                <w:rFonts w:hint="default"/>
                <w:lang w:val="en-US" w:eastAsia="zh-CN"/>
              </w:rPr>
              <w:t>从事房地产、度假村、高尔夫球场、风力发电、光伏发电等任何不符合主体功能定位的建设项目和开发活动。</w:t>
            </w:r>
            <w:r>
              <w:rPr>
                <w:rFonts w:hint="eastAsia"/>
                <w:lang w:val="en-US" w:eastAsia="zh-CN"/>
              </w:rPr>
              <w:t>（</w:t>
            </w:r>
            <w:r>
              <w:rPr>
                <w:rFonts w:hint="default"/>
                <w:lang w:val="en-US" w:eastAsia="zh-CN"/>
              </w:rPr>
              <w:t>五</w:t>
            </w:r>
            <w:r>
              <w:rPr>
                <w:rFonts w:hint="eastAsia"/>
                <w:lang w:val="en-US" w:eastAsia="zh-CN"/>
              </w:rPr>
              <w:t>）</w:t>
            </w:r>
            <w:r>
              <w:rPr>
                <w:rFonts w:hint="default"/>
                <w:lang w:val="en-US" w:eastAsia="zh-CN"/>
              </w:rPr>
              <w:t>破坏野生动物栖息地和迁徙通道、鱼类洄游通道，滥采滥捕野生动植物。</w:t>
            </w:r>
            <w:r>
              <w:rPr>
                <w:rFonts w:hint="eastAsia"/>
                <w:lang w:val="en-US" w:eastAsia="zh-CN"/>
              </w:rPr>
              <w:t>（</w:t>
            </w:r>
            <w:r>
              <w:rPr>
                <w:rFonts w:hint="default"/>
                <w:lang w:val="en-US" w:eastAsia="zh-CN"/>
              </w:rPr>
              <w:t>六</w:t>
            </w:r>
            <w:r>
              <w:rPr>
                <w:rFonts w:hint="eastAsia"/>
                <w:lang w:val="en-US" w:eastAsia="zh-CN"/>
              </w:rPr>
              <w:t>）</w:t>
            </w:r>
            <w:r>
              <w:rPr>
                <w:rFonts w:hint="default"/>
                <w:lang w:val="en-US" w:eastAsia="zh-CN"/>
              </w:rPr>
              <w:t>引入外来物种。</w:t>
            </w:r>
            <w:r>
              <w:rPr>
                <w:rFonts w:hint="eastAsia"/>
                <w:lang w:val="en-US" w:eastAsia="zh-CN"/>
              </w:rPr>
              <w:t>（</w:t>
            </w:r>
            <w:r>
              <w:rPr>
                <w:rFonts w:hint="default"/>
                <w:lang w:val="en-US" w:eastAsia="zh-CN"/>
              </w:rPr>
              <w:t>七</w:t>
            </w:r>
            <w:r>
              <w:rPr>
                <w:rFonts w:hint="eastAsia"/>
                <w:lang w:val="en-US" w:eastAsia="zh-CN"/>
              </w:rPr>
              <w:t>）</w:t>
            </w:r>
            <w:r>
              <w:rPr>
                <w:rFonts w:hint="default"/>
                <w:lang w:val="en-US" w:eastAsia="zh-CN"/>
              </w:rPr>
              <w:t>擅自放牧、捕捞、取土、取水、排污、放生。</w:t>
            </w:r>
            <w:r>
              <w:rPr>
                <w:rFonts w:hint="eastAsia"/>
                <w:lang w:val="en-US" w:eastAsia="zh-CN"/>
              </w:rPr>
              <w:t>（</w:t>
            </w:r>
            <w:r>
              <w:rPr>
                <w:rFonts w:hint="default"/>
                <w:lang w:val="en-US" w:eastAsia="zh-CN"/>
              </w:rPr>
              <w:t>八</w:t>
            </w:r>
            <w:r>
              <w:rPr>
                <w:rFonts w:hint="eastAsia"/>
                <w:lang w:val="en-US" w:eastAsia="zh-CN"/>
              </w:rPr>
              <w:t>）</w:t>
            </w:r>
            <w:r>
              <w:rPr>
                <w:rFonts w:hint="default"/>
                <w:lang w:val="en-US" w:eastAsia="zh-CN"/>
              </w:rPr>
              <w:t>其他破坏湿地及其生态功能的活动。</w:t>
            </w:r>
          </w:p>
        </w:tc>
        <w:tc>
          <w:tcPr>
            <w:tcW w:w="972" w:type="pct"/>
            <w:tcBorders>
              <w:tl2br w:val="nil"/>
              <w:tr2bl w:val="nil"/>
            </w:tcBorders>
            <w:noWrap w:val="0"/>
            <w:vAlign w:val="center"/>
          </w:tcPr>
          <w:p w14:paraId="3EB9E8B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，不涉及</w:t>
            </w:r>
            <w:r>
              <w:rPr>
                <w:rFonts w:hint="default"/>
                <w:lang w:val="en-US" w:eastAsia="zh-CN"/>
              </w:rPr>
              <w:t>以下不符合主体功能定位的行为和活动</w:t>
            </w:r>
            <w:r>
              <w:rPr>
                <w:rFonts w:hint="eastAsia"/>
                <w:lang w:val="en-US" w:eastAsia="zh-CN"/>
              </w:rPr>
              <w:t>。</w:t>
            </w:r>
          </w:p>
        </w:tc>
        <w:tc>
          <w:tcPr>
            <w:tcW w:w="654" w:type="pct"/>
            <w:tcBorders>
              <w:tl2br w:val="nil"/>
              <w:tr2bl w:val="nil"/>
            </w:tcBorders>
            <w:noWrap w:val="0"/>
            <w:vAlign w:val="center"/>
          </w:tcPr>
          <w:p w14:paraId="547BDED5">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566F5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150CFAB4">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8</w:t>
            </w:r>
          </w:p>
        </w:tc>
        <w:tc>
          <w:tcPr>
            <w:tcW w:w="2876" w:type="pct"/>
            <w:tcBorders>
              <w:tl2br w:val="nil"/>
              <w:tr2bl w:val="nil"/>
            </w:tcBorders>
            <w:noWrap w:val="0"/>
            <w:vAlign w:val="center"/>
          </w:tcPr>
          <w:p w14:paraId="4992AFAC">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填湖造地、围湖造田及非法围垦河道，禁止非法建设矮围</w:t>
            </w:r>
            <w:r>
              <w:rPr>
                <w:rFonts w:hint="eastAsia"/>
                <w:lang w:val="en-US" w:eastAsia="zh-CN"/>
              </w:rPr>
              <w:t>围网</w:t>
            </w:r>
            <w:r>
              <w:rPr>
                <w:rFonts w:hint="default"/>
                <w:lang w:val="en-US" w:eastAsia="zh-CN"/>
              </w:rPr>
              <w:t>、填埋湿地等侵占河湖水域或者违法利用、占用河湖岸线的行为。</w:t>
            </w:r>
          </w:p>
        </w:tc>
        <w:tc>
          <w:tcPr>
            <w:tcW w:w="972" w:type="pct"/>
            <w:tcBorders>
              <w:tl2br w:val="nil"/>
              <w:tr2bl w:val="nil"/>
            </w:tcBorders>
            <w:noWrap w:val="0"/>
            <w:vAlign w:val="center"/>
          </w:tcPr>
          <w:p w14:paraId="7A1DF0B8">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，不属于</w:t>
            </w:r>
            <w:r>
              <w:rPr>
                <w:rFonts w:hint="default"/>
                <w:lang w:val="en-US" w:eastAsia="zh-CN"/>
              </w:rPr>
              <w:t>利用、占用长江流域河湖岸线。</w:t>
            </w:r>
          </w:p>
        </w:tc>
        <w:tc>
          <w:tcPr>
            <w:tcW w:w="654" w:type="pct"/>
            <w:tcBorders>
              <w:tl2br w:val="nil"/>
              <w:tr2bl w:val="nil"/>
            </w:tcBorders>
            <w:noWrap w:val="0"/>
            <w:vAlign w:val="center"/>
          </w:tcPr>
          <w:p w14:paraId="7055142F">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02599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4B63B51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9</w:t>
            </w:r>
          </w:p>
        </w:tc>
        <w:tc>
          <w:tcPr>
            <w:tcW w:w="2876" w:type="pct"/>
            <w:tcBorders>
              <w:tl2br w:val="nil"/>
              <w:tr2bl w:val="nil"/>
            </w:tcBorders>
            <w:noWrap w:val="0"/>
            <w:vAlign w:val="center"/>
          </w:tcPr>
          <w:p w14:paraId="62976EDD">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禁止在《全国重要江河湖泊水功能区划》划定的河段及湖泊保护区、保留区内投资建设不利于水资源及自然生态保护的项目。禁止未经许可在长江干支流及湖泊新设、改设或扩大排污口。</w:t>
            </w:r>
          </w:p>
        </w:tc>
        <w:tc>
          <w:tcPr>
            <w:tcW w:w="972" w:type="pct"/>
            <w:tcBorders>
              <w:tl2br w:val="nil"/>
              <w:tr2bl w:val="nil"/>
            </w:tcBorders>
            <w:noWrap w:val="0"/>
            <w:vAlign w:val="center"/>
          </w:tcPr>
          <w:p w14:paraId="14664437">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，不在</w:t>
            </w:r>
            <w:r>
              <w:rPr>
                <w:rFonts w:hint="default"/>
                <w:lang w:val="en-US" w:eastAsia="zh-CN"/>
              </w:rPr>
              <w:t>划定的河段及湖泊保护区、保留区内</w:t>
            </w:r>
            <w:r>
              <w:rPr>
                <w:rFonts w:hint="eastAsia"/>
                <w:lang w:val="en-US" w:eastAsia="zh-CN"/>
              </w:rPr>
              <w:t>。</w:t>
            </w:r>
          </w:p>
        </w:tc>
        <w:tc>
          <w:tcPr>
            <w:tcW w:w="654" w:type="pct"/>
            <w:tcBorders>
              <w:tl2br w:val="nil"/>
              <w:tr2bl w:val="nil"/>
            </w:tcBorders>
            <w:noWrap w:val="0"/>
            <w:vAlign w:val="center"/>
          </w:tcPr>
          <w:p w14:paraId="6CC3C012">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77346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03A9CBF1">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10</w:t>
            </w:r>
          </w:p>
        </w:tc>
        <w:tc>
          <w:tcPr>
            <w:tcW w:w="2876" w:type="pct"/>
            <w:tcBorders>
              <w:tl2br w:val="nil"/>
              <w:tr2bl w:val="nil"/>
            </w:tcBorders>
            <w:noWrap w:val="0"/>
            <w:vAlign w:val="center"/>
          </w:tcPr>
          <w:p w14:paraId="1338B5C4">
            <w:pPr>
              <w:pStyle w:val="42"/>
              <w:keepNext w:val="0"/>
              <w:keepLines w:val="0"/>
              <w:widowControl w:val="0"/>
              <w:suppressLineNumbers w:val="0"/>
              <w:bidi w:val="0"/>
              <w:spacing w:before="0" w:beforeAutospacing="0" w:after="0" w:afterAutospacing="0"/>
              <w:rPr>
                <w:rFonts w:hint="default"/>
                <w:lang w:val="en-US" w:eastAsia="zh-CN"/>
              </w:rPr>
            </w:pPr>
            <w:r>
              <w:rPr>
                <w:rFonts w:hint="default"/>
              </w:rPr>
              <w:t>禁止在洞庭湖、湘江、资江、沅江、澧水干流和45个水生生物保护区开展生产性捕捞。在相关自然保护区域和禁猎</w:t>
            </w:r>
            <w:r>
              <w:rPr>
                <w:rFonts w:hint="eastAsia"/>
                <w:lang w:eastAsia="zh-CN"/>
              </w:rPr>
              <w:t>（</w:t>
            </w:r>
            <w:r>
              <w:rPr>
                <w:rFonts w:hint="default"/>
              </w:rPr>
              <w:t>渔</w:t>
            </w:r>
            <w:r>
              <w:rPr>
                <w:rFonts w:hint="eastAsia"/>
                <w:lang w:eastAsia="zh-CN"/>
              </w:rPr>
              <w:t>）</w:t>
            </w:r>
            <w:r>
              <w:rPr>
                <w:rFonts w:hint="default"/>
              </w:rPr>
              <w:t>区、禁猎</w:t>
            </w:r>
            <w:r>
              <w:rPr>
                <w:rFonts w:hint="eastAsia"/>
                <w:lang w:eastAsia="zh-CN"/>
              </w:rPr>
              <w:t>（</w:t>
            </w:r>
            <w:r>
              <w:rPr>
                <w:rFonts w:hint="default"/>
              </w:rPr>
              <w:t>渔</w:t>
            </w:r>
            <w:r>
              <w:rPr>
                <w:rFonts w:hint="eastAsia"/>
                <w:lang w:eastAsia="zh-CN"/>
              </w:rPr>
              <w:t>）</w:t>
            </w:r>
            <w:r>
              <w:rPr>
                <w:rFonts w:hint="default"/>
              </w:rPr>
              <w:t>期内，禁止猎捕以及其他妨碍野生动物生息繁衍的活动，但法律法规另有规定的除外。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972" w:type="pct"/>
            <w:tcBorders>
              <w:tl2br w:val="nil"/>
              <w:tr2bl w:val="nil"/>
            </w:tcBorders>
            <w:noWrap w:val="0"/>
            <w:vAlign w:val="center"/>
          </w:tcPr>
          <w:p w14:paraId="088824BB">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，不涉及</w:t>
            </w:r>
            <w:r>
              <w:rPr>
                <w:rFonts w:hint="default"/>
              </w:rPr>
              <w:t>生产性捕捞</w:t>
            </w:r>
            <w:r>
              <w:rPr>
                <w:rFonts w:hint="eastAsia"/>
                <w:lang w:eastAsia="zh-CN"/>
              </w:rPr>
              <w:t>；</w:t>
            </w:r>
            <w:r>
              <w:rPr>
                <w:rFonts w:hint="eastAsia"/>
                <w:lang w:val="en-US" w:eastAsia="zh-CN"/>
              </w:rPr>
              <w:t>不属于</w:t>
            </w:r>
            <w:r>
              <w:rPr>
                <w:rFonts w:hint="default"/>
              </w:rPr>
              <w:t>新建、改建、扩建尾矿库、冶炼渣库和磷石膏库</w:t>
            </w:r>
            <w:r>
              <w:rPr>
                <w:rFonts w:hint="eastAsia"/>
                <w:lang w:val="en-US" w:eastAsia="zh-CN"/>
              </w:rPr>
              <w:t>项目。</w:t>
            </w:r>
          </w:p>
        </w:tc>
        <w:tc>
          <w:tcPr>
            <w:tcW w:w="654" w:type="pct"/>
            <w:tcBorders>
              <w:tl2br w:val="nil"/>
              <w:tr2bl w:val="nil"/>
            </w:tcBorders>
            <w:noWrap w:val="0"/>
            <w:vAlign w:val="center"/>
          </w:tcPr>
          <w:p w14:paraId="6314827D">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125415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5227B53F">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11</w:t>
            </w:r>
          </w:p>
        </w:tc>
        <w:tc>
          <w:tcPr>
            <w:tcW w:w="2876" w:type="pct"/>
            <w:tcBorders>
              <w:tl2br w:val="nil"/>
              <w:tr2bl w:val="nil"/>
            </w:tcBorders>
            <w:noWrap w:val="0"/>
            <w:vAlign w:val="center"/>
          </w:tcPr>
          <w:p w14:paraId="6E9BEBBD">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禁止在合规园区外新建、扩建钢铁、石化、化工、焦化、建材、有色、制浆造纸等高污染项目。高污染项目严格按照生态环境部《环境保护综合名录</w:t>
            </w:r>
            <w:r>
              <w:rPr>
                <w:rFonts w:hint="eastAsia"/>
                <w:lang w:val="en-US" w:eastAsia="zh-CN"/>
              </w:rPr>
              <w:t>（</w:t>
            </w:r>
            <w:r>
              <w:rPr>
                <w:rFonts w:hint="default"/>
                <w:lang w:val="en-US" w:eastAsia="zh-CN"/>
              </w:rPr>
              <w:t>2021年版</w:t>
            </w:r>
            <w:r>
              <w:rPr>
                <w:rFonts w:hint="eastAsia"/>
                <w:lang w:val="en-US" w:eastAsia="zh-CN"/>
              </w:rPr>
              <w:t>）</w:t>
            </w:r>
            <w:r>
              <w:rPr>
                <w:rFonts w:hint="default"/>
                <w:lang w:val="en-US" w:eastAsia="zh-CN"/>
              </w:rPr>
              <w:t>》有关要求执行。禁止新建、扩建不符合国家石化、现代煤化工等产业布局规划的项目。未通过认定的化工园区，不得新建、改扩建化工项目</w:t>
            </w:r>
            <w:r>
              <w:rPr>
                <w:rFonts w:hint="eastAsia"/>
                <w:lang w:val="en-US" w:eastAsia="zh-CN"/>
              </w:rPr>
              <w:t>（</w:t>
            </w:r>
            <w:r>
              <w:rPr>
                <w:rFonts w:hint="default"/>
                <w:lang w:val="en-US" w:eastAsia="zh-CN"/>
              </w:rPr>
              <w:t>安全、环保、节能和智能化改造项目除外</w:t>
            </w:r>
            <w:r>
              <w:rPr>
                <w:rFonts w:hint="eastAsia"/>
                <w:lang w:val="en-US" w:eastAsia="zh-CN"/>
              </w:rPr>
              <w:t>）</w:t>
            </w:r>
            <w:r>
              <w:rPr>
                <w:rFonts w:hint="default"/>
                <w:lang w:val="en-US" w:eastAsia="zh-CN"/>
              </w:rPr>
              <w:t>。</w:t>
            </w:r>
          </w:p>
        </w:tc>
        <w:tc>
          <w:tcPr>
            <w:tcW w:w="972" w:type="pct"/>
            <w:tcBorders>
              <w:tl2br w:val="nil"/>
              <w:tr2bl w:val="nil"/>
            </w:tcBorders>
            <w:noWrap w:val="0"/>
            <w:vAlign w:val="center"/>
          </w:tcPr>
          <w:p w14:paraId="6E315263">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，不属于化工项目。</w:t>
            </w:r>
          </w:p>
        </w:tc>
        <w:tc>
          <w:tcPr>
            <w:tcW w:w="654" w:type="pct"/>
            <w:tcBorders>
              <w:tl2br w:val="nil"/>
              <w:tr2bl w:val="nil"/>
            </w:tcBorders>
            <w:noWrap w:val="0"/>
            <w:vAlign w:val="center"/>
          </w:tcPr>
          <w:p w14:paraId="51CB49E8">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r w14:paraId="54BA2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7" w:type="pct"/>
            <w:tcBorders>
              <w:tl2br w:val="nil"/>
              <w:tr2bl w:val="nil"/>
            </w:tcBorders>
            <w:noWrap w:val="0"/>
            <w:vAlign w:val="center"/>
          </w:tcPr>
          <w:p w14:paraId="470416BC">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12</w:t>
            </w:r>
          </w:p>
        </w:tc>
        <w:tc>
          <w:tcPr>
            <w:tcW w:w="2876" w:type="pct"/>
            <w:tcBorders>
              <w:tl2br w:val="nil"/>
              <w:tr2bl w:val="nil"/>
            </w:tcBorders>
            <w:noWrap w:val="0"/>
            <w:vAlign w:val="center"/>
          </w:tcPr>
          <w:p w14:paraId="73106B63">
            <w:pPr>
              <w:pStyle w:val="42"/>
              <w:keepNext w:val="0"/>
              <w:keepLines w:val="0"/>
              <w:widowControl w:val="0"/>
              <w:suppressLineNumbers w:val="0"/>
              <w:bidi w:val="0"/>
              <w:spacing w:before="0" w:beforeAutospacing="0" w:after="0" w:afterAutospacing="0"/>
              <w:rPr>
                <w:rFonts w:hint="default"/>
                <w:lang w:val="en-US" w:eastAsia="zh-CN"/>
              </w:rPr>
            </w:pPr>
            <w:r>
              <w:rPr>
                <w:rFonts w:hint="default"/>
                <w:lang w:val="en-US" w:eastAsia="zh-CN"/>
              </w:rPr>
              <w:t>禁止新建、扩建法律法规和相关政策明令禁止的落后产能项目</w:t>
            </w:r>
            <w:r>
              <w:rPr>
                <w:rFonts w:hint="eastAsia"/>
                <w:lang w:val="en-US" w:eastAsia="zh-CN"/>
              </w:rPr>
              <w:t>；</w:t>
            </w:r>
            <w:r>
              <w:rPr>
                <w:rFonts w:hint="default"/>
                <w:lang w:val="en-US" w:eastAsia="zh-CN"/>
              </w:rPr>
              <w:t>对不符合要求的落后产能存量项目依法依规退出。禁止新建、扩建不符合国家产能置换要求的严重过剩产能行业</w:t>
            </w:r>
            <w:r>
              <w:rPr>
                <w:rFonts w:hint="eastAsia"/>
                <w:lang w:val="en-US" w:eastAsia="zh-CN"/>
              </w:rPr>
              <w:t>（</w:t>
            </w:r>
            <w:r>
              <w:rPr>
                <w:rFonts w:hint="default"/>
                <w:lang w:val="en-US" w:eastAsia="zh-CN"/>
              </w:rPr>
              <w:t>钢铁、水泥、电解铝、平板玻璃、船舶等行业</w:t>
            </w:r>
            <w:r>
              <w:rPr>
                <w:rFonts w:hint="eastAsia"/>
                <w:lang w:val="en-US" w:eastAsia="zh-CN"/>
              </w:rPr>
              <w:t>）</w:t>
            </w:r>
            <w:r>
              <w:rPr>
                <w:rFonts w:hint="default"/>
                <w:lang w:val="en-US" w:eastAsia="zh-CN"/>
              </w:rPr>
              <w:t>的项目。对确有必要新建、扩建的，必须严格执行产能置换实施办法，实施减量或等量置换，依法依规办理有关手续。禁止新建、扩建不符合要求的高耗能高排放项目。</w:t>
            </w:r>
          </w:p>
        </w:tc>
        <w:tc>
          <w:tcPr>
            <w:tcW w:w="972" w:type="pct"/>
            <w:tcBorders>
              <w:tl2br w:val="nil"/>
              <w:tr2bl w:val="nil"/>
            </w:tcBorders>
            <w:noWrap w:val="0"/>
            <w:vAlign w:val="center"/>
          </w:tcPr>
          <w:p w14:paraId="57CB6D7C">
            <w:pPr>
              <w:pStyle w:val="42"/>
              <w:keepNext w:val="0"/>
              <w:keepLines w:val="0"/>
              <w:widowControl w:val="0"/>
              <w:suppressLineNumbers w:val="0"/>
              <w:bidi w:val="0"/>
              <w:spacing w:before="0" w:beforeAutospacing="0" w:after="0" w:afterAutospacing="0"/>
              <w:rPr>
                <w:rFonts w:hint="default"/>
                <w:lang w:val="en-US" w:eastAsia="zh-CN"/>
              </w:rPr>
            </w:pPr>
            <w:r>
              <w:rPr>
                <w:rFonts w:hint="eastAsia"/>
                <w:lang w:val="en-US" w:eastAsia="zh-CN"/>
              </w:rPr>
              <w:t>本项目位于</w:t>
            </w:r>
            <w:r>
              <w:rPr>
                <w:rFonts w:hint="default" w:ascii="Times New Roman" w:hAnsi="Times New Roman" w:cs="Times New Roman"/>
                <w:color w:val="auto"/>
                <w:kern w:val="0"/>
                <w:sz w:val="21"/>
                <w:szCs w:val="21"/>
                <w:u w:val="none" w:color="auto"/>
              </w:rPr>
              <w:t>湘阴高新技术产业区片区</w:t>
            </w:r>
            <w:r>
              <w:rPr>
                <w:rFonts w:hint="eastAsia"/>
                <w:lang w:val="en-US" w:eastAsia="zh-CN"/>
              </w:rPr>
              <w:t>。不属于</w:t>
            </w:r>
            <w:r>
              <w:rPr>
                <w:rFonts w:hint="default"/>
                <w:lang w:val="en-US" w:eastAsia="zh-CN"/>
              </w:rPr>
              <w:t>禁止新建、扩建法律法规和相关政策明令禁止的落后产能项目</w:t>
            </w:r>
            <w:r>
              <w:rPr>
                <w:rFonts w:hint="eastAsia"/>
                <w:lang w:val="en-US" w:eastAsia="zh-CN"/>
              </w:rPr>
              <w:t>。</w:t>
            </w:r>
          </w:p>
        </w:tc>
        <w:tc>
          <w:tcPr>
            <w:tcW w:w="654" w:type="pct"/>
            <w:tcBorders>
              <w:tl2br w:val="nil"/>
              <w:tr2bl w:val="nil"/>
            </w:tcBorders>
            <w:noWrap w:val="0"/>
            <w:vAlign w:val="center"/>
          </w:tcPr>
          <w:p w14:paraId="6041EF39">
            <w:pPr>
              <w:pStyle w:val="42"/>
              <w:keepNext w:val="0"/>
              <w:keepLines w:val="0"/>
              <w:widowControl w:val="0"/>
              <w:suppressLineNumbers w:val="0"/>
              <w:bidi w:val="0"/>
              <w:spacing w:before="0" w:beforeAutospacing="0" w:after="0" w:afterAutospacing="0"/>
              <w:rPr>
                <w:rFonts w:hint="eastAsia"/>
                <w:lang w:val="en-US" w:eastAsia="zh-CN"/>
              </w:rPr>
            </w:pPr>
            <w:r>
              <w:rPr>
                <w:rFonts w:hint="eastAsia"/>
                <w:lang w:val="en-US" w:eastAsia="zh-CN"/>
              </w:rPr>
              <w:t>符合</w:t>
            </w:r>
          </w:p>
        </w:tc>
      </w:tr>
    </w:tbl>
    <w:p w14:paraId="7F0C5E5A">
      <w:pPr>
        <w:bidi w:val="0"/>
        <w:rPr>
          <w:rFonts w:hint="eastAsia"/>
          <w:highlight w:val="none"/>
          <w:lang w:val="en-US" w:eastAsia="zh-CN"/>
        </w:rPr>
      </w:pPr>
      <w:r>
        <w:rPr>
          <w:rFonts w:hint="eastAsia"/>
          <w:highlight w:val="none"/>
          <w:lang w:val="en-US" w:eastAsia="zh-CN"/>
        </w:rPr>
        <w:t>根据</w:t>
      </w:r>
      <w:r>
        <w:rPr>
          <w:rFonts w:hint="eastAsia"/>
          <w:highlight w:val="none"/>
        </w:rPr>
        <w:t>上述分析，</w:t>
      </w:r>
      <w:r>
        <w:rPr>
          <w:rFonts w:hint="eastAsia"/>
          <w:highlight w:val="none"/>
          <w:lang w:val="en-US" w:eastAsia="zh-CN"/>
        </w:rPr>
        <w:t>本项目符合《湖南省长江经济带发展负面清单实施细则》（试行，2022年版）的规定和要求。</w:t>
      </w:r>
      <w:bookmarkStart w:id="39" w:name="1.4.7平面布局合理性分析"/>
      <w:bookmarkEnd w:id="39"/>
    </w:p>
    <w:p w14:paraId="4076A8DA">
      <w:pPr>
        <w:pStyle w:val="6"/>
        <w:bidi w:val="0"/>
        <w:rPr>
          <w:rFonts w:hint="eastAsia"/>
          <w:lang w:val="en-US" w:eastAsia="zh-CN"/>
        </w:rPr>
      </w:pPr>
      <w:r>
        <w:rPr>
          <w:rFonts w:hint="eastAsia"/>
          <w:lang w:val="en-US" w:eastAsia="zh-CN"/>
        </w:rPr>
        <w:t>与《湖南省湘江保护条例》相符性分析</w:t>
      </w:r>
    </w:p>
    <w:p w14:paraId="0A10DFED">
      <w:pPr>
        <w:bidi w:val="0"/>
        <w:rPr>
          <w:rFonts w:hint="eastAsia"/>
          <w:highlight w:val="none"/>
          <w:lang w:val="en-US" w:eastAsia="zh-CN"/>
        </w:rPr>
      </w:pPr>
      <w:r>
        <w:rPr>
          <w:rFonts w:hint="eastAsia"/>
          <w:lang w:val="en-US" w:eastAsia="zh-CN"/>
        </w:rPr>
        <w:t>根据《湖南省湘江保护条例》，湖南省湘江保护条例所称湘江干流是指上起永州市零陵区老埠头、下至岳阳市湘</w:t>
      </w:r>
      <w:r>
        <w:rPr>
          <w:rFonts w:hint="eastAsia"/>
          <w:highlight w:val="none"/>
          <w:lang w:val="en-US" w:eastAsia="zh-CN"/>
        </w:rPr>
        <w:t>阴县濠河口河段。</w:t>
      </w:r>
    </w:p>
    <w:p w14:paraId="0EA9BA1D">
      <w:pPr>
        <w:bidi w:val="0"/>
        <w:rPr>
          <w:rFonts w:hint="eastAsia"/>
          <w:highlight w:val="none"/>
          <w:lang w:val="en-US" w:eastAsia="zh-CN"/>
        </w:rPr>
      </w:pPr>
      <w:r>
        <w:rPr>
          <w:rFonts w:hint="eastAsia"/>
          <w:highlight w:val="none"/>
          <w:lang w:val="en-US" w:eastAsia="zh-CN"/>
        </w:rPr>
        <w:t>本项目位于湘阴高新区片区，属于湘江湘阴濠河口入洞庭湖段，不属于《湖南省湘江保护条例》实施范围，因此，本项目和《湖南省湘江保护条例》不冲突。</w:t>
      </w:r>
    </w:p>
    <w:p w14:paraId="3336BE51">
      <w:pPr>
        <w:pStyle w:val="6"/>
        <w:bidi w:val="0"/>
        <w:rPr>
          <w:rFonts w:hint="default"/>
          <w:highlight w:val="none"/>
        </w:rPr>
      </w:pPr>
      <w:r>
        <w:rPr>
          <w:rFonts w:hint="default"/>
          <w:highlight w:val="none"/>
          <w:lang w:val="en-US" w:eastAsia="zh-CN"/>
        </w:rPr>
        <w:t>与《湖南省“两高”项目管理目录》（湘发改环资[2021]968号）的符合性分析</w:t>
      </w:r>
    </w:p>
    <w:p w14:paraId="25301EA0">
      <w:pPr>
        <w:pStyle w:val="39"/>
        <w:bidi w:val="0"/>
        <w:rPr>
          <w:rFonts w:hint="eastAsia"/>
          <w:lang w:val="en-US" w:eastAsia="zh-CN"/>
        </w:rPr>
      </w:pPr>
    </w:p>
    <w:p w14:paraId="0D30E986">
      <w:pPr>
        <w:pStyle w:val="39"/>
        <w:bidi w:val="0"/>
        <w:rPr>
          <w:rFonts w:hint="eastAsia"/>
          <w:lang w:val="en-US" w:eastAsia="zh-CN"/>
        </w:rPr>
      </w:pPr>
      <w:r>
        <w:rPr>
          <w:rFonts w:hint="eastAsia"/>
          <w:lang w:val="en-US" w:eastAsia="zh-CN"/>
        </w:rPr>
        <w:t>表1.4-7 湖南省“两高”项目管理目录</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39"/>
        <w:gridCol w:w="2609"/>
        <w:gridCol w:w="3425"/>
        <w:gridCol w:w="1623"/>
      </w:tblGrid>
      <w:tr w14:paraId="546FB1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776C469B">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序号</w:t>
            </w:r>
          </w:p>
        </w:tc>
        <w:tc>
          <w:tcPr>
            <w:tcW w:w="258" w:type="pct"/>
            <w:tcBorders>
              <w:tl2br w:val="nil"/>
              <w:tr2bl w:val="nil"/>
            </w:tcBorders>
            <w:vAlign w:val="center"/>
          </w:tcPr>
          <w:p w14:paraId="6B49DD6D">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行业</w:t>
            </w:r>
          </w:p>
        </w:tc>
        <w:tc>
          <w:tcPr>
            <w:tcW w:w="1531" w:type="pct"/>
            <w:tcBorders>
              <w:tl2br w:val="nil"/>
              <w:tr2bl w:val="nil"/>
            </w:tcBorders>
            <w:vAlign w:val="center"/>
          </w:tcPr>
          <w:p w14:paraId="4DF3079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主要内容</w:t>
            </w:r>
          </w:p>
        </w:tc>
        <w:tc>
          <w:tcPr>
            <w:tcW w:w="2009" w:type="pct"/>
            <w:tcBorders>
              <w:tl2br w:val="nil"/>
              <w:tr2bl w:val="nil"/>
            </w:tcBorders>
            <w:vAlign w:val="center"/>
          </w:tcPr>
          <w:p w14:paraId="38ABBD6E">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涉及主要产品及工序</w:t>
            </w:r>
          </w:p>
        </w:tc>
        <w:tc>
          <w:tcPr>
            <w:tcW w:w="950" w:type="pct"/>
            <w:tcBorders>
              <w:tl2br w:val="nil"/>
              <w:tr2bl w:val="nil"/>
            </w:tcBorders>
            <w:vAlign w:val="center"/>
          </w:tcPr>
          <w:p w14:paraId="073F3502">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备注</w:t>
            </w:r>
          </w:p>
        </w:tc>
      </w:tr>
      <w:tr w14:paraId="3A4932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292FE40B">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1</w:t>
            </w:r>
          </w:p>
        </w:tc>
        <w:tc>
          <w:tcPr>
            <w:tcW w:w="258" w:type="pct"/>
            <w:tcBorders>
              <w:tl2br w:val="nil"/>
              <w:tr2bl w:val="nil"/>
            </w:tcBorders>
            <w:vAlign w:val="center"/>
          </w:tcPr>
          <w:p w14:paraId="23C60B6D">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石化</w:t>
            </w:r>
          </w:p>
        </w:tc>
        <w:tc>
          <w:tcPr>
            <w:tcW w:w="1531" w:type="pct"/>
            <w:tcBorders>
              <w:tl2br w:val="nil"/>
              <w:tr2bl w:val="nil"/>
            </w:tcBorders>
            <w:vAlign w:val="center"/>
          </w:tcPr>
          <w:p w14:paraId="251A4118">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原油加工及石油制品制造（2511）</w:t>
            </w:r>
          </w:p>
        </w:tc>
        <w:tc>
          <w:tcPr>
            <w:tcW w:w="2009" w:type="pct"/>
            <w:tcBorders>
              <w:tl2br w:val="nil"/>
              <w:tr2bl w:val="nil"/>
            </w:tcBorders>
            <w:vAlign w:val="center"/>
          </w:tcPr>
          <w:p w14:paraId="498383E0">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炼油、乙烯</w:t>
            </w:r>
          </w:p>
        </w:tc>
        <w:tc>
          <w:tcPr>
            <w:tcW w:w="950" w:type="pct"/>
            <w:tcBorders>
              <w:tl2br w:val="nil"/>
              <w:tr2bl w:val="nil"/>
            </w:tcBorders>
            <w:vAlign w:val="center"/>
          </w:tcPr>
          <w:p w14:paraId="013FA572">
            <w:pPr>
              <w:pStyle w:val="43"/>
              <w:keepNext w:val="0"/>
              <w:keepLines w:val="0"/>
              <w:widowControl w:val="0"/>
              <w:suppressLineNumbers w:val="0"/>
              <w:spacing w:before="0" w:beforeAutospacing="0" w:after="0" w:afterAutospacing="0"/>
              <w:ind w:left="0"/>
              <w:rPr>
                <w:rFonts w:hint="default"/>
                <w:color w:val="auto"/>
                <w:highlight w:val="none"/>
              </w:rPr>
            </w:pPr>
          </w:p>
        </w:tc>
      </w:tr>
      <w:tr w14:paraId="3D76D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76A29EAF">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2</w:t>
            </w:r>
          </w:p>
        </w:tc>
        <w:tc>
          <w:tcPr>
            <w:tcW w:w="258" w:type="pct"/>
            <w:tcBorders>
              <w:tl2br w:val="nil"/>
              <w:tr2bl w:val="nil"/>
            </w:tcBorders>
            <w:vAlign w:val="center"/>
          </w:tcPr>
          <w:p w14:paraId="58ADC233">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化工</w:t>
            </w:r>
          </w:p>
        </w:tc>
        <w:tc>
          <w:tcPr>
            <w:tcW w:w="1531" w:type="pct"/>
            <w:tcBorders>
              <w:tl2br w:val="nil"/>
              <w:tr2bl w:val="nil"/>
            </w:tcBorders>
            <w:vAlign w:val="center"/>
          </w:tcPr>
          <w:p w14:paraId="195BE8B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无机酸制造（2611）、无机碱制造（2612）、无机盐制造（2613）</w:t>
            </w:r>
          </w:p>
        </w:tc>
        <w:tc>
          <w:tcPr>
            <w:tcW w:w="2009" w:type="pct"/>
            <w:tcBorders>
              <w:tl2br w:val="nil"/>
              <w:tr2bl w:val="nil"/>
            </w:tcBorders>
            <w:vAlign w:val="center"/>
          </w:tcPr>
          <w:p w14:paraId="1DEE3DD6">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烧碱、纯碱、工业硫酸、黄磷、合成氨、尿素、磷铵、电石、聚氯乙烯、聚丙烯、精对苯二甲酸、对二甲苯、苯乙烯、乙酸乙烯酯、二苯基甲烷二异氰酸酯、1,4-丁二醇</w:t>
            </w:r>
          </w:p>
        </w:tc>
        <w:tc>
          <w:tcPr>
            <w:tcW w:w="950" w:type="pct"/>
            <w:tcBorders>
              <w:tl2br w:val="nil"/>
              <w:tr2bl w:val="nil"/>
            </w:tcBorders>
            <w:vAlign w:val="center"/>
          </w:tcPr>
          <w:p w14:paraId="6174B998">
            <w:pPr>
              <w:pStyle w:val="43"/>
              <w:keepNext w:val="0"/>
              <w:keepLines w:val="0"/>
              <w:widowControl w:val="0"/>
              <w:suppressLineNumbers w:val="0"/>
              <w:spacing w:before="0" w:beforeAutospacing="0" w:after="0" w:afterAutospacing="0"/>
              <w:ind w:left="0"/>
              <w:rPr>
                <w:rFonts w:hint="default"/>
                <w:color w:val="auto"/>
                <w:highlight w:val="none"/>
              </w:rPr>
            </w:pPr>
          </w:p>
        </w:tc>
      </w:tr>
      <w:tr w14:paraId="193538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7C722FCF">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3</w:t>
            </w:r>
          </w:p>
        </w:tc>
        <w:tc>
          <w:tcPr>
            <w:tcW w:w="258" w:type="pct"/>
            <w:tcBorders>
              <w:tl2br w:val="nil"/>
              <w:tr2bl w:val="nil"/>
            </w:tcBorders>
            <w:vAlign w:val="center"/>
          </w:tcPr>
          <w:p w14:paraId="18728A23">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煤化工</w:t>
            </w:r>
          </w:p>
        </w:tc>
        <w:tc>
          <w:tcPr>
            <w:tcW w:w="1531" w:type="pct"/>
            <w:tcBorders>
              <w:tl2br w:val="nil"/>
              <w:tr2bl w:val="nil"/>
            </w:tcBorders>
            <w:vAlign w:val="center"/>
          </w:tcPr>
          <w:p w14:paraId="590ED958">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煤制合成气生产（2522）、煤制液体燃料生产（2523）</w:t>
            </w:r>
          </w:p>
        </w:tc>
        <w:tc>
          <w:tcPr>
            <w:tcW w:w="2009" w:type="pct"/>
            <w:tcBorders>
              <w:tl2br w:val="nil"/>
              <w:tr2bl w:val="nil"/>
            </w:tcBorders>
            <w:vAlign w:val="center"/>
          </w:tcPr>
          <w:p w14:paraId="699E7AD1">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一氧化碳、氢气、甲烷及其他煤制合成气；甲醇、二甲醚、乙二醇、汽油、柴油和航空燃料及其他煤制液体燃料</w:t>
            </w:r>
          </w:p>
        </w:tc>
        <w:tc>
          <w:tcPr>
            <w:tcW w:w="950" w:type="pct"/>
            <w:tcBorders>
              <w:tl2br w:val="nil"/>
              <w:tr2bl w:val="nil"/>
            </w:tcBorders>
            <w:vAlign w:val="center"/>
          </w:tcPr>
          <w:p w14:paraId="29842E4E">
            <w:pPr>
              <w:pStyle w:val="43"/>
              <w:keepNext w:val="0"/>
              <w:keepLines w:val="0"/>
              <w:widowControl w:val="0"/>
              <w:suppressLineNumbers w:val="0"/>
              <w:spacing w:before="0" w:beforeAutospacing="0" w:after="0" w:afterAutospacing="0"/>
              <w:ind w:left="0"/>
              <w:rPr>
                <w:rFonts w:hint="default"/>
                <w:color w:val="auto"/>
                <w:highlight w:val="none"/>
              </w:rPr>
            </w:pPr>
          </w:p>
        </w:tc>
      </w:tr>
      <w:tr w14:paraId="16AA1B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45287149">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4</w:t>
            </w:r>
          </w:p>
        </w:tc>
        <w:tc>
          <w:tcPr>
            <w:tcW w:w="258" w:type="pct"/>
            <w:tcBorders>
              <w:tl2br w:val="nil"/>
              <w:tr2bl w:val="nil"/>
            </w:tcBorders>
            <w:vAlign w:val="center"/>
          </w:tcPr>
          <w:p w14:paraId="10E5C6A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焦化</w:t>
            </w:r>
          </w:p>
        </w:tc>
        <w:tc>
          <w:tcPr>
            <w:tcW w:w="1531" w:type="pct"/>
            <w:tcBorders>
              <w:tl2br w:val="nil"/>
              <w:tr2bl w:val="nil"/>
            </w:tcBorders>
            <w:vAlign w:val="center"/>
          </w:tcPr>
          <w:p w14:paraId="1F0B7AF5">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炼焦（2521）</w:t>
            </w:r>
          </w:p>
        </w:tc>
        <w:tc>
          <w:tcPr>
            <w:tcW w:w="2009" w:type="pct"/>
            <w:tcBorders>
              <w:tl2br w:val="nil"/>
              <w:tr2bl w:val="nil"/>
            </w:tcBorders>
            <w:vAlign w:val="center"/>
          </w:tcPr>
          <w:p w14:paraId="5032733D">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焦炭、石油焦（焦炭类）、沥青焦、其他原料生产焦炭、机焦、型焦、土焦、半焦炭、针状焦、其他工艺生产焦炭、矿物油焦</w:t>
            </w:r>
          </w:p>
        </w:tc>
        <w:tc>
          <w:tcPr>
            <w:tcW w:w="950" w:type="pct"/>
            <w:tcBorders>
              <w:tl2br w:val="nil"/>
              <w:tr2bl w:val="nil"/>
            </w:tcBorders>
            <w:vAlign w:val="center"/>
          </w:tcPr>
          <w:p w14:paraId="577A2FFA">
            <w:pPr>
              <w:pStyle w:val="43"/>
              <w:keepNext w:val="0"/>
              <w:keepLines w:val="0"/>
              <w:widowControl w:val="0"/>
              <w:suppressLineNumbers w:val="0"/>
              <w:spacing w:before="0" w:beforeAutospacing="0" w:after="0" w:afterAutospacing="0"/>
              <w:ind w:left="0"/>
              <w:rPr>
                <w:rFonts w:hint="default"/>
                <w:color w:val="auto"/>
                <w:highlight w:val="none"/>
              </w:rPr>
            </w:pPr>
          </w:p>
        </w:tc>
      </w:tr>
      <w:tr w14:paraId="56F12F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249" w:type="pct"/>
            <w:tcBorders>
              <w:tl2br w:val="nil"/>
              <w:tr2bl w:val="nil"/>
            </w:tcBorders>
            <w:vAlign w:val="center"/>
          </w:tcPr>
          <w:p w14:paraId="75225B3E">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5</w:t>
            </w:r>
          </w:p>
        </w:tc>
        <w:tc>
          <w:tcPr>
            <w:tcW w:w="258" w:type="pct"/>
            <w:tcBorders>
              <w:tl2br w:val="nil"/>
              <w:tr2bl w:val="nil"/>
            </w:tcBorders>
            <w:vAlign w:val="center"/>
          </w:tcPr>
          <w:p w14:paraId="52BE753A">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钢铁</w:t>
            </w:r>
          </w:p>
        </w:tc>
        <w:tc>
          <w:tcPr>
            <w:tcW w:w="1531" w:type="pct"/>
            <w:tcBorders>
              <w:tl2br w:val="nil"/>
              <w:tr2bl w:val="nil"/>
            </w:tcBorders>
            <w:vAlign w:val="center"/>
          </w:tcPr>
          <w:p w14:paraId="7C83E85B">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炼铁（3110）、炼钢（3120）、铁合金（3140）</w:t>
            </w:r>
          </w:p>
        </w:tc>
        <w:tc>
          <w:tcPr>
            <w:tcW w:w="2009" w:type="pct"/>
            <w:tcBorders>
              <w:tl2br w:val="nil"/>
              <w:tr2bl w:val="nil"/>
            </w:tcBorders>
            <w:vAlign w:val="center"/>
          </w:tcPr>
          <w:p w14:paraId="64A5465A">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炼钢用高炉生铁、直接还原铁、熔融还原铁、非合金钢粗钢、低合金钢粗钢、合金钢粗钢、铁合金、电解金属锰</w:t>
            </w:r>
          </w:p>
        </w:tc>
        <w:tc>
          <w:tcPr>
            <w:tcW w:w="950" w:type="pct"/>
            <w:tcBorders>
              <w:tl2br w:val="nil"/>
              <w:tr2bl w:val="nil"/>
            </w:tcBorders>
            <w:vAlign w:val="center"/>
          </w:tcPr>
          <w:p w14:paraId="5050D860">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不包括以含重金属固体废弃物为原料（≥85%）进行锰资源综合回收项目。</w:t>
            </w:r>
          </w:p>
        </w:tc>
      </w:tr>
      <w:tr w14:paraId="40A2C1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tcBorders>
              <w:tl2br w:val="nil"/>
              <w:tr2bl w:val="nil"/>
            </w:tcBorders>
            <w:vAlign w:val="center"/>
          </w:tcPr>
          <w:p w14:paraId="4BC3F7CA">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6</w:t>
            </w:r>
          </w:p>
        </w:tc>
        <w:tc>
          <w:tcPr>
            <w:tcW w:w="258" w:type="pct"/>
            <w:vMerge w:val="restart"/>
            <w:tcBorders>
              <w:tl2br w:val="nil"/>
              <w:tr2bl w:val="nil"/>
            </w:tcBorders>
            <w:vAlign w:val="center"/>
          </w:tcPr>
          <w:p w14:paraId="04DB8188">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建材</w:t>
            </w:r>
          </w:p>
        </w:tc>
        <w:tc>
          <w:tcPr>
            <w:tcW w:w="1531" w:type="pct"/>
            <w:vMerge w:val="restart"/>
            <w:tcBorders>
              <w:tl2br w:val="nil"/>
              <w:tr2bl w:val="nil"/>
            </w:tcBorders>
            <w:vAlign w:val="center"/>
          </w:tcPr>
          <w:p w14:paraId="49FC2263">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水泥制造（3011）、石灰和石膏制造（3012）、粘土砖瓦及建筑砌块制造（3031）、平板玻璃制造（3041）、建筑陶瓷制品制造（3071）</w:t>
            </w:r>
          </w:p>
        </w:tc>
        <w:tc>
          <w:tcPr>
            <w:tcW w:w="2009" w:type="pct"/>
            <w:tcBorders>
              <w:tl2br w:val="nil"/>
              <w:tr2bl w:val="nil"/>
            </w:tcBorders>
            <w:vAlign w:val="center"/>
          </w:tcPr>
          <w:p w14:paraId="5245315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石灰、建筑陶瓷、耐火材料、烧结砖瓦</w:t>
            </w:r>
          </w:p>
        </w:tc>
        <w:tc>
          <w:tcPr>
            <w:tcW w:w="950" w:type="pct"/>
            <w:tcBorders>
              <w:tl2br w:val="nil"/>
              <w:tr2bl w:val="nil"/>
            </w:tcBorders>
            <w:vAlign w:val="center"/>
          </w:tcPr>
          <w:p w14:paraId="22805333">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不包括资源综合利用项目。</w:t>
            </w:r>
          </w:p>
        </w:tc>
      </w:tr>
      <w:tr w14:paraId="49CB33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Borders>
              <w:tl2br w:val="nil"/>
              <w:tr2bl w:val="nil"/>
            </w:tcBorders>
            <w:vAlign w:val="center"/>
          </w:tcPr>
          <w:p w14:paraId="73426E26">
            <w:pPr>
              <w:pStyle w:val="43"/>
              <w:keepNext w:val="0"/>
              <w:keepLines w:val="0"/>
              <w:widowControl w:val="0"/>
              <w:suppressLineNumbers w:val="0"/>
              <w:spacing w:before="0" w:beforeAutospacing="0" w:after="0" w:afterAutospacing="0"/>
              <w:ind w:left="0"/>
              <w:rPr>
                <w:rFonts w:hint="default"/>
                <w:color w:val="auto"/>
                <w:highlight w:val="none"/>
              </w:rPr>
            </w:pPr>
          </w:p>
        </w:tc>
        <w:tc>
          <w:tcPr>
            <w:tcW w:w="258" w:type="pct"/>
            <w:vMerge w:val="continue"/>
            <w:tcBorders>
              <w:tl2br w:val="nil"/>
              <w:tr2bl w:val="nil"/>
            </w:tcBorders>
            <w:vAlign w:val="center"/>
          </w:tcPr>
          <w:p w14:paraId="294377B3">
            <w:pPr>
              <w:pStyle w:val="43"/>
              <w:keepNext w:val="0"/>
              <w:keepLines w:val="0"/>
              <w:widowControl w:val="0"/>
              <w:suppressLineNumbers w:val="0"/>
              <w:spacing w:before="0" w:beforeAutospacing="0" w:after="0" w:afterAutospacing="0"/>
              <w:ind w:left="0"/>
              <w:rPr>
                <w:rFonts w:hint="default"/>
                <w:color w:val="auto"/>
                <w:highlight w:val="none"/>
              </w:rPr>
            </w:pPr>
          </w:p>
        </w:tc>
        <w:tc>
          <w:tcPr>
            <w:tcW w:w="1531" w:type="pct"/>
            <w:vMerge w:val="continue"/>
            <w:tcBorders>
              <w:tl2br w:val="nil"/>
              <w:tr2bl w:val="nil"/>
            </w:tcBorders>
            <w:vAlign w:val="center"/>
          </w:tcPr>
          <w:p w14:paraId="6F9C2723">
            <w:pPr>
              <w:pStyle w:val="43"/>
              <w:keepNext w:val="0"/>
              <w:keepLines w:val="0"/>
              <w:widowControl w:val="0"/>
              <w:suppressLineNumbers w:val="0"/>
              <w:spacing w:before="0" w:beforeAutospacing="0" w:after="0" w:afterAutospacing="0"/>
              <w:ind w:left="0"/>
              <w:rPr>
                <w:rFonts w:hint="default"/>
                <w:color w:val="auto"/>
                <w:highlight w:val="none"/>
              </w:rPr>
            </w:pPr>
          </w:p>
        </w:tc>
        <w:tc>
          <w:tcPr>
            <w:tcW w:w="2009" w:type="pct"/>
            <w:tcBorders>
              <w:tl2br w:val="nil"/>
              <w:tr2bl w:val="nil"/>
            </w:tcBorders>
            <w:vAlign w:val="center"/>
          </w:tcPr>
          <w:p w14:paraId="779FDED7">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水泥熟料、平板玻璃</w:t>
            </w:r>
          </w:p>
        </w:tc>
        <w:tc>
          <w:tcPr>
            <w:tcW w:w="950" w:type="pct"/>
            <w:tcBorders>
              <w:tl2br w:val="nil"/>
              <w:tr2bl w:val="nil"/>
            </w:tcBorders>
            <w:vAlign w:val="center"/>
          </w:tcPr>
          <w:p w14:paraId="09C1F5A7">
            <w:pPr>
              <w:pStyle w:val="43"/>
              <w:keepNext w:val="0"/>
              <w:keepLines w:val="0"/>
              <w:widowControl w:val="0"/>
              <w:suppressLineNumbers w:val="0"/>
              <w:spacing w:before="0" w:beforeAutospacing="0" w:after="0" w:afterAutospacing="0"/>
              <w:ind w:left="0"/>
              <w:rPr>
                <w:rFonts w:hint="default"/>
                <w:color w:val="auto"/>
                <w:highlight w:val="none"/>
              </w:rPr>
            </w:pPr>
          </w:p>
        </w:tc>
      </w:tr>
      <w:tr w14:paraId="09ED81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249" w:type="pct"/>
            <w:tcBorders>
              <w:tl2br w:val="nil"/>
              <w:tr2bl w:val="nil"/>
            </w:tcBorders>
            <w:vAlign w:val="center"/>
          </w:tcPr>
          <w:p w14:paraId="355E65B0">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7</w:t>
            </w:r>
          </w:p>
        </w:tc>
        <w:tc>
          <w:tcPr>
            <w:tcW w:w="258" w:type="pct"/>
            <w:tcBorders>
              <w:tl2br w:val="nil"/>
              <w:tr2bl w:val="nil"/>
            </w:tcBorders>
            <w:vAlign w:val="center"/>
          </w:tcPr>
          <w:p w14:paraId="0A222981">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有色</w:t>
            </w:r>
          </w:p>
        </w:tc>
        <w:tc>
          <w:tcPr>
            <w:tcW w:w="1531" w:type="pct"/>
            <w:tcBorders>
              <w:tl2br w:val="nil"/>
              <w:tr2bl w:val="nil"/>
            </w:tcBorders>
            <w:vAlign w:val="center"/>
          </w:tcPr>
          <w:p w14:paraId="3D18CA18">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铜冶炼（3211）、铅锌冶炼（3212）、锑冶炼（3215）、铝冶炼（3216）、硅冶炼（3218）</w:t>
            </w:r>
          </w:p>
        </w:tc>
        <w:tc>
          <w:tcPr>
            <w:tcW w:w="2009" w:type="pct"/>
            <w:tcBorders>
              <w:tl2br w:val="nil"/>
              <w:tr2bl w:val="nil"/>
            </w:tcBorders>
            <w:vAlign w:val="center"/>
          </w:tcPr>
          <w:p w14:paraId="43FDECB0">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铜、铅锌、锑、铝、硅冶炼</w:t>
            </w:r>
          </w:p>
        </w:tc>
        <w:tc>
          <w:tcPr>
            <w:tcW w:w="950" w:type="pct"/>
            <w:tcBorders>
              <w:tl2br w:val="nil"/>
              <w:tr2bl w:val="nil"/>
            </w:tcBorders>
            <w:vAlign w:val="center"/>
          </w:tcPr>
          <w:p w14:paraId="50BD863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不包括再生有色资源冶炼项目。</w:t>
            </w:r>
          </w:p>
        </w:tc>
      </w:tr>
      <w:tr w14:paraId="33C9A5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tcBorders>
              <w:tl2br w:val="nil"/>
              <w:tr2bl w:val="nil"/>
            </w:tcBorders>
            <w:vAlign w:val="center"/>
          </w:tcPr>
          <w:p w14:paraId="16DDD2EC">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8</w:t>
            </w:r>
          </w:p>
        </w:tc>
        <w:tc>
          <w:tcPr>
            <w:tcW w:w="258" w:type="pct"/>
            <w:tcBorders>
              <w:tl2br w:val="nil"/>
              <w:tr2bl w:val="nil"/>
            </w:tcBorders>
            <w:vAlign w:val="center"/>
          </w:tcPr>
          <w:p w14:paraId="0781A2A4">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煤电</w:t>
            </w:r>
          </w:p>
        </w:tc>
        <w:tc>
          <w:tcPr>
            <w:tcW w:w="1531" w:type="pct"/>
            <w:tcBorders>
              <w:tl2br w:val="nil"/>
              <w:tr2bl w:val="nil"/>
            </w:tcBorders>
            <w:vAlign w:val="center"/>
          </w:tcPr>
          <w:p w14:paraId="7F3F6426">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火力发电（4411）、热电联产（4412）</w:t>
            </w:r>
          </w:p>
        </w:tc>
        <w:tc>
          <w:tcPr>
            <w:tcW w:w="2009" w:type="pct"/>
            <w:tcBorders>
              <w:tl2br w:val="nil"/>
              <w:tr2bl w:val="nil"/>
            </w:tcBorders>
            <w:vAlign w:val="center"/>
          </w:tcPr>
          <w:p w14:paraId="475089FD">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燃煤发电、燃煤热电联产</w:t>
            </w:r>
          </w:p>
        </w:tc>
        <w:tc>
          <w:tcPr>
            <w:tcW w:w="950" w:type="pct"/>
            <w:tcBorders>
              <w:tl2br w:val="nil"/>
              <w:tr2bl w:val="nil"/>
            </w:tcBorders>
            <w:vAlign w:val="center"/>
          </w:tcPr>
          <w:p w14:paraId="7698CE2C">
            <w:pPr>
              <w:pStyle w:val="43"/>
              <w:keepNext w:val="0"/>
              <w:keepLines w:val="0"/>
              <w:widowControl w:val="0"/>
              <w:suppressLineNumbers w:val="0"/>
              <w:spacing w:before="0" w:beforeAutospacing="0" w:after="0" w:afterAutospacing="0"/>
              <w:ind w:left="0"/>
              <w:rPr>
                <w:rFonts w:hint="default"/>
                <w:color w:val="auto"/>
                <w:highlight w:val="none"/>
              </w:rPr>
            </w:pPr>
          </w:p>
        </w:tc>
      </w:tr>
      <w:tr w14:paraId="7BB3D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249" w:type="pct"/>
            <w:tcBorders>
              <w:tl2br w:val="nil"/>
              <w:tr2bl w:val="nil"/>
            </w:tcBorders>
            <w:vAlign w:val="center"/>
          </w:tcPr>
          <w:p w14:paraId="43317F15">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9</w:t>
            </w:r>
          </w:p>
        </w:tc>
        <w:tc>
          <w:tcPr>
            <w:tcW w:w="4750" w:type="pct"/>
            <w:gridSpan w:val="4"/>
            <w:tcBorders>
              <w:tl2br w:val="nil"/>
              <w:tr2bl w:val="nil"/>
            </w:tcBorders>
            <w:vAlign w:val="center"/>
          </w:tcPr>
          <w:p w14:paraId="3C9547A7">
            <w:pPr>
              <w:pStyle w:val="43"/>
              <w:keepNext w:val="0"/>
              <w:keepLines w:val="0"/>
              <w:widowControl w:val="0"/>
              <w:suppressLineNumbers w:val="0"/>
              <w:spacing w:before="0" w:beforeAutospacing="0" w:after="0" w:afterAutospacing="0"/>
              <w:ind w:left="0"/>
              <w:rPr>
                <w:rFonts w:hint="default"/>
                <w:color w:val="auto"/>
                <w:highlight w:val="none"/>
              </w:rPr>
            </w:pPr>
            <w:r>
              <w:rPr>
                <w:rFonts w:hint="eastAsia"/>
                <w:color w:val="auto"/>
                <w:highlight w:val="none"/>
              </w:rPr>
              <w:t>涉煤及煤制品、石油焦、渣油、重油等高污染燃料使用工业炉窑、锅炉的项目</w:t>
            </w:r>
          </w:p>
        </w:tc>
      </w:tr>
    </w:tbl>
    <w:p w14:paraId="7F690F52">
      <w:pPr>
        <w:bidi w:val="0"/>
        <w:rPr>
          <w:rFonts w:hint="eastAsia"/>
          <w:lang w:val="en-US" w:eastAsia="zh-CN"/>
        </w:rPr>
      </w:pPr>
      <w:r>
        <w:rPr>
          <w:rFonts w:hint="eastAsia"/>
          <w:lang w:val="en-US" w:eastAsia="zh-CN"/>
        </w:rPr>
        <w:t>本项目为湘阴佳海绿色食品产业园一期配套的工业废水污水处理站，属于水的生产和供应业”中“95 污水处理及其再生利用，所用能源为电能，因此本项目非《湖南省“两高”项目管理目录》中的两高项目。</w:t>
      </w:r>
    </w:p>
    <w:p w14:paraId="1A0AC6FD">
      <w:pPr>
        <w:pStyle w:val="6"/>
        <w:bidi w:val="0"/>
        <w:rPr>
          <w:rFonts w:hint="default"/>
          <w:highlight w:val="none"/>
        </w:rPr>
      </w:pPr>
      <w:bookmarkStart w:id="40" w:name="OLE_LINK10"/>
      <w:r>
        <w:rPr>
          <w:rFonts w:hint="default"/>
          <w:highlight w:val="none"/>
          <w:lang w:val="en-US" w:eastAsia="zh-CN"/>
        </w:rPr>
        <w:t>选址合理性分析</w:t>
      </w:r>
    </w:p>
    <w:bookmarkEnd w:id="40"/>
    <w:p w14:paraId="5C99902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本项目位于湘阴高新技术产业开发区片区内，用地为二类工业用地，评价区域内空气、纳污水体环境质量、声环境质量基本能满足相应功能区要求，有一定的环境容量；根据《湘阴县项目联审联办工作领导小组文件-关于佳海绿色食品产业园建设项目的联审意见》（湘阴项目联审[2023]26号），</w:t>
      </w:r>
      <w:r>
        <w:rPr>
          <w:rFonts w:hint="eastAsia" w:ascii="Times New Roman" w:hAnsi="Times New Roman" w:cs="Times New Roman"/>
          <w:highlight w:val="none"/>
          <w:lang w:val="en-US" w:eastAsia="zh-CN"/>
        </w:rPr>
        <w:t>佳海绿色食品产业园</w:t>
      </w:r>
      <w:r>
        <w:rPr>
          <w:rFonts w:hint="default" w:ascii="Times New Roman" w:hAnsi="Times New Roman" w:cs="Times New Roman"/>
          <w:highlight w:val="none"/>
        </w:rPr>
        <w:t>建设完成后，全面达产预计年产值18亿元以上，年创税收约5000万元。经济效益显著，可带动当地就业。</w:t>
      </w:r>
      <w:r>
        <w:rPr>
          <w:rFonts w:hint="eastAsia" w:ascii="Times New Roman" w:hAnsi="Times New Roman" w:cs="Times New Roman"/>
          <w:highlight w:val="none"/>
          <w:lang w:val="en-US" w:eastAsia="zh-CN"/>
        </w:rPr>
        <w:t>本项目为该绿色食品产业园的污水处理站配套项目，可有效的解决后续入驻企业的生产废水问题。</w:t>
      </w:r>
      <w:r>
        <w:rPr>
          <w:rFonts w:hint="default" w:ascii="Times New Roman" w:hAnsi="Times New Roman" w:cs="Times New Roman"/>
          <w:highlight w:val="none"/>
        </w:rPr>
        <w:t>周边交通便利，项目用水、用电，项目区域基础设施能够满足日常生产需求，</w:t>
      </w:r>
      <w:r>
        <w:rPr>
          <w:rFonts w:hint="eastAsia" w:ascii="Times New Roman" w:hAnsi="Times New Roman" w:cs="Times New Roman"/>
          <w:highlight w:val="none"/>
          <w:lang w:val="en-US" w:eastAsia="zh-CN"/>
        </w:rPr>
        <w:t>本项目位于湘阴佳海绿色食品产业园一期东南角，远离产业园西侧及北侧将军村居民，且位于将军村居民下风向，降低污水处理站恶臭对其的影响</w:t>
      </w:r>
      <w:r>
        <w:rPr>
          <w:rFonts w:hint="default" w:ascii="Times New Roman" w:hAnsi="Times New Roman" w:cs="Times New Roman"/>
          <w:highlight w:val="none"/>
        </w:rPr>
        <w:t>，因此项目选址合理。</w:t>
      </w:r>
    </w:p>
    <w:p w14:paraId="62582241">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平面布局合理性分析</w:t>
      </w:r>
    </w:p>
    <w:p w14:paraId="6A22B5E1">
      <w:pPr>
        <w:bidi w:val="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本污水处理</w:t>
      </w:r>
      <w:r>
        <w:rPr>
          <w:rFonts w:hint="eastAsia" w:ascii="Times New Roman" w:hAnsi="Times New Roman" w:cs="Times New Roman"/>
          <w:color w:val="auto"/>
          <w:highlight w:val="none"/>
          <w:u w:val="none" w:color="auto"/>
          <w:lang w:val="en-US" w:eastAsia="zh-CN"/>
        </w:rPr>
        <w:t>站</w:t>
      </w:r>
      <w:r>
        <w:rPr>
          <w:rFonts w:hint="default" w:ascii="Times New Roman" w:hAnsi="Times New Roman" w:cs="Times New Roman"/>
          <w:color w:val="auto"/>
          <w:highlight w:val="none"/>
          <w:u w:val="none" w:color="auto"/>
        </w:rPr>
        <w:t>总用地面积为</w:t>
      </w:r>
      <w:r>
        <w:rPr>
          <w:rFonts w:hint="eastAsia" w:ascii="Times New Roman" w:hAnsi="Times New Roman" w:cs="Times New Roman"/>
          <w:color w:val="auto"/>
          <w:highlight w:val="none"/>
          <w:u w:val="none" w:color="auto"/>
          <w:lang w:val="en-US" w:eastAsia="zh-CN"/>
        </w:rPr>
        <w:t>1080</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位于</w:t>
      </w:r>
      <w:r>
        <w:rPr>
          <w:rFonts w:hint="default"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color w:val="auto"/>
          <w:highlight w:val="none"/>
          <w:u w:val="none" w:color="auto"/>
          <w:lang w:val="en-US" w:eastAsia="zh-CN"/>
        </w:rPr>
        <w:t>东南角。用于</w:t>
      </w:r>
      <w:r>
        <w:rPr>
          <w:rFonts w:hint="default" w:ascii="Times New Roman" w:hAnsi="Times New Roman" w:cs="Times New Roman"/>
          <w:color w:val="auto"/>
          <w:highlight w:val="none"/>
          <w:u w:val="none" w:color="auto"/>
        </w:rPr>
        <w:t>处理</w:t>
      </w:r>
      <w:r>
        <w:rPr>
          <w:rFonts w:hint="eastAsia" w:ascii="Times New Roman" w:hAnsi="Times New Roman" w:cs="Times New Roman"/>
          <w:color w:val="auto"/>
          <w:highlight w:val="none"/>
          <w:u w:val="none" w:color="auto"/>
          <w:lang w:val="en-US" w:eastAsia="zh-CN"/>
        </w:rPr>
        <w:t>佳海食品产业园的生产</w:t>
      </w:r>
      <w:r>
        <w:rPr>
          <w:rFonts w:hint="default" w:ascii="Times New Roman" w:hAnsi="Times New Roman" w:cs="Times New Roman"/>
          <w:color w:val="auto"/>
          <w:highlight w:val="none"/>
          <w:u w:val="none" w:color="auto"/>
        </w:rPr>
        <w:t>废水，为了与周边环境协调，减少污水处理厂对周边建设用地的环境影响，本项目收集池、生化处理池、污泥间等均加盖封闭。</w:t>
      </w:r>
      <w:r>
        <w:rPr>
          <w:rFonts w:hint="eastAsia" w:ascii="Times New Roman" w:hAnsi="Times New Roman" w:cs="Times New Roman"/>
          <w:color w:val="auto"/>
          <w:highlight w:val="none"/>
          <w:u w:val="none" w:color="auto"/>
          <w:lang w:val="en-US" w:eastAsia="zh-CN"/>
        </w:rPr>
        <w:t>该食品站位于佳海食品产业园东南角，产业园区办公区的下风向，且远离佳海产业园西北侧布设。</w:t>
      </w:r>
    </w:p>
    <w:p w14:paraId="437DEB57">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w:t>
      </w:r>
      <w:r>
        <w:rPr>
          <w:rFonts w:hint="eastAsia" w:ascii="Times New Roman" w:hAnsi="Times New Roman" w:cs="Times New Roman"/>
          <w:color w:val="auto"/>
          <w:highlight w:val="none"/>
          <w:u w:val="none" w:color="auto"/>
          <w:lang w:val="en-US" w:eastAsia="zh-CN"/>
        </w:rPr>
        <w:t>北</w:t>
      </w:r>
      <w:r>
        <w:rPr>
          <w:rFonts w:hint="default" w:ascii="Times New Roman" w:hAnsi="Times New Roman" w:cs="Times New Roman"/>
          <w:color w:val="auto"/>
          <w:highlight w:val="none"/>
          <w:u w:val="none" w:color="auto"/>
        </w:rPr>
        <w:t>侧建设封闭式收集池，污水由</w:t>
      </w:r>
      <w:r>
        <w:rPr>
          <w:rFonts w:hint="eastAsia" w:ascii="Times New Roman" w:hAnsi="Times New Roman" w:cs="Times New Roman"/>
          <w:color w:val="auto"/>
          <w:highlight w:val="none"/>
          <w:u w:val="none" w:color="auto"/>
          <w:lang w:val="en-US" w:eastAsia="zh-CN"/>
        </w:rPr>
        <w:t>北</w:t>
      </w:r>
      <w:r>
        <w:rPr>
          <w:rFonts w:hint="default" w:ascii="Times New Roman" w:hAnsi="Times New Roman" w:cs="Times New Roman"/>
          <w:color w:val="auto"/>
          <w:highlight w:val="none"/>
          <w:u w:val="none" w:color="auto"/>
        </w:rPr>
        <w:t>侧进入收集池，后通过提升泵房，泵入北侧封闭式生化处理池，经过处理后，通过尾水管网排入城市管网中，同时建设废气处理设置对恶臭气体进行处置，同时建设加药间及鼓风机房。</w:t>
      </w:r>
    </w:p>
    <w:p w14:paraId="58861F98">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综上所述本项目平面布置可行。</w:t>
      </w:r>
    </w:p>
    <w:p w14:paraId="55C8BF2B">
      <w:pPr>
        <w:pStyle w:val="2"/>
        <w:jc w:val="center"/>
        <w:rPr>
          <w:rFonts w:hint="eastAsia"/>
          <w:lang w:val="en-US" w:eastAsia="zh-CN"/>
        </w:rPr>
      </w:pPr>
      <w:r>
        <w:rPr>
          <w:sz w:val="21"/>
        </w:rPr>
        <mc:AlternateContent>
          <mc:Choice Requires="wps">
            <w:drawing>
              <wp:anchor distT="0" distB="0" distL="114300" distR="114300" simplePos="0" relativeHeight="251672576" behindDoc="0" locked="0" layoutInCell="1" allowOverlap="1">
                <wp:simplePos x="0" y="0"/>
                <wp:positionH relativeFrom="column">
                  <wp:posOffset>3154045</wp:posOffset>
                </wp:positionH>
                <wp:positionV relativeFrom="paragraph">
                  <wp:posOffset>2981960</wp:posOffset>
                </wp:positionV>
                <wp:extent cx="1229360" cy="344805"/>
                <wp:effectExtent l="12700" t="0" r="15240" b="1109345"/>
                <wp:wrapNone/>
                <wp:docPr id="18" name="线形标注 1 18"/>
                <wp:cNvGraphicFramePr/>
                <a:graphic xmlns:a="http://schemas.openxmlformats.org/drawingml/2006/main">
                  <a:graphicData uri="http://schemas.microsoft.com/office/word/2010/wordprocessingShape">
                    <wps:wsp>
                      <wps:cNvSpPr/>
                      <wps:spPr>
                        <a:xfrm>
                          <a:off x="5044440" y="4021455"/>
                          <a:ext cx="1229360" cy="344805"/>
                        </a:xfrm>
                        <a:prstGeom prst="borderCallout1">
                          <a:avLst>
                            <a:gd name="adj1" fmla="val 111000"/>
                            <a:gd name="adj2" fmla="val 47522"/>
                            <a:gd name="adj3" fmla="val 417127"/>
                            <a:gd name="adj4" fmla="val 67768"/>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58408">
                            <w:pPr>
                              <w:pStyle w:val="42"/>
                              <w:bidi w:val="0"/>
                              <w:rPr>
                                <w:rFonts w:hint="default" w:eastAsia="宋体"/>
                                <w:lang w:val="en-US" w:eastAsia="zh-CN"/>
                              </w:rPr>
                            </w:pPr>
                            <w:r>
                              <w:rPr>
                                <w:rFonts w:hint="eastAsia"/>
                                <w:lang w:val="en-US" w:eastAsia="zh-CN"/>
                              </w:rPr>
                              <w:t>污水处理站位置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48.35pt;margin-top:234.8pt;height:27.15pt;width:96.8pt;z-index:251672576;v-text-anchor:middle;mso-width-relative:page;mso-height-relative:page;" filled="f" stroked="t" coordsize="21600,21600" o:gfxdata="UEsDBAoAAAAAAIdO4kAAAAAAAAAAAAAAAAAEAAAAZHJzL1BLAwQUAAAACACHTuJAFdkdYN0AAAAL&#10;AQAADwAAAGRycy9kb3ducmV2LnhtbE2Py07DMBBF90j8gzVI7KjdFgwJcbpAKoh2gQhBiJ0bD3FE&#10;PA6x++LrMSvYzWiO7pxbLA6uZzscQ+dJwXQigCE13nTUKqhflhc3wELUZHTvCRUcMcCiPD0pdG78&#10;np5xV8WWpRAKuVZgYxxyzkNj0ekw8QNSun340emY1rHlZtT7FO56PhNCcqc7Sh+sHvDOYvNZbZ2C&#10;x+ODravu/Xtdv96vl09fq7fKrpQ6P5uKW2ARD/EPhl/9pA5lctr4LZnAegWXmbxOaBpkJoElQmZi&#10;Dmyj4Go2z4CXBf/fofwBUEsDBBQAAAAIAIdO4kCMmrZ4vwIAAHoFAAAOAAAAZHJzL2Uyb0RvYy54&#10;bWytVM1uEzEQviPxDpbvdH+yadqomypKVIRUQaWCODteb7LIaxvb+SkvwGsgTty5ISGehvIafPZu&#10;27Tl0AM57I53vszM982MT053rSQbYV2jVUmzg5QSobiuGrUs6bu3Zy+OKHGeqYpJrURJr4Sjp5Pn&#10;z062ZixyvdKyEpYgiHLjrSnpynszThLHV6Jl7kAboeCstW2Zx9Euk8qyLaK3MsnT9DDZalsZq7lw&#10;Dl/nnZP2Ee1TAuq6briYa75uhfJdVCsk86DkVo1xdBKrrWvB/Zu6dsITWVIw9fGJJLAX4ZlMTth4&#10;aZlZNbwvgT2lhAecWtYoJL0NNWeekbVtHoVqG26107U/4LpNOiJREbDI0gfaXK6YEZELpHbmVnT3&#10;/8Ly15sLS5oKk4C+K9ai439+/Pr98+v1l8/X37+RjMABlbbGjQG+NBe2PzmYgfKutm14gwzZlXSY&#10;FvhB36uSFmmeFcNhp7LYecIByPL8eHAIAAdiUBRHaQQkd5GMdf6l0C0JRkkXGBhhZ0xKvfZZlJlt&#10;zp2Peld90az6kFFStxLt2zBJsixL05v+7oHyfVAxGuZ5PwN7mME9TDbK8tFjULEPOhyNDqNMYNHX&#10;BuuGRyhU6bNGyjhuUpFtSfNhgfoIZ9ihGrMLszXog1NLSphcYjm5t5Gt07Kpwt9DIGeXi5m0BCRL&#10;OkoH6TSyRLp7sJB7ztyqw0VX4ACYVHiFdnYNDJbfLXZ9Vxe6usJEWN2tijP8rEGoc+b8BbMQFzXj&#10;9vBv8KilBhHdW5SstP30r+8Bj5GFl5Itdg0kP66ZFZTIVwrDfJzFgfHxUAxHOXLYfc9i36PW7UyD&#10;O9qN6qIZ8F7emLXV7XvMzDRkhYspjtydnP1h5rs7ANcUF9NphGEhDfPn6tLwELxr2nTtdd34oFwQ&#10;qlOnP2Alo6D99RF2fv8cUXdX5uQ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FdkdYN0AAAALAQAA&#10;DwAAAAAAAAABACAAAAAiAAAAZHJzL2Rvd25yZXYueG1sUEsBAhQAFAAAAAgAh07iQIyatni/AgAA&#10;egUAAA4AAAAAAAAAAQAgAAAALAEAAGRycy9lMm9Eb2MueG1sUEsFBgAAAAAGAAYAWQEAAF0GAAAA&#10;AA==&#10;" adj="14638,90099,10265,23976">
                <v:fill on="f" focussize="0,0"/>
                <v:stroke weight="2pt" color="#7030A0 [3204]" joinstyle="round"/>
                <v:imagedata o:title=""/>
                <o:lock v:ext="edit" aspectratio="f"/>
                <v:textbox>
                  <w:txbxContent>
                    <w:p w14:paraId="7AF58408">
                      <w:pPr>
                        <w:pStyle w:val="42"/>
                        <w:bidi w:val="0"/>
                        <w:rPr>
                          <w:rFonts w:hint="default" w:eastAsia="宋体"/>
                          <w:lang w:val="en-US" w:eastAsia="zh-CN"/>
                        </w:rPr>
                      </w:pPr>
                      <w:r>
                        <w:rPr>
                          <w:rFonts w:hint="eastAsia"/>
                          <w:lang w:val="en-US" w:eastAsia="zh-CN"/>
                        </w:rPr>
                        <w:t>污水处理站位置</w:t>
                      </w:r>
                    </w:p>
                  </w:txbxContent>
                </v:textbox>
              </v:shape>
            </w:pict>
          </mc:Fallback>
        </mc:AlternateContent>
      </w:r>
      <w:r>
        <w:drawing>
          <wp:anchor distT="0" distB="0" distL="114300" distR="114300" simplePos="0" relativeHeight="251671552" behindDoc="0" locked="0" layoutInCell="1" allowOverlap="1">
            <wp:simplePos x="0" y="0"/>
            <wp:positionH relativeFrom="column">
              <wp:posOffset>3870960</wp:posOffset>
            </wp:positionH>
            <wp:positionV relativeFrom="paragraph">
              <wp:posOffset>109220</wp:posOffset>
            </wp:positionV>
            <wp:extent cx="666750" cy="1333500"/>
            <wp:effectExtent l="0" t="0" r="0" b="0"/>
            <wp:wrapNone/>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6"/>
                    <a:stretch>
                      <a:fillRect/>
                    </a:stretch>
                  </pic:blipFill>
                  <pic:spPr>
                    <a:xfrm>
                      <a:off x="0" y="0"/>
                      <a:ext cx="666750" cy="1333500"/>
                    </a:xfrm>
                    <a:prstGeom prst="rect">
                      <a:avLst/>
                    </a:prstGeom>
                    <a:noFill/>
                    <a:ln>
                      <a:noFill/>
                    </a:ln>
                  </pic:spPr>
                </pic:pic>
              </a:graphicData>
            </a:graphic>
          </wp:anchor>
        </w:drawing>
      </w:r>
      <w:r>
        <w:rPr>
          <w:rFonts w:hint="eastAsia"/>
          <w:lang w:val="en-US" w:eastAsia="zh-CN"/>
        </w:rPr>
        <w:drawing>
          <wp:inline distT="0" distB="0" distL="114300" distR="114300">
            <wp:extent cx="4039235" cy="5191760"/>
            <wp:effectExtent l="0" t="0" r="18415" b="8890"/>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27"/>
                    <a:srcRect l="20108" t="9515" r="35156" b="9173"/>
                    <a:stretch>
                      <a:fillRect/>
                    </a:stretch>
                  </pic:blipFill>
                  <pic:spPr>
                    <a:xfrm>
                      <a:off x="0" y="0"/>
                      <a:ext cx="4039235" cy="5191760"/>
                    </a:xfrm>
                    <a:prstGeom prst="rect">
                      <a:avLst/>
                    </a:prstGeom>
                  </pic:spPr>
                </pic:pic>
              </a:graphicData>
            </a:graphic>
          </wp:inline>
        </w:drawing>
      </w:r>
    </w:p>
    <w:p w14:paraId="6C295D7F">
      <w:pPr>
        <w:pStyle w:val="39"/>
        <w:bidi w:val="0"/>
        <w:rPr>
          <w:rFonts w:hint="default"/>
          <w:lang w:val="en-US" w:eastAsia="zh-CN"/>
        </w:rPr>
      </w:pPr>
      <w:r>
        <w:rPr>
          <w:rFonts w:hint="eastAsia"/>
          <w:lang w:val="en-US" w:eastAsia="zh-CN"/>
        </w:rPr>
        <w:t>图1.4-1 本项目与产业园位置关系图</w:t>
      </w:r>
    </w:p>
    <w:p w14:paraId="17BE0A79">
      <w:pPr>
        <w:pStyle w:val="5"/>
        <w:rPr>
          <w:rFonts w:hint="default" w:ascii="Times New Roman" w:hAnsi="Times New Roman" w:cs="Times New Roman"/>
          <w:color w:val="auto"/>
          <w:highlight w:val="none"/>
          <w:u w:val="none" w:color="auto"/>
        </w:rPr>
      </w:pPr>
      <w:bookmarkStart w:id="41" w:name="1.4.8环境制约因素分析"/>
      <w:bookmarkEnd w:id="41"/>
      <w:bookmarkStart w:id="42" w:name="_Toc24816"/>
      <w:bookmarkStart w:id="43" w:name="_Toc31427"/>
      <w:bookmarkStart w:id="44" w:name="_Toc20771"/>
      <w:r>
        <w:rPr>
          <w:rFonts w:hint="default" w:ascii="Times New Roman" w:hAnsi="Times New Roman" w:cs="Times New Roman"/>
          <w:color w:val="auto"/>
          <w:highlight w:val="none"/>
          <w:u w:val="none" w:color="auto"/>
        </w:rPr>
        <w:t>主要结论</w:t>
      </w:r>
      <w:bookmarkEnd w:id="42"/>
      <w:bookmarkEnd w:id="43"/>
      <w:bookmarkEnd w:id="44"/>
    </w:p>
    <w:p w14:paraId="38F39680">
      <w:pPr>
        <w:bidi w:val="0"/>
        <w:rPr>
          <w:rFonts w:hint="default" w:ascii="Times New Roman" w:hAnsi="Times New Roman" w:cs="Times New Roman"/>
          <w:highlight w:val="none"/>
        </w:rPr>
      </w:pPr>
      <w:r>
        <w:rPr>
          <w:rFonts w:hint="default" w:ascii="Times New Roman" w:hAnsi="Times New Roman" w:cs="Times New Roman"/>
          <w:highlight w:val="none"/>
        </w:rPr>
        <w:t>本项目</w:t>
      </w:r>
      <w:r>
        <w:rPr>
          <w:rFonts w:hint="default" w:ascii="Times New Roman" w:hAnsi="Times New Roman" w:cs="Times New Roman"/>
          <w:highlight w:val="none"/>
          <w:lang w:val="en-US" w:eastAsia="zh-CN"/>
        </w:rPr>
        <w:t>属于</w:t>
      </w:r>
      <w:r>
        <w:rPr>
          <w:rFonts w:hint="eastAsia" w:ascii="Times New Roman" w:hAnsi="Times New Roman" w:cs="Times New Roman"/>
          <w:highlight w:val="none"/>
          <w:lang w:val="en-US" w:eastAsia="zh-CN"/>
        </w:rPr>
        <w:t>工业污水处理站建设项目</w:t>
      </w:r>
      <w:r>
        <w:rPr>
          <w:rFonts w:hint="default" w:ascii="Times New Roman" w:hAnsi="Times New Roman" w:cs="Times New Roman"/>
          <w:highlight w:val="none"/>
        </w:rPr>
        <w:t>，符合国家产业政策</w:t>
      </w:r>
      <w:r>
        <w:rPr>
          <w:rFonts w:hint="default" w:ascii="Times New Roman" w:hAnsi="Times New Roman" w:cs="Times New Roman"/>
          <w:highlight w:val="none"/>
          <w:lang w:val="en-US" w:eastAsia="zh-CN"/>
        </w:rPr>
        <w:t>要求，项目</w:t>
      </w:r>
      <w:r>
        <w:rPr>
          <w:rFonts w:hint="default" w:ascii="Times New Roman" w:hAnsi="Times New Roman" w:cs="Times New Roman"/>
          <w:highlight w:val="none"/>
          <w:lang w:eastAsia="zh-CN"/>
        </w:rPr>
        <w:t>位于</w:t>
      </w:r>
      <w:r>
        <w:rPr>
          <w:rFonts w:hint="eastAsia" w:ascii="Times New Roman" w:hAnsi="Times New Roman" w:cs="Times New Roman"/>
          <w:highlight w:val="none"/>
          <w:lang w:eastAsia="zh-CN"/>
        </w:rPr>
        <w:t>湘阴佳海绿色食品产业园一期</w:t>
      </w:r>
      <w:r>
        <w:rPr>
          <w:rFonts w:hint="default" w:ascii="Times New Roman" w:hAnsi="Times New Roman" w:cs="Times New Roman"/>
          <w:highlight w:val="none"/>
          <w:lang w:eastAsia="zh-CN"/>
        </w:rPr>
        <w:t>区内，</w:t>
      </w:r>
      <w:r>
        <w:rPr>
          <w:rFonts w:hint="default" w:ascii="Times New Roman" w:hAnsi="Times New Roman" w:cs="Times New Roman"/>
          <w:highlight w:val="none"/>
        </w:rPr>
        <w:t>符合</w:t>
      </w:r>
      <w:r>
        <w:rPr>
          <w:rFonts w:hint="eastAsia" w:ascii="Times New Roman" w:hAnsi="Times New Roman" w:cs="Times New Roman"/>
          <w:highlight w:val="none"/>
          <w:lang w:val="en-US" w:eastAsia="zh-CN"/>
        </w:rPr>
        <w:t>园区</w:t>
      </w:r>
      <w:r>
        <w:rPr>
          <w:rFonts w:hint="default" w:ascii="Times New Roman" w:hAnsi="Times New Roman" w:cs="Times New Roman"/>
          <w:highlight w:val="none"/>
        </w:rPr>
        <w:t>规划及产业定位，项目不在环境准入负面清单范围内。</w:t>
      </w:r>
    </w:p>
    <w:p w14:paraId="6EBFC123">
      <w:pPr>
        <w:bidi w:val="0"/>
        <w:rPr>
          <w:rFonts w:hint="default" w:ascii="Times New Roman" w:hAnsi="Times New Roman" w:cs="Times New Roman"/>
          <w:highlight w:val="none"/>
        </w:rPr>
      </w:pPr>
      <w:r>
        <w:rPr>
          <w:rFonts w:hint="default" w:ascii="Times New Roman" w:hAnsi="Times New Roman" w:cs="Times New Roman"/>
          <w:highlight w:val="none"/>
        </w:rPr>
        <w:t>本项目在采取有效的污染防治措施及风险防范措施后，排污能够满足国家和地方规定的污染物排放标准，总量指标满足要求。根据项目环境预测评价结果，项目建成后对周边环境影响较小，风险可控，符合环境功能要求。工程在确保工程严格执行各项污染防治和风险防范措施的前提下，从环保的角度看，本项目的建设是可行的。</w:t>
      </w:r>
    </w:p>
    <w:p w14:paraId="0D574916">
      <w:pPr>
        <w:pStyle w:val="4"/>
        <w:ind w:firstLine="643"/>
        <w:rPr>
          <w:rFonts w:hint="default" w:ascii="Times New Roman" w:hAnsi="Times New Roman" w:cs="Times New Roman"/>
          <w:color w:val="auto"/>
          <w:highlight w:val="none"/>
          <w:u w:val="none" w:color="auto"/>
        </w:rPr>
      </w:pPr>
      <w:bookmarkStart w:id="45" w:name="_Toc15108"/>
      <w:r>
        <w:rPr>
          <w:rFonts w:hint="default" w:ascii="Times New Roman" w:hAnsi="Times New Roman" w:cs="Times New Roman"/>
          <w:color w:val="auto"/>
          <w:highlight w:val="none"/>
          <w:u w:val="none" w:color="auto"/>
        </w:rPr>
        <w:t>总则</w:t>
      </w:r>
      <w:bookmarkEnd w:id="12"/>
      <w:bookmarkEnd w:id="45"/>
    </w:p>
    <w:p w14:paraId="61AAFD1B">
      <w:pPr>
        <w:pStyle w:val="5"/>
        <w:rPr>
          <w:rFonts w:hint="default" w:ascii="Times New Roman" w:hAnsi="Times New Roman" w:cs="Times New Roman"/>
          <w:color w:val="auto"/>
          <w:highlight w:val="none"/>
          <w:u w:val="none" w:color="auto"/>
        </w:rPr>
      </w:pPr>
      <w:bookmarkStart w:id="46" w:name="_Toc12318"/>
      <w:bookmarkStart w:id="47" w:name="_Toc2183"/>
      <w:bookmarkStart w:id="48" w:name="_Toc29312"/>
      <w:r>
        <w:rPr>
          <w:rFonts w:hint="default" w:ascii="Times New Roman" w:hAnsi="Times New Roman" w:cs="Times New Roman"/>
          <w:color w:val="auto"/>
          <w:highlight w:val="none"/>
          <w:u w:val="none" w:color="auto"/>
        </w:rPr>
        <w:t>编制依据</w:t>
      </w:r>
      <w:bookmarkEnd w:id="46"/>
      <w:bookmarkEnd w:id="47"/>
      <w:bookmarkEnd w:id="48"/>
    </w:p>
    <w:p w14:paraId="4EFA4B8A">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法律、法规和部门规章</w:t>
      </w:r>
    </w:p>
    <w:p w14:paraId="35EEBC6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（1）《中华人民共和国环境保护法》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2015年1月1日起施行；</w:t>
      </w:r>
    </w:p>
    <w:p w14:paraId="5DE9E5F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（2）《中华人民共和国环境影响评价法》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2018年12月29日修订；</w:t>
      </w:r>
    </w:p>
    <w:p w14:paraId="71620C10">
      <w:pPr>
        <w:autoSpaceDE w:val="0"/>
        <w:autoSpaceDN w:val="0"/>
        <w:adjustRightInd w:val="0"/>
        <w:spacing w:line="360" w:lineRule="auto"/>
        <w:ind w:firstLine="480" w:firstLineChars="200"/>
        <w:rPr>
          <w:rFonts w:hint="default" w:ascii="Times New Roman" w:hAnsi="Times New Roman" w:cs="Times New Roman"/>
          <w:color w:val="auto"/>
          <w:sz w:val="24"/>
          <w:highlight w:val="none"/>
          <w:u w:val="none" w:color="auto"/>
          <w:lang w:val="zh-CN"/>
        </w:rPr>
      </w:pPr>
      <w:r>
        <w:rPr>
          <w:rFonts w:hint="default" w:ascii="Times New Roman" w:hAnsi="Times New Roman" w:cs="Times New Roman"/>
          <w:color w:val="auto"/>
          <w:sz w:val="24"/>
          <w:highlight w:val="none"/>
          <w:u w:val="none" w:color="auto"/>
          <w:lang w:val="zh-CN"/>
        </w:rPr>
        <w:t>（2）《中华人民共和国噪声污染防治法》（20</w:t>
      </w:r>
      <w:r>
        <w:rPr>
          <w:rFonts w:hint="default" w:ascii="Times New Roman" w:hAnsi="Times New Roman" w:cs="Times New Roman"/>
          <w:color w:val="auto"/>
          <w:sz w:val="24"/>
          <w:highlight w:val="none"/>
          <w:u w:val="none" w:color="auto"/>
          <w:lang w:val="en-US" w:eastAsia="zh-CN"/>
        </w:rPr>
        <w:t>21</w:t>
      </w:r>
      <w:r>
        <w:rPr>
          <w:rFonts w:hint="default" w:ascii="Times New Roman" w:hAnsi="Times New Roman" w:cs="Times New Roman"/>
          <w:color w:val="auto"/>
          <w:sz w:val="24"/>
          <w:highlight w:val="none"/>
          <w:u w:val="none" w:color="auto"/>
          <w:lang w:val="zh-CN"/>
        </w:rPr>
        <w:t>年12月</w:t>
      </w:r>
      <w:r>
        <w:rPr>
          <w:rFonts w:hint="default" w:ascii="Times New Roman" w:hAnsi="Times New Roman" w:cs="Times New Roman"/>
          <w:color w:val="auto"/>
          <w:sz w:val="24"/>
          <w:highlight w:val="none"/>
          <w:u w:val="none" w:color="auto"/>
          <w:lang w:val="en-US" w:eastAsia="zh-CN"/>
        </w:rPr>
        <w:t>24</w:t>
      </w:r>
      <w:r>
        <w:rPr>
          <w:rFonts w:hint="default" w:ascii="Times New Roman" w:hAnsi="Times New Roman" w:cs="Times New Roman"/>
          <w:color w:val="auto"/>
          <w:sz w:val="24"/>
          <w:highlight w:val="none"/>
          <w:u w:val="none" w:color="auto"/>
          <w:lang w:val="zh-CN"/>
        </w:rPr>
        <w:t>日通过）；</w:t>
      </w:r>
    </w:p>
    <w:p w14:paraId="4D4DC75A">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（3）</w:t>
      </w:r>
      <w:r>
        <w:rPr>
          <w:rFonts w:hint="default" w:ascii="Times New Roman" w:hAnsi="Times New Roman" w:cs="Times New Roman"/>
          <w:color w:val="auto"/>
          <w:highlight w:val="none"/>
          <w:u w:val="none" w:color="auto"/>
        </w:rPr>
        <w:t>《中华人民共和国大气污染防治法》（2018年10月26日施行）</w:t>
      </w:r>
      <w:r>
        <w:rPr>
          <w:rFonts w:hint="default" w:ascii="Times New Roman" w:hAnsi="Times New Roman" w:cs="Times New Roman"/>
          <w:color w:val="auto"/>
          <w:highlight w:val="none"/>
          <w:u w:val="none" w:color="auto"/>
          <w:lang w:val="zh-CN"/>
        </w:rPr>
        <w:t>；</w:t>
      </w:r>
    </w:p>
    <w:p w14:paraId="41D4875F">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（4）《中华人民共和国水污染防治法》（2018年1月1日起施行）；</w:t>
      </w:r>
    </w:p>
    <w:p w14:paraId="46A66338">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（5）《中华人民共和国固体废物污染环境防治法》（20</w:t>
      </w:r>
      <w:r>
        <w:rPr>
          <w:rFonts w:hint="default" w:ascii="Times New Roman" w:hAnsi="Times New Roman" w:cs="Times New Roman"/>
          <w:color w:val="auto"/>
          <w:highlight w:val="none"/>
          <w:u w:val="none" w:color="auto"/>
          <w:lang w:val="en-US" w:eastAsia="zh-CN"/>
        </w:rPr>
        <w:t>20</w:t>
      </w:r>
      <w:r>
        <w:rPr>
          <w:rFonts w:hint="default" w:ascii="Times New Roman" w:hAnsi="Times New Roman" w:cs="Times New Roman"/>
          <w:color w:val="auto"/>
          <w:highlight w:val="none"/>
          <w:u w:val="none" w:color="auto"/>
          <w:lang w:val="zh-CN"/>
        </w:rPr>
        <w:t>年</w:t>
      </w:r>
      <w:r>
        <w:rPr>
          <w:rFonts w:hint="default" w:ascii="Times New Roman" w:hAnsi="Times New Roman" w:cs="Times New Roman"/>
          <w:color w:val="auto"/>
          <w:highlight w:val="none"/>
          <w:u w:val="none" w:color="auto"/>
          <w:lang w:val="en-US" w:eastAsia="zh-CN"/>
        </w:rPr>
        <w:t>9</w:t>
      </w:r>
      <w:r>
        <w:rPr>
          <w:rFonts w:hint="default" w:ascii="Times New Roman" w:hAnsi="Times New Roman" w:cs="Times New Roman"/>
          <w:color w:val="auto"/>
          <w:highlight w:val="none"/>
          <w:u w:val="none" w:color="auto"/>
          <w:lang w:val="zh-CN"/>
        </w:rPr>
        <w:t>月</w:t>
      </w:r>
      <w:r>
        <w:rPr>
          <w:rFonts w:hint="default"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lang w:val="zh-CN"/>
        </w:rPr>
        <w:t>日施行）；</w:t>
      </w:r>
    </w:p>
    <w:p w14:paraId="296E0AA5">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（6）《中华人民共和国土壤污染防治法》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2019年1月1日起施行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w:t>
      </w:r>
    </w:p>
    <w:p w14:paraId="2E1CBE27">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（7）《中华人民共和国水土保持法》（2011年3月1日施行）；</w:t>
      </w:r>
    </w:p>
    <w:p w14:paraId="684F1235">
      <w:pPr>
        <w:autoSpaceDE w:val="0"/>
        <w:autoSpaceDN w:val="0"/>
        <w:adjustRightInd w:val="0"/>
        <w:spacing w:line="360" w:lineRule="auto"/>
        <w:ind w:firstLine="480" w:firstLineChars="200"/>
        <w:rPr>
          <w:rFonts w:hint="default" w:ascii="Times New Roman" w:hAnsi="Times New Roman" w:cs="Times New Roman"/>
          <w:color w:val="auto"/>
          <w:sz w:val="24"/>
          <w:highlight w:val="none"/>
          <w:u w:val="none" w:color="auto"/>
          <w:lang w:val="zh-CN"/>
        </w:rPr>
      </w:pPr>
      <w:r>
        <w:rPr>
          <w:rFonts w:hint="default" w:ascii="Times New Roman" w:hAnsi="Times New Roman" w:cs="Times New Roman"/>
          <w:color w:val="auto"/>
          <w:sz w:val="24"/>
          <w:highlight w:val="none"/>
          <w:u w:val="none" w:color="auto"/>
          <w:lang w:val="zh-CN"/>
        </w:rPr>
        <w:t>（8）《建设项目环境保护管理条例》（2017年10月1日施行）；</w:t>
      </w:r>
    </w:p>
    <w:p w14:paraId="60889CED">
      <w:pPr>
        <w:autoSpaceDE w:val="0"/>
        <w:autoSpaceDN w:val="0"/>
        <w:adjustRightInd w:val="0"/>
        <w:spacing w:line="360" w:lineRule="auto"/>
        <w:ind w:firstLine="480" w:firstLineChars="200"/>
        <w:rPr>
          <w:rFonts w:hint="default" w:ascii="Times New Roman" w:hAnsi="Times New Roman" w:cs="Times New Roman"/>
          <w:color w:val="auto"/>
          <w:sz w:val="24"/>
          <w:highlight w:val="none"/>
          <w:u w:val="none" w:color="auto"/>
          <w:lang w:val="zh-CN"/>
        </w:rPr>
      </w:pPr>
      <w:r>
        <w:rPr>
          <w:rFonts w:hint="default" w:ascii="Times New Roman" w:hAnsi="Times New Roman" w:cs="Times New Roman"/>
          <w:color w:val="auto"/>
          <w:sz w:val="24"/>
          <w:highlight w:val="none"/>
          <w:u w:val="none" w:color="auto"/>
          <w:lang w:val="zh-CN"/>
        </w:rPr>
        <w:t>（9）《建设项目环境影响评价分类管理名录（2021年版）》（20</w:t>
      </w:r>
      <w:r>
        <w:rPr>
          <w:rFonts w:hint="default" w:ascii="Times New Roman" w:hAnsi="Times New Roman"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lang w:val="zh-CN"/>
        </w:rPr>
        <w:t>1年</w:t>
      </w:r>
      <w:r>
        <w:rPr>
          <w:rFonts w:hint="default" w:ascii="Times New Roman" w:hAnsi="Times New Roman"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lang w:val="zh-CN"/>
        </w:rPr>
        <w:t>月</w:t>
      </w:r>
      <w:r>
        <w:rPr>
          <w:rFonts w:hint="default" w:ascii="Times New Roman" w:hAnsi="Times New Roman"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lang w:val="zh-CN"/>
        </w:rPr>
        <w:t>日施行）；</w:t>
      </w:r>
    </w:p>
    <w:p w14:paraId="05923F4C">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（10）《环境影响评价公众参与办法》生态环境部（2019年1月1日起施行）；</w:t>
      </w:r>
    </w:p>
    <w:p w14:paraId="2F99BAA8">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（11）</w:t>
      </w:r>
      <w:r>
        <w:rPr>
          <w:rFonts w:hint="default" w:ascii="Times New Roman" w:hAnsi="Times New Roman" w:cs="Times New Roman"/>
          <w:color w:val="auto"/>
          <w:highlight w:val="none"/>
          <w:u w:val="none" w:color="auto"/>
        </w:rPr>
        <w:t>《产业结构调整指导目录（</w:t>
      </w:r>
      <w:r>
        <w:rPr>
          <w:rFonts w:hint="default" w:ascii="Times New Roman" w:hAnsi="Times New Roman" w:cs="Times New Roman"/>
          <w:color w:val="auto"/>
          <w:highlight w:val="none"/>
          <w:u w:val="none" w:color="auto"/>
          <w:lang w:val="en-US" w:eastAsia="zh-CN"/>
        </w:rPr>
        <w:t>2024</w:t>
      </w:r>
      <w:r>
        <w:rPr>
          <w:rFonts w:hint="default" w:ascii="Times New Roman" w:hAnsi="Times New Roman" w:cs="Times New Roman"/>
          <w:color w:val="auto"/>
          <w:highlight w:val="none"/>
          <w:u w:val="none" w:color="auto"/>
        </w:rPr>
        <w:t>年版）》</w:t>
      </w:r>
      <w:r>
        <w:rPr>
          <w:rFonts w:hint="default" w:ascii="Times New Roman" w:hAnsi="Times New Roman" w:cs="Times New Roman"/>
          <w:color w:val="auto"/>
          <w:highlight w:val="none"/>
          <w:u w:val="none" w:color="auto"/>
          <w:lang w:val="zh-CN"/>
        </w:rPr>
        <w:t>；</w:t>
      </w:r>
    </w:p>
    <w:p w14:paraId="5AE6B721">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（12）《中华人民共和国长江保护法》（</w:t>
      </w:r>
      <w:r>
        <w:rPr>
          <w:rFonts w:hint="default" w:ascii="Times New Roman" w:hAnsi="Times New Roman" w:cs="Times New Roman"/>
          <w:color w:val="auto"/>
          <w:highlight w:val="none"/>
          <w:u w:val="none" w:color="auto"/>
          <w:lang w:val="en-US" w:eastAsia="zh-CN"/>
        </w:rPr>
        <w:t>2021年3月1日实施</w:t>
      </w:r>
      <w:r>
        <w:rPr>
          <w:rFonts w:hint="default" w:ascii="Times New Roman" w:hAnsi="Times New Roman" w:cs="Times New Roman"/>
          <w:color w:val="auto"/>
          <w:highlight w:val="none"/>
          <w:u w:val="none" w:color="auto"/>
          <w:lang w:val="zh-CN"/>
        </w:rPr>
        <w:t>）；</w:t>
      </w:r>
    </w:p>
    <w:p w14:paraId="48AA92EA">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（13）《关于进一步加强环境影响评价管理防范环境风险的通知》环发〔2012〕77号；</w:t>
      </w:r>
    </w:p>
    <w:p w14:paraId="288E8C02">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（14）《关于切实加强风险防范严格环境影响评价管理的通知》（环发〔2012〕98号）；</w:t>
      </w:r>
    </w:p>
    <w:p w14:paraId="696C183C">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（15）《国家危险废物名录（202</w:t>
      </w:r>
      <w:r>
        <w:rPr>
          <w:rFonts w:hint="eastAsia"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lang w:val="zh-CN"/>
        </w:rPr>
        <w:t>年版）》（20</w:t>
      </w:r>
      <w:r>
        <w:rPr>
          <w:rFonts w:hint="default" w:ascii="Times New Roman" w:hAnsi="Times New Roman" w:cs="Times New Roman"/>
          <w:color w:val="auto"/>
          <w:highlight w:val="none"/>
          <w:u w:val="none" w:color="auto"/>
          <w:lang w:val="en-US" w:eastAsia="zh-CN"/>
        </w:rPr>
        <w:t>2</w:t>
      </w:r>
      <w:r>
        <w:rPr>
          <w:rFonts w:hint="eastAsia"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lang w:val="zh-CN"/>
        </w:rPr>
        <w:t>年</w:t>
      </w:r>
      <w:r>
        <w:rPr>
          <w:rFonts w:hint="default"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lang w:val="zh-CN"/>
        </w:rPr>
        <w:t>月1日起实施）；</w:t>
      </w:r>
    </w:p>
    <w:p w14:paraId="1CFC1D32">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（16）《关于印发〈建设项目环境影响评价信息公开机制方案〉的通知》（环发〔2015〕162号）；</w:t>
      </w:r>
    </w:p>
    <w:p w14:paraId="6502CDBA">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（17）《危险废物转移联单管理办法》（国家环境保护总局令第5号，1999年10月1日起施行）；</w:t>
      </w:r>
    </w:p>
    <w:p w14:paraId="1C3F13D8">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zh-CN"/>
        </w:rPr>
        <w:t>（18）</w:t>
      </w:r>
      <w:r>
        <w:rPr>
          <w:rFonts w:hint="default" w:ascii="Times New Roman" w:hAnsi="Times New Roman" w:cs="Times New Roman"/>
          <w:color w:val="auto"/>
          <w:highlight w:val="none"/>
          <w:u w:val="none" w:color="auto"/>
        </w:rPr>
        <w:t>《建设项目危险废物环境影响评价指南》2017年10月1起施行；</w:t>
      </w:r>
    </w:p>
    <w:p w14:paraId="73CAAD94">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sz w:val="24"/>
          <w:highlight w:val="none"/>
          <w:u w:val="none" w:color="auto"/>
          <w:lang w:val="zh-CN"/>
        </w:rPr>
        <w:t>（</w:t>
      </w:r>
      <w:r>
        <w:rPr>
          <w:rFonts w:hint="default" w:ascii="Times New Roman" w:hAnsi="Times New Roman" w:cs="Times New Roman"/>
          <w:color w:val="auto"/>
          <w:sz w:val="24"/>
          <w:highlight w:val="none"/>
          <w:u w:val="none" w:color="auto"/>
          <w:lang w:val="en-US" w:eastAsia="zh-CN"/>
        </w:rPr>
        <w:t>19</w:t>
      </w:r>
      <w:r>
        <w:rPr>
          <w:rFonts w:hint="default" w:ascii="Times New Roman" w:hAnsi="Times New Roman" w:cs="Times New Roman"/>
          <w:color w:val="auto"/>
          <w:sz w:val="24"/>
          <w:highlight w:val="none"/>
          <w:u w:val="none" w:color="auto"/>
          <w:lang w:val="zh-CN"/>
        </w:rPr>
        <w:t>）《中华人民共和国环境影响评价法》（2018年12月29日施行）；</w:t>
      </w:r>
    </w:p>
    <w:p w14:paraId="763038C4">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w:t>
      </w:r>
      <w:r>
        <w:rPr>
          <w:rFonts w:hint="default" w:ascii="Times New Roman" w:hAnsi="Times New Roman" w:cs="Times New Roman"/>
          <w:color w:val="auto"/>
          <w:highlight w:val="none"/>
          <w:u w:val="none" w:color="auto"/>
          <w:lang w:val="en-US" w:eastAsia="zh-CN"/>
        </w:rPr>
        <w:t>20</w:t>
      </w:r>
      <w:r>
        <w:rPr>
          <w:rFonts w:hint="default" w:ascii="Times New Roman" w:hAnsi="Times New Roman" w:cs="Times New Roman"/>
          <w:color w:val="auto"/>
          <w:highlight w:val="none"/>
          <w:u w:val="none" w:color="auto"/>
          <w:lang w:val="zh-CN"/>
        </w:rPr>
        <w:t>）《水污染防治行动计划》，国发〔2015〕17号；</w:t>
      </w:r>
    </w:p>
    <w:p w14:paraId="70834801">
      <w:pPr>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（2</w:t>
      </w:r>
      <w:r>
        <w:rPr>
          <w:rFonts w:hint="default"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lang w:val="zh-CN"/>
        </w:rPr>
        <w:t>）</w:t>
      </w:r>
      <w:r>
        <w:rPr>
          <w:rFonts w:hint="default" w:ascii="Times New Roman" w:hAnsi="Times New Roman" w:cs="Times New Roman"/>
          <w:color w:val="auto"/>
          <w:highlight w:val="none"/>
          <w:u w:val="none" w:color="auto"/>
        </w:rPr>
        <w:t>《土壤污染防治行动计划》（国发</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2016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31号）；</w:t>
      </w:r>
    </w:p>
    <w:p w14:paraId="34B668A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22</w:t>
      </w:r>
      <w:r>
        <w:rPr>
          <w:rFonts w:hint="default" w:ascii="Times New Roman" w:hAnsi="Times New Roman" w:cs="Times New Roman"/>
          <w:color w:val="auto"/>
          <w:highlight w:val="none"/>
          <w:u w:val="none" w:color="auto"/>
        </w:rPr>
        <w:t>）《关于以改善环境质量为核心加强环境影响评价管理的通知》（环环评[2016]150号）；</w:t>
      </w:r>
    </w:p>
    <w:p w14:paraId="0895BB5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25</w:t>
      </w:r>
      <w:r>
        <w:rPr>
          <w:rFonts w:hint="default" w:ascii="Times New Roman" w:hAnsi="Times New Roman" w:cs="Times New Roman"/>
          <w:color w:val="auto"/>
          <w:highlight w:val="none"/>
          <w:u w:val="none" w:color="auto"/>
          <w:lang w:eastAsia="zh-CN"/>
        </w:rPr>
        <w:t>）《长江保护修复攻坚战行动计划》；</w:t>
      </w:r>
    </w:p>
    <w:p w14:paraId="1E9EFAE8">
      <w:pPr>
        <w:bidi w:val="0"/>
        <w:rPr>
          <w:rFonts w:hint="default"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val="en-US" w:eastAsia="zh-CN"/>
        </w:rPr>
        <w:t>7</w:t>
      </w:r>
      <w:r>
        <w:rPr>
          <w:rFonts w:hint="default" w:ascii="Times New Roman" w:hAnsi="Times New Roman" w:eastAsia="宋体" w:cs="Times New Roman"/>
          <w:color w:val="auto"/>
          <w:highlight w:val="none"/>
          <w:u w:val="none" w:color="auto"/>
          <w:lang w:val="en-US" w:eastAsia="zh-CN"/>
        </w:rPr>
        <w:t>）《长江经济带发展负面清单指南（试行）</w:t>
      </w:r>
      <w:r>
        <w:rPr>
          <w:rFonts w:hint="eastAsia" w:ascii="Times New Roman" w:hAnsi="Times New Roman" w:cs="Times New Roman"/>
          <w:color w:val="auto"/>
          <w:highlight w:val="none"/>
          <w:u w:val="none" w:color="auto"/>
          <w:lang w:val="en-US" w:eastAsia="zh-CN"/>
        </w:rPr>
        <w:t>2022年版</w:t>
      </w:r>
      <w:r>
        <w:rPr>
          <w:rFonts w:hint="default" w:ascii="Times New Roman" w:hAnsi="Times New Roman" w:eastAsia="宋体" w:cs="Times New Roman"/>
          <w:color w:val="auto"/>
          <w:highlight w:val="none"/>
          <w:u w:val="none" w:color="auto"/>
          <w:lang w:val="en-US" w:eastAsia="zh-CN"/>
        </w:rPr>
        <w:t>》</w:t>
      </w:r>
      <w:r>
        <w:rPr>
          <w:rFonts w:hint="default" w:ascii="Times New Roman" w:hAnsi="Times New Roman" w:cs="Times New Roman"/>
          <w:color w:val="auto"/>
          <w:highlight w:val="none"/>
          <w:u w:val="none" w:color="auto"/>
          <w:lang w:eastAsia="zh-CN"/>
        </w:rPr>
        <w:t>；</w:t>
      </w:r>
    </w:p>
    <w:p w14:paraId="426ED608">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地方法规和地</w:t>
      </w:r>
      <w:r>
        <w:rPr>
          <w:rFonts w:hint="eastAsia" w:ascii="Times New Roman" w:hAnsi="Times New Roman" w:cs="Times New Roman"/>
          <w:color w:val="auto"/>
          <w:highlight w:val="none"/>
          <w:u w:val="none" w:color="auto"/>
          <w:lang w:eastAsia="zh-CN"/>
        </w:rPr>
        <w:t>方性</w:t>
      </w:r>
      <w:r>
        <w:rPr>
          <w:rFonts w:hint="default" w:ascii="Times New Roman" w:hAnsi="Times New Roman" w:cs="Times New Roman"/>
          <w:color w:val="auto"/>
          <w:highlight w:val="none"/>
          <w:u w:val="none" w:color="auto"/>
        </w:rPr>
        <w:t>规章</w:t>
      </w:r>
    </w:p>
    <w:p w14:paraId="5CBDDD4B">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（1）《湖南省建设项目环境保护管理办法》（湖南省人民政府令第215号，2007年10月1日）；</w:t>
      </w:r>
    </w:p>
    <w:p w14:paraId="294BE7B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（2）《湖南省环境保护条例》（</w:t>
      </w:r>
      <w:r>
        <w:rPr>
          <w:rFonts w:hint="default" w:ascii="Times New Roman" w:hAnsi="Times New Roman" w:cs="Times New Roman"/>
          <w:color w:val="auto"/>
          <w:highlight w:val="none"/>
          <w:u w:val="none" w:color="auto"/>
          <w:lang w:val="en-US" w:eastAsia="zh-CN"/>
        </w:rPr>
        <w:t>2020年1月1日实施</w:t>
      </w:r>
      <w:r>
        <w:rPr>
          <w:rFonts w:hint="default" w:ascii="Times New Roman" w:hAnsi="Times New Roman" w:cs="Times New Roman"/>
          <w:color w:val="auto"/>
          <w:highlight w:val="none"/>
          <w:u w:val="none" w:color="auto"/>
        </w:rPr>
        <w:t>）；</w:t>
      </w:r>
    </w:p>
    <w:p w14:paraId="6947C3F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（3）湖南省人民政府关于印发《湖南省贯彻落实〈水污染防治行动计划〉实施方案（2016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2020年）》的通知（湘政发</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2015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53号）；</w:t>
      </w:r>
    </w:p>
    <w:p w14:paraId="773413C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（4）《湖南省大气污染防治条例》（2017年6月1日起施行）；</w:t>
      </w:r>
    </w:p>
    <w:p w14:paraId="68E8427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（5）《湖南省主要水系地表水环境功能区划》（DB43/023-2005）；</w:t>
      </w:r>
    </w:p>
    <w:p w14:paraId="72CDA37D">
      <w:pPr>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（6）湖南省人民政府关于印发《湖南省土壤污染防治工作方案》的通知（湘政发〔2017〕4号）；</w:t>
      </w:r>
    </w:p>
    <w:p w14:paraId="53ACA078">
      <w:pPr>
        <w:pStyle w:val="14"/>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（8）</w:t>
      </w:r>
      <w:r>
        <w:rPr>
          <w:rFonts w:hint="default" w:ascii="Times New Roman" w:hAnsi="Times New Roman" w:eastAsia="宋体" w:cs="Times New Roman"/>
          <w:color w:val="auto"/>
          <w:sz w:val="24"/>
          <w:szCs w:val="24"/>
          <w:highlight w:val="none"/>
          <w:u w:val="none" w:color="auto"/>
          <w:lang w:eastAsia="zh-CN"/>
        </w:rPr>
        <w:t>《湖南省生态环境分区管控总体要求暨省级以上产业园区生态环境准入清单》（2023版）</w:t>
      </w:r>
      <w:r>
        <w:rPr>
          <w:rFonts w:hint="default" w:ascii="Times New Roman" w:hAnsi="Times New Roman" w:cs="Times New Roman"/>
          <w:color w:val="auto"/>
          <w:sz w:val="24"/>
          <w:szCs w:val="24"/>
          <w:highlight w:val="none"/>
          <w:u w:val="none" w:color="auto"/>
          <w:lang w:eastAsia="zh-CN"/>
        </w:rPr>
        <w:t>；</w:t>
      </w:r>
    </w:p>
    <w:p w14:paraId="541CF95D">
      <w:pPr>
        <w:pStyle w:val="14"/>
        <w:rPr>
          <w:rFonts w:hint="default" w:ascii="Times New Roman" w:hAnsi="Times New Roman" w:eastAsia="宋体" w:cs="Times New Roman"/>
          <w:color w:val="auto"/>
          <w:kern w:val="0"/>
          <w:sz w:val="24"/>
          <w:szCs w:val="24"/>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（9）</w:t>
      </w:r>
      <w:r>
        <w:rPr>
          <w:rFonts w:hint="default" w:ascii="Times New Roman" w:hAnsi="Times New Roman" w:eastAsia="宋体" w:cs="Times New Roman"/>
          <w:color w:val="auto"/>
          <w:kern w:val="0"/>
          <w:sz w:val="24"/>
          <w:szCs w:val="24"/>
          <w:highlight w:val="none"/>
          <w:u w:val="none" w:color="auto"/>
          <w:lang w:val="en-US" w:eastAsia="zh-CN" w:bidi="ar-SA"/>
        </w:rPr>
        <w:t>湖南省国家重点生态功能区产业准入负面清单（2016年8月）</w:t>
      </w:r>
      <w:r>
        <w:rPr>
          <w:rFonts w:hint="default" w:ascii="Times New Roman" w:hAnsi="Times New Roman" w:cs="Times New Roman"/>
          <w:color w:val="auto"/>
          <w:kern w:val="0"/>
          <w:sz w:val="24"/>
          <w:szCs w:val="24"/>
          <w:highlight w:val="none"/>
          <w:u w:val="none" w:color="auto"/>
          <w:lang w:val="en-US" w:eastAsia="zh-CN" w:bidi="ar-SA"/>
        </w:rPr>
        <w:t>；</w:t>
      </w:r>
    </w:p>
    <w:p w14:paraId="26FF0385">
      <w:pPr>
        <w:bidi w:val="0"/>
        <w:rPr>
          <w:rFonts w:hint="default" w:ascii="Times New Roman" w:hAnsi="Times New Roman" w:cs="Times New Roman"/>
          <w:highlight w:val="none"/>
          <w:u w:val="none" w:color="auto"/>
          <w:lang w:eastAsia="zh-CN"/>
        </w:rPr>
      </w:pPr>
      <w:r>
        <w:rPr>
          <w:rFonts w:hint="default" w:ascii="Times New Roman" w:hAnsi="Times New Roman" w:cs="Times New Roman"/>
          <w:highlight w:val="none"/>
          <w:u w:val="none" w:color="auto"/>
          <w:lang w:eastAsia="zh-CN"/>
        </w:rPr>
        <w:t>（</w:t>
      </w:r>
      <w:r>
        <w:rPr>
          <w:rFonts w:hint="default" w:ascii="Times New Roman" w:hAnsi="Times New Roman" w:cs="Times New Roman"/>
          <w:highlight w:val="none"/>
          <w:u w:val="none" w:color="auto"/>
          <w:lang w:val="en-US" w:eastAsia="zh-CN"/>
        </w:rPr>
        <w:t>11</w:t>
      </w:r>
      <w:r>
        <w:rPr>
          <w:rFonts w:hint="default" w:ascii="Times New Roman" w:hAnsi="Times New Roman" w:cs="Times New Roman"/>
          <w:highlight w:val="none"/>
          <w:u w:val="none" w:color="auto"/>
          <w:lang w:eastAsia="zh-CN"/>
        </w:rPr>
        <w:t>）《岳阳市扬尘污染防治条例》（</w:t>
      </w:r>
      <w:r>
        <w:rPr>
          <w:rFonts w:hint="default" w:ascii="Times New Roman" w:hAnsi="Times New Roman" w:cs="Times New Roman"/>
          <w:highlight w:val="none"/>
          <w:u w:val="none" w:color="auto"/>
          <w:lang w:val="en-US" w:eastAsia="zh-CN"/>
        </w:rPr>
        <w:t>2019年第3号</w:t>
      </w:r>
      <w:r>
        <w:rPr>
          <w:rFonts w:hint="default" w:ascii="Times New Roman" w:hAnsi="Times New Roman" w:cs="Times New Roman"/>
          <w:highlight w:val="none"/>
          <w:u w:val="none" w:color="auto"/>
          <w:lang w:eastAsia="zh-CN"/>
        </w:rPr>
        <w:t>）；</w:t>
      </w:r>
    </w:p>
    <w:p w14:paraId="6547E616">
      <w:pPr>
        <w:bidi w:val="0"/>
        <w:rPr>
          <w:rFonts w:hint="eastAsia" w:ascii="Times New Roman" w:hAnsi="Times New Roman" w:eastAsia="宋体" w:cs="Times New Roman"/>
          <w:color w:val="auto"/>
          <w:highlight w:val="none"/>
          <w:u w:val="none" w:color="auto"/>
          <w:lang w:eastAsia="zh-CN"/>
        </w:rPr>
      </w:pPr>
      <w:r>
        <w:rPr>
          <w:rFonts w:hint="default" w:ascii="Times New Roman" w:hAnsi="Times New Roman" w:cs="Times New Roman"/>
          <w:highlight w:val="none"/>
          <w:u w:val="none" w:color="auto"/>
          <w:lang w:eastAsia="zh-CN"/>
        </w:rPr>
        <w:t>（</w:t>
      </w:r>
      <w:r>
        <w:rPr>
          <w:rFonts w:hint="default" w:ascii="Times New Roman" w:hAnsi="Times New Roman" w:cs="Times New Roman"/>
          <w:highlight w:val="none"/>
          <w:u w:val="none" w:color="auto"/>
          <w:lang w:val="en-US" w:eastAsia="zh-CN"/>
        </w:rPr>
        <w:t>12</w:t>
      </w:r>
      <w:r>
        <w:rPr>
          <w:rFonts w:hint="default" w:ascii="Times New Roman" w:hAnsi="Times New Roman" w:cs="Times New Roman"/>
          <w:highlight w:val="none"/>
          <w:u w:val="none" w:color="auto"/>
          <w:lang w:eastAsia="zh-CN"/>
        </w:rPr>
        <w:t>）</w:t>
      </w:r>
      <w:r>
        <w:rPr>
          <w:rFonts w:hint="default" w:ascii="Times New Roman" w:hAnsi="Times New Roman" w:cs="Times New Roman"/>
          <w:color w:val="auto"/>
          <w:highlight w:val="none"/>
          <w:u w:val="none" w:color="auto"/>
        </w:rPr>
        <w:t>《湖南省长江经济带发展负面清单实施细则（试行</w:t>
      </w:r>
      <w:r>
        <w:rPr>
          <w:rFonts w:hint="eastAsia" w:ascii="Times New Roman" w:hAnsi="Times New Roman" w:cs="Times New Roman"/>
          <w:color w:val="auto"/>
          <w:highlight w:val="none"/>
          <w:u w:val="none" w:color="auto"/>
          <w:lang w:val="en-US" w:eastAsia="zh-CN"/>
        </w:rPr>
        <w:t>2022年版</w:t>
      </w: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eastAsia="zh-CN"/>
        </w:rPr>
        <w:t>；</w:t>
      </w:r>
    </w:p>
    <w:p w14:paraId="423AA983">
      <w:pPr>
        <w:bidi w:val="0"/>
        <w:rPr>
          <w:rFonts w:hint="default" w:ascii="Times New Roman" w:hAnsi="Times New Roman" w:cs="Times New Roman"/>
          <w:highlight w:val="none"/>
          <w:u w:val="none" w:color="auto"/>
          <w:lang w:val="en-US" w:eastAsia="zh-CN"/>
        </w:rPr>
      </w:pP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13）</w:t>
      </w:r>
      <w:r>
        <w:rPr>
          <w:rFonts w:hint="default" w:ascii="Times New Roman" w:hAnsi="Times New Roman" w:cs="Times New Roman"/>
          <w:highlight w:val="none"/>
        </w:rPr>
        <w:t>《</w:t>
      </w:r>
      <w:r>
        <w:rPr>
          <w:rFonts w:hint="eastAsia" w:ascii="Times New Roman" w:hAnsi="Times New Roman" w:cs="Times New Roman"/>
          <w:highlight w:val="none"/>
          <w:lang w:val="en-US" w:eastAsia="zh-CN"/>
        </w:rPr>
        <w:t>湘阴</w:t>
      </w:r>
      <w:r>
        <w:rPr>
          <w:rFonts w:hint="default" w:ascii="Times New Roman" w:hAnsi="Times New Roman" w:cs="Times New Roman"/>
          <w:highlight w:val="none"/>
        </w:rPr>
        <w:t>高新技术产业</w:t>
      </w:r>
      <w:r>
        <w:rPr>
          <w:rFonts w:hint="eastAsia" w:ascii="Times New Roman" w:hAnsi="Times New Roman" w:cs="Times New Roman"/>
          <w:highlight w:val="none"/>
          <w:lang w:val="en-US" w:eastAsia="zh-CN"/>
        </w:rPr>
        <w:t>开发</w:t>
      </w:r>
      <w:r>
        <w:rPr>
          <w:rFonts w:hint="default" w:ascii="Times New Roman" w:hAnsi="Times New Roman" w:cs="Times New Roman"/>
          <w:highlight w:val="none"/>
        </w:rPr>
        <w:t>区调区扩区规划环境影响报告书》</w:t>
      </w:r>
      <w:r>
        <w:rPr>
          <w:rFonts w:hint="eastAsia" w:ascii="Times New Roman" w:hAnsi="Times New Roman" w:cs="Times New Roman"/>
          <w:highlight w:val="none"/>
          <w:lang w:val="en-US" w:eastAsia="zh-CN"/>
        </w:rPr>
        <w:t>及批复</w:t>
      </w:r>
      <w:r>
        <w:rPr>
          <w:rFonts w:hint="default" w:ascii="Times New Roman" w:hAnsi="Times New Roman" w:cs="Times New Roman"/>
          <w:highlight w:val="none"/>
          <w:u w:val="none" w:color="auto"/>
          <w:lang w:eastAsia="zh-CN"/>
        </w:rPr>
        <w:t>。</w:t>
      </w:r>
    </w:p>
    <w:p w14:paraId="06E1E38F">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技术导则、规范及标准</w:t>
      </w:r>
    </w:p>
    <w:p w14:paraId="1DC836DD">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（1）《建设项目环境影响评价技术导则——总纲》（HJ2.1—2016）；</w:t>
      </w:r>
    </w:p>
    <w:p w14:paraId="17B59D88">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（2）《环境影响评价技术导则——大气环境》（HJ2.2—2018）；</w:t>
      </w:r>
    </w:p>
    <w:p w14:paraId="5C302B72">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（3）《环境影响评价技术导则——地表水环境》（HJ2.3—2018）；</w:t>
      </w:r>
    </w:p>
    <w:p w14:paraId="3B431E94">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（4）《环境影响评价技术导则——地下水环境》（HJ610—2016）；</w:t>
      </w:r>
    </w:p>
    <w:p w14:paraId="1CF8ACB4">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（5）《环境影响评价技术导则——声环境》（HJ2.4—20</w:t>
      </w:r>
      <w:r>
        <w:rPr>
          <w:rFonts w:hint="default" w:ascii="Times New Roman" w:hAnsi="Times New Roman" w:cs="Times New Roman"/>
          <w:color w:val="auto"/>
          <w:highlight w:val="none"/>
          <w:u w:val="none" w:color="auto"/>
          <w:lang w:val="en-US" w:eastAsia="zh-CN"/>
        </w:rPr>
        <w:t>21</w:t>
      </w:r>
      <w:r>
        <w:rPr>
          <w:rFonts w:hint="default" w:ascii="Times New Roman" w:hAnsi="Times New Roman" w:cs="Times New Roman"/>
          <w:color w:val="auto"/>
          <w:highlight w:val="none"/>
          <w:u w:val="none" w:color="auto"/>
          <w:lang w:val="zh-CN"/>
        </w:rPr>
        <w:t>）；</w:t>
      </w:r>
    </w:p>
    <w:p w14:paraId="23566D82">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（6）《环境影响评价技术导则——生态影响》（HJ19-20</w:t>
      </w:r>
      <w:r>
        <w:rPr>
          <w:rFonts w:hint="default" w:ascii="Times New Roman" w:hAnsi="Times New Roman" w:cs="Times New Roman"/>
          <w:color w:val="auto"/>
          <w:highlight w:val="none"/>
          <w:u w:val="none" w:color="auto"/>
          <w:lang w:val="en-US" w:eastAsia="zh-CN"/>
        </w:rPr>
        <w:t>22</w:t>
      </w:r>
      <w:r>
        <w:rPr>
          <w:rFonts w:hint="default" w:ascii="Times New Roman" w:hAnsi="Times New Roman" w:cs="Times New Roman"/>
          <w:color w:val="auto"/>
          <w:highlight w:val="none"/>
          <w:u w:val="none" w:color="auto"/>
          <w:lang w:val="zh-CN"/>
        </w:rPr>
        <w:t>）；</w:t>
      </w:r>
    </w:p>
    <w:p w14:paraId="26368FB4">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cs="Times New Roman"/>
          <w:color w:val="auto"/>
          <w:highlight w:val="none"/>
          <w:u w:val="none" w:color="auto"/>
          <w:lang w:val="zh-CN"/>
        </w:rPr>
        <w:t>（7）《环境影响评价技术导则——土壤环</w:t>
      </w:r>
      <w:r>
        <w:rPr>
          <w:rFonts w:hint="default" w:ascii="Times New Roman" w:hAnsi="Times New Roman" w:eastAsia="宋体" w:cs="Times New Roman"/>
          <w:color w:val="auto"/>
          <w:highlight w:val="none"/>
          <w:u w:val="none" w:color="auto"/>
          <w:lang w:val="zh-CN"/>
        </w:rPr>
        <w:t>境（试行）》（HJ964-2018）</w:t>
      </w:r>
    </w:p>
    <w:p w14:paraId="5DF8007A">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（8）《建设项目环境风险评价技术导则》（HJ169-2018）；</w:t>
      </w:r>
    </w:p>
    <w:p w14:paraId="24C3AFD8">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（9）《建设项目危险废物环境影响评价指南》（2017年10月1日起施行）；</w:t>
      </w:r>
    </w:p>
    <w:p w14:paraId="5A342F86">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w:t>
      </w:r>
      <w:r>
        <w:rPr>
          <w:rFonts w:hint="default" w:ascii="Times New Roman" w:hAnsi="Times New Roman" w:eastAsia="宋体" w:cs="Times New Roman"/>
          <w:color w:val="auto"/>
          <w:highlight w:val="none"/>
          <w:u w:val="none" w:color="auto"/>
          <w:lang w:val="en-US" w:eastAsia="zh-CN"/>
        </w:rPr>
        <w:t>10</w:t>
      </w:r>
      <w:r>
        <w:rPr>
          <w:rFonts w:hint="default" w:ascii="Times New Roman" w:hAnsi="Times New Roman" w:eastAsia="宋体" w:cs="Times New Roman"/>
          <w:color w:val="auto"/>
          <w:highlight w:val="none"/>
          <w:u w:val="none" w:color="auto"/>
          <w:lang w:val="zh-CN"/>
        </w:rPr>
        <w:t>）《污染源源强核算技术指南准则》(HJ884-2018)；</w:t>
      </w:r>
    </w:p>
    <w:p w14:paraId="57D13D94">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w:t>
      </w:r>
      <w:r>
        <w:rPr>
          <w:rFonts w:hint="default" w:ascii="Times New Roman" w:hAnsi="Times New Roman" w:eastAsia="宋体" w:cs="Times New Roman"/>
          <w:color w:val="auto"/>
          <w:highlight w:val="none"/>
          <w:u w:val="none" w:color="auto"/>
          <w:lang w:val="en-US" w:eastAsia="zh-CN"/>
        </w:rPr>
        <w:t>11</w:t>
      </w:r>
      <w:r>
        <w:rPr>
          <w:rFonts w:hint="default" w:ascii="Times New Roman" w:hAnsi="Times New Roman" w:eastAsia="宋体" w:cs="Times New Roman"/>
          <w:color w:val="auto"/>
          <w:highlight w:val="none"/>
          <w:u w:val="none" w:color="auto"/>
          <w:lang w:val="zh-CN"/>
        </w:rPr>
        <w:t>）《排污单位自行监测技术指南</w:t>
      </w:r>
      <w:r>
        <w:rPr>
          <w:rFonts w:hint="default" w:ascii="Times New Roman" w:hAnsi="Times New Roman" w:eastAsia="宋体" w:cs="Times New Roman"/>
          <w:color w:val="auto"/>
          <w:highlight w:val="none"/>
          <w:u w:val="none" w:color="auto"/>
          <w:lang w:val="en-US" w:eastAsia="zh-CN"/>
        </w:rPr>
        <w:t xml:space="preserve"> </w:t>
      </w:r>
      <w:r>
        <w:rPr>
          <w:rFonts w:hint="default" w:ascii="Times New Roman" w:hAnsi="Times New Roman" w:eastAsia="宋体" w:cs="Times New Roman"/>
          <w:color w:val="auto"/>
          <w:highlight w:val="none"/>
          <w:u w:val="none" w:color="auto"/>
          <w:lang w:val="zh-CN"/>
        </w:rPr>
        <w:t>总则》(HJ 819-2017)；</w:t>
      </w:r>
    </w:p>
    <w:p w14:paraId="58E42073">
      <w:pPr>
        <w:ind w:firstLine="480"/>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w:t>
      </w:r>
      <w:r>
        <w:rPr>
          <w:rFonts w:hint="default" w:ascii="Times New Roman" w:hAnsi="Times New Roman" w:eastAsia="宋体" w:cs="Times New Roman"/>
          <w:color w:val="auto"/>
          <w:highlight w:val="none"/>
          <w:u w:val="none" w:color="auto"/>
          <w:lang w:val="en-US" w:eastAsia="zh-CN"/>
        </w:rPr>
        <w:t>12</w:t>
      </w:r>
      <w:r>
        <w:rPr>
          <w:rFonts w:hint="default" w:ascii="Times New Roman" w:hAnsi="Times New Roman" w:eastAsia="宋体" w:cs="Times New Roman"/>
          <w:color w:val="auto"/>
          <w:highlight w:val="none"/>
          <w:u w:val="none" w:color="auto"/>
          <w:lang w:val="zh-CN"/>
        </w:rPr>
        <w:t xml:space="preserve">）《排污许可证申请与核发技术规范 总则》（HJ </w:t>
      </w:r>
      <w:r>
        <w:rPr>
          <w:rFonts w:hint="default" w:ascii="Times New Roman" w:hAnsi="Times New Roman" w:eastAsia="宋体" w:cs="Times New Roman"/>
          <w:color w:val="auto"/>
          <w:highlight w:val="none"/>
          <w:u w:val="none" w:color="auto"/>
          <w:lang w:val="en-US" w:eastAsia="zh-CN"/>
        </w:rPr>
        <w:t>942</w:t>
      </w:r>
      <w:r>
        <w:rPr>
          <w:rFonts w:hint="default" w:ascii="Times New Roman" w:hAnsi="Times New Roman" w:eastAsia="宋体" w:cs="Times New Roman"/>
          <w:color w:val="auto"/>
          <w:highlight w:val="none"/>
          <w:u w:val="none" w:color="auto"/>
          <w:lang w:val="zh-CN"/>
        </w:rPr>
        <w:t>-201</w:t>
      </w:r>
      <w:r>
        <w:rPr>
          <w:rFonts w:hint="default" w:ascii="Times New Roman" w:hAnsi="Times New Roman" w:eastAsia="宋体" w:cs="Times New Roman"/>
          <w:color w:val="auto"/>
          <w:highlight w:val="none"/>
          <w:u w:val="none" w:color="auto"/>
          <w:lang w:val="en-US" w:eastAsia="zh-CN"/>
        </w:rPr>
        <w:t>8</w:t>
      </w:r>
      <w:r>
        <w:rPr>
          <w:rFonts w:hint="default" w:ascii="Times New Roman" w:hAnsi="Times New Roman" w:eastAsia="宋体" w:cs="Times New Roman"/>
          <w:color w:val="auto"/>
          <w:highlight w:val="none"/>
          <w:u w:val="none" w:color="auto"/>
          <w:lang w:val="zh-CN"/>
        </w:rPr>
        <w:t>）；</w:t>
      </w:r>
    </w:p>
    <w:p w14:paraId="7044DCE7">
      <w:pPr>
        <w:ind w:firstLine="480"/>
        <w:rPr>
          <w:rFonts w:hint="default" w:ascii="Times New Roman" w:hAnsi="Times New Roman" w:eastAsia="宋体" w:cs="Times New Roman"/>
          <w:color w:val="auto"/>
          <w:highlight w:val="none"/>
          <w:u w:val="none" w:color="auto"/>
          <w:lang w:val="zh-CN"/>
        </w:rPr>
      </w:pPr>
      <w:r>
        <w:rPr>
          <w:rFonts w:hint="eastAsia" w:ascii="Times New Roman" w:hAnsi="Times New Roman" w:eastAsia="宋体" w:cs="Times New Roman"/>
          <w:color w:val="auto"/>
          <w:highlight w:val="none"/>
          <w:u w:val="none" w:color="auto"/>
          <w:lang w:val="zh-CN"/>
        </w:rPr>
        <w:t>（</w:t>
      </w:r>
      <w:r>
        <w:rPr>
          <w:rFonts w:hint="eastAsia" w:ascii="Times New Roman" w:hAnsi="Times New Roman" w:eastAsia="宋体" w:cs="Times New Roman"/>
          <w:color w:val="auto"/>
          <w:highlight w:val="none"/>
          <w:u w:val="none" w:color="auto"/>
          <w:lang w:val="en-US" w:eastAsia="zh-CN"/>
        </w:rPr>
        <w:t>13）</w:t>
      </w:r>
      <w:r>
        <w:rPr>
          <w:rFonts w:hint="default" w:ascii="Times New Roman" w:hAnsi="Times New Roman" w:eastAsia="宋体" w:cs="Times New Roman"/>
          <w:color w:val="auto"/>
          <w:highlight w:val="none"/>
          <w:u w:val="none" w:color="auto"/>
          <w:lang w:val="zh-CN"/>
        </w:rPr>
        <w:t>《排污许可证申请与核发技术规范 水处理（试行）》（HJ 978-2018）；</w:t>
      </w:r>
    </w:p>
    <w:p w14:paraId="416E787C">
      <w:pPr>
        <w:ind w:firstLine="480"/>
        <w:rPr>
          <w:rFonts w:hint="default" w:ascii="Times New Roman" w:hAnsi="Times New Roman" w:eastAsia="宋体" w:cs="Times New Roman"/>
          <w:color w:val="auto"/>
          <w:highlight w:val="none"/>
          <w:u w:val="none" w:color="auto"/>
          <w:lang w:val="zh-CN"/>
        </w:rPr>
      </w:pPr>
      <w:r>
        <w:rPr>
          <w:rFonts w:hint="eastAsia" w:ascii="Times New Roman" w:hAnsi="Times New Roman" w:eastAsia="宋体" w:cs="Times New Roman"/>
          <w:color w:val="auto"/>
          <w:highlight w:val="none"/>
          <w:u w:val="none" w:color="auto"/>
          <w:lang w:val="zh-CN"/>
        </w:rPr>
        <w:t>（</w:t>
      </w:r>
      <w:r>
        <w:rPr>
          <w:rFonts w:hint="eastAsia" w:ascii="Times New Roman" w:hAnsi="Times New Roman" w:eastAsia="宋体" w:cs="Times New Roman"/>
          <w:color w:val="auto"/>
          <w:highlight w:val="none"/>
          <w:u w:val="none" w:color="auto"/>
          <w:lang w:val="en-US" w:eastAsia="zh-CN"/>
        </w:rPr>
        <w:t>14）</w:t>
      </w:r>
      <w:r>
        <w:rPr>
          <w:rFonts w:hint="default" w:ascii="Times New Roman" w:hAnsi="Times New Roman" w:eastAsia="宋体" w:cs="Times New Roman"/>
          <w:color w:val="auto"/>
          <w:highlight w:val="none"/>
          <w:u w:val="none" w:color="auto"/>
          <w:lang w:val="zh-CN"/>
        </w:rPr>
        <w:t>《城镇污水处理厂运行监督管理技术规范》（HJ2038-2014）；</w:t>
      </w:r>
    </w:p>
    <w:p w14:paraId="6F77969F">
      <w:pPr>
        <w:ind w:firstLine="480"/>
        <w:rPr>
          <w:rFonts w:hint="default" w:ascii="Times New Roman" w:hAnsi="Times New Roman" w:eastAsia="宋体" w:cs="Times New Roman"/>
          <w:color w:val="auto"/>
          <w:highlight w:val="none"/>
          <w:u w:val="none" w:color="auto"/>
          <w:lang w:val="zh-CN"/>
        </w:rPr>
      </w:pPr>
      <w:r>
        <w:rPr>
          <w:rFonts w:hint="eastAsia" w:ascii="Times New Roman" w:hAnsi="Times New Roman" w:eastAsia="宋体" w:cs="Times New Roman"/>
          <w:color w:val="auto"/>
          <w:highlight w:val="none"/>
          <w:u w:val="none" w:color="auto"/>
          <w:lang w:val="zh-CN"/>
        </w:rPr>
        <w:t>（</w:t>
      </w:r>
      <w:r>
        <w:rPr>
          <w:rFonts w:hint="eastAsia" w:ascii="Times New Roman" w:hAnsi="Times New Roman" w:eastAsia="宋体" w:cs="Times New Roman"/>
          <w:color w:val="auto"/>
          <w:highlight w:val="none"/>
          <w:u w:val="none" w:color="auto"/>
          <w:lang w:val="en-US" w:eastAsia="zh-CN"/>
        </w:rPr>
        <w:t>15）</w:t>
      </w:r>
      <w:r>
        <w:rPr>
          <w:rFonts w:hint="default" w:ascii="Times New Roman" w:hAnsi="Times New Roman" w:eastAsia="宋体" w:cs="Times New Roman"/>
          <w:color w:val="auto"/>
          <w:highlight w:val="none"/>
          <w:u w:val="none" w:color="auto"/>
          <w:lang w:val="zh-CN"/>
        </w:rPr>
        <w:t>《排污单位自行监测技术指南 水处理》（HJ1083-2020）。</w:t>
      </w:r>
    </w:p>
    <w:p w14:paraId="7F2C8D5B">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其他相关技术文件</w:t>
      </w:r>
    </w:p>
    <w:p w14:paraId="4E88922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（1）本项目环评委托书；</w:t>
      </w:r>
    </w:p>
    <w:p w14:paraId="5F538EF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）建设单位提供的其他相关资料；</w:t>
      </w:r>
    </w:p>
    <w:p w14:paraId="3037C56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）环境质量现状监测报告及质量保证单。</w:t>
      </w:r>
    </w:p>
    <w:p w14:paraId="1AC25B19">
      <w:pPr>
        <w:pStyle w:val="5"/>
        <w:rPr>
          <w:rFonts w:hint="default" w:ascii="Times New Roman" w:hAnsi="Times New Roman" w:cs="Times New Roman"/>
          <w:color w:val="auto"/>
          <w:highlight w:val="none"/>
          <w:u w:val="none" w:color="auto"/>
        </w:rPr>
      </w:pPr>
      <w:bookmarkStart w:id="49" w:name="_Toc27927"/>
      <w:bookmarkStart w:id="50" w:name="_Toc32689"/>
      <w:bookmarkStart w:id="51" w:name="_Toc6834"/>
      <w:r>
        <w:rPr>
          <w:rFonts w:hint="default" w:ascii="Times New Roman" w:hAnsi="Times New Roman" w:cs="Times New Roman"/>
          <w:color w:val="auto"/>
          <w:highlight w:val="none"/>
          <w:u w:val="none" w:color="auto"/>
        </w:rPr>
        <w:t>环境影响识别与评价因子</w:t>
      </w:r>
      <w:bookmarkEnd w:id="49"/>
      <w:bookmarkEnd w:id="50"/>
      <w:bookmarkEnd w:id="51"/>
    </w:p>
    <w:p w14:paraId="137BD1D6">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环境影响识别</w:t>
      </w:r>
    </w:p>
    <w:p w14:paraId="0609D4B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根据项目建设特征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项目区域环境现状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评价识别出项目建设影响的主要环境要素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详见表2.2-1。</w:t>
      </w:r>
    </w:p>
    <w:p w14:paraId="75DC4EFC">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表2.2-1   环境要素识别</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356"/>
        <w:gridCol w:w="962"/>
        <w:gridCol w:w="851"/>
        <w:gridCol w:w="881"/>
        <w:gridCol w:w="866"/>
        <w:gridCol w:w="632"/>
        <w:gridCol w:w="660"/>
        <w:gridCol w:w="646"/>
        <w:gridCol w:w="838"/>
        <w:gridCol w:w="838"/>
        <w:gridCol w:w="831"/>
      </w:tblGrid>
      <w:tr w14:paraId="524960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439" w:type="dxa"/>
            <w:gridSpan w:val="2"/>
            <w:vMerge w:val="restart"/>
            <w:vAlign w:val="center"/>
          </w:tcPr>
          <w:p w14:paraId="4233E3F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时段</w:t>
            </w:r>
          </w:p>
        </w:tc>
        <w:tc>
          <w:tcPr>
            <w:tcW w:w="3525" w:type="dxa"/>
            <w:gridSpan w:val="4"/>
            <w:vAlign w:val="center"/>
          </w:tcPr>
          <w:p w14:paraId="3C0A40A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自然环境</w:t>
            </w:r>
          </w:p>
        </w:tc>
        <w:tc>
          <w:tcPr>
            <w:tcW w:w="1425" w:type="dxa"/>
            <w:gridSpan w:val="2"/>
            <w:vAlign w:val="center"/>
          </w:tcPr>
          <w:p w14:paraId="4E3FA76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生态环境</w:t>
            </w:r>
          </w:p>
        </w:tc>
        <w:tc>
          <w:tcPr>
            <w:tcW w:w="2737" w:type="dxa"/>
            <w:gridSpan w:val="3"/>
            <w:vAlign w:val="center"/>
          </w:tcPr>
          <w:p w14:paraId="50ECCD6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生活质量</w:t>
            </w:r>
          </w:p>
        </w:tc>
      </w:tr>
      <w:tr w14:paraId="500C10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39" w:type="dxa"/>
            <w:gridSpan w:val="2"/>
            <w:vMerge w:val="continue"/>
            <w:vAlign w:val="center"/>
          </w:tcPr>
          <w:p w14:paraId="579474A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29" w:type="dxa"/>
            <w:vAlign w:val="center"/>
          </w:tcPr>
          <w:p w14:paraId="185D747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地面水质</w:t>
            </w:r>
          </w:p>
        </w:tc>
        <w:tc>
          <w:tcPr>
            <w:tcW w:w="961" w:type="dxa"/>
            <w:vAlign w:val="center"/>
          </w:tcPr>
          <w:p w14:paraId="193E89BF">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大气质量</w:t>
            </w:r>
          </w:p>
        </w:tc>
        <w:tc>
          <w:tcPr>
            <w:tcW w:w="945" w:type="dxa"/>
            <w:vAlign w:val="center"/>
          </w:tcPr>
          <w:p w14:paraId="7A28B4B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地下水质</w:t>
            </w:r>
          </w:p>
        </w:tc>
        <w:tc>
          <w:tcPr>
            <w:tcW w:w="690" w:type="dxa"/>
            <w:vAlign w:val="center"/>
          </w:tcPr>
          <w:p w14:paraId="49F1286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声环境</w:t>
            </w:r>
          </w:p>
        </w:tc>
        <w:tc>
          <w:tcPr>
            <w:tcW w:w="720" w:type="dxa"/>
            <w:vAlign w:val="center"/>
          </w:tcPr>
          <w:p w14:paraId="1DB95C7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植被</w:t>
            </w:r>
          </w:p>
        </w:tc>
        <w:tc>
          <w:tcPr>
            <w:tcW w:w="705" w:type="dxa"/>
            <w:vAlign w:val="center"/>
          </w:tcPr>
          <w:p w14:paraId="496A052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景观</w:t>
            </w:r>
          </w:p>
        </w:tc>
        <w:tc>
          <w:tcPr>
            <w:tcW w:w="915" w:type="dxa"/>
            <w:vAlign w:val="center"/>
          </w:tcPr>
          <w:p w14:paraId="1C1E2835">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人口就业</w:t>
            </w:r>
          </w:p>
        </w:tc>
        <w:tc>
          <w:tcPr>
            <w:tcW w:w="915" w:type="dxa"/>
            <w:vAlign w:val="center"/>
          </w:tcPr>
          <w:p w14:paraId="20301DC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公众健康</w:t>
            </w:r>
          </w:p>
        </w:tc>
        <w:tc>
          <w:tcPr>
            <w:tcW w:w="907" w:type="dxa"/>
            <w:vAlign w:val="center"/>
          </w:tcPr>
          <w:p w14:paraId="30B3B74F">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生活水平</w:t>
            </w:r>
          </w:p>
        </w:tc>
      </w:tr>
      <w:tr w14:paraId="5D8555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restart"/>
            <w:vAlign w:val="center"/>
          </w:tcPr>
          <w:p w14:paraId="3351A05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施工期</w:t>
            </w:r>
          </w:p>
        </w:tc>
        <w:tc>
          <w:tcPr>
            <w:tcW w:w="1050" w:type="dxa"/>
            <w:vAlign w:val="center"/>
          </w:tcPr>
          <w:p w14:paraId="02B0DD4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挖填土方</w:t>
            </w:r>
          </w:p>
        </w:tc>
        <w:tc>
          <w:tcPr>
            <w:tcW w:w="929" w:type="dxa"/>
            <w:vAlign w:val="center"/>
          </w:tcPr>
          <w:p w14:paraId="5AA6E92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088077F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45" w:type="dxa"/>
            <w:vAlign w:val="center"/>
          </w:tcPr>
          <w:p w14:paraId="14C4375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14A959B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720" w:type="dxa"/>
            <w:vAlign w:val="center"/>
          </w:tcPr>
          <w:p w14:paraId="06016BC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705" w:type="dxa"/>
            <w:vAlign w:val="center"/>
          </w:tcPr>
          <w:p w14:paraId="3AD4B1B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6CFD159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340D562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07" w:type="dxa"/>
            <w:vAlign w:val="center"/>
          </w:tcPr>
          <w:p w14:paraId="0ABA5A92">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397523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12E2473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5F0F713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材料堆存</w:t>
            </w:r>
          </w:p>
        </w:tc>
        <w:tc>
          <w:tcPr>
            <w:tcW w:w="929" w:type="dxa"/>
            <w:vAlign w:val="center"/>
          </w:tcPr>
          <w:p w14:paraId="612C5E6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2E863F6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45" w:type="dxa"/>
            <w:vAlign w:val="center"/>
          </w:tcPr>
          <w:p w14:paraId="7FD375E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45FE74D4">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20" w:type="dxa"/>
            <w:vAlign w:val="center"/>
          </w:tcPr>
          <w:p w14:paraId="492AA4B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09EDBDF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7CFE4C8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05F5475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07" w:type="dxa"/>
            <w:vAlign w:val="center"/>
          </w:tcPr>
          <w:p w14:paraId="719DE76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459AC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44FBE54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231CA77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建筑施工</w:t>
            </w:r>
          </w:p>
        </w:tc>
        <w:tc>
          <w:tcPr>
            <w:tcW w:w="929" w:type="dxa"/>
            <w:vAlign w:val="center"/>
          </w:tcPr>
          <w:p w14:paraId="17037B6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61" w:type="dxa"/>
            <w:vAlign w:val="center"/>
          </w:tcPr>
          <w:p w14:paraId="2FDC23D5">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45" w:type="dxa"/>
            <w:vAlign w:val="center"/>
          </w:tcPr>
          <w:p w14:paraId="5134944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541F074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720" w:type="dxa"/>
            <w:vAlign w:val="center"/>
          </w:tcPr>
          <w:p w14:paraId="05C601AF">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613D002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69ADB27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6B3DC402">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07" w:type="dxa"/>
            <w:vAlign w:val="center"/>
          </w:tcPr>
          <w:p w14:paraId="3860F06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7E972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2F7061C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45450F7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物品运输</w:t>
            </w:r>
          </w:p>
        </w:tc>
        <w:tc>
          <w:tcPr>
            <w:tcW w:w="929" w:type="dxa"/>
            <w:vAlign w:val="center"/>
          </w:tcPr>
          <w:p w14:paraId="30BDA1C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4E20CAB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45" w:type="dxa"/>
            <w:vAlign w:val="center"/>
          </w:tcPr>
          <w:p w14:paraId="3E27AD4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24F145A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720" w:type="dxa"/>
            <w:vAlign w:val="center"/>
          </w:tcPr>
          <w:p w14:paraId="6D1F01F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2A2A4CD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40ED01F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283D4AA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07" w:type="dxa"/>
            <w:vAlign w:val="center"/>
          </w:tcPr>
          <w:p w14:paraId="5302EE3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126395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restart"/>
            <w:vAlign w:val="center"/>
          </w:tcPr>
          <w:p w14:paraId="2DC4EAA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运营期</w:t>
            </w:r>
          </w:p>
        </w:tc>
        <w:tc>
          <w:tcPr>
            <w:tcW w:w="1050" w:type="dxa"/>
            <w:vAlign w:val="center"/>
          </w:tcPr>
          <w:p w14:paraId="5E150ED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物料运输</w:t>
            </w:r>
          </w:p>
        </w:tc>
        <w:tc>
          <w:tcPr>
            <w:tcW w:w="929" w:type="dxa"/>
            <w:vAlign w:val="center"/>
          </w:tcPr>
          <w:p w14:paraId="611D9F2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2E83B55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45" w:type="dxa"/>
            <w:vAlign w:val="center"/>
          </w:tcPr>
          <w:p w14:paraId="22EB3D7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22F81062">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720" w:type="dxa"/>
            <w:vAlign w:val="center"/>
          </w:tcPr>
          <w:p w14:paraId="1AE3EF6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3917707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6DCD46C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70CF4FD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07" w:type="dxa"/>
            <w:vAlign w:val="center"/>
          </w:tcPr>
          <w:p w14:paraId="6375F50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63ACE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89" w:type="dxa"/>
            <w:vMerge w:val="continue"/>
            <w:vAlign w:val="center"/>
          </w:tcPr>
          <w:p w14:paraId="5F5F5EE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2E6ED34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产品生产</w:t>
            </w:r>
          </w:p>
        </w:tc>
        <w:tc>
          <w:tcPr>
            <w:tcW w:w="929" w:type="dxa"/>
            <w:vAlign w:val="center"/>
          </w:tcPr>
          <w:p w14:paraId="3DF7808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5223AD2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45" w:type="dxa"/>
            <w:vAlign w:val="center"/>
          </w:tcPr>
          <w:p w14:paraId="29F4B01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31E8596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20" w:type="dxa"/>
            <w:vAlign w:val="center"/>
          </w:tcPr>
          <w:p w14:paraId="0C3D1945">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0391555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3135AEC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15" w:type="dxa"/>
            <w:vAlign w:val="center"/>
          </w:tcPr>
          <w:p w14:paraId="7B5A786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07" w:type="dxa"/>
            <w:vAlign w:val="center"/>
          </w:tcPr>
          <w:p w14:paraId="72CE9CD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r>
      <w:tr w14:paraId="4A87A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3B99D91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7703BCC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废气排放</w:t>
            </w:r>
          </w:p>
        </w:tc>
        <w:tc>
          <w:tcPr>
            <w:tcW w:w="929" w:type="dxa"/>
            <w:vAlign w:val="center"/>
          </w:tcPr>
          <w:p w14:paraId="0327018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5EDB097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45" w:type="dxa"/>
            <w:vAlign w:val="center"/>
          </w:tcPr>
          <w:p w14:paraId="2AF24ED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3655017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20" w:type="dxa"/>
            <w:vAlign w:val="center"/>
          </w:tcPr>
          <w:p w14:paraId="5BF9D2E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705" w:type="dxa"/>
            <w:vAlign w:val="center"/>
          </w:tcPr>
          <w:p w14:paraId="4A103A4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33D8145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3B8F31A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07" w:type="dxa"/>
            <w:vAlign w:val="center"/>
          </w:tcPr>
          <w:p w14:paraId="2AF121F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7A3D25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117C95A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74D75E92">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废水排放</w:t>
            </w:r>
          </w:p>
        </w:tc>
        <w:tc>
          <w:tcPr>
            <w:tcW w:w="929" w:type="dxa"/>
            <w:vAlign w:val="center"/>
          </w:tcPr>
          <w:p w14:paraId="2051C6FE">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61" w:type="dxa"/>
            <w:vAlign w:val="center"/>
          </w:tcPr>
          <w:p w14:paraId="5E8B338F">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45" w:type="dxa"/>
            <w:vAlign w:val="center"/>
          </w:tcPr>
          <w:p w14:paraId="4B072F0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5ADF021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20" w:type="dxa"/>
            <w:vAlign w:val="center"/>
          </w:tcPr>
          <w:p w14:paraId="2AA9E6F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705" w:type="dxa"/>
            <w:vAlign w:val="center"/>
          </w:tcPr>
          <w:p w14:paraId="2AF390B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200C914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374DAC2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07" w:type="dxa"/>
            <w:vAlign w:val="center"/>
          </w:tcPr>
          <w:p w14:paraId="5FF657A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2CCA5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vAlign w:val="center"/>
          </w:tcPr>
          <w:p w14:paraId="72D0419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7967943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设备噪声</w:t>
            </w:r>
          </w:p>
        </w:tc>
        <w:tc>
          <w:tcPr>
            <w:tcW w:w="929" w:type="dxa"/>
            <w:vAlign w:val="center"/>
          </w:tcPr>
          <w:p w14:paraId="7C3673E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61" w:type="dxa"/>
            <w:vAlign w:val="center"/>
          </w:tcPr>
          <w:p w14:paraId="0908353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45" w:type="dxa"/>
            <w:vAlign w:val="center"/>
          </w:tcPr>
          <w:p w14:paraId="7BC52B2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690" w:type="dxa"/>
            <w:vAlign w:val="center"/>
          </w:tcPr>
          <w:p w14:paraId="69D5A1F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720" w:type="dxa"/>
            <w:vAlign w:val="center"/>
          </w:tcPr>
          <w:p w14:paraId="2B98212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6AC29B8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2D65B8A5">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5F111ADB">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-1△</w:t>
            </w:r>
          </w:p>
        </w:tc>
        <w:tc>
          <w:tcPr>
            <w:tcW w:w="907" w:type="dxa"/>
            <w:vAlign w:val="center"/>
          </w:tcPr>
          <w:p w14:paraId="2537665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582B20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89" w:type="dxa"/>
            <w:vMerge w:val="continue"/>
            <w:vAlign w:val="center"/>
          </w:tcPr>
          <w:p w14:paraId="0467D14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1050" w:type="dxa"/>
            <w:vAlign w:val="center"/>
          </w:tcPr>
          <w:p w14:paraId="5259804D">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固废堆放</w:t>
            </w:r>
          </w:p>
        </w:tc>
        <w:tc>
          <w:tcPr>
            <w:tcW w:w="929" w:type="dxa"/>
            <w:vAlign w:val="center"/>
          </w:tcPr>
          <w:p w14:paraId="63306FDC">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61" w:type="dxa"/>
            <w:vAlign w:val="center"/>
          </w:tcPr>
          <w:p w14:paraId="2C4B0E3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45" w:type="dxa"/>
            <w:vAlign w:val="center"/>
          </w:tcPr>
          <w:p w14:paraId="1B1F2368">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690" w:type="dxa"/>
            <w:vAlign w:val="center"/>
          </w:tcPr>
          <w:p w14:paraId="23B8B449">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20" w:type="dxa"/>
            <w:vAlign w:val="center"/>
          </w:tcPr>
          <w:p w14:paraId="0A691BE3">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705" w:type="dxa"/>
            <w:vAlign w:val="center"/>
          </w:tcPr>
          <w:p w14:paraId="70537E46">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15" w:type="dxa"/>
            <w:vAlign w:val="center"/>
          </w:tcPr>
          <w:p w14:paraId="6C31C87A">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c>
          <w:tcPr>
            <w:tcW w:w="915" w:type="dxa"/>
            <w:vAlign w:val="center"/>
          </w:tcPr>
          <w:p w14:paraId="29B20D71">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-0△</w:t>
            </w:r>
          </w:p>
        </w:tc>
        <w:tc>
          <w:tcPr>
            <w:tcW w:w="907" w:type="dxa"/>
            <w:vAlign w:val="center"/>
          </w:tcPr>
          <w:p w14:paraId="371521F0">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p>
        </w:tc>
      </w:tr>
      <w:tr w14:paraId="513CE1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126" w:type="dxa"/>
            <w:gridSpan w:val="11"/>
            <w:vAlign w:val="center"/>
          </w:tcPr>
          <w:p w14:paraId="0D371267">
            <w:pPr>
              <w:pStyle w:val="43"/>
              <w:keepNext w:val="0"/>
              <w:keepLines w:val="0"/>
              <w:suppressLineNumbers w:val="0"/>
              <w:spacing w:before="0" w:beforeAutospacing="0" w:after="0" w:afterAutospacing="0"/>
              <w:ind w:left="0" w:right="0" w:rightChars="0" w:firstLine="0" w:firstLineChars="0"/>
              <w:rPr>
                <w:rFonts w:hint="default" w:ascii="Times New Roman" w:hAnsi="Times New Roman" w:cs="Times New Roman"/>
                <w:kern w:val="2"/>
                <w:szCs w:val="24"/>
                <w:highlight w:val="none"/>
                <w:u w:val="none" w:color="auto"/>
              </w:rPr>
            </w:pPr>
            <w:r>
              <w:rPr>
                <w:rFonts w:hint="default" w:ascii="Times New Roman" w:hAnsi="Times New Roman" w:cs="Times New Roman"/>
                <w:color w:val="auto"/>
                <w:kern w:val="2"/>
                <w:szCs w:val="24"/>
                <w:highlight w:val="none"/>
              </w:rPr>
              <w:t>注：表中</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表示负效益</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表示正效益；</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0</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表示短期影响</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1</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表示长期影响；</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表示影响轻微</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表示影响一般</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kern w:val="2"/>
                <w:szCs w:val="24"/>
                <w:highlight w:val="none"/>
                <w:lang w:eastAsia="zh-CN"/>
              </w:rPr>
              <w:t>”</w:t>
            </w:r>
            <w:r>
              <w:rPr>
                <w:rFonts w:hint="default" w:ascii="Times New Roman" w:hAnsi="Times New Roman" w:cs="Times New Roman"/>
                <w:color w:val="auto"/>
                <w:kern w:val="2"/>
                <w:szCs w:val="24"/>
                <w:highlight w:val="none"/>
              </w:rPr>
              <w:t>表示影响较重</w:t>
            </w:r>
          </w:p>
        </w:tc>
      </w:tr>
    </w:tbl>
    <w:p w14:paraId="17ABA83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由表2.2-1可见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本项目对环境产生不利影响环境要素主要有：地表水、地下水、环境空气、声环境、土壤环境。</w:t>
      </w:r>
    </w:p>
    <w:p w14:paraId="703168EC">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评价因子</w:t>
      </w:r>
    </w:p>
    <w:p w14:paraId="58AAC23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根据环境影响要素的初步识别结果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结合各生产环节的排污特征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及排放污染物对环境危害的性质</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对所识别的环境影响要素作进一步分析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筛选出本工程评价因子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详见表2.2-2。</w:t>
      </w:r>
    </w:p>
    <w:p w14:paraId="773F2BC4">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表2.2-2  环境影响因子识别表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830"/>
        <w:gridCol w:w="1687"/>
        <w:gridCol w:w="1014"/>
        <w:gridCol w:w="1065"/>
        <w:gridCol w:w="991"/>
        <w:gridCol w:w="1059"/>
        <w:gridCol w:w="1093"/>
      </w:tblGrid>
      <w:tr w14:paraId="6B4C42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6" w:type="pct"/>
            <w:vMerge w:val="restart"/>
            <w:noWrap w:val="0"/>
            <w:vAlign w:val="center"/>
          </w:tcPr>
          <w:p w14:paraId="3B78906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时段</w:t>
            </w:r>
          </w:p>
        </w:tc>
        <w:tc>
          <w:tcPr>
            <w:tcW w:w="4533" w:type="pct"/>
            <w:gridSpan w:val="7"/>
            <w:noWrap w:val="0"/>
            <w:vAlign w:val="center"/>
          </w:tcPr>
          <w:p w14:paraId="491FF83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主要污染物</w:t>
            </w:r>
          </w:p>
        </w:tc>
      </w:tr>
      <w:tr w14:paraId="4EF9CF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6" w:type="pct"/>
            <w:vMerge w:val="continue"/>
            <w:noWrap w:val="0"/>
            <w:vAlign w:val="center"/>
          </w:tcPr>
          <w:p w14:paraId="4DCBB09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p>
        </w:tc>
        <w:tc>
          <w:tcPr>
            <w:tcW w:w="495" w:type="pct"/>
            <w:noWrap w:val="0"/>
            <w:vAlign w:val="center"/>
          </w:tcPr>
          <w:p w14:paraId="4C00381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大气环境</w:t>
            </w:r>
          </w:p>
        </w:tc>
        <w:tc>
          <w:tcPr>
            <w:tcW w:w="998" w:type="pct"/>
            <w:noWrap w:val="0"/>
            <w:vAlign w:val="center"/>
          </w:tcPr>
          <w:p w14:paraId="07CEBA4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水环境</w:t>
            </w:r>
          </w:p>
        </w:tc>
        <w:tc>
          <w:tcPr>
            <w:tcW w:w="603" w:type="pct"/>
            <w:noWrap w:val="0"/>
            <w:vAlign w:val="center"/>
          </w:tcPr>
          <w:p w14:paraId="269760F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声环境</w:t>
            </w:r>
          </w:p>
        </w:tc>
        <w:tc>
          <w:tcPr>
            <w:tcW w:w="633" w:type="pct"/>
            <w:noWrap w:val="0"/>
            <w:vAlign w:val="center"/>
          </w:tcPr>
          <w:p w14:paraId="5E4180D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固废</w:t>
            </w:r>
          </w:p>
        </w:tc>
        <w:tc>
          <w:tcPr>
            <w:tcW w:w="589" w:type="pct"/>
            <w:noWrap w:val="0"/>
            <w:vAlign w:val="center"/>
          </w:tcPr>
          <w:p w14:paraId="414CE5F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土壤</w:t>
            </w:r>
          </w:p>
        </w:tc>
        <w:tc>
          <w:tcPr>
            <w:tcW w:w="566" w:type="pct"/>
            <w:noWrap w:val="0"/>
            <w:vAlign w:val="center"/>
          </w:tcPr>
          <w:p w14:paraId="300633C4">
            <w:pPr>
              <w:pStyle w:val="43"/>
              <w:keepNext w:val="0"/>
              <w:keepLines w:val="0"/>
              <w:widowControl/>
              <w:suppressLineNumbers w:val="0"/>
              <w:spacing w:before="0" w:beforeAutospacing="0" w:after="0" w:afterAutospacing="0"/>
              <w:ind w:left="0"/>
              <w:rPr>
                <w:rFonts w:hint="eastAsia" w:ascii="Times New Roman" w:hAnsi="Times New Roman" w:eastAsia="宋体" w:cs="Times New Roman"/>
                <w:color w:val="auto"/>
                <w:kern w:val="2"/>
                <w:szCs w:val="24"/>
                <w:highlight w:val="none"/>
                <w:u w:val="none" w:color="auto"/>
                <w:lang w:val="en-US" w:eastAsia="zh-CN"/>
              </w:rPr>
            </w:pPr>
            <w:r>
              <w:rPr>
                <w:rFonts w:hint="eastAsia" w:cs="Times New Roman"/>
                <w:color w:val="auto"/>
                <w:kern w:val="2"/>
                <w:szCs w:val="24"/>
                <w:highlight w:val="none"/>
                <w:u w:val="none" w:color="auto"/>
                <w:lang w:val="en-US" w:eastAsia="zh-CN"/>
              </w:rPr>
              <w:t>地下水</w:t>
            </w:r>
          </w:p>
        </w:tc>
        <w:tc>
          <w:tcPr>
            <w:tcW w:w="646" w:type="pct"/>
            <w:noWrap w:val="0"/>
            <w:vAlign w:val="center"/>
          </w:tcPr>
          <w:p w14:paraId="155B470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生态</w:t>
            </w:r>
          </w:p>
        </w:tc>
      </w:tr>
      <w:tr w14:paraId="7127D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6" w:type="pct"/>
            <w:noWrap w:val="0"/>
            <w:vAlign w:val="center"/>
          </w:tcPr>
          <w:p w14:paraId="1934056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施工期</w:t>
            </w:r>
          </w:p>
        </w:tc>
        <w:tc>
          <w:tcPr>
            <w:tcW w:w="495" w:type="pct"/>
            <w:noWrap w:val="0"/>
            <w:vAlign w:val="center"/>
          </w:tcPr>
          <w:p w14:paraId="7A5F5ECF">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cs="Times New Roman"/>
                <w:color w:val="auto"/>
                <w:kern w:val="2"/>
                <w:szCs w:val="24"/>
                <w:highlight w:val="none"/>
                <w:u w:val="none" w:color="auto"/>
              </w:rPr>
            </w:pPr>
            <w:r>
              <w:rPr>
                <w:rFonts w:hint="default" w:ascii="Times New Roman" w:hAnsi="Times New Roman" w:cs="Times New Roman"/>
                <w:kern w:val="2"/>
                <w:szCs w:val="24"/>
                <w:highlight w:val="none"/>
              </w:rPr>
              <w:t>TSP</w:t>
            </w:r>
          </w:p>
        </w:tc>
        <w:tc>
          <w:tcPr>
            <w:tcW w:w="998" w:type="pct"/>
            <w:noWrap w:val="0"/>
            <w:vAlign w:val="center"/>
          </w:tcPr>
          <w:p w14:paraId="47B7DEEC">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cs="Times New Roman"/>
                <w:color w:val="auto"/>
                <w:kern w:val="2"/>
                <w:szCs w:val="24"/>
                <w:highlight w:val="none"/>
                <w:u w:val="none" w:color="auto"/>
              </w:rPr>
            </w:pPr>
            <w:r>
              <w:rPr>
                <w:rFonts w:hint="eastAsia" w:cs="Times New Roman"/>
                <w:kern w:val="2"/>
                <w:szCs w:val="24"/>
                <w:highlight w:val="none"/>
                <w:lang w:eastAsia="zh-CN"/>
              </w:rPr>
              <w:t>COD</w:t>
            </w:r>
            <w:r>
              <w:rPr>
                <w:rFonts w:hint="eastAsia" w:cs="Times New Roman"/>
                <w:kern w:val="2"/>
                <w:szCs w:val="24"/>
                <w:highlight w:val="none"/>
                <w:vertAlign w:val="subscript"/>
                <w:lang w:eastAsia="zh-CN"/>
              </w:rPr>
              <w:t>cr</w:t>
            </w:r>
            <w:r>
              <w:rPr>
                <w:rFonts w:hint="default" w:ascii="Times New Roman" w:hAnsi="Times New Roman" w:cs="Times New Roman"/>
                <w:kern w:val="2"/>
                <w:szCs w:val="24"/>
                <w:highlight w:val="none"/>
              </w:rPr>
              <w:t>、</w:t>
            </w:r>
            <w:r>
              <w:rPr>
                <w:rFonts w:hint="eastAsia" w:cs="Times New Roman"/>
                <w:kern w:val="2"/>
                <w:szCs w:val="24"/>
                <w:highlight w:val="none"/>
                <w:lang w:eastAsia="zh-CN"/>
              </w:rPr>
              <w:t>BOD</w:t>
            </w:r>
            <w:r>
              <w:rPr>
                <w:rFonts w:hint="eastAsia" w:cs="Times New Roman"/>
                <w:kern w:val="2"/>
                <w:szCs w:val="24"/>
                <w:highlight w:val="none"/>
                <w:vertAlign w:val="subscript"/>
                <w:lang w:eastAsia="zh-CN"/>
              </w:rPr>
              <w:t>5</w:t>
            </w:r>
            <w:r>
              <w:rPr>
                <w:rFonts w:hint="default" w:ascii="Times New Roman" w:hAnsi="Times New Roman" w:cs="Times New Roman"/>
                <w:kern w:val="2"/>
                <w:szCs w:val="24"/>
                <w:highlight w:val="none"/>
              </w:rPr>
              <w:t>、</w:t>
            </w:r>
            <w:r>
              <w:rPr>
                <w:rFonts w:hint="eastAsia" w:cs="Times New Roman"/>
                <w:kern w:val="2"/>
                <w:szCs w:val="24"/>
                <w:highlight w:val="none"/>
                <w:lang w:eastAsia="zh-CN"/>
              </w:rPr>
              <w:t>NH</w:t>
            </w:r>
            <w:r>
              <w:rPr>
                <w:rFonts w:hint="eastAsia" w:cs="Times New Roman"/>
                <w:kern w:val="2"/>
                <w:szCs w:val="24"/>
                <w:highlight w:val="none"/>
                <w:vertAlign w:val="subscript"/>
                <w:lang w:eastAsia="zh-CN"/>
              </w:rPr>
              <w:t>3</w:t>
            </w:r>
            <w:r>
              <w:rPr>
                <w:rFonts w:hint="default" w:ascii="Times New Roman" w:hAnsi="Times New Roman" w:cs="Times New Roman"/>
                <w:kern w:val="2"/>
                <w:szCs w:val="24"/>
                <w:highlight w:val="none"/>
              </w:rPr>
              <w:t>-N、SS、石油类</w:t>
            </w:r>
          </w:p>
        </w:tc>
        <w:tc>
          <w:tcPr>
            <w:tcW w:w="603" w:type="pct"/>
            <w:noWrap w:val="0"/>
            <w:vAlign w:val="center"/>
          </w:tcPr>
          <w:p w14:paraId="76331872">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cs="Times New Roman"/>
                <w:color w:val="auto"/>
                <w:kern w:val="2"/>
                <w:szCs w:val="24"/>
                <w:highlight w:val="none"/>
                <w:u w:val="none" w:color="auto"/>
              </w:rPr>
            </w:pPr>
            <w:r>
              <w:rPr>
                <w:rFonts w:hint="default" w:ascii="Times New Roman" w:hAnsi="Times New Roman" w:cs="Times New Roman"/>
                <w:kern w:val="2"/>
                <w:szCs w:val="24"/>
                <w:highlight w:val="none"/>
              </w:rPr>
              <w:t>机械噪声</w:t>
            </w:r>
          </w:p>
        </w:tc>
        <w:tc>
          <w:tcPr>
            <w:tcW w:w="633" w:type="pct"/>
            <w:noWrap w:val="0"/>
            <w:vAlign w:val="center"/>
          </w:tcPr>
          <w:p w14:paraId="3DBF3876">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cs="Times New Roman"/>
                <w:color w:val="auto"/>
                <w:kern w:val="2"/>
                <w:szCs w:val="24"/>
                <w:highlight w:val="none"/>
                <w:u w:val="none" w:color="auto"/>
              </w:rPr>
            </w:pPr>
            <w:r>
              <w:rPr>
                <w:rFonts w:hint="default" w:ascii="Times New Roman" w:hAnsi="Times New Roman" w:cs="Times New Roman"/>
                <w:kern w:val="2"/>
                <w:szCs w:val="24"/>
                <w:highlight w:val="none"/>
              </w:rPr>
              <w:t>建筑垃圾、生活垃圾</w:t>
            </w:r>
          </w:p>
        </w:tc>
        <w:tc>
          <w:tcPr>
            <w:tcW w:w="589" w:type="pct"/>
            <w:noWrap w:val="0"/>
            <w:vAlign w:val="center"/>
          </w:tcPr>
          <w:p w14:paraId="0E6941F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w:t>
            </w:r>
          </w:p>
        </w:tc>
        <w:tc>
          <w:tcPr>
            <w:tcW w:w="566" w:type="pct"/>
            <w:noWrap w:val="0"/>
            <w:vAlign w:val="center"/>
          </w:tcPr>
          <w:p w14:paraId="0DB2D9E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w:t>
            </w:r>
          </w:p>
        </w:tc>
        <w:tc>
          <w:tcPr>
            <w:tcW w:w="646" w:type="pct"/>
            <w:noWrap w:val="0"/>
            <w:vAlign w:val="center"/>
          </w:tcPr>
          <w:p w14:paraId="3DB6A17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w:t>
            </w:r>
          </w:p>
        </w:tc>
      </w:tr>
      <w:tr w14:paraId="3EB1F3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6" w:type="pct"/>
            <w:noWrap w:val="0"/>
            <w:vAlign w:val="center"/>
          </w:tcPr>
          <w:p w14:paraId="3789232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运营期</w:t>
            </w:r>
          </w:p>
        </w:tc>
        <w:tc>
          <w:tcPr>
            <w:tcW w:w="495" w:type="pct"/>
            <w:noWrap w:val="0"/>
            <w:vAlign w:val="center"/>
          </w:tcPr>
          <w:p w14:paraId="4AE675E9">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spacing w:val="-4"/>
                <w:sz w:val="20"/>
                <w:szCs w:val="20"/>
                <w:highlight w:val="none"/>
                <w:lang w:eastAsia="zh-CN"/>
              </w:rPr>
              <w:t>NH</w:t>
            </w:r>
            <w:r>
              <w:rPr>
                <w:rFonts w:hint="eastAsia" w:cs="Times New Roman"/>
                <w:color w:val="auto"/>
                <w:spacing w:val="-4"/>
                <w:sz w:val="20"/>
                <w:szCs w:val="20"/>
                <w:highlight w:val="none"/>
                <w:vertAlign w:val="subscript"/>
                <w:lang w:eastAsia="zh-CN"/>
              </w:rPr>
              <w:t>3</w:t>
            </w:r>
            <w:r>
              <w:rPr>
                <w:rFonts w:hint="default" w:ascii="宋体" w:hAnsi="宋体" w:eastAsia="宋体" w:cs="宋体"/>
                <w:color w:val="auto"/>
                <w:spacing w:val="-8"/>
                <w:sz w:val="20"/>
                <w:szCs w:val="20"/>
                <w:highlight w:val="none"/>
              </w:rPr>
              <w:t>、</w:t>
            </w:r>
            <w:r>
              <w:rPr>
                <w:rFonts w:hint="eastAsia" w:eastAsia="宋体" w:cs="Times New Roman"/>
                <w:color w:val="auto"/>
                <w:spacing w:val="-4"/>
                <w:sz w:val="20"/>
                <w:szCs w:val="20"/>
                <w:highlight w:val="none"/>
                <w:lang w:eastAsia="zh-CN"/>
              </w:rPr>
              <w:t>H</w:t>
            </w:r>
            <w:r>
              <w:rPr>
                <w:rFonts w:hint="eastAsia" w:eastAsia="宋体" w:cs="Times New Roman"/>
                <w:color w:val="auto"/>
                <w:spacing w:val="-4"/>
                <w:sz w:val="20"/>
                <w:szCs w:val="20"/>
                <w:highlight w:val="none"/>
                <w:vertAlign w:val="subscript"/>
                <w:lang w:eastAsia="zh-CN"/>
              </w:rPr>
              <w:t>2</w:t>
            </w:r>
            <w:r>
              <w:rPr>
                <w:rFonts w:hint="eastAsia" w:eastAsia="宋体" w:cs="Times New Roman"/>
                <w:color w:val="auto"/>
                <w:spacing w:val="-4"/>
                <w:sz w:val="20"/>
                <w:szCs w:val="20"/>
                <w:highlight w:val="none"/>
                <w:lang w:eastAsia="zh-CN"/>
              </w:rPr>
              <w:t>S</w:t>
            </w:r>
            <w:r>
              <w:rPr>
                <w:rFonts w:hint="default" w:ascii="Times New Roman" w:hAnsi="Times New Roman" w:cs="Times New Roman"/>
                <w:color w:val="auto"/>
                <w:kern w:val="2"/>
                <w:szCs w:val="24"/>
                <w:highlight w:val="none"/>
                <w:lang w:val="en-US" w:eastAsia="zh-CN"/>
              </w:rPr>
              <w:t>、</w:t>
            </w:r>
            <w:r>
              <w:rPr>
                <w:rFonts w:hint="eastAsia" w:cs="Times New Roman"/>
                <w:color w:val="auto"/>
                <w:kern w:val="2"/>
                <w:szCs w:val="24"/>
                <w:highlight w:val="none"/>
                <w:lang w:val="en-US" w:eastAsia="zh-CN"/>
              </w:rPr>
              <w:t>臭气浓度</w:t>
            </w:r>
          </w:p>
        </w:tc>
        <w:tc>
          <w:tcPr>
            <w:tcW w:w="998" w:type="pct"/>
            <w:noWrap w:val="0"/>
            <w:vAlign w:val="center"/>
          </w:tcPr>
          <w:p w14:paraId="1842E376">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kern w:val="2"/>
                <w:szCs w:val="24"/>
                <w:highlight w:val="none"/>
                <w:u w:val="none" w:color="auto"/>
                <w:lang w:eastAsia="zh-CN"/>
              </w:rPr>
              <w:t>COD</w:t>
            </w:r>
            <w:r>
              <w:rPr>
                <w:rFonts w:hint="eastAsia" w:cs="Times New Roman"/>
                <w:color w:val="auto"/>
                <w:kern w:val="2"/>
                <w:szCs w:val="24"/>
                <w:highlight w:val="none"/>
                <w:u w:val="none" w:color="auto"/>
                <w:vertAlign w:val="subscript"/>
                <w:lang w:eastAsia="zh-CN"/>
              </w:rPr>
              <w:t>cr</w:t>
            </w:r>
            <w:r>
              <w:rPr>
                <w:rFonts w:hint="default" w:ascii="Times New Roman" w:hAnsi="Times New Roman" w:cs="Times New Roman"/>
                <w:color w:val="auto"/>
                <w:kern w:val="2"/>
                <w:szCs w:val="24"/>
                <w:highlight w:val="none"/>
                <w:u w:val="none" w:color="auto"/>
              </w:rPr>
              <w:t>、</w:t>
            </w:r>
            <w:r>
              <w:rPr>
                <w:rFonts w:hint="eastAsia" w:cs="Times New Roman"/>
                <w:color w:val="auto"/>
                <w:kern w:val="2"/>
                <w:szCs w:val="24"/>
                <w:highlight w:val="none"/>
                <w:u w:val="none" w:color="auto"/>
                <w:lang w:eastAsia="zh-CN"/>
              </w:rPr>
              <w:t>BOD</w:t>
            </w:r>
            <w:r>
              <w:rPr>
                <w:rFonts w:hint="eastAsia" w:cs="Times New Roman"/>
                <w:color w:val="auto"/>
                <w:kern w:val="2"/>
                <w:szCs w:val="24"/>
                <w:highlight w:val="none"/>
                <w:u w:val="none" w:color="auto"/>
                <w:vertAlign w:val="subscript"/>
                <w:lang w:eastAsia="zh-CN"/>
              </w:rPr>
              <w:t>5</w:t>
            </w:r>
            <w:r>
              <w:rPr>
                <w:rFonts w:hint="default" w:ascii="Times New Roman" w:hAnsi="Times New Roman" w:cs="Times New Roman"/>
                <w:color w:val="auto"/>
                <w:kern w:val="2"/>
                <w:szCs w:val="24"/>
                <w:highlight w:val="none"/>
                <w:u w:val="none" w:color="auto"/>
              </w:rPr>
              <w:t>、SS、</w:t>
            </w:r>
            <w:r>
              <w:rPr>
                <w:rFonts w:hint="eastAsia" w:cs="Times New Roman"/>
                <w:color w:val="auto"/>
                <w:kern w:val="2"/>
                <w:szCs w:val="24"/>
                <w:highlight w:val="none"/>
                <w:u w:val="none" w:color="auto"/>
                <w:lang w:eastAsia="zh-CN"/>
              </w:rPr>
              <w:t>NH</w:t>
            </w:r>
            <w:r>
              <w:rPr>
                <w:rFonts w:hint="eastAsia" w:cs="Times New Roman"/>
                <w:color w:val="auto"/>
                <w:kern w:val="2"/>
                <w:szCs w:val="24"/>
                <w:highlight w:val="none"/>
                <w:u w:val="none" w:color="auto"/>
                <w:vertAlign w:val="subscript"/>
                <w:lang w:eastAsia="zh-CN"/>
              </w:rPr>
              <w:t>3</w:t>
            </w:r>
            <w:r>
              <w:rPr>
                <w:rFonts w:hint="default" w:ascii="Times New Roman" w:hAnsi="Times New Roman" w:cs="Times New Roman"/>
                <w:color w:val="auto"/>
                <w:kern w:val="2"/>
                <w:szCs w:val="24"/>
                <w:highlight w:val="none"/>
                <w:u w:val="none" w:color="auto"/>
              </w:rPr>
              <w:t>-N</w:t>
            </w:r>
            <w:r>
              <w:rPr>
                <w:rFonts w:hint="default" w:ascii="Times New Roman" w:hAnsi="Times New Roman" w:cs="Times New Roman"/>
                <w:color w:val="auto"/>
                <w:kern w:val="2"/>
                <w:highlight w:val="none"/>
                <w:u w:val="none" w:color="auto"/>
              </w:rPr>
              <w:t>、</w:t>
            </w:r>
            <w:r>
              <w:rPr>
                <w:rFonts w:hint="default" w:ascii="Times New Roman" w:hAnsi="Times New Roman" w:cs="Times New Roman"/>
                <w:color w:val="auto"/>
                <w:kern w:val="2"/>
                <w:highlight w:val="none"/>
                <w:u w:val="none" w:color="auto"/>
                <w:lang w:val="en-US" w:eastAsia="zh-CN"/>
              </w:rPr>
              <w:t>动植物油类、石油类</w:t>
            </w:r>
          </w:p>
        </w:tc>
        <w:tc>
          <w:tcPr>
            <w:tcW w:w="603" w:type="pct"/>
            <w:noWrap w:val="0"/>
            <w:vAlign w:val="center"/>
          </w:tcPr>
          <w:p w14:paraId="694BC006">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kern w:val="2"/>
                <w:szCs w:val="24"/>
                <w:highlight w:val="none"/>
                <w:u w:val="none" w:color="auto"/>
              </w:rPr>
              <w:t>机械噪声</w:t>
            </w:r>
          </w:p>
        </w:tc>
        <w:tc>
          <w:tcPr>
            <w:tcW w:w="633" w:type="pct"/>
            <w:noWrap w:val="0"/>
            <w:vAlign w:val="center"/>
          </w:tcPr>
          <w:p w14:paraId="42576005">
            <w:pPr>
              <w:pStyle w:val="43"/>
              <w:keepNext w:val="0"/>
              <w:keepLines w:val="0"/>
              <w:suppressLineNumbers w:val="0"/>
              <w:bidi w:val="0"/>
              <w:spacing w:before="0" w:beforeAutospacing="0" w:after="0" w:afterAutospacing="0"/>
              <w:ind w:left="0"/>
              <w:rPr>
                <w:rFonts w:hint="default"/>
                <w:lang w:val="en-US" w:eastAsia="zh-CN"/>
              </w:rPr>
            </w:pPr>
            <w:r>
              <w:rPr>
                <w:rFonts w:hint="default"/>
              </w:rPr>
              <w:t>一般工业固废、危险废物</w:t>
            </w:r>
            <w:r>
              <w:rPr>
                <w:rFonts w:hint="eastAsia"/>
                <w:lang w:eastAsia="zh-CN"/>
              </w:rPr>
              <w:t>、</w:t>
            </w:r>
            <w:r>
              <w:rPr>
                <w:rFonts w:hint="eastAsia"/>
                <w:lang w:val="en-US" w:eastAsia="zh-CN"/>
              </w:rPr>
              <w:t>生活垃圾</w:t>
            </w:r>
          </w:p>
        </w:tc>
        <w:tc>
          <w:tcPr>
            <w:tcW w:w="589" w:type="pct"/>
            <w:noWrap w:val="0"/>
            <w:vAlign w:val="center"/>
          </w:tcPr>
          <w:p w14:paraId="32E2D68D">
            <w:pPr>
              <w:pStyle w:val="43"/>
              <w:keepNext w:val="0"/>
              <w:keepLines w:val="0"/>
              <w:suppressLineNumbers w:val="0"/>
              <w:bidi w:val="0"/>
              <w:spacing w:before="0" w:beforeAutospacing="0" w:after="0" w:afterAutospacing="0"/>
              <w:ind w:left="0"/>
              <w:rPr>
                <w:rFonts w:hint="default"/>
                <w:lang w:val="en-US" w:eastAsia="zh-CN"/>
              </w:rPr>
            </w:pPr>
            <w:r>
              <w:rPr>
                <w:rFonts w:hint="eastAsia"/>
                <w:lang w:eastAsia="zh-CN"/>
              </w:rPr>
              <w:t>COD</w:t>
            </w:r>
            <w:r>
              <w:rPr>
                <w:rFonts w:hint="eastAsia"/>
                <w:vertAlign w:val="subscript"/>
                <w:lang w:eastAsia="zh-CN"/>
              </w:rPr>
              <w:t>cr</w:t>
            </w:r>
            <w:r>
              <w:rPr>
                <w:rFonts w:hint="default"/>
              </w:rPr>
              <w:t>、氨氮</w:t>
            </w:r>
          </w:p>
        </w:tc>
        <w:tc>
          <w:tcPr>
            <w:tcW w:w="566" w:type="pct"/>
            <w:noWrap w:val="0"/>
            <w:vAlign w:val="center"/>
          </w:tcPr>
          <w:p w14:paraId="633DEFF9">
            <w:pPr>
              <w:pStyle w:val="43"/>
              <w:keepNext w:val="0"/>
              <w:keepLines w:val="0"/>
              <w:suppressLineNumbers w:val="0"/>
              <w:bidi w:val="0"/>
              <w:spacing w:before="0" w:beforeAutospacing="0" w:after="0" w:afterAutospacing="0"/>
              <w:ind w:left="0"/>
              <w:rPr>
                <w:rFonts w:hint="default"/>
                <w:lang w:eastAsia="zh-CN"/>
              </w:rPr>
            </w:pPr>
            <w:r>
              <w:rPr>
                <w:rFonts w:hint="default"/>
              </w:rPr>
              <w:t>COD</w:t>
            </w:r>
            <w:r>
              <w:rPr>
                <w:rFonts w:hint="default"/>
                <w:vertAlign w:val="subscript"/>
                <w:lang w:val="pt-BR"/>
              </w:rPr>
              <w:t>Mn</w:t>
            </w:r>
            <w:r>
              <w:rPr>
                <w:rFonts w:hint="default"/>
              </w:rPr>
              <w:t>、氨氮</w:t>
            </w:r>
          </w:p>
        </w:tc>
        <w:tc>
          <w:tcPr>
            <w:tcW w:w="646" w:type="pct"/>
            <w:noWrap w:val="0"/>
            <w:vAlign w:val="center"/>
          </w:tcPr>
          <w:p w14:paraId="77615EF3">
            <w:pPr>
              <w:pStyle w:val="43"/>
              <w:keepNext w:val="0"/>
              <w:keepLines w:val="0"/>
              <w:suppressLineNumbers w:val="0"/>
              <w:bidi w:val="0"/>
              <w:spacing w:before="0" w:beforeAutospacing="0" w:after="0" w:afterAutospacing="0"/>
              <w:ind w:left="0"/>
              <w:rPr>
                <w:rFonts w:hint="default"/>
              </w:rPr>
            </w:pPr>
            <w:r>
              <w:rPr>
                <w:rFonts w:hint="default"/>
              </w:rPr>
              <w:t>--</w:t>
            </w:r>
          </w:p>
        </w:tc>
      </w:tr>
    </w:tbl>
    <w:p w14:paraId="3FDFC7A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根据项目工程污染源分析识别出的环境影响因子、建设项目所处区域的环境特征以及国家和地方有关环保标准、规定所列控制指标</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筛选出的评价因子见表2.2-3。</w:t>
      </w:r>
    </w:p>
    <w:p w14:paraId="140C9B88">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表2.2-3  评价因子筛选表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4"/>
        <w:gridCol w:w="884"/>
        <w:gridCol w:w="1148"/>
        <w:gridCol w:w="1367"/>
        <w:gridCol w:w="822"/>
        <w:gridCol w:w="948"/>
        <w:gridCol w:w="2532"/>
      </w:tblGrid>
      <w:tr w14:paraId="4D74D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noWrap w:val="0"/>
            <w:tcMar>
              <w:top w:w="0" w:type="dxa"/>
              <w:left w:w="57" w:type="dxa"/>
              <w:bottom w:w="0" w:type="dxa"/>
              <w:right w:w="57" w:type="dxa"/>
            </w:tcMar>
            <w:vAlign w:val="center"/>
          </w:tcPr>
          <w:p w14:paraId="1A42741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项目</w:t>
            </w:r>
          </w:p>
        </w:tc>
        <w:tc>
          <w:tcPr>
            <w:tcW w:w="525" w:type="pct"/>
            <w:noWrap w:val="0"/>
            <w:tcMar>
              <w:top w:w="0" w:type="dxa"/>
              <w:left w:w="57" w:type="dxa"/>
              <w:bottom w:w="0" w:type="dxa"/>
              <w:right w:w="57" w:type="dxa"/>
            </w:tcMar>
            <w:vAlign w:val="center"/>
          </w:tcPr>
          <w:p w14:paraId="1DE6EBC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大气环境</w:t>
            </w:r>
          </w:p>
        </w:tc>
        <w:tc>
          <w:tcPr>
            <w:tcW w:w="682" w:type="pct"/>
            <w:noWrap w:val="0"/>
            <w:tcMar>
              <w:top w:w="0" w:type="dxa"/>
              <w:left w:w="57" w:type="dxa"/>
              <w:bottom w:w="0" w:type="dxa"/>
              <w:right w:w="57" w:type="dxa"/>
            </w:tcMar>
            <w:vAlign w:val="center"/>
          </w:tcPr>
          <w:p w14:paraId="4FA0D05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地表水环境</w:t>
            </w:r>
          </w:p>
        </w:tc>
        <w:tc>
          <w:tcPr>
            <w:tcW w:w="812" w:type="pct"/>
            <w:noWrap w:val="0"/>
            <w:tcMar>
              <w:top w:w="0" w:type="dxa"/>
              <w:left w:w="57" w:type="dxa"/>
              <w:bottom w:w="0" w:type="dxa"/>
              <w:right w:w="57" w:type="dxa"/>
            </w:tcMar>
            <w:vAlign w:val="center"/>
          </w:tcPr>
          <w:p w14:paraId="7E3D3A7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地下水环境</w:t>
            </w:r>
          </w:p>
        </w:tc>
        <w:tc>
          <w:tcPr>
            <w:tcW w:w="488" w:type="pct"/>
            <w:noWrap w:val="0"/>
            <w:tcMar>
              <w:top w:w="0" w:type="dxa"/>
              <w:left w:w="57" w:type="dxa"/>
              <w:bottom w:w="0" w:type="dxa"/>
              <w:right w:w="57" w:type="dxa"/>
            </w:tcMar>
            <w:vAlign w:val="center"/>
          </w:tcPr>
          <w:p w14:paraId="64B6666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声环境</w:t>
            </w:r>
          </w:p>
        </w:tc>
        <w:tc>
          <w:tcPr>
            <w:tcW w:w="563" w:type="pct"/>
            <w:noWrap w:val="0"/>
            <w:tcMar>
              <w:top w:w="0" w:type="dxa"/>
              <w:left w:w="57" w:type="dxa"/>
              <w:bottom w:w="0" w:type="dxa"/>
              <w:right w:w="57" w:type="dxa"/>
            </w:tcMar>
            <w:vAlign w:val="center"/>
          </w:tcPr>
          <w:p w14:paraId="726B008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固废</w:t>
            </w:r>
          </w:p>
        </w:tc>
        <w:tc>
          <w:tcPr>
            <w:tcW w:w="1503" w:type="pct"/>
            <w:noWrap w:val="0"/>
            <w:tcMar>
              <w:top w:w="0" w:type="dxa"/>
              <w:left w:w="57" w:type="dxa"/>
              <w:bottom w:w="0" w:type="dxa"/>
              <w:right w:w="57" w:type="dxa"/>
            </w:tcMar>
            <w:vAlign w:val="center"/>
          </w:tcPr>
          <w:p w14:paraId="69E8B62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土壤</w:t>
            </w:r>
          </w:p>
        </w:tc>
      </w:tr>
      <w:tr w14:paraId="7A8EBF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noWrap w:val="0"/>
            <w:tcMar>
              <w:top w:w="0" w:type="dxa"/>
              <w:left w:w="57" w:type="dxa"/>
              <w:bottom w:w="0" w:type="dxa"/>
              <w:right w:w="57" w:type="dxa"/>
            </w:tcMar>
            <w:vAlign w:val="center"/>
          </w:tcPr>
          <w:p w14:paraId="695C08A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现状评价因子</w:t>
            </w:r>
          </w:p>
        </w:tc>
        <w:tc>
          <w:tcPr>
            <w:tcW w:w="525" w:type="pct"/>
            <w:noWrap w:val="0"/>
            <w:tcMar>
              <w:top w:w="0" w:type="dxa"/>
              <w:left w:w="57" w:type="dxa"/>
              <w:bottom w:w="0" w:type="dxa"/>
              <w:right w:w="57" w:type="dxa"/>
            </w:tcMar>
            <w:vAlign w:val="center"/>
          </w:tcPr>
          <w:p w14:paraId="373E56B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eastAsia" w:cs="Times New Roman"/>
                <w:color w:val="auto"/>
                <w:kern w:val="2"/>
                <w:szCs w:val="24"/>
                <w:highlight w:val="none"/>
                <w:u w:val="none" w:color="auto"/>
                <w:lang w:eastAsia="zh-CN"/>
              </w:rPr>
              <w:t>PM</w:t>
            </w:r>
            <w:r>
              <w:rPr>
                <w:rFonts w:hint="eastAsia" w:cs="Times New Roman"/>
                <w:color w:val="auto"/>
                <w:kern w:val="2"/>
                <w:szCs w:val="24"/>
                <w:highlight w:val="none"/>
                <w:u w:val="none" w:color="auto"/>
                <w:vertAlign w:val="subscript"/>
                <w:lang w:eastAsia="zh-CN"/>
              </w:rPr>
              <w:t>2.5</w:t>
            </w:r>
            <w:r>
              <w:rPr>
                <w:rFonts w:hint="default" w:ascii="Times New Roman" w:hAnsi="Times New Roman" w:cs="Times New Roman"/>
                <w:color w:val="auto"/>
                <w:kern w:val="2"/>
                <w:szCs w:val="24"/>
                <w:highlight w:val="none"/>
                <w:u w:val="none" w:color="auto"/>
              </w:rPr>
              <w:t>、</w:t>
            </w:r>
            <w:r>
              <w:rPr>
                <w:rFonts w:hint="eastAsia" w:cs="Times New Roman"/>
                <w:color w:val="auto"/>
                <w:kern w:val="2"/>
                <w:szCs w:val="24"/>
                <w:highlight w:val="none"/>
                <w:u w:val="none" w:color="auto"/>
                <w:lang w:eastAsia="zh-CN"/>
              </w:rPr>
              <w:t>PM</w:t>
            </w:r>
            <w:r>
              <w:rPr>
                <w:rFonts w:hint="eastAsia" w:cs="Times New Roman"/>
                <w:color w:val="auto"/>
                <w:kern w:val="2"/>
                <w:szCs w:val="24"/>
                <w:highlight w:val="none"/>
                <w:u w:val="none" w:color="auto"/>
                <w:vertAlign w:val="subscript"/>
                <w:lang w:eastAsia="zh-CN"/>
              </w:rPr>
              <w:t>10</w:t>
            </w:r>
            <w:r>
              <w:rPr>
                <w:rFonts w:hint="default" w:ascii="Times New Roman" w:hAnsi="Times New Roman" w:eastAsia="宋体" w:cs="Times New Roman"/>
                <w:color w:val="auto"/>
                <w:kern w:val="2"/>
                <w:szCs w:val="24"/>
                <w:highlight w:val="none"/>
                <w:u w:val="none" w:color="auto"/>
                <w:vertAlign w:val="baseline"/>
                <w:lang w:val="en-US" w:eastAsia="zh-CN"/>
              </w:rPr>
              <w:t>、</w:t>
            </w:r>
            <w:r>
              <w:rPr>
                <w:rFonts w:hint="default" w:ascii="Times New Roman" w:hAnsi="Times New Roman" w:cs="Times New Roman"/>
                <w:color w:val="auto"/>
                <w:kern w:val="2"/>
                <w:szCs w:val="24"/>
                <w:highlight w:val="none"/>
                <w:u w:val="none" w:color="auto"/>
              </w:rPr>
              <w:t>O</w:t>
            </w:r>
            <w:r>
              <w:rPr>
                <w:rFonts w:hint="default" w:ascii="Times New Roman" w:hAnsi="Times New Roman" w:cs="Times New Roman"/>
                <w:color w:val="auto"/>
                <w:kern w:val="2"/>
                <w:szCs w:val="24"/>
                <w:highlight w:val="none"/>
                <w:u w:val="none" w:color="auto"/>
                <w:vertAlign w:val="subscript"/>
              </w:rPr>
              <w:t>2</w:t>
            </w:r>
            <w:r>
              <w:rPr>
                <w:rFonts w:hint="default" w:ascii="Times New Roman" w:hAnsi="Times New Roman" w:cs="Times New Roman"/>
                <w:color w:val="auto"/>
                <w:kern w:val="2"/>
                <w:szCs w:val="24"/>
                <w:highlight w:val="none"/>
                <w:u w:val="none" w:color="auto"/>
              </w:rPr>
              <w:t>、</w:t>
            </w:r>
            <w:r>
              <w:rPr>
                <w:rFonts w:hint="eastAsia" w:cs="Times New Roman"/>
                <w:color w:val="auto"/>
                <w:kern w:val="2"/>
                <w:szCs w:val="24"/>
                <w:highlight w:val="none"/>
                <w:u w:val="none" w:color="auto"/>
                <w:lang w:eastAsia="zh-CN"/>
              </w:rPr>
              <w:t>NO</w:t>
            </w:r>
            <w:r>
              <w:rPr>
                <w:rFonts w:hint="eastAsia" w:cs="Times New Roman"/>
                <w:color w:val="auto"/>
                <w:kern w:val="2"/>
                <w:szCs w:val="24"/>
                <w:highlight w:val="none"/>
                <w:u w:val="none" w:color="auto"/>
                <w:vertAlign w:val="subscript"/>
                <w:lang w:eastAsia="zh-CN"/>
              </w:rPr>
              <w:t>2</w:t>
            </w:r>
            <w:r>
              <w:rPr>
                <w:rFonts w:hint="default" w:ascii="Times New Roman" w:hAnsi="Times New Roman" w:cs="Times New Roman"/>
                <w:color w:val="auto"/>
                <w:kern w:val="2"/>
                <w:szCs w:val="24"/>
                <w:highlight w:val="none"/>
                <w:u w:val="none" w:color="auto"/>
              </w:rPr>
              <w:t>、CO、O</w:t>
            </w:r>
            <w:r>
              <w:rPr>
                <w:rFonts w:hint="default" w:ascii="Times New Roman" w:hAnsi="Times New Roman" w:cs="Times New Roman"/>
                <w:color w:val="auto"/>
                <w:kern w:val="2"/>
                <w:szCs w:val="24"/>
                <w:highlight w:val="none"/>
                <w:u w:val="none" w:color="auto"/>
                <w:vertAlign w:val="subscript"/>
              </w:rPr>
              <w:t>3</w:t>
            </w:r>
            <w:r>
              <w:rPr>
                <w:rFonts w:hint="default" w:ascii="Times New Roman" w:hAnsi="Times New Roman" w:cs="Times New Roman"/>
                <w:color w:val="auto"/>
                <w:kern w:val="2"/>
                <w:szCs w:val="24"/>
                <w:highlight w:val="none"/>
                <w:u w:val="none" w:color="auto"/>
                <w:lang w:val="en-US" w:eastAsia="zh-CN"/>
              </w:rPr>
              <w:t>、</w:t>
            </w:r>
            <w:r>
              <w:rPr>
                <w:rFonts w:hint="eastAsia"/>
                <w:color w:val="auto"/>
                <w:highlight w:val="none"/>
              </w:rPr>
              <w:t>硫化氢、氨气、臭气浓度</w:t>
            </w:r>
          </w:p>
        </w:tc>
        <w:tc>
          <w:tcPr>
            <w:tcW w:w="682" w:type="pct"/>
            <w:noWrap w:val="0"/>
            <w:tcMar>
              <w:top w:w="0" w:type="dxa"/>
              <w:left w:w="57" w:type="dxa"/>
              <w:bottom w:w="0" w:type="dxa"/>
              <w:right w:w="57" w:type="dxa"/>
            </w:tcMar>
            <w:vAlign w:val="center"/>
          </w:tcPr>
          <w:p w14:paraId="1B91F7F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highlight w:val="none"/>
                <w:u w:val="none" w:color="auto"/>
              </w:rPr>
              <w:t>pH、高锰酸盐指数、COD、</w:t>
            </w:r>
            <w:r>
              <w:rPr>
                <w:rFonts w:hint="eastAsia" w:cs="Times New Roman"/>
                <w:color w:val="auto"/>
                <w:kern w:val="2"/>
                <w:highlight w:val="none"/>
                <w:u w:val="none" w:color="auto"/>
                <w:lang w:eastAsia="zh-CN"/>
              </w:rPr>
              <w:t>BOD</w:t>
            </w:r>
            <w:r>
              <w:rPr>
                <w:rFonts w:hint="eastAsia" w:cs="Times New Roman"/>
                <w:color w:val="auto"/>
                <w:kern w:val="2"/>
                <w:highlight w:val="none"/>
                <w:u w:val="none" w:color="auto"/>
                <w:vertAlign w:val="subscript"/>
                <w:lang w:eastAsia="zh-CN"/>
              </w:rPr>
              <w:t>5</w:t>
            </w:r>
            <w:r>
              <w:rPr>
                <w:rFonts w:hint="default" w:ascii="Times New Roman" w:hAnsi="Times New Roman" w:cs="Times New Roman"/>
                <w:color w:val="auto"/>
                <w:kern w:val="2"/>
                <w:highlight w:val="none"/>
                <w:u w:val="none" w:color="auto"/>
              </w:rPr>
              <w:t>、氨氮、总磷、铜</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锌</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氟化物</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硒</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砷</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汞</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镉</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六价铬</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铅</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氰化物</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挥发酚</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石油类</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阴离子表面活性剂</w:t>
            </w:r>
            <w:r>
              <w:rPr>
                <w:rFonts w:hint="default" w:ascii="Times New Roman" w:hAnsi="Times New Roman" w:cs="Times New Roman"/>
                <w:color w:val="auto"/>
                <w:kern w:val="2"/>
                <w:highlight w:val="none"/>
                <w:u w:val="none" w:color="auto"/>
                <w:lang w:eastAsia="zh-CN"/>
              </w:rPr>
              <w:t>、</w:t>
            </w:r>
            <w:r>
              <w:rPr>
                <w:rFonts w:hint="default" w:ascii="Times New Roman" w:hAnsi="Times New Roman" w:cs="Times New Roman"/>
                <w:color w:val="auto"/>
                <w:kern w:val="2"/>
                <w:highlight w:val="none"/>
                <w:u w:val="none" w:color="auto"/>
              </w:rPr>
              <w:t>硫化物</w:t>
            </w:r>
          </w:p>
        </w:tc>
        <w:tc>
          <w:tcPr>
            <w:tcW w:w="812" w:type="pct"/>
            <w:noWrap w:val="0"/>
            <w:tcMar>
              <w:top w:w="0" w:type="dxa"/>
              <w:left w:w="57" w:type="dxa"/>
              <w:bottom w:w="0" w:type="dxa"/>
              <w:right w:w="57" w:type="dxa"/>
            </w:tcMar>
            <w:vAlign w:val="center"/>
          </w:tcPr>
          <w:p w14:paraId="1C4DF70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highlight w:val="none"/>
              </w:rPr>
              <w:t>水位、K+、Na+、Ca</w:t>
            </w:r>
            <w:r>
              <w:rPr>
                <w:rFonts w:hint="default"/>
                <w:highlight w:val="none"/>
                <w:vertAlign w:val="superscript"/>
              </w:rPr>
              <w:t>2+</w:t>
            </w:r>
            <w:r>
              <w:rPr>
                <w:rFonts w:hint="default"/>
                <w:highlight w:val="none"/>
              </w:rPr>
              <w:t>、Mg</w:t>
            </w:r>
            <w:r>
              <w:rPr>
                <w:rFonts w:hint="default"/>
                <w:highlight w:val="none"/>
                <w:vertAlign w:val="superscript"/>
              </w:rPr>
              <w:t>2+</w:t>
            </w:r>
            <w:r>
              <w:rPr>
                <w:rFonts w:hint="default"/>
                <w:highlight w:val="none"/>
              </w:rPr>
              <w:t>、CO</w:t>
            </w:r>
            <w:r>
              <w:rPr>
                <w:rFonts w:hint="default"/>
                <w:highlight w:val="none"/>
                <w:vertAlign w:val="subscript"/>
              </w:rPr>
              <w:t>3</w:t>
            </w:r>
            <w:r>
              <w:rPr>
                <w:rFonts w:hint="default"/>
                <w:highlight w:val="none"/>
                <w:vertAlign w:val="superscript"/>
              </w:rPr>
              <w:t>2-</w:t>
            </w:r>
            <w:r>
              <w:rPr>
                <w:rFonts w:hint="default"/>
                <w:highlight w:val="none"/>
              </w:rPr>
              <w:t>、HCO</w:t>
            </w:r>
            <w:r>
              <w:rPr>
                <w:rFonts w:hint="default"/>
                <w:highlight w:val="none"/>
                <w:vertAlign w:val="superscript"/>
              </w:rPr>
              <w:t>3-</w:t>
            </w:r>
            <w:r>
              <w:rPr>
                <w:rFonts w:hint="default"/>
                <w:highlight w:val="none"/>
              </w:rPr>
              <w:t>、Cl</w:t>
            </w:r>
            <w:r>
              <w:rPr>
                <w:rFonts w:hint="default"/>
                <w:highlight w:val="none"/>
                <w:vertAlign w:val="superscript"/>
              </w:rPr>
              <w:t>-</w:t>
            </w:r>
            <w:r>
              <w:rPr>
                <w:rFonts w:hint="default"/>
                <w:highlight w:val="none"/>
              </w:rPr>
              <w:t>、SO</w:t>
            </w:r>
            <w:r>
              <w:rPr>
                <w:rFonts w:hint="default"/>
                <w:highlight w:val="none"/>
                <w:vertAlign w:val="subscript"/>
              </w:rPr>
              <w:t>4</w:t>
            </w:r>
            <w:r>
              <w:rPr>
                <w:rFonts w:hint="default"/>
                <w:highlight w:val="none"/>
                <w:vertAlign w:val="superscript"/>
              </w:rPr>
              <w:t>2-</w:t>
            </w:r>
            <w:r>
              <w:rPr>
                <w:rFonts w:hint="default"/>
                <w:highlight w:val="none"/>
              </w:rPr>
              <w:t>、pH、氨氮、硝酸盐、亚硝酸盐、挥发性酚类、氰化物、砷、汞、铬（六价）、总硬度、铅、氟化物、镉、铁、</w:t>
            </w:r>
            <w:r>
              <w:rPr>
                <w:rFonts w:hint="eastAsia"/>
                <w:highlight w:val="none"/>
                <w:lang w:eastAsia="zh-CN"/>
              </w:rPr>
              <w:t>锰、</w:t>
            </w:r>
            <w:r>
              <w:rPr>
                <w:rFonts w:hint="default"/>
                <w:highlight w:val="none"/>
              </w:rPr>
              <w:t>溶解性总固体、</w:t>
            </w:r>
            <w:r>
              <w:rPr>
                <w:rFonts w:hint="eastAsia"/>
                <w:highlight w:val="none"/>
                <w:lang w:eastAsia="zh-CN"/>
              </w:rPr>
              <w:t>耗氧量</w:t>
            </w:r>
            <w:r>
              <w:rPr>
                <w:rFonts w:hint="default"/>
                <w:highlight w:val="none"/>
              </w:rPr>
              <w:t>、硫酸盐、氯化物、总大肠菌群、细菌总数、硫化物</w:t>
            </w:r>
            <w:r>
              <w:rPr>
                <w:rFonts w:hint="eastAsia"/>
                <w:highlight w:val="none"/>
                <w:lang w:eastAsia="zh-CN"/>
              </w:rPr>
              <w:t>、镍、锌</w:t>
            </w:r>
          </w:p>
        </w:tc>
        <w:tc>
          <w:tcPr>
            <w:tcW w:w="488" w:type="pct"/>
            <w:noWrap w:val="0"/>
            <w:tcMar>
              <w:top w:w="0" w:type="dxa"/>
              <w:left w:w="57" w:type="dxa"/>
              <w:bottom w:w="0" w:type="dxa"/>
              <w:right w:w="57" w:type="dxa"/>
            </w:tcMar>
            <w:vAlign w:val="center"/>
          </w:tcPr>
          <w:p w14:paraId="573807F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环境噪声Leq（A）</w:t>
            </w:r>
          </w:p>
        </w:tc>
        <w:tc>
          <w:tcPr>
            <w:tcW w:w="563" w:type="pct"/>
            <w:noWrap w:val="0"/>
            <w:tcMar>
              <w:top w:w="0" w:type="dxa"/>
              <w:left w:w="57" w:type="dxa"/>
              <w:bottom w:w="0" w:type="dxa"/>
              <w:right w:w="57" w:type="dxa"/>
            </w:tcMar>
            <w:vAlign w:val="center"/>
          </w:tcPr>
          <w:p w14:paraId="06E3569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w:t>
            </w:r>
          </w:p>
        </w:tc>
        <w:tc>
          <w:tcPr>
            <w:tcW w:w="1503" w:type="pct"/>
            <w:noWrap w:val="0"/>
            <w:tcMar>
              <w:top w:w="0" w:type="dxa"/>
              <w:left w:w="57" w:type="dxa"/>
              <w:bottom w:w="0" w:type="dxa"/>
              <w:right w:w="57" w:type="dxa"/>
            </w:tcMar>
            <w:vAlign w:val="center"/>
          </w:tcPr>
          <w:p w14:paraId="626B8E8B">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szCs w:val="24"/>
                <w:highlight w:val="none"/>
                <w:u w:val="none" w:color="auto"/>
                <w:lang w:eastAsia="zh-CN"/>
              </w:rPr>
            </w:pPr>
            <w:r>
              <w:rPr>
                <w:rFonts w:hint="default" w:ascii="Times New Roman" w:hAnsi="Times New Roman" w:cs="Times New Roman"/>
                <w:color w:val="auto"/>
                <w:kern w:val="2"/>
                <w:szCs w:val="24"/>
                <w:highlight w:val="none"/>
                <w:u w:val="none" w:color="auto"/>
                <w:lang w:val="en-US" w:eastAsia="zh-CN"/>
              </w:rPr>
              <w:t>pH、</w:t>
            </w:r>
            <w:r>
              <w:rPr>
                <w:rFonts w:hint="default" w:ascii="Times New Roman" w:hAnsi="Times New Roman" w:cs="Times New Roman"/>
                <w:color w:val="auto"/>
                <w:kern w:val="2"/>
                <w:szCs w:val="24"/>
                <w:highlight w:val="none"/>
                <w:u w:val="none" w:color="auto"/>
              </w:rPr>
              <w:t>砷、镉、铜、铅、汞、镍、六价铬、四氯化碳*、氯仿*、氯甲烷*、1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1-二氯乙烷*、1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2-二氯乙烷*、1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1-二氯乙烯*、顺-1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2-二氯乙烯*、反-1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2-二氯乙烯*、二氯甲烷*、1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2-二氯丙烷*、1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2-四氯乙烷*、1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2-四氯乙烷*、四氯乙烯*、1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1-三氯乙烷*、1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2-三氯乙烷*、三氯乙烯*、1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3-三氯丙烷*、氯乙烯*、苯*、氯苯*、1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2-二氯苯*、1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4-二氯苯*、乙苯*、苯乙烯*、甲苯*、间二甲苯+对二甲苯、邻二甲苯*、硝基苯*、苯胺*、2- 氯酚*、苯并[a]蒽*、苯并[a]芘*、苯并[b]荧蒽*、苯并[k]荧蒽*、䓛*、二苯并[a</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h]蒽*、茚并[1</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2</w:t>
            </w:r>
            <w:r>
              <w:rPr>
                <w:rFonts w:hint="default" w:ascii="Times New Roman" w:hAnsi="Times New Roman" w:cs="Times New Roman"/>
                <w:color w:val="auto"/>
                <w:kern w:val="2"/>
                <w:szCs w:val="24"/>
                <w:highlight w:val="none"/>
                <w:u w:val="none" w:color="auto"/>
                <w:lang w:eastAsia="zh-CN"/>
              </w:rPr>
              <w:t>，</w:t>
            </w:r>
            <w:r>
              <w:rPr>
                <w:rFonts w:hint="default" w:ascii="Times New Roman" w:hAnsi="Times New Roman" w:cs="Times New Roman"/>
                <w:color w:val="auto"/>
                <w:kern w:val="2"/>
                <w:szCs w:val="24"/>
                <w:highlight w:val="none"/>
                <w:u w:val="none" w:color="auto"/>
              </w:rPr>
              <w:t>3-cd]芘*、萘*</w:t>
            </w:r>
            <w:r>
              <w:rPr>
                <w:rFonts w:hint="default" w:ascii="Times New Roman" w:hAnsi="Times New Roman" w:eastAsia="宋体" w:cs="Times New Roman"/>
                <w:color w:val="auto"/>
                <w:kern w:val="2"/>
                <w:szCs w:val="24"/>
                <w:highlight w:val="none"/>
                <w:u w:val="none" w:color="auto"/>
                <w:lang w:eastAsia="zh-CN"/>
              </w:rPr>
              <w:t>、石油烃</w:t>
            </w:r>
          </w:p>
        </w:tc>
      </w:tr>
      <w:tr w14:paraId="3EAE7F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4" w:type="pct"/>
            <w:noWrap w:val="0"/>
            <w:tcMar>
              <w:top w:w="0" w:type="dxa"/>
              <w:left w:w="57" w:type="dxa"/>
              <w:bottom w:w="0" w:type="dxa"/>
              <w:right w:w="57" w:type="dxa"/>
            </w:tcMar>
            <w:vAlign w:val="center"/>
          </w:tcPr>
          <w:p w14:paraId="45EBBEF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影响预测因子</w:t>
            </w:r>
          </w:p>
        </w:tc>
        <w:tc>
          <w:tcPr>
            <w:tcW w:w="525" w:type="pct"/>
            <w:noWrap w:val="0"/>
            <w:tcMar>
              <w:top w:w="0" w:type="dxa"/>
              <w:left w:w="57" w:type="dxa"/>
              <w:bottom w:w="0" w:type="dxa"/>
              <w:right w:w="57" w:type="dxa"/>
            </w:tcMar>
            <w:vAlign w:val="center"/>
          </w:tcPr>
          <w:p w14:paraId="510CFC5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lang w:val="en-US"/>
              </w:rPr>
            </w:pPr>
            <w:r>
              <w:rPr>
                <w:rFonts w:hint="eastAsia"/>
                <w:color w:val="auto"/>
                <w:highlight w:val="none"/>
              </w:rPr>
              <w:t>硫化氢、氨气</w:t>
            </w:r>
          </w:p>
        </w:tc>
        <w:tc>
          <w:tcPr>
            <w:tcW w:w="682" w:type="pct"/>
            <w:noWrap w:val="0"/>
            <w:tcMar>
              <w:top w:w="0" w:type="dxa"/>
              <w:left w:w="57" w:type="dxa"/>
              <w:bottom w:w="0" w:type="dxa"/>
              <w:right w:w="57" w:type="dxa"/>
            </w:tcMar>
            <w:vAlign w:val="center"/>
          </w:tcPr>
          <w:p w14:paraId="0F38588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lang w:val="en-US" w:eastAsia="zh-CN"/>
              </w:rPr>
              <w:t>/</w:t>
            </w:r>
          </w:p>
        </w:tc>
        <w:tc>
          <w:tcPr>
            <w:tcW w:w="812" w:type="pct"/>
            <w:noWrap w:val="0"/>
            <w:tcMar>
              <w:top w:w="0" w:type="dxa"/>
              <w:left w:w="57" w:type="dxa"/>
              <w:bottom w:w="0" w:type="dxa"/>
              <w:right w:w="57" w:type="dxa"/>
            </w:tcMar>
            <w:vAlign w:val="center"/>
          </w:tcPr>
          <w:p w14:paraId="4A66C04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highlight w:val="none"/>
              </w:rPr>
              <w:t>COD</w:t>
            </w:r>
            <w:r>
              <w:rPr>
                <w:rFonts w:hint="default"/>
                <w:highlight w:val="none"/>
                <w:vertAlign w:val="subscript"/>
                <w:lang w:val="pt-BR"/>
              </w:rPr>
              <w:t>Mn</w:t>
            </w:r>
            <w:r>
              <w:rPr>
                <w:rFonts w:hint="default"/>
                <w:highlight w:val="none"/>
              </w:rPr>
              <w:t>、氨氮</w:t>
            </w:r>
          </w:p>
        </w:tc>
        <w:tc>
          <w:tcPr>
            <w:tcW w:w="488" w:type="pct"/>
            <w:noWrap w:val="0"/>
            <w:tcMar>
              <w:top w:w="0" w:type="dxa"/>
              <w:left w:w="57" w:type="dxa"/>
              <w:bottom w:w="0" w:type="dxa"/>
              <w:right w:w="57" w:type="dxa"/>
            </w:tcMar>
            <w:vAlign w:val="center"/>
          </w:tcPr>
          <w:p w14:paraId="03FE449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Leq（A）</w:t>
            </w:r>
          </w:p>
        </w:tc>
        <w:tc>
          <w:tcPr>
            <w:tcW w:w="563" w:type="pct"/>
            <w:noWrap w:val="0"/>
            <w:tcMar>
              <w:top w:w="0" w:type="dxa"/>
              <w:left w:w="57" w:type="dxa"/>
              <w:bottom w:w="0" w:type="dxa"/>
              <w:right w:w="57" w:type="dxa"/>
            </w:tcMar>
            <w:vAlign w:val="center"/>
          </w:tcPr>
          <w:p w14:paraId="11E7570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highlight w:val="none"/>
                <w:u w:val="none" w:color="auto"/>
              </w:rPr>
              <w:t>一般工业固废、危险废物、</w:t>
            </w:r>
            <w:r>
              <w:rPr>
                <w:rFonts w:hint="default" w:ascii="Times New Roman" w:hAnsi="Times New Roman" w:cs="Times New Roman"/>
                <w:color w:val="auto"/>
                <w:kern w:val="2"/>
                <w:szCs w:val="24"/>
                <w:highlight w:val="none"/>
                <w:u w:val="none" w:color="auto"/>
              </w:rPr>
              <w:t>生活垃圾</w:t>
            </w:r>
          </w:p>
        </w:tc>
        <w:tc>
          <w:tcPr>
            <w:tcW w:w="1503" w:type="pct"/>
            <w:noWrap w:val="0"/>
            <w:tcMar>
              <w:top w:w="0" w:type="dxa"/>
              <w:left w:w="57" w:type="dxa"/>
              <w:bottom w:w="0" w:type="dxa"/>
              <w:right w:w="57" w:type="dxa"/>
            </w:tcMar>
            <w:vAlign w:val="center"/>
          </w:tcPr>
          <w:p w14:paraId="7A52ECCE">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w:t>
            </w:r>
          </w:p>
        </w:tc>
      </w:tr>
    </w:tbl>
    <w:p w14:paraId="523BDC2F">
      <w:pPr>
        <w:pStyle w:val="5"/>
        <w:rPr>
          <w:rFonts w:hint="default" w:ascii="Times New Roman" w:hAnsi="Times New Roman" w:cs="Times New Roman"/>
          <w:color w:val="auto"/>
          <w:highlight w:val="none"/>
          <w:u w:val="none" w:color="auto"/>
        </w:rPr>
      </w:pPr>
      <w:bookmarkStart w:id="52" w:name="_Toc31464"/>
      <w:bookmarkStart w:id="53" w:name="_Toc927"/>
      <w:r>
        <w:rPr>
          <w:rFonts w:hint="default" w:ascii="Times New Roman" w:hAnsi="Times New Roman" w:cs="Times New Roman"/>
          <w:color w:val="auto"/>
          <w:highlight w:val="none"/>
          <w:u w:val="none" w:color="auto"/>
        </w:rPr>
        <w:t>评价标准</w:t>
      </w:r>
      <w:bookmarkEnd w:id="52"/>
      <w:bookmarkEnd w:id="53"/>
    </w:p>
    <w:p w14:paraId="03B53C85">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根据项目所在区域的环境功能属性，确定本次环评各环境要素执行的环境质量标准和污染物排放标准如下：</w:t>
      </w:r>
    </w:p>
    <w:p w14:paraId="219E47B3">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环境质量标准</w:t>
      </w:r>
    </w:p>
    <w:p w14:paraId="456F854E">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环境空气质量标准</w:t>
      </w:r>
    </w:p>
    <w:p w14:paraId="131C288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环境空气：</w:t>
      </w:r>
      <w:r>
        <w:rPr>
          <w:rFonts w:hint="eastAsia" w:ascii="Times New Roman" w:hAnsi="Times New Roman" w:cs="Times New Roman"/>
          <w:color w:val="auto"/>
          <w:highlight w:val="none"/>
          <w:u w:val="none" w:color="auto"/>
          <w:lang w:eastAsia="zh-CN"/>
        </w:rPr>
        <w:t>SO</w:t>
      </w:r>
      <w:r>
        <w:rPr>
          <w:rFonts w:hint="eastAsia" w:ascii="Times New Roman" w:hAnsi="Times New Roman" w:cs="Times New Roman"/>
          <w:color w:val="auto"/>
          <w:highlight w:val="none"/>
          <w:u w:val="none" w:color="auto"/>
          <w:vertAlign w:val="subscript"/>
          <w:lang w:eastAsia="zh-CN"/>
        </w:rPr>
        <w:t>2</w:t>
      </w: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eastAsia="zh-CN"/>
        </w:rPr>
        <w:t>NO</w:t>
      </w:r>
      <w:r>
        <w:rPr>
          <w:rFonts w:hint="eastAsia" w:ascii="Times New Roman" w:hAnsi="Times New Roman" w:cs="Times New Roman"/>
          <w:color w:val="auto"/>
          <w:highlight w:val="none"/>
          <w:u w:val="none" w:color="auto"/>
          <w:vertAlign w:val="subscript"/>
          <w:lang w:eastAsia="zh-CN"/>
        </w:rPr>
        <w:t>2</w:t>
      </w:r>
      <w:r>
        <w:rPr>
          <w:rFonts w:hint="default" w:ascii="Times New Roman" w:hAnsi="Times New Roman"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TSP、</w:t>
      </w:r>
      <w:r>
        <w:rPr>
          <w:rFonts w:hint="eastAsia" w:ascii="Times New Roman" w:hAnsi="Times New Roman" w:cs="Times New Roman"/>
          <w:color w:val="auto"/>
          <w:highlight w:val="none"/>
          <w:u w:val="none" w:color="auto"/>
          <w:lang w:eastAsia="zh-CN"/>
        </w:rPr>
        <w:t>PM</w:t>
      </w:r>
      <w:r>
        <w:rPr>
          <w:rFonts w:hint="eastAsia" w:ascii="Times New Roman" w:hAnsi="Times New Roman" w:cs="Times New Roman"/>
          <w:color w:val="auto"/>
          <w:highlight w:val="none"/>
          <w:u w:val="none" w:color="auto"/>
          <w:vertAlign w:val="subscript"/>
          <w:lang w:eastAsia="zh-CN"/>
        </w:rPr>
        <w:t>10</w:t>
      </w: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eastAsia="zh-CN"/>
        </w:rPr>
        <w:t>PM</w:t>
      </w:r>
      <w:r>
        <w:rPr>
          <w:rFonts w:hint="eastAsia" w:ascii="Times New Roman" w:hAnsi="Times New Roman" w:cs="Times New Roman"/>
          <w:color w:val="auto"/>
          <w:highlight w:val="none"/>
          <w:u w:val="none" w:color="auto"/>
          <w:vertAlign w:val="subscript"/>
          <w:lang w:eastAsia="zh-CN"/>
        </w:rPr>
        <w:t>2.5</w:t>
      </w:r>
      <w:r>
        <w:rPr>
          <w:rFonts w:hint="default" w:ascii="Times New Roman" w:hAnsi="Times New Roman" w:cs="Times New Roman"/>
          <w:color w:val="auto"/>
          <w:highlight w:val="none"/>
          <w:u w:val="none" w:color="auto"/>
        </w:rPr>
        <w:t>、CO、O</w:t>
      </w:r>
      <w:r>
        <w:rPr>
          <w:rFonts w:hint="default" w:ascii="Times New Roman" w:hAnsi="Times New Roman" w:cs="Times New Roman"/>
          <w:color w:val="auto"/>
          <w:highlight w:val="none"/>
          <w:u w:val="none" w:color="auto"/>
          <w:vertAlign w:val="subscript"/>
        </w:rPr>
        <w:t>3</w:t>
      </w:r>
      <w:r>
        <w:rPr>
          <w:rFonts w:hint="default" w:ascii="Times New Roman" w:hAnsi="Times New Roman" w:cs="Times New Roman"/>
          <w:color w:val="auto"/>
          <w:highlight w:val="none"/>
          <w:u w:val="none" w:color="auto"/>
        </w:rPr>
        <w:t>执行《环境空气质量标准》（GB3095-2012）中的二级标准；</w:t>
      </w:r>
      <w:r>
        <w:rPr>
          <w:rFonts w:hint="eastAsia"/>
          <w:color w:val="auto"/>
          <w:highlight w:val="none"/>
        </w:rPr>
        <w:t>硫化氢、氨气</w:t>
      </w:r>
      <w:r>
        <w:rPr>
          <w:rFonts w:ascii="Times New Roman" w:hAnsi="Times New Roman"/>
          <w:color w:val="auto"/>
          <w:highlight w:val="none"/>
        </w:rPr>
        <w:t>参照《环境影响评价技术导则大气环境》HJ2.2-2018附录D中浓度限值。</w:t>
      </w:r>
    </w:p>
    <w:p w14:paraId="15676F21">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表2.3-1 环境空气质量标准</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21"/>
        <w:gridCol w:w="1699"/>
        <w:gridCol w:w="1314"/>
        <w:gridCol w:w="4085"/>
      </w:tblGrid>
      <w:tr w14:paraId="026506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834" w:type="pct"/>
            <w:noWrap w:val="0"/>
            <w:vAlign w:val="center"/>
          </w:tcPr>
          <w:p w14:paraId="74E308F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污染物名称</w:t>
            </w:r>
          </w:p>
        </w:tc>
        <w:tc>
          <w:tcPr>
            <w:tcW w:w="1768" w:type="pct"/>
            <w:gridSpan w:val="2"/>
            <w:noWrap w:val="0"/>
            <w:vAlign w:val="center"/>
          </w:tcPr>
          <w:p w14:paraId="34110B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标准值(mg/</w:t>
            </w:r>
            <w:r>
              <w:rPr>
                <w:rFonts w:hint="eastAsia" w:ascii="Times New Roman" w:hAnsi="Times New Roman" w:cs="Times New Roman"/>
                <w:color w:val="auto"/>
                <w:sz w:val="21"/>
                <w:szCs w:val="21"/>
                <w:highlight w:val="none"/>
                <w:u w:val="none" w:color="auto"/>
                <w:lang w:eastAsia="zh-CN"/>
              </w:rPr>
              <w:t>m</w:t>
            </w:r>
            <w:r>
              <w:rPr>
                <w:rFonts w:hint="eastAsia" w:ascii="Times New Roman" w:hAnsi="Times New Roman" w:cs="Times New Roman"/>
                <w:color w:val="auto"/>
                <w:sz w:val="21"/>
                <w:szCs w:val="21"/>
                <w:highlight w:val="none"/>
                <w:u w:val="none" w:color="auto"/>
                <w:vertAlign w:val="superscript"/>
                <w:lang w:eastAsia="zh-CN"/>
              </w:rPr>
              <w:t>3</w:t>
            </w:r>
            <w:r>
              <w:rPr>
                <w:rFonts w:hint="default" w:ascii="Times New Roman" w:hAnsi="Times New Roman" w:cs="Times New Roman"/>
                <w:color w:val="auto"/>
                <w:sz w:val="21"/>
                <w:szCs w:val="21"/>
                <w:highlight w:val="none"/>
                <w:u w:val="none" w:color="auto"/>
              </w:rPr>
              <w:t>)</w:t>
            </w:r>
          </w:p>
        </w:tc>
        <w:tc>
          <w:tcPr>
            <w:tcW w:w="2397" w:type="pct"/>
            <w:noWrap w:val="0"/>
            <w:vAlign w:val="center"/>
          </w:tcPr>
          <w:p w14:paraId="744E14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选用标准</w:t>
            </w:r>
          </w:p>
        </w:tc>
      </w:tr>
      <w:tr w14:paraId="5EEDF7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noWrap w:val="0"/>
            <w:vAlign w:val="center"/>
          </w:tcPr>
          <w:p w14:paraId="4DEBF26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vertAlign w:val="subscript"/>
                <w:lang w:eastAsia="zh-CN"/>
              </w:rPr>
            </w:pPr>
            <w:r>
              <w:rPr>
                <w:rFonts w:hint="eastAsia" w:ascii="Times New Roman" w:hAnsi="Times New Roman" w:cs="Times New Roman"/>
                <w:color w:val="auto"/>
                <w:sz w:val="21"/>
                <w:szCs w:val="21"/>
                <w:highlight w:val="none"/>
                <w:u w:val="none" w:color="auto"/>
                <w:lang w:eastAsia="zh-CN"/>
              </w:rPr>
              <w:t>SO</w:t>
            </w:r>
            <w:r>
              <w:rPr>
                <w:rFonts w:hint="eastAsia" w:ascii="Times New Roman" w:hAnsi="Times New Roman" w:cs="Times New Roman"/>
                <w:color w:val="auto"/>
                <w:sz w:val="21"/>
                <w:szCs w:val="21"/>
                <w:highlight w:val="none"/>
                <w:u w:val="none" w:color="auto"/>
                <w:vertAlign w:val="subscript"/>
                <w:lang w:eastAsia="zh-CN"/>
              </w:rPr>
              <w:t>2</w:t>
            </w:r>
          </w:p>
        </w:tc>
        <w:tc>
          <w:tcPr>
            <w:tcW w:w="997" w:type="pct"/>
            <w:noWrap w:val="0"/>
            <w:vAlign w:val="center"/>
          </w:tcPr>
          <w:p w14:paraId="1C884F9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771" w:type="pct"/>
            <w:noWrap w:val="0"/>
            <w:vAlign w:val="center"/>
          </w:tcPr>
          <w:p w14:paraId="36AC6F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0.06</w:t>
            </w:r>
          </w:p>
        </w:tc>
        <w:tc>
          <w:tcPr>
            <w:tcW w:w="2397" w:type="pct"/>
            <w:vMerge w:val="restart"/>
            <w:noWrap w:val="0"/>
            <w:vAlign w:val="center"/>
          </w:tcPr>
          <w:p w14:paraId="3FE3F29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《环境空气质量标准》（GB3095-2012）</w:t>
            </w:r>
          </w:p>
          <w:p w14:paraId="30025A1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二级标准</w:t>
            </w:r>
          </w:p>
        </w:tc>
      </w:tr>
      <w:tr w14:paraId="205ED8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20F990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735A62A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610988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0.15</w:t>
            </w:r>
          </w:p>
        </w:tc>
        <w:tc>
          <w:tcPr>
            <w:tcW w:w="2397" w:type="pct"/>
            <w:vMerge w:val="continue"/>
            <w:noWrap w:val="0"/>
            <w:vAlign w:val="center"/>
          </w:tcPr>
          <w:p w14:paraId="301D9F8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44C742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48CC2BF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02D4AAD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1小时均值</w:t>
            </w:r>
          </w:p>
        </w:tc>
        <w:tc>
          <w:tcPr>
            <w:tcW w:w="771" w:type="pct"/>
            <w:noWrap w:val="0"/>
            <w:vAlign w:val="center"/>
          </w:tcPr>
          <w:p w14:paraId="10F7D2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0.5</w:t>
            </w:r>
          </w:p>
        </w:tc>
        <w:tc>
          <w:tcPr>
            <w:tcW w:w="2397" w:type="pct"/>
            <w:vMerge w:val="continue"/>
            <w:noWrap w:val="0"/>
            <w:vAlign w:val="center"/>
          </w:tcPr>
          <w:p w14:paraId="293D25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75AC18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noWrap w:val="0"/>
            <w:vAlign w:val="center"/>
          </w:tcPr>
          <w:p w14:paraId="443370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NO</w:t>
            </w:r>
            <w:r>
              <w:rPr>
                <w:rFonts w:hint="eastAsia" w:ascii="Times New Roman" w:hAnsi="Times New Roman" w:cs="Times New Roman"/>
                <w:color w:val="auto"/>
                <w:sz w:val="21"/>
                <w:szCs w:val="21"/>
                <w:highlight w:val="none"/>
                <w:u w:val="none" w:color="auto"/>
                <w:vertAlign w:val="subscript"/>
                <w:lang w:eastAsia="zh-CN"/>
              </w:rPr>
              <w:t>2</w:t>
            </w:r>
          </w:p>
        </w:tc>
        <w:tc>
          <w:tcPr>
            <w:tcW w:w="997" w:type="pct"/>
            <w:noWrap w:val="0"/>
            <w:vAlign w:val="center"/>
          </w:tcPr>
          <w:p w14:paraId="1F16AE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771" w:type="pct"/>
            <w:noWrap w:val="0"/>
            <w:vAlign w:val="center"/>
          </w:tcPr>
          <w:p w14:paraId="211C3AD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0.04</w:t>
            </w:r>
          </w:p>
        </w:tc>
        <w:tc>
          <w:tcPr>
            <w:tcW w:w="2397" w:type="pct"/>
            <w:vMerge w:val="continue"/>
            <w:noWrap w:val="0"/>
            <w:vAlign w:val="center"/>
          </w:tcPr>
          <w:p w14:paraId="20415F0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24C5B8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6F0965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4F9FB91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36FA3E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0.08</w:t>
            </w:r>
          </w:p>
        </w:tc>
        <w:tc>
          <w:tcPr>
            <w:tcW w:w="2397" w:type="pct"/>
            <w:vMerge w:val="continue"/>
            <w:noWrap w:val="0"/>
            <w:vAlign w:val="center"/>
          </w:tcPr>
          <w:p w14:paraId="1FAE30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2EB724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09FD0C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2CFF6F0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1小时均值</w:t>
            </w:r>
          </w:p>
        </w:tc>
        <w:tc>
          <w:tcPr>
            <w:tcW w:w="771" w:type="pct"/>
            <w:noWrap w:val="0"/>
            <w:vAlign w:val="center"/>
          </w:tcPr>
          <w:p w14:paraId="448B11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0.2</w:t>
            </w:r>
          </w:p>
        </w:tc>
        <w:tc>
          <w:tcPr>
            <w:tcW w:w="2397" w:type="pct"/>
            <w:vMerge w:val="continue"/>
            <w:noWrap w:val="0"/>
            <w:vAlign w:val="center"/>
          </w:tcPr>
          <w:p w14:paraId="6C93CA1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6A08D8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834" w:type="pct"/>
            <w:vMerge w:val="restart"/>
            <w:noWrap w:val="0"/>
            <w:vAlign w:val="center"/>
          </w:tcPr>
          <w:p w14:paraId="2FFC172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PM</w:t>
            </w:r>
            <w:r>
              <w:rPr>
                <w:rFonts w:hint="eastAsia" w:ascii="Times New Roman" w:hAnsi="Times New Roman" w:cs="Times New Roman"/>
                <w:color w:val="auto"/>
                <w:sz w:val="21"/>
                <w:szCs w:val="21"/>
                <w:highlight w:val="none"/>
                <w:u w:val="none" w:color="auto"/>
                <w:vertAlign w:val="subscript"/>
                <w:lang w:eastAsia="zh-CN"/>
              </w:rPr>
              <w:t>10</w:t>
            </w:r>
          </w:p>
        </w:tc>
        <w:tc>
          <w:tcPr>
            <w:tcW w:w="997" w:type="pct"/>
            <w:noWrap w:val="0"/>
            <w:vAlign w:val="center"/>
          </w:tcPr>
          <w:p w14:paraId="125DC2A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771" w:type="pct"/>
            <w:noWrap w:val="0"/>
            <w:vAlign w:val="center"/>
          </w:tcPr>
          <w:p w14:paraId="55342DD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0.07</w:t>
            </w:r>
          </w:p>
        </w:tc>
        <w:tc>
          <w:tcPr>
            <w:tcW w:w="2397" w:type="pct"/>
            <w:vMerge w:val="continue"/>
            <w:noWrap w:val="0"/>
            <w:vAlign w:val="center"/>
          </w:tcPr>
          <w:p w14:paraId="2722106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499B33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834" w:type="pct"/>
            <w:vMerge w:val="continue"/>
            <w:noWrap w:val="0"/>
            <w:vAlign w:val="center"/>
          </w:tcPr>
          <w:p w14:paraId="58CF21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014DC9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235506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0.15</w:t>
            </w:r>
          </w:p>
        </w:tc>
        <w:tc>
          <w:tcPr>
            <w:tcW w:w="2397" w:type="pct"/>
            <w:vMerge w:val="continue"/>
            <w:noWrap w:val="0"/>
            <w:vAlign w:val="center"/>
          </w:tcPr>
          <w:p w14:paraId="435264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5DE7A1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noWrap w:val="0"/>
            <w:vAlign w:val="center"/>
          </w:tcPr>
          <w:p w14:paraId="47F75F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CO</w:t>
            </w:r>
          </w:p>
        </w:tc>
        <w:tc>
          <w:tcPr>
            <w:tcW w:w="997" w:type="pct"/>
            <w:noWrap w:val="0"/>
            <w:vAlign w:val="center"/>
          </w:tcPr>
          <w:p w14:paraId="05774B7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3A185C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w:t>
            </w:r>
          </w:p>
        </w:tc>
        <w:tc>
          <w:tcPr>
            <w:tcW w:w="2397" w:type="pct"/>
            <w:vMerge w:val="continue"/>
            <w:noWrap w:val="0"/>
            <w:vAlign w:val="center"/>
          </w:tcPr>
          <w:p w14:paraId="0478245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6C68B9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754ECDE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4D38CF8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1小时均值</w:t>
            </w:r>
          </w:p>
        </w:tc>
        <w:tc>
          <w:tcPr>
            <w:tcW w:w="771" w:type="pct"/>
            <w:noWrap w:val="0"/>
            <w:vAlign w:val="center"/>
          </w:tcPr>
          <w:p w14:paraId="16F0D6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w:t>
            </w:r>
          </w:p>
        </w:tc>
        <w:tc>
          <w:tcPr>
            <w:tcW w:w="2397" w:type="pct"/>
            <w:vMerge w:val="continue"/>
            <w:noWrap w:val="0"/>
            <w:vAlign w:val="center"/>
          </w:tcPr>
          <w:p w14:paraId="68C7DF5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4FC54E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noWrap w:val="0"/>
            <w:vAlign w:val="center"/>
          </w:tcPr>
          <w:p w14:paraId="46A479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PM</w:t>
            </w:r>
            <w:r>
              <w:rPr>
                <w:rFonts w:hint="eastAsia" w:ascii="Times New Roman" w:hAnsi="Times New Roman" w:cs="Times New Roman"/>
                <w:color w:val="auto"/>
                <w:sz w:val="21"/>
                <w:szCs w:val="21"/>
                <w:highlight w:val="none"/>
                <w:u w:val="none" w:color="auto"/>
                <w:vertAlign w:val="subscript"/>
                <w:lang w:eastAsia="zh-CN"/>
              </w:rPr>
              <w:t>2.5</w:t>
            </w:r>
          </w:p>
        </w:tc>
        <w:tc>
          <w:tcPr>
            <w:tcW w:w="997" w:type="pct"/>
            <w:noWrap w:val="0"/>
            <w:vAlign w:val="center"/>
          </w:tcPr>
          <w:p w14:paraId="2247D93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771" w:type="pct"/>
            <w:noWrap w:val="0"/>
            <w:vAlign w:val="center"/>
          </w:tcPr>
          <w:p w14:paraId="5DBAE48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0.035</w:t>
            </w:r>
          </w:p>
        </w:tc>
        <w:tc>
          <w:tcPr>
            <w:tcW w:w="2397" w:type="pct"/>
            <w:vMerge w:val="continue"/>
            <w:noWrap w:val="0"/>
            <w:vAlign w:val="center"/>
          </w:tcPr>
          <w:p w14:paraId="5902804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717F7D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49D73CB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21B4178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717AD4F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0.075</w:t>
            </w:r>
          </w:p>
        </w:tc>
        <w:tc>
          <w:tcPr>
            <w:tcW w:w="2397" w:type="pct"/>
            <w:vMerge w:val="continue"/>
            <w:noWrap w:val="0"/>
            <w:vAlign w:val="center"/>
          </w:tcPr>
          <w:p w14:paraId="58E71E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6D07D0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834" w:type="pct"/>
            <w:vMerge w:val="restart"/>
            <w:noWrap w:val="0"/>
            <w:vAlign w:val="center"/>
          </w:tcPr>
          <w:p w14:paraId="1B0AC4C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NO</w:t>
            </w:r>
            <w:r>
              <w:rPr>
                <w:rFonts w:hint="eastAsia" w:ascii="Times New Roman" w:hAnsi="Times New Roman" w:cs="Times New Roman"/>
                <w:color w:val="auto"/>
                <w:sz w:val="21"/>
                <w:szCs w:val="21"/>
                <w:highlight w:val="none"/>
                <w:u w:val="none" w:color="auto"/>
                <w:vertAlign w:val="subscript"/>
                <w:lang w:val="en-US" w:eastAsia="zh-CN"/>
              </w:rPr>
              <w:t>X</w:t>
            </w:r>
          </w:p>
        </w:tc>
        <w:tc>
          <w:tcPr>
            <w:tcW w:w="997" w:type="pct"/>
            <w:noWrap w:val="0"/>
            <w:vAlign w:val="center"/>
          </w:tcPr>
          <w:p w14:paraId="1576FF5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771" w:type="pct"/>
            <w:noWrap w:val="0"/>
            <w:vAlign w:val="center"/>
          </w:tcPr>
          <w:p w14:paraId="0608346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50</w:t>
            </w:r>
          </w:p>
        </w:tc>
        <w:tc>
          <w:tcPr>
            <w:tcW w:w="2397" w:type="pct"/>
            <w:vMerge w:val="continue"/>
            <w:noWrap w:val="0"/>
            <w:vAlign w:val="center"/>
          </w:tcPr>
          <w:p w14:paraId="668292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66E781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5" w:hRule="atLeast"/>
          <w:jc w:val="center"/>
        </w:trPr>
        <w:tc>
          <w:tcPr>
            <w:tcW w:w="834" w:type="pct"/>
            <w:vMerge w:val="continue"/>
            <w:noWrap w:val="0"/>
            <w:vAlign w:val="center"/>
          </w:tcPr>
          <w:p w14:paraId="628D61C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6C66B69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771" w:type="pct"/>
            <w:noWrap w:val="0"/>
            <w:vAlign w:val="center"/>
          </w:tcPr>
          <w:p w14:paraId="2D6FC8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100</w:t>
            </w:r>
          </w:p>
        </w:tc>
        <w:tc>
          <w:tcPr>
            <w:tcW w:w="2397" w:type="pct"/>
            <w:vMerge w:val="continue"/>
            <w:noWrap w:val="0"/>
            <w:vAlign w:val="center"/>
          </w:tcPr>
          <w:p w14:paraId="68D4F1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10C60A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834" w:type="pct"/>
            <w:vMerge w:val="continue"/>
            <w:noWrap w:val="0"/>
            <w:vAlign w:val="center"/>
          </w:tcPr>
          <w:p w14:paraId="3D34A5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5B5651B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1小时均值</w:t>
            </w:r>
          </w:p>
        </w:tc>
        <w:tc>
          <w:tcPr>
            <w:tcW w:w="771" w:type="pct"/>
            <w:noWrap w:val="0"/>
            <w:vAlign w:val="center"/>
          </w:tcPr>
          <w:p w14:paraId="7C45B7A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250</w:t>
            </w:r>
          </w:p>
        </w:tc>
        <w:tc>
          <w:tcPr>
            <w:tcW w:w="2397" w:type="pct"/>
            <w:vMerge w:val="continue"/>
            <w:noWrap w:val="0"/>
            <w:vAlign w:val="center"/>
          </w:tcPr>
          <w:p w14:paraId="0373624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07984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noWrap w:val="0"/>
            <w:vAlign w:val="center"/>
          </w:tcPr>
          <w:p w14:paraId="4D6F7BD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highlight w:val="none"/>
                <w:u w:val="none" w:color="auto"/>
              </w:rPr>
              <w:t>O</w:t>
            </w:r>
            <w:r>
              <w:rPr>
                <w:rFonts w:hint="default" w:ascii="Times New Roman" w:hAnsi="Times New Roman" w:cs="Times New Roman"/>
                <w:color w:val="auto"/>
                <w:highlight w:val="none"/>
                <w:u w:val="none" w:color="auto"/>
                <w:vertAlign w:val="subscript"/>
              </w:rPr>
              <w:t>3</w:t>
            </w:r>
          </w:p>
        </w:tc>
        <w:tc>
          <w:tcPr>
            <w:tcW w:w="997" w:type="pct"/>
            <w:noWrap w:val="0"/>
            <w:vAlign w:val="center"/>
          </w:tcPr>
          <w:p w14:paraId="1CBFEE6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日最大8小时平均</w:t>
            </w:r>
          </w:p>
        </w:tc>
        <w:tc>
          <w:tcPr>
            <w:tcW w:w="771" w:type="pct"/>
            <w:noWrap w:val="0"/>
            <w:vAlign w:val="center"/>
          </w:tcPr>
          <w:p w14:paraId="13565D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0.16</w:t>
            </w:r>
          </w:p>
        </w:tc>
        <w:tc>
          <w:tcPr>
            <w:tcW w:w="2397" w:type="pct"/>
            <w:vMerge w:val="continue"/>
            <w:noWrap w:val="0"/>
            <w:vAlign w:val="center"/>
          </w:tcPr>
          <w:p w14:paraId="6AF4D1C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5EAC05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noWrap w:val="0"/>
            <w:vAlign w:val="center"/>
          </w:tcPr>
          <w:p w14:paraId="114FAA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c>
          <w:tcPr>
            <w:tcW w:w="997" w:type="pct"/>
            <w:noWrap w:val="0"/>
            <w:vAlign w:val="center"/>
          </w:tcPr>
          <w:p w14:paraId="147B7C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1小时平均</w:t>
            </w:r>
          </w:p>
        </w:tc>
        <w:tc>
          <w:tcPr>
            <w:tcW w:w="771" w:type="pct"/>
            <w:noWrap w:val="0"/>
            <w:vAlign w:val="center"/>
          </w:tcPr>
          <w:p w14:paraId="7B14E4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p>
        </w:tc>
        <w:tc>
          <w:tcPr>
            <w:tcW w:w="2397" w:type="pct"/>
            <w:vMerge w:val="continue"/>
            <w:noWrap w:val="0"/>
            <w:vAlign w:val="center"/>
          </w:tcPr>
          <w:p w14:paraId="7993ED9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rPr>
            </w:pPr>
          </w:p>
        </w:tc>
      </w:tr>
      <w:tr w14:paraId="648B64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shd w:val="clear" w:color="auto" w:fill="auto"/>
            <w:noWrap w:val="0"/>
            <w:vAlign w:val="top"/>
          </w:tcPr>
          <w:p w14:paraId="184DC3B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NH</w:t>
            </w:r>
            <w:r>
              <w:rPr>
                <w:rFonts w:hint="eastAsia" w:cs="Times New Roman"/>
                <w:color w:val="auto"/>
                <w:sz w:val="21"/>
                <w:szCs w:val="21"/>
                <w:highlight w:val="none"/>
                <w:vertAlign w:val="subscript"/>
                <w:lang w:eastAsia="zh-CN"/>
              </w:rPr>
              <w:t>3</w:t>
            </w:r>
          </w:p>
        </w:tc>
        <w:tc>
          <w:tcPr>
            <w:tcW w:w="997" w:type="pct"/>
            <w:shd w:val="clear" w:color="auto" w:fill="auto"/>
            <w:noWrap w:val="0"/>
            <w:vAlign w:val="top"/>
          </w:tcPr>
          <w:p w14:paraId="5EB4AA1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1小时值</w:t>
            </w:r>
          </w:p>
        </w:tc>
        <w:tc>
          <w:tcPr>
            <w:tcW w:w="771" w:type="pct"/>
            <w:shd w:val="clear" w:color="auto" w:fill="auto"/>
            <w:noWrap w:val="0"/>
            <w:vAlign w:val="top"/>
          </w:tcPr>
          <w:p w14:paraId="642A383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200</w:t>
            </w:r>
          </w:p>
        </w:tc>
        <w:tc>
          <w:tcPr>
            <w:tcW w:w="2397" w:type="pct"/>
            <w:vMerge w:val="restart"/>
            <w:noWrap w:val="0"/>
            <w:vAlign w:val="center"/>
          </w:tcPr>
          <w:p w14:paraId="698595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《环境影响评价技术导则 大气环境》（HJ2.2-2018）中附录D表D.1</w:t>
            </w:r>
          </w:p>
        </w:tc>
      </w:tr>
      <w:tr w14:paraId="5D28DE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shd w:val="clear" w:color="auto" w:fill="auto"/>
            <w:noWrap w:val="0"/>
            <w:vAlign w:val="top"/>
          </w:tcPr>
          <w:p w14:paraId="0899DF4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H</w:t>
            </w:r>
            <w:r>
              <w:rPr>
                <w:rFonts w:hint="eastAsia" w:cs="Times New Roman"/>
                <w:color w:val="auto"/>
                <w:sz w:val="21"/>
                <w:szCs w:val="21"/>
                <w:highlight w:val="none"/>
                <w:vertAlign w:val="subscript"/>
                <w:lang w:eastAsia="zh-CN"/>
              </w:rPr>
              <w:t>2</w:t>
            </w:r>
            <w:r>
              <w:rPr>
                <w:rFonts w:hint="eastAsia" w:cs="Times New Roman"/>
                <w:color w:val="auto"/>
                <w:sz w:val="21"/>
                <w:szCs w:val="21"/>
                <w:highlight w:val="none"/>
                <w:lang w:eastAsia="zh-CN"/>
              </w:rPr>
              <w:t>S</w:t>
            </w:r>
          </w:p>
        </w:tc>
        <w:tc>
          <w:tcPr>
            <w:tcW w:w="997" w:type="pct"/>
            <w:shd w:val="clear" w:color="auto" w:fill="auto"/>
            <w:noWrap w:val="0"/>
            <w:vAlign w:val="top"/>
          </w:tcPr>
          <w:p w14:paraId="18951F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1小时值</w:t>
            </w:r>
          </w:p>
        </w:tc>
        <w:tc>
          <w:tcPr>
            <w:tcW w:w="771" w:type="pct"/>
            <w:shd w:val="clear" w:color="auto" w:fill="auto"/>
            <w:noWrap w:val="0"/>
            <w:vAlign w:val="top"/>
          </w:tcPr>
          <w:p w14:paraId="7161862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2397" w:type="pct"/>
            <w:vMerge w:val="continue"/>
            <w:noWrap w:val="0"/>
            <w:vAlign w:val="center"/>
          </w:tcPr>
          <w:p w14:paraId="64B4144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r>
    </w:tbl>
    <w:p w14:paraId="2599BE7B">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地表水环境质量标准</w:t>
      </w:r>
    </w:p>
    <w:p w14:paraId="4AAFA05D">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highlight w:val="none"/>
          <w:lang w:val="en-US" w:eastAsia="zh-CN"/>
        </w:rPr>
        <w:t>本项目生产废水、生活污水均经处理达标后排入湘阴县第二污水处理厂，湘阴县第二污水处理厂排污口位于</w:t>
      </w:r>
      <w:r>
        <w:rPr>
          <w:rFonts w:hint="eastAsia" w:ascii="Times New Roman" w:hAnsi="Times New Roman" w:cs="Times New Roman"/>
          <w:highlight w:val="none"/>
          <w:lang w:val="en-US" w:eastAsia="zh-CN"/>
        </w:rPr>
        <w:t>洋沙湖</w:t>
      </w:r>
      <w:r>
        <w:rPr>
          <w:rFonts w:hint="default" w:ascii="Times New Roman" w:hAnsi="Times New Roman" w:cs="Times New Roman"/>
          <w:highlight w:val="none"/>
          <w:lang w:val="en-US" w:eastAsia="zh-CN"/>
        </w:rPr>
        <w:t>闸外，流经约200m进入湘江。湘江下游200米至磊石断面为渔业用水区，执行《地表水环境质量标准》（GB3838-2002）Ⅲ类标准；属于渔业、景观用水区，水质执行《地表水环境质量标准》（GB3838-2002）Ⅲ类标准。详见下表。</w:t>
      </w:r>
    </w:p>
    <w:p w14:paraId="689B90B5">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表2.3-2  《地表水环境质量标准》(GB3838-2002)Ⅲ类标准（摘录）</w:t>
      </w:r>
    </w:p>
    <w:tbl>
      <w:tblPr>
        <w:tblStyle w:val="30"/>
        <w:tblW w:w="488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04"/>
        <w:gridCol w:w="4219"/>
      </w:tblGrid>
      <w:tr w14:paraId="4209B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noWrap w:val="0"/>
            <w:vAlign w:val="center"/>
          </w:tcPr>
          <w:p w14:paraId="756A7367">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污染物名称</w:t>
            </w:r>
          </w:p>
        </w:tc>
        <w:tc>
          <w:tcPr>
            <w:tcW w:w="2534" w:type="pct"/>
            <w:tcBorders>
              <w:tl2br w:val="nil"/>
              <w:tr2bl w:val="nil"/>
            </w:tcBorders>
            <w:noWrap w:val="0"/>
            <w:vAlign w:val="center"/>
          </w:tcPr>
          <w:p w14:paraId="69F9943A">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Ⅲ类标准值</w:t>
            </w:r>
          </w:p>
        </w:tc>
      </w:tr>
      <w:tr w14:paraId="3E914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0359D2A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pH值</w:t>
            </w:r>
          </w:p>
        </w:tc>
        <w:tc>
          <w:tcPr>
            <w:tcW w:w="2534" w:type="pct"/>
            <w:tcBorders>
              <w:tl2br w:val="nil"/>
              <w:tr2bl w:val="nil"/>
            </w:tcBorders>
            <w:shd w:val="clear" w:color="auto" w:fill="auto"/>
            <w:noWrap w:val="0"/>
            <w:vAlign w:val="center"/>
          </w:tcPr>
          <w:p w14:paraId="7C5860F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6-9</w:t>
            </w:r>
          </w:p>
        </w:tc>
      </w:tr>
      <w:tr w14:paraId="402BB7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68EBD5E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SS</w:t>
            </w:r>
          </w:p>
        </w:tc>
        <w:tc>
          <w:tcPr>
            <w:tcW w:w="2534" w:type="pct"/>
            <w:tcBorders>
              <w:tl2br w:val="nil"/>
              <w:tr2bl w:val="nil"/>
            </w:tcBorders>
            <w:shd w:val="clear" w:color="auto" w:fill="auto"/>
            <w:noWrap w:val="0"/>
            <w:vAlign w:val="center"/>
          </w:tcPr>
          <w:p w14:paraId="76C60BF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w:t>
            </w:r>
          </w:p>
        </w:tc>
      </w:tr>
      <w:tr w14:paraId="04A054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4CB9044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COD</w:t>
            </w:r>
          </w:p>
        </w:tc>
        <w:tc>
          <w:tcPr>
            <w:tcW w:w="2534" w:type="pct"/>
            <w:tcBorders>
              <w:tl2br w:val="nil"/>
              <w:tr2bl w:val="nil"/>
            </w:tcBorders>
            <w:shd w:val="clear" w:color="auto" w:fill="auto"/>
            <w:noWrap w:val="0"/>
            <w:vAlign w:val="center"/>
          </w:tcPr>
          <w:p w14:paraId="429ED12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20</w:t>
            </w:r>
          </w:p>
        </w:tc>
      </w:tr>
      <w:tr w14:paraId="3A8740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6929557E">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eastAsia="zh-CN"/>
              </w:rPr>
              <w:t>BOD</w:t>
            </w:r>
            <w:r>
              <w:rPr>
                <w:rFonts w:hint="eastAsia"/>
                <w:vertAlign w:val="subscript"/>
                <w:lang w:eastAsia="zh-CN"/>
              </w:rPr>
              <w:t>5</w:t>
            </w:r>
          </w:p>
        </w:tc>
        <w:tc>
          <w:tcPr>
            <w:tcW w:w="2534" w:type="pct"/>
            <w:tcBorders>
              <w:tl2br w:val="nil"/>
              <w:tr2bl w:val="nil"/>
            </w:tcBorders>
            <w:shd w:val="clear" w:color="auto" w:fill="auto"/>
            <w:noWrap w:val="0"/>
            <w:vAlign w:val="center"/>
          </w:tcPr>
          <w:p w14:paraId="04A5577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4</w:t>
            </w:r>
          </w:p>
        </w:tc>
      </w:tr>
      <w:tr w14:paraId="2F322A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780460C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氨氮</w:t>
            </w:r>
          </w:p>
        </w:tc>
        <w:tc>
          <w:tcPr>
            <w:tcW w:w="2534" w:type="pct"/>
            <w:tcBorders>
              <w:tl2br w:val="nil"/>
              <w:tr2bl w:val="nil"/>
            </w:tcBorders>
            <w:shd w:val="clear" w:color="auto" w:fill="auto"/>
            <w:noWrap w:val="0"/>
            <w:vAlign w:val="center"/>
          </w:tcPr>
          <w:p w14:paraId="54318C7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1.0</w:t>
            </w:r>
          </w:p>
        </w:tc>
      </w:tr>
      <w:tr w14:paraId="01C7E1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301E69B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总磷</w:t>
            </w:r>
          </w:p>
        </w:tc>
        <w:tc>
          <w:tcPr>
            <w:tcW w:w="2534" w:type="pct"/>
            <w:tcBorders>
              <w:tl2br w:val="nil"/>
              <w:tr2bl w:val="nil"/>
            </w:tcBorders>
            <w:shd w:val="clear" w:color="auto" w:fill="auto"/>
            <w:noWrap w:val="0"/>
            <w:vAlign w:val="center"/>
          </w:tcPr>
          <w:p w14:paraId="239E13C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0.2</w:t>
            </w:r>
          </w:p>
        </w:tc>
      </w:tr>
      <w:tr w14:paraId="40D2A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5" w:type="pct"/>
            <w:tcBorders>
              <w:tl2br w:val="nil"/>
              <w:tr2bl w:val="nil"/>
            </w:tcBorders>
            <w:shd w:val="clear" w:color="auto" w:fill="auto"/>
            <w:noWrap w:val="0"/>
            <w:vAlign w:val="center"/>
          </w:tcPr>
          <w:p w14:paraId="1C2B275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石油类</w:t>
            </w:r>
          </w:p>
        </w:tc>
        <w:tc>
          <w:tcPr>
            <w:tcW w:w="2534" w:type="pct"/>
            <w:tcBorders>
              <w:tl2br w:val="nil"/>
              <w:tr2bl w:val="nil"/>
            </w:tcBorders>
            <w:shd w:val="clear" w:color="auto" w:fill="auto"/>
            <w:noWrap w:val="0"/>
            <w:vAlign w:val="center"/>
          </w:tcPr>
          <w:p w14:paraId="769CE93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en-US" w:bidi="ar-SA"/>
              </w:rPr>
            </w:pPr>
            <w:r>
              <w:rPr>
                <w:rFonts w:hint="default"/>
              </w:rPr>
              <w:t>0.05</w:t>
            </w:r>
          </w:p>
        </w:tc>
      </w:tr>
    </w:tbl>
    <w:p w14:paraId="5C45FB23">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地下水质量标准</w:t>
      </w:r>
    </w:p>
    <w:p w14:paraId="7CF8E61E">
      <w:pPr>
        <w:shd w:val="clear" w:color="auto" w:fill="auto"/>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项目所在区域地下水水质执行《地下水质量标准》（GB/T 14848—2017）Ⅲ类标准。</w:t>
      </w:r>
    </w:p>
    <w:p w14:paraId="36C4D01F">
      <w:pPr>
        <w:pStyle w:val="39"/>
        <w:shd w:val="clear" w:color="auto" w:fill="auto"/>
        <w:rPr>
          <w:rFonts w:hint="default" w:ascii="Times New Roman" w:hAnsi="Times New Roman" w:cs="Times New Roman"/>
          <w:color w:val="auto"/>
          <w:szCs w:val="22"/>
          <w:highlight w:val="none"/>
          <w:u w:val="none" w:color="auto"/>
        </w:rPr>
      </w:pPr>
      <w:r>
        <w:rPr>
          <w:rFonts w:hint="default" w:ascii="Times New Roman" w:hAnsi="Times New Roman" w:cs="Times New Roman"/>
          <w:color w:val="auto"/>
          <w:szCs w:val="22"/>
          <w:highlight w:val="none"/>
          <w:u w:val="none" w:color="auto"/>
        </w:rPr>
        <w:t>表2.3-3    地下水质量标准   单位：mg/L（pH无量纲）</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71"/>
        <w:gridCol w:w="2783"/>
        <w:gridCol w:w="4165"/>
      </w:tblGrid>
      <w:tr w14:paraId="401DB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02BE82DD">
            <w:pPr>
              <w:pStyle w:val="43"/>
              <w:keepNext w:val="0"/>
              <w:keepLines w:val="0"/>
              <w:widowControl/>
              <w:suppressLineNumbers w:val="0"/>
              <w:spacing w:before="0" w:beforeAutospacing="0" w:after="0" w:afterAutospacing="0"/>
              <w:ind w:left="0"/>
              <w:jc w:val="center"/>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序号</w:t>
            </w:r>
          </w:p>
        </w:tc>
        <w:tc>
          <w:tcPr>
            <w:tcW w:w="1633" w:type="pct"/>
            <w:noWrap w:val="0"/>
            <w:vAlign w:val="center"/>
          </w:tcPr>
          <w:p w14:paraId="610E546E">
            <w:pPr>
              <w:pStyle w:val="43"/>
              <w:keepNext w:val="0"/>
              <w:keepLines w:val="0"/>
              <w:widowControl/>
              <w:suppressLineNumbers w:val="0"/>
              <w:spacing w:before="0" w:beforeAutospacing="0" w:after="0" w:afterAutospacing="0"/>
              <w:ind w:left="0"/>
              <w:jc w:val="center"/>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污染物</w:t>
            </w:r>
          </w:p>
        </w:tc>
        <w:tc>
          <w:tcPr>
            <w:tcW w:w="2444" w:type="pct"/>
            <w:noWrap w:val="0"/>
            <w:vAlign w:val="center"/>
          </w:tcPr>
          <w:p w14:paraId="3C280E95">
            <w:pPr>
              <w:pStyle w:val="43"/>
              <w:keepNext w:val="0"/>
              <w:keepLines w:val="0"/>
              <w:widowControl/>
              <w:suppressLineNumbers w:val="0"/>
              <w:spacing w:before="0" w:beforeAutospacing="0" w:after="0" w:afterAutospacing="0"/>
              <w:ind w:left="0"/>
              <w:jc w:val="center"/>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（GB/T 14848-2017）中Ⅲ类</w:t>
            </w:r>
          </w:p>
        </w:tc>
      </w:tr>
      <w:tr w14:paraId="6B8EE4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66A82CB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w:t>
            </w:r>
          </w:p>
        </w:tc>
        <w:tc>
          <w:tcPr>
            <w:tcW w:w="1633" w:type="pct"/>
            <w:noWrap w:val="0"/>
            <w:vAlign w:val="center"/>
          </w:tcPr>
          <w:p w14:paraId="60D95DE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pH</w:t>
            </w:r>
          </w:p>
        </w:tc>
        <w:tc>
          <w:tcPr>
            <w:tcW w:w="2444" w:type="pct"/>
            <w:noWrap w:val="0"/>
            <w:vAlign w:val="center"/>
          </w:tcPr>
          <w:p w14:paraId="167B8760">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6.5≤pH≤8.5</w:t>
            </w:r>
          </w:p>
        </w:tc>
      </w:tr>
      <w:tr w14:paraId="68DFA9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6CFD4E5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3</w:t>
            </w:r>
          </w:p>
        </w:tc>
        <w:tc>
          <w:tcPr>
            <w:tcW w:w="1633" w:type="pct"/>
            <w:noWrap w:val="0"/>
            <w:vAlign w:val="center"/>
          </w:tcPr>
          <w:p w14:paraId="283BFF6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钾</w:t>
            </w:r>
          </w:p>
        </w:tc>
        <w:tc>
          <w:tcPr>
            <w:tcW w:w="2444" w:type="pct"/>
            <w:noWrap w:val="0"/>
            <w:vAlign w:val="center"/>
          </w:tcPr>
          <w:p w14:paraId="3A5A25A5">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3785F3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4C4F67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4</w:t>
            </w:r>
          </w:p>
        </w:tc>
        <w:tc>
          <w:tcPr>
            <w:tcW w:w="1633" w:type="pct"/>
            <w:noWrap w:val="0"/>
            <w:vAlign w:val="center"/>
          </w:tcPr>
          <w:p w14:paraId="73E6296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纳</w:t>
            </w:r>
          </w:p>
        </w:tc>
        <w:tc>
          <w:tcPr>
            <w:tcW w:w="2444" w:type="pct"/>
            <w:noWrap w:val="0"/>
            <w:vAlign w:val="center"/>
          </w:tcPr>
          <w:p w14:paraId="75BDCC32">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≤200</w:t>
            </w:r>
          </w:p>
        </w:tc>
      </w:tr>
      <w:tr w14:paraId="02FCC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78BF7A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5</w:t>
            </w:r>
          </w:p>
        </w:tc>
        <w:tc>
          <w:tcPr>
            <w:tcW w:w="1633" w:type="pct"/>
            <w:noWrap w:val="0"/>
            <w:vAlign w:val="center"/>
          </w:tcPr>
          <w:p w14:paraId="5E3BCDA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钙</w:t>
            </w:r>
          </w:p>
        </w:tc>
        <w:tc>
          <w:tcPr>
            <w:tcW w:w="2444" w:type="pct"/>
            <w:noWrap w:val="0"/>
            <w:vAlign w:val="center"/>
          </w:tcPr>
          <w:p w14:paraId="4EBA331B">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3493E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7C1C41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6</w:t>
            </w:r>
          </w:p>
        </w:tc>
        <w:tc>
          <w:tcPr>
            <w:tcW w:w="1633" w:type="pct"/>
            <w:noWrap w:val="0"/>
            <w:vAlign w:val="center"/>
          </w:tcPr>
          <w:p w14:paraId="3413D1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镁</w:t>
            </w:r>
          </w:p>
        </w:tc>
        <w:tc>
          <w:tcPr>
            <w:tcW w:w="2444" w:type="pct"/>
            <w:noWrap w:val="0"/>
            <w:vAlign w:val="center"/>
          </w:tcPr>
          <w:p w14:paraId="0A954956">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3465AF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438628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7</w:t>
            </w:r>
          </w:p>
        </w:tc>
        <w:tc>
          <w:tcPr>
            <w:tcW w:w="1633" w:type="pct"/>
            <w:noWrap w:val="0"/>
            <w:vAlign w:val="center"/>
          </w:tcPr>
          <w:p w14:paraId="6089BE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氨氮</w:t>
            </w:r>
          </w:p>
        </w:tc>
        <w:tc>
          <w:tcPr>
            <w:tcW w:w="2444" w:type="pct"/>
            <w:noWrap w:val="0"/>
            <w:vAlign w:val="center"/>
          </w:tcPr>
          <w:p w14:paraId="4333DCCC">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≤0.50</w:t>
            </w:r>
          </w:p>
        </w:tc>
      </w:tr>
      <w:tr w14:paraId="59F002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27396FD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8</w:t>
            </w:r>
          </w:p>
        </w:tc>
        <w:tc>
          <w:tcPr>
            <w:tcW w:w="1633" w:type="pct"/>
            <w:noWrap w:val="0"/>
            <w:vAlign w:val="center"/>
          </w:tcPr>
          <w:p w14:paraId="2DADA12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硝酸盐</w:t>
            </w:r>
          </w:p>
        </w:tc>
        <w:tc>
          <w:tcPr>
            <w:tcW w:w="2444" w:type="pct"/>
            <w:noWrap w:val="0"/>
            <w:vAlign w:val="center"/>
          </w:tcPr>
          <w:p w14:paraId="5D9C9F7E">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≤20.0</w:t>
            </w:r>
          </w:p>
        </w:tc>
      </w:tr>
      <w:tr w14:paraId="75BEC6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0DA73B0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9</w:t>
            </w:r>
          </w:p>
        </w:tc>
        <w:tc>
          <w:tcPr>
            <w:tcW w:w="1633" w:type="pct"/>
            <w:noWrap w:val="0"/>
            <w:vAlign w:val="center"/>
          </w:tcPr>
          <w:p w14:paraId="153AB8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亚硝酸盐</w:t>
            </w:r>
          </w:p>
        </w:tc>
        <w:tc>
          <w:tcPr>
            <w:tcW w:w="2444" w:type="pct"/>
            <w:noWrap w:val="0"/>
            <w:vAlign w:val="center"/>
          </w:tcPr>
          <w:p w14:paraId="6FD4F499">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≤1.00</w:t>
            </w:r>
          </w:p>
        </w:tc>
      </w:tr>
      <w:tr w14:paraId="0FC90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00F4C1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10</w:t>
            </w:r>
          </w:p>
        </w:tc>
        <w:tc>
          <w:tcPr>
            <w:tcW w:w="1633" w:type="pct"/>
            <w:noWrap w:val="0"/>
            <w:vAlign w:val="center"/>
          </w:tcPr>
          <w:p w14:paraId="2DD1206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氰化物</w:t>
            </w:r>
          </w:p>
        </w:tc>
        <w:tc>
          <w:tcPr>
            <w:tcW w:w="2444" w:type="pct"/>
            <w:noWrap w:val="0"/>
            <w:vAlign w:val="center"/>
          </w:tcPr>
          <w:p w14:paraId="3AAE9E4F">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≤0.05</w:t>
            </w:r>
          </w:p>
        </w:tc>
      </w:tr>
      <w:tr w14:paraId="645ED1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0CC95B6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11</w:t>
            </w:r>
          </w:p>
        </w:tc>
        <w:tc>
          <w:tcPr>
            <w:tcW w:w="1633" w:type="pct"/>
            <w:noWrap w:val="0"/>
            <w:vAlign w:val="center"/>
          </w:tcPr>
          <w:p w14:paraId="2C5147B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砷</w:t>
            </w:r>
          </w:p>
        </w:tc>
        <w:tc>
          <w:tcPr>
            <w:tcW w:w="2444" w:type="pct"/>
            <w:noWrap w:val="0"/>
            <w:vAlign w:val="center"/>
          </w:tcPr>
          <w:p w14:paraId="37B14922">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≤0.01</w:t>
            </w:r>
          </w:p>
        </w:tc>
      </w:tr>
      <w:tr w14:paraId="03EFC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71AD75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12</w:t>
            </w:r>
          </w:p>
        </w:tc>
        <w:tc>
          <w:tcPr>
            <w:tcW w:w="1633" w:type="pct"/>
            <w:noWrap w:val="0"/>
            <w:vAlign w:val="center"/>
          </w:tcPr>
          <w:p w14:paraId="68F025A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汞</w:t>
            </w:r>
          </w:p>
        </w:tc>
        <w:tc>
          <w:tcPr>
            <w:tcW w:w="2444" w:type="pct"/>
            <w:noWrap w:val="0"/>
            <w:vAlign w:val="center"/>
          </w:tcPr>
          <w:p w14:paraId="5702C660">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≤0.001</w:t>
            </w:r>
          </w:p>
        </w:tc>
      </w:tr>
      <w:tr w14:paraId="2B880D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53C006E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13</w:t>
            </w:r>
          </w:p>
        </w:tc>
        <w:tc>
          <w:tcPr>
            <w:tcW w:w="1633" w:type="pct"/>
            <w:noWrap w:val="0"/>
            <w:vAlign w:val="center"/>
          </w:tcPr>
          <w:p w14:paraId="611DD06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铬</w:t>
            </w:r>
          </w:p>
        </w:tc>
        <w:tc>
          <w:tcPr>
            <w:tcW w:w="2444" w:type="pct"/>
            <w:noWrap w:val="0"/>
            <w:vAlign w:val="center"/>
          </w:tcPr>
          <w:p w14:paraId="3E493B2D">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≤0.05</w:t>
            </w:r>
          </w:p>
        </w:tc>
      </w:tr>
      <w:tr w14:paraId="7A371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CB621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15</w:t>
            </w:r>
          </w:p>
        </w:tc>
        <w:tc>
          <w:tcPr>
            <w:tcW w:w="1633" w:type="pct"/>
            <w:noWrap w:val="0"/>
            <w:vAlign w:val="center"/>
          </w:tcPr>
          <w:p w14:paraId="798914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碳酸根</w:t>
            </w:r>
          </w:p>
        </w:tc>
        <w:tc>
          <w:tcPr>
            <w:tcW w:w="2444" w:type="pct"/>
            <w:noWrap w:val="0"/>
            <w:vAlign w:val="center"/>
          </w:tcPr>
          <w:p w14:paraId="5BBD9599">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≤0.02</w:t>
            </w:r>
          </w:p>
        </w:tc>
      </w:tr>
      <w:tr w14:paraId="62574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205DCB6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17</w:t>
            </w:r>
          </w:p>
        </w:tc>
        <w:tc>
          <w:tcPr>
            <w:tcW w:w="1633" w:type="pct"/>
            <w:noWrap w:val="0"/>
            <w:vAlign w:val="center"/>
          </w:tcPr>
          <w:p w14:paraId="045636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总硬度</w:t>
            </w:r>
          </w:p>
        </w:tc>
        <w:tc>
          <w:tcPr>
            <w:tcW w:w="2444" w:type="pct"/>
            <w:noWrap w:val="0"/>
            <w:vAlign w:val="center"/>
          </w:tcPr>
          <w:p w14:paraId="524802A8">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032A22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AA286B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18</w:t>
            </w:r>
          </w:p>
        </w:tc>
        <w:tc>
          <w:tcPr>
            <w:tcW w:w="1633" w:type="pct"/>
            <w:noWrap w:val="0"/>
            <w:vAlign w:val="center"/>
          </w:tcPr>
          <w:p w14:paraId="57233C4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氯化物</w:t>
            </w:r>
          </w:p>
        </w:tc>
        <w:tc>
          <w:tcPr>
            <w:tcW w:w="2444" w:type="pct"/>
            <w:noWrap w:val="0"/>
            <w:vAlign w:val="center"/>
          </w:tcPr>
          <w:p w14:paraId="1D0B7B45">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≤450</w:t>
            </w:r>
          </w:p>
        </w:tc>
      </w:tr>
      <w:tr w14:paraId="712434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6FC0AE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19</w:t>
            </w:r>
          </w:p>
        </w:tc>
        <w:tc>
          <w:tcPr>
            <w:tcW w:w="1633" w:type="pct"/>
            <w:noWrap w:val="0"/>
            <w:vAlign w:val="center"/>
          </w:tcPr>
          <w:p w14:paraId="4743984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硫酸盐</w:t>
            </w:r>
          </w:p>
        </w:tc>
        <w:tc>
          <w:tcPr>
            <w:tcW w:w="2444" w:type="pct"/>
            <w:noWrap w:val="0"/>
            <w:vAlign w:val="center"/>
          </w:tcPr>
          <w:p w14:paraId="6E107E7F">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≤250</w:t>
            </w:r>
          </w:p>
        </w:tc>
      </w:tr>
      <w:tr w14:paraId="280650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2D816B9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bookmarkStart w:id="54" w:name="_Toc15988"/>
            <w:r>
              <w:rPr>
                <w:rFonts w:hint="default" w:ascii="Times New Roman" w:hAnsi="Times New Roman" w:eastAsia="宋体" w:cs="Times New Roman"/>
                <w:color w:val="auto"/>
                <w:sz w:val="21"/>
                <w:szCs w:val="21"/>
                <w:highlight w:val="none"/>
                <w:u w:val="none" w:color="auto"/>
                <w:lang w:val="en-US" w:eastAsia="zh-CN"/>
              </w:rPr>
              <w:t>20</w:t>
            </w:r>
          </w:p>
        </w:tc>
        <w:tc>
          <w:tcPr>
            <w:tcW w:w="1633" w:type="pct"/>
            <w:noWrap w:val="0"/>
            <w:vAlign w:val="center"/>
          </w:tcPr>
          <w:p w14:paraId="3457C73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高锰酸盐指数</w:t>
            </w:r>
          </w:p>
        </w:tc>
        <w:tc>
          <w:tcPr>
            <w:tcW w:w="2444" w:type="pct"/>
            <w:noWrap w:val="0"/>
            <w:vAlign w:val="center"/>
          </w:tcPr>
          <w:p w14:paraId="099D89A4">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≤250</w:t>
            </w:r>
          </w:p>
        </w:tc>
      </w:tr>
      <w:tr w14:paraId="6706E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112D9D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21</w:t>
            </w:r>
          </w:p>
        </w:tc>
        <w:tc>
          <w:tcPr>
            <w:tcW w:w="1633" w:type="pct"/>
            <w:noWrap w:val="0"/>
            <w:vAlign w:val="center"/>
          </w:tcPr>
          <w:p w14:paraId="30B6C0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氟化物</w:t>
            </w:r>
          </w:p>
        </w:tc>
        <w:tc>
          <w:tcPr>
            <w:tcW w:w="2444" w:type="pct"/>
            <w:noWrap w:val="0"/>
            <w:vAlign w:val="center"/>
          </w:tcPr>
          <w:p w14:paraId="5998DD60">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73DEC4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73F4C88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22</w:t>
            </w:r>
          </w:p>
        </w:tc>
        <w:tc>
          <w:tcPr>
            <w:tcW w:w="1633" w:type="pct"/>
            <w:noWrap w:val="0"/>
            <w:vAlign w:val="center"/>
          </w:tcPr>
          <w:p w14:paraId="2A7AAC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挥发酚</w:t>
            </w:r>
          </w:p>
        </w:tc>
        <w:tc>
          <w:tcPr>
            <w:tcW w:w="2444" w:type="pct"/>
            <w:noWrap w:val="0"/>
            <w:vAlign w:val="center"/>
          </w:tcPr>
          <w:p w14:paraId="6126FF9E">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≤1.0</w:t>
            </w:r>
          </w:p>
        </w:tc>
      </w:tr>
      <w:tr w14:paraId="415C77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400022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23</w:t>
            </w:r>
          </w:p>
        </w:tc>
        <w:tc>
          <w:tcPr>
            <w:tcW w:w="1633" w:type="pct"/>
            <w:noWrap w:val="0"/>
            <w:vAlign w:val="center"/>
          </w:tcPr>
          <w:p w14:paraId="411A3C2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镉</w:t>
            </w:r>
          </w:p>
        </w:tc>
        <w:tc>
          <w:tcPr>
            <w:tcW w:w="2444" w:type="pct"/>
            <w:noWrap w:val="0"/>
            <w:vAlign w:val="center"/>
          </w:tcPr>
          <w:p w14:paraId="40EC999A">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≤0.002</w:t>
            </w:r>
          </w:p>
        </w:tc>
      </w:tr>
      <w:tr w14:paraId="64185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2FAE404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24</w:t>
            </w:r>
          </w:p>
        </w:tc>
        <w:tc>
          <w:tcPr>
            <w:tcW w:w="1633" w:type="pct"/>
            <w:noWrap w:val="0"/>
            <w:vAlign w:val="center"/>
          </w:tcPr>
          <w:p w14:paraId="551F4DB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val="en-US" w:eastAsia="zh-CN"/>
              </w:rPr>
              <w:t>铁</w:t>
            </w:r>
          </w:p>
        </w:tc>
        <w:tc>
          <w:tcPr>
            <w:tcW w:w="2444" w:type="pct"/>
            <w:noWrap w:val="0"/>
            <w:vAlign w:val="center"/>
          </w:tcPr>
          <w:p w14:paraId="35FB446D">
            <w:pPr>
              <w:pStyle w:val="43"/>
              <w:keepNext w:val="0"/>
              <w:keepLines w:val="0"/>
              <w:widowControl/>
              <w:suppressLineNumbers w:val="0"/>
              <w:bidi w:val="0"/>
              <w:spacing w:before="0" w:beforeAutospacing="0" w:after="0" w:afterAutospacing="0"/>
              <w:ind w:lef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3</w:t>
            </w:r>
          </w:p>
        </w:tc>
      </w:tr>
      <w:tr w14:paraId="1A5D6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3029FF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25</w:t>
            </w:r>
          </w:p>
        </w:tc>
        <w:tc>
          <w:tcPr>
            <w:tcW w:w="1633" w:type="pct"/>
            <w:noWrap w:val="0"/>
            <w:vAlign w:val="center"/>
          </w:tcPr>
          <w:p w14:paraId="172B275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val="en-US" w:eastAsia="zh-CN"/>
              </w:rPr>
              <w:t>铅</w:t>
            </w:r>
          </w:p>
        </w:tc>
        <w:tc>
          <w:tcPr>
            <w:tcW w:w="2444" w:type="pct"/>
            <w:noWrap w:val="0"/>
            <w:vAlign w:val="center"/>
          </w:tcPr>
          <w:p w14:paraId="551C2759">
            <w:pPr>
              <w:pStyle w:val="43"/>
              <w:keepNext w:val="0"/>
              <w:keepLines w:val="0"/>
              <w:widowControl/>
              <w:suppressLineNumbers w:val="0"/>
              <w:bidi w:val="0"/>
              <w:spacing w:before="0" w:beforeAutospacing="0" w:after="0" w:afterAutospacing="0"/>
              <w:ind w:lef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0.01</w:t>
            </w:r>
          </w:p>
        </w:tc>
      </w:tr>
      <w:tr w14:paraId="3B4EB8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46B6630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lang w:val="en-US" w:eastAsia="zh-CN"/>
              </w:rPr>
              <w:t>6</w:t>
            </w:r>
          </w:p>
        </w:tc>
        <w:tc>
          <w:tcPr>
            <w:tcW w:w="1633" w:type="pct"/>
            <w:noWrap w:val="0"/>
            <w:vAlign w:val="center"/>
          </w:tcPr>
          <w:p w14:paraId="241687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eastAsia="zh-CN"/>
              </w:rPr>
              <w:t>锰</w:t>
            </w:r>
          </w:p>
        </w:tc>
        <w:tc>
          <w:tcPr>
            <w:tcW w:w="2444" w:type="pct"/>
            <w:noWrap w:val="0"/>
            <w:vAlign w:val="center"/>
          </w:tcPr>
          <w:p w14:paraId="1F5FBFF0">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≤0.05</w:t>
            </w:r>
          </w:p>
        </w:tc>
      </w:tr>
      <w:tr w14:paraId="6834AD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3ED1880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27</w:t>
            </w:r>
          </w:p>
        </w:tc>
        <w:tc>
          <w:tcPr>
            <w:tcW w:w="1633" w:type="pct"/>
            <w:noWrap w:val="0"/>
            <w:vAlign w:val="center"/>
          </w:tcPr>
          <w:p w14:paraId="2077134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镍</w:t>
            </w:r>
          </w:p>
        </w:tc>
        <w:tc>
          <w:tcPr>
            <w:tcW w:w="2444" w:type="pct"/>
            <w:noWrap w:val="0"/>
            <w:vAlign w:val="center"/>
          </w:tcPr>
          <w:p w14:paraId="36B70C9A">
            <w:pPr>
              <w:pStyle w:val="43"/>
              <w:keepNext w:val="0"/>
              <w:keepLines w:val="0"/>
              <w:widowControl/>
              <w:suppressLineNumbers w:val="0"/>
              <w:bidi w:val="0"/>
              <w:spacing w:before="0" w:beforeAutospacing="0" w:after="0" w:afterAutospacing="0"/>
              <w:ind w:left="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0.02</w:t>
            </w:r>
          </w:p>
        </w:tc>
      </w:tr>
      <w:tr w14:paraId="113C1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pct"/>
            <w:noWrap w:val="0"/>
            <w:vAlign w:val="center"/>
          </w:tcPr>
          <w:p w14:paraId="1A75D4D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cs="Times New Roman"/>
                <w:color w:val="auto"/>
                <w:sz w:val="21"/>
                <w:szCs w:val="21"/>
                <w:highlight w:val="none"/>
                <w:u w:val="none" w:color="auto"/>
                <w:lang w:val="en-US" w:eastAsia="zh-CN"/>
              </w:rPr>
              <w:t>8</w:t>
            </w:r>
          </w:p>
        </w:tc>
        <w:tc>
          <w:tcPr>
            <w:tcW w:w="1633" w:type="pct"/>
            <w:noWrap w:val="0"/>
            <w:vAlign w:val="center"/>
          </w:tcPr>
          <w:p w14:paraId="6A1966D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总大肠菌群</w:t>
            </w:r>
          </w:p>
        </w:tc>
        <w:tc>
          <w:tcPr>
            <w:tcW w:w="2444" w:type="pct"/>
            <w:noWrap w:val="0"/>
            <w:vAlign w:val="center"/>
          </w:tcPr>
          <w:p w14:paraId="7AD74D01">
            <w:pPr>
              <w:pStyle w:val="43"/>
              <w:keepNext w:val="0"/>
              <w:keepLines w:val="0"/>
              <w:widowControl/>
              <w:suppressLineNumbers w:val="0"/>
              <w:bidi w:val="0"/>
              <w:spacing w:before="0" w:beforeAutospacing="0" w:after="0" w:afterAutospacing="0"/>
              <w:ind w:left="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≤0.10</w:t>
            </w:r>
          </w:p>
        </w:tc>
      </w:tr>
    </w:tbl>
    <w:p w14:paraId="28304C02">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声环境质量标准</w:t>
      </w:r>
    </w:p>
    <w:p w14:paraId="4FA60312">
      <w:pPr>
        <w:ind w:firstLine="48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val="en-US" w:eastAsia="zh-CN"/>
        </w:rPr>
        <w:t>东、南、西、北</w:t>
      </w:r>
      <w:r>
        <w:rPr>
          <w:rFonts w:hint="default" w:ascii="Times New Roman" w:hAnsi="Times New Roman" w:cs="Times New Roman"/>
          <w:color w:val="auto"/>
          <w:highlight w:val="none"/>
          <w:u w:val="none" w:color="auto"/>
          <w:lang w:val="en-US" w:eastAsia="zh-CN"/>
        </w:rPr>
        <w:t>厂界</w:t>
      </w:r>
      <w:r>
        <w:rPr>
          <w:rFonts w:hint="default" w:ascii="Times New Roman" w:hAnsi="Times New Roman" w:eastAsia="宋体" w:cs="Times New Roman"/>
          <w:color w:val="auto"/>
          <w:highlight w:val="none"/>
          <w:u w:val="none" w:color="auto"/>
          <w:lang w:val="en-US" w:eastAsia="zh-CN"/>
        </w:rPr>
        <w:t>声环境</w:t>
      </w:r>
      <w:r>
        <w:rPr>
          <w:rFonts w:hint="default" w:ascii="Times New Roman" w:hAnsi="Times New Roman" w:cs="Times New Roman"/>
          <w:color w:val="auto"/>
          <w:highlight w:val="none"/>
          <w:u w:val="none" w:color="auto"/>
        </w:rPr>
        <w:t>执行《声环境质量标准》（GB3096-2008）中的3类标准</w:t>
      </w:r>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具体限值详见表2.3-4。</w:t>
      </w:r>
    </w:p>
    <w:p w14:paraId="069BFF65">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表2.3-4    声环境质量标准    单位：dB（A）</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99"/>
        <w:gridCol w:w="1999"/>
        <w:gridCol w:w="1621"/>
      </w:tblGrid>
      <w:tr w14:paraId="5E529E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75" w:type="pct"/>
            <w:noWrap w:val="0"/>
            <w:vAlign w:val="center"/>
          </w:tcPr>
          <w:p w14:paraId="036EF7A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类别</w:t>
            </w:r>
          </w:p>
        </w:tc>
        <w:tc>
          <w:tcPr>
            <w:tcW w:w="1173" w:type="pct"/>
            <w:noWrap w:val="0"/>
            <w:vAlign w:val="center"/>
          </w:tcPr>
          <w:p w14:paraId="2CF1CC7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昼间</w:t>
            </w:r>
          </w:p>
        </w:tc>
        <w:tc>
          <w:tcPr>
            <w:tcW w:w="951" w:type="pct"/>
            <w:noWrap w:val="0"/>
            <w:vAlign w:val="center"/>
          </w:tcPr>
          <w:p w14:paraId="7C40C24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夜间</w:t>
            </w:r>
          </w:p>
        </w:tc>
      </w:tr>
      <w:tr w14:paraId="3F811C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75" w:type="pct"/>
            <w:noWrap w:val="0"/>
            <w:vAlign w:val="center"/>
          </w:tcPr>
          <w:p w14:paraId="1B2049D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GB3096-2008中3类标准</w:t>
            </w:r>
          </w:p>
        </w:tc>
        <w:tc>
          <w:tcPr>
            <w:tcW w:w="1173" w:type="pct"/>
            <w:noWrap w:val="0"/>
            <w:vAlign w:val="center"/>
          </w:tcPr>
          <w:p w14:paraId="4DFA7C3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≤65</w:t>
            </w:r>
          </w:p>
        </w:tc>
        <w:tc>
          <w:tcPr>
            <w:tcW w:w="951" w:type="pct"/>
            <w:noWrap w:val="0"/>
            <w:vAlign w:val="center"/>
          </w:tcPr>
          <w:p w14:paraId="75AAE04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≤55</w:t>
            </w:r>
          </w:p>
        </w:tc>
      </w:tr>
    </w:tbl>
    <w:p w14:paraId="15BE1318">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土壤环境质量标准</w:t>
      </w:r>
    </w:p>
    <w:p w14:paraId="6EB6BD7B">
      <w:pPr>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拟建地建设用地</w:t>
      </w:r>
      <w:r>
        <w:rPr>
          <w:rFonts w:hint="default" w:ascii="Times New Roman" w:hAnsi="Times New Roman" w:cs="Times New Roman"/>
          <w:highlight w:val="none"/>
          <w:u w:val="none" w:color="auto"/>
        </w:rPr>
        <w:t>土壤执行《土壤环境质量建设用地土壤污染风险管控标准（试行）》（GB36600-2018）风险筛选值中的第二类用地。</w:t>
      </w:r>
    </w:p>
    <w:p w14:paraId="70D31695">
      <w:pPr>
        <w:pStyle w:val="39"/>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 xml:space="preserve">表2.3-5  建设用地土壤污染风险筛选值     单位：mg/kg </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1677"/>
        <w:gridCol w:w="1196"/>
        <w:gridCol w:w="1277"/>
        <w:gridCol w:w="1292"/>
        <w:gridCol w:w="1224"/>
        <w:gridCol w:w="1307"/>
      </w:tblGrid>
      <w:tr w14:paraId="2E4C6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noWrap w:val="0"/>
            <w:vAlign w:val="center"/>
          </w:tcPr>
          <w:p w14:paraId="16769E9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序号</w:t>
            </w:r>
          </w:p>
        </w:tc>
        <w:tc>
          <w:tcPr>
            <w:tcW w:w="986" w:type="pct"/>
            <w:vMerge w:val="restart"/>
            <w:noWrap w:val="0"/>
            <w:vAlign w:val="center"/>
          </w:tcPr>
          <w:p w14:paraId="6E84956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污染物项目</w:t>
            </w:r>
          </w:p>
        </w:tc>
        <w:tc>
          <w:tcPr>
            <w:tcW w:w="691" w:type="pct"/>
            <w:vMerge w:val="restart"/>
            <w:noWrap w:val="0"/>
            <w:vAlign w:val="center"/>
          </w:tcPr>
          <w:p w14:paraId="222570B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CAS编号</w:t>
            </w:r>
          </w:p>
        </w:tc>
        <w:tc>
          <w:tcPr>
            <w:tcW w:w="1511" w:type="pct"/>
            <w:gridSpan w:val="2"/>
            <w:noWrap w:val="0"/>
            <w:vAlign w:val="center"/>
          </w:tcPr>
          <w:p w14:paraId="281AC0A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筛选值</w:t>
            </w:r>
          </w:p>
        </w:tc>
        <w:tc>
          <w:tcPr>
            <w:tcW w:w="1486" w:type="pct"/>
            <w:gridSpan w:val="2"/>
            <w:noWrap w:val="0"/>
            <w:vAlign w:val="center"/>
          </w:tcPr>
          <w:p w14:paraId="101019B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管制值</w:t>
            </w:r>
          </w:p>
        </w:tc>
      </w:tr>
      <w:tr w14:paraId="48591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noWrap w:val="0"/>
            <w:vAlign w:val="center"/>
          </w:tcPr>
          <w:p w14:paraId="3CB08FB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p>
        </w:tc>
        <w:tc>
          <w:tcPr>
            <w:tcW w:w="986" w:type="pct"/>
            <w:vMerge w:val="continue"/>
            <w:noWrap w:val="0"/>
            <w:vAlign w:val="center"/>
          </w:tcPr>
          <w:p w14:paraId="551C9DC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p>
        </w:tc>
        <w:tc>
          <w:tcPr>
            <w:tcW w:w="691" w:type="pct"/>
            <w:vMerge w:val="continue"/>
            <w:noWrap w:val="0"/>
            <w:vAlign w:val="center"/>
          </w:tcPr>
          <w:p w14:paraId="3EF8680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p>
        </w:tc>
        <w:tc>
          <w:tcPr>
            <w:tcW w:w="751" w:type="pct"/>
            <w:noWrap w:val="0"/>
            <w:vAlign w:val="center"/>
          </w:tcPr>
          <w:p w14:paraId="77AC483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第一类用地</w:t>
            </w:r>
          </w:p>
        </w:tc>
        <w:tc>
          <w:tcPr>
            <w:tcW w:w="760" w:type="pct"/>
            <w:noWrap w:val="0"/>
            <w:vAlign w:val="center"/>
          </w:tcPr>
          <w:p w14:paraId="698207A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第二类用地</w:t>
            </w:r>
          </w:p>
        </w:tc>
        <w:tc>
          <w:tcPr>
            <w:tcW w:w="720" w:type="pct"/>
            <w:noWrap w:val="0"/>
            <w:vAlign w:val="center"/>
          </w:tcPr>
          <w:p w14:paraId="1C045A2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第一类用地</w:t>
            </w:r>
          </w:p>
        </w:tc>
        <w:tc>
          <w:tcPr>
            <w:tcW w:w="765" w:type="pct"/>
            <w:noWrap w:val="0"/>
            <w:vAlign w:val="center"/>
          </w:tcPr>
          <w:p w14:paraId="3FC9704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第二类用地</w:t>
            </w:r>
          </w:p>
        </w:tc>
      </w:tr>
      <w:tr w14:paraId="7B9A8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noWrap w:val="0"/>
            <w:vAlign w:val="center"/>
          </w:tcPr>
          <w:p w14:paraId="667445C8">
            <w:pPr>
              <w:keepNext w:val="0"/>
              <w:keepLines w:val="0"/>
              <w:widowControl/>
              <w:suppressLineNumbers w:val="0"/>
              <w:snapToGrid w:val="0"/>
              <w:spacing w:before="0" w:beforeAutospacing="0" w:after="0" w:afterAutospacing="0" w:line="240" w:lineRule="auto"/>
              <w:ind w:left="0" w:right="0" w:firstLine="0" w:firstLineChars="0"/>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重金属和无机物</w:t>
            </w:r>
          </w:p>
        </w:tc>
      </w:tr>
      <w:tr w14:paraId="7F2A27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1619838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w:t>
            </w:r>
          </w:p>
        </w:tc>
        <w:tc>
          <w:tcPr>
            <w:tcW w:w="986" w:type="pct"/>
            <w:noWrap w:val="0"/>
            <w:vAlign w:val="center"/>
          </w:tcPr>
          <w:p w14:paraId="2A85F7B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砷</w:t>
            </w:r>
          </w:p>
        </w:tc>
        <w:tc>
          <w:tcPr>
            <w:tcW w:w="691" w:type="pct"/>
            <w:noWrap w:val="0"/>
            <w:vAlign w:val="center"/>
          </w:tcPr>
          <w:p w14:paraId="4F61855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7440-38-2</w:t>
            </w:r>
          </w:p>
        </w:tc>
        <w:tc>
          <w:tcPr>
            <w:tcW w:w="751" w:type="pct"/>
            <w:noWrap w:val="0"/>
            <w:vAlign w:val="center"/>
          </w:tcPr>
          <w:p w14:paraId="271943A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c>
          <w:tcPr>
            <w:tcW w:w="760" w:type="pct"/>
            <w:noWrap w:val="0"/>
            <w:vAlign w:val="center"/>
          </w:tcPr>
          <w:p w14:paraId="04435C0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60</w:t>
            </w:r>
          </w:p>
        </w:tc>
        <w:tc>
          <w:tcPr>
            <w:tcW w:w="720" w:type="pct"/>
            <w:noWrap w:val="0"/>
            <w:vAlign w:val="center"/>
          </w:tcPr>
          <w:p w14:paraId="2DEFC5A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w:t>
            </w:r>
          </w:p>
        </w:tc>
        <w:tc>
          <w:tcPr>
            <w:tcW w:w="765" w:type="pct"/>
            <w:noWrap w:val="0"/>
            <w:vAlign w:val="center"/>
          </w:tcPr>
          <w:p w14:paraId="661A635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140</w:t>
            </w:r>
          </w:p>
        </w:tc>
      </w:tr>
      <w:tr w14:paraId="1796B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B8F006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w:t>
            </w:r>
          </w:p>
        </w:tc>
        <w:tc>
          <w:tcPr>
            <w:tcW w:w="986" w:type="pct"/>
            <w:noWrap w:val="0"/>
            <w:vAlign w:val="center"/>
          </w:tcPr>
          <w:p w14:paraId="236414D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镉</w:t>
            </w:r>
          </w:p>
        </w:tc>
        <w:tc>
          <w:tcPr>
            <w:tcW w:w="691" w:type="pct"/>
            <w:noWrap w:val="0"/>
            <w:vAlign w:val="center"/>
          </w:tcPr>
          <w:p w14:paraId="306F5E3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7440-43-9</w:t>
            </w:r>
          </w:p>
        </w:tc>
        <w:tc>
          <w:tcPr>
            <w:tcW w:w="751" w:type="pct"/>
            <w:noWrap w:val="0"/>
            <w:vAlign w:val="center"/>
          </w:tcPr>
          <w:p w14:paraId="6703372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c>
          <w:tcPr>
            <w:tcW w:w="760" w:type="pct"/>
            <w:noWrap w:val="0"/>
            <w:vAlign w:val="center"/>
          </w:tcPr>
          <w:p w14:paraId="52D3F60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65</w:t>
            </w:r>
          </w:p>
        </w:tc>
        <w:tc>
          <w:tcPr>
            <w:tcW w:w="720" w:type="pct"/>
            <w:noWrap w:val="0"/>
            <w:vAlign w:val="center"/>
          </w:tcPr>
          <w:p w14:paraId="613F2EC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47</w:t>
            </w:r>
          </w:p>
        </w:tc>
        <w:tc>
          <w:tcPr>
            <w:tcW w:w="765" w:type="pct"/>
            <w:noWrap w:val="0"/>
            <w:vAlign w:val="center"/>
          </w:tcPr>
          <w:p w14:paraId="0514B64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172</w:t>
            </w:r>
          </w:p>
        </w:tc>
      </w:tr>
      <w:tr w14:paraId="432DE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6B3E186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w:t>
            </w:r>
          </w:p>
        </w:tc>
        <w:tc>
          <w:tcPr>
            <w:tcW w:w="986" w:type="pct"/>
            <w:noWrap w:val="0"/>
            <w:vAlign w:val="center"/>
          </w:tcPr>
          <w:p w14:paraId="7431A15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铬（六价）</w:t>
            </w:r>
          </w:p>
        </w:tc>
        <w:tc>
          <w:tcPr>
            <w:tcW w:w="691" w:type="pct"/>
            <w:noWrap w:val="0"/>
            <w:vAlign w:val="center"/>
          </w:tcPr>
          <w:p w14:paraId="39BF348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18540-29-9</w:t>
            </w:r>
          </w:p>
        </w:tc>
        <w:tc>
          <w:tcPr>
            <w:tcW w:w="751" w:type="pct"/>
            <w:noWrap w:val="0"/>
            <w:vAlign w:val="center"/>
          </w:tcPr>
          <w:p w14:paraId="5221C9B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3.0</w:t>
            </w:r>
          </w:p>
        </w:tc>
        <w:tc>
          <w:tcPr>
            <w:tcW w:w="760" w:type="pct"/>
            <w:noWrap w:val="0"/>
            <w:vAlign w:val="center"/>
          </w:tcPr>
          <w:p w14:paraId="48BA959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5.7</w:t>
            </w:r>
          </w:p>
        </w:tc>
        <w:tc>
          <w:tcPr>
            <w:tcW w:w="720" w:type="pct"/>
            <w:noWrap w:val="0"/>
            <w:vAlign w:val="center"/>
          </w:tcPr>
          <w:p w14:paraId="0B56ADE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30</w:t>
            </w:r>
          </w:p>
        </w:tc>
        <w:tc>
          <w:tcPr>
            <w:tcW w:w="765" w:type="pct"/>
            <w:noWrap w:val="0"/>
            <w:vAlign w:val="center"/>
          </w:tcPr>
          <w:p w14:paraId="1BE45CD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78</w:t>
            </w:r>
          </w:p>
        </w:tc>
      </w:tr>
      <w:tr w14:paraId="0142A8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27B77B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w:t>
            </w:r>
          </w:p>
        </w:tc>
        <w:tc>
          <w:tcPr>
            <w:tcW w:w="986" w:type="pct"/>
            <w:noWrap w:val="0"/>
            <w:vAlign w:val="center"/>
          </w:tcPr>
          <w:p w14:paraId="7780802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铜</w:t>
            </w:r>
          </w:p>
        </w:tc>
        <w:tc>
          <w:tcPr>
            <w:tcW w:w="691" w:type="pct"/>
            <w:noWrap w:val="0"/>
            <w:vAlign w:val="center"/>
          </w:tcPr>
          <w:p w14:paraId="4283187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7440-50-8</w:t>
            </w:r>
          </w:p>
        </w:tc>
        <w:tc>
          <w:tcPr>
            <w:tcW w:w="751" w:type="pct"/>
            <w:noWrap w:val="0"/>
            <w:vAlign w:val="center"/>
          </w:tcPr>
          <w:p w14:paraId="1A3EF1B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2000</w:t>
            </w:r>
          </w:p>
        </w:tc>
        <w:tc>
          <w:tcPr>
            <w:tcW w:w="760" w:type="pct"/>
            <w:noWrap w:val="0"/>
            <w:vAlign w:val="center"/>
          </w:tcPr>
          <w:p w14:paraId="05A671F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18000</w:t>
            </w:r>
          </w:p>
        </w:tc>
        <w:tc>
          <w:tcPr>
            <w:tcW w:w="720" w:type="pct"/>
            <w:noWrap w:val="0"/>
            <w:vAlign w:val="center"/>
          </w:tcPr>
          <w:p w14:paraId="567B7E4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8000</w:t>
            </w:r>
          </w:p>
        </w:tc>
        <w:tc>
          <w:tcPr>
            <w:tcW w:w="765" w:type="pct"/>
            <w:noWrap w:val="0"/>
            <w:vAlign w:val="center"/>
          </w:tcPr>
          <w:p w14:paraId="0CB6D77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36000</w:t>
            </w:r>
          </w:p>
        </w:tc>
      </w:tr>
      <w:tr w14:paraId="6D5EE3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9DC8C5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986" w:type="pct"/>
            <w:noWrap w:val="0"/>
            <w:vAlign w:val="center"/>
          </w:tcPr>
          <w:p w14:paraId="684ECB2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铅</w:t>
            </w:r>
          </w:p>
        </w:tc>
        <w:tc>
          <w:tcPr>
            <w:tcW w:w="691" w:type="pct"/>
            <w:noWrap w:val="0"/>
            <w:vAlign w:val="center"/>
          </w:tcPr>
          <w:p w14:paraId="5F1981F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7439-92-1</w:t>
            </w:r>
          </w:p>
        </w:tc>
        <w:tc>
          <w:tcPr>
            <w:tcW w:w="751" w:type="pct"/>
            <w:noWrap w:val="0"/>
            <w:vAlign w:val="center"/>
          </w:tcPr>
          <w:p w14:paraId="7D766CD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400</w:t>
            </w:r>
          </w:p>
        </w:tc>
        <w:tc>
          <w:tcPr>
            <w:tcW w:w="760" w:type="pct"/>
            <w:noWrap w:val="0"/>
            <w:vAlign w:val="center"/>
          </w:tcPr>
          <w:p w14:paraId="6179D6D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800</w:t>
            </w:r>
          </w:p>
        </w:tc>
        <w:tc>
          <w:tcPr>
            <w:tcW w:w="720" w:type="pct"/>
            <w:noWrap w:val="0"/>
            <w:vAlign w:val="center"/>
          </w:tcPr>
          <w:p w14:paraId="13BA17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800</w:t>
            </w:r>
          </w:p>
        </w:tc>
        <w:tc>
          <w:tcPr>
            <w:tcW w:w="765" w:type="pct"/>
            <w:noWrap w:val="0"/>
            <w:vAlign w:val="center"/>
          </w:tcPr>
          <w:p w14:paraId="6E39A7E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2500</w:t>
            </w:r>
          </w:p>
        </w:tc>
      </w:tr>
      <w:tr w14:paraId="45797D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4B2EC84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w:t>
            </w:r>
          </w:p>
        </w:tc>
        <w:tc>
          <w:tcPr>
            <w:tcW w:w="986" w:type="pct"/>
            <w:noWrap w:val="0"/>
            <w:vAlign w:val="center"/>
          </w:tcPr>
          <w:p w14:paraId="30996CD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汞</w:t>
            </w:r>
          </w:p>
        </w:tc>
        <w:tc>
          <w:tcPr>
            <w:tcW w:w="691" w:type="pct"/>
            <w:noWrap w:val="0"/>
            <w:vAlign w:val="center"/>
          </w:tcPr>
          <w:p w14:paraId="0A02232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7439-97-6</w:t>
            </w:r>
          </w:p>
        </w:tc>
        <w:tc>
          <w:tcPr>
            <w:tcW w:w="751" w:type="pct"/>
            <w:noWrap w:val="0"/>
            <w:vAlign w:val="center"/>
          </w:tcPr>
          <w:p w14:paraId="7289E1B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w:t>
            </w:r>
          </w:p>
        </w:tc>
        <w:tc>
          <w:tcPr>
            <w:tcW w:w="760" w:type="pct"/>
            <w:noWrap w:val="0"/>
            <w:vAlign w:val="center"/>
          </w:tcPr>
          <w:p w14:paraId="3DC53C5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38</w:t>
            </w:r>
          </w:p>
        </w:tc>
        <w:tc>
          <w:tcPr>
            <w:tcW w:w="720" w:type="pct"/>
            <w:noWrap w:val="0"/>
            <w:vAlign w:val="center"/>
          </w:tcPr>
          <w:p w14:paraId="144D72D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33</w:t>
            </w:r>
          </w:p>
        </w:tc>
        <w:tc>
          <w:tcPr>
            <w:tcW w:w="765" w:type="pct"/>
            <w:noWrap w:val="0"/>
            <w:vAlign w:val="center"/>
          </w:tcPr>
          <w:p w14:paraId="5B667B7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82</w:t>
            </w:r>
          </w:p>
        </w:tc>
      </w:tr>
      <w:tr w14:paraId="33CBD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CA5F56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w:t>
            </w:r>
          </w:p>
        </w:tc>
        <w:tc>
          <w:tcPr>
            <w:tcW w:w="986" w:type="pct"/>
            <w:noWrap w:val="0"/>
            <w:vAlign w:val="center"/>
          </w:tcPr>
          <w:p w14:paraId="66E0D6A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镍</w:t>
            </w:r>
          </w:p>
        </w:tc>
        <w:tc>
          <w:tcPr>
            <w:tcW w:w="691" w:type="pct"/>
            <w:noWrap w:val="0"/>
            <w:vAlign w:val="center"/>
          </w:tcPr>
          <w:p w14:paraId="06423D1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7440-02-0</w:t>
            </w:r>
          </w:p>
        </w:tc>
        <w:tc>
          <w:tcPr>
            <w:tcW w:w="751" w:type="pct"/>
            <w:noWrap w:val="0"/>
            <w:vAlign w:val="center"/>
          </w:tcPr>
          <w:p w14:paraId="67EBA7E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150</w:t>
            </w:r>
          </w:p>
        </w:tc>
        <w:tc>
          <w:tcPr>
            <w:tcW w:w="760" w:type="pct"/>
            <w:noWrap w:val="0"/>
            <w:vAlign w:val="center"/>
          </w:tcPr>
          <w:p w14:paraId="265F1EF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900</w:t>
            </w:r>
          </w:p>
        </w:tc>
        <w:tc>
          <w:tcPr>
            <w:tcW w:w="720" w:type="pct"/>
            <w:noWrap w:val="0"/>
            <w:vAlign w:val="center"/>
          </w:tcPr>
          <w:p w14:paraId="2DAE71D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600</w:t>
            </w:r>
          </w:p>
        </w:tc>
        <w:tc>
          <w:tcPr>
            <w:tcW w:w="765" w:type="pct"/>
            <w:noWrap w:val="0"/>
            <w:vAlign w:val="center"/>
          </w:tcPr>
          <w:p w14:paraId="45F7F86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2000</w:t>
            </w:r>
          </w:p>
        </w:tc>
      </w:tr>
      <w:tr w14:paraId="215D6D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noWrap w:val="0"/>
            <w:vAlign w:val="center"/>
          </w:tcPr>
          <w:p w14:paraId="43B93F30">
            <w:pPr>
              <w:keepNext w:val="0"/>
              <w:keepLines w:val="0"/>
              <w:widowControl/>
              <w:suppressLineNumbers w:val="0"/>
              <w:snapToGrid w:val="0"/>
              <w:spacing w:before="0" w:beforeAutospacing="0" w:after="0" w:afterAutospacing="0" w:line="240" w:lineRule="auto"/>
              <w:ind w:left="0" w:right="0" w:firstLine="0" w:firstLineChars="0"/>
              <w:jc w:val="left"/>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挥发性有机物</w:t>
            </w:r>
          </w:p>
        </w:tc>
      </w:tr>
      <w:tr w14:paraId="4AD24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197507A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w:t>
            </w:r>
          </w:p>
        </w:tc>
        <w:tc>
          <w:tcPr>
            <w:tcW w:w="986" w:type="pct"/>
            <w:noWrap w:val="0"/>
            <w:vAlign w:val="center"/>
          </w:tcPr>
          <w:p w14:paraId="44836A1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四氯化碳</w:t>
            </w:r>
          </w:p>
        </w:tc>
        <w:tc>
          <w:tcPr>
            <w:tcW w:w="691" w:type="pct"/>
            <w:noWrap w:val="0"/>
            <w:vAlign w:val="center"/>
          </w:tcPr>
          <w:p w14:paraId="466E8B7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56-23-5</w:t>
            </w:r>
          </w:p>
        </w:tc>
        <w:tc>
          <w:tcPr>
            <w:tcW w:w="751" w:type="pct"/>
            <w:noWrap w:val="0"/>
            <w:vAlign w:val="center"/>
          </w:tcPr>
          <w:p w14:paraId="08E1E32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0.9</w:t>
            </w:r>
          </w:p>
        </w:tc>
        <w:tc>
          <w:tcPr>
            <w:tcW w:w="760" w:type="pct"/>
            <w:noWrap w:val="0"/>
            <w:vAlign w:val="center"/>
          </w:tcPr>
          <w:p w14:paraId="04A1BBC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w:t>
            </w:r>
          </w:p>
        </w:tc>
        <w:tc>
          <w:tcPr>
            <w:tcW w:w="720" w:type="pct"/>
            <w:noWrap w:val="0"/>
            <w:vAlign w:val="center"/>
          </w:tcPr>
          <w:p w14:paraId="2E3B882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w:t>
            </w:r>
          </w:p>
        </w:tc>
        <w:tc>
          <w:tcPr>
            <w:tcW w:w="765" w:type="pct"/>
            <w:noWrap w:val="0"/>
            <w:vAlign w:val="center"/>
          </w:tcPr>
          <w:p w14:paraId="5EDD8F2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36</w:t>
            </w:r>
          </w:p>
        </w:tc>
      </w:tr>
      <w:tr w14:paraId="0314D1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492CF2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w:t>
            </w:r>
          </w:p>
        </w:tc>
        <w:tc>
          <w:tcPr>
            <w:tcW w:w="986" w:type="pct"/>
            <w:noWrap w:val="0"/>
            <w:vAlign w:val="center"/>
          </w:tcPr>
          <w:p w14:paraId="40F768D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氯仿</w:t>
            </w:r>
          </w:p>
        </w:tc>
        <w:tc>
          <w:tcPr>
            <w:tcW w:w="691" w:type="pct"/>
            <w:noWrap w:val="0"/>
            <w:vAlign w:val="center"/>
          </w:tcPr>
          <w:p w14:paraId="6CBC75A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67-66-3</w:t>
            </w:r>
          </w:p>
        </w:tc>
        <w:tc>
          <w:tcPr>
            <w:tcW w:w="751" w:type="pct"/>
            <w:noWrap w:val="0"/>
            <w:vAlign w:val="center"/>
          </w:tcPr>
          <w:p w14:paraId="192C49F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0.3</w:t>
            </w:r>
          </w:p>
        </w:tc>
        <w:tc>
          <w:tcPr>
            <w:tcW w:w="760" w:type="pct"/>
            <w:noWrap w:val="0"/>
            <w:vAlign w:val="center"/>
          </w:tcPr>
          <w:p w14:paraId="0C136CF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0.9</w:t>
            </w:r>
          </w:p>
        </w:tc>
        <w:tc>
          <w:tcPr>
            <w:tcW w:w="720" w:type="pct"/>
            <w:noWrap w:val="0"/>
            <w:vAlign w:val="center"/>
          </w:tcPr>
          <w:p w14:paraId="4C0F218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765" w:type="pct"/>
            <w:noWrap w:val="0"/>
            <w:vAlign w:val="center"/>
          </w:tcPr>
          <w:p w14:paraId="43AC384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w:t>
            </w:r>
          </w:p>
        </w:tc>
      </w:tr>
      <w:tr w14:paraId="1B6F4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8B59EB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w:t>
            </w:r>
          </w:p>
        </w:tc>
        <w:tc>
          <w:tcPr>
            <w:tcW w:w="986" w:type="pct"/>
            <w:noWrap w:val="0"/>
            <w:vAlign w:val="center"/>
          </w:tcPr>
          <w:p w14:paraId="62F1819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eastAsia="zh-CN"/>
              </w:rPr>
            </w:pPr>
            <w:r>
              <w:rPr>
                <w:rFonts w:hint="default" w:ascii="Times New Roman" w:hAnsi="Times New Roman" w:cs="Times New Roman"/>
                <w:color w:val="auto"/>
                <w:kern w:val="0"/>
                <w:sz w:val="21"/>
                <w:szCs w:val="21"/>
                <w:highlight w:val="none"/>
                <w:u w:val="none" w:color="auto"/>
              </w:rPr>
              <w:t>氯</w:t>
            </w:r>
            <w:r>
              <w:rPr>
                <w:rFonts w:hint="default" w:ascii="Times New Roman" w:hAnsi="Times New Roman" w:eastAsia="宋体" w:cs="Times New Roman"/>
                <w:color w:val="auto"/>
                <w:kern w:val="0"/>
                <w:sz w:val="21"/>
                <w:szCs w:val="21"/>
                <w:highlight w:val="none"/>
                <w:u w:val="none" w:color="auto"/>
                <w:lang w:val="en-US" w:eastAsia="zh-CN"/>
              </w:rPr>
              <w:t>甲烷</w:t>
            </w:r>
          </w:p>
        </w:tc>
        <w:tc>
          <w:tcPr>
            <w:tcW w:w="691" w:type="pct"/>
            <w:noWrap w:val="0"/>
            <w:vAlign w:val="center"/>
          </w:tcPr>
          <w:p w14:paraId="5F077A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74-87-3</w:t>
            </w:r>
          </w:p>
        </w:tc>
        <w:tc>
          <w:tcPr>
            <w:tcW w:w="751" w:type="pct"/>
            <w:noWrap w:val="0"/>
            <w:vAlign w:val="center"/>
          </w:tcPr>
          <w:p w14:paraId="0DD7590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w:t>
            </w:r>
          </w:p>
        </w:tc>
        <w:tc>
          <w:tcPr>
            <w:tcW w:w="760" w:type="pct"/>
            <w:noWrap w:val="0"/>
            <w:vAlign w:val="center"/>
          </w:tcPr>
          <w:p w14:paraId="5CD7406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37</w:t>
            </w:r>
          </w:p>
        </w:tc>
        <w:tc>
          <w:tcPr>
            <w:tcW w:w="720" w:type="pct"/>
            <w:noWrap w:val="0"/>
            <w:vAlign w:val="center"/>
          </w:tcPr>
          <w:p w14:paraId="751206D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21</w:t>
            </w:r>
          </w:p>
        </w:tc>
        <w:tc>
          <w:tcPr>
            <w:tcW w:w="765" w:type="pct"/>
            <w:noWrap w:val="0"/>
            <w:vAlign w:val="center"/>
          </w:tcPr>
          <w:p w14:paraId="0F32233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w:t>
            </w:r>
          </w:p>
        </w:tc>
      </w:tr>
      <w:tr w14:paraId="265DB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0326BDF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w:t>
            </w:r>
          </w:p>
        </w:tc>
        <w:tc>
          <w:tcPr>
            <w:tcW w:w="986" w:type="pct"/>
            <w:noWrap w:val="0"/>
            <w:vAlign w:val="center"/>
          </w:tcPr>
          <w:p w14:paraId="4F44472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1,1-二氯乙烷</w:t>
            </w:r>
          </w:p>
        </w:tc>
        <w:tc>
          <w:tcPr>
            <w:tcW w:w="691" w:type="pct"/>
            <w:noWrap w:val="0"/>
            <w:vAlign w:val="center"/>
          </w:tcPr>
          <w:p w14:paraId="51E577C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75-34-3</w:t>
            </w:r>
          </w:p>
        </w:tc>
        <w:tc>
          <w:tcPr>
            <w:tcW w:w="751" w:type="pct"/>
            <w:noWrap w:val="0"/>
            <w:vAlign w:val="center"/>
          </w:tcPr>
          <w:p w14:paraId="785477E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w:t>
            </w:r>
          </w:p>
        </w:tc>
        <w:tc>
          <w:tcPr>
            <w:tcW w:w="760" w:type="pct"/>
            <w:noWrap w:val="0"/>
            <w:vAlign w:val="center"/>
          </w:tcPr>
          <w:p w14:paraId="0C54590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w:t>
            </w:r>
          </w:p>
        </w:tc>
        <w:tc>
          <w:tcPr>
            <w:tcW w:w="720" w:type="pct"/>
            <w:noWrap w:val="0"/>
            <w:vAlign w:val="center"/>
          </w:tcPr>
          <w:p w14:paraId="739CB3D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c>
          <w:tcPr>
            <w:tcW w:w="765" w:type="pct"/>
            <w:noWrap w:val="0"/>
            <w:vAlign w:val="center"/>
          </w:tcPr>
          <w:p w14:paraId="4B42E6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100</w:t>
            </w:r>
          </w:p>
        </w:tc>
      </w:tr>
      <w:tr w14:paraId="045447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F90587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w:t>
            </w:r>
          </w:p>
        </w:tc>
        <w:tc>
          <w:tcPr>
            <w:tcW w:w="986" w:type="pct"/>
            <w:noWrap w:val="0"/>
            <w:vAlign w:val="center"/>
          </w:tcPr>
          <w:p w14:paraId="67C75D6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1,2-二氯乙烷</w:t>
            </w:r>
          </w:p>
        </w:tc>
        <w:tc>
          <w:tcPr>
            <w:tcW w:w="691" w:type="pct"/>
            <w:noWrap w:val="0"/>
            <w:vAlign w:val="center"/>
          </w:tcPr>
          <w:p w14:paraId="3C81591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107-06-2</w:t>
            </w:r>
          </w:p>
        </w:tc>
        <w:tc>
          <w:tcPr>
            <w:tcW w:w="751" w:type="pct"/>
            <w:noWrap w:val="0"/>
            <w:vAlign w:val="center"/>
          </w:tcPr>
          <w:p w14:paraId="776B71D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0.52</w:t>
            </w:r>
          </w:p>
        </w:tc>
        <w:tc>
          <w:tcPr>
            <w:tcW w:w="760" w:type="pct"/>
            <w:noWrap w:val="0"/>
            <w:vAlign w:val="center"/>
          </w:tcPr>
          <w:p w14:paraId="6662E33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720" w:type="pct"/>
            <w:noWrap w:val="0"/>
            <w:vAlign w:val="center"/>
          </w:tcPr>
          <w:p w14:paraId="28FA52D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w:t>
            </w:r>
          </w:p>
        </w:tc>
        <w:tc>
          <w:tcPr>
            <w:tcW w:w="765" w:type="pct"/>
            <w:noWrap w:val="0"/>
            <w:vAlign w:val="center"/>
          </w:tcPr>
          <w:p w14:paraId="734D8BC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21</w:t>
            </w:r>
          </w:p>
        </w:tc>
      </w:tr>
      <w:tr w14:paraId="36BE2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A582E2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13</w:t>
            </w:r>
          </w:p>
        </w:tc>
        <w:tc>
          <w:tcPr>
            <w:tcW w:w="986" w:type="pct"/>
            <w:noWrap w:val="0"/>
            <w:vAlign w:val="center"/>
          </w:tcPr>
          <w:p w14:paraId="72E7C45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1-二氯乙烯</w:t>
            </w:r>
          </w:p>
        </w:tc>
        <w:tc>
          <w:tcPr>
            <w:tcW w:w="691" w:type="pct"/>
            <w:noWrap w:val="0"/>
            <w:vAlign w:val="center"/>
          </w:tcPr>
          <w:p w14:paraId="4E63432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75-35-4</w:t>
            </w:r>
          </w:p>
        </w:tc>
        <w:tc>
          <w:tcPr>
            <w:tcW w:w="751" w:type="pct"/>
            <w:noWrap w:val="0"/>
            <w:vAlign w:val="center"/>
          </w:tcPr>
          <w:p w14:paraId="43EC492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w:t>
            </w:r>
          </w:p>
        </w:tc>
        <w:tc>
          <w:tcPr>
            <w:tcW w:w="760" w:type="pct"/>
            <w:noWrap w:val="0"/>
            <w:vAlign w:val="center"/>
          </w:tcPr>
          <w:p w14:paraId="62E1F1D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66</w:t>
            </w:r>
          </w:p>
        </w:tc>
        <w:tc>
          <w:tcPr>
            <w:tcW w:w="720" w:type="pct"/>
            <w:noWrap w:val="0"/>
            <w:vAlign w:val="center"/>
          </w:tcPr>
          <w:p w14:paraId="64F040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40</w:t>
            </w:r>
          </w:p>
        </w:tc>
        <w:tc>
          <w:tcPr>
            <w:tcW w:w="765" w:type="pct"/>
            <w:noWrap w:val="0"/>
            <w:vAlign w:val="center"/>
          </w:tcPr>
          <w:p w14:paraId="6E6A736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w:t>
            </w:r>
          </w:p>
        </w:tc>
      </w:tr>
      <w:tr w14:paraId="75CEAC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5AB1A6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14</w:t>
            </w:r>
          </w:p>
        </w:tc>
        <w:tc>
          <w:tcPr>
            <w:tcW w:w="986" w:type="pct"/>
            <w:noWrap w:val="0"/>
            <w:vAlign w:val="center"/>
          </w:tcPr>
          <w:p w14:paraId="7B2A727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顺-1</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2-二氯乙烯</w:t>
            </w:r>
          </w:p>
        </w:tc>
        <w:tc>
          <w:tcPr>
            <w:tcW w:w="691" w:type="pct"/>
            <w:noWrap w:val="0"/>
            <w:vAlign w:val="center"/>
          </w:tcPr>
          <w:p w14:paraId="6796B57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156-59-2</w:t>
            </w:r>
          </w:p>
        </w:tc>
        <w:tc>
          <w:tcPr>
            <w:tcW w:w="751" w:type="pct"/>
            <w:noWrap w:val="0"/>
            <w:vAlign w:val="center"/>
          </w:tcPr>
          <w:p w14:paraId="1BA36E4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66</w:t>
            </w:r>
          </w:p>
        </w:tc>
        <w:tc>
          <w:tcPr>
            <w:tcW w:w="760" w:type="pct"/>
            <w:noWrap w:val="0"/>
            <w:vAlign w:val="center"/>
          </w:tcPr>
          <w:p w14:paraId="1D09564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596</w:t>
            </w:r>
          </w:p>
        </w:tc>
        <w:tc>
          <w:tcPr>
            <w:tcW w:w="720" w:type="pct"/>
            <w:noWrap w:val="0"/>
            <w:vAlign w:val="center"/>
          </w:tcPr>
          <w:p w14:paraId="27C20F2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w:t>
            </w:r>
          </w:p>
        </w:tc>
        <w:tc>
          <w:tcPr>
            <w:tcW w:w="765" w:type="pct"/>
            <w:noWrap w:val="0"/>
            <w:vAlign w:val="center"/>
          </w:tcPr>
          <w:p w14:paraId="5EF2F21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2000</w:t>
            </w:r>
          </w:p>
        </w:tc>
      </w:tr>
      <w:tr w14:paraId="489F72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D47F16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986" w:type="pct"/>
            <w:noWrap w:val="0"/>
            <w:vAlign w:val="center"/>
          </w:tcPr>
          <w:p w14:paraId="0A62230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反-1</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2-二氯乙烯</w:t>
            </w:r>
          </w:p>
        </w:tc>
        <w:tc>
          <w:tcPr>
            <w:tcW w:w="691" w:type="pct"/>
            <w:noWrap w:val="0"/>
            <w:vAlign w:val="center"/>
          </w:tcPr>
          <w:p w14:paraId="69CC6B0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156-60-5</w:t>
            </w:r>
          </w:p>
        </w:tc>
        <w:tc>
          <w:tcPr>
            <w:tcW w:w="751" w:type="pct"/>
            <w:noWrap w:val="0"/>
            <w:vAlign w:val="center"/>
          </w:tcPr>
          <w:p w14:paraId="26C7C48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w:t>
            </w:r>
          </w:p>
        </w:tc>
        <w:tc>
          <w:tcPr>
            <w:tcW w:w="760" w:type="pct"/>
            <w:noWrap w:val="0"/>
            <w:vAlign w:val="center"/>
          </w:tcPr>
          <w:p w14:paraId="1B62679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54</w:t>
            </w:r>
          </w:p>
        </w:tc>
        <w:tc>
          <w:tcPr>
            <w:tcW w:w="720" w:type="pct"/>
            <w:noWrap w:val="0"/>
            <w:vAlign w:val="center"/>
          </w:tcPr>
          <w:p w14:paraId="2F5E8D0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31</w:t>
            </w:r>
          </w:p>
        </w:tc>
        <w:tc>
          <w:tcPr>
            <w:tcW w:w="765" w:type="pct"/>
            <w:noWrap w:val="0"/>
            <w:vAlign w:val="center"/>
          </w:tcPr>
          <w:p w14:paraId="6D96F30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163</w:t>
            </w:r>
          </w:p>
        </w:tc>
      </w:tr>
      <w:tr w14:paraId="548B16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40214D5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16</w:t>
            </w:r>
          </w:p>
        </w:tc>
        <w:tc>
          <w:tcPr>
            <w:tcW w:w="986" w:type="pct"/>
            <w:noWrap w:val="0"/>
            <w:vAlign w:val="center"/>
          </w:tcPr>
          <w:p w14:paraId="1E7858C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二氯甲烷</w:t>
            </w:r>
          </w:p>
        </w:tc>
        <w:tc>
          <w:tcPr>
            <w:tcW w:w="691" w:type="pct"/>
            <w:noWrap w:val="0"/>
            <w:vAlign w:val="center"/>
          </w:tcPr>
          <w:p w14:paraId="49E1ED6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75-09-2</w:t>
            </w:r>
          </w:p>
        </w:tc>
        <w:tc>
          <w:tcPr>
            <w:tcW w:w="751" w:type="pct"/>
            <w:noWrap w:val="0"/>
            <w:vAlign w:val="center"/>
          </w:tcPr>
          <w:p w14:paraId="2D759E9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94</w:t>
            </w:r>
          </w:p>
        </w:tc>
        <w:tc>
          <w:tcPr>
            <w:tcW w:w="760" w:type="pct"/>
            <w:noWrap w:val="0"/>
            <w:vAlign w:val="center"/>
          </w:tcPr>
          <w:p w14:paraId="5850422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616</w:t>
            </w:r>
          </w:p>
        </w:tc>
        <w:tc>
          <w:tcPr>
            <w:tcW w:w="720" w:type="pct"/>
            <w:noWrap w:val="0"/>
            <w:vAlign w:val="center"/>
          </w:tcPr>
          <w:p w14:paraId="0633BED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300</w:t>
            </w:r>
          </w:p>
        </w:tc>
        <w:tc>
          <w:tcPr>
            <w:tcW w:w="765" w:type="pct"/>
            <w:noWrap w:val="0"/>
            <w:vAlign w:val="center"/>
          </w:tcPr>
          <w:p w14:paraId="446FE31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2000</w:t>
            </w:r>
          </w:p>
        </w:tc>
      </w:tr>
      <w:tr w14:paraId="1AE23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66BFEF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17</w:t>
            </w:r>
          </w:p>
        </w:tc>
        <w:tc>
          <w:tcPr>
            <w:tcW w:w="986" w:type="pct"/>
            <w:noWrap w:val="0"/>
            <w:vAlign w:val="center"/>
          </w:tcPr>
          <w:p w14:paraId="4A63CAE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1,2-二氯丙烷</w:t>
            </w:r>
          </w:p>
        </w:tc>
        <w:tc>
          <w:tcPr>
            <w:tcW w:w="691" w:type="pct"/>
            <w:noWrap w:val="0"/>
            <w:vAlign w:val="center"/>
          </w:tcPr>
          <w:p w14:paraId="46774DB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78-87-5</w:t>
            </w:r>
          </w:p>
        </w:tc>
        <w:tc>
          <w:tcPr>
            <w:tcW w:w="751" w:type="pct"/>
            <w:noWrap w:val="0"/>
            <w:vAlign w:val="center"/>
          </w:tcPr>
          <w:p w14:paraId="4399821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w:t>
            </w:r>
          </w:p>
        </w:tc>
        <w:tc>
          <w:tcPr>
            <w:tcW w:w="760" w:type="pct"/>
            <w:noWrap w:val="0"/>
            <w:vAlign w:val="center"/>
          </w:tcPr>
          <w:p w14:paraId="6461C99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720" w:type="pct"/>
            <w:noWrap w:val="0"/>
            <w:vAlign w:val="center"/>
          </w:tcPr>
          <w:p w14:paraId="4B3C2F1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765" w:type="pct"/>
            <w:noWrap w:val="0"/>
            <w:vAlign w:val="center"/>
          </w:tcPr>
          <w:p w14:paraId="07F33E7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47</w:t>
            </w:r>
          </w:p>
        </w:tc>
      </w:tr>
      <w:tr w14:paraId="488D60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CF7FC3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18</w:t>
            </w:r>
          </w:p>
        </w:tc>
        <w:tc>
          <w:tcPr>
            <w:tcW w:w="986" w:type="pct"/>
            <w:noWrap w:val="0"/>
            <w:vAlign w:val="center"/>
          </w:tcPr>
          <w:p w14:paraId="0CE221A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1,1,1,2-四氯乙烷</w:t>
            </w:r>
          </w:p>
        </w:tc>
        <w:tc>
          <w:tcPr>
            <w:tcW w:w="691" w:type="pct"/>
            <w:noWrap w:val="0"/>
            <w:vAlign w:val="center"/>
          </w:tcPr>
          <w:p w14:paraId="46E3636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630-20-6</w:t>
            </w:r>
          </w:p>
        </w:tc>
        <w:tc>
          <w:tcPr>
            <w:tcW w:w="751" w:type="pct"/>
            <w:noWrap w:val="0"/>
            <w:vAlign w:val="center"/>
          </w:tcPr>
          <w:p w14:paraId="3D678EF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2.6</w:t>
            </w:r>
          </w:p>
        </w:tc>
        <w:tc>
          <w:tcPr>
            <w:tcW w:w="760" w:type="pct"/>
            <w:noWrap w:val="0"/>
            <w:vAlign w:val="center"/>
          </w:tcPr>
          <w:p w14:paraId="5F52E72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w:t>
            </w:r>
          </w:p>
        </w:tc>
        <w:tc>
          <w:tcPr>
            <w:tcW w:w="720" w:type="pct"/>
            <w:noWrap w:val="0"/>
            <w:vAlign w:val="center"/>
          </w:tcPr>
          <w:p w14:paraId="40AD951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26</w:t>
            </w:r>
          </w:p>
        </w:tc>
        <w:tc>
          <w:tcPr>
            <w:tcW w:w="765" w:type="pct"/>
            <w:noWrap w:val="0"/>
            <w:vAlign w:val="center"/>
          </w:tcPr>
          <w:p w14:paraId="2EDE99A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100</w:t>
            </w:r>
          </w:p>
        </w:tc>
      </w:tr>
      <w:tr w14:paraId="2A7A13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1F7FAA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19</w:t>
            </w:r>
          </w:p>
        </w:tc>
        <w:tc>
          <w:tcPr>
            <w:tcW w:w="986" w:type="pct"/>
            <w:noWrap w:val="0"/>
            <w:vAlign w:val="center"/>
          </w:tcPr>
          <w:p w14:paraId="70E07EA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1,1,2,2-四氯乙烷</w:t>
            </w:r>
          </w:p>
        </w:tc>
        <w:tc>
          <w:tcPr>
            <w:tcW w:w="691" w:type="pct"/>
            <w:noWrap w:val="0"/>
            <w:vAlign w:val="center"/>
          </w:tcPr>
          <w:p w14:paraId="17630DA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79-34-5</w:t>
            </w:r>
          </w:p>
        </w:tc>
        <w:tc>
          <w:tcPr>
            <w:tcW w:w="751" w:type="pct"/>
            <w:noWrap w:val="0"/>
            <w:vAlign w:val="center"/>
          </w:tcPr>
          <w:p w14:paraId="425E344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1.6</w:t>
            </w:r>
          </w:p>
        </w:tc>
        <w:tc>
          <w:tcPr>
            <w:tcW w:w="760" w:type="pct"/>
            <w:noWrap w:val="0"/>
            <w:vAlign w:val="center"/>
          </w:tcPr>
          <w:p w14:paraId="6A64F24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6.8</w:t>
            </w:r>
          </w:p>
        </w:tc>
        <w:tc>
          <w:tcPr>
            <w:tcW w:w="720" w:type="pct"/>
            <w:noWrap w:val="0"/>
            <w:vAlign w:val="center"/>
          </w:tcPr>
          <w:p w14:paraId="5D48E35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14</w:t>
            </w:r>
          </w:p>
        </w:tc>
        <w:tc>
          <w:tcPr>
            <w:tcW w:w="765" w:type="pct"/>
            <w:noWrap w:val="0"/>
            <w:vAlign w:val="center"/>
          </w:tcPr>
          <w:p w14:paraId="2CD7DBD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50</w:t>
            </w:r>
          </w:p>
        </w:tc>
      </w:tr>
      <w:tr w14:paraId="051BC1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43B8F3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c>
          <w:tcPr>
            <w:tcW w:w="986" w:type="pct"/>
            <w:noWrap w:val="0"/>
            <w:vAlign w:val="center"/>
          </w:tcPr>
          <w:p w14:paraId="2A47120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四氯乙烯</w:t>
            </w:r>
          </w:p>
        </w:tc>
        <w:tc>
          <w:tcPr>
            <w:tcW w:w="691" w:type="pct"/>
            <w:noWrap w:val="0"/>
            <w:vAlign w:val="center"/>
          </w:tcPr>
          <w:p w14:paraId="026E588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127-18-4</w:t>
            </w:r>
          </w:p>
        </w:tc>
        <w:tc>
          <w:tcPr>
            <w:tcW w:w="751" w:type="pct"/>
            <w:noWrap w:val="0"/>
            <w:vAlign w:val="center"/>
          </w:tcPr>
          <w:p w14:paraId="73BA800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w:t>
            </w:r>
          </w:p>
        </w:tc>
        <w:tc>
          <w:tcPr>
            <w:tcW w:w="760" w:type="pct"/>
            <w:noWrap w:val="0"/>
            <w:vAlign w:val="center"/>
          </w:tcPr>
          <w:p w14:paraId="25D02D8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53</w:t>
            </w:r>
          </w:p>
        </w:tc>
        <w:tc>
          <w:tcPr>
            <w:tcW w:w="720" w:type="pct"/>
            <w:noWrap w:val="0"/>
            <w:vAlign w:val="center"/>
          </w:tcPr>
          <w:p w14:paraId="30C1B17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34</w:t>
            </w:r>
          </w:p>
        </w:tc>
        <w:tc>
          <w:tcPr>
            <w:tcW w:w="765" w:type="pct"/>
            <w:noWrap w:val="0"/>
            <w:vAlign w:val="center"/>
          </w:tcPr>
          <w:p w14:paraId="1CFB5CF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183</w:t>
            </w:r>
          </w:p>
        </w:tc>
      </w:tr>
      <w:tr w14:paraId="22D810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BB0002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21</w:t>
            </w:r>
          </w:p>
        </w:tc>
        <w:tc>
          <w:tcPr>
            <w:tcW w:w="986" w:type="pct"/>
            <w:noWrap w:val="0"/>
            <w:vAlign w:val="center"/>
          </w:tcPr>
          <w:p w14:paraId="7631DD7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1,1,1-三氯乙烷</w:t>
            </w:r>
          </w:p>
        </w:tc>
        <w:tc>
          <w:tcPr>
            <w:tcW w:w="691" w:type="pct"/>
            <w:noWrap w:val="0"/>
            <w:vAlign w:val="center"/>
          </w:tcPr>
          <w:p w14:paraId="71B40F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71-55-6</w:t>
            </w:r>
          </w:p>
        </w:tc>
        <w:tc>
          <w:tcPr>
            <w:tcW w:w="751" w:type="pct"/>
            <w:noWrap w:val="0"/>
            <w:vAlign w:val="center"/>
          </w:tcPr>
          <w:p w14:paraId="6A303C4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701</w:t>
            </w:r>
          </w:p>
        </w:tc>
        <w:tc>
          <w:tcPr>
            <w:tcW w:w="760" w:type="pct"/>
            <w:noWrap w:val="0"/>
            <w:vAlign w:val="center"/>
          </w:tcPr>
          <w:p w14:paraId="622FFDD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840</w:t>
            </w:r>
          </w:p>
        </w:tc>
        <w:tc>
          <w:tcPr>
            <w:tcW w:w="720" w:type="pct"/>
            <w:noWrap w:val="0"/>
            <w:vAlign w:val="center"/>
          </w:tcPr>
          <w:p w14:paraId="28543B0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840</w:t>
            </w:r>
          </w:p>
        </w:tc>
        <w:tc>
          <w:tcPr>
            <w:tcW w:w="765" w:type="pct"/>
            <w:noWrap w:val="0"/>
            <w:vAlign w:val="center"/>
          </w:tcPr>
          <w:p w14:paraId="165F561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840</w:t>
            </w:r>
          </w:p>
        </w:tc>
      </w:tr>
      <w:tr w14:paraId="556AF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6118A97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22</w:t>
            </w:r>
          </w:p>
        </w:tc>
        <w:tc>
          <w:tcPr>
            <w:tcW w:w="986" w:type="pct"/>
            <w:noWrap w:val="0"/>
            <w:vAlign w:val="center"/>
          </w:tcPr>
          <w:p w14:paraId="7C7DA02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1,1,2-三氯乙烷</w:t>
            </w:r>
          </w:p>
        </w:tc>
        <w:tc>
          <w:tcPr>
            <w:tcW w:w="691" w:type="pct"/>
            <w:noWrap w:val="0"/>
            <w:vAlign w:val="center"/>
          </w:tcPr>
          <w:p w14:paraId="1FCDFDA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79-00-5</w:t>
            </w:r>
          </w:p>
        </w:tc>
        <w:tc>
          <w:tcPr>
            <w:tcW w:w="751" w:type="pct"/>
            <w:noWrap w:val="0"/>
            <w:vAlign w:val="center"/>
          </w:tcPr>
          <w:p w14:paraId="1B0F81D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0.6</w:t>
            </w:r>
          </w:p>
        </w:tc>
        <w:tc>
          <w:tcPr>
            <w:tcW w:w="760" w:type="pct"/>
            <w:noWrap w:val="0"/>
            <w:vAlign w:val="center"/>
          </w:tcPr>
          <w:p w14:paraId="648232D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w:t>
            </w:r>
          </w:p>
        </w:tc>
        <w:tc>
          <w:tcPr>
            <w:tcW w:w="720" w:type="pct"/>
            <w:noWrap w:val="0"/>
            <w:vAlign w:val="center"/>
          </w:tcPr>
          <w:p w14:paraId="30ECF45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c>
          <w:tcPr>
            <w:tcW w:w="765" w:type="pct"/>
            <w:noWrap w:val="0"/>
            <w:vAlign w:val="center"/>
          </w:tcPr>
          <w:p w14:paraId="28631D5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r>
      <w:tr w14:paraId="4F5BE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4113919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23</w:t>
            </w:r>
          </w:p>
        </w:tc>
        <w:tc>
          <w:tcPr>
            <w:tcW w:w="986" w:type="pct"/>
            <w:noWrap w:val="0"/>
            <w:vAlign w:val="center"/>
          </w:tcPr>
          <w:p w14:paraId="554DBCB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三氯乙烯</w:t>
            </w:r>
          </w:p>
        </w:tc>
        <w:tc>
          <w:tcPr>
            <w:tcW w:w="691" w:type="pct"/>
            <w:noWrap w:val="0"/>
            <w:vAlign w:val="center"/>
          </w:tcPr>
          <w:p w14:paraId="44434F5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79-01-6</w:t>
            </w:r>
          </w:p>
        </w:tc>
        <w:tc>
          <w:tcPr>
            <w:tcW w:w="751" w:type="pct"/>
            <w:noWrap w:val="0"/>
            <w:vAlign w:val="center"/>
          </w:tcPr>
          <w:p w14:paraId="59E9211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0.7</w:t>
            </w:r>
          </w:p>
        </w:tc>
        <w:tc>
          <w:tcPr>
            <w:tcW w:w="760" w:type="pct"/>
            <w:noWrap w:val="0"/>
            <w:vAlign w:val="center"/>
          </w:tcPr>
          <w:p w14:paraId="45972D3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w:t>
            </w:r>
          </w:p>
        </w:tc>
        <w:tc>
          <w:tcPr>
            <w:tcW w:w="720" w:type="pct"/>
            <w:noWrap w:val="0"/>
            <w:vAlign w:val="center"/>
          </w:tcPr>
          <w:p w14:paraId="5BBB299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w:t>
            </w:r>
          </w:p>
        </w:tc>
        <w:tc>
          <w:tcPr>
            <w:tcW w:w="765" w:type="pct"/>
            <w:noWrap w:val="0"/>
            <w:vAlign w:val="center"/>
          </w:tcPr>
          <w:p w14:paraId="34F0F7B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r>
      <w:tr w14:paraId="49478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2FB63C7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24</w:t>
            </w:r>
          </w:p>
        </w:tc>
        <w:tc>
          <w:tcPr>
            <w:tcW w:w="986" w:type="pct"/>
            <w:noWrap w:val="0"/>
            <w:vAlign w:val="center"/>
          </w:tcPr>
          <w:p w14:paraId="7F4D36F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2,3-三氯丙烷</w:t>
            </w:r>
          </w:p>
        </w:tc>
        <w:tc>
          <w:tcPr>
            <w:tcW w:w="691" w:type="pct"/>
            <w:noWrap w:val="0"/>
            <w:vAlign w:val="center"/>
          </w:tcPr>
          <w:p w14:paraId="52C51EE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96-18-4</w:t>
            </w:r>
          </w:p>
        </w:tc>
        <w:tc>
          <w:tcPr>
            <w:tcW w:w="751" w:type="pct"/>
            <w:noWrap w:val="0"/>
            <w:vAlign w:val="center"/>
          </w:tcPr>
          <w:p w14:paraId="14D6240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0.05</w:t>
            </w:r>
          </w:p>
        </w:tc>
        <w:tc>
          <w:tcPr>
            <w:tcW w:w="760" w:type="pct"/>
            <w:noWrap w:val="0"/>
            <w:vAlign w:val="center"/>
          </w:tcPr>
          <w:p w14:paraId="5CA1DBF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0.5</w:t>
            </w:r>
          </w:p>
        </w:tc>
        <w:tc>
          <w:tcPr>
            <w:tcW w:w="720" w:type="pct"/>
            <w:noWrap w:val="0"/>
            <w:vAlign w:val="center"/>
          </w:tcPr>
          <w:p w14:paraId="71BC9C1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0.5</w:t>
            </w:r>
          </w:p>
        </w:tc>
        <w:tc>
          <w:tcPr>
            <w:tcW w:w="765" w:type="pct"/>
            <w:noWrap w:val="0"/>
            <w:vAlign w:val="center"/>
          </w:tcPr>
          <w:p w14:paraId="1927E88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w:t>
            </w:r>
          </w:p>
        </w:tc>
      </w:tr>
      <w:tr w14:paraId="071C12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0CCE3F5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25</w:t>
            </w:r>
          </w:p>
        </w:tc>
        <w:tc>
          <w:tcPr>
            <w:tcW w:w="986" w:type="pct"/>
            <w:noWrap w:val="0"/>
            <w:vAlign w:val="center"/>
          </w:tcPr>
          <w:p w14:paraId="6378617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氯乙烯</w:t>
            </w:r>
          </w:p>
        </w:tc>
        <w:tc>
          <w:tcPr>
            <w:tcW w:w="691" w:type="pct"/>
            <w:noWrap w:val="0"/>
            <w:vAlign w:val="center"/>
          </w:tcPr>
          <w:p w14:paraId="4C1C053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75-01-4</w:t>
            </w:r>
          </w:p>
        </w:tc>
        <w:tc>
          <w:tcPr>
            <w:tcW w:w="751" w:type="pct"/>
            <w:noWrap w:val="0"/>
            <w:vAlign w:val="center"/>
          </w:tcPr>
          <w:p w14:paraId="0F21D92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0.12</w:t>
            </w:r>
          </w:p>
        </w:tc>
        <w:tc>
          <w:tcPr>
            <w:tcW w:w="760" w:type="pct"/>
            <w:noWrap w:val="0"/>
            <w:vAlign w:val="center"/>
          </w:tcPr>
          <w:p w14:paraId="54CCAB9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0.43</w:t>
            </w:r>
          </w:p>
        </w:tc>
        <w:tc>
          <w:tcPr>
            <w:tcW w:w="720" w:type="pct"/>
            <w:noWrap w:val="0"/>
            <w:vAlign w:val="center"/>
          </w:tcPr>
          <w:p w14:paraId="159984D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w:t>
            </w:r>
          </w:p>
        </w:tc>
        <w:tc>
          <w:tcPr>
            <w:tcW w:w="765" w:type="pct"/>
            <w:noWrap w:val="0"/>
            <w:vAlign w:val="center"/>
          </w:tcPr>
          <w:p w14:paraId="7651B1C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4.3</w:t>
            </w:r>
          </w:p>
        </w:tc>
      </w:tr>
      <w:tr w14:paraId="2E371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18E9135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26</w:t>
            </w:r>
          </w:p>
        </w:tc>
        <w:tc>
          <w:tcPr>
            <w:tcW w:w="986" w:type="pct"/>
            <w:noWrap w:val="0"/>
            <w:vAlign w:val="center"/>
          </w:tcPr>
          <w:p w14:paraId="5A2329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w:t>
            </w:r>
          </w:p>
        </w:tc>
        <w:tc>
          <w:tcPr>
            <w:tcW w:w="691" w:type="pct"/>
            <w:noWrap w:val="0"/>
            <w:vAlign w:val="center"/>
          </w:tcPr>
          <w:p w14:paraId="7481514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71-43-2</w:t>
            </w:r>
          </w:p>
        </w:tc>
        <w:tc>
          <w:tcPr>
            <w:tcW w:w="751" w:type="pct"/>
            <w:noWrap w:val="0"/>
            <w:vAlign w:val="center"/>
          </w:tcPr>
          <w:p w14:paraId="3EC581A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w:t>
            </w:r>
          </w:p>
        </w:tc>
        <w:tc>
          <w:tcPr>
            <w:tcW w:w="760" w:type="pct"/>
            <w:noWrap w:val="0"/>
            <w:vAlign w:val="center"/>
          </w:tcPr>
          <w:p w14:paraId="304067B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w:t>
            </w:r>
          </w:p>
        </w:tc>
        <w:tc>
          <w:tcPr>
            <w:tcW w:w="720" w:type="pct"/>
            <w:noWrap w:val="0"/>
            <w:vAlign w:val="center"/>
          </w:tcPr>
          <w:p w14:paraId="7BB68E1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w:t>
            </w:r>
          </w:p>
        </w:tc>
        <w:tc>
          <w:tcPr>
            <w:tcW w:w="765" w:type="pct"/>
            <w:noWrap w:val="0"/>
            <w:vAlign w:val="center"/>
          </w:tcPr>
          <w:p w14:paraId="65B5B5C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40</w:t>
            </w:r>
          </w:p>
        </w:tc>
      </w:tr>
      <w:tr w14:paraId="4091A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1C43C3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27</w:t>
            </w:r>
          </w:p>
        </w:tc>
        <w:tc>
          <w:tcPr>
            <w:tcW w:w="986" w:type="pct"/>
            <w:noWrap w:val="0"/>
            <w:vAlign w:val="center"/>
          </w:tcPr>
          <w:p w14:paraId="6428499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氯苯</w:t>
            </w:r>
          </w:p>
        </w:tc>
        <w:tc>
          <w:tcPr>
            <w:tcW w:w="691" w:type="pct"/>
            <w:noWrap w:val="0"/>
            <w:vAlign w:val="center"/>
          </w:tcPr>
          <w:p w14:paraId="6BD0883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108-90-7</w:t>
            </w:r>
          </w:p>
        </w:tc>
        <w:tc>
          <w:tcPr>
            <w:tcW w:w="751" w:type="pct"/>
            <w:noWrap w:val="0"/>
            <w:vAlign w:val="center"/>
          </w:tcPr>
          <w:p w14:paraId="7D3465C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68</w:t>
            </w:r>
          </w:p>
        </w:tc>
        <w:tc>
          <w:tcPr>
            <w:tcW w:w="760" w:type="pct"/>
            <w:noWrap w:val="0"/>
            <w:vAlign w:val="center"/>
          </w:tcPr>
          <w:p w14:paraId="70FDB0D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270</w:t>
            </w:r>
          </w:p>
        </w:tc>
        <w:tc>
          <w:tcPr>
            <w:tcW w:w="720" w:type="pct"/>
            <w:noWrap w:val="0"/>
            <w:vAlign w:val="center"/>
          </w:tcPr>
          <w:p w14:paraId="62FA059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w:t>
            </w:r>
          </w:p>
        </w:tc>
        <w:tc>
          <w:tcPr>
            <w:tcW w:w="765" w:type="pct"/>
            <w:noWrap w:val="0"/>
            <w:vAlign w:val="center"/>
          </w:tcPr>
          <w:p w14:paraId="7689AC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1000</w:t>
            </w:r>
          </w:p>
        </w:tc>
      </w:tr>
      <w:tr w14:paraId="3A988A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18350B2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w:t>
            </w:r>
          </w:p>
        </w:tc>
        <w:tc>
          <w:tcPr>
            <w:tcW w:w="986" w:type="pct"/>
            <w:noWrap w:val="0"/>
            <w:vAlign w:val="center"/>
          </w:tcPr>
          <w:p w14:paraId="21D2179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1,2-二氯苯</w:t>
            </w:r>
          </w:p>
        </w:tc>
        <w:tc>
          <w:tcPr>
            <w:tcW w:w="691" w:type="pct"/>
            <w:noWrap w:val="0"/>
            <w:vAlign w:val="center"/>
          </w:tcPr>
          <w:p w14:paraId="52E0E11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95-50-1</w:t>
            </w:r>
          </w:p>
        </w:tc>
        <w:tc>
          <w:tcPr>
            <w:tcW w:w="751" w:type="pct"/>
            <w:noWrap w:val="0"/>
            <w:vAlign w:val="center"/>
          </w:tcPr>
          <w:p w14:paraId="20CF401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560</w:t>
            </w:r>
          </w:p>
        </w:tc>
        <w:tc>
          <w:tcPr>
            <w:tcW w:w="760" w:type="pct"/>
            <w:noWrap w:val="0"/>
            <w:vAlign w:val="center"/>
          </w:tcPr>
          <w:p w14:paraId="7AF318E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560</w:t>
            </w:r>
          </w:p>
        </w:tc>
        <w:tc>
          <w:tcPr>
            <w:tcW w:w="720" w:type="pct"/>
            <w:noWrap w:val="0"/>
            <w:vAlign w:val="center"/>
          </w:tcPr>
          <w:p w14:paraId="66E5B9B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560</w:t>
            </w:r>
          </w:p>
        </w:tc>
        <w:tc>
          <w:tcPr>
            <w:tcW w:w="765" w:type="pct"/>
            <w:noWrap w:val="0"/>
            <w:vAlign w:val="center"/>
          </w:tcPr>
          <w:p w14:paraId="0575147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560</w:t>
            </w:r>
          </w:p>
        </w:tc>
      </w:tr>
      <w:tr w14:paraId="775EFF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EBC0A0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29</w:t>
            </w:r>
          </w:p>
        </w:tc>
        <w:tc>
          <w:tcPr>
            <w:tcW w:w="986" w:type="pct"/>
            <w:noWrap w:val="0"/>
            <w:vAlign w:val="center"/>
          </w:tcPr>
          <w:p w14:paraId="2925CAD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1,4-二氯苯</w:t>
            </w:r>
          </w:p>
        </w:tc>
        <w:tc>
          <w:tcPr>
            <w:tcW w:w="691" w:type="pct"/>
            <w:noWrap w:val="0"/>
            <w:vAlign w:val="center"/>
          </w:tcPr>
          <w:p w14:paraId="0C22AE0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106-46-7</w:t>
            </w:r>
          </w:p>
        </w:tc>
        <w:tc>
          <w:tcPr>
            <w:tcW w:w="751" w:type="pct"/>
            <w:noWrap w:val="0"/>
            <w:vAlign w:val="center"/>
          </w:tcPr>
          <w:p w14:paraId="01A2932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w:t>
            </w:r>
          </w:p>
        </w:tc>
        <w:tc>
          <w:tcPr>
            <w:tcW w:w="760" w:type="pct"/>
            <w:noWrap w:val="0"/>
            <w:vAlign w:val="center"/>
          </w:tcPr>
          <w:p w14:paraId="004DD76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w:t>
            </w:r>
          </w:p>
        </w:tc>
        <w:tc>
          <w:tcPr>
            <w:tcW w:w="720" w:type="pct"/>
            <w:noWrap w:val="0"/>
            <w:vAlign w:val="center"/>
          </w:tcPr>
          <w:p w14:paraId="6880CCD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w:t>
            </w:r>
          </w:p>
        </w:tc>
        <w:tc>
          <w:tcPr>
            <w:tcW w:w="765" w:type="pct"/>
            <w:noWrap w:val="0"/>
            <w:vAlign w:val="center"/>
          </w:tcPr>
          <w:p w14:paraId="5B61CCB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200</w:t>
            </w:r>
          </w:p>
        </w:tc>
      </w:tr>
      <w:tr w14:paraId="3C93B8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0303FC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30</w:t>
            </w:r>
          </w:p>
        </w:tc>
        <w:tc>
          <w:tcPr>
            <w:tcW w:w="986" w:type="pct"/>
            <w:noWrap w:val="0"/>
            <w:vAlign w:val="center"/>
          </w:tcPr>
          <w:p w14:paraId="7951A2B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乙苯</w:t>
            </w:r>
          </w:p>
        </w:tc>
        <w:tc>
          <w:tcPr>
            <w:tcW w:w="691" w:type="pct"/>
            <w:noWrap w:val="0"/>
            <w:vAlign w:val="center"/>
          </w:tcPr>
          <w:p w14:paraId="6D3C9B1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100-41-4</w:t>
            </w:r>
          </w:p>
        </w:tc>
        <w:tc>
          <w:tcPr>
            <w:tcW w:w="751" w:type="pct"/>
            <w:noWrap w:val="0"/>
            <w:vAlign w:val="center"/>
          </w:tcPr>
          <w:p w14:paraId="63F29A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7.2</w:t>
            </w:r>
          </w:p>
        </w:tc>
        <w:tc>
          <w:tcPr>
            <w:tcW w:w="760" w:type="pct"/>
            <w:noWrap w:val="0"/>
            <w:vAlign w:val="center"/>
          </w:tcPr>
          <w:p w14:paraId="551F93A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w:t>
            </w:r>
          </w:p>
        </w:tc>
        <w:tc>
          <w:tcPr>
            <w:tcW w:w="720" w:type="pct"/>
            <w:noWrap w:val="0"/>
            <w:vAlign w:val="center"/>
          </w:tcPr>
          <w:p w14:paraId="065022B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72</w:t>
            </w:r>
          </w:p>
        </w:tc>
        <w:tc>
          <w:tcPr>
            <w:tcW w:w="765" w:type="pct"/>
            <w:noWrap w:val="0"/>
            <w:vAlign w:val="center"/>
          </w:tcPr>
          <w:p w14:paraId="1E42D06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280</w:t>
            </w:r>
          </w:p>
        </w:tc>
      </w:tr>
      <w:tr w14:paraId="54C8FF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4D50198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31</w:t>
            </w:r>
          </w:p>
        </w:tc>
        <w:tc>
          <w:tcPr>
            <w:tcW w:w="986" w:type="pct"/>
            <w:noWrap w:val="0"/>
            <w:vAlign w:val="center"/>
          </w:tcPr>
          <w:p w14:paraId="774679B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苯乙烯</w:t>
            </w:r>
          </w:p>
        </w:tc>
        <w:tc>
          <w:tcPr>
            <w:tcW w:w="691" w:type="pct"/>
            <w:noWrap w:val="0"/>
            <w:vAlign w:val="center"/>
          </w:tcPr>
          <w:p w14:paraId="0353259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100-42-5</w:t>
            </w:r>
          </w:p>
        </w:tc>
        <w:tc>
          <w:tcPr>
            <w:tcW w:w="751" w:type="pct"/>
            <w:noWrap w:val="0"/>
            <w:vAlign w:val="center"/>
          </w:tcPr>
          <w:p w14:paraId="09D5EC0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1290</w:t>
            </w:r>
          </w:p>
        </w:tc>
        <w:tc>
          <w:tcPr>
            <w:tcW w:w="760" w:type="pct"/>
            <w:noWrap w:val="0"/>
            <w:vAlign w:val="center"/>
          </w:tcPr>
          <w:p w14:paraId="45E53DE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1290</w:t>
            </w:r>
          </w:p>
        </w:tc>
        <w:tc>
          <w:tcPr>
            <w:tcW w:w="720" w:type="pct"/>
            <w:noWrap w:val="0"/>
            <w:vAlign w:val="center"/>
          </w:tcPr>
          <w:p w14:paraId="60282F3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1290</w:t>
            </w:r>
          </w:p>
        </w:tc>
        <w:tc>
          <w:tcPr>
            <w:tcW w:w="765" w:type="pct"/>
            <w:noWrap w:val="0"/>
            <w:vAlign w:val="center"/>
          </w:tcPr>
          <w:p w14:paraId="2E9A37C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1290</w:t>
            </w:r>
          </w:p>
        </w:tc>
      </w:tr>
      <w:tr w14:paraId="479C2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B8AEA7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32</w:t>
            </w:r>
          </w:p>
        </w:tc>
        <w:tc>
          <w:tcPr>
            <w:tcW w:w="986" w:type="pct"/>
            <w:noWrap w:val="0"/>
            <w:vAlign w:val="center"/>
          </w:tcPr>
          <w:p w14:paraId="4498B84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甲苯</w:t>
            </w:r>
          </w:p>
        </w:tc>
        <w:tc>
          <w:tcPr>
            <w:tcW w:w="691" w:type="pct"/>
            <w:noWrap w:val="0"/>
            <w:vAlign w:val="center"/>
          </w:tcPr>
          <w:p w14:paraId="0138077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108-88-3</w:t>
            </w:r>
          </w:p>
        </w:tc>
        <w:tc>
          <w:tcPr>
            <w:tcW w:w="751" w:type="pct"/>
            <w:noWrap w:val="0"/>
            <w:vAlign w:val="center"/>
          </w:tcPr>
          <w:p w14:paraId="5E980FE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1200</w:t>
            </w:r>
          </w:p>
        </w:tc>
        <w:tc>
          <w:tcPr>
            <w:tcW w:w="760" w:type="pct"/>
            <w:noWrap w:val="0"/>
            <w:vAlign w:val="center"/>
          </w:tcPr>
          <w:p w14:paraId="286FF22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1200</w:t>
            </w:r>
          </w:p>
        </w:tc>
        <w:tc>
          <w:tcPr>
            <w:tcW w:w="720" w:type="pct"/>
            <w:noWrap w:val="0"/>
            <w:vAlign w:val="center"/>
          </w:tcPr>
          <w:p w14:paraId="30BD6A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1200</w:t>
            </w:r>
          </w:p>
        </w:tc>
        <w:tc>
          <w:tcPr>
            <w:tcW w:w="765" w:type="pct"/>
            <w:noWrap w:val="0"/>
            <w:vAlign w:val="center"/>
          </w:tcPr>
          <w:p w14:paraId="7A7FD37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1200</w:t>
            </w:r>
          </w:p>
        </w:tc>
      </w:tr>
      <w:tr w14:paraId="130EB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64185BD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33</w:t>
            </w:r>
          </w:p>
        </w:tc>
        <w:tc>
          <w:tcPr>
            <w:tcW w:w="986" w:type="pct"/>
            <w:noWrap w:val="0"/>
            <w:vAlign w:val="center"/>
          </w:tcPr>
          <w:p w14:paraId="31CD697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间二甲苯+对二甲苯</w:t>
            </w:r>
          </w:p>
        </w:tc>
        <w:tc>
          <w:tcPr>
            <w:tcW w:w="691" w:type="pct"/>
            <w:noWrap w:val="0"/>
            <w:vAlign w:val="center"/>
          </w:tcPr>
          <w:p w14:paraId="6836885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108-38-3</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106-42-3</w:t>
            </w:r>
          </w:p>
        </w:tc>
        <w:tc>
          <w:tcPr>
            <w:tcW w:w="751" w:type="pct"/>
            <w:noWrap w:val="0"/>
            <w:vAlign w:val="center"/>
          </w:tcPr>
          <w:p w14:paraId="62A58E9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163</w:t>
            </w:r>
          </w:p>
        </w:tc>
        <w:tc>
          <w:tcPr>
            <w:tcW w:w="760" w:type="pct"/>
            <w:noWrap w:val="0"/>
            <w:vAlign w:val="center"/>
          </w:tcPr>
          <w:p w14:paraId="0133D9B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570</w:t>
            </w:r>
          </w:p>
        </w:tc>
        <w:tc>
          <w:tcPr>
            <w:tcW w:w="720" w:type="pct"/>
            <w:noWrap w:val="0"/>
            <w:vAlign w:val="center"/>
          </w:tcPr>
          <w:p w14:paraId="6647027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500</w:t>
            </w:r>
          </w:p>
        </w:tc>
        <w:tc>
          <w:tcPr>
            <w:tcW w:w="765" w:type="pct"/>
            <w:noWrap w:val="0"/>
            <w:vAlign w:val="center"/>
          </w:tcPr>
          <w:p w14:paraId="71346E1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570</w:t>
            </w:r>
          </w:p>
        </w:tc>
      </w:tr>
      <w:tr w14:paraId="6630E4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E6FCA8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34</w:t>
            </w:r>
          </w:p>
        </w:tc>
        <w:tc>
          <w:tcPr>
            <w:tcW w:w="986" w:type="pct"/>
            <w:noWrap w:val="0"/>
            <w:vAlign w:val="center"/>
          </w:tcPr>
          <w:p w14:paraId="31E7BC3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邻二甲苯</w:t>
            </w:r>
          </w:p>
        </w:tc>
        <w:tc>
          <w:tcPr>
            <w:tcW w:w="691" w:type="pct"/>
            <w:noWrap w:val="0"/>
            <w:vAlign w:val="center"/>
          </w:tcPr>
          <w:p w14:paraId="7523E31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95-47-6</w:t>
            </w:r>
          </w:p>
        </w:tc>
        <w:tc>
          <w:tcPr>
            <w:tcW w:w="751" w:type="pct"/>
            <w:noWrap w:val="0"/>
            <w:vAlign w:val="center"/>
          </w:tcPr>
          <w:p w14:paraId="1B52245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222</w:t>
            </w:r>
          </w:p>
        </w:tc>
        <w:tc>
          <w:tcPr>
            <w:tcW w:w="760" w:type="pct"/>
            <w:noWrap w:val="0"/>
            <w:vAlign w:val="center"/>
          </w:tcPr>
          <w:p w14:paraId="487DB0C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640</w:t>
            </w:r>
          </w:p>
        </w:tc>
        <w:tc>
          <w:tcPr>
            <w:tcW w:w="720" w:type="pct"/>
            <w:noWrap w:val="0"/>
            <w:vAlign w:val="center"/>
          </w:tcPr>
          <w:p w14:paraId="54DEDC9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640</w:t>
            </w:r>
          </w:p>
        </w:tc>
        <w:tc>
          <w:tcPr>
            <w:tcW w:w="765" w:type="pct"/>
            <w:noWrap w:val="0"/>
            <w:vAlign w:val="center"/>
          </w:tcPr>
          <w:p w14:paraId="6A45315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640</w:t>
            </w:r>
          </w:p>
        </w:tc>
      </w:tr>
      <w:tr w14:paraId="3FFFD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noWrap w:val="0"/>
            <w:vAlign w:val="center"/>
          </w:tcPr>
          <w:p w14:paraId="029E1A9E">
            <w:pPr>
              <w:keepNext w:val="0"/>
              <w:keepLines w:val="0"/>
              <w:widowControl/>
              <w:suppressLineNumbers w:val="0"/>
              <w:snapToGrid w:val="0"/>
              <w:spacing w:before="0" w:beforeAutospacing="0" w:after="0" w:afterAutospacing="0" w:line="240" w:lineRule="auto"/>
              <w:ind w:left="0" w:right="0" w:firstLine="0" w:firstLineChars="0"/>
              <w:jc w:val="left"/>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半挥发性有机物</w:t>
            </w:r>
          </w:p>
        </w:tc>
      </w:tr>
      <w:tr w14:paraId="7D955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2AAEFBF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35</w:t>
            </w:r>
          </w:p>
        </w:tc>
        <w:tc>
          <w:tcPr>
            <w:tcW w:w="986" w:type="pct"/>
            <w:noWrap w:val="0"/>
            <w:vAlign w:val="center"/>
          </w:tcPr>
          <w:p w14:paraId="1B88095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硝基苯</w:t>
            </w:r>
          </w:p>
        </w:tc>
        <w:tc>
          <w:tcPr>
            <w:tcW w:w="691" w:type="pct"/>
            <w:noWrap w:val="0"/>
            <w:vAlign w:val="center"/>
          </w:tcPr>
          <w:p w14:paraId="7BF70C6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98-95-3</w:t>
            </w:r>
          </w:p>
        </w:tc>
        <w:tc>
          <w:tcPr>
            <w:tcW w:w="751" w:type="pct"/>
            <w:noWrap w:val="0"/>
            <w:vAlign w:val="center"/>
          </w:tcPr>
          <w:p w14:paraId="7794CFE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34</w:t>
            </w:r>
          </w:p>
        </w:tc>
        <w:tc>
          <w:tcPr>
            <w:tcW w:w="760" w:type="pct"/>
            <w:noWrap w:val="0"/>
            <w:vAlign w:val="center"/>
          </w:tcPr>
          <w:p w14:paraId="66D8998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76</w:t>
            </w:r>
          </w:p>
        </w:tc>
        <w:tc>
          <w:tcPr>
            <w:tcW w:w="720" w:type="pct"/>
            <w:noWrap w:val="0"/>
            <w:vAlign w:val="center"/>
          </w:tcPr>
          <w:p w14:paraId="14BBB53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190</w:t>
            </w:r>
          </w:p>
        </w:tc>
        <w:tc>
          <w:tcPr>
            <w:tcW w:w="765" w:type="pct"/>
            <w:noWrap w:val="0"/>
            <w:vAlign w:val="center"/>
          </w:tcPr>
          <w:p w14:paraId="365F274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760</w:t>
            </w:r>
          </w:p>
        </w:tc>
      </w:tr>
      <w:tr w14:paraId="5DF7F8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0270305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36</w:t>
            </w:r>
          </w:p>
        </w:tc>
        <w:tc>
          <w:tcPr>
            <w:tcW w:w="986" w:type="pct"/>
            <w:noWrap w:val="0"/>
            <w:vAlign w:val="center"/>
          </w:tcPr>
          <w:p w14:paraId="1B32082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苯胺</w:t>
            </w:r>
          </w:p>
        </w:tc>
        <w:tc>
          <w:tcPr>
            <w:tcW w:w="691" w:type="pct"/>
            <w:noWrap w:val="0"/>
            <w:vAlign w:val="center"/>
          </w:tcPr>
          <w:p w14:paraId="3F10EDC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62-53-3</w:t>
            </w:r>
          </w:p>
        </w:tc>
        <w:tc>
          <w:tcPr>
            <w:tcW w:w="751" w:type="pct"/>
            <w:noWrap w:val="0"/>
            <w:vAlign w:val="center"/>
          </w:tcPr>
          <w:p w14:paraId="794A929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92</w:t>
            </w:r>
          </w:p>
        </w:tc>
        <w:tc>
          <w:tcPr>
            <w:tcW w:w="760" w:type="pct"/>
            <w:noWrap w:val="0"/>
            <w:vAlign w:val="center"/>
          </w:tcPr>
          <w:p w14:paraId="1AFA93D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260</w:t>
            </w:r>
          </w:p>
        </w:tc>
        <w:tc>
          <w:tcPr>
            <w:tcW w:w="720" w:type="pct"/>
            <w:noWrap w:val="0"/>
            <w:vAlign w:val="center"/>
          </w:tcPr>
          <w:p w14:paraId="1E32FB2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211</w:t>
            </w:r>
          </w:p>
        </w:tc>
        <w:tc>
          <w:tcPr>
            <w:tcW w:w="765" w:type="pct"/>
            <w:noWrap w:val="0"/>
            <w:vAlign w:val="center"/>
          </w:tcPr>
          <w:p w14:paraId="38C7938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663</w:t>
            </w:r>
          </w:p>
        </w:tc>
      </w:tr>
      <w:tr w14:paraId="5BE255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0D45E8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37</w:t>
            </w:r>
          </w:p>
        </w:tc>
        <w:tc>
          <w:tcPr>
            <w:tcW w:w="986" w:type="pct"/>
            <w:noWrap w:val="0"/>
            <w:vAlign w:val="center"/>
          </w:tcPr>
          <w:p w14:paraId="6DB65A6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2-氯酚</w:t>
            </w:r>
          </w:p>
        </w:tc>
        <w:tc>
          <w:tcPr>
            <w:tcW w:w="691" w:type="pct"/>
            <w:noWrap w:val="0"/>
            <w:vAlign w:val="center"/>
          </w:tcPr>
          <w:p w14:paraId="3E6ABF9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95-57-8</w:t>
            </w:r>
          </w:p>
        </w:tc>
        <w:tc>
          <w:tcPr>
            <w:tcW w:w="751" w:type="pct"/>
            <w:noWrap w:val="0"/>
            <w:vAlign w:val="center"/>
          </w:tcPr>
          <w:p w14:paraId="6DEA9A1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250</w:t>
            </w:r>
          </w:p>
        </w:tc>
        <w:tc>
          <w:tcPr>
            <w:tcW w:w="760" w:type="pct"/>
            <w:noWrap w:val="0"/>
            <w:vAlign w:val="center"/>
          </w:tcPr>
          <w:p w14:paraId="1260924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lang w:eastAsia="zh-CN"/>
              </w:rPr>
              <w:t>247.5</w:t>
            </w:r>
            <w:r>
              <w:rPr>
                <w:rFonts w:hint="default" w:ascii="Times New Roman" w:hAnsi="Times New Roman" w:cs="Times New Roman"/>
                <w:color w:val="auto"/>
                <w:kern w:val="0"/>
                <w:sz w:val="21"/>
                <w:szCs w:val="21"/>
                <w:highlight w:val="none"/>
                <w:u w:val="none" w:color="auto"/>
              </w:rPr>
              <w:t>6</w:t>
            </w:r>
          </w:p>
        </w:tc>
        <w:tc>
          <w:tcPr>
            <w:tcW w:w="720" w:type="pct"/>
            <w:noWrap w:val="0"/>
            <w:vAlign w:val="center"/>
          </w:tcPr>
          <w:p w14:paraId="021D565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500</w:t>
            </w:r>
          </w:p>
        </w:tc>
        <w:tc>
          <w:tcPr>
            <w:tcW w:w="765" w:type="pct"/>
            <w:noWrap w:val="0"/>
            <w:vAlign w:val="center"/>
          </w:tcPr>
          <w:p w14:paraId="429CBAE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4500</w:t>
            </w:r>
          </w:p>
        </w:tc>
      </w:tr>
      <w:tr w14:paraId="467868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078FC5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38</w:t>
            </w:r>
          </w:p>
        </w:tc>
        <w:tc>
          <w:tcPr>
            <w:tcW w:w="986" w:type="pct"/>
            <w:noWrap w:val="0"/>
            <w:vAlign w:val="center"/>
          </w:tcPr>
          <w:p w14:paraId="609BBF5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苯并[a]蒽</w:t>
            </w:r>
          </w:p>
        </w:tc>
        <w:tc>
          <w:tcPr>
            <w:tcW w:w="691" w:type="pct"/>
            <w:noWrap w:val="0"/>
            <w:vAlign w:val="center"/>
          </w:tcPr>
          <w:p w14:paraId="3A328BA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56-55-3</w:t>
            </w:r>
          </w:p>
        </w:tc>
        <w:tc>
          <w:tcPr>
            <w:tcW w:w="751" w:type="pct"/>
            <w:noWrap w:val="0"/>
            <w:vAlign w:val="center"/>
          </w:tcPr>
          <w:p w14:paraId="3A1A748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0" w:type="pct"/>
            <w:noWrap w:val="0"/>
            <w:vAlign w:val="center"/>
          </w:tcPr>
          <w:p w14:paraId="3DF7F5B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720" w:type="pct"/>
            <w:noWrap w:val="0"/>
            <w:vAlign w:val="center"/>
          </w:tcPr>
          <w:p w14:paraId="58B1822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5" w:type="pct"/>
            <w:noWrap w:val="0"/>
            <w:vAlign w:val="center"/>
          </w:tcPr>
          <w:p w14:paraId="43B5EA9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151</w:t>
            </w:r>
          </w:p>
        </w:tc>
      </w:tr>
      <w:tr w14:paraId="264908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7B116B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39</w:t>
            </w:r>
          </w:p>
        </w:tc>
        <w:tc>
          <w:tcPr>
            <w:tcW w:w="986" w:type="pct"/>
            <w:noWrap w:val="0"/>
            <w:vAlign w:val="center"/>
          </w:tcPr>
          <w:p w14:paraId="2721836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苯并[a]芘</w:t>
            </w:r>
          </w:p>
        </w:tc>
        <w:tc>
          <w:tcPr>
            <w:tcW w:w="691" w:type="pct"/>
            <w:noWrap w:val="0"/>
            <w:vAlign w:val="center"/>
          </w:tcPr>
          <w:p w14:paraId="4E470FE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50-32-8</w:t>
            </w:r>
          </w:p>
        </w:tc>
        <w:tc>
          <w:tcPr>
            <w:tcW w:w="751" w:type="pct"/>
            <w:noWrap w:val="0"/>
            <w:vAlign w:val="center"/>
          </w:tcPr>
          <w:p w14:paraId="5F3926C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0.55</w:t>
            </w:r>
          </w:p>
        </w:tc>
        <w:tc>
          <w:tcPr>
            <w:tcW w:w="760" w:type="pct"/>
            <w:noWrap w:val="0"/>
            <w:vAlign w:val="center"/>
          </w:tcPr>
          <w:p w14:paraId="7A44574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720" w:type="pct"/>
            <w:noWrap w:val="0"/>
            <w:vAlign w:val="center"/>
          </w:tcPr>
          <w:p w14:paraId="1F826C2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5" w:type="pct"/>
            <w:noWrap w:val="0"/>
            <w:vAlign w:val="center"/>
          </w:tcPr>
          <w:p w14:paraId="40C56BE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r>
      <w:tr w14:paraId="7AADC4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737293E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40</w:t>
            </w:r>
          </w:p>
        </w:tc>
        <w:tc>
          <w:tcPr>
            <w:tcW w:w="986" w:type="pct"/>
            <w:noWrap w:val="0"/>
            <w:vAlign w:val="center"/>
          </w:tcPr>
          <w:p w14:paraId="67955B8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苯并[b]荧蒽</w:t>
            </w:r>
          </w:p>
        </w:tc>
        <w:tc>
          <w:tcPr>
            <w:tcW w:w="691" w:type="pct"/>
            <w:noWrap w:val="0"/>
            <w:vAlign w:val="center"/>
          </w:tcPr>
          <w:p w14:paraId="71EE2A8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205-99-2</w:t>
            </w:r>
          </w:p>
        </w:tc>
        <w:tc>
          <w:tcPr>
            <w:tcW w:w="751" w:type="pct"/>
            <w:noWrap w:val="0"/>
            <w:vAlign w:val="center"/>
          </w:tcPr>
          <w:p w14:paraId="3433D43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0" w:type="pct"/>
            <w:noWrap w:val="0"/>
            <w:vAlign w:val="center"/>
          </w:tcPr>
          <w:p w14:paraId="64BF0B9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720" w:type="pct"/>
            <w:noWrap w:val="0"/>
            <w:vAlign w:val="center"/>
          </w:tcPr>
          <w:p w14:paraId="7F8029EE">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5" w:type="pct"/>
            <w:noWrap w:val="0"/>
            <w:vAlign w:val="center"/>
          </w:tcPr>
          <w:p w14:paraId="5843B85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151</w:t>
            </w:r>
          </w:p>
        </w:tc>
      </w:tr>
      <w:tr w14:paraId="46716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F65510F">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41</w:t>
            </w:r>
          </w:p>
        </w:tc>
        <w:tc>
          <w:tcPr>
            <w:tcW w:w="986" w:type="pct"/>
            <w:noWrap w:val="0"/>
            <w:vAlign w:val="center"/>
          </w:tcPr>
          <w:p w14:paraId="42D491D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苯并[k]荧蒽</w:t>
            </w:r>
          </w:p>
        </w:tc>
        <w:tc>
          <w:tcPr>
            <w:tcW w:w="691" w:type="pct"/>
            <w:noWrap w:val="0"/>
            <w:vAlign w:val="center"/>
          </w:tcPr>
          <w:p w14:paraId="26E5963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207-08-9</w:t>
            </w:r>
          </w:p>
        </w:tc>
        <w:tc>
          <w:tcPr>
            <w:tcW w:w="751" w:type="pct"/>
            <w:noWrap w:val="0"/>
            <w:vAlign w:val="center"/>
          </w:tcPr>
          <w:p w14:paraId="23E58E4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0" w:type="pct"/>
            <w:noWrap w:val="0"/>
            <w:vAlign w:val="center"/>
          </w:tcPr>
          <w:p w14:paraId="3A65DC2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151</w:t>
            </w:r>
          </w:p>
        </w:tc>
        <w:tc>
          <w:tcPr>
            <w:tcW w:w="720" w:type="pct"/>
            <w:noWrap w:val="0"/>
            <w:vAlign w:val="center"/>
          </w:tcPr>
          <w:p w14:paraId="467D72F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550</w:t>
            </w:r>
          </w:p>
        </w:tc>
        <w:tc>
          <w:tcPr>
            <w:tcW w:w="765" w:type="pct"/>
            <w:noWrap w:val="0"/>
            <w:vAlign w:val="center"/>
          </w:tcPr>
          <w:p w14:paraId="79C0CDBA">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1500</w:t>
            </w:r>
          </w:p>
        </w:tc>
      </w:tr>
      <w:tr w14:paraId="768B1C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64A2093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42</w:t>
            </w:r>
          </w:p>
        </w:tc>
        <w:tc>
          <w:tcPr>
            <w:tcW w:w="986" w:type="pct"/>
            <w:noWrap w:val="0"/>
            <w:vAlign w:val="center"/>
          </w:tcPr>
          <w:p w14:paraId="19A8890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䓛</w:t>
            </w:r>
          </w:p>
        </w:tc>
        <w:tc>
          <w:tcPr>
            <w:tcW w:w="691" w:type="pct"/>
            <w:noWrap w:val="0"/>
            <w:vAlign w:val="center"/>
          </w:tcPr>
          <w:p w14:paraId="6E29FD8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218-01-9</w:t>
            </w:r>
          </w:p>
        </w:tc>
        <w:tc>
          <w:tcPr>
            <w:tcW w:w="751" w:type="pct"/>
            <w:noWrap w:val="0"/>
            <w:vAlign w:val="center"/>
          </w:tcPr>
          <w:p w14:paraId="7BA3142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490</w:t>
            </w:r>
          </w:p>
        </w:tc>
        <w:tc>
          <w:tcPr>
            <w:tcW w:w="760" w:type="pct"/>
            <w:noWrap w:val="0"/>
            <w:vAlign w:val="center"/>
          </w:tcPr>
          <w:p w14:paraId="30AC9E5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1293</w:t>
            </w:r>
          </w:p>
        </w:tc>
        <w:tc>
          <w:tcPr>
            <w:tcW w:w="720" w:type="pct"/>
            <w:noWrap w:val="0"/>
            <w:vAlign w:val="center"/>
          </w:tcPr>
          <w:p w14:paraId="7D403A5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4900</w:t>
            </w:r>
          </w:p>
        </w:tc>
        <w:tc>
          <w:tcPr>
            <w:tcW w:w="765" w:type="pct"/>
            <w:noWrap w:val="0"/>
            <w:vAlign w:val="center"/>
          </w:tcPr>
          <w:p w14:paraId="79D978A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12900</w:t>
            </w:r>
          </w:p>
        </w:tc>
      </w:tr>
      <w:tr w14:paraId="1D989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381A7BD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43</w:t>
            </w:r>
          </w:p>
        </w:tc>
        <w:tc>
          <w:tcPr>
            <w:tcW w:w="986" w:type="pct"/>
            <w:noWrap w:val="0"/>
            <w:vAlign w:val="center"/>
          </w:tcPr>
          <w:p w14:paraId="5C92E92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二苯并[a,h]蒽</w:t>
            </w:r>
          </w:p>
        </w:tc>
        <w:tc>
          <w:tcPr>
            <w:tcW w:w="691" w:type="pct"/>
            <w:noWrap w:val="0"/>
            <w:vAlign w:val="center"/>
          </w:tcPr>
          <w:p w14:paraId="11A9785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53-70-3</w:t>
            </w:r>
          </w:p>
        </w:tc>
        <w:tc>
          <w:tcPr>
            <w:tcW w:w="751" w:type="pct"/>
            <w:noWrap w:val="0"/>
            <w:vAlign w:val="center"/>
          </w:tcPr>
          <w:p w14:paraId="024A2A1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0.55</w:t>
            </w:r>
          </w:p>
        </w:tc>
        <w:tc>
          <w:tcPr>
            <w:tcW w:w="760" w:type="pct"/>
            <w:noWrap w:val="0"/>
            <w:vAlign w:val="center"/>
          </w:tcPr>
          <w:p w14:paraId="36D5872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720" w:type="pct"/>
            <w:noWrap w:val="0"/>
            <w:vAlign w:val="center"/>
          </w:tcPr>
          <w:p w14:paraId="4E67FB46">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5" w:type="pct"/>
            <w:noWrap w:val="0"/>
            <w:vAlign w:val="center"/>
          </w:tcPr>
          <w:p w14:paraId="4967E3F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r>
      <w:tr w14:paraId="7B70A4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489513F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44</w:t>
            </w:r>
          </w:p>
        </w:tc>
        <w:tc>
          <w:tcPr>
            <w:tcW w:w="986" w:type="pct"/>
            <w:noWrap w:val="0"/>
            <w:vAlign w:val="center"/>
          </w:tcPr>
          <w:p w14:paraId="72A7246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茚并[1,2,3-cd]芘</w:t>
            </w:r>
          </w:p>
        </w:tc>
        <w:tc>
          <w:tcPr>
            <w:tcW w:w="691" w:type="pct"/>
            <w:noWrap w:val="0"/>
            <w:vAlign w:val="center"/>
          </w:tcPr>
          <w:p w14:paraId="65ABC28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193-39-5</w:t>
            </w:r>
          </w:p>
        </w:tc>
        <w:tc>
          <w:tcPr>
            <w:tcW w:w="751" w:type="pct"/>
            <w:noWrap w:val="0"/>
            <w:vAlign w:val="center"/>
          </w:tcPr>
          <w:p w14:paraId="7070A86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0" w:type="pct"/>
            <w:noWrap w:val="0"/>
            <w:vAlign w:val="center"/>
          </w:tcPr>
          <w:p w14:paraId="2B46B0D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w:t>
            </w:r>
          </w:p>
        </w:tc>
        <w:tc>
          <w:tcPr>
            <w:tcW w:w="720" w:type="pct"/>
            <w:noWrap w:val="0"/>
            <w:vAlign w:val="center"/>
          </w:tcPr>
          <w:p w14:paraId="766CFCBC">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55</w:t>
            </w:r>
          </w:p>
        </w:tc>
        <w:tc>
          <w:tcPr>
            <w:tcW w:w="765" w:type="pct"/>
            <w:noWrap w:val="0"/>
            <w:vAlign w:val="center"/>
          </w:tcPr>
          <w:p w14:paraId="388E516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151</w:t>
            </w:r>
          </w:p>
        </w:tc>
      </w:tr>
      <w:tr w14:paraId="49470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540EF40D">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45</w:t>
            </w:r>
          </w:p>
        </w:tc>
        <w:tc>
          <w:tcPr>
            <w:tcW w:w="986" w:type="pct"/>
            <w:noWrap w:val="0"/>
            <w:vAlign w:val="center"/>
          </w:tcPr>
          <w:p w14:paraId="21430A9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萘</w:t>
            </w:r>
          </w:p>
        </w:tc>
        <w:tc>
          <w:tcPr>
            <w:tcW w:w="691" w:type="pct"/>
            <w:noWrap w:val="0"/>
            <w:vAlign w:val="center"/>
          </w:tcPr>
          <w:p w14:paraId="4E3A917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91-20-3</w:t>
            </w:r>
          </w:p>
        </w:tc>
        <w:tc>
          <w:tcPr>
            <w:tcW w:w="751" w:type="pct"/>
            <w:noWrap w:val="0"/>
            <w:vAlign w:val="center"/>
          </w:tcPr>
          <w:p w14:paraId="74A850A3">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25</w:t>
            </w:r>
          </w:p>
        </w:tc>
        <w:tc>
          <w:tcPr>
            <w:tcW w:w="760" w:type="pct"/>
            <w:noWrap w:val="0"/>
            <w:vAlign w:val="center"/>
          </w:tcPr>
          <w:p w14:paraId="006B4712">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70</w:t>
            </w:r>
          </w:p>
        </w:tc>
        <w:tc>
          <w:tcPr>
            <w:tcW w:w="720" w:type="pct"/>
            <w:noWrap w:val="0"/>
            <w:vAlign w:val="center"/>
          </w:tcPr>
          <w:p w14:paraId="4F733609">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255</w:t>
            </w:r>
          </w:p>
        </w:tc>
        <w:tc>
          <w:tcPr>
            <w:tcW w:w="765" w:type="pct"/>
            <w:noWrap w:val="0"/>
            <w:vAlign w:val="center"/>
          </w:tcPr>
          <w:p w14:paraId="0C6096C7">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700</w:t>
            </w:r>
          </w:p>
        </w:tc>
      </w:tr>
      <w:tr w14:paraId="305D4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noWrap w:val="0"/>
            <w:vAlign w:val="center"/>
          </w:tcPr>
          <w:p w14:paraId="27AECD0E">
            <w:pPr>
              <w:keepNext w:val="0"/>
              <w:keepLines w:val="0"/>
              <w:widowControl/>
              <w:suppressLineNumbers w:val="0"/>
              <w:snapToGrid w:val="0"/>
              <w:spacing w:before="0" w:beforeAutospacing="0" w:after="0" w:afterAutospacing="0" w:line="240" w:lineRule="auto"/>
              <w:ind w:left="0" w:right="0" w:firstLine="0" w:firstLineChars="0"/>
              <w:jc w:val="both"/>
              <w:rPr>
                <w:rFonts w:hint="default" w:ascii="Times New Roman" w:hAnsi="Times New Roman"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eastAsia="zh-CN"/>
              </w:rPr>
              <w:t>石油烃类</w:t>
            </w:r>
          </w:p>
        </w:tc>
      </w:tr>
      <w:tr w14:paraId="2C1D1E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noWrap w:val="0"/>
            <w:vAlign w:val="center"/>
          </w:tcPr>
          <w:p w14:paraId="2294F198">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46</w:t>
            </w:r>
          </w:p>
        </w:tc>
        <w:tc>
          <w:tcPr>
            <w:tcW w:w="986" w:type="pct"/>
            <w:noWrap w:val="0"/>
            <w:vAlign w:val="center"/>
          </w:tcPr>
          <w:p w14:paraId="5EB3F1F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eastAsia="zh-CN"/>
              </w:rPr>
            </w:pPr>
            <w:r>
              <w:rPr>
                <w:rFonts w:hint="default" w:ascii="Times New Roman" w:hAnsi="Times New Roman" w:eastAsia="宋体" w:cs="Times New Roman"/>
                <w:color w:val="auto"/>
                <w:kern w:val="0"/>
                <w:sz w:val="21"/>
                <w:szCs w:val="21"/>
                <w:highlight w:val="none"/>
                <w:u w:val="none" w:color="auto"/>
                <w:lang w:eastAsia="zh-CN"/>
              </w:rPr>
              <w:t>石油烃（</w:t>
            </w:r>
            <w:r>
              <w:rPr>
                <w:rFonts w:hint="default" w:ascii="Times New Roman" w:hAnsi="Times New Roman" w:eastAsia="宋体" w:cs="Times New Roman"/>
                <w:color w:val="auto"/>
                <w:kern w:val="0"/>
                <w:sz w:val="21"/>
                <w:szCs w:val="21"/>
                <w:highlight w:val="none"/>
                <w:u w:val="none" w:color="auto"/>
                <w:lang w:val="en-US" w:eastAsia="zh-CN"/>
              </w:rPr>
              <w:t>C</w:t>
            </w:r>
            <w:r>
              <w:rPr>
                <w:rFonts w:hint="default" w:ascii="Times New Roman" w:hAnsi="Times New Roman" w:eastAsia="宋体" w:cs="Times New Roman"/>
                <w:color w:val="auto"/>
                <w:kern w:val="0"/>
                <w:sz w:val="21"/>
                <w:szCs w:val="21"/>
                <w:highlight w:val="none"/>
                <w:u w:val="none" w:color="auto"/>
                <w:vertAlign w:val="subscript"/>
                <w:lang w:val="en-US" w:eastAsia="zh-CN"/>
              </w:rPr>
              <w:t>10</w:t>
            </w:r>
            <w:r>
              <w:rPr>
                <w:rFonts w:hint="default" w:ascii="Times New Roman" w:hAnsi="Times New Roman" w:eastAsia="宋体" w:cs="Times New Roman"/>
                <w:color w:val="auto"/>
                <w:kern w:val="0"/>
                <w:sz w:val="21"/>
                <w:szCs w:val="21"/>
                <w:highlight w:val="none"/>
                <w:u w:val="none" w:color="auto"/>
                <w:vertAlign w:val="baseline"/>
                <w:lang w:val="en-US" w:eastAsia="zh-CN"/>
              </w:rPr>
              <w:t>-C</w:t>
            </w:r>
            <w:r>
              <w:rPr>
                <w:rFonts w:hint="default" w:ascii="Times New Roman" w:hAnsi="Times New Roman" w:eastAsia="宋体" w:cs="Times New Roman"/>
                <w:color w:val="auto"/>
                <w:kern w:val="0"/>
                <w:sz w:val="21"/>
                <w:szCs w:val="21"/>
                <w:highlight w:val="none"/>
                <w:u w:val="none" w:color="auto"/>
                <w:vertAlign w:val="subscript"/>
                <w:lang w:val="en-US" w:eastAsia="zh-CN"/>
              </w:rPr>
              <w:t>40</w:t>
            </w:r>
            <w:r>
              <w:rPr>
                <w:rFonts w:hint="default" w:ascii="Times New Roman" w:hAnsi="Times New Roman" w:eastAsia="宋体" w:cs="Times New Roman"/>
                <w:color w:val="auto"/>
                <w:kern w:val="0"/>
                <w:sz w:val="21"/>
                <w:szCs w:val="21"/>
                <w:highlight w:val="none"/>
                <w:u w:val="none" w:color="auto"/>
                <w:lang w:eastAsia="zh-CN"/>
              </w:rPr>
              <w:t>）</w:t>
            </w:r>
          </w:p>
        </w:tc>
        <w:tc>
          <w:tcPr>
            <w:tcW w:w="691" w:type="pct"/>
            <w:noWrap w:val="0"/>
            <w:vAlign w:val="center"/>
          </w:tcPr>
          <w:p w14:paraId="4BFBD2E4">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w:t>
            </w:r>
          </w:p>
        </w:tc>
        <w:tc>
          <w:tcPr>
            <w:tcW w:w="751" w:type="pct"/>
            <w:noWrap w:val="0"/>
            <w:vAlign w:val="center"/>
          </w:tcPr>
          <w:p w14:paraId="1BF8AA50">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826</w:t>
            </w:r>
          </w:p>
        </w:tc>
        <w:tc>
          <w:tcPr>
            <w:tcW w:w="760" w:type="pct"/>
            <w:noWrap w:val="0"/>
            <w:vAlign w:val="center"/>
          </w:tcPr>
          <w:p w14:paraId="5EB90A41">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4500</w:t>
            </w:r>
          </w:p>
        </w:tc>
        <w:tc>
          <w:tcPr>
            <w:tcW w:w="720" w:type="pct"/>
            <w:noWrap w:val="0"/>
            <w:vAlign w:val="center"/>
          </w:tcPr>
          <w:p w14:paraId="519A91AB">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5000</w:t>
            </w:r>
          </w:p>
        </w:tc>
        <w:tc>
          <w:tcPr>
            <w:tcW w:w="765" w:type="pct"/>
            <w:noWrap w:val="0"/>
            <w:vAlign w:val="center"/>
          </w:tcPr>
          <w:p w14:paraId="35CEC285">
            <w:pPr>
              <w:keepNext w:val="0"/>
              <w:keepLines w:val="0"/>
              <w:widowControl/>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9000</w:t>
            </w:r>
          </w:p>
        </w:tc>
      </w:tr>
      <w:tr w14:paraId="303C47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noWrap w:val="0"/>
            <w:vAlign w:val="center"/>
          </w:tcPr>
          <w:p w14:paraId="60E2EB28">
            <w:pPr>
              <w:keepNext w:val="0"/>
              <w:keepLines w:val="0"/>
              <w:widowControl/>
              <w:suppressLineNumbers w:val="0"/>
              <w:snapToGrid w:val="0"/>
              <w:spacing w:before="0" w:beforeAutospacing="0" w:after="0" w:afterAutospacing="0" w:line="240" w:lineRule="auto"/>
              <w:ind w:left="0" w:right="0" w:firstLine="0" w:firstLineChars="0"/>
              <w:jc w:val="left"/>
              <w:rPr>
                <w:rFonts w:hint="default" w:ascii="Times New Roman" w:hAnsi="Times New Roman" w:cs="Times New Roman"/>
                <w:color w:val="auto"/>
                <w:kern w:val="0"/>
                <w:sz w:val="21"/>
                <w:szCs w:val="21"/>
                <w:highlight w:val="none"/>
                <w:u w:val="none" w:color="auto"/>
              </w:rPr>
            </w:pPr>
            <w:r>
              <w:rPr>
                <w:rFonts w:hint="default" w:ascii="Times New Roman" w:hAnsi="Times New Roman" w:cs="Times New Roman"/>
                <w:color w:val="auto"/>
                <w:kern w:val="0"/>
                <w:sz w:val="21"/>
                <w:szCs w:val="21"/>
                <w:highlight w:val="none"/>
                <w:u w:val="none" w:color="auto"/>
              </w:rPr>
              <w:t>注：①具体地块土壤中污染物检测含量超过筛选值</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但等于或者低于土壤环境背景值（见3.6）水平的</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highlight w:val="none"/>
                <w:u w:val="none" w:color="auto"/>
              </w:rPr>
              <w:t>不纳入污染地块管理。土壤环境背景值可参见附录A。</w:t>
            </w:r>
          </w:p>
        </w:tc>
      </w:tr>
    </w:tbl>
    <w:p w14:paraId="2DC6AEB8">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污染物排放标准</w:t>
      </w:r>
    </w:p>
    <w:p w14:paraId="1C395672">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大气污染物排放标准</w:t>
      </w:r>
    </w:p>
    <w:p w14:paraId="1BB00DDF">
      <w:pPr>
        <w:shd w:val="clea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项目</w:t>
      </w:r>
      <w:r>
        <w:rPr>
          <w:rFonts w:hint="eastAsia" w:ascii="Times New Roman" w:hAnsi="Times New Roman" w:cs="Times New Roman"/>
          <w:color w:val="auto"/>
          <w:highlight w:val="none"/>
          <w:u w:val="none" w:color="auto"/>
          <w:lang w:val="en-US" w:eastAsia="zh-CN"/>
        </w:rPr>
        <w:t>有组织</w:t>
      </w:r>
      <w:r>
        <w:rPr>
          <w:rFonts w:hint="default" w:ascii="Times New Roman" w:hAnsi="Times New Roman" w:cs="Times New Roman"/>
          <w:color w:val="auto"/>
          <w:highlight w:val="none"/>
          <w:u w:val="none" w:color="auto"/>
          <w:lang w:val="en-US" w:eastAsia="zh-CN"/>
        </w:rPr>
        <w:t>恶臭污染物硫化氢、氨及臭气浓度有组织排放执行《恶臭污染物排放标准》（GB14554-93）中表2排放标准，厂界恶臭污染物无组织排放执行《恶臭污染物排放标准》（GB14554-93）中表1二级排放标准；具体排放限值见下表。</w:t>
      </w:r>
    </w:p>
    <w:p w14:paraId="3982B0AA">
      <w:pPr>
        <w:pStyle w:val="39"/>
        <w:bidi w:val="0"/>
        <w:rPr>
          <w:highlight w:val="none"/>
        </w:rPr>
      </w:pPr>
      <w:r>
        <w:rPr>
          <w:rFonts w:hint="eastAsia"/>
          <w:highlight w:val="none"/>
          <w:lang w:val="en-US" w:eastAsia="zh-CN"/>
        </w:rPr>
        <w:t>表 2.3-6  废气排放标准（单位：</w:t>
      </w:r>
      <w:r>
        <w:rPr>
          <w:rFonts w:hint="default"/>
          <w:highlight w:val="none"/>
          <w:lang w:val="en-US" w:eastAsia="zh-CN"/>
        </w:rPr>
        <w:t>mg/</w:t>
      </w:r>
      <w:r>
        <w:rPr>
          <w:rFonts w:hint="eastAsia"/>
          <w:highlight w:val="none"/>
          <w:lang w:val="en-US" w:eastAsia="zh-CN"/>
        </w:rPr>
        <w:t>m</w:t>
      </w:r>
      <w:r>
        <w:rPr>
          <w:rFonts w:hint="eastAsia"/>
          <w:highlight w:val="none"/>
          <w:vertAlign w:val="superscript"/>
          <w:lang w:val="en-US" w:eastAsia="zh-CN"/>
        </w:rPr>
        <w:t>3</w:t>
      </w:r>
      <w:r>
        <w:rPr>
          <w:rFonts w:hint="eastAsia"/>
          <w:highlight w:val="none"/>
          <w:lang w:val="en-US" w:eastAsia="zh-CN"/>
        </w:rPr>
        <w:t>）</w:t>
      </w:r>
    </w:p>
    <w:tbl>
      <w:tblPr>
        <w:tblStyle w:val="30"/>
        <w:tblW w:w="5000"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1023"/>
        <w:gridCol w:w="1165"/>
        <w:gridCol w:w="769"/>
        <w:gridCol w:w="1765"/>
        <w:gridCol w:w="1023"/>
        <w:gridCol w:w="2777"/>
      </w:tblGrid>
      <w:tr w14:paraId="6F63AF8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85" w:hRule="atLeast"/>
          <w:jc w:val="center"/>
        </w:trPr>
        <w:tc>
          <w:tcPr>
            <w:tcW w:w="600" w:type="pct"/>
            <w:vMerge w:val="restart"/>
            <w:tcBorders>
              <w:tl2br w:val="nil"/>
              <w:tr2bl w:val="nil"/>
            </w:tcBorders>
            <w:shd w:val="clear" w:color="auto" w:fill="auto"/>
            <w:vAlign w:val="center"/>
          </w:tcPr>
          <w:p w14:paraId="524C8935">
            <w:pPr>
              <w:pStyle w:val="43"/>
              <w:keepNext w:val="0"/>
              <w:keepLines w:val="0"/>
              <w:suppressLineNumbers w:val="0"/>
              <w:bidi w:val="0"/>
              <w:spacing w:before="0" w:beforeAutospacing="0" w:after="0" w:afterAutospacing="0"/>
              <w:ind w:left="0"/>
              <w:rPr>
                <w:rFonts w:hint="default"/>
                <w:highlight w:val="none"/>
                <w:lang w:val="en-US"/>
              </w:rPr>
            </w:pPr>
            <w:r>
              <w:rPr>
                <w:rFonts w:hint="eastAsia"/>
                <w:highlight w:val="none"/>
                <w:lang w:val="en-US" w:eastAsia="zh-CN"/>
              </w:rPr>
              <w:t>污染物</w:t>
            </w:r>
          </w:p>
        </w:tc>
        <w:tc>
          <w:tcPr>
            <w:tcW w:w="2169" w:type="pct"/>
            <w:gridSpan w:val="3"/>
            <w:tcBorders>
              <w:tl2br w:val="nil"/>
              <w:tr2bl w:val="nil"/>
            </w:tcBorders>
            <w:shd w:val="clear" w:color="auto" w:fill="auto"/>
            <w:vAlign w:val="center"/>
          </w:tcPr>
          <w:p w14:paraId="296ADF7C">
            <w:pPr>
              <w:pStyle w:val="43"/>
              <w:keepNext w:val="0"/>
              <w:keepLines w:val="0"/>
              <w:suppressLineNumbers w:val="0"/>
              <w:bidi w:val="0"/>
              <w:spacing w:before="0" w:beforeAutospacing="0" w:after="0" w:afterAutospacing="0"/>
              <w:ind w:left="0"/>
              <w:rPr>
                <w:rFonts w:hint="default"/>
                <w:highlight w:val="none"/>
                <w:lang w:val="en-US" w:eastAsia="zh-CN"/>
              </w:rPr>
            </w:pPr>
            <w:r>
              <w:rPr>
                <w:rFonts w:hint="eastAsia"/>
                <w:highlight w:val="none"/>
                <w:lang w:val="en-US" w:eastAsia="zh-CN"/>
              </w:rPr>
              <w:t>标准情况</w:t>
            </w:r>
          </w:p>
        </w:tc>
        <w:tc>
          <w:tcPr>
            <w:tcW w:w="600" w:type="pct"/>
            <w:vMerge w:val="restart"/>
            <w:tcBorders>
              <w:tl2br w:val="nil"/>
              <w:tr2bl w:val="nil"/>
            </w:tcBorders>
            <w:shd w:val="clear" w:color="auto" w:fill="auto"/>
            <w:vAlign w:val="center"/>
          </w:tcPr>
          <w:p w14:paraId="2C1FA03F">
            <w:pPr>
              <w:pStyle w:val="43"/>
              <w:keepNext w:val="0"/>
              <w:keepLines w:val="0"/>
              <w:suppressLineNumbers w:val="0"/>
              <w:bidi w:val="0"/>
              <w:spacing w:before="0" w:beforeAutospacing="0" w:after="0" w:afterAutospacing="0"/>
              <w:ind w:left="0"/>
              <w:rPr>
                <w:rFonts w:hint="default"/>
                <w:highlight w:val="none"/>
                <w:lang w:val="en-US" w:eastAsia="zh-CN"/>
              </w:rPr>
            </w:pPr>
            <w:r>
              <w:rPr>
                <w:rFonts w:hint="eastAsia"/>
                <w:highlight w:val="none"/>
                <w:lang w:val="en-US" w:eastAsia="zh-CN"/>
              </w:rPr>
              <w:t>无组织排放标准</w:t>
            </w:r>
          </w:p>
        </w:tc>
        <w:tc>
          <w:tcPr>
            <w:tcW w:w="1629" w:type="pct"/>
            <w:vMerge w:val="restart"/>
            <w:tcBorders>
              <w:tl2br w:val="nil"/>
              <w:tr2bl w:val="nil"/>
            </w:tcBorders>
            <w:shd w:val="clear" w:color="auto" w:fill="auto"/>
            <w:vAlign w:val="center"/>
          </w:tcPr>
          <w:p w14:paraId="4526968D">
            <w:pPr>
              <w:pStyle w:val="43"/>
              <w:keepNext w:val="0"/>
              <w:keepLines w:val="0"/>
              <w:suppressLineNumbers w:val="0"/>
              <w:bidi w:val="0"/>
              <w:spacing w:before="0" w:beforeAutospacing="0" w:after="0" w:afterAutospacing="0"/>
              <w:ind w:left="0"/>
              <w:rPr>
                <w:rFonts w:hint="default"/>
                <w:highlight w:val="none"/>
                <w:lang w:val="en-US" w:eastAsia="zh-CN"/>
              </w:rPr>
            </w:pPr>
            <w:r>
              <w:rPr>
                <w:rFonts w:hint="eastAsia"/>
                <w:highlight w:val="none"/>
                <w:lang w:val="en-US" w:eastAsia="zh-CN"/>
              </w:rPr>
              <w:t>标准名字</w:t>
            </w:r>
          </w:p>
        </w:tc>
      </w:tr>
      <w:tr w14:paraId="6F8E03C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85" w:hRule="atLeast"/>
          <w:jc w:val="center"/>
        </w:trPr>
        <w:tc>
          <w:tcPr>
            <w:tcW w:w="600" w:type="pct"/>
            <w:vMerge w:val="continue"/>
            <w:tcBorders>
              <w:tl2br w:val="nil"/>
              <w:tr2bl w:val="nil"/>
            </w:tcBorders>
            <w:shd w:val="clear" w:color="auto" w:fill="auto"/>
            <w:vAlign w:val="center"/>
          </w:tcPr>
          <w:p w14:paraId="388CC4C1">
            <w:pPr>
              <w:pStyle w:val="43"/>
              <w:keepNext w:val="0"/>
              <w:keepLines w:val="0"/>
              <w:suppressLineNumbers w:val="0"/>
              <w:bidi w:val="0"/>
              <w:spacing w:before="0" w:beforeAutospacing="0" w:after="0" w:afterAutospacing="0"/>
              <w:ind w:left="0"/>
              <w:rPr>
                <w:rFonts w:hint="eastAsia"/>
                <w:highlight w:val="none"/>
              </w:rPr>
            </w:pPr>
          </w:p>
        </w:tc>
        <w:tc>
          <w:tcPr>
            <w:tcW w:w="683" w:type="pct"/>
            <w:tcBorders>
              <w:tl2br w:val="nil"/>
              <w:tr2bl w:val="nil"/>
            </w:tcBorders>
            <w:shd w:val="clear" w:color="auto" w:fill="auto"/>
            <w:vAlign w:val="center"/>
          </w:tcPr>
          <w:p w14:paraId="6207AAA4">
            <w:pPr>
              <w:pStyle w:val="43"/>
              <w:keepNext w:val="0"/>
              <w:keepLines w:val="0"/>
              <w:suppressLineNumbers w:val="0"/>
              <w:bidi w:val="0"/>
              <w:spacing w:before="0" w:beforeAutospacing="0" w:after="0" w:afterAutospacing="0"/>
              <w:ind w:left="0"/>
              <w:rPr>
                <w:rFonts w:hint="eastAsia"/>
                <w:highlight w:val="none"/>
              </w:rPr>
            </w:pPr>
            <w:r>
              <w:rPr>
                <w:rFonts w:hint="eastAsia"/>
                <w:highlight w:val="none"/>
                <w:lang w:val="en-US" w:eastAsia="zh-CN"/>
              </w:rPr>
              <w:t>高度（m）</w:t>
            </w:r>
          </w:p>
        </w:tc>
        <w:tc>
          <w:tcPr>
            <w:tcW w:w="451" w:type="pct"/>
            <w:tcBorders>
              <w:tl2br w:val="nil"/>
              <w:tr2bl w:val="nil"/>
            </w:tcBorders>
            <w:shd w:val="clear" w:color="auto" w:fill="auto"/>
            <w:vAlign w:val="center"/>
          </w:tcPr>
          <w:p w14:paraId="13735025">
            <w:pPr>
              <w:pStyle w:val="43"/>
              <w:keepNext w:val="0"/>
              <w:keepLines w:val="0"/>
              <w:suppressLineNumbers w:val="0"/>
              <w:bidi w:val="0"/>
              <w:spacing w:before="0" w:beforeAutospacing="0" w:after="0" w:afterAutospacing="0"/>
              <w:ind w:left="0"/>
              <w:rPr>
                <w:rFonts w:hint="eastAsia"/>
                <w:highlight w:val="none"/>
              </w:rPr>
            </w:pPr>
            <w:r>
              <w:rPr>
                <w:rFonts w:hint="eastAsia"/>
                <w:highlight w:val="none"/>
                <w:lang w:val="en-US" w:eastAsia="zh-CN"/>
              </w:rPr>
              <w:t>浓度</w:t>
            </w:r>
          </w:p>
        </w:tc>
        <w:tc>
          <w:tcPr>
            <w:tcW w:w="1033" w:type="pct"/>
            <w:tcBorders>
              <w:tl2br w:val="nil"/>
              <w:tr2bl w:val="nil"/>
            </w:tcBorders>
            <w:shd w:val="clear" w:color="auto" w:fill="auto"/>
            <w:vAlign w:val="center"/>
          </w:tcPr>
          <w:p w14:paraId="501F0BFB">
            <w:pPr>
              <w:pStyle w:val="43"/>
              <w:keepNext w:val="0"/>
              <w:keepLines w:val="0"/>
              <w:suppressLineNumbers w:val="0"/>
              <w:bidi w:val="0"/>
              <w:spacing w:before="0" w:beforeAutospacing="0" w:after="0" w:afterAutospacing="0"/>
              <w:ind w:left="0"/>
              <w:rPr>
                <w:rFonts w:hint="eastAsia"/>
                <w:highlight w:val="none"/>
              </w:rPr>
            </w:pPr>
            <w:r>
              <w:rPr>
                <w:rFonts w:hint="eastAsia"/>
                <w:highlight w:val="none"/>
                <w:lang w:val="en-US" w:eastAsia="zh-CN"/>
              </w:rPr>
              <w:t>最高允许排放速率（kg/h）</w:t>
            </w:r>
          </w:p>
        </w:tc>
        <w:tc>
          <w:tcPr>
            <w:tcW w:w="600" w:type="pct"/>
            <w:vMerge w:val="continue"/>
            <w:tcBorders>
              <w:tl2br w:val="nil"/>
              <w:tr2bl w:val="nil"/>
            </w:tcBorders>
            <w:shd w:val="clear" w:color="auto" w:fill="auto"/>
            <w:vAlign w:val="center"/>
          </w:tcPr>
          <w:p w14:paraId="251142C3">
            <w:pPr>
              <w:pStyle w:val="43"/>
              <w:keepNext w:val="0"/>
              <w:keepLines w:val="0"/>
              <w:suppressLineNumbers w:val="0"/>
              <w:bidi w:val="0"/>
              <w:spacing w:before="0" w:beforeAutospacing="0" w:after="0" w:afterAutospacing="0"/>
              <w:ind w:left="0"/>
              <w:rPr>
                <w:rFonts w:hint="eastAsia"/>
                <w:highlight w:val="none"/>
              </w:rPr>
            </w:pPr>
          </w:p>
        </w:tc>
        <w:tc>
          <w:tcPr>
            <w:tcW w:w="1629" w:type="pct"/>
            <w:vMerge w:val="continue"/>
            <w:tcBorders>
              <w:tl2br w:val="nil"/>
              <w:tr2bl w:val="nil"/>
            </w:tcBorders>
            <w:shd w:val="clear" w:color="auto" w:fill="auto"/>
            <w:vAlign w:val="center"/>
          </w:tcPr>
          <w:p w14:paraId="363072C7">
            <w:pPr>
              <w:pStyle w:val="43"/>
              <w:keepNext w:val="0"/>
              <w:keepLines w:val="0"/>
              <w:suppressLineNumbers w:val="0"/>
              <w:bidi w:val="0"/>
              <w:spacing w:before="0" w:beforeAutospacing="0" w:after="0" w:afterAutospacing="0"/>
              <w:ind w:left="0"/>
              <w:rPr>
                <w:rFonts w:hint="eastAsia"/>
                <w:highlight w:val="none"/>
              </w:rPr>
            </w:pPr>
          </w:p>
        </w:tc>
      </w:tr>
      <w:tr w14:paraId="21E5DC1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85" w:hRule="atLeast"/>
          <w:jc w:val="center"/>
        </w:trPr>
        <w:tc>
          <w:tcPr>
            <w:tcW w:w="600" w:type="pct"/>
            <w:tcBorders>
              <w:tl2br w:val="nil"/>
              <w:tr2bl w:val="nil"/>
            </w:tcBorders>
            <w:shd w:val="clear" w:color="auto" w:fill="auto"/>
            <w:vAlign w:val="center"/>
          </w:tcPr>
          <w:p w14:paraId="51FFD440">
            <w:pPr>
              <w:pStyle w:val="43"/>
              <w:keepNext w:val="0"/>
              <w:keepLines w:val="0"/>
              <w:suppressLineNumbers w:val="0"/>
              <w:bidi w:val="0"/>
              <w:spacing w:before="0" w:beforeAutospacing="0" w:after="0" w:afterAutospacing="0"/>
              <w:ind w:left="0"/>
              <w:rPr>
                <w:rFonts w:hint="default"/>
                <w:highlight w:val="none"/>
              </w:rPr>
            </w:pPr>
            <w:r>
              <w:rPr>
                <w:rFonts w:hint="eastAsia"/>
                <w:highlight w:val="none"/>
                <w:lang w:val="en-US" w:eastAsia="zh-CN"/>
              </w:rPr>
              <w:t>NH</w:t>
            </w:r>
            <w:r>
              <w:rPr>
                <w:rFonts w:hint="eastAsia"/>
                <w:highlight w:val="none"/>
                <w:vertAlign w:val="subscript"/>
                <w:lang w:val="en-US" w:eastAsia="zh-CN"/>
              </w:rPr>
              <w:t>3</w:t>
            </w:r>
          </w:p>
        </w:tc>
        <w:tc>
          <w:tcPr>
            <w:tcW w:w="683" w:type="pct"/>
            <w:tcBorders>
              <w:tl2br w:val="nil"/>
              <w:tr2bl w:val="nil"/>
            </w:tcBorders>
            <w:shd w:val="clear" w:color="auto" w:fill="auto"/>
            <w:vAlign w:val="center"/>
          </w:tcPr>
          <w:p w14:paraId="1C02D99A">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15</w:t>
            </w:r>
          </w:p>
        </w:tc>
        <w:tc>
          <w:tcPr>
            <w:tcW w:w="451" w:type="pct"/>
            <w:tcBorders>
              <w:tl2br w:val="nil"/>
              <w:tr2bl w:val="nil"/>
            </w:tcBorders>
            <w:shd w:val="clear" w:color="auto" w:fill="auto"/>
            <w:vAlign w:val="center"/>
          </w:tcPr>
          <w:p w14:paraId="216F1545">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w:t>
            </w:r>
          </w:p>
        </w:tc>
        <w:tc>
          <w:tcPr>
            <w:tcW w:w="1033" w:type="pct"/>
            <w:tcBorders>
              <w:tl2br w:val="nil"/>
              <w:tr2bl w:val="nil"/>
            </w:tcBorders>
            <w:shd w:val="clear" w:color="auto" w:fill="auto"/>
            <w:vAlign w:val="center"/>
          </w:tcPr>
          <w:p w14:paraId="1D6BBE5A">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4.9</w:t>
            </w:r>
          </w:p>
        </w:tc>
        <w:tc>
          <w:tcPr>
            <w:tcW w:w="600" w:type="pct"/>
            <w:tcBorders>
              <w:tl2br w:val="nil"/>
              <w:tr2bl w:val="nil"/>
            </w:tcBorders>
            <w:shd w:val="clear" w:color="auto" w:fill="auto"/>
            <w:vAlign w:val="center"/>
          </w:tcPr>
          <w:p w14:paraId="37EBCEAE">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1.5</w:t>
            </w:r>
          </w:p>
        </w:tc>
        <w:tc>
          <w:tcPr>
            <w:tcW w:w="1629" w:type="pct"/>
            <w:vMerge w:val="restart"/>
            <w:tcBorders>
              <w:tl2br w:val="nil"/>
              <w:tr2bl w:val="nil"/>
            </w:tcBorders>
            <w:shd w:val="clear" w:color="auto" w:fill="auto"/>
            <w:vAlign w:val="center"/>
          </w:tcPr>
          <w:p w14:paraId="7D150B2E">
            <w:pPr>
              <w:pStyle w:val="43"/>
              <w:keepNext w:val="0"/>
              <w:keepLines w:val="0"/>
              <w:suppressLineNumbers w:val="0"/>
              <w:bidi w:val="0"/>
              <w:spacing w:before="0" w:beforeAutospacing="0" w:after="0" w:afterAutospacing="0"/>
              <w:ind w:left="0"/>
              <w:rPr>
                <w:rFonts w:hint="eastAsia"/>
                <w:highlight w:val="none"/>
              </w:rPr>
            </w:pPr>
            <w:r>
              <w:rPr>
                <w:rFonts w:hint="eastAsia"/>
                <w:highlight w:val="none"/>
                <w:lang w:val="en-US" w:eastAsia="zh-CN"/>
              </w:rPr>
              <w:t>《恶臭污染物排放标准》（GB14554-93）中表2排放标准</w:t>
            </w:r>
          </w:p>
        </w:tc>
      </w:tr>
      <w:tr w14:paraId="2443B1B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85" w:hRule="atLeast"/>
          <w:jc w:val="center"/>
        </w:trPr>
        <w:tc>
          <w:tcPr>
            <w:tcW w:w="600" w:type="pct"/>
            <w:tcBorders>
              <w:tl2br w:val="nil"/>
              <w:tr2bl w:val="nil"/>
            </w:tcBorders>
            <w:shd w:val="clear" w:color="auto" w:fill="auto"/>
            <w:vAlign w:val="center"/>
          </w:tcPr>
          <w:p w14:paraId="789C2F01">
            <w:pPr>
              <w:pStyle w:val="43"/>
              <w:keepNext w:val="0"/>
              <w:keepLines w:val="0"/>
              <w:suppressLineNumbers w:val="0"/>
              <w:bidi w:val="0"/>
              <w:spacing w:before="0" w:beforeAutospacing="0" w:after="0" w:afterAutospacing="0"/>
              <w:ind w:left="0"/>
              <w:rPr>
                <w:rFonts w:hint="default"/>
                <w:highlight w:val="none"/>
              </w:rPr>
            </w:pPr>
            <w:r>
              <w:rPr>
                <w:rFonts w:hint="eastAsia"/>
                <w:highlight w:val="none"/>
                <w:lang w:val="en-US" w:eastAsia="zh-CN"/>
              </w:rPr>
              <w:t>H</w:t>
            </w:r>
            <w:r>
              <w:rPr>
                <w:rFonts w:hint="eastAsia"/>
                <w:highlight w:val="none"/>
                <w:vertAlign w:val="subscript"/>
                <w:lang w:val="en-US" w:eastAsia="zh-CN"/>
              </w:rPr>
              <w:t>2</w:t>
            </w:r>
            <w:r>
              <w:rPr>
                <w:rFonts w:hint="eastAsia"/>
                <w:highlight w:val="none"/>
                <w:lang w:val="en-US" w:eastAsia="zh-CN"/>
              </w:rPr>
              <w:t>S</w:t>
            </w:r>
          </w:p>
        </w:tc>
        <w:tc>
          <w:tcPr>
            <w:tcW w:w="683" w:type="pct"/>
            <w:tcBorders>
              <w:tl2br w:val="nil"/>
              <w:tr2bl w:val="nil"/>
            </w:tcBorders>
            <w:shd w:val="clear" w:color="auto" w:fill="auto"/>
            <w:vAlign w:val="center"/>
          </w:tcPr>
          <w:p w14:paraId="68CE3301">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15</w:t>
            </w:r>
          </w:p>
        </w:tc>
        <w:tc>
          <w:tcPr>
            <w:tcW w:w="451" w:type="pct"/>
            <w:tcBorders>
              <w:tl2br w:val="nil"/>
              <w:tr2bl w:val="nil"/>
            </w:tcBorders>
            <w:shd w:val="clear" w:color="auto" w:fill="auto"/>
            <w:vAlign w:val="center"/>
          </w:tcPr>
          <w:p w14:paraId="35618283">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w:t>
            </w:r>
          </w:p>
        </w:tc>
        <w:tc>
          <w:tcPr>
            <w:tcW w:w="1033" w:type="pct"/>
            <w:tcBorders>
              <w:tl2br w:val="nil"/>
              <w:tr2bl w:val="nil"/>
            </w:tcBorders>
            <w:shd w:val="clear" w:color="auto" w:fill="auto"/>
            <w:vAlign w:val="center"/>
          </w:tcPr>
          <w:p w14:paraId="7BE70EE1">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0.33</w:t>
            </w:r>
          </w:p>
        </w:tc>
        <w:tc>
          <w:tcPr>
            <w:tcW w:w="600" w:type="pct"/>
            <w:tcBorders>
              <w:tl2br w:val="nil"/>
              <w:tr2bl w:val="nil"/>
            </w:tcBorders>
            <w:shd w:val="clear" w:color="auto" w:fill="auto"/>
            <w:vAlign w:val="center"/>
          </w:tcPr>
          <w:p w14:paraId="1B7B030C">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0.06</w:t>
            </w:r>
          </w:p>
        </w:tc>
        <w:tc>
          <w:tcPr>
            <w:tcW w:w="1629" w:type="pct"/>
            <w:vMerge w:val="continue"/>
            <w:tcBorders>
              <w:tl2br w:val="nil"/>
              <w:tr2bl w:val="nil"/>
            </w:tcBorders>
            <w:shd w:val="clear" w:color="auto" w:fill="auto"/>
            <w:vAlign w:val="center"/>
          </w:tcPr>
          <w:p w14:paraId="36E77655">
            <w:pPr>
              <w:pStyle w:val="43"/>
              <w:keepNext w:val="0"/>
              <w:keepLines w:val="0"/>
              <w:suppressLineNumbers w:val="0"/>
              <w:bidi w:val="0"/>
              <w:spacing w:before="0" w:beforeAutospacing="0" w:after="0" w:afterAutospacing="0"/>
              <w:ind w:left="0"/>
              <w:rPr>
                <w:rFonts w:hint="eastAsia"/>
                <w:highlight w:val="none"/>
              </w:rPr>
            </w:pPr>
          </w:p>
        </w:tc>
      </w:tr>
      <w:tr w14:paraId="727A29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85" w:hRule="atLeast"/>
          <w:jc w:val="center"/>
        </w:trPr>
        <w:tc>
          <w:tcPr>
            <w:tcW w:w="600" w:type="pct"/>
            <w:tcBorders>
              <w:tl2br w:val="nil"/>
              <w:tr2bl w:val="nil"/>
            </w:tcBorders>
            <w:shd w:val="clear" w:color="auto" w:fill="auto"/>
            <w:vAlign w:val="center"/>
          </w:tcPr>
          <w:p w14:paraId="3AC5AE3C">
            <w:pPr>
              <w:pStyle w:val="43"/>
              <w:keepNext w:val="0"/>
              <w:keepLines w:val="0"/>
              <w:suppressLineNumbers w:val="0"/>
              <w:bidi w:val="0"/>
              <w:spacing w:before="0" w:beforeAutospacing="0" w:after="0" w:afterAutospacing="0"/>
              <w:ind w:left="0"/>
              <w:rPr>
                <w:rFonts w:hint="eastAsia"/>
                <w:highlight w:val="none"/>
              </w:rPr>
            </w:pPr>
            <w:r>
              <w:rPr>
                <w:rFonts w:hint="eastAsia"/>
                <w:highlight w:val="none"/>
                <w:lang w:val="en-US" w:eastAsia="zh-CN"/>
              </w:rPr>
              <w:t>臭气浓度</w:t>
            </w:r>
          </w:p>
        </w:tc>
        <w:tc>
          <w:tcPr>
            <w:tcW w:w="683" w:type="pct"/>
            <w:tcBorders>
              <w:tl2br w:val="nil"/>
              <w:tr2bl w:val="nil"/>
            </w:tcBorders>
            <w:shd w:val="clear" w:color="auto" w:fill="auto"/>
            <w:vAlign w:val="center"/>
          </w:tcPr>
          <w:p w14:paraId="0F2C1134">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15</w:t>
            </w:r>
          </w:p>
        </w:tc>
        <w:tc>
          <w:tcPr>
            <w:tcW w:w="451" w:type="pct"/>
            <w:tcBorders>
              <w:tl2br w:val="nil"/>
              <w:tr2bl w:val="nil"/>
            </w:tcBorders>
            <w:shd w:val="clear" w:color="auto" w:fill="auto"/>
            <w:vAlign w:val="center"/>
          </w:tcPr>
          <w:p w14:paraId="00FFEAFF">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w:t>
            </w:r>
          </w:p>
        </w:tc>
        <w:tc>
          <w:tcPr>
            <w:tcW w:w="1033" w:type="pct"/>
            <w:tcBorders>
              <w:tl2br w:val="nil"/>
              <w:tr2bl w:val="nil"/>
            </w:tcBorders>
            <w:shd w:val="clear" w:color="auto" w:fill="auto"/>
            <w:vAlign w:val="center"/>
          </w:tcPr>
          <w:p w14:paraId="4FC92A40">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2000</w:t>
            </w:r>
          </w:p>
        </w:tc>
        <w:tc>
          <w:tcPr>
            <w:tcW w:w="600" w:type="pct"/>
            <w:tcBorders>
              <w:tl2br w:val="nil"/>
              <w:tr2bl w:val="nil"/>
            </w:tcBorders>
            <w:shd w:val="clear" w:color="auto" w:fill="auto"/>
            <w:vAlign w:val="center"/>
          </w:tcPr>
          <w:p w14:paraId="4C199814">
            <w:pPr>
              <w:pStyle w:val="43"/>
              <w:keepNext w:val="0"/>
              <w:keepLines w:val="0"/>
              <w:suppressLineNumbers w:val="0"/>
              <w:bidi w:val="0"/>
              <w:spacing w:before="0" w:beforeAutospacing="0" w:after="0" w:afterAutospacing="0"/>
              <w:ind w:left="0"/>
              <w:rPr>
                <w:rFonts w:hint="default"/>
                <w:highlight w:val="none"/>
              </w:rPr>
            </w:pPr>
            <w:r>
              <w:rPr>
                <w:rFonts w:hint="default"/>
                <w:highlight w:val="none"/>
                <w:lang w:val="en-US" w:eastAsia="zh-CN"/>
              </w:rPr>
              <w:t>20</w:t>
            </w:r>
          </w:p>
        </w:tc>
        <w:tc>
          <w:tcPr>
            <w:tcW w:w="1629" w:type="pct"/>
            <w:vMerge w:val="continue"/>
            <w:tcBorders>
              <w:tl2br w:val="nil"/>
              <w:tr2bl w:val="nil"/>
            </w:tcBorders>
            <w:shd w:val="clear" w:color="auto" w:fill="auto"/>
            <w:vAlign w:val="center"/>
          </w:tcPr>
          <w:p w14:paraId="3ADA68F6">
            <w:pPr>
              <w:pStyle w:val="43"/>
              <w:keepNext w:val="0"/>
              <w:keepLines w:val="0"/>
              <w:suppressLineNumbers w:val="0"/>
              <w:bidi w:val="0"/>
              <w:spacing w:before="0" w:beforeAutospacing="0" w:after="0" w:afterAutospacing="0"/>
              <w:ind w:left="0"/>
              <w:rPr>
                <w:rFonts w:hint="eastAsia"/>
                <w:highlight w:val="none"/>
              </w:rPr>
            </w:pPr>
          </w:p>
        </w:tc>
      </w:tr>
    </w:tbl>
    <w:p w14:paraId="0F50AC48">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水污染物排放标准</w:t>
      </w:r>
    </w:p>
    <w:p w14:paraId="73D6596D">
      <w:pPr>
        <w:adjustRightInd w:val="0"/>
        <w:snapToGrid w:val="0"/>
        <w:ind w:firstLine="48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val="en-US" w:eastAsia="zh-CN"/>
        </w:rPr>
        <w:t>佳海产业园采用雨污分流，污污分流。项目污水处理站处理后的废水应满足《污水综合排放标准》（GB8978-1996）表4中三级标准以及湘阴县第二污水处理厂接纳标准，排入市政污水管网，经湘阴县第二污水处理厂处理达《城镇污水处理厂污染物排放标准》（GB18918-2002）一级A标准（</w:t>
      </w:r>
      <w:bookmarkStart w:id="55" w:name="OLE_LINK17"/>
      <w:r>
        <w:rPr>
          <w:rFonts w:hint="eastAsia" w:ascii="Times New Roman" w:hAnsi="Times New Roman" w:cs="Times New Roman"/>
          <w:color w:val="auto"/>
          <w:highlight w:val="none"/>
          <w:u w:val="none" w:color="auto"/>
          <w:lang w:val="en-US" w:eastAsia="zh-CN"/>
        </w:rPr>
        <w:t>氯化物执行《污水排入城镇下水道水质标准》（GB/T31962-2015）B级标准</w:t>
      </w:r>
      <w:bookmarkEnd w:id="55"/>
      <w:r>
        <w:rPr>
          <w:rFonts w:hint="eastAsia" w:ascii="Times New Roman" w:hAnsi="Times New Roman" w:cs="Times New Roman"/>
          <w:color w:val="auto"/>
          <w:highlight w:val="none"/>
          <w:u w:val="none" w:color="auto"/>
          <w:lang w:val="en-US" w:eastAsia="zh-CN"/>
        </w:rPr>
        <w:t>）。具体排放限值见下表。</w:t>
      </w:r>
    </w:p>
    <w:p w14:paraId="3EC9A6C8">
      <w:pPr>
        <w:pStyle w:val="39"/>
        <w:rPr>
          <w:rFonts w:hint="default" w:ascii="Times New Roman" w:hAnsi="Times New Roman" w:cs="Times New Roman"/>
          <w:b/>
          <w:color w:val="auto"/>
          <w:szCs w:val="21"/>
          <w:highlight w:val="none"/>
          <w:u w:val="none" w:color="auto"/>
        </w:rPr>
      </w:pPr>
      <w:r>
        <w:rPr>
          <w:rFonts w:hint="default" w:ascii="Times New Roman" w:hAnsi="Times New Roman" w:cs="Times New Roman"/>
          <w:color w:val="auto"/>
          <w:highlight w:val="none"/>
          <w:u w:val="none" w:color="auto"/>
        </w:rPr>
        <w:t>表2.3-</w:t>
      </w:r>
      <w:r>
        <w:rPr>
          <w:rFonts w:hint="eastAsia" w:cs="Times New Roman"/>
          <w:color w:val="auto"/>
          <w:highlight w:val="none"/>
          <w:u w:val="none" w:color="auto"/>
          <w:lang w:val="en-US" w:eastAsia="zh-CN"/>
        </w:rPr>
        <w:t>7</w:t>
      </w:r>
      <w:r>
        <w:rPr>
          <w:rFonts w:hint="default" w:ascii="Times New Roman" w:hAnsi="Times New Roman" w:cs="Times New Roman"/>
          <w:color w:val="auto"/>
          <w:highlight w:val="none"/>
          <w:u w:val="none" w:color="auto"/>
          <w:lang w:val="en-US" w:eastAsia="zh-CN"/>
        </w:rPr>
        <w:t xml:space="preserve"> </w:t>
      </w:r>
      <w:r>
        <w:rPr>
          <w:rFonts w:hint="default" w:ascii="Times New Roman" w:hAnsi="Times New Roman" w:cs="Times New Roman"/>
          <w:color w:val="auto"/>
          <w:highlight w:val="none"/>
          <w:u w:val="none" w:color="auto"/>
        </w:rPr>
        <w:t xml:space="preserve"> 厂区废水排放标准 （单位：mg/L）</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3"/>
        <w:gridCol w:w="1210"/>
        <w:gridCol w:w="2131"/>
        <w:gridCol w:w="3317"/>
        <w:gridCol w:w="1268"/>
      </w:tblGrid>
      <w:tr w14:paraId="665D0A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4" w:hRule="atLeast"/>
        </w:trPr>
        <w:tc>
          <w:tcPr>
            <w:tcW w:w="348" w:type="pct"/>
            <w:vAlign w:val="center"/>
          </w:tcPr>
          <w:p w14:paraId="29AF9735">
            <w:pPr>
              <w:pStyle w:val="42"/>
              <w:keepNext w:val="0"/>
              <w:keepLines w:val="0"/>
              <w:suppressLineNumbers w:val="0"/>
              <w:bidi w:val="0"/>
              <w:spacing w:before="0" w:beforeAutospacing="0" w:after="0" w:afterAutospacing="0"/>
              <w:rPr>
                <w:rFonts w:hint="default"/>
                <w:highlight w:val="none"/>
              </w:rPr>
            </w:pPr>
            <w:r>
              <w:rPr>
                <w:rFonts w:hint="default"/>
                <w:highlight w:val="none"/>
              </w:rPr>
              <w:t>序号</w:t>
            </w:r>
          </w:p>
        </w:tc>
        <w:tc>
          <w:tcPr>
            <w:tcW w:w="710" w:type="pct"/>
            <w:vAlign w:val="center"/>
          </w:tcPr>
          <w:p w14:paraId="0F5F82FC">
            <w:pPr>
              <w:pStyle w:val="42"/>
              <w:keepNext w:val="0"/>
              <w:keepLines w:val="0"/>
              <w:suppressLineNumbers w:val="0"/>
              <w:bidi w:val="0"/>
              <w:spacing w:before="0" w:beforeAutospacing="0" w:after="0" w:afterAutospacing="0"/>
              <w:rPr>
                <w:rFonts w:hint="default"/>
                <w:highlight w:val="none"/>
              </w:rPr>
            </w:pPr>
            <w:r>
              <w:rPr>
                <w:rFonts w:hint="default"/>
                <w:highlight w:val="none"/>
              </w:rPr>
              <w:t>污染物</w:t>
            </w:r>
          </w:p>
        </w:tc>
        <w:tc>
          <w:tcPr>
            <w:tcW w:w="1250" w:type="pct"/>
            <w:vAlign w:val="center"/>
          </w:tcPr>
          <w:p w14:paraId="529D6B31">
            <w:pPr>
              <w:pStyle w:val="42"/>
              <w:keepNext w:val="0"/>
              <w:keepLines w:val="0"/>
              <w:suppressLineNumbers w:val="0"/>
              <w:bidi w:val="0"/>
              <w:spacing w:before="0" w:beforeAutospacing="0" w:after="0" w:afterAutospacing="0"/>
              <w:rPr>
                <w:rFonts w:hint="default"/>
                <w:highlight w:val="none"/>
              </w:rPr>
            </w:pPr>
            <w:r>
              <w:rPr>
                <w:rFonts w:hint="default"/>
                <w:highlight w:val="none"/>
              </w:rPr>
              <w:t>《污水综合排放标准》（GB8978-1996）三级</w:t>
            </w:r>
          </w:p>
        </w:tc>
        <w:tc>
          <w:tcPr>
            <w:tcW w:w="1946" w:type="pct"/>
            <w:vAlign w:val="center"/>
          </w:tcPr>
          <w:p w14:paraId="09FD1F07">
            <w:pPr>
              <w:pStyle w:val="42"/>
              <w:keepNext w:val="0"/>
              <w:keepLines w:val="0"/>
              <w:suppressLineNumbers w:val="0"/>
              <w:bidi w:val="0"/>
              <w:spacing w:before="0" w:beforeAutospacing="0" w:after="0" w:afterAutospacing="0"/>
              <w:rPr>
                <w:rFonts w:hint="default"/>
                <w:highlight w:val="none"/>
              </w:rPr>
            </w:pPr>
            <w:r>
              <w:rPr>
                <w:rFonts w:hint="default"/>
                <w:highlight w:val="none"/>
              </w:rPr>
              <w:t>湘阴县第二污水处理厂接管标准</w:t>
            </w:r>
            <w:bookmarkStart w:id="56" w:name="OLE_LINK16"/>
            <w:r>
              <w:rPr>
                <w:rFonts w:hint="eastAsia"/>
                <w:highlight w:val="none"/>
                <w:lang w:eastAsia="zh-CN"/>
              </w:rPr>
              <w:t>，</w:t>
            </w:r>
            <w:r>
              <w:rPr>
                <w:rFonts w:hint="default"/>
                <w:highlight w:val="none"/>
              </w:rPr>
              <w:t>《污水排入城镇下水道水质标准》（GB/T31962-2015）B级</w:t>
            </w:r>
            <w:bookmarkEnd w:id="56"/>
          </w:p>
        </w:tc>
        <w:tc>
          <w:tcPr>
            <w:tcW w:w="744" w:type="pct"/>
            <w:vAlign w:val="center"/>
          </w:tcPr>
          <w:p w14:paraId="4F9907DB">
            <w:pPr>
              <w:pStyle w:val="42"/>
              <w:keepNext w:val="0"/>
              <w:keepLines w:val="0"/>
              <w:suppressLineNumbers w:val="0"/>
              <w:bidi w:val="0"/>
              <w:spacing w:before="0" w:beforeAutospacing="0" w:after="0" w:afterAutospacing="0"/>
              <w:rPr>
                <w:rFonts w:hint="default"/>
                <w:highlight w:val="none"/>
              </w:rPr>
            </w:pPr>
            <w:r>
              <w:rPr>
                <w:rFonts w:hint="default"/>
                <w:highlight w:val="none"/>
              </w:rPr>
              <w:t>废水执行标准</w:t>
            </w:r>
          </w:p>
        </w:tc>
      </w:tr>
      <w:tr w14:paraId="0A558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58561B0B">
            <w:pPr>
              <w:pStyle w:val="42"/>
              <w:keepNext w:val="0"/>
              <w:keepLines w:val="0"/>
              <w:suppressLineNumbers w:val="0"/>
              <w:bidi w:val="0"/>
              <w:spacing w:before="0" w:beforeAutospacing="0" w:after="0" w:afterAutospacing="0"/>
              <w:rPr>
                <w:rFonts w:hint="default"/>
                <w:highlight w:val="none"/>
              </w:rPr>
            </w:pPr>
            <w:r>
              <w:rPr>
                <w:rFonts w:hint="default"/>
                <w:highlight w:val="none"/>
              </w:rPr>
              <w:t>1</w:t>
            </w:r>
          </w:p>
        </w:tc>
        <w:tc>
          <w:tcPr>
            <w:tcW w:w="710" w:type="pct"/>
            <w:vAlign w:val="center"/>
          </w:tcPr>
          <w:p w14:paraId="10902CBC">
            <w:pPr>
              <w:pStyle w:val="42"/>
              <w:keepNext w:val="0"/>
              <w:keepLines w:val="0"/>
              <w:suppressLineNumbers w:val="0"/>
              <w:bidi w:val="0"/>
              <w:spacing w:before="0" w:beforeAutospacing="0" w:after="0" w:afterAutospacing="0"/>
              <w:rPr>
                <w:rFonts w:hint="default"/>
                <w:highlight w:val="none"/>
              </w:rPr>
            </w:pPr>
            <w:r>
              <w:rPr>
                <w:rFonts w:hint="default"/>
                <w:highlight w:val="none"/>
              </w:rPr>
              <w:t>pH值</w:t>
            </w:r>
          </w:p>
        </w:tc>
        <w:tc>
          <w:tcPr>
            <w:tcW w:w="1250" w:type="pct"/>
            <w:vAlign w:val="center"/>
          </w:tcPr>
          <w:p w14:paraId="6F5E912E">
            <w:pPr>
              <w:pStyle w:val="42"/>
              <w:keepNext w:val="0"/>
              <w:keepLines w:val="0"/>
              <w:suppressLineNumbers w:val="0"/>
              <w:bidi w:val="0"/>
              <w:spacing w:before="0" w:beforeAutospacing="0" w:after="0" w:afterAutospacing="0"/>
              <w:rPr>
                <w:rFonts w:hint="default"/>
                <w:highlight w:val="none"/>
              </w:rPr>
            </w:pPr>
            <w:r>
              <w:rPr>
                <w:rFonts w:hint="default"/>
                <w:highlight w:val="none"/>
              </w:rPr>
              <w:t>6-9</w:t>
            </w:r>
          </w:p>
        </w:tc>
        <w:tc>
          <w:tcPr>
            <w:tcW w:w="1946" w:type="pct"/>
            <w:vAlign w:val="center"/>
          </w:tcPr>
          <w:p w14:paraId="47E3EB9B">
            <w:pPr>
              <w:pStyle w:val="42"/>
              <w:keepNext w:val="0"/>
              <w:keepLines w:val="0"/>
              <w:suppressLineNumbers w:val="0"/>
              <w:bidi w:val="0"/>
              <w:spacing w:before="0" w:beforeAutospacing="0" w:after="0" w:afterAutospacing="0"/>
              <w:rPr>
                <w:rFonts w:hint="default"/>
                <w:highlight w:val="none"/>
              </w:rPr>
            </w:pPr>
            <w:r>
              <w:rPr>
                <w:rFonts w:hint="default"/>
                <w:highlight w:val="none"/>
              </w:rPr>
              <w:t>6.5-9.5</w:t>
            </w:r>
          </w:p>
        </w:tc>
        <w:tc>
          <w:tcPr>
            <w:tcW w:w="744" w:type="pct"/>
            <w:vAlign w:val="center"/>
          </w:tcPr>
          <w:p w14:paraId="3E8404DF">
            <w:pPr>
              <w:pStyle w:val="42"/>
              <w:keepNext w:val="0"/>
              <w:keepLines w:val="0"/>
              <w:suppressLineNumbers w:val="0"/>
              <w:bidi w:val="0"/>
              <w:spacing w:before="0" w:beforeAutospacing="0" w:after="0" w:afterAutospacing="0"/>
              <w:rPr>
                <w:rFonts w:hint="default"/>
                <w:highlight w:val="none"/>
              </w:rPr>
            </w:pPr>
            <w:r>
              <w:rPr>
                <w:rFonts w:hint="default"/>
                <w:highlight w:val="none"/>
              </w:rPr>
              <w:t>6.5-9</w:t>
            </w:r>
          </w:p>
        </w:tc>
      </w:tr>
      <w:tr w14:paraId="050F51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61384427">
            <w:pPr>
              <w:pStyle w:val="42"/>
              <w:keepNext w:val="0"/>
              <w:keepLines w:val="0"/>
              <w:suppressLineNumbers w:val="0"/>
              <w:bidi w:val="0"/>
              <w:spacing w:before="0" w:beforeAutospacing="0" w:after="0" w:afterAutospacing="0"/>
              <w:rPr>
                <w:rFonts w:hint="default"/>
                <w:highlight w:val="none"/>
              </w:rPr>
            </w:pPr>
            <w:r>
              <w:rPr>
                <w:rFonts w:hint="default"/>
                <w:highlight w:val="none"/>
              </w:rPr>
              <w:t>2</w:t>
            </w:r>
          </w:p>
        </w:tc>
        <w:tc>
          <w:tcPr>
            <w:tcW w:w="710" w:type="pct"/>
            <w:vAlign w:val="center"/>
          </w:tcPr>
          <w:p w14:paraId="4B30E472">
            <w:pPr>
              <w:pStyle w:val="42"/>
              <w:keepNext w:val="0"/>
              <w:keepLines w:val="0"/>
              <w:suppressLineNumbers w:val="0"/>
              <w:bidi w:val="0"/>
              <w:spacing w:before="0" w:beforeAutospacing="0" w:after="0" w:afterAutospacing="0"/>
              <w:rPr>
                <w:rFonts w:hint="default"/>
                <w:highlight w:val="none"/>
              </w:rPr>
            </w:pPr>
            <w:r>
              <w:rPr>
                <w:rFonts w:hint="default"/>
                <w:highlight w:val="none"/>
              </w:rPr>
              <w:t>COD</w:t>
            </w:r>
          </w:p>
        </w:tc>
        <w:tc>
          <w:tcPr>
            <w:tcW w:w="1250" w:type="pct"/>
            <w:vAlign w:val="center"/>
          </w:tcPr>
          <w:p w14:paraId="51249615">
            <w:pPr>
              <w:pStyle w:val="42"/>
              <w:keepNext w:val="0"/>
              <w:keepLines w:val="0"/>
              <w:suppressLineNumbers w:val="0"/>
              <w:bidi w:val="0"/>
              <w:spacing w:before="0" w:beforeAutospacing="0" w:after="0" w:afterAutospacing="0"/>
              <w:rPr>
                <w:rFonts w:hint="default"/>
                <w:highlight w:val="none"/>
              </w:rPr>
            </w:pPr>
            <w:r>
              <w:rPr>
                <w:rFonts w:hint="default"/>
                <w:highlight w:val="none"/>
              </w:rPr>
              <w:t>500</w:t>
            </w:r>
          </w:p>
        </w:tc>
        <w:tc>
          <w:tcPr>
            <w:tcW w:w="1946" w:type="pct"/>
            <w:vAlign w:val="center"/>
          </w:tcPr>
          <w:p w14:paraId="205A3A8D">
            <w:pPr>
              <w:pStyle w:val="42"/>
              <w:keepNext w:val="0"/>
              <w:keepLines w:val="0"/>
              <w:suppressLineNumbers w:val="0"/>
              <w:bidi w:val="0"/>
              <w:spacing w:before="0" w:beforeAutospacing="0" w:after="0" w:afterAutospacing="0"/>
              <w:rPr>
                <w:rFonts w:hint="default"/>
                <w:highlight w:val="none"/>
              </w:rPr>
            </w:pPr>
            <w:r>
              <w:rPr>
                <w:rFonts w:hint="default"/>
                <w:highlight w:val="none"/>
              </w:rPr>
              <w:t>500</w:t>
            </w:r>
          </w:p>
        </w:tc>
        <w:tc>
          <w:tcPr>
            <w:tcW w:w="744" w:type="pct"/>
            <w:vAlign w:val="center"/>
          </w:tcPr>
          <w:p w14:paraId="270E6DC1">
            <w:pPr>
              <w:pStyle w:val="42"/>
              <w:keepNext w:val="0"/>
              <w:keepLines w:val="0"/>
              <w:suppressLineNumbers w:val="0"/>
              <w:bidi w:val="0"/>
              <w:spacing w:before="0" w:beforeAutospacing="0" w:after="0" w:afterAutospacing="0"/>
              <w:rPr>
                <w:rFonts w:hint="default"/>
                <w:highlight w:val="none"/>
              </w:rPr>
            </w:pPr>
            <w:r>
              <w:rPr>
                <w:rFonts w:hint="default"/>
                <w:highlight w:val="none"/>
              </w:rPr>
              <w:t>500</w:t>
            </w:r>
          </w:p>
        </w:tc>
      </w:tr>
      <w:tr w14:paraId="3117E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7D9625DF">
            <w:pPr>
              <w:pStyle w:val="42"/>
              <w:keepNext w:val="0"/>
              <w:keepLines w:val="0"/>
              <w:suppressLineNumbers w:val="0"/>
              <w:bidi w:val="0"/>
              <w:spacing w:before="0" w:beforeAutospacing="0" w:after="0" w:afterAutospacing="0"/>
              <w:rPr>
                <w:rFonts w:hint="default"/>
                <w:highlight w:val="none"/>
              </w:rPr>
            </w:pPr>
            <w:r>
              <w:rPr>
                <w:rFonts w:hint="default"/>
                <w:highlight w:val="none"/>
              </w:rPr>
              <w:t>3</w:t>
            </w:r>
          </w:p>
        </w:tc>
        <w:tc>
          <w:tcPr>
            <w:tcW w:w="710" w:type="pct"/>
            <w:vAlign w:val="center"/>
          </w:tcPr>
          <w:p w14:paraId="6EA8769C">
            <w:pPr>
              <w:pStyle w:val="42"/>
              <w:keepNext w:val="0"/>
              <w:keepLines w:val="0"/>
              <w:suppressLineNumbers w:val="0"/>
              <w:bidi w:val="0"/>
              <w:spacing w:before="0" w:beforeAutospacing="0" w:after="0" w:afterAutospacing="0"/>
              <w:rPr>
                <w:rFonts w:hint="default"/>
                <w:highlight w:val="none"/>
              </w:rPr>
            </w:pPr>
            <w:r>
              <w:rPr>
                <w:rFonts w:hint="default"/>
                <w:highlight w:val="none"/>
              </w:rPr>
              <w:t>氨氮</w:t>
            </w:r>
          </w:p>
        </w:tc>
        <w:tc>
          <w:tcPr>
            <w:tcW w:w="1250" w:type="pct"/>
            <w:vAlign w:val="center"/>
          </w:tcPr>
          <w:p w14:paraId="062F412A">
            <w:pPr>
              <w:pStyle w:val="42"/>
              <w:keepNext w:val="0"/>
              <w:keepLines w:val="0"/>
              <w:suppressLineNumbers w:val="0"/>
              <w:bidi w:val="0"/>
              <w:spacing w:before="0" w:beforeAutospacing="0" w:after="0" w:afterAutospacing="0"/>
              <w:rPr>
                <w:rFonts w:hint="default"/>
                <w:highlight w:val="none"/>
              </w:rPr>
            </w:pPr>
            <w:r>
              <w:rPr>
                <w:rFonts w:hint="default"/>
                <w:highlight w:val="none"/>
              </w:rPr>
              <w:t>/</w:t>
            </w:r>
          </w:p>
        </w:tc>
        <w:tc>
          <w:tcPr>
            <w:tcW w:w="1946" w:type="pct"/>
            <w:vAlign w:val="center"/>
          </w:tcPr>
          <w:p w14:paraId="54420990">
            <w:pPr>
              <w:pStyle w:val="42"/>
              <w:keepNext w:val="0"/>
              <w:keepLines w:val="0"/>
              <w:suppressLineNumbers w:val="0"/>
              <w:bidi w:val="0"/>
              <w:spacing w:before="0" w:beforeAutospacing="0" w:after="0" w:afterAutospacing="0"/>
              <w:rPr>
                <w:rFonts w:hint="default"/>
                <w:highlight w:val="none"/>
              </w:rPr>
            </w:pPr>
            <w:r>
              <w:rPr>
                <w:rFonts w:hint="default"/>
                <w:highlight w:val="none"/>
              </w:rPr>
              <w:t>45</w:t>
            </w:r>
          </w:p>
        </w:tc>
        <w:tc>
          <w:tcPr>
            <w:tcW w:w="744" w:type="pct"/>
            <w:vAlign w:val="center"/>
          </w:tcPr>
          <w:p w14:paraId="30A1B776">
            <w:pPr>
              <w:pStyle w:val="42"/>
              <w:keepNext w:val="0"/>
              <w:keepLines w:val="0"/>
              <w:suppressLineNumbers w:val="0"/>
              <w:bidi w:val="0"/>
              <w:spacing w:before="0" w:beforeAutospacing="0" w:after="0" w:afterAutospacing="0"/>
              <w:rPr>
                <w:rFonts w:hint="default"/>
                <w:highlight w:val="none"/>
              </w:rPr>
            </w:pPr>
            <w:r>
              <w:rPr>
                <w:rFonts w:hint="default"/>
                <w:highlight w:val="none"/>
              </w:rPr>
              <w:t>45</w:t>
            </w:r>
          </w:p>
        </w:tc>
      </w:tr>
      <w:tr w14:paraId="1309F4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73CB12A0">
            <w:pPr>
              <w:pStyle w:val="42"/>
              <w:keepNext w:val="0"/>
              <w:keepLines w:val="0"/>
              <w:suppressLineNumbers w:val="0"/>
              <w:bidi w:val="0"/>
              <w:spacing w:before="0" w:beforeAutospacing="0" w:after="0" w:afterAutospacing="0"/>
              <w:rPr>
                <w:rFonts w:hint="default"/>
                <w:highlight w:val="none"/>
              </w:rPr>
            </w:pPr>
            <w:r>
              <w:rPr>
                <w:rFonts w:hint="default"/>
                <w:highlight w:val="none"/>
              </w:rPr>
              <w:t>4</w:t>
            </w:r>
          </w:p>
        </w:tc>
        <w:tc>
          <w:tcPr>
            <w:tcW w:w="710" w:type="pct"/>
            <w:vAlign w:val="center"/>
          </w:tcPr>
          <w:p w14:paraId="4D5AC227">
            <w:pPr>
              <w:pStyle w:val="42"/>
              <w:keepNext w:val="0"/>
              <w:keepLines w:val="0"/>
              <w:suppressLineNumbers w:val="0"/>
              <w:bidi w:val="0"/>
              <w:spacing w:before="0" w:beforeAutospacing="0" w:after="0" w:afterAutospacing="0"/>
              <w:rPr>
                <w:rFonts w:hint="default"/>
                <w:highlight w:val="none"/>
              </w:rPr>
            </w:pPr>
            <w:r>
              <w:rPr>
                <w:rFonts w:hint="default"/>
                <w:highlight w:val="none"/>
              </w:rPr>
              <w:t>总磷</w:t>
            </w:r>
          </w:p>
        </w:tc>
        <w:tc>
          <w:tcPr>
            <w:tcW w:w="1250" w:type="pct"/>
            <w:vAlign w:val="center"/>
          </w:tcPr>
          <w:p w14:paraId="504E584A">
            <w:pPr>
              <w:pStyle w:val="42"/>
              <w:keepNext w:val="0"/>
              <w:keepLines w:val="0"/>
              <w:suppressLineNumbers w:val="0"/>
              <w:bidi w:val="0"/>
              <w:spacing w:before="0" w:beforeAutospacing="0" w:after="0" w:afterAutospacing="0"/>
              <w:rPr>
                <w:rFonts w:hint="default"/>
                <w:highlight w:val="none"/>
              </w:rPr>
            </w:pPr>
            <w:r>
              <w:rPr>
                <w:rFonts w:hint="default"/>
                <w:highlight w:val="none"/>
              </w:rPr>
              <w:t>/</w:t>
            </w:r>
          </w:p>
        </w:tc>
        <w:tc>
          <w:tcPr>
            <w:tcW w:w="1946" w:type="pct"/>
            <w:vAlign w:val="center"/>
          </w:tcPr>
          <w:p w14:paraId="36297E57">
            <w:pPr>
              <w:pStyle w:val="42"/>
              <w:keepNext w:val="0"/>
              <w:keepLines w:val="0"/>
              <w:suppressLineNumbers w:val="0"/>
              <w:bidi w:val="0"/>
              <w:spacing w:before="0" w:beforeAutospacing="0" w:after="0" w:afterAutospacing="0"/>
              <w:rPr>
                <w:rFonts w:hint="default"/>
                <w:highlight w:val="none"/>
              </w:rPr>
            </w:pPr>
            <w:r>
              <w:rPr>
                <w:rFonts w:hint="default"/>
                <w:highlight w:val="none"/>
              </w:rPr>
              <w:t>8</w:t>
            </w:r>
          </w:p>
        </w:tc>
        <w:tc>
          <w:tcPr>
            <w:tcW w:w="744" w:type="pct"/>
            <w:vAlign w:val="center"/>
          </w:tcPr>
          <w:p w14:paraId="3E54116C">
            <w:pPr>
              <w:pStyle w:val="42"/>
              <w:keepNext w:val="0"/>
              <w:keepLines w:val="0"/>
              <w:suppressLineNumbers w:val="0"/>
              <w:bidi w:val="0"/>
              <w:spacing w:before="0" w:beforeAutospacing="0" w:after="0" w:afterAutospacing="0"/>
              <w:rPr>
                <w:rFonts w:hint="default"/>
                <w:highlight w:val="none"/>
              </w:rPr>
            </w:pPr>
            <w:r>
              <w:rPr>
                <w:rFonts w:hint="default"/>
                <w:highlight w:val="none"/>
              </w:rPr>
              <w:t>8</w:t>
            </w:r>
          </w:p>
        </w:tc>
      </w:tr>
      <w:tr w14:paraId="18D1A7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5B22A9A5">
            <w:pPr>
              <w:pStyle w:val="42"/>
              <w:keepNext w:val="0"/>
              <w:keepLines w:val="0"/>
              <w:suppressLineNumbers w:val="0"/>
              <w:bidi w:val="0"/>
              <w:spacing w:before="0" w:beforeAutospacing="0" w:after="0" w:afterAutospacing="0"/>
              <w:rPr>
                <w:rFonts w:hint="default"/>
                <w:highlight w:val="none"/>
              </w:rPr>
            </w:pPr>
            <w:r>
              <w:rPr>
                <w:rFonts w:hint="default"/>
                <w:highlight w:val="none"/>
              </w:rPr>
              <w:t>5</w:t>
            </w:r>
          </w:p>
        </w:tc>
        <w:tc>
          <w:tcPr>
            <w:tcW w:w="710" w:type="pct"/>
            <w:vAlign w:val="center"/>
          </w:tcPr>
          <w:p w14:paraId="34478E80">
            <w:pPr>
              <w:pStyle w:val="42"/>
              <w:keepNext w:val="0"/>
              <w:keepLines w:val="0"/>
              <w:suppressLineNumbers w:val="0"/>
              <w:bidi w:val="0"/>
              <w:spacing w:before="0" w:beforeAutospacing="0" w:after="0" w:afterAutospacing="0"/>
              <w:rPr>
                <w:rFonts w:hint="eastAsia" w:eastAsia="宋体"/>
                <w:highlight w:val="none"/>
                <w:lang w:eastAsia="zh-CN"/>
              </w:rPr>
            </w:pPr>
            <w:r>
              <w:rPr>
                <w:rFonts w:hint="eastAsia"/>
                <w:highlight w:val="none"/>
                <w:lang w:eastAsia="zh-CN"/>
              </w:rPr>
              <w:t>BOD</w:t>
            </w:r>
            <w:r>
              <w:rPr>
                <w:rFonts w:hint="eastAsia"/>
                <w:highlight w:val="none"/>
                <w:vertAlign w:val="subscript"/>
                <w:lang w:eastAsia="zh-CN"/>
              </w:rPr>
              <w:t>5</w:t>
            </w:r>
          </w:p>
        </w:tc>
        <w:tc>
          <w:tcPr>
            <w:tcW w:w="1250" w:type="pct"/>
            <w:vAlign w:val="center"/>
          </w:tcPr>
          <w:p w14:paraId="0F59F3A9">
            <w:pPr>
              <w:pStyle w:val="42"/>
              <w:keepNext w:val="0"/>
              <w:keepLines w:val="0"/>
              <w:suppressLineNumbers w:val="0"/>
              <w:bidi w:val="0"/>
              <w:spacing w:before="0" w:beforeAutospacing="0" w:after="0" w:afterAutospacing="0"/>
              <w:rPr>
                <w:rFonts w:hint="default"/>
                <w:highlight w:val="none"/>
              </w:rPr>
            </w:pPr>
            <w:r>
              <w:rPr>
                <w:rFonts w:hint="default"/>
                <w:highlight w:val="none"/>
              </w:rPr>
              <w:t>300</w:t>
            </w:r>
          </w:p>
        </w:tc>
        <w:tc>
          <w:tcPr>
            <w:tcW w:w="1946" w:type="pct"/>
            <w:vAlign w:val="center"/>
          </w:tcPr>
          <w:p w14:paraId="7065C316">
            <w:pPr>
              <w:pStyle w:val="42"/>
              <w:keepNext w:val="0"/>
              <w:keepLines w:val="0"/>
              <w:suppressLineNumbers w:val="0"/>
              <w:bidi w:val="0"/>
              <w:spacing w:before="0" w:beforeAutospacing="0" w:after="0" w:afterAutospacing="0"/>
              <w:rPr>
                <w:rFonts w:hint="default"/>
                <w:highlight w:val="none"/>
              </w:rPr>
            </w:pPr>
            <w:r>
              <w:rPr>
                <w:rFonts w:hint="default"/>
                <w:highlight w:val="none"/>
              </w:rPr>
              <w:t>350</w:t>
            </w:r>
          </w:p>
        </w:tc>
        <w:tc>
          <w:tcPr>
            <w:tcW w:w="744" w:type="pct"/>
            <w:vAlign w:val="center"/>
          </w:tcPr>
          <w:p w14:paraId="109A769E">
            <w:pPr>
              <w:pStyle w:val="42"/>
              <w:keepNext w:val="0"/>
              <w:keepLines w:val="0"/>
              <w:suppressLineNumbers w:val="0"/>
              <w:bidi w:val="0"/>
              <w:spacing w:before="0" w:beforeAutospacing="0" w:after="0" w:afterAutospacing="0"/>
              <w:rPr>
                <w:rFonts w:hint="default"/>
                <w:highlight w:val="none"/>
              </w:rPr>
            </w:pPr>
            <w:r>
              <w:rPr>
                <w:rFonts w:hint="default"/>
                <w:highlight w:val="none"/>
              </w:rPr>
              <w:t>300</w:t>
            </w:r>
          </w:p>
        </w:tc>
      </w:tr>
      <w:tr w14:paraId="14A73A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39BCBAD0">
            <w:pPr>
              <w:pStyle w:val="42"/>
              <w:keepNext w:val="0"/>
              <w:keepLines w:val="0"/>
              <w:suppressLineNumbers w:val="0"/>
              <w:bidi w:val="0"/>
              <w:spacing w:before="0" w:beforeAutospacing="0" w:after="0" w:afterAutospacing="0"/>
              <w:rPr>
                <w:rFonts w:hint="default"/>
                <w:highlight w:val="none"/>
              </w:rPr>
            </w:pPr>
            <w:r>
              <w:rPr>
                <w:rFonts w:hint="default"/>
                <w:highlight w:val="none"/>
              </w:rPr>
              <w:t>6</w:t>
            </w:r>
          </w:p>
        </w:tc>
        <w:tc>
          <w:tcPr>
            <w:tcW w:w="710" w:type="pct"/>
            <w:vAlign w:val="center"/>
          </w:tcPr>
          <w:p w14:paraId="2E936223">
            <w:pPr>
              <w:pStyle w:val="42"/>
              <w:keepNext w:val="0"/>
              <w:keepLines w:val="0"/>
              <w:suppressLineNumbers w:val="0"/>
              <w:bidi w:val="0"/>
              <w:spacing w:before="0" w:beforeAutospacing="0" w:after="0" w:afterAutospacing="0"/>
              <w:rPr>
                <w:rFonts w:hint="default"/>
                <w:highlight w:val="none"/>
              </w:rPr>
            </w:pPr>
            <w:r>
              <w:rPr>
                <w:rFonts w:hint="default"/>
                <w:highlight w:val="none"/>
              </w:rPr>
              <w:t>SS</w:t>
            </w:r>
          </w:p>
        </w:tc>
        <w:tc>
          <w:tcPr>
            <w:tcW w:w="1250" w:type="pct"/>
            <w:vAlign w:val="center"/>
          </w:tcPr>
          <w:p w14:paraId="5B7D4B08">
            <w:pPr>
              <w:pStyle w:val="42"/>
              <w:keepNext w:val="0"/>
              <w:keepLines w:val="0"/>
              <w:suppressLineNumbers w:val="0"/>
              <w:bidi w:val="0"/>
              <w:spacing w:before="0" w:beforeAutospacing="0" w:after="0" w:afterAutospacing="0"/>
              <w:rPr>
                <w:rFonts w:hint="default"/>
                <w:highlight w:val="none"/>
              </w:rPr>
            </w:pPr>
            <w:r>
              <w:rPr>
                <w:rFonts w:hint="default"/>
                <w:highlight w:val="none"/>
              </w:rPr>
              <w:t>400</w:t>
            </w:r>
          </w:p>
        </w:tc>
        <w:tc>
          <w:tcPr>
            <w:tcW w:w="1946" w:type="pct"/>
            <w:vAlign w:val="center"/>
          </w:tcPr>
          <w:p w14:paraId="6B01D99E">
            <w:pPr>
              <w:pStyle w:val="42"/>
              <w:keepNext w:val="0"/>
              <w:keepLines w:val="0"/>
              <w:suppressLineNumbers w:val="0"/>
              <w:bidi w:val="0"/>
              <w:spacing w:before="0" w:beforeAutospacing="0" w:after="0" w:afterAutospacing="0"/>
              <w:rPr>
                <w:rFonts w:hint="default"/>
                <w:highlight w:val="none"/>
              </w:rPr>
            </w:pPr>
            <w:r>
              <w:rPr>
                <w:rFonts w:hint="default"/>
                <w:highlight w:val="none"/>
              </w:rPr>
              <w:t>400</w:t>
            </w:r>
          </w:p>
        </w:tc>
        <w:tc>
          <w:tcPr>
            <w:tcW w:w="744" w:type="pct"/>
            <w:vAlign w:val="center"/>
          </w:tcPr>
          <w:p w14:paraId="4C632EEE">
            <w:pPr>
              <w:pStyle w:val="42"/>
              <w:keepNext w:val="0"/>
              <w:keepLines w:val="0"/>
              <w:suppressLineNumbers w:val="0"/>
              <w:bidi w:val="0"/>
              <w:spacing w:before="0" w:beforeAutospacing="0" w:after="0" w:afterAutospacing="0"/>
              <w:rPr>
                <w:rFonts w:hint="default"/>
                <w:highlight w:val="none"/>
              </w:rPr>
            </w:pPr>
            <w:r>
              <w:rPr>
                <w:rFonts w:hint="default"/>
                <w:highlight w:val="none"/>
              </w:rPr>
              <w:t>400</w:t>
            </w:r>
          </w:p>
        </w:tc>
      </w:tr>
      <w:tr w14:paraId="5D30DD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28CF0EA1">
            <w:pPr>
              <w:pStyle w:val="42"/>
              <w:keepNext w:val="0"/>
              <w:keepLines w:val="0"/>
              <w:suppressLineNumbers w:val="0"/>
              <w:bidi w:val="0"/>
              <w:spacing w:before="0" w:beforeAutospacing="0" w:after="0" w:afterAutospacing="0"/>
              <w:rPr>
                <w:rFonts w:hint="default"/>
                <w:highlight w:val="none"/>
              </w:rPr>
            </w:pPr>
            <w:r>
              <w:rPr>
                <w:rFonts w:hint="default"/>
                <w:highlight w:val="none"/>
              </w:rPr>
              <w:t>7</w:t>
            </w:r>
          </w:p>
        </w:tc>
        <w:tc>
          <w:tcPr>
            <w:tcW w:w="710" w:type="pct"/>
            <w:vAlign w:val="center"/>
          </w:tcPr>
          <w:p w14:paraId="6F52964C">
            <w:pPr>
              <w:pStyle w:val="42"/>
              <w:keepNext w:val="0"/>
              <w:keepLines w:val="0"/>
              <w:suppressLineNumbers w:val="0"/>
              <w:bidi w:val="0"/>
              <w:spacing w:before="0" w:beforeAutospacing="0" w:after="0" w:afterAutospacing="0"/>
              <w:rPr>
                <w:rFonts w:hint="default"/>
                <w:highlight w:val="none"/>
              </w:rPr>
            </w:pPr>
            <w:r>
              <w:rPr>
                <w:rFonts w:hint="default"/>
                <w:highlight w:val="none"/>
              </w:rPr>
              <w:t>石油类</w:t>
            </w:r>
          </w:p>
        </w:tc>
        <w:tc>
          <w:tcPr>
            <w:tcW w:w="1250" w:type="pct"/>
            <w:vAlign w:val="center"/>
          </w:tcPr>
          <w:p w14:paraId="72237FC3">
            <w:pPr>
              <w:pStyle w:val="42"/>
              <w:keepNext w:val="0"/>
              <w:keepLines w:val="0"/>
              <w:suppressLineNumbers w:val="0"/>
              <w:bidi w:val="0"/>
              <w:spacing w:before="0" w:beforeAutospacing="0" w:after="0" w:afterAutospacing="0"/>
              <w:rPr>
                <w:rFonts w:hint="default"/>
                <w:highlight w:val="none"/>
              </w:rPr>
            </w:pPr>
            <w:r>
              <w:rPr>
                <w:rFonts w:hint="default"/>
                <w:highlight w:val="none"/>
              </w:rPr>
              <w:t>20</w:t>
            </w:r>
          </w:p>
        </w:tc>
        <w:tc>
          <w:tcPr>
            <w:tcW w:w="1946" w:type="pct"/>
            <w:vAlign w:val="center"/>
          </w:tcPr>
          <w:p w14:paraId="26A5DDAF">
            <w:pPr>
              <w:pStyle w:val="42"/>
              <w:keepNext w:val="0"/>
              <w:keepLines w:val="0"/>
              <w:suppressLineNumbers w:val="0"/>
              <w:bidi w:val="0"/>
              <w:spacing w:before="0" w:beforeAutospacing="0" w:after="0" w:afterAutospacing="0"/>
              <w:rPr>
                <w:rFonts w:hint="default"/>
                <w:highlight w:val="none"/>
              </w:rPr>
            </w:pPr>
            <w:r>
              <w:rPr>
                <w:rFonts w:hint="default"/>
                <w:highlight w:val="none"/>
              </w:rPr>
              <w:t>15</w:t>
            </w:r>
          </w:p>
        </w:tc>
        <w:tc>
          <w:tcPr>
            <w:tcW w:w="744" w:type="pct"/>
            <w:vAlign w:val="center"/>
          </w:tcPr>
          <w:p w14:paraId="7FAC01CF">
            <w:pPr>
              <w:pStyle w:val="42"/>
              <w:keepNext w:val="0"/>
              <w:keepLines w:val="0"/>
              <w:suppressLineNumbers w:val="0"/>
              <w:bidi w:val="0"/>
              <w:spacing w:before="0" w:beforeAutospacing="0" w:after="0" w:afterAutospacing="0"/>
              <w:rPr>
                <w:rFonts w:hint="default"/>
                <w:highlight w:val="none"/>
              </w:rPr>
            </w:pPr>
            <w:r>
              <w:rPr>
                <w:rFonts w:hint="default"/>
                <w:highlight w:val="none"/>
              </w:rPr>
              <w:t>15</w:t>
            </w:r>
          </w:p>
        </w:tc>
      </w:tr>
      <w:tr w14:paraId="2EBAC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09879345">
            <w:pPr>
              <w:pStyle w:val="42"/>
              <w:keepNext w:val="0"/>
              <w:keepLines w:val="0"/>
              <w:suppressLineNumbers w:val="0"/>
              <w:bidi w:val="0"/>
              <w:spacing w:before="0" w:beforeAutospacing="0" w:after="0" w:afterAutospacing="0"/>
              <w:rPr>
                <w:rFonts w:hint="default"/>
                <w:highlight w:val="none"/>
              </w:rPr>
            </w:pPr>
            <w:r>
              <w:rPr>
                <w:rFonts w:hint="default"/>
                <w:highlight w:val="none"/>
              </w:rPr>
              <w:t>8</w:t>
            </w:r>
          </w:p>
        </w:tc>
        <w:tc>
          <w:tcPr>
            <w:tcW w:w="710" w:type="pct"/>
            <w:vAlign w:val="center"/>
          </w:tcPr>
          <w:p w14:paraId="0215C2D4">
            <w:pPr>
              <w:pStyle w:val="42"/>
              <w:keepNext w:val="0"/>
              <w:keepLines w:val="0"/>
              <w:suppressLineNumbers w:val="0"/>
              <w:bidi w:val="0"/>
              <w:spacing w:before="0" w:beforeAutospacing="0" w:after="0" w:afterAutospacing="0"/>
              <w:rPr>
                <w:rFonts w:hint="default"/>
                <w:highlight w:val="none"/>
              </w:rPr>
            </w:pPr>
            <w:r>
              <w:rPr>
                <w:rFonts w:hint="default"/>
                <w:highlight w:val="none"/>
              </w:rPr>
              <w:t>动植物油</w:t>
            </w:r>
          </w:p>
        </w:tc>
        <w:tc>
          <w:tcPr>
            <w:tcW w:w="1250" w:type="pct"/>
            <w:vAlign w:val="center"/>
          </w:tcPr>
          <w:p w14:paraId="2BA11DCD">
            <w:pPr>
              <w:pStyle w:val="42"/>
              <w:keepNext w:val="0"/>
              <w:keepLines w:val="0"/>
              <w:suppressLineNumbers w:val="0"/>
              <w:bidi w:val="0"/>
              <w:spacing w:before="0" w:beforeAutospacing="0" w:after="0" w:afterAutospacing="0"/>
              <w:rPr>
                <w:rFonts w:hint="default"/>
                <w:highlight w:val="none"/>
              </w:rPr>
            </w:pPr>
            <w:r>
              <w:rPr>
                <w:rFonts w:hint="default"/>
                <w:highlight w:val="none"/>
              </w:rPr>
              <w:t>100</w:t>
            </w:r>
          </w:p>
        </w:tc>
        <w:tc>
          <w:tcPr>
            <w:tcW w:w="1946" w:type="pct"/>
            <w:vAlign w:val="center"/>
          </w:tcPr>
          <w:p w14:paraId="0A21E920">
            <w:pPr>
              <w:pStyle w:val="42"/>
              <w:keepNext w:val="0"/>
              <w:keepLines w:val="0"/>
              <w:suppressLineNumbers w:val="0"/>
              <w:bidi w:val="0"/>
              <w:spacing w:before="0" w:beforeAutospacing="0" w:after="0" w:afterAutospacing="0"/>
              <w:rPr>
                <w:rFonts w:hint="default"/>
                <w:highlight w:val="none"/>
              </w:rPr>
            </w:pPr>
            <w:r>
              <w:rPr>
                <w:rFonts w:hint="default"/>
                <w:highlight w:val="none"/>
              </w:rPr>
              <w:t>100</w:t>
            </w:r>
          </w:p>
        </w:tc>
        <w:tc>
          <w:tcPr>
            <w:tcW w:w="744" w:type="pct"/>
            <w:vAlign w:val="center"/>
          </w:tcPr>
          <w:p w14:paraId="5EDC9F1F">
            <w:pPr>
              <w:pStyle w:val="42"/>
              <w:keepNext w:val="0"/>
              <w:keepLines w:val="0"/>
              <w:suppressLineNumbers w:val="0"/>
              <w:bidi w:val="0"/>
              <w:spacing w:before="0" w:beforeAutospacing="0" w:after="0" w:afterAutospacing="0"/>
              <w:rPr>
                <w:rFonts w:hint="default"/>
                <w:highlight w:val="none"/>
              </w:rPr>
            </w:pPr>
            <w:r>
              <w:rPr>
                <w:rFonts w:hint="default"/>
                <w:highlight w:val="none"/>
              </w:rPr>
              <w:t>100</w:t>
            </w:r>
          </w:p>
        </w:tc>
      </w:tr>
      <w:tr w14:paraId="050D44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8" w:type="pct"/>
            <w:vAlign w:val="center"/>
          </w:tcPr>
          <w:p w14:paraId="5CDF15C4">
            <w:pPr>
              <w:pStyle w:val="42"/>
              <w:keepNext w:val="0"/>
              <w:keepLines w:val="0"/>
              <w:suppressLineNumbers w:val="0"/>
              <w:bidi w:val="0"/>
              <w:spacing w:before="0" w:beforeAutospacing="0" w:after="0" w:afterAutospacing="0"/>
              <w:rPr>
                <w:rFonts w:hint="default"/>
                <w:highlight w:val="none"/>
              </w:rPr>
            </w:pPr>
            <w:r>
              <w:rPr>
                <w:rFonts w:hint="default"/>
                <w:highlight w:val="none"/>
              </w:rPr>
              <w:t>10</w:t>
            </w:r>
          </w:p>
        </w:tc>
        <w:tc>
          <w:tcPr>
            <w:tcW w:w="710" w:type="pct"/>
            <w:vAlign w:val="center"/>
          </w:tcPr>
          <w:p w14:paraId="12565DBA">
            <w:pPr>
              <w:pStyle w:val="42"/>
              <w:keepNext w:val="0"/>
              <w:keepLines w:val="0"/>
              <w:suppressLineNumbers w:val="0"/>
              <w:bidi w:val="0"/>
              <w:spacing w:before="0" w:beforeAutospacing="0" w:after="0" w:afterAutospacing="0"/>
              <w:rPr>
                <w:rFonts w:hint="default"/>
                <w:highlight w:val="none"/>
              </w:rPr>
            </w:pPr>
            <w:bookmarkStart w:id="57" w:name="OLE_LINK14"/>
            <w:r>
              <w:rPr>
                <w:rFonts w:hint="default"/>
                <w:highlight w:val="none"/>
              </w:rPr>
              <w:t>氯化物</w:t>
            </w:r>
            <w:bookmarkEnd w:id="57"/>
          </w:p>
        </w:tc>
        <w:tc>
          <w:tcPr>
            <w:tcW w:w="1250" w:type="pct"/>
            <w:vAlign w:val="center"/>
          </w:tcPr>
          <w:p w14:paraId="39566366">
            <w:pPr>
              <w:pStyle w:val="42"/>
              <w:keepNext w:val="0"/>
              <w:keepLines w:val="0"/>
              <w:suppressLineNumbers w:val="0"/>
              <w:bidi w:val="0"/>
              <w:spacing w:before="0" w:beforeAutospacing="0" w:after="0" w:afterAutospacing="0"/>
              <w:rPr>
                <w:rFonts w:hint="default"/>
                <w:highlight w:val="none"/>
              </w:rPr>
            </w:pPr>
            <w:r>
              <w:rPr>
                <w:rFonts w:hint="default"/>
                <w:highlight w:val="none"/>
              </w:rPr>
              <w:t>/</w:t>
            </w:r>
          </w:p>
        </w:tc>
        <w:tc>
          <w:tcPr>
            <w:tcW w:w="1946" w:type="pct"/>
            <w:vAlign w:val="center"/>
          </w:tcPr>
          <w:p w14:paraId="42104D9C">
            <w:pPr>
              <w:pStyle w:val="42"/>
              <w:keepNext w:val="0"/>
              <w:keepLines w:val="0"/>
              <w:suppressLineNumbers w:val="0"/>
              <w:bidi w:val="0"/>
              <w:spacing w:before="0" w:beforeAutospacing="0" w:after="0" w:afterAutospacing="0"/>
              <w:rPr>
                <w:rFonts w:hint="default"/>
                <w:highlight w:val="none"/>
              </w:rPr>
            </w:pPr>
            <w:r>
              <w:rPr>
                <w:rFonts w:hint="default"/>
                <w:highlight w:val="none"/>
              </w:rPr>
              <w:t>800</w:t>
            </w:r>
          </w:p>
        </w:tc>
        <w:tc>
          <w:tcPr>
            <w:tcW w:w="744" w:type="pct"/>
            <w:vAlign w:val="center"/>
          </w:tcPr>
          <w:p w14:paraId="611DADE7">
            <w:pPr>
              <w:pStyle w:val="42"/>
              <w:keepNext w:val="0"/>
              <w:keepLines w:val="0"/>
              <w:suppressLineNumbers w:val="0"/>
              <w:bidi w:val="0"/>
              <w:spacing w:before="0" w:beforeAutospacing="0" w:after="0" w:afterAutospacing="0"/>
              <w:rPr>
                <w:rFonts w:hint="default"/>
                <w:highlight w:val="none"/>
              </w:rPr>
            </w:pPr>
            <w:r>
              <w:rPr>
                <w:rFonts w:hint="default"/>
                <w:highlight w:val="none"/>
              </w:rPr>
              <w:t>800</w:t>
            </w:r>
          </w:p>
        </w:tc>
      </w:tr>
    </w:tbl>
    <w:p w14:paraId="326DB346">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表2.3-</w:t>
      </w:r>
      <w:r>
        <w:rPr>
          <w:rFonts w:hint="eastAsia" w:cs="Times New Roman"/>
          <w:color w:val="auto"/>
          <w:highlight w:val="none"/>
          <w:u w:val="none" w:color="auto"/>
          <w:lang w:val="en-US" w:eastAsia="zh-CN"/>
        </w:rPr>
        <w:t>8</w:t>
      </w:r>
      <w:r>
        <w:rPr>
          <w:rFonts w:hint="default" w:ascii="Times New Roman" w:hAnsi="Times New Roman" w:cs="Times New Roman"/>
          <w:color w:val="auto"/>
          <w:highlight w:val="none"/>
          <w:u w:val="none" w:color="auto"/>
          <w:lang w:val="en-US" w:eastAsia="zh-CN"/>
        </w:rPr>
        <w:t xml:space="preserve"> </w:t>
      </w:r>
      <w:r>
        <w:rPr>
          <w:rFonts w:hint="default" w:ascii="Times New Roman" w:hAnsi="Times New Roman" w:cs="Times New Roman"/>
          <w:color w:val="auto"/>
          <w:highlight w:val="none"/>
          <w:u w:val="none" w:color="auto"/>
        </w:rPr>
        <w:t xml:space="preserve"> 《城镇污水处理厂污染物排放标准》中一级A标准（单位：mg/L）</w:t>
      </w:r>
    </w:p>
    <w:tbl>
      <w:tblPr>
        <w:tblStyle w:val="3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48"/>
        <w:gridCol w:w="782"/>
        <w:gridCol w:w="783"/>
        <w:gridCol w:w="780"/>
        <w:gridCol w:w="672"/>
        <w:gridCol w:w="895"/>
        <w:gridCol w:w="895"/>
        <w:gridCol w:w="1037"/>
        <w:gridCol w:w="1037"/>
      </w:tblGrid>
      <w:tr w14:paraId="65AE3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9" w:type="pct"/>
            <w:noWrap w:val="0"/>
            <w:vAlign w:val="center"/>
          </w:tcPr>
          <w:p w14:paraId="650009D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污染物名称</w:t>
            </w:r>
          </w:p>
        </w:tc>
        <w:tc>
          <w:tcPr>
            <w:tcW w:w="469" w:type="pct"/>
            <w:noWrap w:val="0"/>
            <w:vAlign w:val="center"/>
          </w:tcPr>
          <w:p w14:paraId="7551393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pH</w:t>
            </w:r>
          </w:p>
        </w:tc>
        <w:tc>
          <w:tcPr>
            <w:tcW w:w="470" w:type="pct"/>
            <w:noWrap w:val="0"/>
            <w:vAlign w:val="center"/>
          </w:tcPr>
          <w:p w14:paraId="569B67C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SS</w:t>
            </w:r>
          </w:p>
        </w:tc>
        <w:tc>
          <w:tcPr>
            <w:tcW w:w="468" w:type="pct"/>
            <w:noWrap w:val="0"/>
            <w:vAlign w:val="center"/>
          </w:tcPr>
          <w:p w14:paraId="6957E6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COD</w:t>
            </w:r>
          </w:p>
        </w:tc>
        <w:tc>
          <w:tcPr>
            <w:tcW w:w="403" w:type="pct"/>
            <w:noWrap w:val="0"/>
            <w:vAlign w:val="center"/>
          </w:tcPr>
          <w:p w14:paraId="05D6CA5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BOD</w:t>
            </w:r>
            <w:r>
              <w:rPr>
                <w:rFonts w:hint="eastAsia" w:ascii="Times New Roman" w:hAnsi="Times New Roman" w:cs="Times New Roman"/>
                <w:color w:val="auto"/>
                <w:sz w:val="21"/>
                <w:szCs w:val="21"/>
                <w:highlight w:val="none"/>
                <w:u w:val="none" w:color="auto"/>
                <w:vertAlign w:val="subscript"/>
                <w:lang w:eastAsia="zh-CN"/>
              </w:rPr>
              <w:t>5</w:t>
            </w:r>
          </w:p>
        </w:tc>
        <w:tc>
          <w:tcPr>
            <w:tcW w:w="537" w:type="pct"/>
            <w:noWrap w:val="0"/>
            <w:vAlign w:val="center"/>
          </w:tcPr>
          <w:p w14:paraId="2106C8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氨氮</w:t>
            </w:r>
          </w:p>
        </w:tc>
        <w:tc>
          <w:tcPr>
            <w:tcW w:w="537" w:type="pct"/>
            <w:noWrap w:val="0"/>
            <w:vAlign w:val="center"/>
          </w:tcPr>
          <w:p w14:paraId="7B007B4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石油类</w:t>
            </w:r>
          </w:p>
        </w:tc>
        <w:tc>
          <w:tcPr>
            <w:tcW w:w="622" w:type="pct"/>
            <w:noWrap w:val="0"/>
            <w:vAlign w:val="center"/>
          </w:tcPr>
          <w:p w14:paraId="6E48602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TP</w:t>
            </w:r>
          </w:p>
        </w:tc>
        <w:tc>
          <w:tcPr>
            <w:tcW w:w="622" w:type="pct"/>
            <w:noWrap w:val="0"/>
            <w:vAlign w:val="center"/>
          </w:tcPr>
          <w:p w14:paraId="5593799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粪大肠菌群</w:t>
            </w:r>
          </w:p>
        </w:tc>
      </w:tr>
      <w:tr w14:paraId="2BB630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9" w:type="pct"/>
            <w:noWrap w:val="0"/>
            <w:vAlign w:val="center"/>
          </w:tcPr>
          <w:p w14:paraId="616B327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标准限值</w:t>
            </w:r>
          </w:p>
        </w:tc>
        <w:tc>
          <w:tcPr>
            <w:tcW w:w="469" w:type="pct"/>
            <w:noWrap w:val="0"/>
            <w:vAlign w:val="center"/>
          </w:tcPr>
          <w:p w14:paraId="5BC1304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6～9</w:t>
            </w:r>
          </w:p>
        </w:tc>
        <w:tc>
          <w:tcPr>
            <w:tcW w:w="470" w:type="pct"/>
            <w:noWrap w:val="0"/>
            <w:vAlign w:val="center"/>
          </w:tcPr>
          <w:p w14:paraId="7AD9C09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10</w:t>
            </w:r>
          </w:p>
        </w:tc>
        <w:tc>
          <w:tcPr>
            <w:tcW w:w="468" w:type="pct"/>
            <w:noWrap w:val="0"/>
            <w:vAlign w:val="center"/>
          </w:tcPr>
          <w:p w14:paraId="64315F7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50</w:t>
            </w:r>
          </w:p>
        </w:tc>
        <w:tc>
          <w:tcPr>
            <w:tcW w:w="403" w:type="pct"/>
            <w:noWrap w:val="0"/>
            <w:vAlign w:val="center"/>
          </w:tcPr>
          <w:p w14:paraId="7D0A62E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10</w:t>
            </w:r>
          </w:p>
        </w:tc>
        <w:tc>
          <w:tcPr>
            <w:tcW w:w="537" w:type="pct"/>
            <w:noWrap w:val="0"/>
            <w:vAlign w:val="center"/>
          </w:tcPr>
          <w:p w14:paraId="1A99586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5</w:t>
            </w:r>
          </w:p>
        </w:tc>
        <w:tc>
          <w:tcPr>
            <w:tcW w:w="537" w:type="pct"/>
            <w:noWrap w:val="0"/>
            <w:vAlign w:val="center"/>
          </w:tcPr>
          <w:p w14:paraId="1F4308A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w:t>
            </w:r>
          </w:p>
        </w:tc>
        <w:tc>
          <w:tcPr>
            <w:tcW w:w="622" w:type="pct"/>
            <w:noWrap w:val="0"/>
            <w:vAlign w:val="center"/>
          </w:tcPr>
          <w:p w14:paraId="61B124B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Calibri"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0.5</w:t>
            </w:r>
          </w:p>
        </w:tc>
        <w:tc>
          <w:tcPr>
            <w:tcW w:w="622" w:type="pct"/>
            <w:noWrap w:val="0"/>
            <w:vAlign w:val="center"/>
          </w:tcPr>
          <w:p w14:paraId="5799330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Calibri" w:cs="Times New Roman"/>
                <w:color w:val="auto"/>
                <w:sz w:val="21"/>
                <w:szCs w:val="21"/>
                <w:highlight w:val="none"/>
                <w:u w:val="none" w:color="auto"/>
              </w:rPr>
            </w:pPr>
            <w:r>
              <w:rPr>
                <w:rFonts w:hint="default" w:ascii="Times New Roman" w:hAnsi="Times New Roman" w:eastAsia="Calibri" w:cs="Times New Roman"/>
                <w:color w:val="auto"/>
                <w:sz w:val="21"/>
                <w:szCs w:val="21"/>
                <w:highlight w:val="none"/>
                <w:u w:val="none" w:color="auto"/>
              </w:rPr>
              <w:t>1000个/L</w:t>
            </w:r>
          </w:p>
        </w:tc>
      </w:tr>
    </w:tbl>
    <w:p w14:paraId="65473243">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噪声排放标准</w:t>
      </w:r>
    </w:p>
    <w:p w14:paraId="0547A153">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施工期场界环境噪声执行《建筑施工场界环境噪声排放标准》（GB12523-2011）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营运期项目厂界噪声执行《工业企业厂界环境噪声排放标准》（GB12348-2008）中的3类标准。</w:t>
      </w:r>
    </w:p>
    <w:p w14:paraId="12129894">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表2.3-</w:t>
      </w:r>
      <w:r>
        <w:rPr>
          <w:rFonts w:hint="eastAsia" w:cs="Times New Roman"/>
          <w:color w:val="auto"/>
          <w:highlight w:val="none"/>
          <w:u w:val="none" w:color="auto"/>
          <w:lang w:val="en-US" w:eastAsia="zh-CN"/>
        </w:rPr>
        <w:t>9</w:t>
      </w:r>
      <w:r>
        <w:rPr>
          <w:rFonts w:hint="default" w:ascii="Times New Roman" w:hAnsi="Times New Roman" w:cs="Times New Roman"/>
          <w:color w:val="auto"/>
          <w:highlight w:val="none"/>
          <w:u w:val="none" w:color="auto"/>
        </w:rPr>
        <w:t xml:space="preserve">  建筑施工场界环境噪声排放限值   单位：dB（A）</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4244"/>
      </w:tblGrid>
      <w:tr w14:paraId="49EC5E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9" w:type="pct"/>
            <w:noWrap w:val="0"/>
            <w:vAlign w:val="center"/>
          </w:tcPr>
          <w:p w14:paraId="320C0E6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昼间</w:t>
            </w:r>
          </w:p>
        </w:tc>
        <w:tc>
          <w:tcPr>
            <w:tcW w:w="2490" w:type="pct"/>
            <w:noWrap w:val="0"/>
            <w:vAlign w:val="center"/>
          </w:tcPr>
          <w:p w14:paraId="663F823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夜间</w:t>
            </w:r>
          </w:p>
        </w:tc>
      </w:tr>
      <w:tr w14:paraId="169C6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9" w:type="pct"/>
            <w:noWrap w:val="0"/>
            <w:vAlign w:val="center"/>
          </w:tcPr>
          <w:p w14:paraId="052300A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70</w:t>
            </w:r>
          </w:p>
        </w:tc>
        <w:tc>
          <w:tcPr>
            <w:tcW w:w="2490" w:type="pct"/>
            <w:noWrap w:val="0"/>
            <w:vAlign w:val="center"/>
          </w:tcPr>
          <w:p w14:paraId="6B5432C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55</w:t>
            </w:r>
          </w:p>
        </w:tc>
      </w:tr>
    </w:tbl>
    <w:p w14:paraId="28F89EA5">
      <w:pPr>
        <w:pStyle w:val="39"/>
        <w:rPr>
          <w:rFonts w:hint="default" w:ascii="Times New Roman" w:hAnsi="Times New Roman" w:cs="Times New Roman"/>
          <w:color w:val="auto"/>
          <w:szCs w:val="22"/>
          <w:highlight w:val="none"/>
          <w:u w:val="none" w:color="auto"/>
        </w:rPr>
      </w:pPr>
      <w:r>
        <w:rPr>
          <w:rFonts w:hint="default" w:ascii="Times New Roman" w:hAnsi="Times New Roman" w:cs="Times New Roman"/>
          <w:color w:val="auto"/>
          <w:szCs w:val="22"/>
          <w:highlight w:val="none"/>
          <w:u w:val="none" w:color="auto"/>
        </w:rPr>
        <w:t>表2.3-1</w:t>
      </w:r>
      <w:r>
        <w:rPr>
          <w:rFonts w:hint="eastAsia" w:cs="Times New Roman"/>
          <w:color w:val="auto"/>
          <w:szCs w:val="22"/>
          <w:highlight w:val="none"/>
          <w:u w:val="none" w:color="auto"/>
          <w:lang w:val="en-US" w:eastAsia="zh-CN"/>
        </w:rPr>
        <w:t>0</w:t>
      </w:r>
      <w:r>
        <w:rPr>
          <w:rFonts w:hint="default" w:ascii="Times New Roman" w:hAnsi="Times New Roman" w:cs="Times New Roman"/>
          <w:color w:val="auto"/>
          <w:szCs w:val="22"/>
          <w:highlight w:val="none"/>
          <w:u w:val="none" w:color="auto"/>
        </w:rPr>
        <w:t xml:space="preserve">   工业企业厂界环境噪声排放标准  单位：dB（A）</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9"/>
        <w:gridCol w:w="3156"/>
        <w:gridCol w:w="1396"/>
        <w:gridCol w:w="1328"/>
      </w:tblGrid>
      <w:tr w14:paraId="66009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9" w:type="pct"/>
            <w:vMerge w:val="restart"/>
            <w:noWrap w:val="0"/>
            <w:vAlign w:val="center"/>
          </w:tcPr>
          <w:p w14:paraId="10F83FF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厂界外声环境功能区类别</w:t>
            </w:r>
          </w:p>
        </w:tc>
        <w:tc>
          <w:tcPr>
            <w:tcW w:w="1852" w:type="pct"/>
            <w:vMerge w:val="restart"/>
            <w:noWrap w:val="0"/>
            <w:vAlign w:val="center"/>
          </w:tcPr>
          <w:p w14:paraId="4FF35DC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执行标准和级别</w:t>
            </w:r>
          </w:p>
        </w:tc>
        <w:tc>
          <w:tcPr>
            <w:tcW w:w="1598" w:type="pct"/>
            <w:gridSpan w:val="2"/>
            <w:noWrap w:val="0"/>
            <w:vAlign w:val="center"/>
          </w:tcPr>
          <w:p w14:paraId="6CEB00F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标准值dB（A）</w:t>
            </w:r>
          </w:p>
        </w:tc>
      </w:tr>
      <w:tr w14:paraId="479817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9" w:type="pct"/>
            <w:vMerge w:val="continue"/>
            <w:noWrap w:val="0"/>
            <w:vAlign w:val="center"/>
          </w:tcPr>
          <w:p w14:paraId="1424571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p>
        </w:tc>
        <w:tc>
          <w:tcPr>
            <w:tcW w:w="1852" w:type="pct"/>
            <w:vMerge w:val="continue"/>
            <w:noWrap w:val="0"/>
            <w:vAlign w:val="center"/>
          </w:tcPr>
          <w:p w14:paraId="0B81E0D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p>
        </w:tc>
        <w:tc>
          <w:tcPr>
            <w:tcW w:w="819" w:type="pct"/>
            <w:noWrap w:val="0"/>
            <w:vAlign w:val="center"/>
          </w:tcPr>
          <w:p w14:paraId="26BCDD0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昼间</w:t>
            </w:r>
          </w:p>
        </w:tc>
        <w:tc>
          <w:tcPr>
            <w:tcW w:w="778" w:type="pct"/>
            <w:noWrap w:val="0"/>
            <w:vAlign w:val="center"/>
          </w:tcPr>
          <w:p w14:paraId="1BC73CC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夜间</w:t>
            </w:r>
          </w:p>
        </w:tc>
      </w:tr>
      <w:tr w14:paraId="71D9C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9" w:type="pct"/>
            <w:noWrap w:val="0"/>
            <w:vAlign w:val="center"/>
          </w:tcPr>
          <w:p w14:paraId="18339732">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szCs w:val="24"/>
                <w:highlight w:val="none"/>
                <w:u w:val="none" w:color="auto"/>
                <w:lang w:val="en-US" w:eastAsia="zh-CN"/>
              </w:rPr>
            </w:pPr>
            <w:r>
              <w:rPr>
                <w:rFonts w:hint="eastAsia" w:cs="Times New Roman"/>
                <w:color w:val="auto"/>
                <w:kern w:val="2"/>
                <w:szCs w:val="24"/>
                <w:highlight w:val="none"/>
                <w:u w:val="none" w:color="auto"/>
                <w:lang w:val="en-US" w:eastAsia="zh-CN"/>
              </w:rPr>
              <w:t>3类</w:t>
            </w:r>
          </w:p>
        </w:tc>
        <w:tc>
          <w:tcPr>
            <w:tcW w:w="1852" w:type="pct"/>
            <w:shd w:val="clear" w:color="auto" w:fill="auto"/>
            <w:noWrap w:val="0"/>
            <w:vAlign w:val="center"/>
          </w:tcPr>
          <w:p w14:paraId="787065AC">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kern w:val="2"/>
                <w:szCs w:val="24"/>
                <w:highlight w:val="none"/>
                <w:u w:val="none" w:color="auto"/>
              </w:rPr>
              <w:t>GB12348-2008中3类标准</w:t>
            </w:r>
          </w:p>
        </w:tc>
        <w:tc>
          <w:tcPr>
            <w:tcW w:w="819" w:type="pct"/>
            <w:shd w:val="clear" w:color="auto" w:fill="auto"/>
            <w:noWrap w:val="0"/>
            <w:vAlign w:val="center"/>
          </w:tcPr>
          <w:p w14:paraId="5EDF6B91">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kern w:val="2"/>
                <w:sz w:val="21"/>
                <w:szCs w:val="24"/>
                <w:highlight w:val="none"/>
                <w:u w:val="none" w:color="auto"/>
                <w:lang w:val="en-US" w:eastAsia="zh-CN" w:bidi="ar-SA"/>
              </w:rPr>
              <w:t>65</w:t>
            </w:r>
          </w:p>
        </w:tc>
        <w:tc>
          <w:tcPr>
            <w:tcW w:w="778" w:type="pct"/>
            <w:shd w:val="clear" w:color="auto" w:fill="auto"/>
            <w:noWrap w:val="0"/>
            <w:vAlign w:val="center"/>
          </w:tcPr>
          <w:p w14:paraId="3E800DA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cs="Times New Roman"/>
                <w:color w:val="auto"/>
                <w:kern w:val="2"/>
                <w:szCs w:val="24"/>
                <w:highlight w:val="none"/>
                <w:u w:val="none" w:color="auto"/>
              </w:rPr>
              <w:t>55</w:t>
            </w:r>
          </w:p>
        </w:tc>
      </w:tr>
    </w:tbl>
    <w:p w14:paraId="18567914">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固体废弃物</w:t>
      </w:r>
    </w:p>
    <w:p w14:paraId="04F661DB">
      <w:pPr>
        <w:ind w:firstLine="480"/>
        <w:rPr>
          <w:rFonts w:hint="default" w:ascii="Times New Roman" w:hAnsi="Times New Roman" w:cs="Times New Roman"/>
          <w:color w:val="auto"/>
          <w:highlight w:val="none"/>
          <w:u w:val="none" w:color="auto"/>
        </w:rPr>
      </w:pPr>
      <w:bookmarkStart w:id="58" w:name="_Toc12323"/>
      <w:r>
        <w:rPr>
          <w:rFonts w:hint="default" w:ascii="Times New Roman" w:hAnsi="Times New Roman" w:cs="Times New Roman"/>
          <w:color w:val="auto"/>
          <w:highlight w:val="none"/>
          <w:u w:val="none" w:color="auto"/>
        </w:rPr>
        <w:t>一般工业固废执行</w:t>
      </w:r>
      <w:r>
        <w:rPr>
          <w:rFonts w:hint="default" w:ascii="Times New Roman" w:hAnsi="Times New Roman" w:eastAsia="宋体" w:cs="Times New Roman"/>
          <w:color w:val="auto"/>
          <w:highlight w:val="none"/>
          <w:u w:val="none" w:color="auto"/>
          <w:lang w:eastAsia="zh-CN"/>
        </w:rPr>
        <w:t>《一般工业固体废物贮存和填埋污染控制标准》（GB 18599-2020）</w:t>
      </w:r>
      <w:r>
        <w:rPr>
          <w:rFonts w:hint="default" w:ascii="Times New Roman" w:hAnsi="Times New Roman" w:cs="Times New Roman"/>
          <w:color w:val="auto"/>
          <w:highlight w:val="none"/>
          <w:u w:val="none" w:color="auto"/>
        </w:rPr>
        <w:t>；危险废物执行《危险废物贮存污染控制标准》（GB 18597—2023）；</w:t>
      </w:r>
      <w:r>
        <w:rPr>
          <w:rFonts w:hint="default" w:ascii="Times New Roman" w:hAnsi="Times New Roman" w:cs="Times New Roman"/>
          <w:color w:val="auto"/>
          <w:kern w:val="0"/>
          <w:highlight w:val="none"/>
          <w:u w:val="none" w:color="auto"/>
        </w:rPr>
        <w:t>生活垃圾</w:t>
      </w:r>
      <w:r>
        <w:rPr>
          <w:rFonts w:hint="eastAsia" w:ascii="Times New Roman" w:hAnsi="Times New Roman" w:cs="Times New Roman"/>
          <w:color w:val="auto"/>
          <w:kern w:val="0"/>
          <w:highlight w:val="none"/>
          <w:u w:val="none" w:color="auto"/>
          <w:lang w:val="en-US" w:eastAsia="zh-CN"/>
        </w:rPr>
        <w:t>交由环卫部门统一处理</w:t>
      </w:r>
      <w:r>
        <w:rPr>
          <w:rFonts w:hint="default" w:ascii="Times New Roman" w:hAnsi="Times New Roman" w:cs="Times New Roman"/>
          <w:color w:val="auto"/>
          <w:kern w:val="0"/>
          <w:highlight w:val="none"/>
          <w:u w:val="none" w:color="auto"/>
        </w:rPr>
        <w:t>。</w:t>
      </w:r>
    </w:p>
    <w:p w14:paraId="74F07159">
      <w:pPr>
        <w:pStyle w:val="5"/>
        <w:rPr>
          <w:rFonts w:hint="default" w:ascii="Times New Roman" w:hAnsi="Times New Roman" w:cs="Times New Roman"/>
          <w:color w:val="auto"/>
          <w:highlight w:val="none"/>
          <w:u w:val="none" w:color="auto"/>
        </w:rPr>
      </w:pPr>
      <w:bookmarkStart w:id="59" w:name="_Toc12495"/>
      <w:r>
        <w:rPr>
          <w:rFonts w:hint="default" w:ascii="Times New Roman" w:hAnsi="Times New Roman" w:cs="Times New Roman"/>
          <w:color w:val="auto"/>
          <w:highlight w:val="none"/>
          <w:u w:val="none" w:color="auto"/>
        </w:rPr>
        <w:t>评价工作等级及评价范围</w:t>
      </w:r>
      <w:bookmarkEnd w:id="54"/>
      <w:bookmarkEnd w:id="58"/>
      <w:bookmarkEnd w:id="59"/>
    </w:p>
    <w:p w14:paraId="0A867E19">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环境空气</w:t>
      </w:r>
    </w:p>
    <w:p w14:paraId="2862348C">
      <w:pPr>
        <w:ind w:firstLine="482"/>
        <w:rPr>
          <w:rFonts w:hint="default" w:ascii="Times New Roman" w:hAnsi="Times New Roman" w:cs="Times New Roman"/>
          <w:b/>
          <w:bCs/>
          <w:color w:val="auto"/>
          <w:highlight w:val="none"/>
          <w:u w:val="none" w:color="auto"/>
        </w:rPr>
      </w:pPr>
      <w:bookmarkStart w:id="60" w:name="_Toc30401"/>
      <w:r>
        <w:rPr>
          <w:rFonts w:hint="default" w:ascii="Times New Roman" w:hAnsi="Times New Roman" w:cs="Times New Roman"/>
          <w:b/>
          <w:bCs/>
          <w:color w:val="auto"/>
          <w:highlight w:val="none"/>
          <w:u w:val="none" w:color="auto"/>
        </w:rPr>
        <w:t>1、评价等级</w:t>
      </w:r>
    </w:p>
    <w:p w14:paraId="08198AFB">
      <w:pPr>
        <w:autoSpaceDE w:val="0"/>
        <w:autoSpaceDN w:val="0"/>
        <w:adjustRightInd w:val="0"/>
        <w:snapToGrid w:val="0"/>
        <w:ind w:firstLine="480"/>
        <w:jc w:val="left"/>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按照《环境影响评价技术导则 大气环境》（HJ2.2-2018）中5.3节工作等级的确定方法</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结合项目工程分析结果</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选择正常排放的主要污染物及排放参数</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采用附录A推荐模型中的AERSCREEN模式计算项目污染源的最大环境影响</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然后按评价工作分级判据进行分级。计算各污染物的最大地面浓度占标率Pi</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及地面浓度达标准限值10%时所对应的最远距离D</w:t>
      </w:r>
      <w:r>
        <w:rPr>
          <w:rFonts w:hint="default" w:ascii="Times New Roman" w:hAnsi="Times New Roman" w:cs="Times New Roman"/>
          <w:color w:val="auto"/>
          <w:kern w:val="0"/>
          <w:highlight w:val="none"/>
          <w:u w:val="none" w:color="auto"/>
          <w:vertAlign w:val="subscript"/>
        </w:rPr>
        <w:t>10%</w:t>
      </w:r>
      <w:r>
        <w:rPr>
          <w:rFonts w:hint="default" w:ascii="Times New Roman" w:hAnsi="Times New Roman" w:cs="Times New Roman"/>
          <w:color w:val="auto"/>
          <w:kern w:val="0"/>
          <w:highlight w:val="none"/>
          <w:u w:val="none" w:color="auto"/>
        </w:rPr>
        <w:t>：</w:t>
      </w:r>
    </w:p>
    <w:p w14:paraId="3C3B2A7D">
      <w:pPr>
        <w:ind w:firstLine="48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position w:val="-30"/>
          <w:highlight w:val="none"/>
          <w:u w:val="none" w:color="auto"/>
        </w:rPr>
        <w:object>
          <v:shape id="_x0000_i1025" o:spt="75" type="#_x0000_t75" style="height:34pt;width:77pt;" o:ole="t" filled="f" stroked="f" coordsize="21600,21600">
            <v:path/>
            <v:fill on="f" focussize="0,0"/>
            <v:stroke on="f"/>
            <v:imagedata r:id="rId29" o:title=""/>
            <o:lock v:ext="edit" grouping="f" rotation="f" text="f" aspectratio="t"/>
            <w10:wrap type="none"/>
            <w10:anchorlock/>
          </v:shape>
          <o:OLEObject Type="Embed" ProgID="Equation.DSMT4" ShapeID="_x0000_i1025" DrawAspect="Content" ObjectID="_1468075725" r:id="rId28">
            <o:LockedField>false</o:LockedField>
          </o:OLEObject>
        </w:object>
      </w:r>
    </w:p>
    <w:p w14:paraId="7DDDC2F7">
      <w:pPr>
        <w:ind w:firstLine="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式中</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position w:val="-12"/>
          <w:highlight w:val="none"/>
          <w:u w:val="none" w:color="auto"/>
        </w:rPr>
        <w:object>
          <v:shape id="_x0000_i1026" o:spt="75" type="#_x0000_t75" style="height:18pt;width:12pt;" o:ole="t" filled="f" stroked="f" coordsize="21600,21600">
            <v:path/>
            <v:fill on="f" focussize="0,0"/>
            <v:stroke on="f"/>
            <v:imagedata r:id="rId31" o:title=""/>
            <o:lock v:ext="edit" grouping="f" rotation="f" text="f" aspectratio="t"/>
            <w10:wrap type="none"/>
            <w10:anchorlock/>
          </v:shape>
          <o:OLEObject Type="Embed" ProgID="Equation.DSMT4" ShapeID="_x0000_i1026" DrawAspect="Content" ObjectID="_1468075726" r:id="rId30">
            <o:LockedField>false</o:LockedField>
          </o:OLEObject>
        </w:object>
      </w:r>
      <w:r>
        <w:rPr>
          <w:rFonts w:hint="default" w:ascii="Times New Roman" w:hAnsi="Times New Roman" w:cs="Times New Roman"/>
          <w:color w:val="auto"/>
          <w:highlight w:val="none"/>
          <w:u w:val="none" w:color="auto"/>
        </w:rPr>
        <w:t>——第i个污染物的最大地面浓度占标率</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w:t>
      </w:r>
    </w:p>
    <w:p w14:paraId="1714F762">
      <w:pPr>
        <w:ind w:firstLine="720" w:firstLineChars="300"/>
        <w:rPr>
          <w:rFonts w:hint="default" w:ascii="Times New Roman" w:hAnsi="Times New Roman" w:cs="Times New Roman"/>
          <w:color w:val="auto"/>
          <w:highlight w:val="none"/>
          <w:u w:val="none" w:color="auto"/>
        </w:rPr>
      </w:pPr>
      <w:r>
        <w:rPr>
          <w:rFonts w:hint="default" w:ascii="Times New Roman" w:hAnsi="Times New Roman" w:cs="Times New Roman"/>
          <w:color w:val="auto"/>
          <w:position w:val="-12"/>
          <w:highlight w:val="none"/>
          <w:u w:val="none" w:color="auto"/>
        </w:rPr>
        <w:object>
          <v:shape id="_x0000_i1027" o:spt="75" type="#_x0000_t75" style="height:18pt;width:13.95pt;" o:ole="t" filled="f" stroked="f" coordsize="21600,21600">
            <v:path/>
            <v:fill on="f" focussize="0,0"/>
            <v:stroke on="f"/>
            <v:imagedata r:id="rId33" o:title=""/>
            <o:lock v:ext="edit" grouping="f" rotation="f" text="f" aspectratio="t"/>
            <w10:wrap type="none"/>
            <w10:anchorlock/>
          </v:shape>
          <o:OLEObject Type="Embed" ProgID="Equation.DSMT4" ShapeID="_x0000_i1027" DrawAspect="Content" ObjectID="_1468075727" r:id="rId32">
            <o:LockedField>false</o:LockedField>
          </o:OLEObject>
        </w:object>
      </w:r>
      <w:r>
        <w:rPr>
          <w:rFonts w:hint="default" w:ascii="Times New Roman" w:hAnsi="Times New Roman" w:cs="Times New Roman"/>
          <w:color w:val="auto"/>
          <w:highlight w:val="none"/>
          <w:u w:val="none" w:color="auto"/>
        </w:rPr>
        <w:t>——采用估算模式计算出的第i个污染物的最大地面浓度</w:t>
      </w:r>
      <w:r>
        <w:rPr>
          <w:rFonts w:hint="default" w:ascii="Times New Roman" w:hAnsi="Times New Roman" w:cs="Times New Roman"/>
          <w:color w:val="auto"/>
          <w:highlight w:val="none"/>
          <w:u w:val="none" w:color="auto"/>
          <w:lang w:eastAsia="zh-CN"/>
        </w:rPr>
        <w:t>，μg/</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w:t>
      </w:r>
    </w:p>
    <w:p w14:paraId="01657161">
      <w:pPr>
        <w:ind w:firstLine="720" w:firstLineChars="300"/>
        <w:rPr>
          <w:rFonts w:hint="default" w:ascii="Times New Roman" w:hAnsi="Times New Roman" w:cs="Times New Roman"/>
          <w:color w:val="auto"/>
          <w:highlight w:val="none"/>
          <w:u w:val="none" w:color="auto"/>
        </w:rPr>
      </w:pPr>
      <w:r>
        <w:rPr>
          <w:rFonts w:hint="default" w:ascii="Times New Roman" w:hAnsi="Times New Roman" w:cs="Times New Roman"/>
          <w:color w:val="auto"/>
          <w:position w:val="-12"/>
          <w:highlight w:val="none"/>
          <w:u w:val="none" w:color="auto"/>
        </w:rPr>
        <w:object>
          <v:shape id="_x0000_i1028" o:spt="75" type="#_x0000_t75" style="height:18pt;width:17pt;" o:ole="t" filled="f" stroked="f" coordsize="21600,21600">
            <v:path/>
            <v:fill on="f" focussize="0,0"/>
            <v:stroke on="f"/>
            <v:imagedata r:id="rId35" o:title=""/>
            <o:lock v:ext="edit" grouping="f" rotation="f" text="f" aspectratio="t"/>
            <w10:wrap type="none"/>
            <w10:anchorlock/>
          </v:shape>
          <o:OLEObject Type="Embed" ProgID="Equation.3" ShapeID="_x0000_i1028" DrawAspect="Content" ObjectID="_1468075728" r:id="rId34">
            <o:LockedField>false</o:LockedField>
          </o:OLEObject>
        </w:object>
      </w:r>
      <w:r>
        <w:rPr>
          <w:rFonts w:hint="default" w:ascii="Times New Roman" w:hAnsi="Times New Roman" w:cs="Times New Roman"/>
          <w:color w:val="auto"/>
          <w:highlight w:val="none"/>
          <w:u w:val="none" w:color="auto"/>
        </w:rPr>
        <w:t>——第i个污染物的环境空气质量标准</w:t>
      </w:r>
      <w:r>
        <w:rPr>
          <w:rFonts w:hint="default" w:ascii="Times New Roman" w:hAnsi="Times New Roman" w:cs="Times New Roman"/>
          <w:color w:val="auto"/>
          <w:highlight w:val="none"/>
          <w:u w:val="none" w:color="auto"/>
          <w:lang w:eastAsia="zh-CN"/>
        </w:rPr>
        <w:t>，μg/</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w:t>
      </w:r>
    </w:p>
    <w:p w14:paraId="1E74B179">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C</w:t>
      </w:r>
      <w:r>
        <w:rPr>
          <w:rFonts w:hint="default" w:ascii="Times New Roman" w:hAnsi="Times New Roman" w:cs="Times New Roman"/>
          <w:color w:val="auto"/>
          <w:highlight w:val="none"/>
          <w:u w:val="none" w:color="auto"/>
          <w:vertAlign w:val="subscript"/>
        </w:rPr>
        <w:t>0i</w:t>
      </w:r>
      <w:r>
        <w:rPr>
          <w:rFonts w:hint="default" w:ascii="Times New Roman" w:hAnsi="Times New Roman" w:cs="Times New Roman"/>
          <w:color w:val="auto"/>
          <w:highlight w:val="none"/>
          <w:u w:val="none" w:color="auto"/>
        </w:rPr>
        <w:t>一般选用GB3095中1h平均质量浓度的二级浓度限值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对该标准中未包含的污染物</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可参照《环境影响评价技术导则大气环境》（HJ2.2-2018）附录D中的浓度限值；GB 3095和附录D中都未包含的污染物</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可参照选用其他国家、国际组织发布的环境质量浓度限值或基准值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但应作出说明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经生态环境主管部门同意后执行。</w:t>
      </w:r>
    </w:p>
    <w:p w14:paraId="61CEAF5D">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对仅有8 h平均质量浓度限值、日平均质量浓度限值或年平均质量浓度限值的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可分别按2倍、3倍、6倍折算为1h平均质量浓度限值。评价工作等级按下表的分级判据进行划分。若污染物数i大于1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取P值中最大者（P</w:t>
      </w:r>
      <w:r>
        <w:rPr>
          <w:rFonts w:hint="default" w:ascii="Times New Roman" w:hAnsi="Times New Roman" w:cs="Times New Roman"/>
          <w:color w:val="auto"/>
          <w:highlight w:val="none"/>
          <w:u w:val="none" w:color="auto"/>
          <w:vertAlign w:val="subscript"/>
        </w:rPr>
        <w:t>max</w:t>
      </w:r>
      <w:r>
        <w:rPr>
          <w:rFonts w:hint="default" w:ascii="Times New Roman" w:hAnsi="Times New Roman" w:cs="Times New Roman"/>
          <w:color w:val="auto"/>
          <w:highlight w:val="none"/>
          <w:u w:val="none" w:color="auto"/>
        </w:rPr>
        <w:t>）和其对应的D</w:t>
      </w:r>
      <w:r>
        <w:rPr>
          <w:rFonts w:hint="default" w:ascii="Times New Roman" w:hAnsi="Times New Roman" w:cs="Times New Roman"/>
          <w:color w:val="auto"/>
          <w:highlight w:val="none"/>
          <w:u w:val="none" w:color="auto"/>
          <w:vertAlign w:val="subscript"/>
        </w:rPr>
        <w:t>10%</w:t>
      </w:r>
      <w:r>
        <w:rPr>
          <w:rFonts w:hint="default" w:ascii="Times New Roman" w:hAnsi="Times New Roman" w:cs="Times New Roman"/>
          <w:color w:val="auto"/>
          <w:highlight w:val="none"/>
          <w:u w:val="none" w:color="auto"/>
        </w:rPr>
        <w:t>。</w:t>
      </w:r>
    </w:p>
    <w:p w14:paraId="3B5F8896">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表2.4-1  评价工作等级</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6202"/>
      </w:tblGrid>
      <w:tr w14:paraId="6C780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0" w:type="pct"/>
            <w:noWrap w:val="0"/>
            <w:vAlign w:val="center"/>
          </w:tcPr>
          <w:p w14:paraId="5AFCE2B9">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评价工作等级</w:t>
            </w:r>
          </w:p>
        </w:tc>
        <w:tc>
          <w:tcPr>
            <w:tcW w:w="3639" w:type="pct"/>
            <w:noWrap w:val="0"/>
            <w:vAlign w:val="center"/>
          </w:tcPr>
          <w:p w14:paraId="346B2E00">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评价工作分级判据</w:t>
            </w:r>
          </w:p>
        </w:tc>
      </w:tr>
      <w:tr w14:paraId="6CF09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0" w:type="pct"/>
            <w:noWrap w:val="0"/>
            <w:vAlign w:val="center"/>
          </w:tcPr>
          <w:p w14:paraId="557C63AD">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一级</w:t>
            </w:r>
          </w:p>
        </w:tc>
        <w:tc>
          <w:tcPr>
            <w:tcW w:w="3639" w:type="pct"/>
            <w:noWrap w:val="0"/>
            <w:vAlign w:val="center"/>
          </w:tcPr>
          <w:p w14:paraId="7E1B0AA0">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Pmax≧10%</w:t>
            </w:r>
          </w:p>
        </w:tc>
      </w:tr>
      <w:tr w14:paraId="1FE3C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0" w:type="pct"/>
            <w:noWrap w:val="0"/>
            <w:vAlign w:val="center"/>
          </w:tcPr>
          <w:p w14:paraId="37F170EF">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二级</w:t>
            </w:r>
          </w:p>
        </w:tc>
        <w:tc>
          <w:tcPr>
            <w:tcW w:w="3639" w:type="pct"/>
            <w:noWrap w:val="0"/>
            <w:vAlign w:val="center"/>
          </w:tcPr>
          <w:p w14:paraId="64BE6555">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1%≦Pmax&lt;10%</w:t>
            </w:r>
          </w:p>
        </w:tc>
      </w:tr>
      <w:tr w14:paraId="63BEE1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0" w:type="pct"/>
            <w:noWrap w:val="0"/>
            <w:vAlign w:val="center"/>
          </w:tcPr>
          <w:p w14:paraId="7D3E68FC">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三级</w:t>
            </w:r>
          </w:p>
        </w:tc>
        <w:tc>
          <w:tcPr>
            <w:tcW w:w="3639" w:type="pct"/>
            <w:noWrap w:val="0"/>
            <w:vAlign w:val="center"/>
          </w:tcPr>
          <w:p w14:paraId="4D4B84DB">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Pmax&lt;1%</w:t>
            </w:r>
          </w:p>
        </w:tc>
      </w:tr>
    </w:tbl>
    <w:p w14:paraId="443EDF84">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本项目主要废气污染源为</w:t>
      </w:r>
      <w:r>
        <w:rPr>
          <w:rFonts w:hint="eastAsia" w:ascii="Times New Roman" w:hAnsi="Times New Roman" w:cs="Times New Roman"/>
          <w:color w:val="auto"/>
          <w:highlight w:val="none"/>
          <w:u w:val="none" w:color="auto"/>
          <w:lang w:val="en-US" w:eastAsia="zh-CN"/>
        </w:rPr>
        <w:t>废水处理过程的硫化氢及氨</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根据6.2.1章节预测结果可知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预测及评价工作定级详见表2.4-2。</w:t>
      </w:r>
    </w:p>
    <w:p w14:paraId="205C0A8D">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表2.4-2  各污染物预测及评价工作定级表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1229"/>
        <w:gridCol w:w="1467"/>
        <w:gridCol w:w="1583"/>
        <w:gridCol w:w="1254"/>
        <w:gridCol w:w="1912"/>
      </w:tblGrid>
      <w:tr w14:paraId="7C5892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30" w:type="pct"/>
            <w:tcBorders>
              <w:tl2br w:val="nil"/>
              <w:tr2bl w:val="nil"/>
            </w:tcBorders>
            <w:noWrap w:val="0"/>
            <w:vAlign w:val="center"/>
          </w:tcPr>
          <w:p w14:paraId="64C1E8DB">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类别</w:t>
            </w:r>
          </w:p>
        </w:tc>
        <w:tc>
          <w:tcPr>
            <w:tcW w:w="721" w:type="pct"/>
            <w:tcBorders>
              <w:tl2br w:val="nil"/>
              <w:tr2bl w:val="nil"/>
            </w:tcBorders>
            <w:noWrap w:val="0"/>
            <w:vAlign w:val="center"/>
          </w:tcPr>
          <w:p w14:paraId="0AA5AB89">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污染源</w:t>
            </w:r>
          </w:p>
        </w:tc>
        <w:tc>
          <w:tcPr>
            <w:tcW w:w="861" w:type="pct"/>
            <w:tcBorders>
              <w:tl2br w:val="nil"/>
              <w:tr2bl w:val="nil"/>
            </w:tcBorders>
            <w:noWrap w:val="0"/>
            <w:vAlign w:val="center"/>
          </w:tcPr>
          <w:p w14:paraId="264869CB">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污染物</w:t>
            </w:r>
          </w:p>
        </w:tc>
        <w:tc>
          <w:tcPr>
            <w:tcW w:w="929" w:type="pct"/>
            <w:tcBorders>
              <w:tl2br w:val="nil"/>
              <w:tr2bl w:val="nil"/>
            </w:tcBorders>
            <w:noWrap w:val="0"/>
            <w:vAlign w:val="center"/>
          </w:tcPr>
          <w:p w14:paraId="7A388B85">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最大落地浓度</w:t>
            </w:r>
          </w:p>
        </w:tc>
        <w:tc>
          <w:tcPr>
            <w:tcW w:w="736" w:type="pct"/>
            <w:tcBorders>
              <w:tl2br w:val="nil"/>
              <w:tr2bl w:val="nil"/>
            </w:tcBorders>
            <w:noWrap w:val="0"/>
            <w:vAlign w:val="center"/>
          </w:tcPr>
          <w:p w14:paraId="03B820AD">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lang w:val="en-US" w:eastAsia="zh-CN"/>
              </w:rPr>
              <w:t>最大</w:t>
            </w:r>
            <w:r>
              <w:rPr>
                <w:rFonts w:hint="default" w:ascii="Times New Roman" w:hAnsi="Times New Roman" w:cs="Times New Roman"/>
                <w:highlight w:val="none"/>
              </w:rPr>
              <w:t>占标率Pmax（%）</w:t>
            </w:r>
          </w:p>
        </w:tc>
        <w:tc>
          <w:tcPr>
            <w:tcW w:w="1122" w:type="pct"/>
            <w:tcBorders>
              <w:tl2br w:val="nil"/>
              <w:tr2bl w:val="nil"/>
            </w:tcBorders>
            <w:noWrap w:val="0"/>
            <w:vAlign w:val="center"/>
          </w:tcPr>
          <w:p w14:paraId="0F5F14FE">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下风向最大浓度出现距离m</w:t>
            </w:r>
          </w:p>
        </w:tc>
      </w:tr>
      <w:tr w14:paraId="4AF8B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restart"/>
            <w:tcBorders>
              <w:tl2br w:val="nil"/>
              <w:tr2bl w:val="nil"/>
            </w:tcBorders>
            <w:noWrap w:val="0"/>
            <w:vAlign w:val="center"/>
          </w:tcPr>
          <w:p w14:paraId="1115F1D9">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有组织</w:t>
            </w:r>
          </w:p>
        </w:tc>
        <w:tc>
          <w:tcPr>
            <w:tcW w:w="721" w:type="pct"/>
            <w:vMerge w:val="restart"/>
            <w:tcBorders>
              <w:tl2br w:val="nil"/>
              <w:tr2bl w:val="nil"/>
            </w:tcBorders>
            <w:noWrap w:val="0"/>
            <w:vAlign w:val="center"/>
          </w:tcPr>
          <w:p w14:paraId="377999D5">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DA00</w:t>
            </w:r>
            <w:r>
              <w:rPr>
                <w:rFonts w:hint="eastAsia" w:cs="Times New Roman"/>
                <w:highlight w:val="none"/>
                <w:lang w:val="en-US" w:eastAsia="zh-CN"/>
              </w:rPr>
              <w:t>1</w:t>
            </w:r>
          </w:p>
        </w:tc>
        <w:tc>
          <w:tcPr>
            <w:tcW w:w="861" w:type="pct"/>
            <w:tcBorders>
              <w:tl2br w:val="nil"/>
              <w:tr2bl w:val="nil"/>
            </w:tcBorders>
            <w:noWrap w:val="0"/>
            <w:vAlign w:val="center"/>
          </w:tcPr>
          <w:p w14:paraId="1715FCB9">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highlight w:val="none"/>
                <w:lang w:val="en-US" w:eastAsia="zh-CN"/>
              </w:rPr>
            </w:pPr>
            <w:r>
              <w:rPr>
                <w:rFonts w:hint="eastAsia" w:cs="Times New Roman"/>
                <w:highlight w:val="none"/>
                <w:lang w:val="en-US" w:eastAsia="zh-CN"/>
              </w:rPr>
              <w:t>氨</w:t>
            </w:r>
          </w:p>
        </w:tc>
        <w:tc>
          <w:tcPr>
            <w:tcW w:w="929" w:type="pct"/>
            <w:tcBorders>
              <w:tl2br w:val="nil"/>
              <w:tr2bl w:val="nil"/>
            </w:tcBorders>
            <w:noWrap w:val="0"/>
            <w:vAlign w:val="center"/>
          </w:tcPr>
          <w:p w14:paraId="2F3916B6">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highlight w:val="none"/>
                <w:lang w:val="en-US" w:eastAsia="zh-CN"/>
              </w:rPr>
              <w:t>1.32E-03</w:t>
            </w:r>
          </w:p>
        </w:tc>
        <w:tc>
          <w:tcPr>
            <w:tcW w:w="736" w:type="pct"/>
            <w:tcBorders>
              <w:tl2br w:val="nil"/>
              <w:tr2bl w:val="nil"/>
            </w:tcBorders>
            <w:noWrap w:val="0"/>
            <w:vAlign w:val="center"/>
          </w:tcPr>
          <w:p w14:paraId="3A5347E7">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0.66</w:t>
            </w:r>
          </w:p>
        </w:tc>
        <w:tc>
          <w:tcPr>
            <w:tcW w:w="1122" w:type="pct"/>
            <w:vMerge w:val="restart"/>
            <w:tcBorders>
              <w:tl2br w:val="nil"/>
              <w:tr2bl w:val="nil"/>
            </w:tcBorders>
            <w:noWrap w:val="0"/>
            <w:vAlign w:val="center"/>
          </w:tcPr>
          <w:p w14:paraId="1CB65FAF">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148</w:t>
            </w:r>
          </w:p>
        </w:tc>
      </w:tr>
      <w:tr w14:paraId="2E938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continue"/>
            <w:tcBorders>
              <w:tl2br w:val="nil"/>
              <w:tr2bl w:val="nil"/>
            </w:tcBorders>
            <w:noWrap w:val="0"/>
            <w:vAlign w:val="center"/>
          </w:tcPr>
          <w:p w14:paraId="1FE4DA5A">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p>
        </w:tc>
        <w:tc>
          <w:tcPr>
            <w:tcW w:w="721" w:type="pct"/>
            <w:vMerge w:val="continue"/>
            <w:tcBorders>
              <w:tl2br w:val="nil"/>
              <w:tr2bl w:val="nil"/>
            </w:tcBorders>
            <w:noWrap w:val="0"/>
            <w:vAlign w:val="center"/>
          </w:tcPr>
          <w:p w14:paraId="384E1144">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p>
        </w:tc>
        <w:tc>
          <w:tcPr>
            <w:tcW w:w="861" w:type="pct"/>
            <w:tcBorders>
              <w:tl2br w:val="nil"/>
              <w:tr2bl w:val="nil"/>
            </w:tcBorders>
            <w:noWrap w:val="0"/>
            <w:vAlign w:val="center"/>
          </w:tcPr>
          <w:p w14:paraId="6FCEBBC0">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highlight w:val="none"/>
                <w:lang w:val="en-US" w:eastAsia="zh-CN"/>
              </w:rPr>
            </w:pPr>
            <w:r>
              <w:rPr>
                <w:rFonts w:hint="eastAsia" w:cs="Times New Roman"/>
                <w:highlight w:val="none"/>
                <w:lang w:val="en-US" w:eastAsia="zh-CN"/>
              </w:rPr>
              <w:t>硫化氢</w:t>
            </w:r>
          </w:p>
        </w:tc>
        <w:tc>
          <w:tcPr>
            <w:tcW w:w="929" w:type="pct"/>
            <w:tcBorders>
              <w:tl2br w:val="nil"/>
              <w:tr2bl w:val="nil"/>
            </w:tcBorders>
            <w:noWrap w:val="0"/>
            <w:vAlign w:val="center"/>
          </w:tcPr>
          <w:p w14:paraId="2CA15410">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highlight w:val="none"/>
                <w:lang w:val="en-US" w:eastAsia="zh-CN"/>
              </w:rPr>
              <w:t>5.12E-06</w:t>
            </w:r>
          </w:p>
        </w:tc>
        <w:tc>
          <w:tcPr>
            <w:tcW w:w="736" w:type="pct"/>
            <w:tcBorders>
              <w:tl2br w:val="nil"/>
              <w:tr2bl w:val="nil"/>
            </w:tcBorders>
            <w:noWrap w:val="0"/>
            <w:vAlign w:val="center"/>
          </w:tcPr>
          <w:p w14:paraId="11D04354">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0.05</w:t>
            </w:r>
          </w:p>
        </w:tc>
        <w:tc>
          <w:tcPr>
            <w:tcW w:w="1122" w:type="pct"/>
            <w:vMerge w:val="continue"/>
            <w:tcBorders>
              <w:tl2br w:val="nil"/>
              <w:tr2bl w:val="nil"/>
            </w:tcBorders>
            <w:noWrap w:val="0"/>
            <w:vAlign w:val="center"/>
          </w:tcPr>
          <w:p w14:paraId="59DA081C">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p>
        </w:tc>
      </w:tr>
      <w:tr w14:paraId="6279E8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restart"/>
            <w:tcBorders>
              <w:tl2br w:val="nil"/>
              <w:tr2bl w:val="nil"/>
            </w:tcBorders>
            <w:noWrap w:val="0"/>
            <w:vAlign w:val="center"/>
          </w:tcPr>
          <w:p w14:paraId="5078291B">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无组织</w:t>
            </w:r>
          </w:p>
        </w:tc>
        <w:tc>
          <w:tcPr>
            <w:tcW w:w="721" w:type="pct"/>
            <w:vMerge w:val="restart"/>
            <w:tcBorders>
              <w:tl2br w:val="nil"/>
              <w:tr2bl w:val="nil"/>
            </w:tcBorders>
            <w:noWrap w:val="0"/>
            <w:vAlign w:val="center"/>
          </w:tcPr>
          <w:p w14:paraId="38211DBE">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lang w:val="en-US" w:eastAsia="zh-CN"/>
              </w:rPr>
              <w:t>1#</w:t>
            </w:r>
            <w:r>
              <w:rPr>
                <w:rFonts w:hint="default" w:ascii="Times New Roman" w:hAnsi="Times New Roman" w:cs="Times New Roman"/>
                <w:highlight w:val="none"/>
              </w:rPr>
              <w:t>生产车间</w:t>
            </w:r>
          </w:p>
        </w:tc>
        <w:tc>
          <w:tcPr>
            <w:tcW w:w="861" w:type="pct"/>
            <w:tcBorders>
              <w:tl2br w:val="nil"/>
              <w:tr2bl w:val="nil"/>
            </w:tcBorders>
            <w:shd w:val="clear" w:color="auto" w:fill="auto"/>
            <w:noWrap w:val="0"/>
            <w:vAlign w:val="center"/>
          </w:tcPr>
          <w:p w14:paraId="66033A7A">
            <w:pPr>
              <w:pStyle w:val="43"/>
              <w:keepNext w:val="0"/>
              <w:keepLines w:val="0"/>
              <w:widowControl/>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氨</w:t>
            </w:r>
          </w:p>
        </w:tc>
        <w:tc>
          <w:tcPr>
            <w:tcW w:w="929" w:type="pct"/>
            <w:tcBorders>
              <w:tl2br w:val="nil"/>
              <w:tr2bl w:val="nil"/>
            </w:tcBorders>
            <w:noWrap w:val="0"/>
            <w:vAlign w:val="center"/>
          </w:tcPr>
          <w:p w14:paraId="508E8151">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b/>
                <w:bCs/>
                <w:highlight w:val="none"/>
                <w:lang w:val="en-US" w:eastAsia="zh-CN"/>
              </w:rPr>
            </w:pPr>
            <w:r>
              <w:rPr>
                <w:rFonts w:hint="eastAsia"/>
                <w:b/>
                <w:bCs/>
                <w:highlight w:val="none"/>
                <w:lang w:val="en-US" w:eastAsia="zh-CN"/>
              </w:rPr>
              <w:t>1.58E-02</w:t>
            </w:r>
          </w:p>
        </w:tc>
        <w:tc>
          <w:tcPr>
            <w:tcW w:w="736" w:type="pct"/>
            <w:tcBorders>
              <w:tl2br w:val="nil"/>
              <w:tr2bl w:val="nil"/>
            </w:tcBorders>
            <w:noWrap w:val="0"/>
            <w:vAlign w:val="center"/>
          </w:tcPr>
          <w:p w14:paraId="519E3CF5">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b/>
                <w:bCs/>
                <w:highlight w:val="none"/>
                <w:lang w:val="en-US" w:eastAsia="zh-CN"/>
              </w:rPr>
            </w:pPr>
            <w:r>
              <w:rPr>
                <w:rFonts w:hint="eastAsia" w:cs="Times New Roman"/>
                <w:b/>
                <w:bCs/>
                <w:highlight w:val="none"/>
                <w:lang w:val="en-US" w:eastAsia="zh-CN"/>
              </w:rPr>
              <w:t>7.91</w:t>
            </w:r>
          </w:p>
        </w:tc>
        <w:tc>
          <w:tcPr>
            <w:tcW w:w="1122" w:type="pct"/>
            <w:vMerge w:val="restart"/>
            <w:tcBorders>
              <w:tl2br w:val="nil"/>
              <w:tr2bl w:val="nil"/>
            </w:tcBorders>
            <w:noWrap w:val="0"/>
            <w:vAlign w:val="center"/>
          </w:tcPr>
          <w:p w14:paraId="703B7096">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26</w:t>
            </w:r>
          </w:p>
        </w:tc>
      </w:tr>
      <w:tr w14:paraId="7F66A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continue"/>
            <w:tcBorders>
              <w:tl2br w:val="nil"/>
              <w:tr2bl w:val="nil"/>
            </w:tcBorders>
            <w:noWrap w:val="0"/>
            <w:vAlign w:val="center"/>
          </w:tcPr>
          <w:p w14:paraId="5FFB4237">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p>
        </w:tc>
        <w:tc>
          <w:tcPr>
            <w:tcW w:w="721" w:type="pct"/>
            <w:vMerge w:val="continue"/>
            <w:tcBorders>
              <w:tl2br w:val="nil"/>
              <w:tr2bl w:val="nil"/>
            </w:tcBorders>
            <w:noWrap w:val="0"/>
            <w:vAlign w:val="center"/>
          </w:tcPr>
          <w:p w14:paraId="3F4FCD6D">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p>
        </w:tc>
        <w:tc>
          <w:tcPr>
            <w:tcW w:w="861" w:type="pct"/>
            <w:tcBorders>
              <w:tl2br w:val="nil"/>
              <w:tr2bl w:val="nil"/>
            </w:tcBorders>
            <w:shd w:val="clear" w:color="auto" w:fill="auto"/>
            <w:noWrap w:val="0"/>
            <w:vAlign w:val="center"/>
          </w:tcPr>
          <w:p w14:paraId="37DC5486">
            <w:pPr>
              <w:pStyle w:val="43"/>
              <w:keepNext w:val="0"/>
              <w:keepLines w:val="0"/>
              <w:widowControl/>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硫化氢</w:t>
            </w:r>
          </w:p>
        </w:tc>
        <w:tc>
          <w:tcPr>
            <w:tcW w:w="929" w:type="pct"/>
            <w:tcBorders>
              <w:tl2br w:val="nil"/>
              <w:tr2bl w:val="nil"/>
            </w:tcBorders>
            <w:noWrap w:val="0"/>
            <w:vAlign w:val="center"/>
          </w:tcPr>
          <w:p w14:paraId="7C3D7832">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b w:val="0"/>
                <w:bCs w:val="0"/>
                <w:highlight w:val="none"/>
                <w:lang w:val="en-US" w:eastAsia="zh-CN"/>
              </w:rPr>
            </w:pPr>
            <w:r>
              <w:rPr>
                <w:rFonts w:hint="eastAsia"/>
                <w:b w:val="0"/>
                <w:bCs w:val="0"/>
                <w:highlight w:val="none"/>
                <w:lang w:val="en-US" w:eastAsia="zh-CN"/>
              </w:rPr>
              <w:t>8.17E-05</w:t>
            </w:r>
          </w:p>
        </w:tc>
        <w:tc>
          <w:tcPr>
            <w:tcW w:w="736" w:type="pct"/>
            <w:tcBorders>
              <w:tl2br w:val="nil"/>
              <w:tr2bl w:val="nil"/>
            </w:tcBorders>
            <w:noWrap w:val="0"/>
            <w:vAlign w:val="center"/>
          </w:tcPr>
          <w:p w14:paraId="1519892F">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b w:val="0"/>
                <w:bCs w:val="0"/>
                <w:highlight w:val="none"/>
                <w:lang w:val="en-US" w:eastAsia="zh-CN"/>
              </w:rPr>
            </w:pPr>
            <w:r>
              <w:rPr>
                <w:rFonts w:hint="eastAsia" w:cs="Times New Roman"/>
                <w:b w:val="0"/>
                <w:bCs w:val="0"/>
                <w:highlight w:val="none"/>
                <w:lang w:val="en-US" w:eastAsia="zh-CN"/>
              </w:rPr>
              <w:t>0.82</w:t>
            </w:r>
          </w:p>
        </w:tc>
        <w:tc>
          <w:tcPr>
            <w:tcW w:w="1122" w:type="pct"/>
            <w:vMerge w:val="continue"/>
            <w:tcBorders>
              <w:tl2br w:val="nil"/>
              <w:tr2bl w:val="nil"/>
            </w:tcBorders>
            <w:noWrap w:val="0"/>
            <w:vAlign w:val="center"/>
          </w:tcPr>
          <w:p w14:paraId="599436EE">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highlight w:val="none"/>
              </w:rPr>
            </w:pPr>
          </w:p>
        </w:tc>
      </w:tr>
    </w:tbl>
    <w:p w14:paraId="21C7794F">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eastAsia="zh-CN"/>
        </w:rPr>
        <w:t>根据《环境影响评价技术导则-大气环境》(HJ2.2-2018)中“5.3.3.1 同一项目有多个污染源时，则按各污染源分别确定评价等级，并取评价等级最高者作为项目的评价等级”，本项目最大占标率Pmax</w:t>
      </w:r>
      <w:r>
        <w:rPr>
          <w:rFonts w:hint="default" w:ascii="Times New Roman" w:hAnsi="Times New Roman" w:cs="Times New Roman"/>
          <w:color w:val="auto"/>
          <w:highlight w:val="none"/>
          <w:u w:val="none" w:color="auto"/>
          <w:lang w:val="en-US" w:eastAsia="zh-CN"/>
        </w:rPr>
        <w:t>＝</w:t>
      </w:r>
      <w:r>
        <w:rPr>
          <w:rFonts w:hint="eastAsia" w:ascii="Times New Roman" w:hAnsi="Times New Roman" w:cs="Times New Roman"/>
          <w:color w:val="auto"/>
          <w:highlight w:val="none"/>
          <w:u w:val="none" w:color="auto"/>
          <w:lang w:val="en-US" w:eastAsia="zh-CN"/>
        </w:rPr>
        <w:t>7.91%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因此</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本项目大气评价等级定为二级。</w:t>
      </w:r>
    </w:p>
    <w:p w14:paraId="20DC056E">
      <w:pPr>
        <w:numPr>
          <w:ilvl w:val="0"/>
          <w:numId w:val="2"/>
        </w:numPr>
        <w:shd w:val="clea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评价范围</w:t>
      </w:r>
    </w:p>
    <w:p w14:paraId="687B6548">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评价范围为</w:t>
      </w:r>
      <w:r>
        <w:rPr>
          <w:rFonts w:hint="default" w:ascii="Times New Roman" w:hAnsi="Times New Roman" w:cs="Times New Roman"/>
          <w:color w:val="auto"/>
          <w:highlight w:val="none"/>
          <w:u w:val="none" w:color="auto"/>
          <w:lang w:val="en-US" w:eastAsia="zh-CN"/>
        </w:rPr>
        <w:t>以厂址为中心，</w:t>
      </w:r>
      <w:r>
        <w:rPr>
          <w:rFonts w:hint="default" w:ascii="Times New Roman" w:hAnsi="Times New Roman" w:cs="Times New Roman"/>
          <w:color w:val="auto"/>
          <w:highlight w:val="none"/>
          <w:u w:val="none" w:color="auto"/>
        </w:rPr>
        <w:t>厂界外5km的矩形区域。</w:t>
      </w:r>
    </w:p>
    <w:p w14:paraId="691BFF9A">
      <w:pPr>
        <w:pStyle w:val="6"/>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w:t>
      </w:r>
      <w:bookmarkEnd w:id="60"/>
    </w:p>
    <w:p w14:paraId="1BC0EFF1">
      <w:pPr>
        <w:ind w:firstLine="482"/>
        <w:rPr>
          <w:rFonts w:hint="default" w:ascii="Times New Roman" w:hAnsi="Times New Roman" w:cs="Times New Roman"/>
          <w:b/>
          <w:bCs/>
          <w:color w:val="auto"/>
          <w:highlight w:val="none"/>
          <w:u w:val="none" w:color="auto"/>
        </w:rPr>
      </w:pPr>
      <w:bookmarkStart w:id="61" w:name="_Toc27214"/>
      <w:r>
        <w:rPr>
          <w:rFonts w:hint="default" w:ascii="Times New Roman" w:hAnsi="Times New Roman" w:cs="Times New Roman"/>
          <w:b/>
          <w:bCs/>
          <w:color w:val="auto"/>
          <w:highlight w:val="none"/>
          <w:u w:val="none" w:color="auto"/>
        </w:rPr>
        <w:t>1、评价等级</w:t>
      </w:r>
    </w:p>
    <w:p w14:paraId="47F5E436">
      <w:pPr>
        <w:topLinePunct/>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kern w:val="0"/>
          <w:highlight w:val="none"/>
          <w:u w:val="none" w:color="auto"/>
        </w:rPr>
        <w:t>本项目为食品产业园配套污水处理设施，收集园区内各企业生产废水，经处理后废水达到《污水综合排放标准》（GB8978-1996）表4中三级标准以及</w:t>
      </w:r>
      <w:r>
        <w:rPr>
          <w:rFonts w:hint="eastAsia" w:ascii="Times New Roman" w:hAnsi="Times New Roman" w:cs="Times New Roman"/>
          <w:color w:val="auto"/>
          <w:kern w:val="0"/>
          <w:highlight w:val="none"/>
          <w:u w:val="none" w:color="auto"/>
          <w:lang w:val="en-US" w:eastAsia="zh-CN"/>
        </w:rPr>
        <w:t>湘阴</w:t>
      </w:r>
      <w:r>
        <w:rPr>
          <w:rFonts w:hint="default" w:ascii="Times New Roman" w:hAnsi="Times New Roman" w:cs="Times New Roman"/>
          <w:color w:val="auto"/>
          <w:kern w:val="0"/>
          <w:highlight w:val="none"/>
          <w:u w:val="none" w:color="auto"/>
        </w:rPr>
        <w:t>县第二污水处理厂接纳标准，排入市政污水管网，经</w:t>
      </w:r>
      <w:r>
        <w:rPr>
          <w:rFonts w:hint="eastAsia" w:ascii="Times New Roman" w:hAnsi="Times New Roman" w:cs="Times New Roman"/>
          <w:color w:val="auto"/>
          <w:kern w:val="0"/>
          <w:highlight w:val="none"/>
          <w:u w:val="none" w:color="auto"/>
          <w:lang w:val="en-US" w:eastAsia="zh-CN"/>
        </w:rPr>
        <w:t>湘阴</w:t>
      </w:r>
      <w:r>
        <w:rPr>
          <w:rFonts w:hint="default" w:ascii="Times New Roman" w:hAnsi="Times New Roman" w:cs="Times New Roman"/>
          <w:color w:val="auto"/>
          <w:kern w:val="0"/>
          <w:highlight w:val="none"/>
          <w:u w:val="none" w:color="auto"/>
        </w:rPr>
        <w:t>县第二污水处理厂处理达《城镇污水处理厂污染物排放标准》（GB18918-2002）一级A标准后，排入</w:t>
      </w:r>
      <w:r>
        <w:rPr>
          <w:rFonts w:hint="eastAsia" w:ascii="Times New Roman" w:hAnsi="Times New Roman" w:cs="Times New Roman"/>
          <w:color w:val="auto"/>
          <w:kern w:val="0"/>
          <w:highlight w:val="none"/>
          <w:u w:val="none" w:color="auto"/>
          <w:lang w:val="en-US" w:eastAsia="zh-CN"/>
        </w:rPr>
        <w:t>湘江</w:t>
      </w:r>
      <w:r>
        <w:rPr>
          <w:rFonts w:hint="default" w:ascii="Times New Roman" w:hAnsi="Times New Roman" w:cs="Times New Roman"/>
          <w:color w:val="auto"/>
          <w:kern w:val="0"/>
          <w:highlight w:val="none"/>
          <w:u w:val="none" w:color="auto"/>
        </w:rPr>
        <w:t>。因此项目废水排放属于间接排放，根据《环境影响评价技术导则—地表水环境》（HJ2.3-2018），确定项目地表水环境评价等级为三级B</w:t>
      </w:r>
      <w:r>
        <w:rPr>
          <w:rFonts w:hint="default" w:ascii="Times New Roman" w:hAnsi="Times New Roman" w:cs="Times New Roman"/>
          <w:color w:val="auto"/>
          <w:highlight w:val="none"/>
          <w:u w:val="none" w:color="auto"/>
        </w:rPr>
        <w:t>。</w:t>
      </w:r>
      <w:r>
        <w:rPr>
          <w:rFonts w:hint="default" w:ascii="Times New Roman" w:hAnsi="Times New Roman" w:cs="Times New Roman"/>
          <w:color w:val="auto"/>
          <w:kern w:val="0"/>
          <w:highlight w:val="none"/>
          <w:u w:val="none" w:color="auto"/>
        </w:rPr>
        <w:t>项目</w:t>
      </w:r>
      <w:r>
        <w:rPr>
          <w:rFonts w:hint="default" w:ascii="Times New Roman" w:hAnsi="Times New Roman" w:cs="Times New Roman"/>
          <w:color w:val="auto"/>
          <w:highlight w:val="none"/>
          <w:u w:val="none" w:color="auto"/>
        </w:rPr>
        <w:t>地表水环境影响评价等级判据见表2.4-3。</w:t>
      </w:r>
    </w:p>
    <w:p w14:paraId="30700FD5">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表2.4-3水污染影响型建设项目评价等级判定</w:t>
      </w:r>
    </w:p>
    <w:tbl>
      <w:tblPr>
        <w:tblStyle w:val="30"/>
        <w:tblpPr w:leftFromText="180" w:rightFromText="180" w:vertAnchor="text" w:horzAnchor="margin" w:tblpXSpec="center" w:tblpY="2"/>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975"/>
        <w:gridCol w:w="3375"/>
        <w:gridCol w:w="3170"/>
      </w:tblGrid>
      <w:tr w14:paraId="02FBC8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vMerge w:val="restart"/>
            <w:noWrap w:val="0"/>
            <w:vAlign w:val="center"/>
          </w:tcPr>
          <w:p w14:paraId="0084E95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评价等级</w:t>
            </w:r>
          </w:p>
        </w:tc>
        <w:tc>
          <w:tcPr>
            <w:tcW w:w="3840" w:type="pct"/>
            <w:gridSpan w:val="2"/>
            <w:noWrap w:val="0"/>
            <w:vAlign w:val="center"/>
          </w:tcPr>
          <w:p w14:paraId="7C9A9DF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判定依据</w:t>
            </w:r>
          </w:p>
        </w:tc>
      </w:tr>
      <w:tr w14:paraId="30E328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vMerge w:val="continue"/>
            <w:noWrap w:val="0"/>
            <w:vAlign w:val="center"/>
          </w:tcPr>
          <w:p w14:paraId="4571F26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p>
        </w:tc>
        <w:tc>
          <w:tcPr>
            <w:tcW w:w="1980" w:type="pct"/>
            <w:noWrap w:val="0"/>
            <w:vAlign w:val="center"/>
          </w:tcPr>
          <w:p w14:paraId="3C71C39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排放方式</w:t>
            </w:r>
          </w:p>
        </w:tc>
        <w:tc>
          <w:tcPr>
            <w:tcW w:w="1860" w:type="pct"/>
            <w:noWrap w:val="0"/>
            <w:vAlign w:val="center"/>
          </w:tcPr>
          <w:p w14:paraId="4393921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废水排放量Q/（</w:t>
            </w:r>
            <w:r>
              <w:rPr>
                <w:rFonts w:hint="eastAsia" w:cs="Times New Roman"/>
                <w:color w:val="auto"/>
                <w:kern w:val="2"/>
                <w:szCs w:val="24"/>
                <w:highlight w:val="none"/>
                <w:u w:val="none" w:color="auto"/>
                <w:lang w:eastAsia="zh-CN"/>
              </w:rPr>
              <w:t>m</w:t>
            </w:r>
            <w:r>
              <w:rPr>
                <w:rFonts w:hint="eastAsia" w:cs="Times New Roman"/>
                <w:color w:val="auto"/>
                <w:kern w:val="2"/>
                <w:szCs w:val="24"/>
                <w:highlight w:val="none"/>
                <w:u w:val="none" w:color="auto"/>
                <w:vertAlign w:val="superscript"/>
                <w:lang w:eastAsia="zh-CN"/>
              </w:rPr>
              <w:t>3</w:t>
            </w:r>
            <w:r>
              <w:rPr>
                <w:rFonts w:hint="default" w:ascii="Times New Roman" w:hAnsi="Times New Roman" w:cs="Times New Roman"/>
                <w:color w:val="auto"/>
                <w:kern w:val="2"/>
                <w:szCs w:val="24"/>
                <w:highlight w:val="none"/>
                <w:u w:val="none" w:color="auto"/>
              </w:rPr>
              <w:t>/d）；</w:t>
            </w:r>
          </w:p>
          <w:p w14:paraId="2287B96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水污染物当量数W/（无量纲）</w:t>
            </w:r>
          </w:p>
        </w:tc>
      </w:tr>
      <w:tr w14:paraId="73D8C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noWrap w:val="0"/>
            <w:vAlign w:val="center"/>
          </w:tcPr>
          <w:p w14:paraId="7AAA988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一级</w:t>
            </w:r>
          </w:p>
        </w:tc>
        <w:tc>
          <w:tcPr>
            <w:tcW w:w="1980" w:type="pct"/>
            <w:noWrap w:val="0"/>
            <w:vAlign w:val="center"/>
          </w:tcPr>
          <w:p w14:paraId="20F5D82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直接排放</w:t>
            </w:r>
          </w:p>
        </w:tc>
        <w:tc>
          <w:tcPr>
            <w:tcW w:w="1860" w:type="pct"/>
            <w:noWrap w:val="0"/>
            <w:vAlign w:val="center"/>
          </w:tcPr>
          <w:p w14:paraId="7354785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Q≥20000或W≥600000</w:t>
            </w:r>
          </w:p>
        </w:tc>
      </w:tr>
      <w:tr w14:paraId="6EFE3F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noWrap w:val="0"/>
            <w:vAlign w:val="center"/>
          </w:tcPr>
          <w:p w14:paraId="2904777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二级</w:t>
            </w:r>
          </w:p>
        </w:tc>
        <w:tc>
          <w:tcPr>
            <w:tcW w:w="1980" w:type="pct"/>
            <w:noWrap w:val="0"/>
            <w:vAlign w:val="center"/>
          </w:tcPr>
          <w:p w14:paraId="1AE65EC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直接排放</w:t>
            </w:r>
          </w:p>
        </w:tc>
        <w:tc>
          <w:tcPr>
            <w:tcW w:w="1860" w:type="pct"/>
            <w:noWrap w:val="0"/>
            <w:vAlign w:val="center"/>
          </w:tcPr>
          <w:p w14:paraId="2935971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其他</w:t>
            </w:r>
          </w:p>
        </w:tc>
      </w:tr>
      <w:tr w14:paraId="4CAC26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noWrap w:val="0"/>
            <w:vAlign w:val="center"/>
          </w:tcPr>
          <w:p w14:paraId="55D4286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三级A</w:t>
            </w:r>
          </w:p>
        </w:tc>
        <w:tc>
          <w:tcPr>
            <w:tcW w:w="1980" w:type="pct"/>
            <w:noWrap w:val="0"/>
            <w:vAlign w:val="center"/>
          </w:tcPr>
          <w:p w14:paraId="1EADF90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直接排放</w:t>
            </w:r>
          </w:p>
        </w:tc>
        <w:tc>
          <w:tcPr>
            <w:tcW w:w="1860" w:type="pct"/>
            <w:noWrap w:val="0"/>
            <w:vAlign w:val="center"/>
          </w:tcPr>
          <w:p w14:paraId="44E944D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Q＜200且W＜6000</w:t>
            </w:r>
          </w:p>
        </w:tc>
      </w:tr>
      <w:tr w14:paraId="563487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59" w:type="pct"/>
            <w:noWrap w:val="0"/>
            <w:vAlign w:val="center"/>
          </w:tcPr>
          <w:p w14:paraId="6BC0C2E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三级B</w:t>
            </w:r>
          </w:p>
        </w:tc>
        <w:tc>
          <w:tcPr>
            <w:tcW w:w="1980" w:type="pct"/>
            <w:noWrap w:val="0"/>
            <w:vAlign w:val="center"/>
          </w:tcPr>
          <w:p w14:paraId="4CA8781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间接排放</w:t>
            </w:r>
          </w:p>
        </w:tc>
        <w:tc>
          <w:tcPr>
            <w:tcW w:w="1860" w:type="pct"/>
            <w:noWrap w:val="0"/>
            <w:vAlign w:val="center"/>
          </w:tcPr>
          <w:p w14:paraId="3D5F216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szCs w:val="24"/>
                <w:highlight w:val="none"/>
                <w:u w:val="none" w:color="auto"/>
              </w:rPr>
            </w:pPr>
            <w:r>
              <w:rPr>
                <w:rFonts w:hint="default" w:ascii="Times New Roman" w:hAnsi="Times New Roman" w:cs="Times New Roman"/>
                <w:color w:val="auto"/>
                <w:kern w:val="2"/>
                <w:szCs w:val="24"/>
                <w:highlight w:val="none"/>
                <w:u w:val="none" w:color="auto"/>
              </w:rPr>
              <w:t>--</w:t>
            </w:r>
          </w:p>
        </w:tc>
      </w:tr>
    </w:tbl>
    <w:p w14:paraId="5DBC415D">
      <w:pPr>
        <w:ind w:left="480" w:leftChars="200" w:firstLine="0" w:firstLineChars="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2、评价范围</w:t>
      </w:r>
    </w:p>
    <w:p w14:paraId="020BDFA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根据《环境影响评价技术导则</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地表水环境》（HJ/T2.3-2018）5.3.2.2三级B</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其评价范围应符合以下要求：</w:t>
      </w:r>
    </w:p>
    <w:p w14:paraId="607F38F8">
      <w:pPr>
        <w:numPr>
          <w:ilvl w:val="0"/>
          <w:numId w:val="3"/>
        </w:num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应满足其依托污水处理设施环境可行性分析的要求；</w:t>
      </w:r>
    </w:p>
    <w:p w14:paraId="22C059AC">
      <w:pPr>
        <w:numPr>
          <w:ilvl w:val="0"/>
          <w:numId w:val="3"/>
        </w:num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涉及地表水环境风险的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应覆盖环境风险影响范围所及的水环境保护目标水域。</w:t>
      </w:r>
    </w:p>
    <w:p w14:paraId="733604DD">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w:t>
      </w:r>
      <w:bookmarkEnd w:id="61"/>
    </w:p>
    <w:p w14:paraId="2852B0C6">
      <w:pPr>
        <w:ind w:firstLine="482"/>
        <w:rPr>
          <w:rFonts w:hint="default" w:ascii="Times New Roman" w:hAnsi="Times New Roman" w:cs="Times New Roman"/>
          <w:b/>
          <w:bCs/>
          <w:color w:val="auto"/>
          <w:highlight w:val="none"/>
          <w:u w:val="none" w:color="auto"/>
        </w:rPr>
      </w:pPr>
      <w:bookmarkStart w:id="62" w:name="_Toc30731"/>
      <w:r>
        <w:rPr>
          <w:rFonts w:hint="default" w:ascii="Times New Roman" w:hAnsi="Times New Roman" w:cs="Times New Roman"/>
          <w:b/>
          <w:bCs/>
          <w:color w:val="auto"/>
          <w:highlight w:val="none"/>
          <w:u w:val="none" w:color="auto"/>
        </w:rPr>
        <w:t>1、评价等级</w:t>
      </w:r>
    </w:p>
    <w:p w14:paraId="2988C331">
      <w:pPr>
        <w:bidi w:val="0"/>
        <w:rPr>
          <w:rFonts w:hint="default" w:ascii="Times New Roman" w:hAnsi="Times New Roman" w:cs="Times New Roman"/>
          <w:highlight w:val="none"/>
        </w:rPr>
      </w:pPr>
      <w:r>
        <w:rPr>
          <w:rFonts w:hint="default" w:ascii="Times New Roman" w:hAnsi="Times New Roman" w:cs="Times New Roman"/>
          <w:highlight w:val="none"/>
        </w:rPr>
        <w:t>对照《环境影响评价技术导则 地下水环境》（HJ 610-2016）中附录A地下水环境影响评价行业分类表，本项目属于“U 城镇基础设施及房地产中145、工业废水集中处理编制报告书”，地下水影响评价项目类别为I类项目。地下水环境敏感程度分级一览表及评价工作等级判定依据见下表。</w:t>
      </w:r>
    </w:p>
    <w:p w14:paraId="01C2818A">
      <w:pPr>
        <w:pStyle w:val="39"/>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表2.4-4 地下水环境影响评价工作等级分级表</w:t>
      </w:r>
    </w:p>
    <w:tbl>
      <w:tblPr>
        <w:tblStyle w:val="30"/>
        <w:tblpPr w:leftFromText="180" w:rightFromText="180" w:vertAnchor="text" w:horzAnchor="margin" w:tblpXSpec="center" w:tblpY="2"/>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092"/>
        <w:gridCol w:w="1936"/>
        <w:gridCol w:w="2456"/>
        <w:gridCol w:w="2035"/>
      </w:tblGrid>
      <w:tr w14:paraId="5612C7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jc w:val="center"/>
        </w:trPr>
        <w:tc>
          <w:tcPr>
            <w:tcW w:w="1228" w:type="pct"/>
            <w:noWrap w:val="0"/>
            <w:vAlign w:val="center"/>
            <mc:AlternateContent>
              <mc:Choice Requires="wpsCustomData">
                <wpsCustomData:diagonals>
                  <wpsCustomData:diagonal from="30000" to="10000">
                    <wpsCustomData:border w:val="single" w:color="000000" w:sz="12" w:space="0"/>
                  </wpsCustomData:diagonal>
                </wpsCustomData:diagonals>
              </mc:Choice>
            </mc:AlternateContent>
          </w:tcPr>
          <w:p w14:paraId="0D67AE5A">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p>
          <w:p w14:paraId="7636AB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p>
          <w:p w14:paraId="3B5B9B74">
            <w:pPr>
              <w:keepNext w:val="0"/>
              <w:keepLines w:val="0"/>
              <w:suppressLineNumbers w:val="0"/>
              <w:adjustRightInd w:val="0"/>
              <w:snapToGrid w:val="0"/>
              <w:spacing w:before="0" w:beforeAutospacing="0" w:after="0" w:afterAutospacing="0" w:line="240" w:lineRule="auto"/>
              <w:ind w:left="0" w:right="0" w:firstLine="0" w:firstLineChars="0"/>
              <w:jc w:val="center"/>
              <mc:AlternateContent>
                <mc:Choice Requires="wpsCustomData">
                  <wpsCustomData:diagonalParaType/>
                </mc:Choice>
              </mc:AlternateContent>
              <w:rPr>
                <w:rFonts w:hint="default" w:ascii="Times New Roman" w:hAnsi="Times New Roman" w:cs="Times New Roman"/>
                <w:b/>
                <w:bCs/>
                <w:snapToGrid w:val="0"/>
                <w:color w:val="auto"/>
                <w:kern w:val="0"/>
                <w:sz w:val="21"/>
                <w:szCs w:val="21"/>
                <w:highlight w:val="none"/>
                <w:u w:val="none" w:color="auto"/>
              </w:rPr>
            </w:pPr>
            <w:r>
              <w:rPr>
                <w:rFonts w:hint="default" w:ascii="Times New Roman" w:hAnsi="Times New Roman" w:cs="Times New Roman"/>
                <w:b/>
                <w:bCs/>
                <w:snapToGrid w:val="0"/>
                <w:color w:val="auto"/>
                <w:kern w:val="0"/>
                <w:sz w:val="21"/>
                <w:szCs w:val="21"/>
                <w:highlight w:val="none"/>
                <w:u w:val="none" w:color="auto"/>
              </w:rPr>
              <w:t>敏感程度</w:t>
            </w:r>
          </w:p>
          <w:p w14:paraId="4187D684">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r>
              <w:rPr>
                <w:rFonts w:hint="default" w:ascii="Times New Roman" w:hAnsi="Times New Roman" w:cs="Times New Roman"/>
                <w:b/>
                <w:bCs/>
                <w:snapToGrid w:val="0"/>
                <w:color w:val="auto"/>
                <w:kern w:val="0"/>
                <w:sz w:val="21"/>
                <w:szCs w:val="21"/>
                <w:highlight w:val="none"/>
                <w:u w:val="none" w:color="auto"/>
              </w:rPr>
              <w:t>项目类别</w:t>
            </w:r>
          </w:p>
        </w:tc>
        <w:tc>
          <w:tcPr>
            <w:tcW w:w="1136" w:type="pct"/>
            <w:noWrap w:val="0"/>
            <w:vAlign w:val="center"/>
          </w:tcPr>
          <w:p w14:paraId="1C354851">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r>
              <w:rPr>
                <w:rFonts w:hint="default" w:ascii="Times New Roman" w:hAnsi="Times New Roman" w:cs="Times New Roman"/>
                <w:b/>
                <w:bCs/>
                <w:snapToGrid w:val="0"/>
                <w:color w:val="auto"/>
                <w:kern w:val="0"/>
                <w:sz w:val="21"/>
                <w:szCs w:val="21"/>
                <w:highlight w:val="none"/>
                <w:u w:val="none" w:color="auto"/>
              </w:rPr>
              <w:t>Ⅰ类项目</w:t>
            </w:r>
          </w:p>
        </w:tc>
        <w:tc>
          <w:tcPr>
            <w:tcW w:w="1441" w:type="pct"/>
            <w:noWrap w:val="0"/>
            <w:vAlign w:val="center"/>
          </w:tcPr>
          <w:p w14:paraId="73CD35B3">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r>
              <w:rPr>
                <w:rFonts w:hint="default" w:ascii="Times New Roman" w:hAnsi="Times New Roman" w:cs="Times New Roman"/>
                <w:b/>
                <w:bCs/>
                <w:snapToGrid w:val="0"/>
                <w:color w:val="auto"/>
                <w:kern w:val="0"/>
                <w:sz w:val="21"/>
                <w:szCs w:val="21"/>
                <w:highlight w:val="none"/>
                <w:u w:val="none" w:color="auto"/>
              </w:rPr>
              <w:t>Ⅱ类项目</w:t>
            </w:r>
          </w:p>
        </w:tc>
        <w:tc>
          <w:tcPr>
            <w:tcW w:w="1194" w:type="pct"/>
            <w:noWrap w:val="0"/>
            <w:vAlign w:val="center"/>
          </w:tcPr>
          <w:p w14:paraId="78E46458">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cs="Times New Roman"/>
                <w:b/>
                <w:bCs/>
                <w:snapToGrid w:val="0"/>
                <w:color w:val="auto"/>
                <w:kern w:val="0"/>
                <w:sz w:val="21"/>
                <w:szCs w:val="21"/>
                <w:highlight w:val="none"/>
                <w:u w:val="none" w:color="auto"/>
              </w:rPr>
            </w:pPr>
            <w:r>
              <w:rPr>
                <w:rFonts w:hint="default" w:ascii="Times New Roman" w:hAnsi="Times New Roman" w:cs="Times New Roman"/>
                <w:b/>
                <w:bCs/>
                <w:snapToGrid w:val="0"/>
                <w:color w:val="auto"/>
                <w:kern w:val="0"/>
                <w:sz w:val="21"/>
                <w:szCs w:val="21"/>
                <w:highlight w:val="none"/>
                <w:u w:val="none" w:color="auto"/>
              </w:rPr>
              <w:t>Ⅲ类项目</w:t>
            </w:r>
          </w:p>
        </w:tc>
      </w:tr>
      <w:tr w14:paraId="77AB57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8" w:type="pct"/>
            <w:noWrap w:val="0"/>
            <w:vAlign w:val="center"/>
          </w:tcPr>
          <w:p w14:paraId="030A7E05">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敏感</w:t>
            </w:r>
          </w:p>
        </w:tc>
        <w:tc>
          <w:tcPr>
            <w:tcW w:w="1136" w:type="pct"/>
            <w:noWrap w:val="0"/>
            <w:vAlign w:val="center"/>
          </w:tcPr>
          <w:p w14:paraId="3F67ABB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一</w:t>
            </w:r>
          </w:p>
        </w:tc>
        <w:tc>
          <w:tcPr>
            <w:tcW w:w="1441" w:type="pct"/>
            <w:noWrap w:val="0"/>
            <w:vAlign w:val="center"/>
          </w:tcPr>
          <w:p w14:paraId="3FB12D8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一</w:t>
            </w:r>
          </w:p>
        </w:tc>
        <w:tc>
          <w:tcPr>
            <w:tcW w:w="1194" w:type="pct"/>
            <w:noWrap w:val="0"/>
            <w:vAlign w:val="center"/>
          </w:tcPr>
          <w:p w14:paraId="52B7FCE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二</w:t>
            </w:r>
          </w:p>
        </w:tc>
      </w:tr>
      <w:tr w14:paraId="0AFF11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8" w:type="pct"/>
            <w:noWrap w:val="0"/>
            <w:vAlign w:val="center"/>
          </w:tcPr>
          <w:p w14:paraId="3E5CF58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较敏感</w:t>
            </w:r>
          </w:p>
        </w:tc>
        <w:tc>
          <w:tcPr>
            <w:tcW w:w="1136" w:type="pct"/>
            <w:noWrap w:val="0"/>
            <w:vAlign w:val="center"/>
          </w:tcPr>
          <w:p w14:paraId="005D7D4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一</w:t>
            </w:r>
          </w:p>
        </w:tc>
        <w:tc>
          <w:tcPr>
            <w:tcW w:w="1441" w:type="pct"/>
            <w:noWrap w:val="0"/>
            <w:vAlign w:val="center"/>
          </w:tcPr>
          <w:p w14:paraId="1C5B47C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二</w:t>
            </w:r>
          </w:p>
        </w:tc>
        <w:tc>
          <w:tcPr>
            <w:tcW w:w="1194" w:type="pct"/>
            <w:noWrap w:val="0"/>
            <w:vAlign w:val="center"/>
          </w:tcPr>
          <w:p w14:paraId="33A53A4D">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三</w:t>
            </w:r>
          </w:p>
        </w:tc>
      </w:tr>
      <w:tr w14:paraId="6E911F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8" w:type="pct"/>
            <w:noWrap w:val="0"/>
            <w:vAlign w:val="center"/>
          </w:tcPr>
          <w:p w14:paraId="2E45897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不敏感</w:t>
            </w:r>
          </w:p>
        </w:tc>
        <w:tc>
          <w:tcPr>
            <w:tcW w:w="1136" w:type="pct"/>
            <w:noWrap w:val="0"/>
            <w:vAlign w:val="center"/>
          </w:tcPr>
          <w:p w14:paraId="01C4482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shd w:val="clear" w:fill="7F7F7F" w:themeFill="text1" w:themeFillTint="7F"/>
              </w:rPr>
              <w:t>二</w:t>
            </w:r>
          </w:p>
        </w:tc>
        <w:tc>
          <w:tcPr>
            <w:tcW w:w="1441" w:type="pct"/>
            <w:noWrap w:val="0"/>
            <w:vAlign w:val="center"/>
          </w:tcPr>
          <w:p w14:paraId="6DC8A1E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三</w:t>
            </w:r>
          </w:p>
        </w:tc>
        <w:tc>
          <w:tcPr>
            <w:tcW w:w="1194" w:type="pct"/>
            <w:noWrap w:val="0"/>
            <w:vAlign w:val="center"/>
          </w:tcPr>
          <w:p w14:paraId="07FBBB3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shd w:val="clear"/>
              </w:rPr>
              <w:t>三</w:t>
            </w:r>
          </w:p>
        </w:tc>
      </w:tr>
    </w:tbl>
    <w:p w14:paraId="52C913D1">
      <w:pPr>
        <w:bidi w:val="0"/>
        <w:rPr>
          <w:rFonts w:hint="default"/>
          <w:highlight w:val="none"/>
          <w:u w:val="none" w:color="auto"/>
        </w:rPr>
      </w:pPr>
      <w:r>
        <w:rPr>
          <w:rFonts w:hint="default"/>
          <w:highlight w:val="none"/>
        </w:rPr>
        <w:t>本项目位于园区内，经过现场调查，项目周边居民饮用水由城市自来水厂供水；此外，项目所在区域无集中式饮用水水源（包括已建成的在用、备用、应急水源，在建和规划的饮用水水源）准保护区；无分散式饮用水水源地；无除集中式饮用水水源以外的国家或地方政府设定的与地下水环境相关的其它保护区，如热水、矿泉水、温泉等特殊地下水资源保护区等</w:t>
      </w:r>
      <w:r>
        <w:rPr>
          <w:rFonts w:hint="default"/>
          <w:highlight w:val="none"/>
          <w:u w:val="none" w:color="auto"/>
        </w:rPr>
        <w:t>，因此，本项目所在区域地下水环境敏感程度为不敏感。根据地下水评价工作等级分级表，项目地下水评价等级为二级。</w:t>
      </w:r>
    </w:p>
    <w:p w14:paraId="4BB6E144">
      <w:pPr>
        <w:ind w:left="480" w:leftChars="200" w:firstLine="0" w:firstLineChars="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2、评价范围</w:t>
      </w:r>
    </w:p>
    <w:p w14:paraId="419FA359">
      <w:pPr>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根据《环境影响评价技术导则 地下水环境》（HJ610-2016），地下水二级评价调查评价面积要求6-20k</w:t>
      </w:r>
      <w:r>
        <w:rPr>
          <w:rFonts w:hint="eastAsia" w:ascii="Times New Roman" w:hAnsi="Times New Roman" w:cs="Times New Roman"/>
          <w:highlight w:val="none"/>
          <w:u w:val="none" w:color="auto"/>
          <w:lang w:eastAsia="zh-CN"/>
        </w:rPr>
        <w:t>m</w:t>
      </w:r>
      <w:r>
        <w:rPr>
          <w:rFonts w:hint="eastAsia" w:ascii="Times New Roman" w:hAnsi="Times New Roman" w:cs="Times New Roman"/>
          <w:highlight w:val="none"/>
          <w:u w:val="none" w:color="auto"/>
          <w:vertAlign w:val="superscript"/>
          <w:lang w:eastAsia="zh-CN"/>
        </w:rPr>
        <w:t>2</w:t>
      </w:r>
      <w:r>
        <w:rPr>
          <w:rFonts w:hint="default" w:ascii="Times New Roman" w:hAnsi="Times New Roman" w:cs="Times New Roman"/>
          <w:highlight w:val="none"/>
          <w:u w:val="none" w:color="auto"/>
        </w:rPr>
        <w:t>，调查表范围超出水文地质单元边界时，应以所处水文地质单元边界为宜”。</w:t>
      </w:r>
    </w:p>
    <w:p w14:paraId="38F745CC">
      <w:pPr>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厂址所在区域为湘阴县高新区片区，项目所在区地下水流场为自东向西径流，补给湖区地下水。根据项目所在地实际情况，本项目地下水评价范围为，东至项目所在地（上游）东面1km，西至，北至</w:t>
      </w:r>
      <w:r>
        <w:rPr>
          <w:rFonts w:hint="eastAsia" w:ascii="Times New Roman" w:hAnsi="Times New Roman" w:cs="Times New Roman"/>
          <w:highlight w:val="none"/>
          <w:u w:val="none" w:color="auto"/>
          <w:lang w:val="en-US" w:eastAsia="zh-CN"/>
        </w:rPr>
        <w:t>白水江</w:t>
      </w:r>
      <w:r>
        <w:rPr>
          <w:rFonts w:hint="default" w:ascii="Times New Roman" w:hAnsi="Times New Roman" w:cs="Times New Roman"/>
          <w:highlight w:val="none"/>
          <w:u w:val="none" w:color="auto"/>
        </w:rPr>
        <w:t>，南至劈山渠，面积约</w:t>
      </w:r>
      <w:r>
        <w:rPr>
          <w:rFonts w:hint="eastAsia" w:ascii="Times New Roman" w:hAnsi="Times New Roman" w:cs="Times New Roman"/>
          <w:highlight w:val="none"/>
          <w:u w:val="none" w:color="auto"/>
          <w:lang w:val="en-US" w:eastAsia="zh-CN"/>
        </w:rPr>
        <w:t>13.6</w:t>
      </w:r>
      <w:r>
        <w:rPr>
          <w:rFonts w:hint="default" w:ascii="Times New Roman" w:hAnsi="Times New Roman" w:cs="Times New Roman"/>
          <w:highlight w:val="none"/>
          <w:u w:val="none" w:color="auto"/>
        </w:rPr>
        <w:t>k</w:t>
      </w:r>
      <w:r>
        <w:rPr>
          <w:rFonts w:hint="eastAsia" w:ascii="Times New Roman" w:hAnsi="Times New Roman" w:cs="Times New Roman"/>
          <w:highlight w:val="none"/>
          <w:u w:val="none" w:color="auto"/>
          <w:lang w:eastAsia="zh-CN"/>
        </w:rPr>
        <w:t>m</w:t>
      </w:r>
      <w:r>
        <w:rPr>
          <w:rFonts w:hint="eastAsia" w:ascii="Times New Roman" w:hAnsi="Times New Roman" w:cs="Times New Roman"/>
          <w:highlight w:val="none"/>
          <w:u w:val="none" w:color="auto"/>
          <w:vertAlign w:val="superscript"/>
          <w:lang w:eastAsia="zh-CN"/>
        </w:rPr>
        <w:t>2</w:t>
      </w:r>
      <w:r>
        <w:rPr>
          <w:rFonts w:hint="default" w:ascii="Times New Roman" w:hAnsi="Times New Roman" w:cs="Times New Roman"/>
          <w:highlight w:val="none"/>
          <w:u w:val="none" w:color="auto"/>
        </w:rPr>
        <w:t>。</w:t>
      </w:r>
    </w:p>
    <w:p w14:paraId="1378800A">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w:t>
      </w:r>
      <w:bookmarkEnd w:id="62"/>
    </w:p>
    <w:p w14:paraId="5167F27F">
      <w:pPr>
        <w:numPr>
          <w:ilvl w:val="0"/>
          <w:numId w:val="4"/>
          <w:numberingChange w:id="2" w:author="WIN-" w:date="2018-09-12T10:26:00Z" w:original="%1:1:0:、"/>
        </w:numP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评价等级</w:t>
      </w:r>
    </w:p>
    <w:p w14:paraId="1EF6DF47">
      <w:pPr>
        <w:bidi w:val="0"/>
        <w:rPr>
          <w:rFonts w:hint="default" w:ascii="Times New Roman" w:hAnsi="Times New Roman" w:cs="Times New Roman"/>
          <w:highlight w:val="none"/>
        </w:rPr>
      </w:pPr>
      <w:r>
        <w:rPr>
          <w:rFonts w:hint="default" w:ascii="Times New Roman" w:hAnsi="Times New Roman" w:cs="Times New Roman"/>
          <w:highlight w:val="none"/>
        </w:rPr>
        <w:t>本项目所在区域属工业区，根据《环境影响评价技术导则 声环境》</w:t>
      </w:r>
      <w:r>
        <w:rPr>
          <w:rFonts w:hint="default" w:ascii="Times New Roman" w:hAnsi="Times New Roman" w:cs="Times New Roman"/>
          <w:highlight w:val="none"/>
          <w:lang w:eastAsia="zh-CN"/>
        </w:rPr>
        <w:t>（</w:t>
      </w:r>
      <w:r>
        <w:rPr>
          <w:rFonts w:hint="default" w:ascii="Times New Roman" w:hAnsi="Times New Roman" w:cs="Times New Roman"/>
          <w:highlight w:val="none"/>
        </w:rPr>
        <w:t>HJ2.4-20</w:t>
      </w:r>
      <w:r>
        <w:rPr>
          <w:rFonts w:hint="default" w:ascii="Times New Roman" w:hAnsi="Times New Roman" w:cs="Times New Roman"/>
          <w:highlight w:val="none"/>
          <w:lang w:val="en-US" w:eastAsia="zh-CN"/>
        </w:rPr>
        <w:t>21</w:t>
      </w:r>
      <w:r>
        <w:rPr>
          <w:rFonts w:hint="default" w:ascii="Times New Roman" w:hAnsi="Times New Roman" w:cs="Times New Roman"/>
          <w:highlight w:val="none"/>
          <w:lang w:eastAsia="zh-CN"/>
        </w:rPr>
        <w:t>）</w:t>
      </w:r>
      <w:r>
        <w:rPr>
          <w:rFonts w:hint="default" w:ascii="Times New Roman" w:hAnsi="Times New Roman" w:cs="Times New Roman"/>
          <w:highlight w:val="none"/>
        </w:rPr>
        <w:t>，建设项目所处的声环境功能区为（GB3096-2008）规定的3类地区。各划分要素对应的噪声评价等级划分如下：</w:t>
      </w:r>
      <w:bookmarkStart w:id="63" w:name="_Toc19390"/>
      <w:bookmarkStart w:id="64" w:name="_Toc24988"/>
      <w:bookmarkStart w:id="65" w:name="_Toc7718"/>
      <w:bookmarkStart w:id="66" w:name="_Toc16080"/>
      <w:bookmarkStart w:id="67" w:name="_Toc24170"/>
    </w:p>
    <w:p w14:paraId="5E5E3582">
      <w:pPr>
        <w:pStyle w:val="39"/>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表2.</w:t>
      </w:r>
      <w:r>
        <w:rPr>
          <w:rFonts w:hint="default" w:ascii="Times New Roman" w:hAnsi="Times New Roman" w:cs="Times New Roman"/>
          <w:highlight w:val="none"/>
          <w:u w:val="none" w:color="auto"/>
          <w:lang w:val="en-US" w:eastAsia="zh-CN"/>
        </w:rPr>
        <w:t>4</w:t>
      </w:r>
      <w:r>
        <w:rPr>
          <w:rFonts w:hint="default" w:ascii="Times New Roman" w:hAnsi="Times New Roman" w:cs="Times New Roman"/>
          <w:highlight w:val="none"/>
          <w:u w:val="none" w:color="auto"/>
        </w:rPr>
        <w:t>-5  噪声评价工作等级划分</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81"/>
        <w:gridCol w:w="2870"/>
        <w:gridCol w:w="2868"/>
      </w:tblGrid>
      <w:tr w14:paraId="105C0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pct"/>
            <w:tcBorders>
              <w:tl2br w:val="nil"/>
              <w:tr2bl w:val="nil"/>
            </w:tcBorders>
            <w:noWrap w:val="0"/>
            <w:vAlign w:val="center"/>
          </w:tcPr>
          <w:p w14:paraId="4926E9BC">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划分要素</w:t>
            </w:r>
          </w:p>
        </w:tc>
        <w:tc>
          <w:tcPr>
            <w:tcW w:w="1684" w:type="pct"/>
            <w:tcBorders>
              <w:tl2br w:val="nil"/>
              <w:tr2bl w:val="nil"/>
            </w:tcBorders>
            <w:noWrap w:val="0"/>
            <w:vAlign w:val="center"/>
          </w:tcPr>
          <w:p w14:paraId="51B117A4">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划分依据</w:t>
            </w:r>
          </w:p>
        </w:tc>
        <w:tc>
          <w:tcPr>
            <w:tcW w:w="1683" w:type="pct"/>
            <w:tcBorders>
              <w:tl2br w:val="nil"/>
              <w:tr2bl w:val="nil"/>
            </w:tcBorders>
            <w:noWrap w:val="0"/>
            <w:vAlign w:val="center"/>
          </w:tcPr>
          <w:p w14:paraId="5D2CA79E">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评价等级</w:t>
            </w:r>
          </w:p>
        </w:tc>
      </w:tr>
      <w:tr w14:paraId="248D40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pct"/>
            <w:tcBorders>
              <w:tl2br w:val="nil"/>
              <w:tr2bl w:val="nil"/>
            </w:tcBorders>
            <w:noWrap w:val="0"/>
            <w:vAlign w:val="center"/>
          </w:tcPr>
          <w:p w14:paraId="2BCB4AF4">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声环境功能区划</w:t>
            </w:r>
          </w:p>
        </w:tc>
        <w:tc>
          <w:tcPr>
            <w:tcW w:w="1684" w:type="pct"/>
            <w:tcBorders>
              <w:tl2br w:val="nil"/>
              <w:tr2bl w:val="nil"/>
            </w:tcBorders>
            <w:noWrap w:val="0"/>
            <w:vAlign w:val="center"/>
          </w:tcPr>
          <w:p w14:paraId="63444878">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声环境3类功能区</w:t>
            </w:r>
          </w:p>
        </w:tc>
        <w:tc>
          <w:tcPr>
            <w:tcW w:w="1683" w:type="pct"/>
            <w:tcBorders>
              <w:tl2br w:val="nil"/>
              <w:tr2bl w:val="nil"/>
            </w:tcBorders>
            <w:noWrap w:val="0"/>
            <w:vAlign w:val="center"/>
          </w:tcPr>
          <w:p w14:paraId="1BAA7051">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三级</w:t>
            </w:r>
          </w:p>
        </w:tc>
      </w:tr>
      <w:tr w14:paraId="4779E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pct"/>
            <w:tcBorders>
              <w:tl2br w:val="nil"/>
              <w:tr2bl w:val="nil"/>
            </w:tcBorders>
            <w:noWrap w:val="0"/>
            <w:vAlign w:val="center"/>
          </w:tcPr>
          <w:p w14:paraId="0EAFAE29">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敏感点噪声级变化</w:t>
            </w:r>
          </w:p>
        </w:tc>
        <w:tc>
          <w:tcPr>
            <w:tcW w:w="1684" w:type="pct"/>
            <w:tcBorders>
              <w:tl2br w:val="nil"/>
              <w:tr2bl w:val="nil"/>
            </w:tcBorders>
            <w:noWrap w:val="0"/>
            <w:vAlign w:val="center"/>
          </w:tcPr>
          <w:p w14:paraId="443223BC">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＜3dB（A）</w:t>
            </w:r>
          </w:p>
        </w:tc>
        <w:tc>
          <w:tcPr>
            <w:tcW w:w="1683" w:type="pct"/>
            <w:tcBorders>
              <w:tl2br w:val="nil"/>
              <w:tr2bl w:val="nil"/>
            </w:tcBorders>
            <w:noWrap w:val="0"/>
            <w:vAlign w:val="center"/>
          </w:tcPr>
          <w:p w14:paraId="61A44040">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三级</w:t>
            </w:r>
          </w:p>
        </w:tc>
      </w:tr>
      <w:tr w14:paraId="02CBD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pct"/>
            <w:tcBorders>
              <w:tl2br w:val="nil"/>
              <w:tr2bl w:val="nil"/>
            </w:tcBorders>
            <w:noWrap w:val="0"/>
            <w:vAlign w:val="center"/>
          </w:tcPr>
          <w:p w14:paraId="7EC9F779">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受噪声影响人口数量</w:t>
            </w:r>
          </w:p>
        </w:tc>
        <w:tc>
          <w:tcPr>
            <w:tcW w:w="1684" w:type="pct"/>
            <w:tcBorders>
              <w:tl2br w:val="nil"/>
              <w:tr2bl w:val="nil"/>
            </w:tcBorders>
            <w:noWrap w:val="0"/>
            <w:vAlign w:val="center"/>
          </w:tcPr>
          <w:p w14:paraId="5F719DD6">
            <w:pPr>
              <w:pStyle w:val="42"/>
              <w:keepNext w:val="0"/>
              <w:keepLines w:val="0"/>
              <w:widowControl/>
              <w:suppressLineNumbers w:val="0"/>
              <w:spacing w:before="0" w:beforeAutospacing="0" w:after="0" w:afterAutospacing="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变化不大</w:t>
            </w:r>
          </w:p>
        </w:tc>
        <w:tc>
          <w:tcPr>
            <w:tcW w:w="1683" w:type="pct"/>
            <w:tcBorders>
              <w:tl2br w:val="nil"/>
              <w:tr2bl w:val="nil"/>
            </w:tcBorders>
            <w:noWrap w:val="0"/>
            <w:vAlign w:val="center"/>
          </w:tcPr>
          <w:p w14:paraId="690AE6A3">
            <w:pPr>
              <w:pStyle w:val="42"/>
              <w:keepNext w:val="0"/>
              <w:keepLines w:val="0"/>
              <w:widowControl/>
              <w:suppressLineNumbers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三级</w:t>
            </w:r>
          </w:p>
        </w:tc>
      </w:tr>
    </w:tbl>
    <w:p w14:paraId="0DC81B44">
      <w:pPr>
        <w:bidi w:val="0"/>
        <w:rPr>
          <w:rFonts w:hint="default" w:ascii="Times New Roman" w:hAnsi="Times New Roman" w:cs="Times New Roman"/>
          <w:highlight w:val="none"/>
        </w:rPr>
      </w:pPr>
      <w:r>
        <w:rPr>
          <w:rFonts w:hint="default" w:ascii="Times New Roman" w:hAnsi="Times New Roman" w:cs="Times New Roman"/>
          <w:highlight w:val="none"/>
        </w:rPr>
        <w:t>根据《环境影响评价技术导则—声环境》（HJ 2.4-20</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），声环境影响评价工作级别划分的主要依据是：区域声环境功能标准类别、区域噪声级增加和影响人口的变化情况。本工程主要声源为</w:t>
      </w:r>
      <w:r>
        <w:rPr>
          <w:rFonts w:hint="eastAsia" w:ascii="Times New Roman" w:hAnsi="Times New Roman" w:cs="Times New Roman"/>
          <w:highlight w:val="none"/>
          <w:lang w:val="en-US" w:eastAsia="zh-CN"/>
        </w:rPr>
        <w:t>风机噪声等</w:t>
      </w:r>
      <w:r>
        <w:rPr>
          <w:rFonts w:hint="default" w:ascii="Times New Roman" w:hAnsi="Times New Roman" w:cs="Times New Roman"/>
          <w:highlight w:val="none"/>
        </w:rPr>
        <w:t>。本工程所在区域为</w:t>
      </w:r>
      <w:r>
        <w:rPr>
          <w:rFonts w:hint="eastAsia" w:ascii="Times New Roman" w:hAnsi="Times New Roman" w:cs="Times New Roman"/>
          <w:highlight w:val="none"/>
          <w:lang w:val="en-US" w:eastAsia="zh-CN"/>
        </w:rPr>
        <w:t>工业园区</w:t>
      </w:r>
      <w:r>
        <w:rPr>
          <w:rFonts w:hint="default" w:ascii="Times New Roman" w:hAnsi="Times New Roman" w:cs="Times New Roman"/>
          <w:highlight w:val="none"/>
        </w:rPr>
        <w:t>，声环境现状为GB3096-2008中规定的3类声环境功能区，项目营运后周边受噪声影响的</w:t>
      </w:r>
      <w:r>
        <w:rPr>
          <w:rFonts w:hint="default" w:ascii="Times New Roman" w:hAnsi="Times New Roman" w:cs="Times New Roman"/>
          <w:highlight w:val="none"/>
          <w:lang w:val="en-US" w:eastAsia="zh-CN"/>
        </w:rPr>
        <w:t>人口数量变化不大</w:t>
      </w:r>
      <w:r>
        <w:rPr>
          <w:rFonts w:hint="default" w:ascii="Times New Roman" w:hAnsi="Times New Roman" w:cs="Times New Roman"/>
          <w:highlight w:val="none"/>
        </w:rPr>
        <w:t>，受项目影响后敏感点噪声级增高量在3dB(A)以下。因此将本工程噪声环境影响评价工作等级确定为三级。</w:t>
      </w:r>
    </w:p>
    <w:bookmarkEnd w:id="63"/>
    <w:bookmarkEnd w:id="64"/>
    <w:bookmarkEnd w:id="65"/>
    <w:bookmarkEnd w:id="66"/>
    <w:bookmarkEnd w:id="67"/>
    <w:p w14:paraId="69AF8196">
      <w:pP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2、评价范围</w:t>
      </w:r>
    </w:p>
    <w:p w14:paraId="547D4095">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本项目声环境评价范围为项目边界外200m。</w:t>
      </w:r>
    </w:p>
    <w:p w14:paraId="07BE60BC">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生态环境</w:t>
      </w:r>
    </w:p>
    <w:p w14:paraId="0B90FF20">
      <w:pP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1、评价等级</w:t>
      </w:r>
    </w:p>
    <w:p w14:paraId="2B58A7F1">
      <w:pPr>
        <w:tabs>
          <w:tab w:val="left" w:pos="615"/>
        </w:tabs>
        <w:adjustRightInd w:val="0"/>
        <w:snapToGri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环境影响评价技术导则生态影响》(HJ19-2022)6.1.8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3973F25B">
      <w:pPr>
        <w:tabs>
          <w:tab w:val="left" w:pos="615"/>
        </w:tabs>
        <w:adjustRightInd w:val="0"/>
        <w:snapToGrid w:val="0"/>
        <w:ind w:firstLine="480"/>
        <w:rPr>
          <w:rFonts w:hint="default" w:ascii="Times New Roman" w:hAnsi="Times New Roman" w:cs="Times New Roman"/>
          <w:strike w:val="0"/>
          <w:dstrike w:val="0"/>
          <w:snapToGrid w:val="0"/>
          <w:kern w:val="0"/>
          <w:highlight w:val="none"/>
          <w:u w:val="none" w:color="auto"/>
        </w:rPr>
      </w:pPr>
      <w:r>
        <w:rPr>
          <w:rFonts w:hint="default" w:ascii="Times New Roman" w:hAnsi="Times New Roman" w:cs="Times New Roman"/>
          <w:color w:val="auto"/>
          <w:highlight w:val="none"/>
          <w:u w:val="none" w:color="auto"/>
        </w:rPr>
        <w:t>本项目位于湘阴高新技术产业开发区，2020年园区管委会委托湖南葆华环保有限公司编制《湘阴高新技术产业开发区调区扩区规划环境影响报告书》，2022年6月获得湖南省生态环境厅审查意见（湘环评函[2022]65号）。本项目属于污染影响类，项目的建设符合《湘阴高新技术产业开发区调区扩区规划环境影响</w:t>
      </w:r>
      <w:r>
        <w:rPr>
          <w:rFonts w:hint="default" w:ascii="Times New Roman" w:hAnsi="Times New Roman" w:cs="Times New Roman"/>
          <w:strike w:val="0"/>
          <w:dstrike w:val="0"/>
          <w:color w:val="auto"/>
          <w:highlight w:val="none"/>
          <w:u w:val="none" w:color="auto"/>
        </w:rPr>
        <w:t>报告书》的要求，且不涉及生态敏感区。故本项目可不确定评价等级，直接进行生态影响简单分析。</w:t>
      </w:r>
    </w:p>
    <w:p w14:paraId="2669F9E1">
      <w:pPr>
        <w:pStyle w:val="6"/>
        <w:rPr>
          <w:rFonts w:hint="default" w:ascii="Times New Roman" w:hAnsi="Times New Roman" w:cs="Times New Roman"/>
          <w:strike w:val="0"/>
          <w:dstrike w:val="0"/>
          <w:color w:val="auto"/>
          <w:highlight w:val="none"/>
          <w:u w:val="none" w:color="auto"/>
        </w:rPr>
      </w:pPr>
      <w:r>
        <w:rPr>
          <w:rFonts w:hint="default" w:ascii="Times New Roman" w:hAnsi="Times New Roman" w:cs="Times New Roman"/>
          <w:strike w:val="0"/>
          <w:dstrike w:val="0"/>
          <w:color w:val="auto"/>
          <w:highlight w:val="none"/>
          <w:u w:val="none" w:color="auto"/>
        </w:rPr>
        <w:t>土壤环境</w:t>
      </w:r>
    </w:p>
    <w:p w14:paraId="51DE0B51">
      <w:pPr>
        <w:ind w:firstLine="482"/>
        <w:rPr>
          <w:rFonts w:hint="default" w:ascii="Times New Roman" w:hAnsi="Times New Roman" w:cs="Times New Roman"/>
          <w:b/>
          <w:bCs/>
          <w:strike w:val="0"/>
          <w:dstrike w:val="0"/>
          <w:color w:val="auto"/>
          <w:highlight w:val="none"/>
          <w:u w:val="none" w:color="auto"/>
        </w:rPr>
      </w:pPr>
      <w:r>
        <w:rPr>
          <w:rFonts w:hint="default" w:ascii="Times New Roman" w:hAnsi="Times New Roman" w:cs="Times New Roman"/>
          <w:b/>
          <w:bCs/>
          <w:strike w:val="0"/>
          <w:dstrike w:val="0"/>
          <w:color w:val="auto"/>
          <w:highlight w:val="none"/>
          <w:u w:val="none" w:color="auto"/>
        </w:rPr>
        <w:t>（1）土壤环境评价等级</w:t>
      </w:r>
    </w:p>
    <w:p w14:paraId="4CD99F2F">
      <w:pPr>
        <w:ind w:firstLine="480"/>
        <w:rPr>
          <w:rFonts w:hint="default" w:ascii="Times New Roman" w:hAnsi="Times New Roman" w:cs="Times New Roman"/>
          <w:strike w:val="0"/>
          <w:dstrike w:val="0"/>
          <w:color w:val="auto"/>
          <w:szCs w:val="21"/>
          <w:highlight w:val="none"/>
          <w:u w:val="none" w:color="auto"/>
          <w:lang w:bidi="ar"/>
        </w:rPr>
      </w:pPr>
      <w:r>
        <w:rPr>
          <w:rFonts w:hint="default" w:ascii="Times New Roman" w:hAnsi="Times New Roman" w:cs="Times New Roman"/>
          <w:strike w:val="0"/>
          <w:dstrike w:val="0"/>
          <w:color w:val="auto"/>
          <w:szCs w:val="21"/>
          <w:highlight w:val="none"/>
          <w:u w:val="none" w:color="auto"/>
          <w:lang w:bidi="ar"/>
        </w:rPr>
        <w:t>根据《环境影响评价技术导则</w:t>
      </w:r>
      <w:r>
        <w:rPr>
          <w:rFonts w:hint="default" w:ascii="Times New Roman" w:hAnsi="Times New Roman" w:cs="Times New Roman"/>
          <w:strike w:val="0"/>
          <w:dstrike w:val="0"/>
          <w:color w:val="auto"/>
          <w:szCs w:val="21"/>
          <w:highlight w:val="none"/>
          <w:u w:val="none" w:color="auto"/>
          <w:lang w:eastAsia="zh-CN" w:bidi="ar"/>
        </w:rPr>
        <w:t>－</w:t>
      </w:r>
      <w:r>
        <w:rPr>
          <w:rFonts w:hint="default" w:ascii="Times New Roman" w:hAnsi="Times New Roman" w:cs="Times New Roman"/>
          <w:strike w:val="0"/>
          <w:dstrike w:val="0"/>
          <w:color w:val="auto"/>
          <w:szCs w:val="21"/>
          <w:highlight w:val="none"/>
          <w:u w:val="none" w:color="auto"/>
          <w:lang w:bidi="ar"/>
        </w:rPr>
        <w:t>土壤环境》（HJ964-2018）中规定的建设项目所属行业的土壤环境影响评价项目类别、占地规模、土壤环境敏感程度划分评价工作等级。</w:t>
      </w:r>
    </w:p>
    <w:p w14:paraId="25179741">
      <w:pPr>
        <w:keepNext w:val="0"/>
        <w:keepLines w:val="0"/>
        <w:widowControl/>
        <w:suppressLineNumbers w:val="0"/>
        <w:jc w:val="left"/>
        <w:rPr>
          <w:rFonts w:hint="default" w:ascii="Times New Roman" w:hAnsi="Times New Roman" w:cs="Times New Roman"/>
          <w:strike w:val="0"/>
          <w:dstrike w:val="0"/>
          <w:color w:val="auto"/>
          <w:szCs w:val="21"/>
          <w:highlight w:val="none"/>
          <w:u w:val="none" w:color="auto"/>
          <w:lang w:bidi="ar"/>
        </w:rPr>
      </w:pPr>
      <w:r>
        <w:rPr>
          <w:rFonts w:hint="default" w:ascii="Times New Roman" w:hAnsi="Times New Roman" w:cs="Times New Roman"/>
          <w:strike w:val="0"/>
          <w:dstrike w:val="0"/>
          <w:color w:val="auto"/>
          <w:szCs w:val="21"/>
          <w:highlight w:val="none"/>
          <w:u w:val="none" w:color="auto"/>
          <w:lang w:bidi="ar"/>
        </w:rPr>
        <w:t>本项目属于《环境影响评价技术导则 土壤环境》（HJ964-2018）附录A中的</w:t>
      </w:r>
      <w:r>
        <w:rPr>
          <w:rFonts w:hint="default" w:ascii="Times New Roman" w:hAnsi="Times New Roman" w:eastAsia="宋体" w:cs="Times New Roman"/>
          <w:strike w:val="0"/>
          <w:dstrike w:val="0"/>
          <w:color w:val="000000"/>
          <w:kern w:val="0"/>
          <w:sz w:val="24"/>
          <w:szCs w:val="24"/>
          <w:highlight w:val="none"/>
          <w:u w:val="none" w:color="auto"/>
          <w:lang w:val="en-US" w:eastAsia="zh-CN" w:bidi="ar"/>
        </w:rPr>
        <w:t>Ⅱ</w:t>
      </w:r>
      <w:r>
        <w:rPr>
          <w:rFonts w:hint="default" w:ascii="Times New Roman" w:hAnsi="Times New Roman" w:cs="Times New Roman"/>
          <w:strike w:val="0"/>
          <w:dstrike w:val="0"/>
          <w:color w:val="auto"/>
          <w:szCs w:val="21"/>
          <w:highlight w:val="none"/>
          <w:u w:val="none" w:color="auto"/>
          <w:lang w:bidi="ar"/>
        </w:rPr>
        <w:t>类项目。</w:t>
      </w:r>
    </w:p>
    <w:p w14:paraId="658A3CDA">
      <w:pPr>
        <w:ind w:firstLine="480"/>
        <w:rPr>
          <w:rFonts w:hint="default" w:ascii="Times New Roman" w:hAnsi="Times New Roman" w:cs="Times New Roman"/>
          <w:strike w:val="0"/>
          <w:dstrike w:val="0"/>
          <w:color w:val="auto"/>
          <w:szCs w:val="21"/>
          <w:highlight w:val="none"/>
          <w:u w:val="none" w:color="auto"/>
          <w:lang w:bidi="ar"/>
        </w:rPr>
      </w:pPr>
      <w:r>
        <w:rPr>
          <w:rFonts w:hint="default" w:ascii="Times New Roman" w:hAnsi="Times New Roman" w:cs="Times New Roman"/>
          <w:strike w:val="0"/>
          <w:dstrike w:val="0"/>
          <w:color w:val="auto"/>
          <w:szCs w:val="21"/>
          <w:highlight w:val="none"/>
          <w:u w:val="none" w:color="auto"/>
          <w:lang w:bidi="ar"/>
        </w:rPr>
        <w:t>根据《环境影响评价技术导则 土壤环境》（HJ964-2018）将建设项目占地规模分为大型（≥50h</w:t>
      </w:r>
      <w:r>
        <w:rPr>
          <w:rFonts w:hint="eastAsia" w:ascii="Times New Roman" w:hAnsi="Times New Roman" w:cs="Times New Roman"/>
          <w:strike w:val="0"/>
          <w:dstrike w:val="0"/>
          <w:color w:val="auto"/>
          <w:szCs w:val="21"/>
          <w:highlight w:val="none"/>
          <w:u w:val="none" w:color="auto"/>
          <w:lang w:eastAsia="zh-CN" w:bidi="ar"/>
        </w:rPr>
        <w:t>m</w:t>
      </w:r>
      <w:r>
        <w:rPr>
          <w:rFonts w:hint="eastAsia" w:ascii="Times New Roman" w:hAnsi="Times New Roman" w:cs="Times New Roman"/>
          <w:strike w:val="0"/>
          <w:dstrike w:val="0"/>
          <w:color w:val="auto"/>
          <w:szCs w:val="21"/>
          <w:highlight w:val="none"/>
          <w:u w:val="none" w:color="auto"/>
          <w:vertAlign w:val="superscript"/>
          <w:lang w:eastAsia="zh-CN" w:bidi="ar"/>
        </w:rPr>
        <w:t>2</w:t>
      </w:r>
      <w:r>
        <w:rPr>
          <w:rFonts w:hint="default" w:ascii="Times New Roman" w:hAnsi="Times New Roman" w:cs="Times New Roman"/>
          <w:strike w:val="0"/>
          <w:dstrike w:val="0"/>
          <w:color w:val="auto"/>
          <w:szCs w:val="21"/>
          <w:highlight w:val="none"/>
          <w:u w:val="none" w:color="auto"/>
          <w:lang w:bidi="ar"/>
        </w:rPr>
        <w:t>）、中型（5-50h</w:t>
      </w:r>
      <w:r>
        <w:rPr>
          <w:rFonts w:hint="eastAsia" w:ascii="Times New Roman" w:hAnsi="Times New Roman" w:cs="Times New Roman"/>
          <w:strike w:val="0"/>
          <w:dstrike w:val="0"/>
          <w:color w:val="auto"/>
          <w:szCs w:val="21"/>
          <w:highlight w:val="none"/>
          <w:u w:val="none" w:color="auto"/>
          <w:lang w:eastAsia="zh-CN" w:bidi="ar"/>
        </w:rPr>
        <w:t>m</w:t>
      </w:r>
      <w:r>
        <w:rPr>
          <w:rFonts w:hint="eastAsia" w:ascii="Times New Roman" w:hAnsi="Times New Roman" w:cs="Times New Roman"/>
          <w:strike w:val="0"/>
          <w:dstrike w:val="0"/>
          <w:color w:val="auto"/>
          <w:szCs w:val="21"/>
          <w:highlight w:val="none"/>
          <w:u w:val="none" w:color="auto"/>
          <w:vertAlign w:val="superscript"/>
          <w:lang w:eastAsia="zh-CN" w:bidi="ar"/>
        </w:rPr>
        <w:t>2</w:t>
      </w:r>
      <w:r>
        <w:rPr>
          <w:rFonts w:hint="default" w:ascii="Times New Roman" w:hAnsi="Times New Roman" w:cs="Times New Roman"/>
          <w:strike w:val="0"/>
          <w:dstrike w:val="0"/>
          <w:color w:val="auto"/>
          <w:szCs w:val="21"/>
          <w:highlight w:val="none"/>
          <w:u w:val="none" w:color="auto"/>
          <w:lang w:bidi="ar"/>
        </w:rPr>
        <w:t>）、小型（≤5h</w:t>
      </w:r>
      <w:r>
        <w:rPr>
          <w:rFonts w:hint="eastAsia" w:ascii="Times New Roman" w:hAnsi="Times New Roman" w:cs="Times New Roman"/>
          <w:strike w:val="0"/>
          <w:dstrike w:val="0"/>
          <w:color w:val="auto"/>
          <w:szCs w:val="21"/>
          <w:highlight w:val="none"/>
          <w:u w:val="none" w:color="auto"/>
          <w:lang w:eastAsia="zh-CN" w:bidi="ar"/>
        </w:rPr>
        <w:t>m</w:t>
      </w:r>
      <w:r>
        <w:rPr>
          <w:rFonts w:hint="eastAsia" w:ascii="Times New Roman" w:hAnsi="Times New Roman" w:cs="Times New Roman"/>
          <w:strike w:val="0"/>
          <w:dstrike w:val="0"/>
          <w:color w:val="auto"/>
          <w:szCs w:val="21"/>
          <w:highlight w:val="none"/>
          <w:u w:val="none" w:color="auto"/>
          <w:vertAlign w:val="superscript"/>
          <w:lang w:eastAsia="zh-CN" w:bidi="ar"/>
        </w:rPr>
        <w:t>2</w:t>
      </w:r>
      <w:r>
        <w:rPr>
          <w:rFonts w:hint="default" w:ascii="Times New Roman" w:hAnsi="Times New Roman" w:cs="Times New Roman"/>
          <w:strike w:val="0"/>
          <w:dstrike w:val="0"/>
          <w:color w:val="auto"/>
          <w:szCs w:val="21"/>
          <w:highlight w:val="none"/>
          <w:u w:val="none" w:color="auto"/>
          <w:lang w:bidi="ar"/>
        </w:rPr>
        <w:t>）</w:t>
      </w:r>
      <w:r>
        <w:rPr>
          <w:rFonts w:hint="default" w:ascii="Times New Roman" w:hAnsi="Times New Roman" w:cs="Times New Roman"/>
          <w:strike w:val="0"/>
          <w:dstrike w:val="0"/>
          <w:color w:val="auto"/>
          <w:szCs w:val="21"/>
          <w:highlight w:val="none"/>
          <w:u w:val="none" w:color="auto"/>
          <w:lang w:eastAsia="zh-CN" w:bidi="ar"/>
        </w:rPr>
        <w:t>，</w:t>
      </w:r>
      <w:r>
        <w:rPr>
          <w:rFonts w:hint="default" w:ascii="Times New Roman" w:hAnsi="Times New Roman" w:cs="Times New Roman"/>
          <w:strike w:val="0"/>
          <w:dstrike w:val="0"/>
          <w:color w:val="auto"/>
          <w:szCs w:val="21"/>
          <w:highlight w:val="none"/>
          <w:u w:val="none" w:color="auto"/>
          <w:lang w:bidi="ar"/>
        </w:rPr>
        <w:t>建设项目占地主要为永久占地。本项目永久占地面积为</w:t>
      </w:r>
      <w:r>
        <w:rPr>
          <w:rFonts w:hint="eastAsia" w:ascii="Times New Roman" w:hAnsi="Times New Roman" w:cs="Times New Roman"/>
          <w:strike w:val="0"/>
          <w:dstrike w:val="0"/>
          <w:color w:val="auto"/>
          <w:szCs w:val="21"/>
          <w:highlight w:val="none"/>
          <w:u w:val="none" w:color="auto"/>
          <w:lang w:val="en-US" w:eastAsia="zh-CN" w:bidi="ar"/>
        </w:rPr>
        <w:t>1080</w:t>
      </w:r>
      <w:r>
        <w:rPr>
          <w:rFonts w:hint="eastAsia" w:ascii="Times New Roman" w:hAnsi="Times New Roman" w:cs="Times New Roman"/>
          <w:strike w:val="0"/>
          <w:dstrike w:val="0"/>
          <w:color w:val="auto"/>
          <w:szCs w:val="21"/>
          <w:highlight w:val="none"/>
          <w:u w:val="none" w:color="auto"/>
          <w:lang w:eastAsia="zh-CN" w:bidi="ar"/>
        </w:rPr>
        <w:t>m</w:t>
      </w:r>
      <w:r>
        <w:rPr>
          <w:rFonts w:hint="eastAsia" w:ascii="Times New Roman" w:hAnsi="Times New Roman" w:cs="Times New Roman"/>
          <w:strike w:val="0"/>
          <w:dstrike w:val="0"/>
          <w:color w:val="auto"/>
          <w:szCs w:val="21"/>
          <w:highlight w:val="none"/>
          <w:u w:val="none" w:color="auto"/>
          <w:vertAlign w:val="superscript"/>
          <w:lang w:eastAsia="zh-CN" w:bidi="ar"/>
        </w:rPr>
        <w:t>2</w:t>
      </w:r>
      <w:r>
        <w:rPr>
          <w:rFonts w:hint="default" w:ascii="Times New Roman" w:hAnsi="Times New Roman" w:cs="Times New Roman"/>
          <w:strike w:val="0"/>
          <w:dstrike w:val="0"/>
          <w:color w:val="auto"/>
          <w:szCs w:val="21"/>
          <w:highlight w:val="none"/>
          <w:u w:val="none" w:color="auto"/>
          <w:lang w:eastAsia="zh-CN" w:bidi="ar"/>
        </w:rPr>
        <w:t>，</w:t>
      </w:r>
      <w:r>
        <w:rPr>
          <w:rFonts w:hint="default" w:ascii="Times New Roman" w:hAnsi="Times New Roman" w:cs="Times New Roman"/>
          <w:strike w:val="0"/>
          <w:dstrike w:val="0"/>
          <w:color w:val="auto"/>
          <w:szCs w:val="21"/>
          <w:highlight w:val="none"/>
          <w:u w:val="none" w:color="auto"/>
          <w:lang w:bidi="ar"/>
        </w:rPr>
        <w:t>占地规模属于</w:t>
      </w:r>
      <w:r>
        <w:rPr>
          <w:rFonts w:hint="eastAsia" w:ascii="Times New Roman" w:hAnsi="Times New Roman" w:cs="Times New Roman"/>
          <w:strike w:val="0"/>
          <w:dstrike w:val="0"/>
          <w:color w:val="auto"/>
          <w:szCs w:val="21"/>
          <w:highlight w:val="none"/>
          <w:u w:val="none" w:color="auto"/>
          <w:lang w:val="en-US" w:eastAsia="zh-CN" w:bidi="ar"/>
        </w:rPr>
        <w:t>小</w:t>
      </w:r>
      <w:r>
        <w:rPr>
          <w:rFonts w:hint="default" w:ascii="Times New Roman" w:hAnsi="Times New Roman" w:cs="Times New Roman"/>
          <w:strike w:val="0"/>
          <w:dstrike w:val="0"/>
          <w:color w:val="auto"/>
          <w:szCs w:val="21"/>
          <w:highlight w:val="none"/>
          <w:u w:val="none" w:color="auto"/>
          <w:lang w:val="en-US" w:eastAsia="zh-CN" w:bidi="ar"/>
        </w:rPr>
        <w:t>型</w:t>
      </w:r>
      <w:r>
        <w:rPr>
          <w:rFonts w:hint="default" w:ascii="Times New Roman" w:hAnsi="Times New Roman" w:cs="Times New Roman"/>
          <w:strike w:val="0"/>
          <w:dstrike w:val="0"/>
          <w:color w:val="auto"/>
          <w:szCs w:val="21"/>
          <w:highlight w:val="none"/>
          <w:u w:val="none" w:color="auto"/>
          <w:lang w:bidi="ar"/>
        </w:rPr>
        <w:t>。</w:t>
      </w:r>
    </w:p>
    <w:p w14:paraId="5BA1F4EB">
      <w:pPr>
        <w:widowControl/>
        <w:ind w:firstLine="480"/>
        <w:jc w:val="left"/>
        <w:rPr>
          <w:rFonts w:hint="default" w:ascii="Times New Roman" w:hAnsi="Times New Roman" w:cs="Times New Roman"/>
          <w:strike w:val="0"/>
          <w:dstrike w:val="0"/>
          <w:color w:val="auto"/>
          <w:highlight w:val="none"/>
          <w:u w:val="none" w:color="auto"/>
          <w:lang w:bidi="ar"/>
        </w:rPr>
      </w:pPr>
      <w:r>
        <w:rPr>
          <w:rFonts w:hint="default" w:ascii="Times New Roman" w:hAnsi="Times New Roman" w:cs="Times New Roman"/>
          <w:strike w:val="0"/>
          <w:dstrike w:val="0"/>
          <w:color w:val="auto"/>
          <w:highlight w:val="none"/>
          <w:u w:val="none" w:color="auto"/>
          <w:lang w:bidi="ar"/>
        </w:rPr>
        <w:t>建设项目所在地周边的土壤环境敏感程度判别依据见表2.4-</w:t>
      </w:r>
      <w:r>
        <w:rPr>
          <w:rFonts w:hint="default" w:ascii="Times New Roman" w:hAnsi="Times New Roman" w:cs="Times New Roman"/>
          <w:strike w:val="0"/>
          <w:dstrike w:val="0"/>
          <w:color w:val="auto"/>
          <w:highlight w:val="none"/>
          <w:u w:val="none" w:color="auto"/>
          <w:lang w:val="en-US" w:eastAsia="zh-CN" w:bidi="ar"/>
        </w:rPr>
        <w:t>6</w:t>
      </w:r>
      <w:r>
        <w:rPr>
          <w:rFonts w:hint="default" w:ascii="Times New Roman" w:hAnsi="Times New Roman" w:cs="Times New Roman"/>
          <w:strike w:val="0"/>
          <w:dstrike w:val="0"/>
          <w:color w:val="auto"/>
          <w:highlight w:val="none"/>
          <w:u w:val="none" w:color="auto"/>
          <w:lang w:bidi="ar"/>
        </w:rPr>
        <w:t>。</w:t>
      </w:r>
    </w:p>
    <w:p w14:paraId="023A2708">
      <w:pPr>
        <w:pStyle w:val="39"/>
        <w:rPr>
          <w:rFonts w:hint="default" w:ascii="Times New Roman" w:hAnsi="Times New Roman" w:cs="Times New Roman"/>
          <w:strike w:val="0"/>
          <w:dstrike w:val="0"/>
          <w:color w:val="auto"/>
          <w:highlight w:val="none"/>
          <w:u w:val="none" w:color="auto"/>
        </w:rPr>
      </w:pPr>
      <w:r>
        <w:rPr>
          <w:rFonts w:hint="default" w:ascii="Times New Roman" w:hAnsi="Times New Roman" w:cs="Times New Roman"/>
          <w:strike w:val="0"/>
          <w:dstrike w:val="0"/>
          <w:color w:val="auto"/>
          <w:highlight w:val="none"/>
          <w:u w:val="none" w:color="auto"/>
        </w:rPr>
        <w:t>表2.4-</w:t>
      </w:r>
      <w:r>
        <w:rPr>
          <w:rFonts w:hint="default" w:ascii="Times New Roman" w:hAnsi="Times New Roman" w:cs="Times New Roman"/>
          <w:strike w:val="0"/>
          <w:dstrike w:val="0"/>
          <w:color w:val="auto"/>
          <w:highlight w:val="none"/>
          <w:u w:val="none" w:color="auto"/>
          <w:lang w:val="en-US" w:eastAsia="zh-CN"/>
        </w:rPr>
        <w:t>6</w:t>
      </w:r>
      <w:r>
        <w:rPr>
          <w:rFonts w:hint="default" w:ascii="Times New Roman" w:hAnsi="Times New Roman" w:cs="Times New Roman"/>
          <w:strike w:val="0"/>
          <w:dstrike w:val="0"/>
          <w:color w:val="auto"/>
          <w:highlight w:val="none"/>
          <w:u w:val="none" w:color="auto"/>
        </w:rPr>
        <w:t xml:space="preserve"> 污染影响型项目敏感程度分级表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7348"/>
      </w:tblGrid>
      <w:tr w14:paraId="27864B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noWrap w:val="0"/>
            <w:vAlign w:val="center"/>
          </w:tcPr>
          <w:p w14:paraId="5BC9F7DD">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敏感程度</w:t>
            </w:r>
          </w:p>
        </w:tc>
        <w:tc>
          <w:tcPr>
            <w:tcW w:w="4311" w:type="pct"/>
            <w:noWrap w:val="0"/>
            <w:vAlign w:val="center"/>
          </w:tcPr>
          <w:p w14:paraId="0264CA27">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判别依据</w:t>
            </w:r>
          </w:p>
        </w:tc>
      </w:tr>
      <w:tr w14:paraId="4CACB5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noWrap w:val="0"/>
            <w:vAlign w:val="center"/>
          </w:tcPr>
          <w:p w14:paraId="6D974AC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敏感</w:t>
            </w:r>
          </w:p>
        </w:tc>
        <w:tc>
          <w:tcPr>
            <w:tcW w:w="4311" w:type="pct"/>
            <w:noWrap w:val="0"/>
            <w:vAlign w:val="center"/>
          </w:tcPr>
          <w:p w14:paraId="7D849BD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建设项目周边存在耕地、园地、牧草地、饮用水源地或居民区、学校、医院、疗养院等土壤环境敏感目标的</w:t>
            </w:r>
          </w:p>
        </w:tc>
      </w:tr>
      <w:tr w14:paraId="4BCDB4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688" w:type="pct"/>
            <w:noWrap w:val="0"/>
            <w:vAlign w:val="center"/>
          </w:tcPr>
          <w:p w14:paraId="6F0FF99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较敏感</w:t>
            </w:r>
          </w:p>
        </w:tc>
        <w:tc>
          <w:tcPr>
            <w:tcW w:w="4311" w:type="pct"/>
            <w:noWrap w:val="0"/>
            <w:vAlign w:val="center"/>
          </w:tcPr>
          <w:p w14:paraId="5019298A">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建设项目周边存在其他土壤环境敏感目标的</w:t>
            </w:r>
          </w:p>
        </w:tc>
      </w:tr>
      <w:tr w14:paraId="33F260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noWrap w:val="0"/>
            <w:vAlign w:val="center"/>
          </w:tcPr>
          <w:p w14:paraId="7700AA9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不敏感</w:t>
            </w:r>
          </w:p>
        </w:tc>
        <w:tc>
          <w:tcPr>
            <w:tcW w:w="4311" w:type="pct"/>
            <w:noWrap w:val="0"/>
            <w:vAlign w:val="center"/>
          </w:tcPr>
          <w:p w14:paraId="4A4112A5">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其他情况</w:t>
            </w:r>
          </w:p>
        </w:tc>
      </w:tr>
    </w:tbl>
    <w:p w14:paraId="457FF8C4">
      <w:pPr>
        <w:ind w:firstLine="480"/>
        <w:rPr>
          <w:rFonts w:hint="default" w:ascii="Times New Roman" w:hAnsi="Times New Roman" w:cs="Times New Roman"/>
          <w:strike w:val="0"/>
          <w:dstrike w:val="0"/>
          <w:color w:val="auto"/>
          <w:szCs w:val="21"/>
          <w:highlight w:val="none"/>
          <w:u w:val="none" w:color="auto"/>
          <w:lang w:bidi="ar"/>
        </w:rPr>
      </w:pPr>
      <w:r>
        <w:rPr>
          <w:rFonts w:hint="default" w:ascii="Times New Roman" w:hAnsi="Times New Roman" w:cs="Times New Roman"/>
          <w:strike w:val="0"/>
          <w:dstrike w:val="0"/>
          <w:color w:val="auto"/>
          <w:szCs w:val="21"/>
          <w:highlight w:val="none"/>
          <w:u w:val="none" w:color="auto"/>
          <w:lang w:bidi="ar"/>
        </w:rPr>
        <w:t>根据表2.4-</w:t>
      </w:r>
      <w:r>
        <w:rPr>
          <w:rFonts w:hint="default" w:ascii="Times New Roman" w:hAnsi="Times New Roman" w:cs="Times New Roman"/>
          <w:strike w:val="0"/>
          <w:dstrike w:val="0"/>
          <w:color w:val="auto"/>
          <w:szCs w:val="21"/>
          <w:highlight w:val="none"/>
          <w:u w:val="none" w:color="auto"/>
          <w:lang w:val="en-US" w:eastAsia="zh-CN" w:bidi="ar"/>
        </w:rPr>
        <w:t>6</w:t>
      </w:r>
      <w:r>
        <w:rPr>
          <w:rFonts w:hint="default" w:ascii="Times New Roman" w:hAnsi="Times New Roman" w:cs="Times New Roman"/>
          <w:strike w:val="0"/>
          <w:dstrike w:val="0"/>
          <w:color w:val="auto"/>
          <w:szCs w:val="21"/>
          <w:highlight w:val="none"/>
          <w:u w:val="none" w:color="auto"/>
          <w:lang w:eastAsia="zh-CN" w:bidi="ar"/>
        </w:rPr>
        <w:t>，</w:t>
      </w:r>
      <w:r>
        <w:rPr>
          <w:rFonts w:hint="eastAsia" w:ascii="Times New Roman" w:hAnsi="Times New Roman" w:cs="Times New Roman"/>
          <w:strike w:val="0"/>
          <w:dstrike w:val="0"/>
          <w:color w:val="auto"/>
          <w:szCs w:val="21"/>
          <w:highlight w:val="none"/>
          <w:u w:val="none" w:color="auto"/>
          <w:lang w:val="en-US" w:eastAsia="zh-CN" w:bidi="ar"/>
        </w:rPr>
        <w:t>项目周边200m范围内无耕地、园地、牧草地、饮用水水源地、居民区、学校、疗养院、养老院等土壤环境敏感目标</w:t>
      </w:r>
      <w:r>
        <w:rPr>
          <w:rFonts w:hint="default" w:ascii="Times New Roman" w:hAnsi="Times New Roman" w:cs="Times New Roman"/>
          <w:strike w:val="0"/>
          <w:dstrike w:val="0"/>
          <w:color w:val="auto"/>
          <w:szCs w:val="21"/>
          <w:highlight w:val="none"/>
          <w:u w:val="none" w:color="auto"/>
          <w:lang w:eastAsia="zh-CN" w:bidi="ar"/>
        </w:rPr>
        <w:t>，</w:t>
      </w:r>
      <w:r>
        <w:rPr>
          <w:rFonts w:hint="eastAsia" w:ascii="Times New Roman" w:hAnsi="Times New Roman" w:cs="Times New Roman"/>
          <w:strike w:val="0"/>
          <w:dstrike w:val="0"/>
          <w:color w:val="auto"/>
          <w:szCs w:val="21"/>
          <w:highlight w:val="none"/>
          <w:u w:val="none" w:color="auto"/>
          <w:lang w:val="en-US" w:eastAsia="zh-CN" w:bidi="ar"/>
        </w:rPr>
        <w:t>但是周边目前有林地，</w:t>
      </w:r>
      <w:r>
        <w:rPr>
          <w:rFonts w:hint="default" w:ascii="Times New Roman" w:hAnsi="Times New Roman" w:cs="Times New Roman"/>
          <w:strike w:val="0"/>
          <w:dstrike w:val="0"/>
          <w:color w:val="auto"/>
          <w:szCs w:val="21"/>
          <w:highlight w:val="none"/>
          <w:u w:val="none" w:color="auto"/>
          <w:lang w:bidi="ar"/>
        </w:rPr>
        <w:t>故本项目土壤敏感程度为</w:t>
      </w:r>
      <w:r>
        <w:rPr>
          <w:rFonts w:hint="eastAsia" w:ascii="Times New Roman" w:hAnsi="Times New Roman" w:cs="Times New Roman"/>
          <w:strike w:val="0"/>
          <w:dstrike w:val="0"/>
          <w:color w:val="auto"/>
          <w:szCs w:val="21"/>
          <w:highlight w:val="none"/>
          <w:u w:val="none" w:color="auto"/>
          <w:lang w:val="en-US" w:eastAsia="zh-CN" w:bidi="ar"/>
        </w:rPr>
        <w:t>较</w:t>
      </w:r>
      <w:r>
        <w:rPr>
          <w:rFonts w:hint="default" w:ascii="Times New Roman" w:hAnsi="Times New Roman" w:cs="Times New Roman"/>
          <w:strike w:val="0"/>
          <w:dstrike w:val="0"/>
          <w:color w:val="auto"/>
          <w:szCs w:val="21"/>
          <w:highlight w:val="none"/>
          <w:u w:val="none" w:color="auto"/>
          <w:lang w:bidi="ar"/>
        </w:rPr>
        <w:t>敏感。</w:t>
      </w:r>
    </w:p>
    <w:p w14:paraId="5299D8C1">
      <w:pPr>
        <w:ind w:firstLine="480"/>
        <w:rPr>
          <w:rFonts w:hint="default" w:ascii="Times New Roman" w:hAnsi="Times New Roman" w:cs="Times New Roman"/>
          <w:strike w:val="0"/>
          <w:dstrike w:val="0"/>
          <w:color w:val="auto"/>
          <w:szCs w:val="21"/>
          <w:highlight w:val="none"/>
          <w:u w:val="none" w:color="auto"/>
          <w:lang w:bidi="ar"/>
        </w:rPr>
      </w:pPr>
      <w:r>
        <w:rPr>
          <w:rFonts w:hint="default" w:ascii="Times New Roman" w:hAnsi="Times New Roman" w:cs="Times New Roman"/>
          <w:strike w:val="0"/>
          <w:dstrike w:val="0"/>
          <w:color w:val="auto"/>
          <w:szCs w:val="21"/>
          <w:highlight w:val="none"/>
          <w:u w:val="none" w:color="auto"/>
          <w:lang w:bidi="ar"/>
        </w:rPr>
        <w:t>根据土壤环境影响评价项目类别、占地规模与敏感程度划分评价工作等级</w:t>
      </w:r>
      <w:r>
        <w:rPr>
          <w:rFonts w:hint="default" w:ascii="Times New Roman" w:hAnsi="Times New Roman" w:cs="Times New Roman"/>
          <w:strike w:val="0"/>
          <w:dstrike w:val="0"/>
          <w:color w:val="auto"/>
          <w:szCs w:val="21"/>
          <w:highlight w:val="none"/>
          <w:u w:val="none" w:color="auto"/>
          <w:lang w:eastAsia="zh-CN" w:bidi="ar"/>
        </w:rPr>
        <w:t>，</w:t>
      </w:r>
      <w:r>
        <w:rPr>
          <w:rFonts w:hint="default" w:ascii="Times New Roman" w:hAnsi="Times New Roman" w:cs="Times New Roman"/>
          <w:strike w:val="0"/>
          <w:dstrike w:val="0"/>
          <w:color w:val="auto"/>
          <w:szCs w:val="21"/>
          <w:highlight w:val="none"/>
          <w:u w:val="none" w:color="auto"/>
          <w:lang w:bidi="ar"/>
        </w:rPr>
        <w:t>详见表2.4-</w:t>
      </w:r>
      <w:r>
        <w:rPr>
          <w:rFonts w:hint="default" w:ascii="Times New Roman" w:hAnsi="Times New Roman" w:cs="Times New Roman"/>
          <w:strike w:val="0"/>
          <w:dstrike w:val="0"/>
          <w:color w:val="auto"/>
          <w:szCs w:val="21"/>
          <w:highlight w:val="none"/>
          <w:u w:val="none" w:color="auto"/>
          <w:lang w:val="en-US" w:eastAsia="zh-CN" w:bidi="ar"/>
        </w:rPr>
        <w:t>7</w:t>
      </w:r>
      <w:r>
        <w:rPr>
          <w:rFonts w:hint="default" w:ascii="Times New Roman" w:hAnsi="Times New Roman" w:cs="Times New Roman"/>
          <w:strike w:val="0"/>
          <w:dstrike w:val="0"/>
          <w:color w:val="auto"/>
          <w:szCs w:val="21"/>
          <w:highlight w:val="none"/>
          <w:u w:val="none" w:color="auto"/>
          <w:lang w:bidi="ar"/>
        </w:rPr>
        <w:t>。</w:t>
      </w:r>
    </w:p>
    <w:p w14:paraId="0351EFC7">
      <w:pPr>
        <w:pStyle w:val="39"/>
        <w:rPr>
          <w:rFonts w:hint="default" w:ascii="Times New Roman" w:hAnsi="Times New Roman" w:cs="Times New Roman"/>
          <w:strike w:val="0"/>
          <w:dstrike w:val="0"/>
          <w:color w:val="auto"/>
          <w:highlight w:val="none"/>
          <w:u w:val="none" w:color="auto"/>
        </w:rPr>
      </w:pPr>
      <w:r>
        <w:rPr>
          <w:rFonts w:hint="default" w:ascii="Times New Roman" w:hAnsi="Times New Roman" w:cs="Times New Roman"/>
          <w:strike w:val="0"/>
          <w:dstrike w:val="0"/>
          <w:color w:val="auto"/>
          <w:highlight w:val="none"/>
          <w:u w:val="none" w:color="auto"/>
        </w:rPr>
        <w:t>表2.4-</w:t>
      </w:r>
      <w:r>
        <w:rPr>
          <w:rFonts w:hint="default" w:ascii="Times New Roman" w:hAnsi="Times New Roman" w:cs="Times New Roman"/>
          <w:strike w:val="0"/>
          <w:dstrike w:val="0"/>
          <w:color w:val="auto"/>
          <w:highlight w:val="none"/>
          <w:u w:val="none" w:color="auto"/>
          <w:lang w:val="en-US" w:eastAsia="zh-CN"/>
        </w:rPr>
        <w:t>7</w:t>
      </w:r>
      <w:r>
        <w:rPr>
          <w:rFonts w:hint="default" w:ascii="Times New Roman" w:hAnsi="Times New Roman" w:cs="Times New Roman"/>
          <w:strike w:val="0"/>
          <w:dstrike w:val="0"/>
          <w:color w:val="auto"/>
          <w:highlight w:val="none"/>
          <w:u w:val="none" w:color="auto"/>
        </w:rPr>
        <w:t xml:space="preserve"> 污染型评价工作等级划分表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45"/>
        <w:gridCol w:w="750"/>
        <w:gridCol w:w="752"/>
        <w:gridCol w:w="753"/>
        <w:gridCol w:w="752"/>
        <w:gridCol w:w="753"/>
        <w:gridCol w:w="755"/>
        <w:gridCol w:w="752"/>
        <w:gridCol w:w="752"/>
        <w:gridCol w:w="755"/>
      </w:tblGrid>
      <w:tr w14:paraId="535966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024" w:type="pct"/>
            <w:vMerge w:val="restart"/>
            <w:noWrap w:val="0"/>
            <w:vAlign w:val="center"/>
            <mc:AlternateContent>
              <mc:Choice Requires="wpsCustomData">
                <wpsCustomData:diagonals>
                  <wpsCustomData:diagonal from="27200" to="10000">
                    <wpsCustomData:border w:val="single" w:color="auto" w:sz="12" w:space="0"/>
                  </wpsCustomData:diagonal>
                  <wpsCustomData:diagonal from="33800" to="10000">
                    <wpsCustomData:border w:val="single" w:color="auto" w:sz="12" w:space="0"/>
                  </wpsCustomData:diagonal>
                </wpsCustomData:diagonals>
              </mc:Choice>
            </mc:AlternateContent>
          </w:tcPr>
          <w:p w14:paraId="65B5DB5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p>
          <w:p w14:paraId="6C58BF5A">
            <w:pPr>
              <w:keepNext w:val="0"/>
              <w:keepLines w:val="0"/>
              <w:suppressLineNumbers w:val="0"/>
              <w:snapToGrid w:val="0"/>
              <w:spacing w:before="0" w:beforeAutospacing="0" w:after="0" w:afterAutospacing="0" w:line="240" w:lineRule="auto"/>
              <w:ind w:left="0" w:right="0" w:firstLine="0" w:firstLineChars="0"/>
              <w:contextualSpacing/>
              <w:jc w:val="center"/>
              <mc:AlternateContent>
                <mc:Choice Requires="wpsCustomData">
                  <wpsCustomData:diagonalParaType/>
                </mc:Choice>
              </mc:AlternateContent>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敏感程度</w:t>
            </w:r>
          </w:p>
          <w:p w14:paraId="34AD730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评价工作等级</w:t>
            </w:r>
          </w:p>
          <w:p w14:paraId="48981DCF">
            <w:pPr>
              <w:keepNext w:val="0"/>
              <w:keepLines w:val="0"/>
              <w:suppressLineNumbers w:val="0"/>
              <w:snapToGrid w:val="0"/>
              <w:spacing w:before="0" w:beforeAutospacing="0" w:after="0" w:afterAutospacing="0" w:line="240" w:lineRule="auto"/>
              <w:ind w:left="0" w:right="0" w:firstLine="0" w:firstLineChars="0"/>
              <w:contextualSpacing/>
              <w:jc w:val="center"/>
              <mc:AlternateContent>
                <mc:Choice Requires="wpsCustomData">
                  <wpsCustomData:diagonalParaType/>
                </mc:Choice>
              </mc:AlternateContent>
              <w:rPr>
                <w:rFonts w:hint="default" w:ascii="Times New Roman" w:hAnsi="Times New Roman" w:cs="Times New Roman"/>
                <w:strike w:val="0"/>
                <w:dstrike w:val="0"/>
                <w:color w:val="auto"/>
                <w:sz w:val="21"/>
                <w:szCs w:val="21"/>
                <w:highlight w:val="none"/>
                <w:u w:val="none" w:color="auto"/>
              </w:rPr>
            </w:pPr>
          </w:p>
          <w:p w14:paraId="79CBE591">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占地规模</w:t>
            </w:r>
          </w:p>
        </w:tc>
        <w:tc>
          <w:tcPr>
            <w:tcW w:w="1323" w:type="pct"/>
            <w:gridSpan w:val="3"/>
            <w:noWrap w:val="0"/>
            <w:vAlign w:val="center"/>
          </w:tcPr>
          <w:p w14:paraId="2CFE5B4C">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Ⅰ类</w:t>
            </w:r>
          </w:p>
        </w:tc>
        <w:tc>
          <w:tcPr>
            <w:tcW w:w="1326" w:type="pct"/>
            <w:gridSpan w:val="3"/>
            <w:noWrap w:val="0"/>
            <w:vAlign w:val="center"/>
          </w:tcPr>
          <w:p w14:paraId="71F1C15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Ⅱ类</w:t>
            </w:r>
          </w:p>
        </w:tc>
        <w:tc>
          <w:tcPr>
            <w:tcW w:w="1325" w:type="pct"/>
            <w:gridSpan w:val="3"/>
            <w:noWrap w:val="0"/>
            <w:vAlign w:val="center"/>
          </w:tcPr>
          <w:p w14:paraId="6FEB6EC7">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Ⅲ类</w:t>
            </w:r>
          </w:p>
        </w:tc>
      </w:tr>
      <w:tr w14:paraId="5BEB2D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vMerge w:val="continue"/>
            <w:noWrap w:val="0"/>
            <w:vAlign w:val="center"/>
          </w:tcPr>
          <w:p w14:paraId="3FA1100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p>
        </w:tc>
        <w:tc>
          <w:tcPr>
            <w:tcW w:w="440" w:type="pct"/>
            <w:noWrap w:val="0"/>
            <w:vAlign w:val="center"/>
          </w:tcPr>
          <w:p w14:paraId="6D359FAD">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大</w:t>
            </w:r>
          </w:p>
        </w:tc>
        <w:tc>
          <w:tcPr>
            <w:tcW w:w="441" w:type="pct"/>
            <w:noWrap w:val="0"/>
            <w:vAlign w:val="center"/>
          </w:tcPr>
          <w:p w14:paraId="22AEAB2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中</w:t>
            </w:r>
          </w:p>
        </w:tc>
        <w:tc>
          <w:tcPr>
            <w:tcW w:w="441" w:type="pct"/>
            <w:noWrap w:val="0"/>
            <w:vAlign w:val="center"/>
          </w:tcPr>
          <w:p w14:paraId="11E0F90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小</w:t>
            </w:r>
          </w:p>
        </w:tc>
        <w:tc>
          <w:tcPr>
            <w:tcW w:w="441" w:type="pct"/>
            <w:noWrap w:val="0"/>
            <w:vAlign w:val="center"/>
          </w:tcPr>
          <w:p w14:paraId="3E06CCF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大</w:t>
            </w:r>
          </w:p>
        </w:tc>
        <w:tc>
          <w:tcPr>
            <w:tcW w:w="442" w:type="pct"/>
            <w:noWrap w:val="0"/>
            <w:vAlign w:val="center"/>
          </w:tcPr>
          <w:p w14:paraId="0F349B3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中</w:t>
            </w:r>
          </w:p>
        </w:tc>
        <w:tc>
          <w:tcPr>
            <w:tcW w:w="442" w:type="pct"/>
            <w:noWrap w:val="0"/>
            <w:vAlign w:val="center"/>
          </w:tcPr>
          <w:p w14:paraId="721B09A5">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小</w:t>
            </w:r>
          </w:p>
        </w:tc>
        <w:tc>
          <w:tcPr>
            <w:tcW w:w="441" w:type="pct"/>
            <w:noWrap w:val="0"/>
            <w:vAlign w:val="center"/>
          </w:tcPr>
          <w:p w14:paraId="0923948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大</w:t>
            </w:r>
          </w:p>
        </w:tc>
        <w:tc>
          <w:tcPr>
            <w:tcW w:w="441" w:type="pct"/>
            <w:noWrap w:val="0"/>
            <w:vAlign w:val="center"/>
          </w:tcPr>
          <w:p w14:paraId="3E9DAD5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中</w:t>
            </w:r>
          </w:p>
        </w:tc>
        <w:tc>
          <w:tcPr>
            <w:tcW w:w="441" w:type="pct"/>
            <w:noWrap w:val="0"/>
            <w:vAlign w:val="center"/>
          </w:tcPr>
          <w:p w14:paraId="28ED86C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小</w:t>
            </w:r>
          </w:p>
        </w:tc>
      </w:tr>
      <w:tr w14:paraId="20A70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noWrap w:val="0"/>
            <w:vAlign w:val="center"/>
          </w:tcPr>
          <w:p w14:paraId="6F3CCCD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敏感</w:t>
            </w:r>
          </w:p>
        </w:tc>
        <w:tc>
          <w:tcPr>
            <w:tcW w:w="440" w:type="pct"/>
            <w:noWrap w:val="0"/>
            <w:vAlign w:val="center"/>
          </w:tcPr>
          <w:p w14:paraId="3689A25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一级</w:t>
            </w:r>
          </w:p>
        </w:tc>
        <w:tc>
          <w:tcPr>
            <w:tcW w:w="441" w:type="pct"/>
            <w:noWrap w:val="0"/>
            <w:vAlign w:val="center"/>
          </w:tcPr>
          <w:p w14:paraId="4F8F256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shd w:val="clear"/>
              </w:rPr>
              <w:t>一级</w:t>
            </w:r>
          </w:p>
        </w:tc>
        <w:tc>
          <w:tcPr>
            <w:tcW w:w="441" w:type="pct"/>
            <w:noWrap w:val="0"/>
            <w:vAlign w:val="center"/>
          </w:tcPr>
          <w:p w14:paraId="0889FB3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一级</w:t>
            </w:r>
          </w:p>
        </w:tc>
        <w:tc>
          <w:tcPr>
            <w:tcW w:w="441" w:type="pct"/>
            <w:noWrap w:val="0"/>
            <w:vAlign w:val="center"/>
          </w:tcPr>
          <w:p w14:paraId="0389EE16">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2" w:type="pct"/>
            <w:shd w:val="clear" w:color="auto" w:fill="auto"/>
            <w:noWrap w:val="0"/>
            <w:vAlign w:val="center"/>
          </w:tcPr>
          <w:p w14:paraId="5D76FD9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2" w:type="pct"/>
            <w:shd w:val="clear" w:color="auto" w:fill="auto"/>
            <w:noWrap w:val="0"/>
            <w:vAlign w:val="center"/>
          </w:tcPr>
          <w:p w14:paraId="61AD78A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1" w:type="pct"/>
            <w:noWrap w:val="0"/>
            <w:vAlign w:val="center"/>
          </w:tcPr>
          <w:p w14:paraId="2B26295A">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58503B4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2CC338F4">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r>
      <w:tr w14:paraId="028A2A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noWrap w:val="0"/>
            <w:vAlign w:val="center"/>
          </w:tcPr>
          <w:p w14:paraId="622022D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较敏感</w:t>
            </w:r>
          </w:p>
        </w:tc>
        <w:tc>
          <w:tcPr>
            <w:tcW w:w="440" w:type="pct"/>
            <w:noWrap w:val="0"/>
            <w:vAlign w:val="center"/>
          </w:tcPr>
          <w:p w14:paraId="7E423826">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一级</w:t>
            </w:r>
          </w:p>
        </w:tc>
        <w:tc>
          <w:tcPr>
            <w:tcW w:w="441" w:type="pct"/>
            <w:noWrap w:val="0"/>
            <w:vAlign w:val="center"/>
          </w:tcPr>
          <w:p w14:paraId="6CAE8DC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一级</w:t>
            </w:r>
          </w:p>
        </w:tc>
        <w:tc>
          <w:tcPr>
            <w:tcW w:w="441" w:type="pct"/>
            <w:noWrap w:val="0"/>
            <w:vAlign w:val="center"/>
          </w:tcPr>
          <w:p w14:paraId="61C28746">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1" w:type="pct"/>
            <w:noWrap w:val="0"/>
            <w:vAlign w:val="center"/>
          </w:tcPr>
          <w:p w14:paraId="6661BE1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2" w:type="pct"/>
            <w:noWrap w:val="0"/>
            <w:vAlign w:val="center"/>
          </w:tcPr>
          <w:p w14:paraId="429608AC">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2" w:type="pct"/>
            <w:noWrap w:val="0"/>
            <w:vAlign w:val="center"/>
          </w:tcPr>
          <w:p w14:paraId="741BA2C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lightGray"/>
                <w:u w:val="none" w:color="auto"/>
              </w:rPr>
              <w:t>三级</w:t>
            </w:r>
          </w:p>
        </w:tc>
        <w:tc>
          <w:tcPr>
            <w:tcW w:w="441" w:type="pct"/>
            <w:noWrap w:val="0"/>
            <w:vAlign w:val="center"/>
          </w:tcPr>
          <w:p w14:paraId="73290A68">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13CC36A4">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76277266">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w:t>
            </w:r>
          </w:p>
        </w:tc>
      </w:tr>
      <w:tr w14:paraId="2747D1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noWrap w:val="0"/>
            <w:vAlign w:val="center"/>
          </w:tcPr>
          <w:p w14:paraId="60F42B9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不敏感</w:t>
            </w:r>
          </w:p>
        </w:tc>
        <w:tc>
          <w:tcPr>
            <w:tcW w:w="440" w:type="pct"/>
            <w:noWrap w:val="0"/>
            <w:vAlign w:val="center"/>
          </w:tcPr>
          <w:p w14:paraId="4E232675">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一级</w:t>
            </w:r>
          </w:p>
        </w:tc>
        <w:tc>
          <w:tcPr>
            <w:tcW w:w="441" w:type="pct"/>
            <w:noWrap w:val="0"/>
            <w:vAlign w:val="center"/>
          </w:tcPr>
          <w:p w14:paraId="245F3911">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shd w:val="clear"/>
              </w:rPr>
              <w:t>二级</w:t>
            </w:r>
          </w:p>
        </w:tc>
        <w:tc>
          <w:tcPr>
            <w:tcW w:w="441" w:type="pct"/>
            <w:noWrap w:val="0"/>
            <w:vAlign w:val="center"/>
          </w:tcPr>
          <w:p w14:paraId="781B3C17">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shd w:val="clear" w:color="auto" w:fill="auto"/>
              </w:rPr>
              <w:t>二级</w:t>
            </w:r>
          </w:p>
        </w:tc>
        <w:tc>
          <w:tcPr>
            <w:tcW w:w="441" w:type="pct"/>
            <w:noWrap w:val="0"/>
            <w:vAlign w:val="center"/>
          </w:tcPr>
          <w:p w14:paraId="3BD5DA4B">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二级</w:t>
            </w:r>
          </w:p>
        </w:tc>
        <w:tc>
          <w:tcPr>
            <w:tcW w:w="442" w:type="pct"/>
            <w:noWrap w:val="0"/>
            <w:vAlign w:val="center"/>
          </w:tcPr>
          <w:p w14:paraId="01A2E2A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2" w:type="pct"/>
            <w:noWrap w:val="0"/>
            <w:vAlign w:val="center"/>
          </w:tcPr>
          <w:p w14:paraId="1248A948">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717FC901">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三级</w:t>
            </w:r>
          </w:p>
        </w:tc>
        <w:tc>
          <w:tcPr>
            <w:tcW w:w="441" w:type="pct"/>
            <w:noWrap w:val="0"/>
            <w:vAlign w:val="center"/>
          </w:tcPr>
          <w:p w14:paraId="4728815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w:t>
            </w:r>
          </w:p>
        </w:tc>
        <w:tc>
          <w:tcPr>
            <w:tcW w:w="441" w:type="pct"/>
            <w:noWrap w:val="0"/>
            <w:vAlign w:val="center"/>
          </w:tcPr>
          <w:p w14:paraId="59CAFDE9">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strike w:val="0"/>
                <w:dstrike w:val="0"/>
                <w:color w:val="auto"/>
                <w:sz w:val="21"/>
                <w:szCs w:val="21"/>
                <w:highlight w:val="none"/>
                <w:u w:val="none" w:color="auto"/>
              </w:rPr>
            </w:pPr>
            <w:r>
              <w:rPr>
                <w:rFonts w:hint="default" w:ascii="Times New Roman" w:hAnsi="Times New Roman" w:cs="Times New Roman"/>
                <w:strike w:val="0"/>
                <w:dstrike w:val="0"/>
                <w:color w:val="auto"/>
                <w:sz w:val="21"/>
                <w:szCs w:val="21"/>
                <w:highlight w:val="none"/>
                <w:u w:val="none" w:color="auto"/>
              </w:rPr>
              <w:t>-</w:t>
            </w:r>
          </w:p>
        </w:tc>
      </w:tr>
    </w:tbl>
    <w:p w14:paraId="373DCFA0">
      <w:pPr>
        <w:ind w:firstLine="480"/>
        <w:rPr>
          <w:rFonts w:hint="default" w:ascii="Times New Roman" w:hAnsi="Times New Roman" w:eastAsia="华文中宋" w:cs="Times New Roman"/>
          <w:strike w:val="0"/>
          <w:dstrike w:val="0"/>
          <w:color w:val="auto"/>
          <w:highlight w:val="none"/>
          <w:u w:val="none" w:color="auto"/>
        </w:rPr>
      </w:pPr>
      <w:r>
        <w:rPr>
          <w:rFonts w:hint="default" w:ascii="Times New Roman" w:hAnsi="Times New Roman" w:cs="Times New Roman"/>
          <w:strike w:val="0"/>
          <w:dstrike w:val="0"/>
          <w:color w:val="auto"/>
          <w:szCs w:val="21"/>
          <w:highlight w:val="none"/>
          <w:u w:val="none" w:color="auto"/>
          <w:lang w:bidi="ar"/>
        </w:rPr>
        <w:t>根据表2.4-</w:t>
      </w:r>
      <w:r>
        <w:rPr>
          <w:rFonts w:hint="default" w:ascii="Times New Roman" w:hAnsi="Times New Roman" w:cs="Times New Roman"/>
          <w:strike w:val="0"/>
          <w:dstrike w:val="0"/>
          <w:color w:val="auto"/>
          <w:szCs w:val="21"/>
          <w:highlight w:val="none"/>
          <w:u w:val="none" w:color="auto"/>
          <w:lang w:val="en-US" w:eastAsia="zh-CN" w:bidi="ar"/>
        </w:rPr>
        <w:t>7</w:t>
      </w:r>
      <w:r>
        <w:rPr>
          <w:rFonts w:hint="default" w:ascii="Times New Roman" w:hAnsi="Times New Roman" w:cs="Times New Roman"/>
          <w:strike w:val="0"/>
          <w:dstrike w:val="0"/>
          <w:color w:val="auto"/>
          <w:szCs w:val="21"/>
          <w:highlight w:val="none"/>
          <w:u w:val="none" w:color="auto"/>
          <w:lang w:bidi="ar"/>
        </w:rPr>
        <w:t>判定</w:t>
      </w:r>
      <w:r>
        <w:rPr>
          <w:rFonts w:hint="default" w:ascii="Times New Roman" w:hAnsi="Times New Roman" w:cs="Times New Roman"/>
          <w:strike w:val="0"/>
          <w:dstrike w:val="0"/>
          <w:color w:val="auto"/>
          <w:szCs w:val="21"/>
          <w:highlight w:val="none"/>
          <w:u w:val="none" w:color="auto"/>
          <w:lang w:eastAsia="zh-CN" w:bidi="ar"/>
        </w:rPr>
        <w:t>，</w:t>
      </w:r>
      <w:r>
        <w:rPr>
          <w:rFonts w:hint="default" w:ascii="Times New Roman" w:hAnsi="Times New Roman" w:cs="Times New Roman"/>
          <w:strike w:val="0"/>
          <w:dstrike w:val="0"/>
          <w:color w:val="auto"/>
          <w:szCs w:val="21"/>
          <w:highlight w:val="none"/>
          <w:u w:val="none" w:color="auto"/>
          <w:lang w:bidi="ar"/>
        </w:rPr>
        <w:t>本项目土壤环境评价等级为</w:t>
      </w:r>
      <w:r>
        <w:rPr>
          <w:rFonts w:hint="eastAsia" w:ascii="Times New Roman" w:hAnsi="Times New Roman" w:cs="Times New Roman"/>
          <w:strike w:val="0"/>
          <w:dstrike w:val="0"/>
          <w:color w:val="auto"/>
          <w:szCs w:val="21"/>
          <w:highlight w:val="none"/>
          <w:u w:val="none" w:color="auto"/>
          <w:lang w:val="en-US" w:eastAsia="zh-CN" w:bidi="ar"/>
        </w:rPr>
        <w:t>三</w:t>
      </w:r>
      <w:r>
        <w:rPr>
          <w:rFonts w:hint="default" w:ascii="Times New Roman" w:hAnsi="Times New Roman" w:cs="Times New Roman"/>
          <w:strike w:val="0"/>
          <w:dstrike w:val="0"/>
          <w:color w:val="auto"/>
          <w:szCs w:val="21"/>
          <w:highlight w:val="none"/>
          <w:u w:val="none" w:color="auto"/>
          <w:lang w:bidi="ar"/>
        </w:rPr>
        <w:t>级。</w:t>
      </w:r>
    </w:p>
    <w:p w14:paraId="7FCDCD7C">
      <w:pP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（2）评价范围</w:t>
      </w:r>
    </w:p>
    <w:p w14:paraId="4A8BEEE9">
      <w:pPr>
        <w:ind w:firstLine="504"/>
        <w:rPr>
          <w:rFonts w:hint="default" w:ascii="Times New Roman" w:hAnsi="Times New Roman" w:cs="Times New Roman"/>
          <w:color w:val="auto"/>
          <w:highlight w:val="none"/>
          <w:u w:val="none" w:color="auto"/>
        </w:rPr>
      </w:pPr>
      <w:r>
        <w:rPr>
          <w:rFonts w:hint="default" w:ascii="Times New Roman" w:hAnsi="Times New Roman" w:cs="Times New Roman"/>
          <w:color w:val="auto"/>
          <w:spacing w:val="6"/>
          <w:highlight w:val="none"/>
          <w:u w:val="none" w:color="auto"/>
          <w:lang w:bidi="ar"/>
        </w:rPr>
        <w:t>根据《环境影响评价技术导则 土壤环境》（HJ964-2018）</w:t>
      </w:r>
      <w:r>
        <w:rPr>
          <w:rFonts w:hint="default" w:ascii="Times New Roman" w:hAnsi="Times New Roman" w:cs="Times New Roman"/>
          <w:color w:val="auto"/>
          <w:spacing w:val="6"/>
          <w:highlight w:val="none"/>
          <w:u w:val="none" w:color="auto"/>
          <w:lang w:eastAsia="zh-CN" w:bidi="ar"/>
        </w:rPr>
        <w:t>，</w:t>
      </w:r>
      <w:r>
        <w:rPr>
          <w:rFonts w:hint="default" w:ascii="Times New Roman" w:hAnsi="Times New Roman" w:cs="Times New Roman"/>
          <w:color w:val="auto"/>
          <w:spacing w:val="6"/>
          <w:highlight w:val="none"/>
          <w:u w:val="none" w:color="auto"/>
          <w:lang w:bidi="ar"/>
        </w:rPr>
        <w:t>本项目土壤</w:t>
      </w:r>
      <w:r>
        <w:rPr>
          <w:rFonts w:hint="eastAsia" w:ascii="Times New Roman" w:hAnsi="Times New Roman" w:cs="Times New Roman"/>
          <w:color w:val="auto"/>
          <w:spacing w:val="6"/>
          <w:highlight w:val="none"/>
          <w:u w:val="none" w:color="auto"/>
          <w:lang w:eastAsia="zh-CN" w:bidi="ar"/>
        </w:rPr>
        <w:t>环境影响评价</w:t>
      </w:r>
      <w:r>
        <w:rPr>
          <w:rFonts w:hint="default" w:ascii="Times New Roman" w:hAnsi="Times New Roman" w:cs="Times New Roman"/>
          <w:color w:val="auto"/>
          <w:spacing w:val="6"/>
          <w:highlight w:val="none"/>
          <w:u w:val="none" w:color="auto"/>
          <w:lang w:bidi="ar"/>
        </w:rPr>
        <w:t>等级为</w:t>
      </w:r>
      <w:r>
        <w:rPr>
          <w:rFonts w:hint="eastAsia" w:ascii="Times New Roman" w:hAnsi="Times New Roman" w:cs="Times New Roman"/>
          <w:color w:val="auto"/>
          <w:spacing w:val="6"/>
          <w:highlight w:val="none"/>
          <w:u w:val="none" w:color="auto"/>
          <w:lang w:val="en-US" w:eastAsia="zh-CN" w:bidi="ar"/>
        </w:rPr>
        <w:t>三</w:t>
      </w:r>
      <w:r>
        <w:rPr>
          <w:rFonts w:hint="default" w:ascii="Times New Roman" w:hAnsi="Times New Roman" w:cs="Times New Roman"/>
          <w:color w:val="auto"/>
          <w:spacing w:val="6"/>
          <w:highlight w:val="none"/>
          <w:u w:val="none" w:color="auto"/>
          <w:lang w:bidi="ar"/>
        </w:rPr>
        <w:t>级</w:t>
      </w:r>
      <w:r>
        <w:rPr>
          <w:rFonts w:hint="default" w:ascii="Times New Roman" w:hAnsi="Times New Roman" w:cs="Times New Roman"/>
          <w:color w:val="auto"/>
          <w:spacing w:val="6"/>
          <w:highlight w:val="none"/>
          <w:u w:val="none" w:color="auto"/>
          <w:lang w:eastAsia="zh-CN" w:bidi="ar"/>
        </w:rPr>
        <w:t>，</w:t>
      </w:r>
      <w:r>
        <w:rPr>
          <w:rFonts w:hint="default" w:ascii="Times New Roman" w:hAnsi="Times New Roman" w:cs="Times New Roman"/>
          <w:color w:val="auto"/>
          <w:spacing w:val="6"/>
          <w:highlight w:val="none"/>
          <w:u w:val="none" w:color="auto"/>
          <w:lang w:bidi="ar"/>
        </w:rPr>
        <w:t>其现状调查范围为</w:t>
      </w:r>
      <w:r>
        <w:rPr>
          <w:rFonts w:hint="eastAsia" w:ascii="Times New Roman" w:hAnsi="Times New Roman" w:cs="Times New Roman"/>
          <w:color w:val="auto"/>
          <w:spacing w:val="6"/>
          <w:highlight w:val="none"/>
          <w:u w:val="none" w:color="auto"/>
          <w:lang w:val="en-US" w:eastAsia="zh-CN" w:bidi="ar"/>
        </w:rPr>
        <w:t>200</w:t>
      </w:r>
      <w:r>
        <w:rPr>
          <w:rFonts w:hint="default" w:ascii="Times New Roman" w:hAnsi="Times New Roman" w:cs="Times New Roman"/>
          <w:color w:val="auto"/>
          <w:spacing w:val="6"/>
          <w:highlight w:val="none"/>
          <w:u w:val="none" w:color="auto"/>
          <w:lang w:bidi="ar"/>
        </w:rPr>
        <w:t>m范围内</w:t>
      </w:r>
      <w:r>
        <w:rPr>
          <w:rFonts w:hint="default" w:ascii="Times New Roman" w:hAnsi="Times New Roman" w:cs="Times New Roman"/>
          <w:color w:val="auto"/>
          <w:spacing w:val="6"/>
          <w:highlight w:val="none"/>
          <w:u w:val="none" w:color="auto"/>
          <w:lang w:eastAsia="zh-CN" w:bidi="ar"/>
        </w:rPr>
        <w:t>，</w:t>
      </w:r>
      <w:r>
        <w:rPr>
          <w:rFonts w:hint="default" w:ascii="Times New Roman" w:hAnsi="Times New Roman" w:cs="Times New Roman"/>
          <w:color w:val="auto"/>
          <w:spacing w:val="6"/>
          <w:highlight w:val="none"/>
          <w:u w:val="none" w:color="auto"/>
          <w:lang w:bidi="ar"/>
        </w:rPr>
        <w:t>评价范围一般与现状调查范围一致</w:t>
      </w:r>
      <w:r>
        <w:rPr>
          <w:rFonts w:hint="default" w:ascii="Times New Roman" w:hAnsi="Times New Roman" w:cs="Times New Roman"/>
          <w:color w:val="auto"/>
          <w:spacing w:val="6"/>
          <w:highlight w:val="none"/>
          <w:u w:val="none" w:color="auto"/>
          <w:lang w:eastAsia="zh-CN" w:bidi="ar"/>
        </w:rPr>
        <w:t>，</w:t>
      </w:r>
      <w:r>
        <w:rPr>
          <w:rFonts w:hint="default" w:ascii="Times New Roman" w:hAnsi="Times New Roman" w:cs="Times New Roman"/>
          <w:color w:val="auto"/>
          <w:spacing w:val="6"/>
          <w:highlight w:val="none"/>
          <w:u w:val="none" w:color="auto"/>
          <w:lang w:bidi="ar"/>
        </w:rPr>
        <w:t>故本项目土壤环境评价范围为</w:t>
      </w:r>
      <w:r>
        <w:rPr>
          <w:rFonts w:hint="eastAsia" w:ascii="Times New Roman" w:hAnsi="Times New Roman" w:cs="Times New Roman"/>
          <w:color w:val="auto"/>
          <w:spacing w:val="6"/>
          <w:highlight w:val="none"/>
          <w:u w:val="none" w:color="auto"/>
          <w:lang w:val="en-US" w:eastAsia="zh-CN" w:bidi="ar"/>
        </w:rPr>
        <w:t>200</w:t>
      </w:r>
      <w:r>
        <w:rPr>
          <w:rFonts w:hint="default" w:ascii="Times New Roman" w:hAnsi="Times New Roman" w:cs="Times New Roman"/>
          <w:color w:val="auto"/>
          <w:spacing w:val="6"/>
          <w:highlight w:val="none"/>
          <w:u w:val="none" w:color="auto"/>
          <w:lang w:bidi="ar"/>
        </w:rPr>
        <w:t>m范围内</w:t>
      </w:r>
      <w:r>
        <w:rPr>
          <w:rFonts w:hint="default" w:ascii="Times New Roman" w:hAnsi="Times New Roman" w:cs="Times New Roman"/>
          <w:color w:val="auto"/>
          <w:highlight w:val="none"/>
          <w:u w:val="none" w:color="auto"/>
          <w:lang w:val="zh-CN"/>
        </w:rPr>
        <w:t>。</w:t>
      </w:r>
    </w:p>
    <w:p w14:paraId="0CDE792F">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w:t>
      </w:r>
    </w:p>
    <w:p w14:paraId="522509F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kern w:val="0"/>
          <w:highlight w:val="none"/>
          <w:u w:val="none" w:color="auto"/>
        </w:rPr>
        <w:t>通过对本项目涉及的物质及工艺系统危险性和所在地环境敏感性确定环境风险潜势</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本项目所在地为环境低度敏感区</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highlight w:val="none"/>
          <w:u w:val="none" w:color="auto"/>
        </w:rPr>
        <w:t>对照《建设项目环境风险评价技术导则》（HJ 169-2018）中附录 B</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项目涉及的风险物质为</w:t>
      </w:r>
      <w:r>
        <w:rPr>
          <w:rFonts w:hint="default" w:ascii="Times New Roman" w:hAnsi="Times New Roman" w:cs="Times New Roman"/>
          <w:color w:val="auto"/>
          <w:kern w:val="0"/>
          <w:highlight w:val="none"/>
          <w:u w:val="none" w:color="auto"/>
        </w:rPr>
        <w:t>氨</w:t>
      </w:r>
      <w:r>
        <w:rPr>
          <w:rFonts w:hint="eastAsia"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硫化氢</w:t>
      </w:r>
      <w:r>
        <w:rPr>
          <w:rFonts w:hint="eastAsia"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甲烷等</w:t>
      </w:r>
      <w:r>
        <w:rPr>
          <w:rFonts w:hint="default" w:ascii="Times New Roman" w:hAnsi="Times New Roman" w:cs="Times New Roman"/>
          <w:color w:val="auto"/>
          <w:highlight w:val="none"/>
          <w:u w:val="none" w:color="auto"/>
        </w:rPr>
        <w:t>。</w:t>
      </w:r>
    </w:p>
    <w:p w14:paraId="4313B257">
      <w:pPr>
        <w:pStyle w:val="39"/>
        <w:bidi w:val="0"/>
        <w:rPr>
          <w:rFonts w:hint="default"/>
          <w:highlight w:val="none"/>
        </w:rPr>
      </w:pPr>
    </w:p>
    <w:p w14:paraId="62FF8E43">
      <w:pPr>
        <w:pStyle w:val="39"/>
        <w:bidi w:val="0"/>
        <w:rPr>
          <w:rFonts w:hint="default"/>
          <w:highlight w:val="none"/>
        </w:rPr>
      </w:pPr>
      <w:r>
        <w:rPr>
          <w:rFonts w:hint="default"/>
          <w:highlight w:val="none"/>
        </w:rPr>
        <w:t>表2.4-</w:t>
      </w:r>
      <w:r>
        <w:rPr>
          <w:rFonts w:hint="default"/>
          <w:highlight w:val="none"/>
          <w:lang w:val="en-US" w:eastAsia="zh-CN"/>
        </w:rPr>
        <w:t>8</w:t>
      </w:r>
      <w:r>
        <w:rPr>
          <w:rFonts w:hint="default"/>
          <w:highlight w:val="none"/>
        </w:rPr>
        <w:t xml:space="preserve"> 危险物质数量与临界量的比值一览表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5"/>
        <w:gridCol w:w="1851"/>
        <w:gridCol w:w="1885"/>
        <w:gridCol w:w="1704"/>
        <w:gridCol w:w="1704"/>
      </w:tblGrid>
      <w:tr w14:paraId="078DE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noWrap w:val="0"/>
            <w:vAlign w:val="center"/>
          </w:tcPr>
          <w:p w14:paraId="5D4F501C">
            <w:pPr>
              <w:pStyle w:val="42"/>
              <w:keepNext w:val="0"/>
              <w:keepLines w:val="0"/>
              <w:suppressLineNumbers w:val="0"/>
              <w:bidi w:val="0"/>
              <w:spacing w:before="0" w:beforeAutospacing="0" w:after="0" w:afterAutospacing="0"/>
              <w:rPr>
                <w:rFonts w:hint="default"/>
                <w:highlight w:val="none"/>
              </w:rPr>
            </w:pPr>
            <w:bookmarkStart w:id="68" w:name="OLE_LINK27"/>
            <w:r>
              <w:rPr>
                <w:rFonts w:hint="default"/>
                <w:highlight w:val="none"/>
              </w:rPr>
              <w:t>物质名称</w:t>
            </w:r>
          </w:p>
        </w:tc>
        <w:tc>
          <w:tcPr>
            <w:tcW w:w="1086" w:type="pct"/>
            <w:noWrap w:val="0"/>
            <w:vAlign w:val="center"/>
          </w:tcPr>
          <w:p w14:paraId="0B94B204">
            <w:pPr>
              <w:pStyle w:val="42"/>
              <w:keepNext w:val="0"/>
              <w:keepLines w:val="0"/>
              <w:suppressLineNumbers w:val="0"/>
              <w:bidi w:val="0"/>
              <w:spacing w:before="0" w:beforeAutospacing="0" w:after="0" w:afterAutospacing="0"/>
              <w:rPr>
                <w:rFonts w:hint="default"/>
                <w:highlight w:val="none"/>
              </w:rPr>
            </w:pPr>
            <w:r>
              <w:rPr>
                <w:rFonts w:hint="default"/>
                <w:highlight w:val="none"/>
                <w:lang w:eastAsia="zh-CN"/>
              </w:rPr>
              <w:t>最大</w:t>
            </w:r>
            <w:r>
              <w:rPr>
                <w:rFonts w:hint="default"/>
                <w:highlight w:val="none"/>
              </w:rPr>
              <w:t>储存量q（t/a）</w:t>
            </w:r>
          </w:p>
        </w:tc>
        <w:tc>
          <w:tcPr>
            <w:tcW w:w="1105" w:type="pct"/>
            <w:noWrap w:val="0"/>
            <w:vAlign w:val="center"/>
          </w:tcPr>
          <w:p w14:paraId="28392760">
            <w:pPr>
              <w:pStyle w:val="42"/>
              <w:keepNext w:val="0"/>
              <w:keepLines w:val="0"/>
              <w:suppressLineNumbers w:val="0"/>
              <w:bidi w:val="0"/>
              <w:spacing w:before="0" w:beforeAutospacing="0" w:after="0" w:afterAutospacing="0"/>
              <w:rPr>
                <w:rFonts w:hint="default"/>
                <w:highlight w:val="none"/>
              </w:rPr>
            </w:pPr>
            <w:r>
              <w:rPr>
                <w:rFonts w:hint="default"/>
                <w:highlight w:val="none"/>
              </w:rPr>
              <w:t>临界量Q（t/a）</w:t>
            </w:r>
          </w:p>
        </w:tc>
        <w:tc>
          <w:tcPr>
            <w:tcW w:w="1000" w:type="pct"/>
            <w:noWrap w:val="0"/>
            <w:vAlign w:val="center"/>
          </w:tcPr>
          <w:p w14:paraId="3327FE68">
            <w:pPr>
              <w:pStyle w:val="42"/>
              <w:keepNext w:val="0"/>
              <w:keepLines w:val="0"/>
              <w:suppressLineNumbers w:val="0"/>
              <w:bidi w:val="0"/>
              <w:spacing w:before="0" w:beforeAutospacing="0" w:after="0" w:afterAutospacing="0"/>
              <w:rPr>
                <w:rFonts w:hint="default"/>
                <w:highlight w:val="none"/>
              </w:rPr>
            </w:pPr>
            <w:r>
              <w:rPr>
                <w:rFonts w:hint="default"/>
                <w:highlight w:val="none"/>
              </w:rPr>
              <w:t>qi/Qi</w:t>
            </w:r>
          </w:p>
        </w:tc>
        <w:tc>
          <w:tcPr>
            <w:tcW w:w="1000" w:type="pct"/>
            <w:noWrap w:val="0"/>
            <w:vAlign w:val="center"/>
          </w:tcPr>
          <w:p w14:paraId="4A83E3EA">
            <w:pPr>
              <w:pStyle w:val="42"/>
              <w:keepNext w:val="0"/>
              <w:keepLines w:val="0"/>
              <w:suppressLineNumbers w:val="0"/>
              <w:bidi w:val="0"/>
              <w:spacing w:before="0" w:beforeAutospacing="0" w:after="0" w:afterAutospacing="0"/>
              <w:rPr>
                <w:rFonts w:hint="default"/>
                <w:highlight w:val="none"/>
              </w:rPr>
            </w:pPr>
            <w:r>
              <w:rPr>
                <w:rFonts w:hint="default"/>
                <w:highlight w:val="none"/>
              </w:rPr>
              <w:t>是否重大危险源</w:t>
            </w:r>
          </w:p>
        </w:tc>
      </w:tr>
      <w:tr w14:paraId="06604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807" w:type="pct"/>
            <w:shd w:val="clear" w:color="auto" w:fill="auto"/>
            <w:noWrap w:val="0"/>
            <w:vAlign w:val="center"/>
          </w:tcPr>
          <w:p w14:paraId="1F56A720">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氨</w:t>
            </w:r>
          </w:p>
        </w:tc>
        <w:tc>
          <w:tcPr>
            <w:tcW w:w="1086" w:type="pct"/>
            <w:shd w:val="clear" w:color="auto" w:fill="auto"/>
            <w:noWrap w:val="0"/>
            <w:vAlign w:val="center"/>
          </w:tcPr>
          <w:p w14:paraId="4F70A937">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0.007710</w:t>
            </w:r>
          </w:p>
        </w:tc>
        <w:tc>
          <w:tcPr>
            <w:tcW w:w="1105" w:type="pct"/>
            <w:shd w:val="clear" w:color="auto" w:fill="auto"/>
            <w:noWrap w:val="0"/>
            <w:vAlign w:val="center"/>
          </w:tcPr>
          <w:p w14:paraId="66E64C72">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5</w:t>
            </w:r>
          </w:p>
        </w:tc>
        <w:tc>
          <w:tcPr>
            <w:tcW w:w="1704" w:type="dxa"/>
            <w:noWrap w:val="0"/>
            <w:vAlign w:val="center"/>
          </w:tcPr>
          <w:p w14:paraId="3888F026">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0.0015420</w:t>
            </w:r>
          </w:p>
        </w:tc>
        <w:tc>
          <w:tcPr>
            <w:tcW w:w="1000" w:type="pct"/>
            <w:noWrap w:val="0"/>
            <w:vAlign w:val="center"/>
          </w:tcPr>
          <w:p w14:paraId="7060148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6AE68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7EAE79F8">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硫化氢</w:t>
            </w:r>
          </w:p>
        </w:tc>
        <w:tc>
          <w:tcPr>
            <w:tcW w:w="1086" w:type="pct"/>
            <w:shd w:val="clear" w:color="auto" w:fill="auto"/>
            <w:noWrap w:val="0"/>
            <w:vAlign w:val="center"/>
          </w:tcPr>
          <w:p w14:paraId="057998B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0.000027</w:t>
            </w:r>
          </w:p>
        </w:tc>
        <w:tc>
          <w:tcPr>
            <w:tcW w:w="1105" w:type="pct"/>
            <w:shd w:val="clear" w:color="auto" w:fill="auto"/>
            <w:noWrap w:val="0"/>
            <w:vAlign w:val="center"/>
          </w:tcPr>
          <w:p w14:paraId="5DD870DA">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2.5</w:t>
            </w:r>
          </w:p>
        </w:tc>
        <w:tc>
          <w:tcPr>
            <w:tcW w:w="1704" w:type="dxa"/>
            <w:noWrap w:val="0"/>
            <w:vAlign w:val="center"/>
          </w:tcPr>
          <w:p w14:paraId="18150FFF">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0.0000109</w:t>
            </w:r>
          </w:p>
        </w:tc>
        <w:tc>
          <w:tcPr>
            <w:tcW w:w="1000" w:type="pct"/>
            <w:noWrap w:val="0"/>
            <w:vAlign w:val="center"/>
          </w:tcPr>
          <w:p w14:paraId="44F65EC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075E8F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0F3DA512">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甲烷</w:t>
            </w:r>
          </w:p>
        </w:tc>
        <w:tc>
          <w:tcPr>
            <w:tcW w:w="1086" w:type="pct"/>
            <w:shd w:val="clear" w:color="auto" w:fill="auto"/>
            <w:noWrap w:val="0"/>
            <w:vAlign w:val="center"/>
          </w:tcPr>
          <w:p w14:paraId="05D48EA3">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0.00072</w:t>
            </w:r>
          </w:p>
        </w:tc>
        <w:tc>
          <w:tcPr>
            <w:tcW w:w="1105" w:type="pct"/>
            <w:shd w:val="clear" w:color="auto" w:fill="auto"/>
            <w:noWrap w:val="0"/>
            <w:vAlign w:val="center"/>
          </w:tcPr>
          <w:p w14:paraId="1466C533">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10</w:t>
            </w:r>
          </w:p>
        </w:tc>
        <w:tc>
          <w:tcPr>
            <w:tcW w:w="1704" w:type="dxa"/>
            <w:noWrap w:val="0"/>
            <w:vAlign w:val="center"/>
          </w:tcPr>
          <w:p w14:paraId="42C69E4F">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0.000072</w:t>
            </w:r>
          </w:p>
        </w:tc>
        <w:tc>
          <w:tcPr>
            <w:tcW w:w="1000" w:type="pct"/>
            <w:noWrap w:val="0"/>
            <w:vAlign w:val="center"/>
          </w:tcPr>
          <w:p w14:paraId="293F2F38">
            <w:pPr>
              <w:pStyle w:val="42"/>
              <w:keepNext w:val="0"/>
              <w:keepLines w:val="0"/>
              <w:suppressLineNumbers w:val="0"/>
              <w:bidi w:val="0"/>
              <w:spacing w:before="0" w:beforeAutospacing="0" w:after="0" w:afterAutospacing="0"/>
              <w:rPr>
                <w:rFonts w:hint="default"/>
                <w:highlight w:val="none"/>
                <w:lang w:val="en-US" w:eastAsia="zh-CN"/>
              </w:rPr>
            </w:pPr>
            <w:bookmarkStart w:id="69" w:name="OLE_LINK25"/>
            <w:r>
              <w:rPr>
                <w:rFonts w:hint="default"/>
                <w:highlight w:val="none"/>
                <w:lang w:val="en-US" w:eastAsia="zh-CN"/>
              </w:rPr>
              <w:t>否</w:t>
            </w:r>
            <w:bookmarkEnd w:id="69"/>
          </w:p>
        </w:tc>
      </w:tr>
      <w:tr w14:paraId="1F9D88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155349F8">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危险废物</w:t>
            </w:r>
          </w:p>
        </w:tc>
        <w:tc>
          <w:tcPr>
            <w:tcW w:w="1086" w:type="pct"/>
            <w:shd w:val="clear" w:color="auto" w:fill="auto"/>
            <w:noWrap w:val="0"/>
            <w:vAlign w:val="center"/>
          </w:tcPr>
          <w:p w14:paraId="06162660">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0.11</w:t>
            </w:r>
          </w:p>
        </w:tc>
        <w:tc>
          <w:tcPr>
            <w:tcW w:w="1105" w:type="pct"/>
            <w:shd w:val="clear" w:color="auto" w:fill="auto"/>
            <w:noWrap w:val="0"/>
            <w:vAlign w:val="center"/>
          </w:tcPr>
          <w:p w14:paraId="15756EA7">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50</w:t>
            </w:r>
          </w:p>
        </w:tc>
        <w:tc>
          <w:tcPr>
            <w:tcW w:w="1704" w:type="dxa"/>
            <w:noWrap w:val="0"/>
            <w:vAlign w:val="center"/>
          </w:tcPr>
          <w:p w14:paraId="51A8E30D">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0.0022</w:t>
            </w:r>
          </w:p>
        </w:tc>
        <w:tc>
          <w:tcPr>
            <w:tcW w:w="1000" w:type="pct"/>
            <w:noWrap w:val="0"/>
            <w:vAlign w:val="center"/>
          </w:tcPr>
          <w:p w14:paraId="341C5B6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28B309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99" w:type="pct"/>
            <w:gridSpan w:val="3"/>
            <w:noWrap w:val="0"/>
            <w:vAlign w:val="center"/>
          </w:tcPr>
          <w:p w14:paraId="5A55F99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eastAsia="zh-CN"/>
              </w:rPr>
              <w:t>合计</w:t>
            </w:r>
          </w:p>
        </w:tc>
        <w:tc>
          <w:tcPr>
            <w:tcW w:w="1000" w:type="pct"/>
            <w:noWrap w:val="0"/>
            <w:vAlign w:val="center"/>
          </w:tcPr>
          <w:p w14:paraId="121C8072">
            <w:pPr>
              <w:pStyle w:val="42"/>
              <w:keepNext w:val="0"/>
              <w:keepLines w:val="0"/>
              <w:suppressLineNumbers w:val="0"/>
              <w:bidi w:val="0"/>
              <w:spacing w:before="0" w:beforeAutospacing="0" w:after="0" w:afterAutospacing="0"/>
              <w:rPr>
                <w:rFonts w:hint="default"/>
                <w:highlight w:val="none"/>
                <w:lang w:val="en-US" w:eastAsia="zh-CN"/>
              </w:rPr>
            </w:pPr>
            <w:bookmarkStart w:id="70" w:name="OLE_LINK26"/>
            <w:r>
              <w:rPr>
                <w:rFonts w:hint="eastAsia"/>
                <w:highlight w:val="none"/>
              </w:rPr>
              <w:t>0.00</w:t>
            </w:r>
            <w:r>
              <w:rPr>
                <w:rFonts w:hint="eastAsia"/>
                <w:highlight w:val="none"/>
                <w:lang w:val="en-US" w:eastAsia="zh-CN"/>
              </w:rPr>
              <w:t>38</w:t>
            </w:r>
            <w:r>
              <w:rPr>
                <w:rFonts w:hint="eastAsia"/>
                <w:highlight w:val="none"/>
              </w:rPr>
              <w:t>249</w:t>
            </w:r>
            <w:bookmarkEnd w:id="70"/>
          </w:p>
        </w:tc>
        <w:tc>
          <w:tcPr>
            <w:tcW w:w="1000" w:type="pct"/>
            <w:noWrap w:val="0"/>
            <w:vAlign w:val="center"/>
          </w:tcPr>
          <w:p w14:paraId="7EF4BEB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r>
      <w:bookmarkEnd w:id="68"/>
    </w:tbl>
    <w:p w14:paraId="43D055F9">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highlight w:val="none"/>
          <w:u w:val="none" w:color="auto"/>
        </w:rPr>
        <w:t>则项目危险物质与其临界量的比值Q=</w:t>
      </w:r>
      <w:r>
        <w:rPr>
          <w:rFonts w:hint="eastAsia" w:ascii="Times New Roman" w:hAnsi="Times New Roman" w:cs="Times New Roman"/>
          <w:color w:val="auto"/>
          <w:highlight w:val="none"/>
          <w:u w:val="none" w:color="auto"/>
          <w:lang w:eastAsia="zh-CN"/>
        </w:rPr>
        <w:t>0.0038249</w:t>
      </w:r>
      <w:r>
        <w:rPr>
          <w:rFonts w:hint="default" w:ascii="Times New Roman" w:hAnsi="Times New Roman" w:cs="Times New Roman"/>
          <w:color w:val="auto"/>
          <w:highlight w:val="none"/>
          <w:u w:val="none" w:color="auto"/>
        </w:rPr>
        <w:t>＜1</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因此</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本项目环境风险潜势为Ⅰ。</w:t>
      </w:r>
    </w:p>
    <w:p w14:paraId="429CAB80">
      <w:pPr>
        <w:pStyle w:val="39"/>
        <w:bidi w:val="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表</w:t>
      </w:r>
      <w:r>
        <w:rPr>
          <w:rFonts w:hint="default" w:ascii="Times New Roman" w:hAnsi="Times New Roman" w:cs="Times New Roman"/>
          <w:color w:val="auto"/>
          <w:highlight w:val="none"/>
          <w:u w:val="none" w:color="auto"/>
          <w:lang w:val="en-US" w:eastAsia="zh-CN"/>
        </w:rPr>
        <w:t xml:space="preserve">2.4-9  </w:t>
      </w:r>
      <w:r>
        <w:rPr>
          <w:rFonts w:hint="default" w:ascii="Times New Roman" w:hAnsi="Times New Roman" w:cs="Times New Roman"/>
          <w:color w:val="auto"/>
          <w:highlight w:val="none"/>
          <w:u w:val="none" w:color="auto"/>
          <w:lang w:val="zh-CN"/>
        </w:rPr>
        <w:t>风险评价工作等级</w:t>
      </w:r>
      <w:r>
        <w:rPr>
          <w:rFonts w:hint="default" w:ascii="Times New Roman" w:hAnsi="Times New Roman" w:cs="Times New Roman"/>
          <w:color w:val="auto"/>
          <w:highlight w:val="none"/>
          <w:u w:val="none" w:color="auto"/>
        </w:rPr>
        <w:t>定级表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60"/>
        <w:gridCol w:w="1471"/>
        <w:gridCol w:w="1693"/>
        <w:gridCol w:w="1696"/>
        <w:gridCol w:w="1913"/>
      </w:tblGrid>
      <w:tr w14:paraId="75E3FC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2" w:hRule="exact"/>
          <w:jc w:val="center"/>
        </w:trPr>
        <w:tc>
          <w:tcPr>
            <w:tcW w:w="936" w:type="pct"/>
            <w:tcBorders>
              <w:top w:val="single" w:color="000000" w:sz="12" w:space="0"/>
              <w:left w:val="single" w:color="000000" w:sz="12" w:space="0"/>
            </w:tcBorders>
            <w:noWrap w:val="0"/>
            <w:vAlign w:val="center"/>
          </w:tcPr>
          <w:p w14:paraId="6A9AE27C">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环境风险潜势</w:t>
            </w:r>
          </w:p>
        </w:tc>
        <w:tc>
          <w:tcPr>
            <w:tcW w:w="882" w:type="pct"/>
            <w:tcBorders>
              <w:top w:val="single" w:color="000000" w:sz="12" w:space="0"/>
            </w:tcBorders>
            <w:noWrap w:val="0"/>
            <w:vAlign w:val="center"/>
          </w:tcPr>
          <w:p w14:paraId="10655F9F">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Ⅳ、Ⅳ+</w:t>
            </w:r>
          </w:p>
        </w:tc>
        <w:tc>
          <w:tcPr>
            <w:tcW w:w="1015" w:type="pct"/>
            <w:tcBorders>
              <w:top w:val="single" w:color="000000" w:sz="12" w:space="0"/>
            </w:tcBorders>
            <w:noWrap w:val="0"/>
            <w:vAlign w:val="center"/>
          </w:tcPr>
          <w:p w14:paraId="2644F2E1">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Ⅲ</w:t>
            </w:r>
          </w:p>
        </w:tc>
        <w:tc>
          <w:tcPr>
            <w:tcW w:w="1017" w:type="pct"/>
            <w:tcBorders>
              <w:top w:val="single" w:color="000000" w:sz="12" w:space="0"/>
            </w:tcBorders>
            <w:noWrap w:val="0"/>
            <w:vAlign w:val="center"/>
          </w:tcPr>
          <w:p w14:paraId="19EA7627">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Ⅱ</w:t>
            </w:r>
          </w:p>
        </w:tc>
        <w:tc>
          <w:tcPr>
            <w:tcW w:w="1147" w:type="pct"/>
            <w:tcBorders>
              <w:top w:val="single" w:color="000000" w:sz="12" w:space="0"/>
              <w:right w:val="single" w:color="000000" w:sz="12" w:space="0"/>
            </w:tcBorders>
            <w:noWrap w:val="0"/>
            <w:vAlign w:val="center"/>
          </w:tcPr>
          <w:p w14:paraId="0F27E020">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Ⅰ</w:t>
            </w:r>
          </w:p>
        </w:tc>
      </w:tr>
      <w:tr w14:paraId="1095F1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1" w:hRule="exact"/>
          <w:jc w:val="center"/>
        </w:trPr>
        <w:tc>
          <w:tcPr>
            <w:tcW w:w="936" w:type="pct"/>
            <w:tcBorders>
              <w:left w:val="single" w:color="000000" w:sz="12" w:space="0"/>
              <w:bottom w:val="single" w:color="000000" w:sz="12" w:space="0"/>
            </w:tcBorders>
            <w:noWrap w:val="0"/>
            <w:vAlign w:val="center"/>
          </w:tcPr>
          <w:p w14:paraId="390EC1BA">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评价工作等级</w:t>
            </w:r>
          </w:p>
        </w:tc>
        <w:tc>
          <w:tcPr>
            <w:tcW w:w="882" w:type="pct"/>
            <w:tcBorders>
              <w:bottom w:val="single" w:color="000000" w:sz="12" w:space="0"/>
            </w:tcBorders>
            <w:noWrap w:val="0"/>
            <w:vAlign w:val="center"/>
          </w:tcPr>
          <w:p w14:paraId="00AB21EE">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w:t>
            </w:r>
          </w:p>
        </w:tc>
        <w:tc>
          <w:tcPr>
            <w:tcW w:w="1015" w:type="pct"/>
            <w:tcBorders>
              <w:bottom w:val="single" w:color="000000" w:sz="12" w:space="0"/>
            </w:tcBorders>
            <w:noWrap w:val="0"/>
            <w:vAlign w:val="center"/>
          </w:tcPr>
          <w:p w14:paraId="1E852721">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w:t>
            </w:r>
          </w:p>
        </w:tc>
        <w:tc>
          <w:tcPr>
            <w:tcW w:w="1017" w:type="pct"/>
            <w:tcBorders>
              <w:bottom w:val="single" w:color="000000" w:sz="12" w:space="0"/>
            </w:tcBorders>
            <w:noWrap w:val="0"/>
            <w:vAlign w:val="center"/>
          </w:tcPr>
          <w:p w14:paraId="24749FE2">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w:t>
            </w:r>
          </w:p>
        </w:tc>
        <w:tc>
          <w:tcPr>
            <w:tcW w:w="1147" w:type="pct"/>
            <w:tcBorders>
              <w:bottom w:val="single" w:color="000000" w:sz="12" w:space="0"/>
              <w:right w:val="single" w:color="000000" w:sz="12" w:space="0"/>
            </w:tcBorders>
            <w:noWrap w:val="0"/>
            <w:vAlign w:val="center"/>
          </w:tcPr>
          <w:p w14:paraId="5C8023A7">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简单分析</w:t>
            </w:r>
          </w:p>
        </w:tc>
      </w:tr>
    </w:tbl>
    <w:p w14:paraId="3F7B90EE">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根据《建设项目环境风险评价技术导则》（HJ169-2018）可知</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项目环境风险评价工作等级为简单分析。</w:t>
      </w:r>
    </w:p>
    <w:p w14:paraId="0F7BB859">
      <w:pPr>
        <w:pStyle w:val="5"/>
        <w:rPr>
          <w:rFonts w:hint="default" w:ascii="Times New Roman" w:hAnsi="Times New Roman" w:cs="Times New Roman"/>
          <w:color w:val="auto"/>
          <w:highlight w:val="none"/>
          <w:u w:val="none" w:color="auto"/>
        </w:rPr>
      </w:pPr>
      <w:bookmarkStart w:id="71" w:name="_Toc3030"/>
      <w:bookmarkStart w:id="72" w:name="_Toc14396"/>
      <w:bookmarkStart w:id="73" w:name="_Toc11729"/>
      <w:r>
        <w:rPr>
          <w:rFonts w:hint="default" w:ascii="Times New Roman" w:hAnsi="Times New Roman" w:cs="Times New Roman"/>
          <w:color w:val="auto"/>
          <w:highlight w:val="none"/>
          <w:u w:val="none" w:color="auto"/>
        </w:rPr>
        <w:t>环境功能区划</w:t>
      </w:r>
      <w:bookmarkEnd w:id="71"/>
      <w:bookmarkEnd w:id="72"/>
      <w:bookmarkEnd w:id="73"/>
    </w:p>
    <w:p w14:paraId="2A7E7C2B">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地表水环境功能区</w:t>
      </w:r>
    </w:p>
    <w:p w14:paraId="6AE3EE70">
      <w:pPr>
        <w:bidi w:val="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val="en-US" w:eastAsia="zh-CN"/>
        </w:rPr>
        <w:t>废水受纳水体为湘江，《地表水环境质量标准》（GB3838-2002）Ⅲ类标准。</w:t>
      </w:r>
    </w:p>
    <w:p w14:paraId="0148FFC5">
      <w:pPr>
        <w:pStyle w:val="6"/>
        <w:rPr>
          <w:rFonts w:hint="default" w:ascii="Times New Roman" w:hAnsi="Times New Roman" w:cs="Times New Roman"/>
          <w:color w:val="auto"/>
          <w:highlight w:val="none"/>
          <w:u w:val="none" w:color="auto"/>
        </w:rPr>
      </w:pPr>
      <w:bookmarkStart w:id="74" w:name="_Toc220122764"/>
      <w:r>
        <w:rPr>
          <w:rFonts w:hint="default" w:ascii="Times New Roman" w:hAnsi="Times New Roman" w:cs="Times New Roman"/>
          <w:color w:val="auto"/>
          <w:highlight w:val="none"/>
          <w:u w:val="none" w:color="auto"/>
        </w:rPr>
        <w:t>大气环境功能区划</w:t>
      </w:r>
      <w:bookmarkEnd w:id="74"/>
    </w:p>
    <w:p w14:paraId="4FFEA7A7">
      <w:pPr>
        <w:ind w:firstLine="480"/>
        <w:rPr>
          <w:rFonts w:hint="default" w:ascii="Times New Roman" w:hAnsi="Times New Roman" w:cs="Times New Roman"/>
          <w:color w:val="auto"/>
          <w:highlight w:val="none"/>
          <w:u w:val="none" w:color="auto"/>
        </w:rPr>
      </w:pPr>
      <w:bookmarkStart w:id="75" w:name="_Toc220122765"/>
      <w:r>
        <w:rPr>
          <w:rFonts w:hint="default" w:ascii="Times New Roman" w:hAnsi="Times New Roman" w:cs="Times New Roman"/>
          <w:color w:val="auto"/>
          <w:highlight w:val="none"/>
          <w:u w:val="none" w:color="auto"/>
        </w:rPr>
        <w:t>本项目</w:t>
      </w:r>
      <w:r>
        <w:rPr>
          <w:rFonts w:hint="default" w:ascii="Times New Roman" w:hAnsi="Times New Roman" w:cs="Times New Roman"/>
          <w:color w:val="auto"/>
          <w:highlight w:val="none"/>
          <w:u w:val="none" w:color="auto"/>
          <w:lang w:val="en-US" w:eastAsia="zh-CN"/>
        </w:rPr>
        <w:t>厂区</w:t>
      </w:r>
      <w:r>
        <w:rPr>
          <w:rFonts w:hint="default" w:ascii="Times New Roman" w:hAnsi="Times New Roman" w:cs="Times New Roman"/>
          <w:color w:val="auto"/>
          <w:highlight w:val="none"/>
          <w:u w:val="none" w:color="auto"/>
        </w:rPr>
        <w:t>所在地区属于工业园区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根据《环境空气质量标准》中环境空气质量功能区分类</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属于二类区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执行《环境空气质量标准》（GB3095-2012）中二级标准。</w:t>
      </w:r>
    </w:p>
    <w:p w14:paraId="0EB1BF22">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声环境功能区划</w:t>
      </w:r>
      <w:bookmarkEnd w:id="75"/>
    </w:p>
    <w:p w14:paraId="69C1632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根据《声环境质量标准》（GB3096-2008）中对噪声区域的划分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w:t>
      </w:r>
      <w:r>
        <w:rPr>
          <w:rFonts w:hint="default" w:ascii="Times New Roman" w:hAnsi="Times New Roman" w:cs="Times New Roman"/>
          <w:color w:val="auto"/>
          <w:highlight w:val="none"/>
          <w:u w:val="none" w:color="auto"/>
          <w:lang w:val="en-US" w:eastAsia="zh-CN"/>
        </w:rPr>
        <w:t>厂区</w:t>
      </w:r>
      <w:r>
        <w:rPr>
          <w:rFonts w:hint="default" w:ascii="Times New Roman" w:hAnsi="Times New Roman" w:cs="Times New Roman"/>
          <w:color w:val="auto"/>
          <w:highlight w:val="none"/>
          <w:u w:val="none" w:color="auto"/>
        </w:rPr>
        <w:t>所在地区属于工业园区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执行《声环境质量标准》（GB3096-2008）中的3类标准。故本项目厂界为3类声环境功能区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执行3类环境噪声限值。</w:t>
      </w:r>
    </w:p>
    <w:p w14:paraId="58A5DF0F">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项目所在区域环境功能属性汇总</w:t>
      </w:r>
    </w:p>
    <w:p w14:paraId="3984322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根据项目所在区域的环境功能区划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项目所在区域的环境功能属性见表2.5-1。</w:t>
      </w:r>
    </w:p>
    <w:p w14:paraId="31B367DF">
      <w:pPr>
        <w:pStyle w:val="39"/>
        <w:bidi w:val="0"/>
        <w:rPr>
          <w:rFonts w:hint="default"/>
        </w:rPr>
      </w:pPr>
      <w:r>
        <w:rPr>
          <w:rFonts w:hint="default"/>
        </w:rPr>
        <w:t>表2.5-1   环境功能区划表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46"/>
        <w:gridCol w:w="2819"/>
        <w:gridCol w:w="5054"/>
      </w:tblGrid>
      <w:tr w14:paraId="5822939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74D51155">
            <w:pPr>
              <w:pStyle w:val="42"/>
              <w:keepNext w:val="0"/>
              <w:keepLines w:val="0"/>
              <w:suppressLineNumbers w:val="0"/>
              <w:bidi w:val="0"/>
              <w:spacing w:before="0" w:beforeAutospacing="0" w:after="0" w:afterAutospacing="0"/>
              <w:rPr>
                <w:rFonts w:hint="default"/>
              </w:rPr>
            </w:pPr>
            <w:r>
              <w:rPr>
                <w:rFonts w:hint="default"/>
              </w:rPr>
              <w:t>编号</w:t>
            </w:r>
          </w:p>
        </w:tc>
        <w:tc>
          <w:tcPr>
            <w:tcW w:w="1654" w:type="pct"/>
            <w:noWrap w:val="0"/>
            <w:vAlign w:val="center"/>
          </w:tcPr>
          <w:p w14:paraId="4DE9531D">
            <w:pPr>
              <w:pStyle w:val="42"/>
              <w:keepNext w:val="0"/>
              <w:keepLines w:val="0"/>
              <w:suppressLineNumbers w:val="0"/>
              <w:bidi w:val="0"/>
              <w:spacing w:before="0" w:beforeAutospacing="0" w:after="0" w:afterAutospacing="0"/>
              <w:rPr>
                <w:rFonts w:hint="default"/>
              </w:rPr>
            </w:pPr>
            <w:r>
              <w:rPr>
                <w:rFonts w:hint="default"/>
              </w:rPr>
              <w:t>环境要素</w:t>
            </w:r>
          </w:p>
        </w:tc>
        <w:tc>
          <w:tcPr>
            <w:tcW w:w="2965" w:type="pct"/>
            <w:noWrap w:val="0"/>
            <w:vAlign w:val="center"/>
          </w:tcPr>
          <w:p w14:paraId="163DC5F6">
            <w:pPr>
              <w:pStyle w:val="42"/>
              <w:keepNext w:val="0"/>
              <w:keepLines w:val="0"/>
              <w:suppressLineNumbers w:val="0"/>
              <w:bidi w:val="0"/>
              <w:spacing w:before="0" w:beforeAutospacing="0" w:after="0" w:afterAutospacing="0"/>
              <w:rPr>
                <w:rFonts w:hint="default"/>
              </w:rPr>
            </w:pPr>
            <w:r>
              <w:rPr>
                <w:rFonts w:hint="default"/>
              </w:rPr>
              <w:t>环境功能属性</w:t>
            </w:r>
          </w:p>
        </w:tc>
      </w:tr>
      <w:tr w14:paraId="20758C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5855035E">
            <w:pPr>
              <w:pStyle w:val="42"/>
              <w:keepNext w:val="0"/>
              <w:keepLines w:val="0"/>
              <w:suppressLineNumbers w:val="0"/>
              <w:bidi w:val="0"/>
              <w:spacing w:before="0" w:beforeAutospacing="0" w:after="0" w:afterAutospacing="0"/>
              <w:rPr>
                <w:rFonts w:hint="default"/>
              </w:rPr>
            </w:pPr>
            <w:r>
              <w:rPr>
                <w:rFonts w:hint="default"/>
              </w:rPr>
              <w:t>1</w:t>
            </w:r>
          </w:p>
        </w:tc>
        <w:tc>
          <w:tcPr>
            <w:tcW w:w="1654" w:type="pct"/>
            <w:noWrap w:val="0"/>
            <w:vAlign w:val="center"/>
          </w:tcPr>
          <w:p w14:paraId="16912738">
            <w:pPr>
              <w:pStyle w:val="42"/>
              <w:keepNext w:val="0"/>
              <w:keepLines w:val="0"/>
              <w:suppressLineNumbers w:val="0"/>
              <w:bidi w:val="0"/>
              <w:spacing w:before="0" w:beforeAutospacing="0" w:after="0" w:afterAutospacing="0"/>
              <w:rPr>
                <w:rFonts w:hint="default"/>
              </w:rPr>
            </w:pPr>
            <w:r>
              <w:rPr>
                <w:rFonts w:hint="default"/>
              </w:rPr>
              <w:t>环境空气</w:t>
            </w:r>
          </w:p>
        </w:tc>
        <w:tc>
          <w:tcPr>
            <w:tcW w:w="2965" w:type="pct"/>
            <w:noWrap w:val="0"/>
            <w:vAlign w:val="center"/>
          </w:tcPr>
          <w:p w14:paraId="5EFC8D1D">
            <w:pPr>
              <w:pStyle w:val="42"/>
              <w:keepNext w:val="0"/>
              <w:keepLines w:val="0"/>
              <w:suppressLineNumbers w:val="0"/>
              <w:bidi w:val="0"/>
              <w:spacing w:before="0" w:beforeAutospacing="0" w:after="0" w:afterAutospacing="0"/>
              <w:rPr>
                <w:rFonts w:hint="default"/>
              </w:rPr>
            </w:pPr>
            <w:r>
              <w:rPr>
                <w:rFonts w:hint="default"/>
              </w:rPr>
              <w:t>二类区</w:t>
            </w:r>
            <w:r>
              <w:rPr>
                <w:rFonts w:hint="default"/>
                <w:lang w:eastAsia="zh-CN"/>
              </w:rPr>
              <w:t>，</w:t>
            </w:r>
            <w:r>
              <w:rPr>
                <w:rFonts w:hint="default"/>
              </w:rPr>
              <w:t>执行《环境空气质量标准》（GB3095-2012）二级标准</w:t>
            </w:r>
          </w:p>
        </w:tc>
      </w:tr>
      <w:tr w14:paraId="6779E3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5CBCEC74">
            <w:pPr>
              <w:pStyle w:val="42"/>
              <w:keepNext w:val="0"/>
              <w:keepLines w:val="0"/>
              <w:suppressLineNumbers w:val="0"/>
              <w:bidi w:val="0"/>
              <w:spacing w:before="0" w:beforeAutospacing="0" w:after="0" w:afterAutospacing="0"/>
              <w:rPr>
                <w:rFonts w:hint="default"/>
              </w:rPr>
            </w:pPr>
            <w:r>
              <w:rPr>
                <w:rFonts w:hint="default"/>
              </w:rPr>
              <w:t>2</w:t>
            </w:r>
          </w:p>
        </w:tc>
        <w:tc>
          <w:tcPr>
            <w:tcW w:w="1654" w:type="pct"/>
            <w:noWrap w:val="0"/>
            <w:vAlign w:val="center"/>
          </w:tcPr>
          <w:p w14:paraId="7CFE03AA">
            <w:pPr>
              <w:pStyle w:val="42"/>
              <w:keepNext w:val="0"/>
              <w:keepLines w:val="0"/>
              <w:suppressLineNumbers w:val="0"/>
              <w:bidi w:val="0"/>
              <w:spacing w:before="0" w:beforeAutospacing="0" w:after="0" w:afterAutospacing="0"/>
              <w:rPr>
                <w:rFonts w:hint="default"/>
              </w:rPr>
            </w:pPr>
            <w:r>
              <w:rPr>
                <w:rFonts w:hint="default"/>
              </w:rPr>
              <w:t>地表水</w:t>
            </w:r>
          </w:p>
        </w:tc>
        <w:tc>
          <w:tcPr>
            <w:tcW w:w="2965" w:type="pct"/>
            <w:noWrap w:val="0"/>
            <w:vAlign w:val="center"/>
          </w:tcPr>
          <w:p w14:paraId="32E3D6AF">
            <w:pPr>
              <w:pStyle w:val="42"/>
              <w:keepNext w:val="0"/>
              <w:keepLines w:val="0"/>
              <w:suppressLineNumbers w:val="0"/>
              <w:bidi w:val="0"/>
              <w:spacing w:before="0" w:beforeAutospacing="0" w:after="0" w:afterAutospacing="0"/>
              <w:rPr>
                <w:rFonts w:hint="default"/>
                <w:lang w:eastAsia="zh-CN"/>
              </w:rPr>
            </w:pPr>
            <w:r>
              <w:rPr>
                <w:rFonts w:hint="eastAsia"/>
                <w:lang w:val="en-US" w:eastAsia="zh-CN"/>
              </w:rPr>
              <w:t>湘江</w:t>
            </w:r>
            <w:r>
              <w:rPr>
                <w:rFonts w:hint="default"/>
              </w:rPr>
              <w:t>汇入口上游500m至下游1.5km的范围水域执行《地表水环境质量标准》（GB3838-2002）Ⅲ类标准</w:t>
            </w:r>
            <w:r>
              <w:rPr>
                <w:rFonts w:hint="default"/>
                <w:lang w:eastAsia="zh-CN"/>
              </w:rPr>
              <w:t>。</w:t>
            </w:r>
          </w:p>
        </w:tc>
      </w:tr>
      <w:tr w14:paraId="3F2654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51D6C7AB">
            <w:pPr>
              <w:pStyle w:val="42"/>
              <w:keepNext w:val="0"/>
              <w:keepLines w:val="0"/>
              <w:suppressLineNumbers w:val="0"/>
              <w:bidi w:val="0"/>
              <w:spacing w:before="0" w:beforeAutospacing="0" w:after="0" w:afterAutospacing="0"/>
              <w:rPr>
                <w:rFonts w:hint="default"/>
              </w:rPr>
            </w:pPr>
            <w:r>
              <w:rPr>
                <w:rFonts w:hint="default"/>
              </w:rPr>
              <w:t>3</w:t>
            </w:r>
          </w:p>
        </w:tc>
        <w:tc>
          <w:tcPr>
            <w:tcW w:w="1654" w:type="pct"/>
            <w:noWrap w:val="0"/>
            <w:vAlign w:val="center"/>
          </w:tcPr>
          <w:p w14:paraId="36F517DA">
            <w:pPr>
              <w:pStyle w:val="42"/>
              <w:keepNext w:val="0"/>
              <w:keepLines w:val="0"/>
              <w:suppressLineNumbers w:val="0"/>
              <w:bidi w:val="0"/>
              <w:spacing w:before="0" w:beforeAutospacing="0" w:after="0" w:afterAutospacing="0"/>
              <w:rPr>
                <w:rFonts w:hint="default"/>
              </w:rPr>
            </w:pPr>
            <w:r>
              <w:rPr>
                <w:rFonts w:hint="default"/>
              </w:rPr>
              <w:t>声环境</w:t>
            </w:r>
          </w:p>
        </w:tc>
        <w:tc>
          <w:tcPr>
            <w:tcW w:w="2965" w:type="pct"/>
            <w:noWrap w:val="0"/>
            <w:vAlign w:val="center"/>
          </w:tcPr>
          <w:p w14:paraId="1A1D94FF">
            <w:pPr>
              <w:pStyle w:val="42"/>
              <w:keepNext w:val="0"/>
              <w:keepLines w:val="0"/>
              <w:suppressLineNumbers w:val="0"/>
              <w:bidi w:val="0"/>
              <w:spacing w:before="0" w:beforeAutospacing="0" w:after="0" w:afterAutospacing="0"/>
              <w:rPr>
                <w:rFonts w:hint="default"/>
              </w:rPr>
            </w:pPr>
            <w:r>
              <w:rPr>
                <w:rFonts w:hint="default"/>
              </w:rPr>
              <w:t>属于</w:t>
            </w:r>
            <w:r>
              <w:rPr>
                <w:rFonts w:hint="default"/>
                <w:lang w:val="en-US" w:eastAsia="zh-CN"/>
              </w:rPr>
              <w:t>3</w:t>
            </w:r>
            <w:r>
              <w:rPr>
                <w:rFonts w:hint="default"/>
              </w:rPr>
              <w:t>类声环境功能区</w:t>
            </w:r>
            <w:r>
              <w:rPr>
                <w:rFonts w:hint="default"/>
                <w:lang w:eastAsia="zh-CN"/>
              </w:rPr>
              <w:t>，</w:t>
            </w:r>
            <w:r>
              <w:rPr>
                <w:rFonts w:hint="default"/>
              </w:rPr>
              <w:t>执行《声环境质量标准》（GB3096-2008）中</w:t>
            </w:r>
            <w:r>
              <w:rPr>
                <w:rFonts w:hint="default"/>
                <w:lang w:val="en-US" w:eastAsia="zh-CN"/>
              </w:rPr>
              <w:t>3</w:t>
            </w:r>
            <w:r>
              <w:rPr>
                <w:rFonts w:hint="default"/>
              </w:rPr>
              <w:t>类标准。</w:t>
            </w:r>
          </w:p>
        </w:tc>
      </w:tr>
      <w:tr w14:paraId="7B9A24D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535F5C50">
            <w:pPr>
              <w:pStyle w:val="42"/>
              <w:keepNext w:val="0"/>
              <w:keepLines w:val="0"/>
              <w:suppressLineNumbers w:val="0"/>
              <w:bidi w:val="0"/>
              <w:spacing w:before="0" w:beforeAutospacing="0" w:after="0" w:afterAutospacing="0"/>
              <w:rPr>
                <w:rFonts w:hint="default"/>
              </w:rPr>
            </w:pPr>
            <w:r>
              <w:rPr>
                <w:rFonts w:hint="default"/>
              </w:rPr>
              <w:t>4</w:t>
            </w:r>
          </w:p>
        </w:tc>
        <w:tc>
          <w:tcPr>
            <w:tcW w:w="1654" w:type="pct"/>
            <w:noWrap w:val="0"/>
            <w:vAlign w:val="center"/>
          </w:tcPr>
          <w:p w14:paraId="1036EB3D">
            <w:pPr>
              <w:pStyle w:val="42"/>
              <w:keepNext w:val="0"/>
              <w:keepLines w:val="0"/>
              <w:suppressLineNumbers w:val="0"/>
              <w:bidi w:val="0"/>
              <w:spacing w:before="0" w:beforeAutospacing="0" w:after="0" w:afterAutospacing="0"/>
              <w:rPr>
                <w:rFonts w:hint="default"/>
              </w:rPr>
            </w:pPr>
            <w:r>
              <w:rPr>
                <w:rFonts w:hint="default"/>
              </w:rPr>
              <w:t>是否基本农田保护区</w:t>
            </w:r>
          </w:p>
        </w:tc>
        <w:tc>
          <w:tcPr>
            <w:tcW w:w="2965" w:type="pct"/>
            <w:noWrap w:val="0"/>
            <w:vAlign w:val="center"/>
          </w:tcPr>
          <w:p w14:paraId="19BA7519">
            <w:pPr>
              <w:pStyle w:val="42"/>
              <w:keepNext w:val="0"/>
              <w:keepLines w:val="0"/>
              <w:suppressLineNumbers w:val="0"/>
              <w:bidi w:val="0"/>
              <w:spacing w:before="0" w:beforeAutospacing="0" w:after="0" w:afterAutospacing="0"/>
              <w:rPr>
                <w:rFonts w:hint="default"/>
              </w:rPr>
            </w:pPr>
            <w:r>
              <w:rPr>
                <w:rFonts w:hint="default"/>
              </w:rPr>
              <w:t>否</w:t>
            </w:r>
          </w:p>
        </w:tc>
      </w:tr>
      <w:tr w14:paraId="01B7E5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3E265ADE">
            <w:pPr>
              <w:pStyle w:val="42"/>
              <w:keepNext w:val="0"/>
              <w:keepLines w:val="0"/>
              <w:suppressLineNumbers w:val="0"/>
              <w:bidi w:val="0"/>
              <w:spacing w:before="0" w:beforeAutospacing="0" w:after="0" w:afterAutospacing="0"/>
              <w:rPr>
                <w:rFonts w:hint="default"/>
              </w:rPr>
            </w:pPr>
            <w:r>
              <w:rPr>
                <w:rFonts w:hint="default"/>
              </w:rPr>
              <w:t>5</w:t>
            </w:r>
          </w:p>
        </w:tc>
        <w:tc>
          <w:tcPr>
            <w:tcW w:w="1654" w:type="pct"/>
            <w:noWrap w:val="0"/>
            <w:vAlign w:val="center"/>
          </w:tcPr>
          <w:p w14:paraId="2F99E537">
            <w:pPr>
              <w:pStyle w:val="42"/>
              <w:keepNext w:val="0"/>
              <w:keepLines w:val="0"/>
              <w:suppressLineNumbers w:val="0"/>
              <w:bidi w:val="0"/>
              <w:spacing w:before="0" w:beforeAutospacing="0" w:after="0" w:afterAutospacing="0"/>
              <w:rPr>
                <w:rFonts w:hint="default"/>
              </w:rPr>
            </w:pPr>
            <w:r>
              <w:rPr>
                <w:rFonts w:hint="default"/>
              </w:rPr>
              <w:t>是否森林公园</w:t>
            </w:r>
          </w:p>
        </w:tc>
        <w:tc>
          <w:tcPr>
            <w:tcW w:w="2965" w:type="pct"/>
            <w:noWrap w:val="0"/>
            <w:vAlign w:val="center"/>
          </w:tcPr>
          <w:p w14:paraId="0B3478F3">
            <w:pPr>
              <w:pStyle w:val="42"/>
              <w:keepNext w:val="0"/>
              <w:keepLines w:val="0"/>
              <w:suppressLineNumbers w:val="0"/>
              <w:bidi w:val="0"/>
              <w:spacing w:before="0" w:beforeAutospacing="0" w:after="0" w:afterAutospacing="0"/>
              <w:rPr>
                <w:rFonts w:hint="default"/>
              </w:rPr>
            </w:pPr>
            <w:r>
              <w:rPr>
                <w:rFonts w:hint="default"/>
              </w:rPr>
              <w:t>否</w:t>
            </w:r>
          </w:p>
        </w:tc>
      </w:tr>
      <w:tr w14:paraId="371906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5689B65E">
            <w:pPr>
              <w:pStyle w:val="42"/>
              <w:keepNext w:val="0"/>
              <w:keepLines w:val="0"/>
              <w:suppressLineNumbers w:val="0"/>
              <w:bidi w:val="0"/>
              <w:spacing w:before="0" w:beforeAutospacing="0" w:after="0" w:afterAutospacing="0"/>
              <w:rPr>
                <w:rFonts w:hint="default"/>
              </w:rPr>
            </w:pPr>
            <w:r>
              <w:rPr>
                <w:rFonts w:hint="default"/>
              </w:rPr>
              <w:t>6</w:t>
            </w:r>
          </w:p>
        </w:tc>
        <w:tc>
          <w:tcPr>
            <w:tcW w:w="1654" w:type="pct"/>
            <w:noWrap w:val="0"/>
            <w:vAlign w:val="center"/>
          </w:tcPr>
          <w:p w14:paraId="09AF8898">
            <w:pPr>
              <w:pStyle w:val="42"/>
              <w:keepNext w:val="0"/>
              <w:keepLines w:val="0"/>
              <w:suppressLineNumbers w:val="0"/>
              <w:bidi w:val="0"/>
              <w:spacing w:before="0" w:beforeAutospacing="0" w:after="0" w:afterAutospacing="0"/>
              <w:rPr>
                <w:rFonts w:hint="default"/>
              </w:rPr>
            </w:pPr>
            <w:r>
              <w:rPr>
                <w:rFonts w:hint="default"/>
              </w:rPr>
              <w:t>是否生态功能保护区</w:t>
            </w:r>
          </w:p>
        </w:tc>
        <w:tc>
          <w:tcPr>
            <w:tcW w:w="2965" w:type="pct"/>
            <w:noWrap w:val="0"/>
            <w:vAlign w:val="center"/>
          </w:tcPr>
          <w:p w14:paraId="7907DCE3">
            <w:pPr>
              <w:pStyle w:val="42"/>
              <w:keepNext w:val="0"/>
              <w:keepLines w:val="0"/>
              <w:suppressLineNumbers w:val="0"/>
              <w:bidi w:val="0"/>
              <w:spacing w:before="0" w:beforeAutospacing="0" w:after="0" w:afterAutospacing="0"/>
              <w:rPr>
                <w:rFonts w:hint="default"/>
              </w:rPr>
            </w:pPr>
            <w:r>
              <w:rPr>
                <w:rFonts w:hint="default"/>
              </w:rPr>
              <w:t>否</w:t>
            </w:r>
          </w:p>
        </w:tc>
      </w:tr>
      <w:tr w14:paraId="661AED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3E87B9B6">
            <w:pPr>
              <w:pStyle w:val="42"/>
              <w:keepNext w:val="0"/>
              <w:keepLines w:val="0"/>
              <w:suppressLineNumbers w:val="0"/>
              <w:bidi w:val="0"/>
              <w:spacing w:before="0" w:beforeAutospacing="0" w:after="0" w:afterAutospacing="0"/>
              <w:rPr>
                <w:rFonts w:hint="default"/>
              </w:rPr>
            </w:pPr>
            <w:r>
              <w:rPr>
                <w:rFonts w:hint="default"/>
              </w:rPr>
              <w:t>7</w:t>
            </w:r>
          </w:p>
        </w:tc>
        <w:tc>
          <w:tcPr>
            <w:tcW w:w="1654" w:type="pct"/>
            <w:noWrap w:val="0"/>
            <w:vAlign w:val="center"/>
          </w:tcPr>
          <w:p w14:paraId="6C1CF049">
            <w:pPr>
              <w:pStyle w:val="42"/>
              <w:keepNext w:val="0"/>
              <w:keepLines w:val="0"/>
              <w:suppressLineNumbers w:val="0"/>
              <w:bidi w:val="0"/>
              <w:spacing w:before="0" w:beforeAutospacing="0" w:after="0" w:afterAutospacing="0"/>
              <w:rPr>
                <w:rFonts w:hint="default"/>
              </w:rPr>
            </w:pPr>
            <w:r>
              <w:rPr>
                <w:rFonts w:hint="default"/>
              </w:rPr>
              <w:t>是否水土流失重点防治区</w:t>
            </w:r>
          </w:p>
        </w:tc>
        <w:tc>
          <w:tcPr>
            <w:tcW w:w="2965" w:type="pct"/>
            <w:noWrap w:val="0"/>
            <w:vAlign w:val="center"/>
          </w:tcPr>
          <w:p w14:paraId="07223A2D">
            <w:pPr>
              <w:pStyle w:val="42"/>
              <w:keepNext w:val="0"/>
              <w:keepLines w:val="0"/>
              <w:suppressLineNumbers w:val="0"/>
              <w:bidi w:val="0"/>
              <w:spacing w:before="0" w:beforeAutospacing="0" w:after="0" w:afterAutospacing="0"/>
              <w:rPr>
                <w:rFonts w:hint="eastAsia"/>
                <w:lang w:eastAsia="zh-CN"/>
              </w:rPr>
            </w:pPr>
            <w:r>
              <w:rPr>
                <w:rFonts w:hint="default"/>
              </w:rPr>
              <w:t>否</w:t>
            </w:r>
          </w:p>
        </w:tc>
      </w:tr>
      <w:tr w14:paraId="794FD7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62A44436">
            <w:pPr>
              <w:pStyle w:val="42"/>
              <w:keepNext w:val="0"/>
              <w:keepLines w:val="0"/>
              <w:suppressLineNumbers w:val="0"/>
              <w:bidi w:val="0"/>
              <w:spacing w:before="0" w:beforeAutospacing="0" w:after="0" w:afterAutospacing="0"/>
              <w:rPr>
                <w:rFonts w:hint="default"/>
              </w:rPr>
            </w:pPr>
            <w:r>
              <w:rPr>
                <w:rFonts w:hint="default"/>
              </w:rPr>
              <w:t>8</w:t>
            </w:r>
          </w:p>
        </w:tc>
        <w:tc>
          <w:tcPr>
            <w:tcW w:w="1654" w:type="pct"/>
            <w:noWrap w:val="0"/>
            <w:vAlign w:val="center"/>
          </w:tcPr>
          <w:p w14:paraId="2ED10822">
            <w:pPr>
              <w:pStyle w:val="42"/>
              <w:keepNext w:val="0"/>
              <w:keepLines w:val="0"/>
              <w:suppressLineNumbers w:val="0"/>
              <w:bidi w:val="0"/>
              <w:spacing w:before="0" w:beforeAutospacing="0" w:after="0" w:afterAutospacing="0"/>
              <w:rPr>
                <w:rFonts w:hint="default"/>
              </w:rPr>
            </w:pPr>
            <w:r>
              <w:rPr>
                <w:rFonts w:hint="default"/>
              </w:rPr>
              <w:t>是否人口密集区</w:t>
            </w:r>
          </w:p>
        </w:tc>
        <w:tc>
          <w:tcPr>
            <w:tcW w:w="2965" w:type="pct"/>
            <w:noWrap w:val="0"/>
            <w:vAlign w:val="center"/>
          </w:tcPr>
          <w:p w14:paraId="466AB795">
            <w:pPr>
              <w:pStyle w:val="42"/>
              <w:keepNext w:val="0"/>
              <w:keepLines w:val="0"/>
              <w:suppressLineNumbers w:val="0"/>
              <w:bidi w:val="0"/>
              <w:spacing w:before="0" w:beforeAutospacing="0" w:after="0" w:afterAutospacing="0"/>
              <w:rPr>
                <w:rFonts w:hint="eastAsia"/>
                <w:lang w:eastAsia="zh-CN"/>
              </w:rPr>
            </w:pPr>
            <w:r>
              <w:rPr>
                <w:rFonts w:hint="default"/>
              </w:rPr>
              <w:t>否</w:t>
            </w:r>
          </w:p>
        </w:tc>
      </w:tr>
      <w:tr w14:paraId="4D75EC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09D7158B">
            <w:pPr>
              <w:pStyle w:val="42"/>
              <w:keepNext w:val="0"/>
              <w:keepLines w:val="0"/>
              <w:suppressLineNumbers w:val="0"/>
              <w:bidi w:val="0"/>
              <w:spacing w:before="0" w:beforeAutospacing="0" w:after="0" w:afterAutospacing="0"/>
              <w:rPr>
                <w:rFonts w:hint="default"/>
              </w:rPr>
            </w:pPr>
            <w:r>
              <w:rPr>
                <w:rFonts w:hint="default"/>
              </w:rPr>
              <w:t>9</w:t>
            </w:r>
          </w:p>
        </w:tc>
        <w:tc>
          <w:tcPr>
            <w:tcW w:w="1654" w:type="pct"/>
            <w:noWrap w:val="0"/>
            <w:vAlign w:val="center"/>
          </w:tcPr>
          <w:p w14:paraId="41BE6B2E">
            <w:pPr>
              <w:pStyle w:val="42"/>
              <w:keepNext w:val="0"/>
              <w:keepLines w:val="0"/>
              <w:suppressLineNumbers w:val="0"/>
              <w:bidi w:val="0"/>
              <w:spacing w:before="0" w:beforeAutospacing="0" w:after="0" w:afterAutospacing="0"/>
              <w:rPr>
                <w:rFonts w:hint="default"/>
              </w:rPr>
            </w:pPr>
            <w:r>
              <w:rPr>
                <w:rFonts w:hint="default"/>
              </w:rPr>
              <w:t>是否重点文物保护单位</w:t>
            </w:r>
          </w:p>
        </w:tc>
        <w:tc>
          <w:tcPr>
            <w:tcW w:w="2965" w:type="pct"/>
            <w:noWrap w:val="0"/>
            <w:vAlign w:val="center"/>
          </w:tcPr>
          <w:p w14:paraId="02AE10A8">
            <w:pPr>
              <w:pStyle w:val="42"/>
              <w:keepNext w:val="0"/>
              <w:keepLines w:val="0"/>
              <w:suppressLineNumbers w:val="0"/>
              <w:bidi w:val="0"/>
              <w:spacing w:before="0" w:beforeAutospacing="0" w:after="0" w:afterAutospacing="0"/>
              <w:rPr>
                <w:rFonts w:hint="default"/>
              </w:rPr>
            </w:pPr>
            <w:r>
              <w:rPr>
                <w:rFonts w:hint="default"/>
              </w:rPr>
              <w:t>否</w:t>
            </w:r>
          </w:p>
        </w:tc>
      </w:tr>
      <w:tr w14:paraId="4F4D1E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2A072368">
            <w:pPr>
              <w:pStyle w:val="42"/>
              <w:keepNext w:val="0"/>
              <w:keepLines w:val="0"/>
              <w:suppressLineNumbers w:val="0"/>
              <w:bidi w:val="0"/>
              <w:spacing w:before="0" w:beforeAutospacing="0" w:after="0" w:afterAutospacing="0"/>
              <w:rPr>
                <w:rFonts w:hint="default"/>
              </w:rPr>
            </w:pPr>
            <w:r>
              <w:rPr>
                <w:rFonts w:hint="default"/>
              </w:rPr>
              <w:t>10</w:t>
            </w:r>
          </w:p>
        </w:tc>
        <w:tc>
          <w:tcPr>
            <w:tcW w:w="1654" w:type="pct"/>
            <w:noWrap w:val="0"/>
            <w:vAlign w:val="center"/>
          </w:tcPr>
          <w:p w14:paraId="54C5BBCC">
            <w:pPr>
              <w:pStyle w:val="42"/>
              <w:keepNext w:val="0"/>
              <w:keepLines w:val="0"/>
              <w:suppressLineNumbers w:val="0"/>
              <w:bidi w:val="0"/>
              <w:spacing w:before="0" w:beforeAutospacing="0" w:after="0" w:afterAutospacing="0"/>
              <w:rPr>
                <w:rFonts w:hint="default"/>
              </w:rPr>
            </w:pPr>
            <w:r>
              <w:rPr>
                <w:rFonts w:hint="default"/>
              </w:rPr>
              <w:t>是否三河、三湖、两控区</w:t>
            </w:r>
          </w:p>
        </w:tc>
        <w:tc>
          <w:tcPr>
            <w:tcW w:w="2965" w:type="pct"/>
            <w:noWrap w:val="0"/>
            <w:vAlign w:val="center"/>
          </w:tcPr>
          <w:p w14:paraId="4ADA6FF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是</w:t>
            </w:r>
          </w:p>
        </w:tc>
      </w:tr>
      <w:tr w14:paraId="0D1DB8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220D60A9">
            <w:pPr>
              <w:pStyle w:val="42"/>
              <w:keepNext w:val="0"/>
              <w:keepLines w:val="0"/>
              <w:suppressLineNumbers w:val="0"/>
              <w:bidi w:val="0"/>
              <w:spacing w:before="0" w:beforeAutospacing="0" w:after="0" w:afterAutospacing="0"/>
              <w:rPr>
                <w:rFonts w:hint="default"/>
              </w:rPr>
            </w:pPr>
            <w:r>
              <w:rPr>
                <w:rFonts w:hint="default"/>
              </w:rPr>
              <w:t>11</w:t>
            </w:r>
          </w:p>
        </w:tc>
        <w:tc>
          <w:tcPr>
            <w:tcW w:w="1654" w:type="pct"/>
            <w:noWrap w:val="0"/>
            <w:vAlign w:val="center"/>
          </w:tcPr>
          <w:p w14:paraId="5C31FDE8">
            <w:pPr>
              <w:pStyle w:val="42"/>
              <w:keepNext w:val="0"/>
              <w:keepLines w:val="0"/>
              <w:suppressLineNumbers w:val="0"/>
              <w:bidi w:val="0"/>
              <w:spacing w:before="0" w:beforeAutospacing="0" w:after="0" w:afterAutospacing="0"/>
              <w:rPr>
                <w:rFonts w:hint="default"/>
              </w:rPr>
            </w:pPr>
            <w:r>
              <w:rPr>
                <w:rFonts w:hint="default"/>
              </w:rPr>
              <w:t>是否水库库区</w:t>
            </w:r>
          </w:p>
        </w:tc>
        <w:tc>
          <w:tcPr>
            <w:tcW w:w="2965" w:type="pct"/>
            <w:noWrap w:val="0"/>
            <w:vAlign w:val="center"/>
          </w:tcPr>
          <w:p w14:paraId="2CDB79AB">
            <w:pPr>
              <w:pStyle w:val="42"/>
              <w:keepNext w:val="0"/>
              <w:keepLines w:val="0"/>
              <w:suppressLineNumbers w:val="0"/>
              <w:bidi w:val="0"/>
              <w:spacing w:before="0" w:beforeAutospacing="0" w:after="0" w:afterAutospacing="0"/>
              <w:rPr>
                <w:rFonts w:hint="default"/>
              </w:rPr>
            </w:pPr>
            <w:r>
              <w:rPr>
                <w:rFonts w:hint="default"/>
              </w:rPr>
              <w:t>否</w:t>
            </w:r>
          </w:p>
        </w:tc>
      </w:tr>
      <w:tr w14:paraId="51AC4F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379" w:type="pct"/>
            <w:noWrap w:val="0"/>
            <w:vAlign w:val="center"/>
          </w:tcPr>
          <w:p w14:paraId="26767824">
            <w:pPr>
              <w:pStyle w:val="42"/>
              <w:keepNext w:val="0"/>
              <w:keepLines w:val="0"/>
              <w:suppressLineNumbers w:val="0"/>
              <w:bidi w:val="0"/>
              <w:spacing w:before="0" w:beforeAutospacing="0" w:after="0" w:afterAutospacing="0"/>
              <w:rPr>
                <w:rFonts w:hint="default"/>
              </w:rPr>
            </w:pPr>
            <w:r>
              <w:rPr>
                <w:rFonts w:hint="default"/>
              </w:rPr>
              <w:t>12</w:t>
            </w:r>
          </w:p>
        </w:tc>
        <w:tc>
          <w:tcPr>
            <w:tcW w:w="1654" w:type="pct"/>
            <w:noWrap w:val="0"/>
            <w:vAlign w:val="center"/>
          </w:tcPr>
          <w:p w14:paraId="5599572A">
            <w:pPr>
              <w:pStyle w:val="42"/>
              <w:keepNext w:val="0"/>
              <w:keepLines w:val="0"/>
              <w:suppressLineNumbers w:val="0"/>
              <w:bidi w:val="0"/>
              <w:spacing w:before="0" w:beforeAutospacing="0" w:after="0" w:afterAutospacing="0"/>
              <w:rPr>
                <w:rFonts w:hint="default"/>
              </w:rPr>
            </w:pPr>
            <w:r>
              <w:rPr>
                <w:rFonts w:hint="default"/>
              </w:rPr>
              <w:t>是否污水处理厂集水范围</w:t>
            </w:r>
          </w:p>
        </w:tc>
        <w:tc>
          <w:tcPr>
            <w:tcW w:w="2965" w:type="pct"/>
            <w:noWrap w:val="0"/>
            <w:vAlign w:val="center"/>
          </w:tcPr>
          <w:p w14:paraId="6F6C70BC">
            <w:pPr>
              <w:pStyle w:val="42"/>
              <w:keepNext w:val="0"/>
              <w:keepLines w:val="0"/>
              <w:suppressLineNumbers w:val="0"/>
              <w:bidi w:val="0"/>
              <w:spacing w:before="0" w:beforeAutospacing="0" w:after="0" w:afterAutospacing="0"/>
              <w:rPr>
                <w:rFonts w:hint="default"/>
              </w:rPr>
            </w:pPr>
            <w:r>
              <w:rPr>
                <w:rFonts w:hint="default"/>
              </w:rPr>
              <w:t>是（湘阴县第二污水处理厂）</w:t>
            </w:r>
          </w:p>
        </w:tc>
      </w:tr>
      <w:tr w14:paraId="6920C3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noWrap w:val="0"/>
            <w:vAlign w:val="center"/>
          </w:tcPr>
          <w:p w14:paraId="114B5347">
            <w:pPr>
              <w:pStyle w:val="42"/>
              <w:keepNext w:val="0"/>
              <w:keepLines w:val="0"/>
              <w:suppressLineNumbers w:val="0"/>
              <w:bidi w:val="0"/>
              <w:spacing w:before="0" w:beforeAutospacing="0" w:after="0" w:afterAutospacing="0"/>
              <w:rPr>
                <w:rFonts w:hint="default"/>
              </w:rPr>
            </w:pPr>
            <w:r>
              <w:rPr>
                <w:rFonts w:hint="default"/>
              </w:rPr>
              <w:t>13</w:t>
            </w:r>
          </w:p>
        </w:tc>
        <w:tc>
          <w:tcPr>
            <w:tcW w:w="1654" w:type="pct"/>
            <w:noWrap w:val="0"/>
            <w:vAlign w:val="center"/>
          </w:tcPr>
          <w:p w14:paraId="2C2DE015">
            <w:pPr>
              <w:pStyle w:val="42"/>
              <w:keepNext w:val="0"/>
              <w:keepLines w:val="0"/>
              <w:suppressLineNumbers w:val="0"/>
              <w:bidi w:val="0"/>
              <w:spacing w:before="0" w:beforeAutospacing="0" w:after="0" w:afterAutospacing="0"/>
              <w:rPr>
                <w:rFonts w:hint="default"/>
              </w:rPr>
            </w:pPr>
            <w:r>
              <w:rPr>
                <w:rFonts w:hint="default"/>
              </w:rPr>
              <w:t>是否属于生态敏感与脆弱区</w:t>
            </w:r>
          </w:p>
        </w:tc>
        <w:tc>
          <w:tcPr>
            <w:tcW w:w="2965" w:type="pct"/>
            <w:noWrap w:val="0"/>
            <w:vAlign w:val="center"/>
          </w:tcPr>
          <w:p w14:paraId="4E45789D">
            <w:pPr>
              <w:pStyle w:val="42"/>
              <w:keepNext w:val="0"/>
              <w:keepLines w:val="0"/>
              <w:suppressLineNumbers w:val="0"/>
              <w:bidi w:val="0"/>
              <w:spacing w:before="0" w:beforeAutospacing="0" w:after="0" w:afterAutospacing="0"/>
              <w:rPr>
                <w:rFonts w:hint="default"/>
              </w:rPr>
            </w:pPr>
            <w:r>
              <w:rPr>
                <w:rFonts w:hint="default"/>
              </w:rPr>
              <w:t>否</w:t>
            </w:r>
          </w:p>
        </w:tc>
      </w:tr>
    </w:tbl>
    <w:p w14:paraId="06ACB901">
      <w:pPr>
        <w:pStyle w:val="5"/>
        <w:rPr>
          <w:rFonts w:hint="default" w:ascii="Times New Roman" w:hAnsi="Times New Roman" w:cs="Times New Roman"/>
          <w:color w:val="auto"/>
          <w:highlight w:val="none"/>
          <w:u w:val="none" w:color="auto"/>
        </w:rPr>
      </w:pPr>
      <w:bookmarkStart w:id="76" w:name="_Toc16344"/>
      <w:bookmarkStart w:id="77" w:name="_Toc29741"/>
      <w:bookmarkStart w:id="78" w:name="_Toc24158"/>
      <w:r>
        <w:rPr>
          <w:rFonts w:hint="default" w:ascii="Times New Roman" w:hAnsi="Times New Roman" w:cs="Times New Roman"/>
          <w:color w:val="auto"/>
          <w:highlight w:val="none"/>
          <w:u w:val="none" w:color="auto"/>
        </w:rPr>
        <w:t>环境保护目标</w:t>
      </w:r>
      <w:bookmarkEnd w:id="76"/>
      <w:bookmarkEnd w:id="77"/>
      <w:bookmarkEnd w:id="78"/>
    </w:p>
    <w:p w14:paraId="49A22CB4">
      <w:pPr>
        <w:shd w:val="clear"/>
        <w:ind w:firstLine="468"/>
        <w:rPr>
          <w:rFonts w:hint="default" w:ascii="Times New Roman" w:hAnsi="Times New Roman" w:cs="Times New Roman"/>
          <w:color w:val="auto"/>
          <w:highlight w:val="none"/>
          <w:u w:val="none" w:color="auto"/>
        </w:rPr>
      </w:pPr>
      <w:r>
        <w:rPr>
          <w:rFonts w:hint="default" w:ascii="Times New Roman" w:hAnsi="Times New Roman" w:cs="Times New Roman"/>
          <w:color w:val="auto"/>
          <w:spacing w:val="-3"/>
          <w:highlight w:val="none"/>
          <w:u w:val="none" w:color="auto"/>
        </w:rPr>
        <w:t>根据项目现场初步调查</w:t>
      </w:r>
      <w:r>
        <w:rPr>
          <w:rFonts w:hint="default" w:ascii="Times New Roman" w:hAnsi="Times New Roman" w:cs="Times New Roman"/>
          <w:color w:val="auto"/>
          <w:spacing w:val="-3"/>
          <w:highlight w:val="none"/>
          <w:u w:val="none" w:color="auto"/>
          <w:lang w:eastAsia="zh-CN"/>
        </w:rPr>
        <w:t>，</w:t>
      </w:r>
      <w:r>
        <w:rPr>
          <w:rFonts w:hint="default" w:ascii="Times New Roman" w:hAnsi="Times New Roman" w:cs="Times New Roman"/>
          <w:color w:val="auto"/>
          <w:spacing w:val="-3"/>
          <w:highlight w:val="none"/>
          <w:u w:val="none" w:color="auto"/>
        </w:rPr>
        <w:t>区域为</w:t>
      </w:r>
      <w:r>
        <w:rPr>
          <w:rFonts w:hint="default" w:ascii="Times New Roman" w:hAnsi="Times New Roman" w:eastAsia="宋体" w:cs="Times New Roman"/>
          <w:color w:val="auto"/>
          <w:spacing w:val="-3"/>
          <w:highlight w:val="none"/>
          <w:u w:val="none" w:color="auto"/>
          <w:lang w:eastAsia="zh-CN"/>
        </w:rPr>
        <w:t>城市</w:t>
      </w:r>
      <w:r>
        <w:rPr>
          <w:rFonts w:hint="default" w:ascii="Times New Roman" w:hAnsi="Times New Roman" w:cs="Times New Roman"/>
          <w:color w:val="auto"/>
          <w:spacing w:val="-3"/>
          <w:highlight w:val="none"/>
          <w:u w:val="none" w:color="auto"/>
          <w:lang w:eastAsia="zh-CN"/>
        </w:rPr>
        <w:t>，</w:t>
      </w:r>
      <w:r>
        <w:rPr>
          <w:rFonts w:hint="default" w:ascii="Times New Roman" w:hAnsi="Times New Roman" w:cs="Times New Roman"/>
          <w:color w:val="auto"/>
          <w:spacing w:val="-3"/>
          <w:highlight w:val="none"/>
          <w:u w:val="none" w:color="auto"/>
        </w:rPr>
        <w:t>无重点保护文物和珍稀动植物。本次</w:t>
      </w:r>
      <w:r>
        <w:rPr>
          <w:rFonts w:hint="default" w:ascii="Times New Roman" w:hAnsi="Times New Roman" w:cs="Times New Roman"/>
          <w:color w:val="auto"/>
          <w:highlight w:val="none"/>
          <w:u w:val="none" w:color="auto"/>
        </w:rPr>
        <w:t>评价根据周围居民分布、污染特征等确定环境保护目标</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详见表</w:t>
      </w:r>
      <w:r>
        <w:rPr>
          <w:rFonts w:hint="default" w:ascii="Times New Roman" w:hAnsi="Times New Roman" w:cs="Times New Roman"/>
          <w:color w:val="auto"/>
          <w:spacing w:val="-61"/>
          <w:highlight w:val="none"/>
          <w:u w:val="none" w:color="auto"/>
        </w:rPr>
        <w:t xml:space="preserve"> </w:t>
      </w:r>
      <w:r>
        <w:rPr>
          <w:rFonts w:hint="default" w:ascii="Times New Roman" w:hAnsi="Times New Roman" w:cs="Times New Roman"/>
          <w:color w:val="auto"/>
          <w:highlight w:val="none"/>
          <w:u w:val="none" w:color="auto"/>
        </w:rPr>
        <w:t>2.6-1。</w:t>
      </w:r>
    </w:p>
    <w:p w14:paraId="2493D979">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表2.6-1  建设项目环境保护目标一览表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05"/>
        <w:gridCol w:w="1111"/>
        <w:gridCol w:w="1375"/>
        <w:gridCol w:w="1898"/>
        <w:gridCol w:w="1586"/>
        <w:gridCol w:w="1842"/>
      </w:tblGrid>
      <w:tr w14:paraId="4FF232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noWrap w:val="0"/>
            <w:tcMar>
              <w:top w:w="0" w:type="dxa"/>
              <w:left w:w="57" w:type="dxa"/>
              <w:bottom w:w="0" w:type="dxa"/>
              <w:right w:w="57" w:type="dxa"/>
            </w:tcMar>
            <w:vAlign w:val="center"/>
          </w:tcPr>
          <w:p w14:paraId="7EBFEF13">
            <w:pPr>
              <w:pStyle w:val="42"/>
              <w:keepNext w:val="0"/>
              <w:keepLines w:val="0"/>
              <w:suppressLineNumbers w:val="0"/>
              <w:shd w:val="clear"/>
              <w:bidi w:val="0"/>
              <w:spacing w:before="0" w:beforeAutospacing="0" w:after="0" w:afterAutospacing="0"/>
              <w:rPr>
                <w:rFonts w:hint="default"/>
                <w:highlight w:val="none"/>
              </w:rPr>
            </w:pPr>
            <w:bookmarkStart w:id="79" w:name="_Toc10523"/>
            <w:r>
              <w:rPr>
                <w:rFonts w:hint="default"/>
                <w:highlight w:val="none"/>
              </w:rPr>
              <w:t>环境要素</w:t>
            </w:r>
          </w:p>
        </w:tc>
        <w:tc>
          <w:tcPr>
            <w:tcW w:w="659" w:type="pct"/>
            <w:noWrap w:val="0"/>
            <w:tcMar>
              <w:top w:w="0" w:type="dxa"/>
              <w:left w:w="57" w:type="dxa"/>
              <w:bottom w:w="0" w:type="dxa"/>
              <w:right w:w="57" w:type="dxa"/>
            </w:tcMar>
            <w:vAlign w:val="center"/>
          </w:tcPr>
          <w:p w14:paraId="5EE2CA0D">
            <w:pPr>
              <w:pStyle w:val="42"/>
              <w:keepNext w:val="0"/>
              <w:keepLines w:val="0"/>
              <w:suppressLineNumbers w:val="0"/>
              <w:shd w:val="clear"/>
              <w:bidi w:val="0"/>
              <w:spacing w:before="0" w:beforeAutospacing="0" w:after="0" w:afterAutospacing="0"/>
              <w:rPr>
                <w:rFonts w:hint="default"/>
                <w:highlight w:val="none"/>
              </w:rPr>
            </w:pPr>
            <w:r>
              <w:rPr>
                <w:rFonts w:hint="default"/>
                <w:highlight w:val="none"/>
              </w:rPr>
              <w:t>敏感目标</w:t>
            </w:r>
          </w:p>
        </w:tc>
        <w:tc>
          <w:tcPr>
            <w:tcW w:w="816" w:type="pct"/>
            <w:noWrap w:val="0"/>
            <w:tcMar>
              <w:top w:w="0" w:type="dxa"/>
              <w:left w:w="57" w:type="dxa"/>
              <w:bottom w:w="0" w:type="dxa"/>
              <w:right w:w="57" w:type="dxa"/>
            </w:tcMar>
            <w:vAlign w:val="center"/>
          </w:tcPr>
          <w:p w14:paraId="14516A4B">
            <w:pPr>
              <w:pStyle w:val="42"/>
              <w:keepNext w:val="0"/>
              <w:keepLines w:val="0"/>
              <w:suppressLineNumbers w:val="0"/>
              <w:shd w:val="clear"/>
              <w:bidi w:val="0"/>
              <w:spacing w:before="0" w:beforeAutospacing="0" w:after="0" w:afterAutospacing="0"/>
              <w:rPr>
                <w:rFonts w:hint="eastAsia"/>
                <w:highlight w:val="none"/>
                <w:lang w:val="en-US" w:eastAsia="zh-CN"/>
              </w:rPr>
            </w:pPr>
            <w:r>
              <w:rPr>
                <w:rFonts w:hint="default"/>
                <w:highlight w:val="none"/>
              </w:rPr>
              <w:t>坐标</w:t>
            </w:r>
            <w:r>
              <w:rPr>
                <w:rFonts w:hint="eastAsia"/>
                <w:highlight w:val="none"/>
                <w:lang w:val="en-US" w:eastAsia="zh-CN"/>
              </w:rPr>
              <w:t>°</w:t>
            </w:r>
          </w:p>
        </w:tc>
        <w:tc>
          <w:tcPr>
            <w:tcW w:w="1127" w:type="pct"/>
            <w:noWrap w:val="0"/>
            <w:tcMar>
              <w:top w:w="0" w:type="dxa"/>
              <w:left w:w="57" w:type="dxa"/>
              <w:bottom w:w="0" w:type="dxa"/>
              <w:right w:w="57" w:type="dxa"/>
            </w:tcMar>
            <w:vAlign w:val="center"/>
          </w:tcPr>
          <w:p w14:paraId="2EEBBB01">
            <w:pPr>
              <w:pStyle w:val="42"/>
              <w:keepNext w:val="0"/>
              <w:keepLines w:val="0"/>
              <w:suppressLineNumbers w:val="0"/>
              <w:shd w:val="clear"/>
              <w:bidi w:val="0"/>
              <w:spacing w:before="0" w:beforeAutospacing="0" w:after="0" w:afterAutospacing="0"/>
              <w:rPr>
                <w:rFonts w:hint="default"/>
                <w:highlight w:val="none"/>
              </w:rPr>
            </w:pPr>
            <w:r>
              <w:rPr>
                <w:rFonts w:hint="default"/>
                <w:highlight w:val="none"/>
              </w:rPr>
              <w:t>与项目的相对方位、高差及距离</w:t>
            </w:r>
          </w:p>
        </w:tc>
        <w:tc>
          <w:tcPr>
            <w:tcW w:w="942" w:type="pct"/>
            <w:noWrap w:val="0"/>
            <w:tcMar>
              <w:top w:w="0" w:type="dxa"/>
              <w:left w:w="57" w:type="dxa"/>
              <w:bottom w:w="0" w:type="dxa"/>
              <w:right w:w="57" w:type="dxa"/>
            </w:tcMar>
            <w:vAlign w:val="center"/>
          </w:tcPr>
          <w:p w14:paraId="649DEB34">
            <w:pPr>
              <w:pStyle w:val="42"/>
              <w:keepNext w:val="0"/>
              <w:keepLines w:val="0"/>
              <w:suppressLineNumbers w:val="0"/>
              <w:shd w:val="clear"/>
              <w:bidi w:val="0"/>
              <w:spacing w:before="0" w:beforeAutospacing="0" w:after="0" w:afterAutospacing="0"/>
              <w:rPr>
                <w:rFonts w:hint="default"/>
                <w:highlight w:val="none"/>
              </w:rPr>
            </w:pPr>
            <w:r>
              <w:rPr>
                <w:rFonts w:hint="default"/>
                <w:highlight w:val="none"/>
              </w:rPr>
              <w:t>功能/规模</w:t>
            </w:r>
          </w:p>
        </w:tc>
        <w:tc>
          <w:tcPr>
            <w:tcW w:w="1094" w:type="pct"/>
            <w:noWrap w:val="0"/>
            <w:tcMar>
              <w:top w:w="0" w:type="dxa"/>
              <w:left w:w="57" w:type="dxa"/>
              <w:bottom w:w="0" w:type="dxa"/>
              <w:right w:w="57" w:type="dxa"/>
            </w:tcMar>
            <w:vAlign w:val="center"/>
          </w:tcPr>
          <w:p w14:paraId="573E8AE3">
            <w:pPr>
              <w:pStyle w:val="42"/>
              <w:keepNext w:val="0"/>
              <w:keepLines w:val="0"/>
              <w:suppressLineNumbers w:val="0"/>
              <w:shd w:val="clear"/>
              <w:bidi w:val="0"/>
              <w:spacing w:before="0" w:beforeAutospacing="0" w:after="0" w:afterAutospacing="0"/>
              <w:rPr>
                <w:rFonts w:hint="default"/>
                <w:highlight w:val="none"/>
              </w:rPr>
            </w:pPr>
            <w:r>
              <w:rPr>
                <w:rFonts w:hint="default"/>
                <w:highlight w:val="none"/>
              </w:rPr>
              <w:t>保护级别</w:t>
            </w:r>
          </w:p>
        </w:tc>
      </w:tr>
      <w:tr w14:paraId="17C13D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restart"/>
            <w:noWrap w:val="0"/>
            <w:tcMar>
              <w:top w:w="0" w:type="dxa"/>
              <w:left w:w="57" w:type="dxa"/>
              <w:bottom w:w="0" w:type="dxa"/>
              <w:right w:w="57" w:type="dxa"/>
            </w:tcMar>
            <w:vAlign w:val="center"/>
          </w:tcPr>
          <w:p w14:paraId="71EA7C4A">
            <w:pPr>
              <w:pStyle w:val="42"/>
              <w:keepNext w:val="0"/>
              <w:keepLines w:val="0"/>
              <w:suppressLineNumbers w:val="0"/>
              <w:shd w:val="clear"/>
              <w:bidi w:val="0"/>
              <w:spacing w:before="0" w:beforeAutospacing="0" w:after="0" w:afterAutospacing="0"/>
              <w:rPr>
                <w:rFonts w:hint="default"/>
                <w:highlight w:val="none"/>
                <w:lang w:val="en-US" w:eastAsia="zh-CN"/>
              </w:rPr>
            </w:pPr>
            <w:r>
              <w:rPr>
                <w:rFonts w:hint="default"/>
                <w:highlight w:val="none"/>
                <w:lang w:val="en-US" w:eastAsia="zh-CN"/>
              </w:rPr>
              <w:t>大气环境</w:t>
            </w:r>
          </w:p>
        </w:tc>
        <w:tc>
          <w:tcPr>
            <w:tcW w:w="659" w:type="pct"/>
            <w:shd w:val="clear" w:color="auto" w:fill="auto"/>
            <w:noWrap w:val="0"/>
            <w:tcMar>
              <w:top w:w="0" w:type="dxa"/>
              <w:left w:w="57" w:type="dxa"/>
              <w:bottom w:w="0" w:type="dxa"/>
              <w:right w:w="57" w:type="dxa"/>
            </w:tcMar>
            <w:vAlign w:val="center"/>
          </w:tcPr>
          <w:p w14:paraId="52A9B3B0">
            <w:pPr>
              <w:pStyle w:val="42"/>
              <w:keepNext w:val="0"/>
              <w:keepLines w:val="0"/>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恒大御湖庄园</w:t>
            </w:r>
          </w:p>
        </w:tc>
        <w:tc>
          <w:tcPr>
            <w:tcW w:w="816" w:type="pct"/>
            <w:noWrap w:val="0"/>
            <w:tcMar>
              <w:top w:w="0" w:type="dxa"/>
              <w:left w:w="57" w:type="dxa"/>
              <w:bottom w:w="0" w:type="dxa"/>
              <w:right w:w="57" w:type="dxa"/>
            </w:tcMar>
            <w:vAlign w:val="center"/>
          </w:tcPr>
          <w:p w14:paraId="355B4748">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E112.9002268</w:t>
            </w:r>
            <w:r>
              <w:rPr>
                <w:rFonts w:hint="eastAsia"/>
                <w:highlight w:val="none"/>
                <w:lang w:val="en-US" w:eastAsia="zh-CN"/>
              </w:rPr>
              <w:br w:type="textWrapping"/>
            </w:r>
            <w:r>
              <w:rPr>
                <w:rFonts w:hint="eastAsia"/>
                <w:highlight w:val="none"/>
                <w:lang w:val="en-US" w:eastAsia="zh-CN"/>
              </w:rPr>
              <w:t>N28.64536237</w:t>
            </w:r>
          </w:p>
        </w:tc>
        <w:tc>
          <w:tcPr>
            <w:tcW w:w="1127" w:type="pct"/>
            <w:noWrap w:val="0"/>
            <w:tcMar>
              <w:top w:w="0" w:type="dxa"/>
              <w:left w:w="57" w:type="dxa"/>
              <w:bottom w:w="0" w:type="dxa"/>
              <w:right w:w="57" w:type="dxa"/>
            </w:tcMar>
            <w:vAlign w:val="center"/>
          </w:tcPr>
          <w:p w14:paraId="53074C37">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SW/370-862</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3.1</w:t>
            </w:r>
            <w:r>
              <w:rPr>
                <w:rFonts w:hint="default"/>
                <w:highlight w:val="none"/>
              </w:rPr>
              <w:t>m</w:t>
            </w:r>
          </w:p>
        </w:tc>
        <w:tc>
          <w:tcPr>
            <w:tcW w:w="942" w:type="pct"/>
            <w:noWrap w:val="0"/>
            <w:tcMar>
              <w:top w:w="0" w:type="dxa"/>
              <w:left w:w="57" w:type="dxa"/>
              <w:bottom w:w="0" w:type="dxa"/>
              <w:right w:w="57" w:type="dxa"/>
            </w:tcMar>
            <w:vAlign w:val="center"/>
          </w:tcPr>
          <w:p w14:paraId="7BD6F2D3">
            <w:pPr>
              <w:pStyle w:val="42"/>
              <w:keepNext w:val="0"/>
              <w:keepLines w:val="0"/>
              <w:suppressLineNumbers w:val="0"/>
              <w:shd w:val="clear"/>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w:t>
            </w:r>
            <w:r>
              <w:rPr>
                <w:rFonts w:hint="eastAsia"/>
                <w:highlight w:val="none"/>
                <w:lang w:val="en-US" w:eastAsia="zh-CN"/>
              </w:rPr>
              <w:t>3160</w:t>
            </w:r>
            <w:r>
              <w:rPr>
                <w:rFonts w:hint="default"/>
                <w:highlight w:val="none"/>
                <w:lang w:val="en-US" w:eastAsia="zh-CN"/>
              </w:rPr>
              <w:t>人</w:t>
            </w:r>
            <w:r>
              <w:rPr>
                <w:rFonts w:hint="eastAsia"/>
                <w:highlight w:val="none"/>
                <w:lang w:val="en-US" w:eastAsia="zh-CN"/>
              </w:rPr>
              <w:t>，790户</w:t>
            </w:r>
          </w:p>
        </w:tc>
        <w:tc>
          <w:tcPr>
            <w:tcW w:w="1094" w:type="pct"/>
            <w:vMerge w:val="restart"/>
            <w:noWrap w:val="0"/>
            <w:tcMar>
              <w:top w:w="0" w:type="dxa"/>
              <w:left w:w="57" w:type="dxa"/>
              <w:bottom w:w="0" w:type="dxa"/>
              <w:right w:w="57" w:type="dxa"/>
            </w:tcMar>
            <w:vAlign w:val="center"/>
          </w:tcPr>
          <w:p w14:paraId="2D46D881">
            <w:pPr>
              <w:pStyle w:val="42"/>
              <w:keepNext w:val="0"/>
              <w:keepLines w:val="0"/>
              <w:suppressLineNumbers w:val="0"/>
              <w:shd w:val="clear"/>
              <w:bidi w:val="0"/>
              <w:spacing w:before="0" w:beforeAutospacing="0" w:after="0" w:afterAutospacing="0"/>
              <w:rPr>
                <w:rFonts w:hint="default"/>
                <w:highlight w:val="none"/>
              </w:rPr>
            </w:pPr>
            <w:r>
              <w:rPr>
                <w:rFonts w:hint="default"/>
                <w:highlight w:val="none"/>
              </w:rPr>
              <w:t>《环境空气质量标准》（GB3095-2012）二级</w:t>
            </w:r>
          </w:p>
        </w:tc>
      </w:tr>
      <w:tr w14:paraId="45D953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234CC429">
            <w:pPr>
              <w:pStyle w:val="42"/>
              <w:keepNext w:val="0"/>
              <w:keepLines w:val="0"/>
              <w:suppressLineNumbers w:val="0"/>
              <w:shd w:val="clear"/>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5018125E">
            <w:pPr>
              <w:pStyle w:val="42"/>
              <w:keepNext w:val="0"/>
              <w:keepLines w:val="0"/>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湘阴文郡高级中学</w:t>
            </w:r>
          </w:p>
        </w:tc>
        <w:tc>
          <w:tcPr>
            <w:tcW w:w="816" w:type="pct"/>
            <w:noWrap w:val="0"/>
            <w:tcMar>
              <w:top w:w="0" w:type="dxa"/>
              <w:left w:w="57" w:type="dxa"/>
              <w:bottom w:w="0" w:type="dxa"/>
              <w:right w:w="57" w:type="dxa"/>
            </w:tcMar>
            <w:vAlign w:val="center"/>
          </w:tcPr>
          <w:p w14:paraId="201E6682">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E112.9006559</w:t>
            </w:r>
            <w:r>
              <w:rPr>
                <w:rFonts w:hint="eastAsia"/>
                <w:highlight w:val="none"/>
                <w:lang w:val="en-US" w:eastAsia="zh-CN"/>
              </w:rPr>
              <w:br w:type="textWrapping"/>
            </w:r>
            <w:r>
              <w:rPr>
                <w:rFonts w:hint="eastAsia"/>
                <w:highlight w:val="none"/>
                <w:lang w:val="en-US" w:eastAsia="zh-CN"/>
              </w:rPr>
              <w:t>N28.64259433</w:t>
            </w:r>
          </w:p>
        </w:tc>
        <w:tc>
          <w:tcPr>
            <w:tcW w:w="1127" w:type="pct"/>
            <w:noWrap w:val="0"/>
            <w:tcMar>
              <w:top w:w="0" w:type="dxa"/>
              <w:left w:w="57" w:type="dxa"/>
              <w:bottom w:w="0" w:type="dxa"/>
              <w:right w:w="57" w:type="dxa"/>
            </w:tcMar>
            <w:vAlign w:val="center"/>
          </w:tcPr>
          <w:p w14:paraId="133E2382">
            <w:pPr>
              <w:pStyle w:val="42"/>
              <w:keepNext w:val="0"/>
              <w:keepLines w:val="0"/>
              <w:suppressLineNumbers w:val="0"/>
              <w:shd w:val="clear"/>
              <w:bidi w:val="0"/>
              <w:spacing w:before="0" w:beforeAutospacing="0" w:after="0" w:afterAutospacing="0"/>
              <w:rPr>
                <w:rFonts w:hint="default"/>
                <w:highlight w:val="none"/>
              </w:rPr>
            </w:pPr>
            <w:r>
              <w:rPr>
                <w:rFonts w:hint="eastAsia"/>
                <w:highlight w:val="none"/>
                <w:lang w:val="en-US" w:eastAsia="zh-CN"/>
              </w:rPr>
              <w:t>SW/600-1100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3.1</w:t>
            </w:r>
            <w:r>
              <w:rPr>
                <w:rFonts w:hint="default"/>
                <w:highlight w:val="none"/>
              </w:rPr>
              <w:t>m</w:t>
            </w:r>
          </w:p>
        </w:tc>
        <w:tc>
          <w:tcPr>
            <w:tcW w:w="942" w:type="pct"/>
            <w:noWrap w:val="0"/>
            <w:tcMar>
              <w:top w:w="0" w:type="dxa"/>
              <w:left w:w="57" w:type="dxa"/>
              <w:bottom w:w="0" w:type="dxa"/>
              <w:right w:w="57" w:type="dxa"/>
            </w:tcMar>
            <w:vAlign w:val="center"/>
          </w:tcPr>
          <w:p w14:paraId="3D3287C6">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学校</w:t>
            </w:r>
            <w:r>
              <w:rPr>
                <w:rFonts w:hint="default"/>
                <w:highlight w:val="none"/>
                <w:lang w:val="en-US" w:eastAsia="zh-CN"/>
              </w:rPr>
              <w:t>约</w:t>
            </w:r>
            <w:r>
              <w:rPr>
                <w:rFonts w:hint="eastAsia"/>
                <w:highlight w:val="none"/>
                <w:lang w:val="en-US" w:eastAsia="zh-CN"/>
              </w:rPr>
              <w:t>1200</w:t>
            </w:r>
            <w:r>
              <w:rPr>
                <w:rFonts w:hint="default"/>
                <w:highlight w:val="none"/>
                <w:lang w:val="en-US" w:eastAsia="zh-CN"/>
              </w:rPr>
              <w:t>人</w:t>
            </w:r>
          </w:p>
        </w:tc>
        <w:tc>
          <w:tcPr>
            <w:tcW w:w="1094" w:type="pct"/>
            <w:vMerge w:val="continue"/>
            <w:noWrap w:val="0"/>
            <w:tcMar>
              <w:top w:w="0" w:type="dxa"/>
              <w:left w:w="57" w:type="dxa"/>
              <w:bottom w:w="0" w:type="dxa"/>
              <w:right w:w="57" w:type="dxa"/>
            </w:tcMar>
            <w:vAlign w:val="center"/>
          </w:tcPr>
          <w:p w14:paraId="2207B811">
            <w:pPr>
              <w:pStyle w:val="42"/>
              <w:keepNext w:val="0"/>
              <w:keepLines w:val="0"/>
              <w:suppressLineNumbers w:val="0"/>
              <w:shd w:val="clear"/>
              <w:bidi w:val="0"/>
              <w:spacing w:before="0" w:beforeAutospacing="0" w:after="0" w:afterAutospacing="0"/>
              <w:rPr>
                <w:rFonts w:hint="default"/>
                <w:highlight w:val="none"/>
              </w:rPr>
            </w:pPr>
          </w:p>
        </w:tc>
      </w:tr>
      <w:tr w14:paraId="2857D0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1" w:hRule="atLeast"/>
          <w:jc w:val="center"/>
        </w:trPr>
        <w:tc>
          <w:tcPr>
            <w:tcW w:w="359" w:type="pct"/>
            <w:vMerge w:val="continue"/>
            <w:noWrap w:val="0"/>
            <w:tcMar>
              <w:top w:w="0" w:type="dxa"/>
              <w:left w:w="57" w:type="dxa"/>
              <w:bottom w:w="0" w:type="dxa"/>
              <w:right w:w="57" w:type="dxa"/>
            </w:tcMar>
            <w:vAlign w:val="center"/>
          </w:tcPr>
          <w:p w14:paraId="23602B64">
            <w:pPr>
              <w:pStyle w:val="42"/>
              <w:keepNext w:val="0"/>
              <w:keepLines w:val="0"/>
              <w:suppressLineNumbers w:val="0"/>
              <w:shd w:val="clear"/>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4811B0A6">
            <w:pPr>
              <w:pStyle w:val="42"/>
              <w:keepNext w:val="0"/>
              <w:keepLines w:val="0"/>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洋沙桃李郡</w:t>
            </w:r>
          </w:p>
        </w:tc>
        <w:tc>
          <w:tcPr>
            <w:tcW w:w="816" w:type="pct"/>
            <w:noWrap w:val="0"/>
            <w:tcMar>
              <w:top w:w="0" w:type="dxa"/>
              <w:left w:w="57" w:type="dxa"/>
              <w:bottom w:w="0" w:type="dxa"/>
              <w:right w:w="57" w:type="dxa"/>
            </w:tcMar>
            <w:vAlign w:val="center"/>
          </w:tcPr>
          <w:p w14:paraId="0E2FA26C">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E112.8972013</w:t>
            </w:r>
            <w:r>
              <w:rPr>
                <w:rFonts w:hint="eastAsia"/>
                <w:highlight w:val="none"/>
                <w:lang w:val="en-US" w:eastAsia="zh-CN"/>
              </w:rPr>
              <w:br w:type="textWrapping"/>
            </w:r>
            <w:r>
              <w:rPr>
                <w:rFonts w:hint="eastAsia"/>
                <w:highlight w:val="none"/>
                <w:lang w:val="en-US" w:eastAsia="zh-CN"/>
              </w:rPr>
              <w:t>N28.64207935</w:t>
            </w:r>
          </w:p>
        </w:tc>
        <w:tc>
          <w:tcPr>
            <w:tcW w:w="1127" w:type="pct"/>
            <w:noWrap w:val="0"/>
            <w:tcMar>
              <w:top w:w="0" w:type="dxa"/>
              <w:left w:w="57" w:type="dxa"/>
              <w:bottom w:w="0" w:type="dxa"/>
              <w:right w:w="57" w:type="dxa"/>
            </w:tcMar>
            <w:vAlign w:val="center"/>
          </w:tcPr>
          <w:p w14:paraId="5B04F205">
            <w:pPr>
              <w:pStyle w:val="42"/>
              <w:keepNext w:val="0"/>
              <w:keepLines w:val="0"/>
              <w:suppressLineNumbers w:val="0"/>
              <w:shd w:val="clear"/>
              <w:bidi w:val="0"/>
              <w:spacing w:before="0" w:beforeAutospacing="0" w:after="0" w:afterAutospacing="0"/>
              <w:rPr>
                <w:rFonts w:hint="default"/>
                <w:highlight w:val="none"/>
                <w:lang w:eastAsia="zh-CN"/>
              </w:rPr>
            </w:pPr>
            <w:r>
              <w:rPr>
                <w:rFonts w:hint="eastAsia"/>
                <w:highlight w:val="none"/>
                <w:lang w:val="en-US" w:eastAsia="zh-CN"/>
              </w:rPr>
              <w:t>SW</w:t>
            </w:r>
            <w:r>
              <w:rPr>
                <w:rFonts w:hint="default"/>
                <w:highlight w:val="none"/>
              </w:rPr>
              <w:t>/</w:t>
            </w:r>
            <w:r>
              <w:rPr>
                <w:rFonts w:hint="eastAsia"/>
                <w:highlight w:val="none"/>
                <w:lang w:val="en-US" w:eastAsia="zh-CN"/>
              </w:rPr>
              <w:t>940-1250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-5.1</w:t>
            </w:r>
            <w:r>
              <w:rPr>
                <w:rFonts w:hint="default"/>
                <w:highlight w:val="none"/>
              </w:rPr>
              <w:t>m</w:t>
            </w:r>
          </w:p>
        </w:tc>
        <w:tc>
          <w:tcPr>
            <w:tcW w:w="942" w:type="pct"/>
            <w:noWrap w:val="0"/>
            <w:tcMar>
              <w:top w:w="0" w:type="dxa"/>
              <w:left w:w="57" w:type="dxa"/>
              <w:bottom w:w="0" w:type="dxa"/>
              <w:right w:w="57" w:type="dxa"/>
            </w:tcMar>
            <w:vAlign w:val="center"/>
          </w:tcPr>
          <w:p w14:paraId="2FE444DB">
            <w:pPr>
              <w:pStyle w:val="42"/>
              <w:keepNext w:val="0"/>
              <w:keepLines w:val="0"/>
              <w:suppressLineNumbers w:val="0"/>
              <w:shd w:val="clear"/>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w:t>
            </w:r>
            <w:r>
              <w:rPr>
                <w:rFonts w:hint="eastAsia"/>
                <w:highlight w:val="none"/>
                <w:lang w:val="en-US" w:eastAsia="zh-CN"/>
              </w:rPr>
              <w:t>1850</w:t>
            </w:r>
            <w:r>
              <w:rPr>
                <w:rFonts w:hint="default"/>
                <w:highlight w:val="none"/>
                <w:lang w:val="en-US" w:eastAsia="zh-CN"/>
              </w:rPr>
              <w:t>人</w:t>
            </w:r>
            <w:r>
              <w:rPr>
                <w:rFonts w:hint="eastAsia"/>
                <w:highlight w:val="none"/>
                <w:lang w:val="en-US" w:eastAsia="zh-CN"/>
              </w:rPr>
              <w:t>，462户</w:t>
            </w:r>
          </w:p>
        </w:tc>
        <w:tc>
          <w:tcPr>
            <w:tcW w:w="1094" w:type="pct"/>
            <w:vMerge w:val="continue"/>
            <w:noWrap w:val="0"/>
            <w:tcMar>
              <w:top w:w="0" w:type="dxa"/>
              <w:left w:w="57" w:type="dxa"/>
              <w:bottom w:w="0" w:type="dxa"/>
              <w:right w:w="57" w:type="dxa"/>
            </w:tcMar>
            <w:vAlign w:val="center"/>
          </w:tcPr>
          <w:p w14:paraId="35A96999">
            <w:pPr>
              <w:pStyle w:val="42"/>
              <w:keepNext w:val="0"/>
              <w:keepLines w:val="0"/>
              <w:suppressLineNumbers w:val="0"/>
              <w:shd w:val="clear"/>
              <w:bidi w:val="0"/>
              <w:spacing w:before="0" w:beforeAutospacing="0" w:after="0" w:afterAutospacing="0"/>
              <w:rPr>
                <w:rFonts w:hint="default"/>
                <w:highlight w:val="none"/>
              </w:rPr>
            </w:pPr>
          </w:p>
        </w:tc>
      </w:tr>
      <w:tr w14:paraId="5D6DEB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59" w:type="pct"/>
            <w:vMerge w:val="continue"/>
            <w:noWrap w:val="0"/>
            <w:tcMar>
              <w:top w:w="0" w:type="dxa"/>
              <w:left w:w="57" w:type="dxa"/>
              <w:bottom w:w="0" w:type="dxa"/>
              <w:right w:w="57" w:type="dxa"/>
            </w:tcMar>
            <w:vAlign w:val="center"/>
          </w:tcPr>
          <w:p w14:paraId="304C1FA7">
            <w:pPr>
              <w:pStyle w:val="42"/>
              <w:keepNext w:val="0"/>
              <w:keepLines w:val="0"/>
              <w:suppressLineNumbers w:val="0"/>
              <w:shd w:val="clear"/>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09A9509A">
            <w:pPr>
              <w:pStyle w:val="42"/>
              <w:keepNext w:val="0"/>
              <w:keepLines w:val="0"/>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周湾居民点</w:t>
            </w:r>
          </w:p>
        </w:tc>
        <w:tc>
          <w:tcPr>
            <w:tcW w:w="816" w:type="pct"/>
            <w:noWrap w:val="0"/>
            <w:tcMar>
              <w:top w:w="0" w:type="dxa"/>
              <w:left w:w="57" w:type="dxa"/>
              <w:bottom w:w="0" w:type="dxa"/>
              <w:right w:w="57" w:type="dxa"/>
            </w:tcMar>
            <w:vAlign w:val="center"/>
          </w:tcPr>
          <w:p w14:paraId="6C2D8787">
            <w:pPr>
              <w:pStyle w:val="42"/>
              <w:keepNext w:val="0"/>
              <w:keepLines w:val="0"/>
              <w:suppressLineNumbers w:val="0"/>
              <w:shd w:val="clear"/>
              <w:bidi w:val="0"/>
              <w:spacing w:before="0" w:beforeAutospacing="0" w:after="0" w:afterAutospacing="0"/>
              <w:rPr>
                <w:rFonts w:hint="default"/>
                <w:highlight w:val="none"/>
                <w:lang w:val="en-US"/>
              </w:rPr>
            </w:pPr>
            <w:r>
              <w:rPr>
                <w:rFonts w:hint="eastAsia"/>
                <w:highlight w:val="none"/>
                <w:lang w:val="en-US" w:eastAsia="zh-CN"/>
              </w:rPr>
              <w:t>E112.8955276</w:t>
            </w:r>
            <w:r>
              <w:rPr>
                <w:rFonts w:hint="eastAsia"/>
                <w:highlight w:val="none"/>
                <w:lang w:val="en-US" w:eastAsia="zh-CN"/>
              </w:rPr>
              <w:br w:type="textWrapping"/>
            </w:r>
            <w:r>
              <w:rPr>
                <w:rFonts w:hint="eastAsia"/>
                <w:highlight w:val="none"/>
                <w:lang w:val="en-US" w:eastAsia="zh-CN"/>
              </w:rPr>
              <w:t>N28.64705753</w:t>
            </w:r>
          </w:p>
        </w:tc>
        <w:tc>
          <w:tcPr>
            <w:tcW w:w="1127" w:type="pct"/>
            <w:noWrap w:val="0"/>
            <w:tcMar>
              <w:top w:w="0" w:type="dxa"/>
              <w:left w:w="57" w:type="dxa"/>
              <w:bottom w:w="0" w:type="dxa"/>
              <w:right w:w="57" w:type="dxa"/>
            </w:tcMar>
            <w:vAlign w:val="center"/>
          </w:tcPr>
          <w:p w14:paraId="0C1B5FC2">
            <w:pPr>
              <w:pStyle w:val="42"/>
              <w:keepNext w:val="0"/>
              <w:keepLines w:val="0"/>
              <w:suppressLineNumbers w:val="0"/>
              <w:shd w:val="clear"/>
              <w:bidi w:val="0"/>
              <w:spacing w:before="0" w:beforeAutospacing="0" w:after="0" w:afterAutospacing="0"/>
              <w:rPr>
                <w:rFonts w:hint="default"/>
                <w:highlight w:val="none"/>
                <w:lang w:val="en-US" w:eastAsia="zh-CN"/>
              </w:rPr>
            </w:pPr>
            <w:r>
              <w:rPr>
                <w:rFonts w:hint="eastAsia"/>
                <w:highlight w:val="none"/>
                <w:lang w:val="en-US" w:eastAsia="zh-CN"/>
              </w:rPr>
              <w:t>W/710-1160</w:t>
            </w:r>
            <w:r>
              <w:rPr>
                <w:rFonts w:hint="default"/>
                <w:highlight w:val="none"/>
                <w:lang w:val="en-US" w:eastAsia="zh-CN"/>
              </w:rPr>
              <w:t>m，</w:t>
            </w:r>
            <w:r>
              <w:rPr>
                <w:rFonts w:hint="default"/>
                <w:highlight w:val="none"/>
              </w:rPr>
              <w:t>高差+5.5m</w:t>
            </w:r>
          </w:p>
        </w:tc>
        <w:tc>
          <w:tcPr>
            <w:tcW w:w="942" w:type="pct"/>
            <w:noWrap w:val="0"/>
            <w:tcMar>
              <w:top w:w="0" w:type="dxa"/>
              <w:left w:w="57" w:type="dxa"/>
              <w:bottom w:w="0" w:type="dxa"/>
              <w:right w:w="57" w:type="dxa"/>
            </w:tcMar>
            <w:vAlign w:val="center"/>
          </w:tcPr>
          <w:p w14:paraId="249C98FA">
            <w:pPr>
              <w:pStyle w:val="42"/>
              <w:keepNext w:val="0"/>
              <w:keepLines w:val="0"/>
              <w:suppressLineNumbers w:val="0"/>
              <w:shd w:val="clear"/>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2</w:t>
            </w:r>
            <w:r>
              <w:rPr>
                <w:rFonts w:hint="default"/>
                <w:highlight w:val="none"/>
                <w:lang w:val="en-US" w:eastAsia="zh-CN"/>
              </w:rPr>
              <w:t>00人</w:t>
            </w:r>
            <w:r>
              <w:rPr>
                <w:rFonts w:hint="eastAsia"/>
                <w:highlight w:val="none"/>
                <w:lang w:val="en-US" w:eastAsia="zh-CN"/>
              </w:rPr>
              <w:t>，50户</w:t>
            </w:r>
          </w:p>
        </w:tc>
        <w:tc>
          <w:tcPr>
            <w:tcW w:w="1094" w:type="pct"/>
            <w:vMerge w:val="continue"/>
            <w:noWrap w:val="0"/>
            <w:tcMar>
              <w:top w:w="0" w:type="dxa"/>
              <w:left w:w="57" w:type="dxa"/>
              <w:bottom w:w="0" w:type="dxa"/>
              <w:right w:w="57" w:type="dxa"/>
            </w:tcMar>
            <w:vAlign w:val="center"/>
          </w:tcPr>
          <w:p w14:paraId="143E0CA2">
            <w:pPr>
              <w:pStyle w:val="42"/>
              <w:keepNext w:val="0"/>
              <w:keepLines w:val="0"/>
              <w:suppressLineNumbers w:val="0"/>
              <w:shd w:val="clear"/>
              <w:bidi w:val="0"/>
              <w:spacing w:before="0" w:beforeAutospacing="0" w:after="0" w:afterAutospacing="0"/>
              <w:rPr>
                <w:rFonts w:hint="default"/>
                <w:highlight w:val="none"/>
              </w:rPr>
            </w:pPr>
          </w:p>
        </w:tc>
      </w:tr>
      <w:tr w14:paraId="5EBE34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DD21426">
            <w:pPr>
              <w:pStyle w:val="42"/>
              <w:keepNext w:val="0"/>
              <w:keepLines w:val="0"/>
              <w:suppressLineNumbers w:val="0"/>
              <w:shd w:val="clear"/>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14D55FD9">
            <w:pPr>
              <w:pStyle w:val="42"/>
              <w:keepNext w:val="0"/>
              <w:keepLines w:val="0"/>
              <w:suppressLineNumbers w:val="0"/>
              <w:shd w:val="clear"/>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君澜湾俪苑</w:t>
            </w:r>
          </w:p>
        </w:tc>
        <w:tc>
          <w:tcPr>
            <w:tcW w:w="816" w:type="pct"/>
            <w:noWrap w:val="0"/>
            <w:tcMar>
              <w:top w:w="0" w:type="dxa"/>
              <w:left w:w="57" w:type="dxa"/>
              <w:bottom w:w="0" w:type="dxa"/>
              <w:right w:w="57" w:type="dxa"/>
            </w:tcMar>
            <w:vAlign w:val="center"/>
          </w:tcPr>
          <w:p w14:paraId="49E3F72A">
            <w:pPr>
              <w:pStyle w:val="42"/>
              <w:keepNext w:val="0"/>
              <w:keepLines w:val="0"/>
              <w:suppressLineNumbers w:val="0"/>
              <w:shd w:val="clear"/>
              <w:bidi w:val="0"/>
              <w:spacing w:before="0" w:beforeAutospacing="0" w:after="0" w:afterAutospacing="0"/>
              <w:rPr>
                <w:rFonts w:hint="default"/>
                <w:highlight w:val="none"/>
                <w:lang w:val="en-US"/>
              </w:rPr>
            </w:pPr>
            <w:r>
              <w:rPr>
                <w:rFonts w:hint="eastAsia"/>
                <w:highlight w:val="none"/>
                <w:lang w:val="en-US" w:eastAsia="zh-CN"/>
              </w:rPr>
              <w:t>E112.8931028</w:t>
            </w:r>
            <w:r>
              <w:rPr>
                <w:rFonts w:hint="eastAsia"/>
                <w:highlight w:val="none"/>
                <w:lang w:val="en-US" w:eastAsia="zh-CN"/>
              </w:rPr>
              <w:br w:type="textWrapping"/>
            </w:r>
            <w:r>
              <w:rPr>
                <w:rFonts w:hint="eastAsia"/>
                <w:highlight w:val="none"/>
                <w:lang w:val="en-US" w:eastAsia="zh-CN"/>
              </w:rPr>
              <w:t>N28.63951516</w:t>
            </w:r>
          </w:p>
        </w:tc>
        <w:tc>
          <w:tcPr>
            <w:tcW w:w="1127" w:type="pct"/>
            <w:noWrap w:val="0"/>
            <w:tcMar>
              <w:top w:w="0" w:type="dxa"/>
              <w:left w:w="57" w:type="dxa"/>
              <w:bottom w:w="0" w:type="dxa"/>
              <w:right w:w="57" w:type="dxa"/>
            </w:tcMar>
            <w:vAlign w:val="center"/>
          </w:tcPr>
          <w:p w14:paraId="3607BE75">
            <w:pPr>
              <w:pStyle w:val="42"/>
              <w:keepNext w:val="0"/>
              <w:keepLines w:val="0"/>
              <w:suppressLineNumbers w:val="0"/>
              <w:shd w:val="clear"/>
              <w:bidi w:val="0"/>
              <w:spacing w:before="0" w:beforeAutospacing="0" w:after="0" w:afterAutospacing="0"/>
              <w:rPr>
                <w:rFonts w:hint="default"/>
                <w:highlight w:val="none"/>
                <w:lang w:val="en-US" w:eastAsia="zh-CN"/>
              </w:rPr>
            </w:pPr>
            <w:r>
              <w:rPr>
                <w:rFonts w:hint="default"/>
                <w:highlight w:val="none"/>
                <w:lang w:val="en-US" w:eastAsia="zh-CN"/>
              </w:rPr>
              <w:t>WS</w:t>
            </w:r>
            <w:r>
              <w:rPr>
                <w:rFonts w:hint="eastAsia"/>
                <w:highlight w:val="none"/>
                <w:lang w:val="en-US" w:eastAsia="zh-CN"/>
              </w:rPr>
              <w:t>/1400-1900</w:t>
            </w:r>
            <w:r>
              <w:rPr>
                <w:rFonts w:hint="default"/>
                <w:highlight w:val="none"/>
                <w:lang w:val="en-US" w:eastAsia="zh-CN"/>
              </w:rPr>
              <w:t>m，</w:t>
            </w:r>
            <w:r>
              <w:rPr>
                <w:rFonts w:hint="default"/>
                <w:highlight w:val="none"/>
              </w:rPr>
              <w:t>高差+5.5m</w:t>
            </w:r>
          </w:p>
        </w:tc>
        <w:tc>
          <w:tcPr>
            <w:tcW w:w="942" w:type="pct"/>
            <w:noWrap w:val="0"/>
            <w:tcMar>
              <w:top w:w="0" w:type="dxa"/>
              <w:left w:w="57" w:type="dxa"/>
              <w:bottom w:w="0" w:type="dxa"/>
              <w:right w:w="57" w:type="dxa"/>
            </w:tcMar>
            <w:vAlign w:val="center"/>
          </w:tcPr>
          <w:p w14:paraId="2099488B">
            <w:pPr>
              <w:pStyle w:val="42"/>
              <w:keepNext w:val="0"/>
              <w:keepLines w:val="0"/>
              <w:suppressLineNumbers w:val="0"/>
              <w:shd w:val="clear"/>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1500</w:t>
            </w:r>
            <w:r>
              <w:rPr>
                <w:rFonts w:hint="default"/>
                <w:highlight w:val="none"/>
                <w:lang w:val="en-US" w:eastAsia="zh-CN"/>
              </w:rPr>
              <w:t>人</w:t>
            </w:r>
            <w:r>
              <w:rPr>
                <w:rFonts w:hint="eastAsia"/>
                <w:highlight w:val="none"/>
                <w:lang w:val="en-US" w:eastAsia="zh-CN"/>
              </w:rPr>
              <w:t>，500户</w:t>
            </w:r>
          </w:p>
        </w:tc>
        <w:tc>
          <w:tcPr>
            <w:tcW w:w="1094" w:type="pct"/>
            <w:vMerge w:val="continue"/>
            <w:noWrap w:val="0"/>
            <w:tcMar>
              <w:top w:w="0" w:type="dxa"/>
              <w:left w:w="57" w:type="dxa"/>
              <w:bottom w:w="0" w:type="dxa"/>
              <w:right w:w="57" w:type="dxa"/>
            </w:tcMar>
            <w:vAlign w:val="center"/>
          </w:tcPr>
          <w:p w14:paraId="5821D62C">
            <w:pPr>
              <w:pStyle w:val="42"/>
              <w:keepNext w:val="0"/>
              <w:keepLines w:val="0"/>
              <w:suppressLineNumbers w:val="0"/>
              <w:shd w:val="clear"/>
              <w:bidi w:val="0"/>
              <w:spacing w:before="0" w:beforeAutospacing="0" w:after="0" w:afterAutospacing="0"/>
              <w:rPr>
                <w:rFonts w:hint="default"/>
                <w:highlight w:val="none"/>
              </w:rPr>
            </w:pPr>
          </w:p>
        </w:tc>
      </w:tr>
      <w:tr w14:paraId="450434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BE434D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C2DD7C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皇家大屋居民点</w:t>
            </w:r>
          </w:p>
        </w:tc>
        <w:tc>
          <w:tcPr>
            <w:tcW w:w="816" w:type="pct"/>
            <w:noWrap w:val="0"/>
            <w:tcMar>
              <w:top w:w="0" w:type="dxa"/>
              <w:left w:w="57" w:type="dxa"/>
              <w:bottom w:w="0" w:type="dxa"/>
              <w:right w:w="57" w:type="dxa"/>
            </w:tcMar>
            <w:vAlign w:val="center"/>
          </w:tcPr>
          <w:p w14:paraId="65FAE7D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E112.8879637</w:t>
            </w:r>
            <w:r>
              <w:rPr>
                <w:rFonts w:hint="eastAsia"/>
                <w:highlight w:val="none"/>
                <w:lang w:val="en-US" w:eastAsia="zh-CN"/>
              </w:rPr>
              <w:br w:type="textWrapping"/>
            </w:r>
            <w:r>
              <w:rPr>
                <w:rFonts w:hint="eastAsia"/>
                <w:highlight w:val="none"/>
                <w:lang w:val="en-US" w:eastAsia="zh-CN"/>
              </w:rPr>
              <w:t>N28.63691878</w:t>
            </w:r>
          </w:p>
        </w:tc>
        <w:tc>
          <w:tcPr>
            <w:tcW w:w="1127" w:type="pct"/>
            <w:noWrap w:val="0"/>
            <w:tcMar>
              <w:top w:w="0" w:type="dxa"/>
              <w:left w:w="57" w:type="dxa"/>
              <w:bottom w:w="0" w:type="dxa"/>
              <w:right w:w="57" w:type="dxa"/>
            </w:tcMar>
            <w:vAlign w:val="center"/>
          </w:tcPr>
          <w:p w14:paraId="5260BDA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WS</w:t>
            </w:r>
            <w:r>
              <w:rPr>
                <w:rFonts w:hint="eastAsia"/>
                <w:highlight w:val="none"/>
                <w:lang w:val="en-US" w:eastAsia="zh-CN"/>
              </w:rPr>
              <w:t>/2000-2300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4.2</w:t>
            </w:r>
            <w:r>
              <w:rPr>
                <w:rFonts w:hint="default"/>
                <w:highlight w:val="none"/>
              </w:rPr>
              <w:t>m</w:t>
            </w:r>
          </w:p>
        </w:tc>
        <w:tc>
          <w:tcPr>
            <w:tcW w:w="942" w:type="pct"/>
            <w:noWrap w:val="0"/>
            <w:tcMar>
              <w:top w:w="0" w:type="dxa"/>
              <w:left w:w="57" w:type="dxa"/>
              <w:bottom w:w="0" w:type="dxa"/>
              <w:right w:w="57" w:type="dxa"/>
            </w:tcMar>
            <w:vAlign w:val="center"/>
          </w:tcPr>
          <w:p w14:paraId="6B445AB6">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1500</w:t>
            </w:r>
            <w:r>
              <w:rPr>
                <w:rFonts w:hint="default"/>
                <w:highlight w:val="none"/>
                <w:lang w:val="en-US" w:eastAsia="zh-CN"/>
              </w:rPr>
              <w:t>人</w:t>
            </w:r>
            <w:r>
              <w:rPr>
                <w:rFonts w:hint="eastAsia"/>
                <w:highlight w:val="none"/>
                <w:lang w:val="en-US" w:eastAsia="zh-CN"/>
              </w:rPr>
              <w:t>，500户</w:t>
            </w:r>
          </w:p>
        </w:tc>
        <w:tc>
          <w:tcPr>
            <w:tcW w:w="1094" w:type="pct"/>
            <w:vMerge w:val="continue"/>
            <w:noWrap w:val="0"/>
            <w:tcMar>
              <w:top w:w="0" w:type="dxa"/>
              <w:left w:w="57" w:type="dxa"/>
              <w:bottom w:w="0" w:type="dxa"/>
              <w:right w:w="57" w:type="dxa"/>
            </w:tcMar>
            <w:vAlign w:val="center"/>
          </w:tcPr>
          <w:p w14:paraId="1B22EDF5">
            <w:pPr>
              <w:pStyle w:val="42"/>
              <w:keepNext w:val="0"/>
              <w:keepLines w:val="0"/>
              <w:suppressLineNumbers w:val="0"/>
              <w:bidi w:val="0"/>
              <w:spacing w:before="0" w:beforeAutospacing="0" w:after="0" w:afterAutospacing="0"/>
              <w:rPr>
                <w:rFonts w:hint="default"/>
                <w:highlight w:val="none"/>
              </w:rPr>
            </w:pPr>
          </w:p>
        </w:tc>
      </w:tr>
      <w:tr w14:paraId="5D12EA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4712E7B">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7396CE7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砚家坡居民点</w:t>
            </w:r>
          </w:p>
        </w:tc>
        <w:tc>
          <w:tcPr>
            <w:tcW w:w="816" w:type="pct"/>
            <w:noWrap w:val="0"/>
            <w:tcMar>
              <w:top w:w="0" w:type="dxa"/>
              <w:left w:w="57" w:type="dxa"/>
              <w:bottom w:w="0" w:type="dxa"/>
              <w:right w:w="57" w:type="dxa"/>
            </w:tcMar>
            <w:vAlign w:val="center"/>
          </w:tcPr>
          <w:p w14:paraId="733864E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E112.8931672</w:t>
            </w:r>
            <w:r>
              <w:rPr>
                <w:rFonts w:hint="eastAsia"/>
                <w:highlight w:val="none"/>
                <w:lang w:val="en-US" w:eastAsia="zh-CN"/>
              </w:rPr>
              <w:br w:type="textWrapping"/>
            </w:r>
            <w:r>
              <w:rPr>
                <w:rFonts w:hint="eastAsia"/>
                <w:highlight w:val="none"/>
                <w:lang w:val="en-US" w:eastAsia="zh-CN"/>
              </w:rPr>
              <w:t>N28.63341045</w:t>
            </w:r>
          </w:p>
        </w:tc>
        <w:tc>
          <w:tcPr>
            <w:tcW w:w="1127" w:type="pct"/>
            <w:noWrap w:val="0"/>
            <w:tcMar>
              <w:top w:w="0" w:type="dxa"/>
              <w:left w:w="57" w:type="dxa"/>
              <w:bottom w:w="0" w:type="dxa"/>
              <w:right w:w="57" w:type="dxa"/>
            </w:tcMar>
            <w:vAlign w:val="center"/>
          </w:tcPr>
          <w:p w14:paraId="362EB1E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WS</w:t>
            </w:r>
            <w:r>
              <w:rPr>
                <w:rFonts w:hint="eastAsia"/>
                <w:highlight w:val="none"/>
                <w:lang w:val="en-US" w:eastAsia="zh-CN"/>
              </w:rPr>
              <w:t>/1920-2250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4.1</w:t>
            </w:r>
            <w:r>
              <w:rPr>
                <w:rFonts w:hint="default"/>
                <w:highlight w:val="none"/>
              </w:rPr>
              <w:t>m</w:t>
            </w:r>
          </w:p>
        </w:tc>
        <w:tc>
          <w:tcPr>
            <w:tcW w:w="942" w:type="pct"/>
            <w:noWrap w:val="0"/>
            <w:tcMar>
              <w:top w:w="0" w:type="dxa"/>
              <w:left w:w="57" w:type="dxa"/>
              <w:bottom w:w="0" w:type="dxa"/>
              <w:right w:w="57" w:type="dxa"/>
            </w:tcMar>
            <w:vAlign w:val="center"/>
          </w:tcPr>
          <w:p w14:paraId="5FB08F80">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800</w:t>
            </w:r>
            <w:r>
              <w:rPr>
                <w:rFonts w:hint="default"/>
                <w:highlight w:val="none"/>
                <w:lang w:val="en-US" w:eastAsia="zh-CN"/>
              </w:rPr>
              <w:t>人</w:t>
            </w:r>
            <w:r>
              <w:rPr>
                <w:rFonts w:hint="eastAsia"/>
                <w:highlight w:val="none"/>
                <w:lang w:val="en-US" w:eastAsia="zh-CN"/>
              </w:rPr>
              <w:t>，300户</w:t>
            </w:r>
          </w:p>
        </w:tc>
        <w:tc>
          <w:tcPr>
            <w:tcW w:w="1094" w:type="pct"/>
            <w:vMerge w:val="continue"/>
            <w:noWrap w:val="0"/>
            <w:tcMar>
              <w:top w:w="0" w:type="dxa"/>
              <w:left w:w="57" w:type="dxa"/>
              <w:bottom w:w="0" w:type="dxa"/>
              <w:right w:w="57" w:type="dxa"/>
            </w:tcMar>
            <w:vAlign w:val="center"/>
          </w:tcPr>
          <w:p w14:paraId="6F06C17D">
            <w:pPr>
              <w:pStyle w:val="42"/>
              <w:keepNext w:val="0"/>
              <w:keepLines w:val="0"/>
              <w:suppressLineNumbers w:val="0"/>
              <w:bidi w:val="0"/>
              <w:spacing w:before="0" w:beforeAutospacing="0" w:after="0" w:afterAutospacing="0"/>
              <w:rPr>
                <w:rFonts w:hint="default"/>
                <w:highlight w:val="none"/>
              </w:rPr>
            </w:pPr>
          </w:p>
        </w:tc>
      </w:tr>
      <w:tr w14:paraId="24632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08F3184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4E594DD">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实验中学</w:t>
            </w:r>
          </w:p>
        </w:tc>
        <w:tc>
          <w:tcPr>
            <w:tcW w:w="816" w:type="pct"/>
            <w:noWrap w:val="0"/>
            <w:tcMar>
              <w:top w:w="0" w:type="dxa"/>
              <w:left w:w="57" w:type="dxa"/>
              <w:bottom w:w="0" w:type="dxa"/>
              <w:right w:w="57" w:type="dxa"/>
            </w:tcMar>
            <w:vAlign w:val="center"/>
          </w:tcPr>
          <w:p w14:paraId="0C433F3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E112.8931028</w:t>
            </w:r>
            <w:r>
              <w:rPr>
                <w:rFonts w:hint="eastAsia"/>
                <w:highlight w:val="none"/>
                <w:lang w:val="en-US" w:eastAsia="zh-CN"/>
              </w:rPr>
              <w:br w:type="textWrapping"/>
            </w:r>
            <w:r>
              <w:rPr>
                <w:rFonts w:hint="eastAsia"/>
                <w:highlight w:val="none"/>
                <w:lang w:val="en-US" w:eastAsia="zh-CN"/>
              </w:rPr>
              <w:t>N28.63062095</w:t>
            </w:r>
          </w:p>
        </w:tc>
        <w:tc>
          <w:tcPr>
            <w:tcW w:w="1127" w:type="pct"/>
            <w:noWrap w:val="0"/>
            <w:tcMar>
              <w:top w:w="0" w:type="dxa"/>
              <w:left w:w="57" w:type="dxa"/>
              <w:bottom w:w="0" w:type="dxa"/>
              <w:right w:w="57" w:type="dxa"/>
            </w:tcMar>
            <w:vAlign w:val="center"/>
          </w:tcPr>
          <w:p w14:paraId="41368A01">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WS</w:t>
            </w:r>
            <w:r>
              <w:rPr>
                <w:rFonts w:hint="eastAsia"/>
                <w:highlight w:val="none"/>
                <w:lang w:val="en-US" w:eastAsia="zh-CN"/>
              </w:rPr>
              <w:t>/2250-2500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3.6</w:t>
            </w:r>
            <w:r>
              <w:rPr>
                <w:rFonts w:hint="default"/>
                <w:highlight w:val="none"/>
              </w:rPr>
              <w:t>m</w:t>
            </w:r>
          </w:p>
        </w:tc>
        <w:tc>
          <w:tcPr>
            <w:tcW w:w="942" w:type="pct"/>
            <w:noWrap w:val="0"/>
            <w:tcMar>
              <w:top w:w="0" w:type="dxa"/>
              <w:left w:w="57" w:type="dxa"/>
              <w:bottom w:w="0" w:type="dxa"/>
              <w:right w:w="57" w:type="dxa"/>
            </w:tcMar>
            <w:vAlign w:val="center"/>
          </w:tcPr>
          <w:p w14:paraId="4EB9C5F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学校</w:t>
            </w:r>
            <w:r>
              <w:rPr>
                <w:rFonts w:hint="default"/>
                <w:highlight w:val="none"/>
                <w:lang w:val="en-US" w:eastAsia="zh-CN"/>
              </w:rPr>
              <w:t>约</w:t>
            </w:r>
            <w:r>
              <w:rPr>
                <w:rFonts w:hint="eastAsia"/>
                <w:highlight w:val="none"/>
                <w:lang w:val="en-US" w:eastAsia="zh-CN"/>
              </w:rPr>
              <w:t>1500</w:t>
            </w:r>
            <w:r>
              <w:rPr>
                <w:rFonts w:hint="default"/>
                <w:highlight w:val="none"/>
                <w:lang w:val="en-US" w:eastAsia="zh-CN"/>
              </w:rPr>
              <w:t>人</w:t>
            </w:r>
          </w:p>
        </w:tc>
        <w:tc>
          <w:tcPr>
            <w:tcW w:w="1094" w:type="pct"/>
            <w:vMerge w:val="continue"/>
            <w:noWrap w:val="0"/>
            <w:tcMar>
              <w:top w:w="0" w:type="dxa"/>
              <w:left w:w="57" w:type="dxa"/>
              <w:bottom w:w="0" w:type="dxa"/>
              <w:right w:w="57" w:type="dxa"/>
            </w:tcMar>
            <w:vAlign w:val="center"/>
          </w:tcPr>
          <w:p w14:paraId="48A4EA5C">
            <w:pPr>
              <w:pStyle w:val="42"/>
              <w:keepNext w:val="0"/>
              <w:keepLines w:val="0"/>
              <w:suppressLineNumbers w:val="0"/>
              <w:bidi w:val="0"/>
              <w:spacing w:before="0" w:beforeAutospacing="0" w:after="0" w:afterAutospacing="0"/>
              <w:rPr>
                <w:rFonts w:hint="default"/>
                <w:highlight w:val="none"/>
              </w:rPr>
            </w:pPr>
          </w:p>
        </w:tc>
      </w:tr>
      <w:tr w14:paraId="38BF16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3AE6A5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555F0B6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周吉村居民点</w:t>
            </w:r>
          </w:p>
        </w:tc>
        <w:tc>
          <w:tcPr>
            <w:tcW w:w="816" w:type="pct"/>
            <w:noWrap w:val="0"/>
            <w:tcMar>
              <w:top w:w="0" w:type="dxa"/>
              <w:left w:w="57" w:type="dxa"/>
              <w:bottom w:w="0" w:type="dxa"/>
              <w:right w:w="57" w:type="dxa"/>
            </w:tcMar>
            <w:vAlign w:val="center"/>
          </w:tcPr>
          <w:p w14:paraId="3543153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E112.8991003</w:t>
            </w:r>
            <w:r>
              <w:rPr>
                <w:rFonts w:hint="eastAsia"/>
                <w:highlight w:val="none"/>
                <w:lang w:val="en-US" w:eastAsia="zh-CN"/>
              </w:rPr>
              <w:br w:type="textWrapping"/>
            </w:r>
            <w:r>
              <w:rPr>
                <w:rFonts w:hint="eastAsia"/>
                <w:highlight w:val="none"/>
                <w:lang w:val="en-US" w:eastAsia="zh-CN"/>
              </w:rPr>
              <w:t>N28.6312325</w:t>
            </w:r>
          </w:p>
        </w:tc>
        <w:tc>
          <w:tcPr>
            <w:tcW w:w="1127" w:type="pct"/>
            <w:noWrap w:val="0"/>
            <w:tcMar>
              <w:top w:w="0" w:type="dxa"/>
              <w:left w:w="57" w:type="dxa"/>
              <w:bottom w:w="0" w:type="dxa"/>
              <w:right w:w="57" w:type="dxa"/>
            </w:tcMar>
            <w:vAlign w:val="center"/>
          </w:tcPr>
          <w:p w14:paraId="5BBB346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S/1400-2500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3.5</w:t>
            </w:r>
            <w:r>
              <w:rPr>
                <w:rFonts w:hint="default"/>
                <w:highlight w:val="none"/>
              </w:rPr>
              <w:t>m</w:t>
            </w:r>
          </w:p>
        </w:tc>
        <w:tc>
          <w:tcPr>
            <w:tcW w:w="942" w:type="pct"/>
            <w:noWrap w:val="0"/>
            <w:tcMar>
              <w:top w:w="0" w:type="dxa"/>
              <w:left w:w="57" w:type="dxa"/>
              <w:bottom w:w="0" w:type="dxa"/>
              <w:right w:w="57" w:type="dxa"/>
            </w:tcMar>
            <w:vAlign w:val="center"/>
          </w:tcPr>
          <w:p w14:paraId="3050DCE0">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800</w:t>
            </w:r>
            <w:r>
              <w:rPr>
                <w:rFonts w:hint="default"/>
                <w:highlight w:val="none"/>
                <w:lang w:val="en-US" w:eastAsia="zh-CN"/>
              </w:rPr>
              <w:t>人</w:t>
            </w:r>
            <w:r>
              <w:rPr>
                <w:rFonts w:hint="eastAsia"/>
                <w:highlight w:val="none"/>
                <w:lang w:val="en-US" w:eastAsia="zh-CN"/>
              </w:rPr>
              <w:t>，200户</w:t>
            </w:r>
          </w:p>
        </w:tc>
        <w:tc>
          <w:tcPr>
            <w:tcW w:w="1094" w:type="pct"/>
            <w:vMerge w:val="continue"/>
            <w:noWrap w:val="0"/>
            <w:tcMar>
              <w:top w:w="0" w:type="dxa"/>
              <w:left w:w="57" w:type="dxa"/>
              <w:bottom w:w="0" w:type="dxa"/>
              <w:right w:w="57" w:type="dxa"/>
            </w:tcMar>
            <w:vAlign w:val="center"/>
          </w:tcPr>
          <w:p w14:paraId="6DD50E8B">
            <w:pPr>
              <w:pStyle w:val="42"/>
              <w:keepNext w:val="0"/>
              <w:keepLines w:val="0"/>
              <w:suppressLineNumbers w:val="0"/>
              <w:bidi w:val="0"/>
              <w:spacing w:before="0" w:beforeAutospacing="0" w:after="0" w:afterAutospacing="0"/>
              <w:rPr>
                <w:rFonts w:hint="default"/>
                <w:highlight w:val="none"/>
              </w:rPr>
            </w:pPr>
          </w:p>
        </w:tc>
      </w:tr>
      <w:tr w14:paraId="53D1DE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12C47212">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BB55083">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四百美居民点</w:t>
            </w:r>
          </w:p>
        </w:tc>
        <w:tc>
          <w:tcPr>
            <w:tcW w:w="816" w:type="pct"/>
            <w:noWrap w:val="0"/>
            <w:tcMar>
              <w:top w:w="0" w:type="dxa"/>
              <w:left w:w="57" w:type="dxa"/>
              <w:bottom w:w="0" w:type="dxa"/>
              <w:right w:w="57" w:type="dxa"/>
            </w:tcMar>
            <w:vAlign w:val="center"/>
          </w:tcPr>
          <w:p w14:paraId="219E520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E112.8878672</w:t>
            </w:r>
            <w:r>
              <w:rPr>
                <w:rFonts w:hint="eastAsia"/>
                <w:highlight w:val="none"/>
                <w:lang w:val="en-US" w:eastAsia="zh-CN"/>
              </w:rPr>
              <w:br w:type="textWrapping"/>
            </w:r>
            <w:r>
              <w:rPr>
                <w:rFonts w:hint="eastAsia"/>
                <w:highlight w:val="none"/>
                <w:lang w:val="en-US" w:eastAsia="zh-CN"/>
              </w:rPr>
              <w:t>N28.64869904</w:t>
            </w:r>
          </w:p>
        </w:tc>
        <w:tc>
          <w:tcPr>
            <w:tcW w:w="1127" w:type="pct"/>
            <w:noWrap w:val="0"/>
            <w:tcMar>
              <w:top w:w="0" w:type="dxa"/>
              <w:left w:w="57" w:type="dxa"/>
              <w:bottom w:w="0" w:type="dxa"/>
              <w:right w:w="57" w:type="dxa"/>
            </w:tcMar>
            <w:vAlign w:val="center"/>
          </w:tcPr>
          <w:p w14:paraId="769A7C7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W/1580-1800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3.</w:t>
            </w:r>
            <w:r>
              <w:rPr>
                <w:rFonts w:hint="eastAsia"/>
                <w:highlight w:val="none"/>
                <w:lang w:val="en-US" w:eastAsia="zh-CN"/>
              </w:rPr>
              <w:t>9</w:t>
            </w:r>
            <w:r>
              <w:rPr>
                <w:rFonts w:hint="default"/>
                <w:highlight w:val="none"/>
              </w:rPr>
              <w:t>m</w:t>
            </w:r>
          </w:p>
        </w:tc>
        <w:tc>
          <w:tcPr>
            <w:tcW w:w="942" w:type="pct"/>
            <w:noWrap w:val="0"/>
            <w:tcMar>
              <w:top w:w="0" w:type="dxa"/>
              <w:left w:w="57" w:type="dxa"/>
              <w:bottom w:w="0" w:type="dxa"/>
              <w:right w:w="57" w:type="dxa"/>
            </w:tcMar>
            <w:vAlign w:val="center"/>
          </w:tcPr>
          <w:p w14:paraId="28B4CAAC">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200</w:t>
            </w:r>
            <w:r>
              <w:rPr>
                <w:rFonts w:hint="default"/>
                <w:highlight w:val="none"/>
                <w:lang w:val="en-US" w:eastAsia="zh-CN"/>
              </w:rPr>
              <w:t>人</w:t>
            </w:r>
            <w:r>
              <w:rPr>
                <w:rFonts w:hint="eastAsia"/>
                <w:highlight w:val="none"/>
                <w:lang w:val="en-US" w:eastAsia="zh-CN"/>
              </w:rPr>
              <w:t>，40户</w:t>
            </w:r>
          </w:p>
        </w:tc>
        <w:tc>
          <w:tcPr>
            <w:tcW w:w="1094" w:type="pct"/>
            <w:vMerge w:val="continue"/>
            <w:noWrap w:val="0"/>
            <w:tcMar>
              <w:top w:w="0" w:type="dxa"/>
              <w:left w:w="57" w:type="dxa"/>
              <w:bottom w:w="0" w:type="dxa"/>
              <w:right w:w="57" w:type="dxa"/>
            </w:tcMar>
            <w:vAlign w:val="center"/>
          </w:tcPr>
          <w:p w14:paraId="51E6505A">
            <w:pPr>
              <w:pStyle w:val="42"/>
              <w:keepNext w:val="0"/>
              <w:keepLines w:val="0"/>
              <w:suppressLineNumbers w:val="0"/>
              <w:bidi w:val="0"/>
              <w:spacing w:before="0" w:beforeAutospacing="0" w:after="0" w:afterAutospacing="0"/>
              <w:rPr>
                <w:rFonts w:hint="default"/>
                <w:highlight w:val="none"/>
              </w:rPr>
            </w:pPr>
          </w:p>
        </w:tc>
      </w:tr>
      <w:tr w14:paraId="3F5CFA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626B450">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49AA3E4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邵家老屋居民点</w:t>
            </w:r>
          </w:p>
        </w:tc>
        <w:tc>
          <w:tcPr>
            <w:tcW w:w="816" w:type="pct"/>
            <w:noWrap w:val="0"/>
            <w:tcMar>
              <w:top w:w="0" w:type="dxa"/>
              <w:left w:w="57" w:type="dxa"/>
              <w:bottom w:w="0" w:type="dxa"/>
              <w:right w:w="57" w:type="dxa"/>
            </w:tcMar>
            <w:vAlign w:val="center"/>
          </w:tcPr>
          <w:p w14:paraId="532722A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E112.8839833</w:t>
            </w:r>
            <w:r>
              <w:rPr>
                <w:rFonts w:hint="eastAsia"/>
                <w:highlight w:val="none"/>
                <w:lang w:val="en-US" w:eastAsia="zh-CN"/>
              </w:rPr>
              <w:br w:type="textWrapping"/>
            </w:r>
            <w:r>
              <w:rPr>
                <w:rFonts w:hint="eastAsia"/>
                <w:highlight w:val="none"/>
                <w:lang w:val="en-US" w:eastAsia="zh-CN"/>
              </w:rPr>
              <w:t>N28.65350556</w:t>
            </w:r>
          </w:p>
        </w:tc>
        <w:tc>
          <w:tcPr>
            <w:tcW w:w="1127" w:type="pct"/>
            <w:noWrap w:val="0"/>
            <w:tcMar>
              <w:top w:w="0" w:type="dxa"/>
              <w:left w:w="57" w:type="dxa"/>
              <w:bottom w:w="0" w:type="dxa"/>
              <w:right w:w="57" w:type="dxa"/>
            </w:tcMar>
            <w:vAlign w:val="center"/>
          </w:tcPr>
          <w:p w14:paraId="33A0B16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NW/2000-2250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3.</w:t>
            </w:r>
            <w:r>
              <w:rPr>
                <w:rFonts w:hint="eastAsia"/>
                <w:highlight w:val="none"/>
                <w:lang w:val="en-US" w:eastAsia="zh-CN"/>
              </w:rPr>
              <w:t>8</w:t>
            </w:r>
            <w:r>
              <w:rPr>
                <w:rFonts w:hint="default"/>
                <w:highlight w:val="none"/>
              </w:rPr>
              <w:t>m</w:t>
            </w:r>
          </w:p>
        </w:tc>
        <w:tc>
          <w:tcPr>
            <w:tcW w:w="942" w:type="pct"/>
            <w:noWrap w:val="0"/>
            <w:tcMar>
              <w:top w:w="0" w:type="dxa"/>
              <w:left w:w="57" w:type="dxa"/>
              <w:bottom w:w="0" w:type="dxa"/>
              <w:right w:w="57" w:type="dxa"/>
            </w:tcMar>
            <w:vAlign w:val="center"/>
          </w:tcPr>
          <w:p w14:paraId="3FBB597C">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220</w:t>
            </w:r>
            <w:r>
              <w:rPr>
                <w:rFonts w:hint="default"/>
                <w:highlight w:val="none"/>
                <w:lang w:val="en-US" w:eastAsia="zh-CN"/>
              </w:rPr>
              <w:t>人</w:t>
            </w:r>
            <w:r>
              <w:rPr>
                <w:rFonts w:hint="eastAsia"/>
                <w:highlight w:val="none"/>
                <w:lang w:val="en-US" w:eastAsia="zh-CN"/>
              </w:rPr>
              <w:t>，50户</w:t>
            </w:r>
          </w:p>
        </w:tc>
        <w:tc>
          <w:tcPr>
            <w:tcW w:w="1094" w:type="pct"/>
            <w:vMerge w:val="continue"/>
            <w:noWrap w:val="0"/>
            <w:tcMar>
              <w:top w:w="0" w:type="dxa"/>
              <w:left w:w="57" w:type="dxa"/>
              <w:bottom w:w="0" w:type="dxa"/>
              <w:right w:w="57" w:type="dxa"/>
            </w:tcMar>
            <w:vAlign w:val="center"/>
          </w:tcPr>
          <w:p w14:paraId="0D09FC65">
            <w:pPr>
              <w:pStyle w:val="42"/>
              <w:keepNext w:val="0"/>
              <w:keepLines w:val="0"/>
              <w:suppressLineNumbers w:val="0"/>
              <w:bidi w:val="0"/>
              <w:spacing w:before="0" w:beforeAutospacing="0" w:after="0" w:afterAutospacing="0"/>
              <w:rPr>
                <w:rFonts w:hint="default"/>
                <w:highlight w:val="none"/>
              </w:rPr>
            </w:pPr>
          </w:p>
        </w:tc>
      </w:tr>
      <w:tr w14:paraId="661BBB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A5390F2">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E5B55A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将军村居民点</w:t>
            </w:r>
          </w:p>
        </w:tc>
        <w:tc>
          <w:tcPr>
            <w:tcW w:w="816" w:type="pct"/>
            <w:noWrap w:val="0"/>
            <w:tcMar>
              <w:top w:w="0" w:type="dxa"/>
              <w:left w:w="57" w:type="dxa"/>
              <w:bottom w:w="0" w:type="dxa"/>
              <w:right w:w="57" w:type="dxa"/>
            </w:tcMar>
            <w:vAlign w:val="center"/>
          </w:tcPr>
          <w:p w14:paraId="631D710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E112.902394</w:t>
            </w:r>
            <w:r>
              <w:rPr>
                <w:rFonts w:hint="eastAsia"/>
                <w:highlight w:val="none"/>
                <w:lang w:val="en-US" w:eastAsia="zh-CN"/>
              </w:rPr>
              <w:br w:type="textWrapping"/>
            </w:r>
            <w:r>
              <w:rPr>
                <w:rFonts w:hint="eastAsia"/>
                <w:highlight w:val="none"/>
                <w:lang w:val="en-US" w:eastAsia="zh-CN"/>
              </w:rPr>
              <w:t>N28.64984703</w:t>
            </w:r>
          </w:p>
        </w:tc>
        <w:tc>
          <w:tcPr>
            <w:tcW w:w="1127" w:type="pct"/>
            <w:noWrap w:val="0"/>
            <w:tcMar>
              <w:top w:w="0" w:type="dxa"/>
              <w:left w:w="57" w:type="dxa"/>
              <w:bottom w:w="0" w:type="dxa"/>
              <w:right w:w="57" w:type="dxa"/>
            </w:tcMar>
            <w:vAlign w:val="center"/>
          </w:tcPr>
          <w:p w14:paraId="06D6EF7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NW/230-330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2.9</w:t>
            </w:r>
            <w:r>
              <w:rPr>
                <w:rFonts w:hint="default"/>
                <w:highlight w:val="none"/>
              </w:rPr>
              <w:t>m</w:t>
            </w:r>
          </w:p>
        </w:tc>
        <w:tc>
          <w:tcPr>
            <w:tcW w:w="942" w:type="pct"/>
            <w:noWrap w:val="0"/>
            <w:tcMar>
              <w:top w:w="0" w:type="dxa"/>
              <w:left w:w="57" w:type="dxa"/>
              <w:bottom w:w="0" w:type="dxa"/>
              <w:right w:w="57" w:type="dxa"/>
            </w:tcMar>
            <w:vAlign w:val="center"/>
          </w:tcPr>
          <w:p w14:paraId="51648AF9">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20</w:t>
            </w:r>
            <w:r>
              <w:rPr>
                <w:rFonts w:hint="default"/>
                <w:highlight w:val="none"/>
                <w:lang w:val="en-US" w:eastAsia="zh-CN"/>
              </w:rPr>
              <w:t>人</w:t>
            </w:r>
            <w:r>
              <w:rPr>
                <w:rFonts w:hint="eastAsia"/>
                <w:highlight w:val="none"/>
                <w:lang w:val="en-US" w:eastAsia="zh-CN"/>
              </w:rPr>
              <w:t>，5户</w:t>
            </w:r>
          </w:p>
        </w:tc>
        <w:tc>
          <w:tcPr>
            <w:tcW w:w="1094" w:type="pct"/>
            <w:vMerge w:val="continue"/>
            <w:noWrap w:val="0"/>
            <w:tcMar>
              <w:top w:w="0" w:type="dxa"/>
              <w:left w:w="57" w:type="dxa"/>
              <w:bottom w:w="0" w:type="dxa"/>
              <w:right w:w="57" w:type="dxa"/>
            </w:tcMar>
            <w:vAlign w:val="center"/>
          </w:tcPr>
          <w:p w14:paraId="53E0531E">
            <w:pPr>
              <w:pStyle w:val="42"/>
              <w:keepNext w:val="0"/>
              <w:keepLines w:val="0"/>
              <w:suppressLineNumbers w:val="0"/>
              <w:bidi w:val="0"/>
              <w:spacing w:before="0" w:beforeAutospacing="0" w:after="0" w:afterAutospacing="0"/>
              <w:rPr>
                <w:rFonts w:hint="default"/>
                <w:highlight w:val="none"/>
              </w:rPr>
            </w:pPr>
          </w:p>
        </w:tc>
      </w:tr>
      <w:tr w14:paraId="75EAAF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B688423">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27FB09D">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消防大队</w:t>
            </w:r>
          </w:p>
        </w:tc>
        <w:tc>
          <w:tcPr>
            <w:tcW w:w="816" w:type="pct"/>
            <w:noWrap w:val="0"/>
            <w:tcMar>
              <w:top w:w="0" w:type="dxa"/>
              <w:left w:w="57" w:type="dxa"/>
              <w:bottom w:w="0" w:type="dxa"/>
              <w:right w:w="57" w:type="dxa"/>
            </w:tcMar>
            <w:vAlign w:val="center"/>
          </w:tcPr>
          <w:p w14:paraId="48670E8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E112.8990198</w:t>
            </w:r>
            <w:r>
              <w:rPr>
                <w:rFonts w:hint="eastAsia"/>
                <w:highlight w:val="none"/>
                <w:lang w:val="en-US" w:eastAsia="zh-CN"/>
              </w:rPr>
              <w:br w:type="textWrapping"/>
            </w:r>
            <w:r>
              <w:rPr>
                <w:rFonts w:hint="eastAsia"/>
                <w:highlight w:val="none"/>
                <w:lang w:val="en-US" w:eastAsia="zh-CN"/>
              </w:rPr>
              <w:t>N28.65203571</w:t>
            </w:r>
          </w:p>
        </w:tc>
        <w:tc>
          <w:tcPr>
            <w:tcW w:w="1127" w:type="pct"/>
            <w:noWrap w:val="0"/>
            <w:tcMar>
              <w:top w:w="0" w:type="dxa"/>
              <w:left w:w="57" w:type="dxa"/>
              <w:bottom w:w="0" w:type="dxa"/>
              <w:right w:w="57" w:type="dxa"/>
            </w:tcMar>
            <w:vAlign w:val="center"/>
          </w:tcPr>
          <w:p w14:paraId="70B7917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NW/550-760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-0.5</w:t>
            </w:r>
            <w:r>
              <w:rPr>
                <w:rFonts w:hint="default"/>
                <w:highlight w:val="none"/>
              </w:rPr>
              <w:t>m</w:t>
            </w:r>
          </w:p>
        </w:tc>
        <w:tc>
          <w:tcPr>
            <w:tcW w:w="942" w:type="pct"/>
            <w:noWrap w:val="0"/>
            <w:tcMar>
              <w:top w:w="0" w:type="dxa"/>
              <w:left w:w="57" w:type="dxa"/>
              <w:bottom w:w="0" w:type="dxa"/>
              <w:right w:w="57" w:type="dxa"/>
            </w:tcMar>
            <w:vAlign w:val="center"/>
          </w:tcPr>
          <w:p w14:paraId="293C1EE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行政，约40</w:t>
            </w:r>
            <w:r>
              <w:rPr>
                <w:rFonts w:hint="default"/>
                <w:highlight w:val="none"/>
                <w:lang w:val="en-US" w:eastAsia="zh-CN"/>
              </w:rPr>
              <w:t>人</w:t>
            </w:r>
          </w:p>
        </w:tc>
        <w:tc>
          <w:tcPr>
            <w:tcW w:w="1094" w:type="pct"/>
            <w:vMerge w:val="continue"/>
            <w:noWrap w:val="0"/>
            <w:tcMar>
              <w:top w:w="0" w:type="dxa"/>
              <w:left w:w="57" w:type="dxa"/>
              <w:bottom w:w="0" w:type="dxa"/>
              <w:right w:w="57" w:type="dxa"/>
            </w:tcMar>
            <w:vAlign w:val="center"/>
          </w:tcPr>
          <w:p w14:paraId="55883010">
            <w:pPr>
              <w:pStyle w:val="42"/>
              <w:keepNext w:val="0"/>
              <w:keepLines w:val="0"/>
              <w:suppressLineNumbers w:val="0"/>
              <w:bidi w:val="0"/>
              <w:spacing w:before="0" w:beforeAutospacing="0" w:after="0" w:afterAutospacing="0"/>
              <w:rPr>
                <w:rFonts w:hint="default"/>
                <w:highlight w:val="none"/>
              </w:rPr>
            </w:pPr>
          </w:p>
        </w:tc>
      </w:tr>
      <w:tr w14:paraId="7882F1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4763EF4">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F5985C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将军村安置小区</w:t>
            </w:r>
          </w:p>
        </w:tc>
        <w:tc>
          <w:tcPr>
            <w:tcW w:w="816" w:type="pct"/>
            <w:noWrap w:val="0"/>
            <w:tcMar>
              <w:top w:w="0" w:type="dxa"/>
              <w:left w:w="57" w:type="dxa"/>
              <w:bottom w:w="0" w:type="dxa"/>
              <w:right w:w="57" w:type="dxa"/>
            </w:tcMar>
            <w:vAlign w:val="center"/>
          </w:tcPr>
          <w:p w14:paraId="64EA114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E112.8969974</w:t>
            </w:r>
            <w:r>
              <w:rPr>
                <w:rFonts w:hint="eastAsia"/>
                <w:highlight w:val="none"/>
                <w:lang w:val="en-US" w:eastAsia="zh-CN"/>
              </w:rPr>
              <w:br w:type="textWrapping"/>
            </w:r>
            <w:r>
              <w:rPr>
                <w:rFonts w:hint="eastAsia"/>
                <w:highlight w:val="none"/>
                <w:lang w:val="en-US" w:eastAsia="zh-CN"/>
              </w:rPr>
              <w:t>N28.65439069</w:t>
            </w:r>
          </w:p>
        </w:tc>
        <w:tc>
          <w:tcPr>
            <w:tcW w:w="1127" w:type="pct"/>
            <w:noWrap w:val="0"/>
            <w:tcMar>
              <w:top w:w="0" w:type="dxa"/>
              <w:left w:w="57" w:type="dxa"/>
              <w:bottom w:w="0" w:type="dxa"/>
              <w:right w:w="57" w:type="dxa"/>
            </w:tcMar>
            <w:vAlign w:val="center"/>
          </w:tcPr>
          <w:p w14:paraId="4B6B5E9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NW/660-1200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1.6</w:t>
            </w:r>
            <w:r>
              <w:rPr>
                <w:rFonts w:hint="default"/>
                <w:highlight w:val="none"/>
              </w:rPr>
              <w:t>m</w:t>
            </w:r>
          </w:p>
        </w:tc>
        <w:tc>
          <w:tcPr>
            <w:tcW w:w="942" w:type="pct"/>
            <w:noWrap w:val="0"/>
            <w:tcMar>
              <w:top w:w="0" w:type="dxa"/>
              <w:left w:w="57" w:type="dxa"/>
              <w:bottom w:w="0" w:type="dxa"/>
              <w:right w:w="57" w:type="dxa"/>
            </w:tcMar>
            <w:vAlign w:val="center"/>
          </w:tcPr>
          <w:p w14:paraId="4D1EA5E5">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160</w:t>
            </w:r>
            <w:r>
              <w:rPr>
                <w:rFonts w:hint="default"/>
                <w:highlight w:val="none"/>
                <w:lang w:val="en-US" w:eastAsia="zh-CN"/>
              </w:rPr>
              <w:t>人</w:t>
            </w:r>
            <w:r>
              <w:rPr>
                <w:rFonts w:hint="eastAsia"/>
                <w:highlight w:val="none"/>
                <w:lang w:val="en-US" w:eastAsia="zh-CN"/>
              </w:rPr>
              <w:t>，160户</w:t>
            </w:r>
          </w:p>
        </w:tc>
        <w:tc>
          <w:tcPr>
            <w:tcW w:w="1094" w:type="pct"/>
            <w:vMerge w:val="continue"/>
            <w:noWrap w:val="0"/>
            <w:tcMar>
              <w:top w:w="0" w:type="dxa"/>
              <w:left w:w="57" w:type="dxa"/>
              <w:bottom w:w="0" w:type="dxa"/>
              <w:right w:w="57" w:type="dxa"/>
            </w:tcMar>
            <w:vAlign w:val="center"/>
          </w:tcPr>
          <w:p w14:paraId="35F1E672">
            <w:pPr>
              <w:pStyle w:val="42"/>
              <w:keepNext w:val="0"/>
              <w:keepLines w:val="0"/>
              <w:suppressLineNumbers w:val="0"/>
              <w:bidi w:val="0"/>
              <w:spacing w:before="0" w:beforeAutospacing="0" w:after="0" w:afterAutospacing="0"/>
              <w:rPr>
                <w:rFonts w:hint="default"/>
                <w:highlight w:val="none"/>
              </w:rPr>
            </w:pPr>
          </w:p>
        </w:tc>
      </w:tr>
      <w:tr w14:paraId="42061C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4217257">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6FF209D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刘家湾居民点</w:t>
            </w:r>
          </w:p>
        </w:tc>
        <w:tc>
          <w:tcPr>
            <w:tcW w:w="816" w:type="pct"/>
            <w:noWrap w:val="0"/>
            <w:tcMar>
              <w:top w:w="0" w:type="dxa"/>
              <w:left w:w="57" w:type="dxa"/>
              <w:bottom w:w="0" w:type="dxa"/>
              <w:right w:w="57" w:type="dxa"/>
            </w:tcMar>
            <w:vAlign w:val="center"/>
          </w:tcPr>
          <w:p w14:paraId="7579BAF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E112.8925449</w:t>
            </w:r>
            <w:r>
              <w:rPr>
                <w:rFonts w:hint="eastAsia"/>
                <w:highlight w:val="none"/>
                <w:lang w:val="en-US" w:eastAsia="zh-CN"/>
              </w:rPr>
              <w:br w:type="textWrapping"/>
            </w:r>
            <w:r>
              <w:rPr>
                <w:rFonts w:hint="eastAsia"/>
                <w:highlight w:val="none"/>
                <w:lang w:val="en-US" w:eastAsia="zh-CN"/>
              </w:rPr>
              <w:t>N28.65543139</w:t>
            </w:r>
          </w:p>
        </w:tc>
        <w:tc>
          <w:tcPr>
            <w:tcW w:w="1127" w:type="pct"/>
            <w:noWrap w:val="0"/>
            <w:tcMar>
              <w:top w:w="0" w:type="dxa"/>
              <w:left w:w="57" w:type="dxa"/>
              <w:bottom w:w="0" w:type="dxa"/>
              <w:right w:w="57" w:type="dxa"/>
            </w:tcMar>
            <w:vAlign w:val="center"/>
          </w:tcPr>
          <w:p w14:paraId="4124895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NW/1220-1600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2.9</w:t>
            </w:r>
            <w:r>
              <w:rPr>
                <w:rFonts w:hint="default"/>
                <w:highlight w:val="none"/>
              </w:rPr>
              <w:t>m</w:t>
            </w:r>
          </w:p>
        </w:tc>
        <w:tc>
          <w:tcPr>
            <w:tcW w:w="942" w:type="pct"/>
            <w:noWrap w:val="0"/>
            <w:tcMar>
              <w:top w:w="0" w:type="dxa"/>
              <w:left w:w="57" w:type="dxa"/>
              <w:bottom w:w="0" w:type="dxa"/>
              <w:right w:w="57" w:type="dxa"/>
            </w:tcMar>
            <w:vAlign w:val="center"/>
          </w:tcPr>
          <w:p w14:paraId="46E81343">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180</w:t>
            </w:r>
            <w:r>
              <w:rPr>
                <w:rFonts w:hint="default"/>
                <w:highlight w:val="none"/>
                <w:lang w:val="en-US" w:eastAsia="zh-CN"/>
              </w:rPr>
              <w:t>人</w:t>
            </w:r>
            <w:r>
              <w:rPr>
                <w:rFonts w:hint="eastAsia"/>
                <w:highlight w:val="none"/>
                <w:lang w:val="en-US" w:eastAsia="zh-CN"/>
              </w:rPr>
              <w:t>，50户</w:t>
            </w:r>
          </w:p>
        </w:tc>
        <w:tc>
          <w:tcPr>
            <w:tcW w:w="1094" w:type="pct"/>
            <w:vMerge w:val="continue"/>
            <w:noWrap w:val="0"/>
            <w:tcMar>
              <w:top w:w="0" w:type="dxa"/>
              <w:left w:w="57" w:type="dxa"/>
              <w:bottom w:w="0" w:type="dxa"/>
              <w:right w:w="57" w:type="dxa"/>
            </w:tcMar>
            <w:vAlign w:val="center"/>
          </w:tcPr>
          <w:p w14:paraId="092487EC">
            <w:pPr>
              <w:pStyle w:val="42"/>
              <w:keepNext w:val="0"/>
              <w:keepLines w:val="0"/>
              <w:suppressLineNumbers w:val="0"/>
              <w:bidi w:val="0"/>
              <w:spacing w:before="0" w:beforeAutospacing="0" w:after="0" w:afterAutospacing="0"/>
              <w:rPr>
                <w:rFonts w:hint="default"/>
                <w:highlight w:val="none"/>
              </w:rPr>
            </w:pPr>
          </w:p>
        </w:tc>
      </w:tr>
      <w:tr w14:paraId="12A1CF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18D75CD7">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13B1EE1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王家岭居民点</w:t>
            </w:r>
          </w:p>
        </w:tc>
        <w:tc>
          <w:tcPr>
            <w:tcW w:w="816" w:type="pct"/>
            <w:noWrap w:val="0"/>
            <w:tcMar>
              <w:top w:w="0" w:type="dxa"/>
              <w:left w:w="57" w:type="dxa"/>
              <w:bottom w:w="0" w:type="dxa"/>
              <w:right w:w="57" w:type="dxa"/>
            </w:tcMar>
            <w:vAlign w:val="center"/>
          </w:tcPr>
          <w:p w14:paraId="009E0F7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E112.8966434</w:t>
            </w:r>
            <w:r>
              <w:rPr>
                <w:rFonts w:hint="eastAsia"/>
                <w:highlight w:val="none"/>
                <w:lang w:val="en-US" w:eastAsia="zh-CN"/>
              </w:rPr>
              <w:br w:type="textWrapping"/>
            </w:r>
            <w:r>
              <w:rPr>
                <w:rFonts w:hint="eastAsia"/>
                <w:highlight w:val="none"/>
                <w:lang w:val="en-US" w:eastAsia="zh-CN"/>
              </w:rPr>
              <w:t>N28.66221201</w:t>
            </w:r>
          </w:p>
        </w:tc>
        <w:tc>
          <w:tcPr>
            <w:tcW w:w="1127" w:type="pct"/>
            <w:noWrap w:val="0"/>
            <w:tcMar>
              <w:top w:w="0" w:type="dxa"/>
              <w:left w:w="57" w:type="dxa"/>
              <w:bottom w:w="0" w:type="dxa"/>
              <w:right w:w="57" w:type="dxa"/>
            </w:tcMar>
            <w:vAlign w:val="center"/>
          </w:tcPr>
          <w:p w14:paraId="004D8B1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N/1350-2000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-1.6</w:t>
            </w:r>
            <w:r>
              <w:rPr>
                <w:rFonts w:hint="default"/>
                <w:highlight w:val="none"/>
              </w:rPr>
              <w:t>m</w:t>
            </w:r>
          </w:p>
        </w:tc>
        <w:tc>
          <w:tcPr>
            <w:tcW w:w="942" w:type="pct"/>
            <w:noWrap w:val="0"/>
            <w:tcMar>
              <w:top w:w="0" w:type="dxa"/>
              <w:left w:w="57" w:type="dxa"/>
              <w:bottom w:w="0" w:type="dxa"/>
              <w:right w:w="57" w:type="dxa"/>
            </w:tcMar>
            <w:vAlign w:val="center"/>
          </w:tcPr>
          <w:p w14:paraId="24057828">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160</w:t>
            </w:r>
            <w:r>
              <w:rPr>
                <w:rFonts w:hint="default"/>
                <w:highlight w:val="none"/>
                <w:lang w:val="en-US" w:eastAsia="zh-CN"/>
              </w:rPr>
              <w:t>人</w:t>
            </w:r>
            <w:r>
              <w:rPr>
                <w:rFonts w:hint="eastAsia"/>
                <w:highlight w:val="none"/>
                <w:lang w:val="en-US" w:eastAsia="zh-CN"/>
              </w:rPr>
              <w:t>，45户</w:t>
            </w:r>
          </w:p>
        </w:tc>
        <w:tc>
          <w:tcPr>
            <w:tcW w:w="1094" w:type="pct"/>
            <w:vMerge w:val="continue"/>
            <w:noWrap w:val="0"/>
            <w:tcMar>
              <w:top w:w="0" w:type="dxa"/>
              <w:left w:w="57" w:type="dxa"/>
              <w:bottom w:w="0" w:type="dxa"/>
              <w:right w:w="57" w:type="dxa"/>
            </w:tcMar>
            <w:vAlign w:val="center"/>
          </w:tcPr>
          <w:p w14:paraId="4DFB0C40">
            <w:pPr>
              <w:pStyle w:val="42"/>
              <w:keepNext w:val="0"/>
              <w:keepLines w:val="0"/>
              <w:suppressLineNumbers w:val="0"/>
              <w:bidi w:val="0"/>
              <w:spacing w:before="0" w:beforeAutospacing="0" w:after="0" w:afterAutospacing="0"/>
              <w:rPr>
                <w:rFonts w:hint="default"/>
                <w:highlight w:val="none"/>
              </w:rPr>
            </w:pPr>
          </w:p>
        </w:tc>
      </w:tr>
      <w:tr w14:paraId="098AE8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225190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0EC2508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望坪居民点</w:t>
            </w:r>
          </w:p>
        </w:tc>
        <w:tc>
          <w:tcPr>
            <w:tcW w:w="816" w:type="pct"/>
            <w:noWrap w:val="0"/>
            <w:tcMar>
              <w:top w:w="0" w:type="dxa"/>
              <w:left w:w="57" w:type="dxa"/>
              <w:bottom w:w="0" w:type="dxa"/>
              <w:right w:w="57" w:type="dxa"/>
            </w:tcMar>
            <w:vAlign w:val="center"/>
          </w:tcPr>
          <w:p w14:paraId="3C52650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E112.8939611</w:t>
            </w:r>
            <w:r>
              <w:rPr>
                <w:rFonts w:hint="eastAsia"/>
                <w:highlight w:val="none"/>
                <w:lang w:val="en-US" w:eastAsia="zh-CN"/>
              </w:rPr>
              <w:br w:type="textWrapping"/>
            </w:r>
            <w:r>
              <w:rPr>
                <w:rFonts w:hint="eastAsia"/>
                <w:highlight w:val="none"/>
                <w:lang w:val="en-US" w:eastAsia="zh-CN"/>
              </w:rPr>
              <w:t>N28.66763007</w:t>
            </w:r>
          </w:p>
        </w:tc>
        <w:tc>
          <w:tcPr>
            <w:tcW w:w="1127" w:type="pct"/>
            <w:noWrap w:val="0"/>
            <w:tcMar>
              <w:top w:w="0" w:type="dxa"/>
              <w:left w:w="57" w:type="dxa"/>
              <w:bottom w:w="0" w:type="dxa"/>
              <w:right w:w="57" w:type="dxa"/>
            </w:tcMar>
            <w:vAlign w:val="center"/>
          </w:tcPr>
          <w:p w14:paraId="3FF9BEB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N/2150-2400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+4.2</w:t>
            </w:r>
            <w:r>
              <w:rPr>
                <w:rFonts w:hint="default"/>
                <w:highlight w:val="none"/>
              </w:rPr>
              <w:t>m</w:t>
            </w:r>
          </w:p>
        </w:tc>
        <w:tc>
          <w:tcPr>
            <w:tcW w:w="942" w:type="pct"/>
            <w:noWrap w:val="0"/>
            <w:tcMar>
              <w:top w:w="0" w:type="dxa"/>
              <w:left w:w="57" w:type="dxa"/>
              <w:bottom w:w="0" w:type="dxa"/>
              <w:right w:w="57" w:type="dxa"/>
            </w:tcMar>
            <w:vAlign w:val="center"/>
          </w:tcPr>
          <w:p w14:paraId="327F41AA">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30</w:t>
            </w:r>
            <w:r>
              <w:rPr>
                <w:rFonts w:hint="default"/>
                <w:highlight w:val="none"/>
                <w:lang w:val="en-US" w:eastAsia="zh-CN"/>
              </w:rPr>
              <w:t>人</w:t>
            </w:r>
            <w:r>
              <w:rPr>
                <w:rFonts w:hint="eastAsia"/>
                <w:highlight w:val="none"/>
                <w:lang w:val="en-US" w:eastAsia="zh-CN"/>
              </w:rPr>
              <w:t>，10户</w:t>
            </w:r>
          </w:p>
        </w:tc>
        <w:tc>
          <w:tcPr>
            <w:tcW w:w="1094" w:type="pct"/>
            <w:vMerge w:val="continue"/>
            <w:noWrap w:val="0"/>
            <w:tcMar>
              <w:top w:w="0" w:type="dxa"/>
              <w:left w:w="57" w:type="dxa"/>
              <w:bottom w:w="0" w:type="dxa"/>
              <w:right w:w="57" w:type="dxa"/>
            </w:tcMar>
            <w:vAlign w:val="center"/>
          </w:tcPr>
          <w:p w14:paraId="47A14F57">
            <w:pPr>
              <w:pStyle w:val="42"/>
              <w:keepNext w:val="0"/>
              <w:keepLines w:val="0"/>
              <w:suppressLineNumbers w:val="0"/>
              <w:bidi w:val="0"/>
              <w:spacing w:before="0" w:beforeAutospacing="0" w:after="0" w:afterAutospacing="0"/>
              <w:rPr>
                <w:rFonts w:hint="default"/>
                <w:highlight w:val="none"/>
              </w:rPr>
            </w:pPr>
          </w:p>
        </w:tc>
      </w:tr>
      <w:tr w14:paraId="28121C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529D49D2">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4A695C0">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王家大屋居民点</w:t>
            </w:r>
          </w:p>
        </w:tc>
        <w:tc>
          <w:tcPr>
            <w:tcW w:w="816" w:type="pct"/>
            <w:noWrap w:val="0"/>
            <w:tcMar>
              <w:top w:w="0" w:type="dxa"/>
              <w:left w:w="57" w:type="dxa"/>
              <w:bottom w:w="0" w:type="dxa"/>
              <w:right w:w="57" w:type="dxa"/>
            </w:tcMar>
            <w:vAlign w:val="center"/>
          </w:tcPr>
          <w:p w14:paraId="0D91E64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E112.9017396</w:t>
            </w:r>
            <w:r>
              <w:rPr>
                <w:rFonts w:hint="eastAsia"/>
                <w:highlight w:val="none"/>
                <w:lang w:val="en-US" w:eastAsia="zh-CN"/>
              </w:rPr>
              <w:br w:type="textWrapping"/>
            </w:r>
            <w:r>
              <w:rPr>
                <w:rFonts w:hint="eastAsia"/>
                <w:highlight w:val="none"/>
                <w:lang w:val="en-US" w:eastAsia="zh-CN"/>
              </w:rPr>
              <w:t>N28.65768444</w:t>
            </w:r>
          </w:p>
        </w:tc>
        <w:tc>
          <w:tcPr>
            <w:tcW w:w="1127" w:type="pct"/>
            <w:noWrap w:val="0"/>
            <w:tcMar>
              <w:top w:w="0" w:type="dxa"/>
              <w:left w:w="57" w:type="dxa"/>
              <w:bottom w:w="0" w:type="dxa"/>
              <w:right w:w="57" w:type="dxa"/>
            </w:tcMar>
            <w:vAlign w:val="center"/>
          </w:tcPr>
          <w:p w14:paraId="1947263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N/710-1300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4.</w:t>
            </w:r>
            <w:r>
              <w:rPr>
                <w:rFonts w:hint="default"/>
                <w:highlight w:val="none"/>
                <w:lang w:val="en-US" w:eastAsia="zh-CN"/>
              </w:rPr>
              <w:t>1</w:t>
            </w:r>
            <w:r>
              <w:rPr>
                <w:rFonts w:hint="default"/>
                <w:highlight w:val="none"/>
              </w:rPr>
              <w:t>m</w:t>
            </w:r>
          </w:p>
        </w:tc>
        <w:tc>
          <w:tcPr>
            <w:tcW w:w="942" w:type="pct"/>
            <w:noWrap w:val="0"/>
            <w:tcMar>
              <w:top w:w="0" w:type="dxa"/>
              <w:left w:w="57" w:type="dxa"/>
              <w:bottom w:w="0" w:type="dxa"/>
              <w:right w:w="57" w:type="dxa"/>
            </w:tcMar>
            <w:vAlign w:val="center"/>
          </w:tcPr>
          <w:p w14:paraId="4B4E0816">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190</w:t>
            </w:r>
            <w:r>
              <w:rPr>
                <w:rFonts w:hint="default"/>
                <w:highlight w:val="none"/>
                <w:lang w:val="en-US" w:eastAsia="zh-CN"/>
              </w:rPr>
              <w:t>人</w:t>
            </w:r>
            <w:r>
              <w:rPr>
                <w:rFonts w:hint="eastAsia"/>
                <w:highlight w:val="none"/>
                <w:lang w:val="en-US" w:eastAsia="zh-CN"/>
              </w:rPr>
              <w:t>，52户</w:t>
            </w:r>
          </w:p>
        </w:tc>
        <w:tc>
          <w:tcPr>
            <w:tcW w:w="1094" w:type="pct"/>
            <w:vMerge w:val="continue"/>
            <w:noWrap w:val="0"/>
            <w:tcMar>
              <w:top w:w="0" w:type="dxa"/>
              <w:left w:w="57" w:type="dxa"/>
              <w:bottom w:w="0" w:type="dxa"/>
              <w:right w:w="57" w:type="dxa"/>
            </w:tcMar>
            <w:vAlign w:val="center"/>
          </w:tcPr>
          <w:p w14:paraId="54EA3812">
            <w:pPr>
              <w:pStyle w:val="42"/>
              <w:keepNext w:val="0"/>
              <w:keepLines w:val="0"/>
              <w:suppressLineNumbers w:val="0"/>
              <w:bidi w:val="0"/>
              <w:spacing w:before="0" w:beforeAutospacing="0" w:after="0" w:afterAutospacing="0"/>
              <w:rPr>
                <w:rFonts w:hint="default"/>
                <w:highlight w:val="none"/>
              </w:rPr>
            </w:pPr>
          </w:p>
        </w:tc>
      </w:tr>
      <w:tr w14:paraId="646F35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E15D6A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A154F7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望江岭居民点</w:t>
            </w:r>
          </w:p>
        </w:tc>
        <w:tc>
          <w:tcPr>
            <w:tcW w:w="816" w:type="pct"/>
            <w:noWrap w:val="0"/>
            <w:tcMar>
              <w:top w:w="0" w:type="dxa"/>
              <w:left w:w="57" w:type="dxa"/>
              <w:bottom w:w="0" w:type="dxa"/>
              <w:right w:w="57" w:type="dxa"/>
            </w:tcMar>
            <w:vAlign w:val="center"/>
          </w:tcPr>
          <w:p w14:paraId="4535F02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E112.9038639</w:t>
            </w:r>
            <w:r>
              <w:rPr>
                <w:rFonts w:hint="eastAsia"/>
                <w:highlight w:val="none"/>
                <w:lang w:val="en-US" w:eastAsia="zh-CN"/>
              </w:rPr>
              <w:br w:type="textWrapping"/>
            </w:r>
            <w:r>
              <w:rPr>
                <w:rFonts w:hint="eastAsia"/>
                <w:highlight w:val="none"/>
                <w:lang w:val="en-US" w:eastAsia="zh-CN"/>
              </w:rPr>
              <w:t>N28.66259825</w:t>
            </w:r>
          </w:p>
        </w:tc>
        <w:tc>
          <w:tcPr>
            <w:tcW w:w="1127" w:type="pct"/>
            <w:noWrap w:val="0"/>
            <w:tcMar>
              <w:top w:w="0" w:type="dxa"/>
              <w:left w:w="57" w:type="dxa"/>
              <w:bottom w:w="0" w:type="dxa"/>
              <w:right w:w="57" w:type="dxa"/>
            </w:tcMar>
            <w:vAlign w:val="center"/>
          </w:tcPr>
          <w:p w14:paraId="64BEE3C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N/1200-1700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5.7</w:t>
            </w:r>
            <w:r>
              <w:rPr>
                <w:rFonts w:hint="default"/>
                <w:highlight w:val="none"/>
              </w:rPr>
              <w:t>m</w:t>
            </w:r>
          </w:p>
        </w:tc>
        <w:tc>
          <w:tcPr>
            <w:tcW w:w="942" w:type="pct"/>
            <w:noWrap w:val="0"/>
            <w:tcMar>
              <w:top w:w="0" w:type="dxa"/>
              <w:left w:w="57" w:type="dxa"/>
              <w:bottom w:w="0" w:type="dxa"/>
              <w:right w:w="57" w:type="dxa"/>
            </w:tcMar>
            <w:vAlign w:val="center"/>
          </w:tcPr>
          <w:p w14:paraId="1944C8F9">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90</w:t>
            </w:r>
            <w:r>
              <w:rPr>
                <w:rFonts w:hint="default"/>
                <w:highlight w:val="none"/>
                <w:lang w:val="en-US" w:eastAsia="zh-CN"/>
              </w:rPr>
              <w:t>人</w:t>
            </w:r>
            <w:r>
              <w:rPr>
                <w:rFonts w:hint="eastAsia"/>
                <w:highlight w:val="none"/>
                <w:lang w:val="en-US" w:eastAsia="zh-CN"/>
              </w:rPr>
              <w:t>，22户</w:t>
            </w:r>
          </w:p>
        </w:tc>
        <w:tc>
          <w:tcPr>
            <w:tcW w:w="1094" w:type="pct"/>
            <w:vMerge w:val="continue"/>
            <w:noWrap w:val="0"/>
            <w:tcMar>
              <w:top w:w="0" w:type="dxa"/>
              <w:left w:w="57" w:type="dxa"/>
              <w:bottom w:w="0" w:type="dxa"/>
              <w:right w:w="57" w:type="dxa"/>
            </w:tcMar>
            <w:vAlign w:val="center"/>
          </w:tcPr>
          <w:p w14:paraId="23CAF008">
            <w:pPr>
              <w:pStyle w:val="42"/>
              <w:keepNext w:val="0"/>
              <w:keepLines w:val="0"/>
              <w:suppressLineNumbers w:val="0"/>
              <w:bidi w:val="0"/>
              <w:spacing w:before="0" w:beforeAutospacing="0" w:after="0" w:afterAutospacing="0"/>
              <w:rPr>
                <w:rFonts w:hint="default"/>
                <w:highlight w:val="none"/>
              </w:rPr>
            </w:pPr>
          </w:p>
        </w:tc>
      </w:tr>
      <w:tr w14:paraId="17149C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5F12C3DF">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5F9D683">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傅家湾居民点</w:t>
            </w:r>
          </w:p>
        </w:tc>
        <w:tc>
          <w:tcPr>
            <w:tcW w:w="816" w:type="pct"/>
            <w:noWrap w:val="0"/>
            <w:tcMar>
              <w:top w:w="0" w:type="dxa"/>
              <w:left w:w="57" w:type="dxa"/>
              <w:bottom w:w="0" w:type="dxa"/>
              <w:right w:w="57" w:type="dxa"/>
            </w:tcMar>
            <w:vAlign w:val="center"/>
          </w:tcPr>
          <w:p w14:paraId="6BD58D3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E112.9097111</w:t>
            </w:r>
            <w:r>
              <w:rPr>
                <w:rFonts w:hint="eastAsia"/>
                <w:highlight w:val="none"/>
                <w:lang w:val="en-US" w:eastAsia="zh-CN"/>
              </w:rPr>
              <w:br w:type="textWrapping"/>
            </w:r>
            <w:r>
              <w:rPr>
                <w:rFonts w:hint="eastAsia"/>
                <w:highlight w:val="none"/>
                <w:lang w:val="en-US" w:eastAsia="zh-CN"/>
              </w:rPr>
              <w:t>28.6604203</w:t>
            </w:r>
          </w:p>
        </w:tc>
        <w:tc>
          <w:tcPr>
            <w:tcW w:w="1127" w:type="pct"/>
            <w:noWrap w:val="0"/>
            <w:tcMar>
              <w:top w:w="0" w:type="dxa"/>
              <w:left w:w="57" w:type="dxa"/>
              <w:bottom w:w="0" w:type="dxa"/>
              <w:right w:w="57" w:type="dxa"/>
            </w:tcMar>
            <w:vAlign w:val="center"/>
          </w:tcPr>
          <w:p w14:paraId="064421A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NE/1000-1800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3.1</w:t>
            </w:r>
            <w:r>
              <w:rPr>
                <w:rFonts w:hint="default"/>
                <w:highlight w:val="none"/>
              </w:rPr>
              <w:t>m</w:t>
            </w:r>
          </w:p>
        </w:tc>
        <w:tc>
          <w:tcPr>
            <w:tcW w:w="942" w:type="pct"/>
            <w:noWrap w:val="0"/>
            <w:tcMar>
              <w:top w:w="0" w:type="dxa"/>
              <w:left w:w="57" w:type="dxa"/>
              <w:bottom w:w="0" w:type="dxa"/>
              <w:right w:w="57" w:type="dxa"/>
            </w:tcMar>
            <w:vAlign w:val="center"/>
          </w:tcPr>
          <w:p w14:paraId="6B95064D">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120</w:t>
            </w:r>
            <w:r>
              <w:rPr>
                <w:rFonts w:hint="default"/>
                <w:highlight w:val="none"/>
                <w:lang w:val="en-US" w:eastAsia="zh-CN"/>
              </w:rPr>
              <w:t>人</w:t>
            </w:r>
            <w:r>
              <w:rPr>
                <w:rFonts w:hint="eastAsia"/>
                <w:highlight w:val="none"/>
                <w:lang w:val="en-US" w:eastAsia="zh-CN"/>
              </w:rPr>
              <w:t>，30户</w:t>
            </w:r>
          </w:p>
        </w:tc>
        <w:tc>
          <w:tcPr>
            <w:tcW w:w="1094" w:type="pct"/>
            <w:vMerge w:val="continue"/>
            <w:noWrap w:val="0"/>
            <w:tcMar>
              <w:top w:w="0" w:type="dxa"/>
              <w:left w:w="57" w:type="dxa"/>
              <w:bottom w:w="0" w:type="dxa"/>
              <w:right w:w="57" w:type="dxa"/>
            </w:tcMar>
            <w:vAlign w:val="center"/>
          </w:tcPr>
          <w:p w14:paraId="717607EB">
            <w:pPr>
              <w:pStyle w:val="42"/>
              <w:keepNext w:val="0"/>
              <w:keepLines w:val="0"/>
              <w:suppressLineNumbers w:val="0"/>
              <w:bidi w:val="0"/>
              <w:spacing w:before="0" w:beforeAutospacing="0" w:after="0" w:afterAutospacing="0"/>
              <w:rPr>
                <w:rFonts w:hint="default"/>
                <w:highlight w:val="none"/>
              </w:rPr>
            </w:pPr>
          </w:p>
        </w:tc>
      </w:tr>
      <w:tr w14:paraId="261C6D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2B2EE9D4">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3D64D20">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丰家屋场</w:t>
            </w:r>
          </w:p>
        </w:tc>
        <w:tc>
          <w:tcPr>
            <w:tcW w:w="816" w:type="pct"/>
            <w:noWrap w:val="0"/>
            <w:tcMar>
              <w:top w:w="0" w:type="dxa"/>
              <w:left w:w="57" w:type="dxa"/>
              <w:bottom w:w="0" w:type="dxa"/>
              <w:right w:w="57" w:type="dxa"/>
            </w:tcMar>
            <w:vAlign w:val="center"/>
          </w:tcPr>
          <w:p w14:paraId="53194D6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E112.9083592</w:t>
            </w:r>
            <w:r>
              <w:rPr>
                <w:rFonts w:hint="eastAsia"/>
                <w:highlight w:val="none"/>
                <w:lang w:val="en-US" w:eastAsia="zh-CN"/>
              </w:rPr>
              <w:br w:type="textWrapping"/>
            </w:r>
            <w:r>
              <w:rPr>
                <w:rFonts w:hint="eastAsia"/>
                <w:highlight w:val="none"/>
                <w:lang w:val="en-US" w:eastAsia="zh-CN"/>
              </w:rPr>
              <w:t>N28.65638625</w:t>
            </w:r>
          </w:p>
        </w:tc>
        <w:tc>
          <w:tcPr>
            <w:tcW w:w="1127" w:type="pct"/>
            <w:noWrap w:val="0"/>
            <w:tcMar>
              <w:top w:w="0" w:type="dxa"/>
              <w:left w:w="57" w:type="dxa"/>
              <w:bottom w:w="0" w:type="dxa"/>
              <w:right w:w="57" w:type="dxa"/>
            </w:tcMar>
            <w:vAlign w:val="center"/>
          </w:tcPr>
          <w:p w14:paraId="71D11C6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EN/800-900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6.4</w:t>
            </w:r>
            <w:r>
              <w:rPr>
                <w:rFonts w:hint="default"/>
                <w:highlight w:val="none"/>
              </w:rPr>
              <w:t>m</w:t>
            </w:r>
          </w:p>
        </w:tc>
        <w:tc>
          <w:tcPr>
            <w:tcW w:w="942" w:type="pct"/>
            <w:noWrap w:val="0"/>
            <w:tcMar>
              <w:top w:w="0" w:type="dxa"/>
              <w:left w:w="57" w:type="dxa"/>
              <w:bottom w:w="0" w:type="dxa"/>
              <w:right w:w="57" w:type="dxa"/>
            </w:tcMar>
            <w:vAlign w:val="center"/>
          </w:tcPr>
          <w:p w14:paraId="42D7AF24">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80</w:t>
            </w:r>
            <w:r>
              <w:rPr>
                <w:rFonts w:hint="default"/>
                <w:highlight w:val="none"/>
                <w:lang w:val="en-US" w:eastAsia="zh-CN"/>
              </w:rPr>
              <w:t>人</w:t>
            </w:r>
            <w:r>
              <w:rPr>
                <w:rFonts w:hint="eastAsia"/>
                <w:highlight w:val="none"/>
                <w:lang w:val="en-US" w:eastAsia="zh-CN"/>
              </w:rPr>
              <w:t>，20户</w:t>
            </w:r>
          </w:p>
        </w:tc>
        <w:tc>
          <w:tcPr>
            <w:tcW w:w="1094" w:type="pct"/>
            <w:vMerge w:val="continue"/>
            <w:noWrap w:val="0"/>
            <w:tcMar>
              <w:top w:w="0" w:type="dxa"/>
              <w:left w:w="57" w:type="dxa"/>
              <w:bottom w:w="0" w:type="dxa"/>
              <w:right w:w="57" w:type="dxa"/>
            </w:tcMar>
            <w:vAlign w:val="center"/>
          </w:tcPr>
          <w:p w14:paraId="40ADD5AC">
            <w:pPr>
              <w:pStyle w:val="42"/>
              <w:keepNext w:val="0"/>
              <w:keepLines w:val="0"/>
              <w:suppressLineNumbers w:val="0"/>
              <w:bidi w:val="0"/>
              <w:spacing w:before="0" w:beforeAutospacing="0" w:after="0" w:afterAutospacing="0"/>
              <w:rPr>
                <w:rFonts w:hint="default"/>
                <w:highlight w:val="none"/>
              </w:rPr>
            </w:pPr>
          </w:p>
        </w:tc>
      </w:tr>
      <w:tr w14:paraId="6CE7BB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4DA6F6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7DD917D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村子屋居民点</w:t>
            </w:r>
          </w:p>
        </w:tc>
        <w:tc>
          <w:tcPr>
            <w:tcW w:w="816" w:type="pct"/>
            <w:noWrap w:val="0"/>
            <w:tcMar>
              <w:top w:w="0" w:type="dxa"/>
              <w:left w:w="57" w:type="dxa"/>
              <w:bottom w:w="0" w:type="dxa"/>
              <w:right w:w="57" w:type="dxa"/>
            </w:tcMar>
            <w:vAlign w:val="center"/>
          </w:tcPr>
          <w:p w14:paraId="784B87B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E112.9010422</w:t>
            </w:r>
            <w:r>
              <w:rPr>
                <w:rFonts w:hint="eastAsia"/>
                <w:highlight w:val="none"/>
                <w:lang w:val="en-US" w:eastAsia="zh-CN"/>
              </w:rPr>
              <w:br w:type="textWrapping"/>
            </w:r>
            <w:r>
              <w:rPr>
                <w:rFonts w:hint="eastAsia"/>
                <w:highlight w:val="none"/>
                <w:lang w:val="en-US" w:eastAsia="zh-CN"/>
              </w:rPr>
              <w:t>N28.66790902</w:t>
            </w:r>
          </w:p>
        </w:tc>
        <w:tc>
          <w:tcPr>
            <w:tcW w:w="1127" w:type="pct"/>
            <w:noWrap w:val="0"/>
            <w:tcMar>
              <w:top w:w="0" w:type="dxa"/>
              <w:left w:w="57" w:type="dxa"/>
              <w:bottom w:w="0" w:type="dxa"/>
              <w:right w:w="57" w:type="dxa"/>
            </w:tcMar>
            <w:vAlign w:val="center"/>
          </w:tcPr>
          <w:p w14:paraId="0F6CBC5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N/1850-2400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5</w:t>
            </w:r>
            <w:r>
              <w:rPr>
                <w:rFonts w:hint="default"/>
                <w:highlight w:val="none"/>
                <w:lang w:val="en-US" w:eastAsia="zh-CN"/>
              </w:rPr>
              <w:t>.1</w:t>
            </w:r>
            <w:r>
              <w:rPr>
                <w:rFonts w:hint="default"/>
                <w:highlight w:val="none"/>
              </w:rPr>
              <w:t>m</w:t>
            </w:r>
          </w:p>
        </w:tc>
        <w:tc>
          <w:tcPr>
            <w:tcW w:w="942" w:type="pct"/>
            <w:noWrap w:val="0"/>
            <w:tcMar>
              <w:top w:w="0" w:type="dxa"/>
              <w:left w:w="57" w:type="dxa"/>
              <w:bottom w:w="0" w:type="dxa"/>
              <w:right w:w="57" w:type="dxa"/>
            </w:tcMar>
            <w:vAlign w:val="center"/>
          </w:tcPr>
          <w:p w14:paraId="26DFA7C2">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110</w:t>
            </w:r>
            <w:r>
              <w:rPr>
                <w:rFonts w:hint="default"/>
                <w:highlight w:val="none"/>
                <w:lang w:val="en-US" w:eastAsia="zh-CN"/>
              </w:rPr>
              <w:t>人</w:t>
            </w:r>
            <w:r>
              <w:rPr>
                <w:rFonts w:hint="eastAsia"/>
                <w:highlight w:val="none"/>
                <w:lang w:val="en-US" w:eastAsia="zh-CN"/>
              </w:rPr>
              <w:t>，33户</w:t>
            </w:r>
          </w:p>
        </w:tc>
        <w:tc>
          <w:tcPr>
            <w:tcW w:w="1094" w:type="pct"/>
            <w:vMerge w:val="continue"/>
            <w:noWrap w:val="0"/>
            <w:tcMar>
              <w:top w:w="0" w:type="dxa"/>
              <w:left w:w="57" w:type="dxa"/>
              <w:bottom w:w="0" w:type="dxa"/>
              <w:right w:w="57" w:type="dxa"/>
            </w:tcMar>
            <w:vAlign w:val="center"/>
          </w:tcPr>
          <w:p w14:paraId="6F3BA094">
            <w:pPr>
              <w:pStyle w:val="42"/>
              <w:keepNext w:val="0"/>
              <w:keepLines w:val="0"/>
              <w:suppressLineNumbers w:val="0"/>
              <w:bidi w:val="0"/>
              <w:spacing w:before="0" w:beforeAutospacing="0" w:after="0" w:afterAutospacing="0"/>
              <w:rPr>
                <w:rFonts w:hint="default"/>
                <w:highlight w:val="none"/>
              </w:rPr>
            </w:pPr>
          </w:p>
        </w:tc>
      </w:tr>
      <w:tr w14:paraId="5498D9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038FDCED">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1886F70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桃园小区居民点</w:t>
            </w:r>
          </w:p>
        </w:tc>
        <w:tc>
          <w:tcPr>
            <w:tcW w:w="816" w:type="pct"/>
            <w:noWrap w:val="0"/>
            <w:tcMar>
              <w:top w:w="0" w:type="dxa"/>
              <w:left w:w="57" w:type="dxa"/>
              <w:bottom w:w="0" w:type="dxa"/>
              <w:right w:w="57" w:type="dxa"/>
            </w:tcMar>
            <w:vAlign w:val="center"/>
          </w:tcPr>
          <w:p w14:paraId="3619BFA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E112.9068357</w:t>
            </w:r>
            <w:r>
              <w:rPr>
                <w:rFonts w:hint="eastAsia"/>
                <w:highlight w:val="none"/>
                <w:lang w:val="en-US" w:eastAsia="zh-CN"/>
              </w:rPr>
              <w:br w:type="textWrapping"/>
            </w:r>
            <w:r>
              <w:rPr>
                <w:rFonts w:hint="eastAsia"/>
                <w:highlight w:val="none"/>
                <w:lang w:val="en-US" w:eastAsia="zh-CN"/>
              </w:rPr>
              <w:t>N28.66861713</w:t>
            </w:r>
          </w:p>
        </w:tc>
        <w:tc>
          <w:tcPr>
            <w:tcW w:w="1127" w:type="pct"/>
            <w:noWrap w:val="0"/>
            <w:tcMar>
              <w:top w:w="0" w:type="dxa"/>
              <w:left w:w="57" w:type="dxa"/>
              <w:bottom w:w="0" w:type="dxa"/>
              <w:right w:w="57" w:type="dxa"/>
            </w:tcMar>
            <w:vAlign w:val="center"/>
          </w:tcPr>
          <w:p w14:paraId="48BCB79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N/1890-2300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5.4</w:t>
            </w:r>
            <w:r>
              <w:rPr>
                <w:rFonts w:hint="default"/>
                <w:highlight w:val="none"/>
              </w:rPr>
              <w:t>m</w:t>
            </w:r>
          </w:p>
        </w:tc>
        <w:tc>
          <w:tcPr>
            <w:tcW w:w="942" w:type="pct"/>
            <w:noWrap w:val="0"/>
            <w:tcMar>
              <w:top w:w="0" w:type="dxa"/>
              <w:left w:w="57" w:type="dxa"/>
              <w:bottom w:w="0" w:type="dxa"/>
              <w:right w:w="57" w:type="dxa"/>
            </w:tcMar>
            <w:vAlign w:val="center"/>
          </w:tcPr>
          <w:p w14:paraId="5BF57A46">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364</w:t>
            </w:r>
            <w:r>
              <w:rPr>
                <w:rFonts w:hint="default"/>
                <w:highlight w:val="none"/>
                <w:lang w:val="en-US" w:eastAsia="zh-CN"/>
              </w:rPr>
              <w:t>人</w:t>
            </w:r>
            <w:r>
              <w:rPr>
                <w:rFonts w:hint="eastAsia"/>
                <w:highlight w:val="none"/>
                <w:lang w:val="en-US" w:eastAsia="zh-CN"/>
              </w:rPr>
              <w:t>，89户</w:t>
            </w:r>
          </w:p>
        </w:tc>
        <w:tc>
          <w:tcPr>
            <w:tcW w:w="1094" w:type="pct"/>
            <w:vMerge w:val="continue"/>
            <w:noWrap w:val="0"/>
            <w:tcMar>
              <w:top w:w="0" w:type="dxa"/>
              <w:left w:w="57" w:type="dxa"/>
              <w:bottom w:w="0" w:type="dxa"/>
              <w:right w:w="57" w:type="dxa"/>
            </w:tcMar>
            <w:vAlign w:val="center"/>
          </w:tcPr>
          <w:p w14:paraId="2CD8FD05">
            <w:pPr>
              <w:pStyle w:val="42"/>
              <w:keepNext w:val="0"/>
              <w:keepLines w:val="0"/>
              <w:suppressLineNumbers w:val="0"/>
              <w:bidi w:val="0"/>
              <w:spacing w:before="0" w:beforeAutospacing="0" w:after="0" w:afterAutospacing="0"/>
              <w:rPr>
                <w:rFonts w:hint="default"/>
                <w:highlight w:val="none"/>
              </w:rPr>
            </w:pPr>
          </w:p>
        </w:tc>
      </w:tr>
      <w:tr w14:paraId="778D25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548083F4">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63529A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官家大屋</w:t>
            </w:r>
          </w:p>
        </w:tc>
        <w:tc>
          <w:tcPr>
            <w:tcW w:w="816" w:type="pct"/>
            <w:noWrap w:val="0"/>
            <w:tcMar>
              <w:top w:w="0" w:type="dxa"/>
              <w:left w:w="57" w:type="dxa"/>
              <w:bottom w:w="0" w:type="dxa"/>
              <w:right w:w="57" w:type="dxa"/>
            </w:tcMar>
            <w:vAlign w:val="center"/>
          </w:tcPr>
          <w:p w14:paraId="3C7708C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E112.9034454</w:t>
            </w:r>
            <w:r>
              <w:rPr>
                <w:rFonts w:hint="eastAsia"/>
                <w:highlight w:val="none"/>
                <w:lang w:val="en-US" w:eastAsia="zh-CN"/>
              </w:rPr>
              <w:br w:type="textWrapping"/>
            </w:r>
            <w:r>
              <w:rPr>
                <w:rFonts w:hint="eastAsia"/>
                <w:highlight w:val="none"/>
                <w:lang w:val="en-US" w:eastAsia="zh-CN"/>
              </w:rPr>
              <w:t>N28.67174995</w:t>
            </w:r>
          </w:p>
        </w:tc>
        <w:tc>
          <w:tcPr>
            <w:tcW w:w="1127" w:type="pct"/>
            <w:noWrap w:val="0"/>
            <w:tcMar>
              <w:top w:w="0" w:type="dxa"/>
              <w:left w:w="57" w:type="dxa"/>
              <w:bottom w:w="0" w:type="dxa"/>
              <w:right w:w="57" w:type="dxa"/>
            </w:tcMar>
            <w:vAlign w:val="center"/>
          </w:tcPr>
          <w:p w14:paraId="5DF436C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N/2350-2500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6.7</w:t>
            </w:r>
            <w:r>
              <w:rPr>
                <w:rFonts w:hint="default"/>
                <w:highlight w:val="none"/>
              </w:rPr>
              <w:t>m</w:t>
            </w:r>
          </w:p>
        </w:tc>
        <w:tc>
          <w:tcPr>
            <w:tcW w:w="942" w:type="pct"/>
            <w:noWrap w:val="0"/>
            <w:tcMar>
              <w:top w:w="0" w:type="dxa"/>
              <w:left w:w="57" w:type="dxa"/>
              <w:bottom w:w="0" w:type="dxa"/>
              <w:right w:w="57" w:type="dxa"/>
            </w:tcMar>
            <w:vAlign w:val="center"/>
          </w:tcPr>
          <w:p w14:paraId="5DE53ABF">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65</w:t>
            </w:r>
            <w:r>
              <w:rPr>
                <w:rFonts w:hint="default"/>
                <w:highlight w:val="none"/>
                <w:lang w:val="en-US" w:eastAsia="zh-CN"/>
              </w:rPr>
              <w:t>人</w:t>
            </w:r>
            <w:r>
              <w:rPr>
                <w:rFonts w:hint="eastAsia"/>
                <w:highlight w:val="none"/>
                <w:lang w:val="en-US" w:eastAsia="zh-CN"/>
              </w:rPr>
              <w:t>，20户</w:t>
            </w:r>
          </w:p>
        </w:tc>
        <w:tc>
          <w:tcPr>
            <w:tcW w:w="1094" w:type="pct"/>
            <w:vMerge w:val="continue"/>
            <w:noWrap w:val="0"/>
            <w:tcMar>
              <w:top w:w="0" w:type="dxa"/>
              <w:left w:w="57" w:type="dxa"/>
              <w:bottom w:w="0" w:type="dxa"/>
              <w:right w:w="57" w:type="dxa"/>
            </w:tcMar>
            <w:vAlign w:val="center"/>
          </w:tcPr>
          <w:p w14:paraId="64805283">
            <w:pPr>
              <w:pStyle w:val="42"/>
              <w:keepNext w:val="0"/>
              <w:keepLines w:val="0"/>
              <w:suppressLineNumbers w:val="0"/>
              <w:bidi w:val="0"/>
              <w:spacing w:before="0" w:beforeAutospacing="0" w:after="0" w:afterAutospacing="0"/>
              <w:rPr>
                <w:rFonts w:hint="default"/>
                <w:highlight w:val="none"/>
              </w:rPr>
            </w:pPr>
          </w:p>
        </w:tc>
      </w:tr>
      <w:tr w14:paraId="6F72D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3AB8D7C">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5BED4C0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刘家大屋</w:t>
            </w:r>
          </w:p>
        </w:tc>
        <w:tc>
          <w:tcPr>
            <w:tcW w:w="816" w:type="pct"/>
            <w:noWrap w:val="0"/>
            <w:tcMar>
              <w:top w:w="0" w:type="dxa"/>
              <w:left w:w="57" w:type="dxa"/>
              <w:bottom w:w="0" w:type="dxa"/>
              <w:right w:w="57" w:type="dxa"/>
            </w:tcMar>
            <w:vAlign w:val="center"/>
          </w:tcPr>
          <w:p w14:paraId="30DAEB3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E112.907458</w:t>
            </w:r>
            <w:r>
              <w:rPr>
                <w:rFonts w:hint="eastAsia"/>
                <w:highlight w:val="none"/>
                <w:lang w:val="en-US" w:eastAsia="zh-CN"/>
              </w:rPr>
              <w:br w:type="textWrapping"/>
            </w:r>
            <w:r>
              <w:rPr>
                <w:rFonts w:hint="eastAsia"/>
                <w:highlight w:val="none"/>
                <w:lang w:val="en-US" w:eastAsia="zh-CN"/>
              </w:rPr>
              <w:t>N28.6410011</w:t>
            </w:r>
          </w:p>
        </w:tc>
        <w:tc>
          <w:tcPr>
            <w:tcW w:w="1127" w:type="pct"/>
            <w:noWrap w:val="0"/>
            <w:tcMar>
              <w:top w:w="0" w:type="dxa"/>
              <w:left w:w="57" w:type="dxa"/>
              <w:bottom w:w="0" w:type="dxa"/>
              <w:right w:w="57" w:type="dxa"/>
            </w:tcMar>
            <w:vAlign w:val="center"/>
          </w:tcPr>
          <w:p w14:paraId="0E804DA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S/800-1061</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5.1</w:t>
            </w:r>
            <w:r>
              <w:rPr>
                <w:rFonts w:hint="default"/>
                <w:highlight w:val="none"/>
              </w:rPr>
              <w:t>m</w:t>
            </w:r>
          </w:p>
        </w:tc>
        <w:tc>
          <w:tcPr>
            <w:tcW w:w="942" w:type="pct"/>
            <w:noWrap w:val="0"/>
            <w:tcMar>
              <w:top w:w="0" w:type="dxa"/>
              <w:left w:w="57" w:type="dxa"/>
              <w:bottom w:w="0" w:type="dxa"/>
              <w:right w:w="57" w:type="dxa"/>
            </w:tcMar>
            <w:vAlign w:val="center"/>
          </w:tcPr>
          <w:p w14:paraId="4EF1EF2D">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200</w:t>
            </w:r>
            <w:r>
              <w:rPr>
                <w:rFonts w:hint="default"/>
                <w:highlight w:val="none"/>
                <w:lang w:val="en-US" w:eastAsia="zh-CN"/>
              </w:rPr>
              <w:t>人</w:t>
            </w:r>
            <w:r>
              <w:rPr>
                <w:rFonts w:hint="eastAsia"/>
                <w:highlight w:val="none"/>
                <w:lang w:val="en-US" w:eastAsia="zh-CN"/>
              </w:rPr>
              <w:t>，52户</w:t>
            </w:r>
          </w:p>
        </w:tc>
        <w:tc>
          <w:tcPr>
            <w:tcW w:w="1094" w:type="pct"/>
            <w:vMerge w:val="continue"/>
            <w:noWrap w:val="0"/>
            <w:tcMar>
              <w:top w:w="0" w:type="dxa"/>
              <w:left w:w="57" w:type="dxa"/>
              <w:bottom w:w="0" w:type="dxa"/>
              <w:right w:w="57" w:type="dxa"/>
            </w:tcMar>
            <w:vAlign w:val="center"/>
          </w:tcPr>
          <w:p w14:paraId="1627A2BD">
            <w:pPr>
              <w:pStyle w:val="42"/>
              <w:keepNext w:val="0"/>
              <w:keepLines w:val="0"/>
              <w:suppressLineNumbers w:val="0"/>
              <w:bidi w:val="0"/>
              <w:spacing w:before="0" w:beforeAutospacing="0" w:after="0" w:afterAutospacing="0"/>
              <w:rPr>
                <w:rFonts w:hint="default"/>
                <w:highlight w:val="none"/>
              </w:rPr>
            </w:pPr>
          </w:p>
        </w:tc>
      </w:tr>
      <w:tr w14:paraId="4BA895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125E56D">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065E880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戴家大屋</w:t>
            </w:r>
          </w:p>
        </w:tc>
        <w:tc>
          <w:tcPr>
            <w:tcW w:w="816" w:type="pct"/>
            <w:noWrap w:val="0"/>
            <w:tcMar>
              <w:top w:w="0" w:type="dxa"/>
              <w:left w:w="57" w:type="dxa"/>
              <w:bottom w:w="0" w:type="dxa"/>
              <w:right w:w="57" w:type="dxa"/>
            </w:tcMar>
            <w:vAlign w:val="center"/>
          </w:tcPr>
          <w:p w14:paraId="1BFE10B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E112.9166526</w:t>
            </w:r>
            <w:r>
              <w:rPr>
                <w:rFonts w:hint="eastAsia"/>
                <w:highlight w:val="none"/>
                <w:lang w:val="en-US" w:eastAsia="zh-CN"/>
              </w:rPr>
              <w:br w:type="textWrapping"/>
            </w:r>
            <w:r>
              <w:rPr>
                <w:rFonts w:hint="eastAsia"/>
                <w:highlight w:val="none"/>
                <w:lang w:val="en-US" w:eastAsia="zh-CN"/>
              </w:rPr>
              <w:t>N28.64128005</w:t>
            </w:r>
          </w:p>
        </w:tc>
        <w:tc>
          <w:tcPr>
            <w:tcW w:w="1127" w:type="pct"/>
            <w:noWrap w:val="0"/>
            <w:tcMar>
              <w:top w:w="0" w:type="dxa"/>
              <w:left w:w="57" w:type="dxa"/>
              <w:bottom w:w="0" w:type="dxa"/>
              <w:right w:w="57" w:type="dxa"/>
            </w:tcMar>
            <w:vAlign w:val="center"/>
          </w:tcPr>
          <w:p w14:paraId="61BDD9D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ES/1250-1500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2.8</w:t>
            </w:r>
            <w:r>
              <w:rPr>
                <w:rFonts w:hint="default"/>
                <w:highlight w:val="none"/>
              </w:rPr>
              <w:t>m</w:t>
            </w:r>
          </w:p>
        </w:tc>
        <w:tc>
          <w:tcPr>
            <w:tcW w:w="942" w:type="pct"/>
            <w:noWrap w:val="0"/>
            <w:tcMar>
              <w:top w:w="0" w:type="dxa"/>
              <w:left w:w="57" w:type="dxa"/>
              <w:bottom w:w="0" w:type="dxa"/>
              <w:right w:w="57" w:type="dxa"/>
            </w:tcMar>
            <w:vAlign w:val="center"/>
          </w:tcPr>
          <w:p w14:paraId="1A8EA273">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100</w:t>
            </w:r>
            <w:r>
              <w:rPr>
                <w:rFonts w:hint="default"/>
                <w:highlight w:val="none"/>
                <w:lang w:val="en-US" w:eastAsia="zh-CN"/>
              </w:rPr>
              <w:t>人</w:t>
            </w:r>
            <w:r>
              <w:rPr>
                <w:rFonts w:hint="eastAsia"/>
                <w:highlight w:val="none"/>
                <w:lang w:val="en-US" w:eastAsia="zh-CN"/>
              </w:rPr>
              <w:t>，25户</w:t>
            </w:r>
          </w:p>
        </w:tc>
        <w:tc>
          <w:tcPr>
            <w:tcW w:w="1094" w:type="pct"/>
            <w:vMerge w:val="continue"/>
            <w:noWrap w:val="0"/>
            <w:tcMar>
              <w:top w:w="0" w:type="dxa"/>
              <w:left w:w="57" w:type="dxa"/>
              <w:bottom w:w="0" w:type="dxa"/>
              <w:right w:w="57" w:type="dxa"/>
            </w:tcMar>
            <w:vAlign w:val="center"/>
          </w:tcPr>
          <w:p w14:paraId="44E78A5F">
            <w:pPr>
              <w:pStyle w:val="42"/>
              <w:keepNext w:val="0"/>
              <w:keepLines w:val="0"/>
              <w:suppressLineNumbers w:val="0"/>
              <w:bidi w:val="0"/>
              <w:spacing w:before="0" w:beforeAutospacing="0" w:after="0" w:afterAutospacing="0"/>
              <w:rPr>
                <w:rFonts w:hint="default"/>
                <w:highlight w:val="none"/>
              </w:rPr>
            </w:pPr>
          </w:p>
        </w:tc>
      </w:tr>
      <w:tr w14:paraId="03F49C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668C84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0A92D71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石家垄</w:t>
            </w:r>
          </w:p>
        </w:tc>
        <w:tc>
          <w:tcPr>
            <w:tcW w:w="816" w:type="pct"/>
            <w:noWrap w:val="0"/>
            <w:tcMar>
              <w:top w:w="0" w:type="dxa"/>
              <w:left w:w="57" w:type="dxa"/>
              <w:bottom w:w="0" w:type="dxa"/>
              <w:right w:w="57" w:type="dxa"/>
            </w:tcMar>
            <w:vAlign w:val="center"/>
          </w:tcPr>
          <w:p w14:paraId="029D4D2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E112.9216201</w:t>
            </w:r>
            <w:r>
              <w:rPr>
                <w:rFonts w:hint="eastAsia"/>
                <w:highlight w:val="none"/>
                <w:lang w:val="en-US" w:eastAsia="zh-CN"/>
              </w:rPr>
              <w:br w:type="textWrapping"/>
            </w:r>
            <w:r>
              <w:rPr>
                <w:rFonts w:hint="eastAsia"/>
                <w:highlight w:val="none"/>
                <w:lang w:val="en-US" w:eastAsia="zh-CN"/>
              </w:rPr>
              <w:t>N28.64507806</w:t>
            </w:r>
          </w:p>
        </w:tc>
        <w:tc>
          <w:tcPr>
            <w:tcW w:w="1127" w:type="pct"/>
            <w:noWrap w:val="0"/>
            <w:tcMar>
              <w:top w:w="0" w:type="dxa"/>
              <w:left w:w="57" w:type="dxa"/>
              <w:bottom w:w="0" w:type="dxa"/>
              <w:right w:w="57" w:type="dxa"/>
            </w:tcMar>
            <w:vAlign w:val="center"/>
          </w:tcPr>
          <w:p w14:paraId="0663583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ES/1270-1800</w:t>
            </w:r>
            <w:r>
              <w:rPr>
                <w:rFonts w:hint="default"/>
                <w:highlight w:val="none"/>
              </w:rPr>
              <w:t>m</w:t>
            </w:r>
            <w:r>
              <w:rPr>
                <w:rFonts w:hint="default"/>
                <w:highlight w:val="none"/>
                <w:lang w:eastAsia="zh-CN"/>
              </w:rPr>
              <w:t>，</w:t>
            </w:r>
            <w:r>
              <w:rPr>
                <w:rFonts w:hint="default"/>
                <w:highlight w:val="none"/>
              </w:rPr>
              <w:t>高差+</w:t>
            </w:r>
            <w:r>
              <w:rPr>
                <w:rFonts w:hint="eastAsia"/>
                <w:highlight w:val="none"/>
                <w:lang w:val="en-US" w:eastAsia="zh-CN"/>
              </w:rPr>
              <w:t>5.4</w:t>
            </w:r>
            <w:r>
              <w:rPr>
                <w:rFonts w:hint="default"/>
                <w:highlight w:val="none"/>
              </w:rPr>
              <w:t>m</w:t>
            </w:r>
          </w:p>
        </w:tc>
        <w:tc>
          <w:tcPr>
            <w:tcW w:w="942" w:type="pct"/>
            <w:noWrap w:val="0"/>
            <w:tcMar>
              <w:top w:w="0" w:type="dxa"/>
              <w:left w:w="57" w:type="dxa"/>
              <w:bottom w:w="0" w:type="dxa"/>
              <w:right w:w="57" w:type="dxa"/>
            </w:tcMar>
            <w:vAlign w:val="center"/>
          </w:tcPr>
          <w:p w14:paraId="19433DA6">
            <w:pPr>
              <w:pStyle w:val="42"/>
              <w:keepNext w:val="0"/>
              <w:keepLines w:val="0"/>
              <w:suppressLineNumbers w:val="0"/>
              <w:bidi w:val="0"/>
              <w:spacing w:before="0" w:beforeAutospacing="0" w:after="0" w:afterAutospacing="0"/>
              <w:rPr>
                <w:rFonts w:hint="default"/>
                <w:highlight w:val="none"/>
              </w:rPr>
            </w:pPr>
            <w:r>
              <w:rPr>
                <w:rFonts w:hint="default"/>
                <w:highlight w:val="none"/>
              </w:rPr>
              <w:t>居住</w:t>
            </w:r>
            <w:r>
              <w:rPr>
                <w:rFonts w:hint="default"/>
                <w:highlight w:val="none"/>
                <w:lang w:val="en-US" w:eastAsia="zh-CN"/>
              </w:rPr>
              <w:t>约</w:t>
            </w:r>
            <w:r>
              <w:rPr>
                <w:rFonts w:hint="eastAsia"/>
                <w:highlight w:val="none"/>
                <w:lang w:val="en-US" w:eastAsia="zh-CN"/>
              </w:rPr>
              <w:t>268</w:t>
            </w:r>
            <w:r>
              <w:rPr>
                <w:rFonts w:hint="default"/>
                <w:highlight w:val="none"/>
                <w:lang w:val="en-US" w:eastAsia="zh-CN"/>
              </w:rPr>
              <w:t>人</w:t>
            </w:r>
            <w:r>
              <w:rPr>
                <w:rFonts w:hint="eastAsia"/>
                <w:highlight w:val="none"/>
                <w:lang w:val="en-US" w:eastAsia="zh-CN"/>
              </w:rPr>
              <w:t>，67户</w:t>
            </w:r>
          </w:p>
        </w:tc>
        <w:tc>
          <w:tcPr>
            <w:tcW w:w="1094" w:type="pct"/>
            <w:vMerge w:val="continue"/>
            <w:noWrap w:val="0"/>
            <w:tcMar>
              <w:top w:w="0" w:type="dxa"/>
              <w:left w:w="57" w:type="dxa"/>
              <w:bottom w:w="0" w:type="dxa"/>
              <w:right w:w="57" w:type="dxa"/>
            </w:tcMar>
            <w:vAlign w:val="center"/>
          </w:tcPr>
          <w:p w14:paraId="4AF47B69">
            <w:pPr>
              <w:pStyle w:val="42"/>
              <w:keepNext w:val="0"/>
              <w:keepLines w:val="0"/>
              <w:suppressLineNumbers w:val="0"/>
              <w:bidi w:val="0"/>
              <w:spacing w:before="0" w:beforeAutospacing="0" w:after="0" w:afterAutospacing="0"/>
              <w:rPr>
                <w:rFonts w:hint="default"/>
                <w:highlight w:val="none"/>
              </w:rPr>
            </w:pPr>
          </w:p>
        </w:tc>
      </w:tr>
      <w:tr w14:paraId="415C7A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196768EC">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14550F6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湘阴工业园管委会</w:t>
            </w:r>
          </w:p>
        </w:tc>
        <w:tc>
          <w:tcPr>
            <w:tcW w:w="816" w:type="pct"/>
            <w:noWrap w:val="0"/>
            <w:tcMar>
              <w:top w:w="0" w:type="dxa"/>
              <w:left w:w="57" w:type="dxa"/>
              <w:bottom w:w="0" w:type="dxa"/>
              <w:right w:w="57" w:type="dxa"/>
            </w:tcMar>
            <w:vAlign w:val="center"/>
          </w:tcPr>
          <w:p w14:paraId="5EDEB1C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E112.9125649</w:t>
            </w:r>
            <w:r>
              <w:rPr>
                <w:rFonts w:hint="eastAsia"/>
                <w:highlight w:val="none"/>
                <w:lang w:val="en-US" w:eastAsia="zh-CN"/>
              </w:rPr>
              <w:br w:type="textWrapping"/>
            </w:r>
            <w:r>
              <w:rPr>
                <w:rFonts w:hint="eastAsia"/>
                <w:highlight w:val="none"/>
                <w:lang w:val="en-US" w:eastAsia="zh-CN"/>
              </w:rPr>
              <w:t>N28.6564399</w:t>
            </w:r>
          </w:p>
        </w:tc>
        <w:tc>
          <w:tcPr>
            <w:tcW w:w="1127" w:type="pct"/>
            <w:shd w:val="clear" w:color="auto" w:fill="auto"/>
            <w:noWrap w:val="0"/>
            <w:tcMar>
              <w:top w:w="0" w:type="dxa"/>
              <w:left w:w="57" w:type="dxa"/>
              <w:bottom w:w="0" w:type="dxa"/>
              <w:right w:w="57" w:type="dxa"/>
            </w:tcMar>
            <w:vAlign w:val="center"/>
          </w:tcPr>
          <w:p w14:paraId="2926EB8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EN</w:t>
            </w:r>
            <w:r>
              <w:rPr>
                <w:rFonts w:hint="default"/>
                <w:highlight w:val="none"/>
              </w:rPr>
              <w:t>/</w:t>
            </w:r>
            <w:r>
              <w:rPr>
                <w:rFonts w:hint="eastAsia"/>
                <w:highlight w:val="none"/>
                <w:lang w:val="en-US" w:eastAsia="zh-CN"/>
              </w:rPr>
              <w:t>1020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7</w:t>
            </w:r>
            <w:r>
              <w:rPr>
                <w:rFonts w:hint="default"/>
                <w:highlight w:val="none"/>
              </w:rPr>
              <w:t>.1m</w:t>
            </w:r>
          </w:p>
        </w:tc>
        <w:tc>
          <w:tcPr>
            <w:tcW w:w="942" w:type="pct"/>
            <w:shd w:val="clear" w:color="auto" w:fill="auto"/>
            <w:noWrap w:val="0"/>
            <w:tcMar>
              <w:top w:w="0" w:type="dxa"/>
              <w:left w:w="57" w:type="dxa"/>
              <w:bottom w:w="0" w:type="dxa"/>
              <w:right w:w="57" w:type="dxa"/>
            </w:tcMar>
            <w:vAlign w:val="center"/>
          </w:tcPr>
          <w:p w14:paraId="314B14E4">
            <w:pPr>
              <w:pStyle w:val="42"/>
              <w:keepNext w:val="0"/>
              <w:keepLines w:val="0"/>
              <w:suppressLineNumbers w:val="0"/>
              <w:bidi w:val="0"/>
              <w:spacing w:before="0" w:beforeAutospacing="0" w:after="0" w:afterAutospacing="0"/>
              <w:rPr>
                <w:rFonts w:hint="default"/>
                <w:highlight w:val="none"/>
                <w:lang w:val="en-US"/>
              </w:rPr>
            </w:pPr>
            <w:r>
              <w:rPr>
                <w:rFonts w:hint="eastAsia"/>
                <w:highlight w:val="none"/>
                <w:lang w:val="en-US" w:eastAsia="zh-CN"/>
              </w:rPr>
              <w:t>行政，约200</w:t>
            </w:r>
            <w:r>
              <w:rPr>
                <w:rFonts w:hint="default"/>
                <w:highlight w:val="none"/>
                <w:lang w:val="en-US" w:eastAsia="zh-CN"/>
              </w:rPr>
              <w:t>人</w:t>
            </w:r>
          </w:p>
        </w:tc>
        <w:tc>
          <w:tcPr>
            <w:tcW w:w="1094" w:type="pct"/>
            <w:vMerge w:val="continue"/>
            <w:noWrap w:val="0"/>
            <w:tcMar>
              <w:top w:w="0" w:type="dxa"/>
              <w:left w:w="57" w:type="dxa"/>
              <w:bottom w:w="0" w:type="dxa"/>
              <w:right w:w="57" w:type="dxa"/>
            </w:tcMar>
            <w:vAlign w:val="center"/>
          </w:tcPr>
          <w:p w14:paraId="1A009301">
            <w:pPr>
              <w:pStyle w:val="42"/>
              <w:keepNext w:val="0"/>
              <w:keepLines w:val="0"/>
              <w:suppressLineNumbers w:val="0"/>
              <w:bidi w:val="0"/>
              <w:spacing w:before="0" w:beforeAutospacing="0" w:after="0" w:afterAutospacing="0"/>
              <w:rPr>
                <w:rFonts w:hint="default"/>
                <w:highlight w:val="none"/>
              </w:rPr>
            </w:pPr>
          </w:p>
        </w:tc>
      </w:tr>
      <w:tr w14:paraId="0718B4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56C27C5">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6565C4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尚锦学府</w:t>
            </w:r>
          </w:p>
        </w:tc>
        <w:tc>
          <w:tcPr>
            <w:tcW w:w="816" w:type="pct"/>
            <w:noWrap w:val="0"/>
            <w:tcMar>
              <w:top w:w="0" w:type="dxa"/>
              <w:left w:w="57" w:type="dxa"/>
              <w:bottom w:w="0" w:type="dxa"/>
              <w:right w:w="57" w:type="dxa"/>
            </w:tcMar>
            <w:vAlign w:val="center"/>
          </w:tcPr>
          <w:p w14:paraId="4697D8C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E112.911138</w:t>
            </w:r>
            <w:r>
              <w:rPr>
                <w:rFonts w:hint="eastAsia"/>
                <w:highlight w:val="none"/>
                <w:lang w:val="en-US" w:eastAsia="zh-CN"/>
              </w:rPr>
              <w:br w:type="textWrapping"/>
            </w:r>
            <w:r>
              <w:rPr>
                <w:rFonts w:hint="eastAsia"/>
                <w:highlight w:val="none"/>
                <w:lang w:val="en-US" w:eastAsia="zh-CN"/>
              </w:rPr>
              <w:t>N28.65676176</w:t>
            </w:r>
          </w:p>
        </w:tc>
        <w:tc>
          <w:tcPr>
            <w:tcW w:w="1127" w:type="pct"/>
            <w:shd w:val="clear" w:color="auto" w:fill="auto"/>
            <w:noWrap w:val="0"/>
            <w:tcMar>
              <w:top w:w="0" w:type="dxa"/>
              <w:left w:w="57" w:type="dxa"/>
              <w:bottom w:w="0" w:type="dxa"/>
              <w:right w:w="57" w:type="dxa"/>
            </w:tcMar>
            <w:vAlign w:val="center"/>
          </w:tcPr>
          <w:p w14:paraId="407CB766">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E</w:t>
            </w:r>
            <w:r>
              <w:rPr>
                <w:rFonts w:hint="eastAsia"/>
                <w:highlight w:val="none"/>
                <w:lang w:val="en-US" w:eastAsia="zh-CN"/>
              </w:rPr>
              <w:t>N</w:t>
            </w:r>
            <w:r>
              <w:rPr>
                <w:rFonts w:hint="default"/>
                <w:highlight w:val="none"/>
                <w:lang w:val="en-US" w:eastAsia="zh-CN"/>
              </w:rPr>
              <w:t>/</w:t>
            </w:r>
            <w:r>
              <w:rPr>
                <w:rFonts w:hint="eastAsia"/>
                <w:highlight w:val="none"/>
                <w:lang w:val="en-US" w:eastAsia="zh-CN"/>
              </w:rPr>
              <w:t>890-1300</w:t>
            </w:r>
            <w:r>
              <w:rPr>
                <w:rFonts w:hint="default"/>
                <w:highlight w:val="none"/>
                <w:lang w:val="en-US" w:eastAsia="zh-CN"/>
              </w:rPr>
              <w:t>m，高差</w:t>
            </w:r>
            <w:r>
              <w:rPr>
                <w:rFonts w:hint="default"/>
                <w:highlight w:val="none"/>
              </w:rPr>
              <w:t>+</w:t>
            </w:r>
            <w:r>
              <w:rPr>
                <w:rFonts w:hint="default"/>
                <w:highlight w:val="none"/>
                <w:lang w:val="en-US" w:eastAsia="zh-CN"/>
              </w:rPr>
              <w:t>2.2</w:t>
            </w:r>
            <w:r>
              <w:rPr>
                <w:rFonts w:hint="default"/>
                <w:highlight w:val="none"/>
              </w:rPr>
              <w:t>m</w:t>
            </w:r>
          </w:p>
        </w:tc>
        <w:tc>
          <w:tcPr>
            <w:tcW w:w="942" w:type="pct"/>
            <w:shd w:val="clear" w:color="auto" w:fill="auto"/>
            <w:noWrap w:val="0"/>
            <w:tcMar>
              <w:top w:w="0" w:type="dxa"/>
              <w:left w:w="57" w:type="dxa"/>
              <w:bottom w:w="0" w:type="dxa"/>
              <w:right w:w="57" w:type="dxa"/>
            </w:tcMar>
            <w:vAlign w:val="center"/>
          </w:tcPr>
          <w:p w14:paraId="4C47A2CC">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w:t>
            </w:r>
            <w:r>
              <w:rPr>
                <w:rFonts w:hint="eastAsia"/>
                <w:highlight w:val="none"/>
                <w:lang w:val="en-US" w:eastAsia="zh-CN"/>
              </w:rPr>
              <w:t>2500</w:t>
            </w:r>
            <w:r>
              <w:rPr>
                <w:rFonts w:hint="default"/>
                <w:highlight w:val="none"/>
                <w:lang w:val="en-US" w:eastAsia="zh-CN"/>
              </w:rPr>
              <w:t>人</w:t>
            </w:r>
            <w:r>
              <w:rPr>
                <w:rFonts w:hint="eastAsia"/>
                <w:highlight w:val="none"/>
                <w:lang w:val="en-US" w:eastAsia="zh-CN"/>
              </w:rPr>
              <w:t>，1000户</w:t>
            </w:r>
          </w:p>
        </w:tc>
        <w:tc>
          <w:tcPr>
            <w:tcW w:w="1094" w:type="pct"/>
            <w:vMerge w:val="continue"/>
            <w:noWrap w:val="0"/>
            <w:tcMar>
              <w:top w:w="0" w:type="dxa"/>
              <w:left w:w="57" w:type="dxa"/>
              <w:bottom w:w="0" w:type="dxa"/>
              <w:right w:w="57" w:type="dxa"/>
            </w:tcMar>
            <w:vAlign w:val="center"/>
          </w:tcPr>
          <w:p w14:paraId="36B2E877">
            <w:pPr>
              <w:pStyle w:val="42"/>
              <w:keepNext w:val="0"/>
              <w:keepLines w:val="0"/>
              <w:suppressLineNumbers w:val="0"/>
              <w:bidi w:val="0"/>
              <w:spacing w:before="0" w:beforeAutospacing="0" w:after="0" w:afterAutospacing="0"/>
              <w:rPr>
                <w:rFonts w:hint="default"/>
                <w:highlight w:val="none"/>
              </w:rPr>
            </w:pPr>
          </w:p>
        </w:tc>
      </w:tr>
      <w:tr w14:paraId="582485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1DFB02A">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5E301D1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涝溪桥村1</w:t>
            </w:r>
          </w:p>
        </w:tc>
        <w:tc>
          <w:tcPr>
            <w:tcW w:w="816" w:type="pct"/>
            <w:noWrap w:val="0"/>
            <w:tcMar>
              <w:top w:w="0" w:type="dxa"/>
              <w:left w:w="57" w:type="dxa"/>
              <w:bottom w:w="0" w:type="dxa"/>
              <w:right w:w="57" w:type="dxa"/>
            </w:tcMar>
            <w:vAlign w:val="center"/>
          </w:tcPr>
          <w:p w14:paraId="6D34684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E112.9134769</w:t>
            </w:r>
            <w:r>
              <w:rPr>
                <w:rFonts w:hint="eastAsia"/>
                <w:highlight w:val="none"/>
                <w:lang w:val="en-US" w:eastAsia="zh-CN"/>
              </w:rPr>
              <w:br w:type="textWrapping"/>
            </w:r>
            <w:r>
              <w:rPr>
                <w:rFonts w:hint="eastAsia"/>
                <w:highlight w:val="none"/>
                <w:lang w:val="en-US" w:eastAsia="zh-CN"/>
              </w:rPr>
              <w:t>N28.65155828</w:t>
            </w:r>
          </w:p>
        </w:tc>
        <w:tc>
          <w:tcPr>
            <w:tcW w:w="1127" w:type="pct"/>
            <w:shd w:val="clear" w:color="auto" w:fill="auto"/>
            <w:noWrap w:val="0"/>
            <w:tcMar>
              <w:top w:w="0" w:type="dxa"/>
              <w:left w:w="57" w:type="dxa"/>
              <w:bottom w:w="0" w:type="dxa"/>
              <w:right w:w="57" w:type="dxa"/>
            </w:tcMar>
            <w:vAlign w:val="center"/>
          </w:tcPr>
          <w:p w14:paraId="2A3A7F7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w:t>
            </w:r>
            <w:r>
              <w:rPr>
                <w:rFonts w:hint="default"/>
                <w:highlight w:val="none"/>
                <w:lang w:val="en-US" w:eastAsia="zh-CN"/>
              </w:rPr>
              <w:t>/</w:t>
            </w:r>
            <w:r>
              <w:rPr>
                <w:rFonts w:hint="eastAsia"/>
                <w:highlight w:val="none"/>
                <w:lang w:val="en-US" w:eastAsia="zh-CN"/>
              </w:rPr>
              <w:t>750-950</w:t>
            </w:r>
            <w:r>
              <w:rPr>
                <w:rFonts w:hint="default"/>
                <w:highlight w:val="none"/>
                <w:lang w:val="en-US" w:eastAsia="zh-CN"/>
              </w:rPr>
              <w:t>m，高差+1.1m</w:t>
            </w:r>
          </w:p>
        </w:tc>
        <w:tc>
          <w:tcPr>
            <w:tcW w:w="942" w:type="pct"/>
            <w:shd w:val="clear" w:color="auto" w:fill="auto"/>
            <w:noWrap w:val="0"/>
            <w:tcMar>
              <w:top w:w="0" w:type="dxa"/>
              <w:left w:w="57" w:type="dxa"/>
              <w:bottom w:w="0" w:type="dxa"/>
              <w:right w:w="57" w:type="dxa"/>
            </w:tcMar>
            <w:vAlign w:val="center"/>
          </w:tcPr>
          <w:p w14:paraId="6C59D17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w:t>
            </w:r>
            <w:r>
              <w:rPr>
                <w:rFonts w:hint="eastAsia"/>
                <w:highlight w:val="none"/>
                <w:lang w:val="en-US" w:eastAsia="zh-CN"/>
              </w:rPr>
              <w:t>300</w:t>
            </w:r>
            <w:r>
              <w:rPr>
                <w:rFonts w:hint="default"/>
                <w:highlight w:val="none"/>
                <w:lang w:val="en-US" w:eastAsia="zh-CN"/>
              </w:rPr>
              <w:t>人</w:t>
            </w:r>
            <w:r>
              <w:rPr>
                <w:rFonts w:hint="eastAsia"/>
                <w:highlight w:val="none"/>
                <w:lang w:val="en-US" w:eastAsia="zh-CN"/>
              </w:rPr>
              <w:t>，77户</w:t>
            </w:r>
          </w:p>
        </w:tc>
        <w:tc>
          <w:tcPr>
            <w:tcW w:w="1094" w:type="pct"/>
            <w:vMerge w:val="continue"/>
            <w:noWrap w:val="0"/>
            <w:tcMar>
              <w:top w:w="0" w:type="dxa"/>
              <w:left w:w="57" w:type="dxa"/>
              <w:bottom w:w="0" w:type="dxa"/>
              <w:right w:w="57" w:type="dxa"/>
            </w:tcMar>
            <w:vAlign w:val="center"/>
          </w:tcPr>
          <w:p w14:paraId="70E59094">
            <w:pPr>
              <w:pStyle w:val="42"/>
              <w:keepNext w:val="0"/>
              <w:keepLines w:val="0"/>
              <w:suppressLineNumbers w:val="0"/>
              <w:bidi w:val="0"/>
              <w:spacing w:before="0" w:beforeAutospacing="0" w:after="0" w:afterAutospacing="0"/>
              <w:rPr>
                <w:rFonts w:hint="default"/>
                <w:highlight w:val="none"/>
              </w:rPr>
            </w:pPr>
          </w:p>
        </w:tc>
      </w:tr>
      <w:tr w14:paraId="074711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66ACAB6E">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63BC0A7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涝溪桥村2</w:t>
            </w:r>
          </w:p>
        </w:tc>
        <w:tc>
          <w:tcPr>
            <w:tcW w:w="816" w:type="pct"/>
            <w:noWrap w:val="0"/>
            <w:tcMar>
              <w:top w:w="0" w:type="dxa"/>
              <w:left w:w="57" w:type="dxa"/>
              <w:bottom w:w="0" w:type="dxa"/>
              <w:right w:w="57" w:type="dxa"/>
            </w:tcMar>
            <w:vAlign w:val="center"/>
          </w:tcPr>
          <w:p w14:paraId="158879B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E112.9177041</w:t>
            </w:r>
            <w:r>
              <w:rPr>
                <w:rFonts w:hint="eastAsia"/>
                <w:highlight w:val="none"/>
                <w:lang w:val="en-US" w:eastAsia="zh-CN"/>
              </w:rPr>
              <w:br w:type="textWrapping"/>
            </w:r>
            <w:r>
              <w:rPr>
                <w:rFonts w:hint="eastAsia"/>
                <w:highlight w:val="none"/>
                <w:lang w:val="en-US" w:eastAsia="zh-CN"/>
              </w:rPr>
              <w:t>N28.65106475</w:t>
            </w:r>
          </w:p>
        </w:tc>
        <w:tc>
          <w:tcPr>
            <w:tcW w:w="1127" w:type="pct"/>
            <w:shd w:val="clear" w:color="auto" w:fill="auto"/>
            <w:noWrap w:val="0"/>
            <w:tcMar>
              <w:top w:w="0" w:type="dxa"/>
              <w:left w:w="57" w:type="dxa"/>
              <w:bottom w:w="0" w:type="dxa"/>
              <w:right w:w="57" w:type="dxa"/>
            </w:tcMar>
            <w:vAlign w:val="center"/>
          </w:tcPr>
          <w:p w14:paraId="31FEC3E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w:t>
            </w:r>
            <w:r>
              <w:rPr>
                <w:rFonts w:hint="default"/>
                <w:highlight w:val="none"/>
                <w:lang w:val="en-US" w:eastAsia="zh-CN"/>
              </w:rPr>
              <w:t>/</w:t>
            </w:r>
            <w:r>
              <w:rPr>
                <w:rFonts w:hint="eastAsia"/>
                <w:highlight w:val="none"/>
                <w:lang w:val="en-US" w:eastAsia="zh-CN"/>
              </w:rPr>
              <w:t>1120-1300</w:t>
            </w:r>
            <w:r>
              <w:rPr>
                <w:rFonts w:hint="default"/>
                <w:highlight w:val="none"/>
                <w:lang w:val="en-US" w:eastAsia="zh-CN"/>
              </w:rPr>
              <w:t>m，高差+2.0m</w:t>
            </w:r>
          </w:p>
        </w:tc>
        <w:tc>
          <w:tcPr>
            <w:tcW w:w="942" w:type="pct"/>
            <w:shd w:val="clear" w:color="auto" w:fill="auto"/>
            <w:noWrap w:val="0"/>
            <w:tcMar>
              <w:top w:w="0" w:type="dxa"/>
              <w:left w:w="57" w:type="dxa"/>
              <w:bottom w:w="0" w:type="dxa"/>
              <w:right w:w="57" w:type="dxa"/>
            </w:tcMar>
            <w:vAlign w:val="center"/>
          </w:tcPr>
          <w:p w14:paraId="6894A1CE">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9</w:t>
            </w:r>
            <w:r>
              <w:rPr>
                <w:rFonts w:hint="default"/>
                <w:highlight w:val="none"/>
                <w:lang w:val="en-US" w:eastAsia="zh-CN"/>
              </w:rPr>
              <w:t>0人</w:t>
            </w:r>
            <w:r>
              <w:rPr>
                <w:rFonts w:hint="eastAsia"/>
                <w:highlight w:val="none"/>
                <w:lang w:val="en-US" w:eastAsia="zh-CN"/>
              </w:rPr>
              <w:t>，23户</w:t>
            </w:r>
          </w:p>
        </w:tc>
        <w:tc>
          <w:tcPr>
            <w:tcW w:w="1094" w:type="pct"/>
            <w:vMerge w:val="continue"/>
            <w:noWrap w:val="0"/>
            <w:tcMar>
              <w:top w:w="0" w:type="dxa"/>
              <w:left w:w="57" w:type="dxa"/>
              <w:bottom w:w="0" w:type="dxa"/>
              <w:right w:w="57" w:type="dxa"/>
            </w:tcMar>
            <w:vAlign w:val="center"/>
          </w:tcPr>
          <w:p w14:paraId="5DC8C323">
            <w:pPr>
              <w:pStyle w:val="42"/>
              <w:keepNext w:val="0"/>
              <w:keepLines w:val="0"/>
              <w:suppressLineNumbers w:val="0"/>
              <w:bidi w:val="0"/>
              <w:spacing w:before="0" w:beforeAutospacing="0" w:after="0" w:afterAutospacing="0"/>
              <w:rPr>
                <w:rFonts w:hint="default"/>
                <w:highlight w:val="none"/>
              </w:rPr>
            </w:pPr>
          </w:p>
        </w:tc>
      </w:tr>
      <w:tr w14:paraId="16E5BA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57825319">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4E91DBE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新华村</w:t>
            </w:r>
          </w:p>
        </w:tc>
        <w:tc>
          <w:tcPr>
            <w:tcW w:w="816" w:type="pct"/>
            <w:noWrap w:val="0"/>
            <w:tcMar>
              <w:top w:w="0" w:type="dxa"/>
              <w:left w:w="57" w:type="dxa"/>
              <w:bottom w:w="0" w:type="dxa"/>
              <w:right w:w="57" w:type="dxa"/>
            </w:tcMar>
            <w:vAlign w:val="center"/>
          </w:tcPr>
          <w:p w14:paraId="3CE1087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E112.9239697</w:t>
            </w:r>
            <w:r>
              <w:rPr>
                <w:rFonts w:hint="eastAsia"/>
                <w:highlight w:val="none"/>
                <w:lang w:val="en-US" w:eastAsia="zh-CN"/>
              </w:rPr>
              <w:br w:type="textWrapping"/>
            </w:r>
            <w:r>
              <w:rPr>
                <w:rFonts w:hint="eastAsia"/>
                <w:highlight w:val="none"/>
                <w:lang w:val="en-US" w:eastAsia="zh-CN"/>
              </w:rPr>
              <w:t>N28.6479963</w:t>
            </w:r>
          </w:p>
        </w:tc>
        <w:tc>
          <w:tcPr>
            <w:tcW w:w="1127" w:type="pct"/>
            <w:shd w:val="clear" w:color="auto" w:fill="auto"/>
            <w:noWrap w:val="0"/>
            <w:tcMar>
              <w:top w:w="0" w:type="dxa"/>
              <w:left w:w="57" w:type="dxa"/>
              <w:bottom w:w="0" w:type="dxa"/>
              <w:right w:w="57" w:type="dxa"/>
            </w:tcMar>
            <w:vAlign w:val="center"/>
          </w:tcPr>
          <w:p w14:paraId="50B9DF0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ES</w:t>
            </w:r>
            <w:r>
              <w:rPr>
                <w:rFonts w:hint="default"/>
                <w:highlight w:val="none"/>
                <w:lang w:val="en-US" w:eastAsia="zh-CN"/>
              </w:rPr>
              <w:t>/</w:t>
            </w:r>
            <w:r>
              <w:rPr>
                <w:rFonts w:hint="eastAsia"/>
                <w:highlight w:val="none"/>
                <w:lang w:val="en-US" w:eastAsia="zh-CN"/>
              </w:rPr>
              <w:t>1600-2000</w:t>
            </w:r>
            <w:r>
              <w:rPr>
                <w:rFonts w:hint="default"/>
                <w:highlight w:val="none"/>
                <w:lang w:val="en-US" w:eastAsia="zh-CN"/>
              </w:rPr>
              <w:t>m，高差-5.7m</w:t>
            </w:r>
          </w:p>
        </w:tc>
        <w:tc>
          <w:tcPr>
            <w:tcW w:w="942" w:type="pct"/>
            <w:shd w:val="clear" w:color="auto" w:fill="auto"/>
            <w:noWrap w:val="0"/>
            <w:tcMar>
              <w:top w:w="0" w:type="dxa"/>
              <w:left w:w="57" w:type="dxa"/>
              <w:bottom w:w="0" w:type="dxa"/>
              <w:right w:w="57" w:type="dxa"/>
            </w:tcMar>
            <w:vAlign w:val="center"/>
          </w:tcPr>
          <w:p w14:paraId="59A45924">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50</w:t>
            </w:r>
            <w:r>
              <w:rPr>
                <w:rFonts w:hint="default"/>
                <w:highlight w:val="none"/>
                <w:lang w:val="en-US" w:eastAsia="zh-CN"/>
              </w:rPr>
              <w:t>0人</w:t>
            </w:r>
            <w:r>
              <w:rPr>
                <w:rFonts w:hint="eastAsia"/>
                <w:highlight w:val="none"/>
                <w:lang w:val="en-US" w:eastAsia="zh-CN"/>
              </w:rPr>
              <w:t>，120户</w:t>
            </w:r>
          </w:p>
        </w:tc>
        <w:tc>
          <w:tcPr>
            <w:tcW w:w="1094" w:type="pct"/>
            <w:vMerge w:val="continue"/>
            <w:noWrap w:val="0"/>
            <w:tcMar>
              <w:top w:w="0" w:type="dxa"/>
              <w:left w:w="57" w:type="dxa"/>
              <w:bottom w:w="0" w:type="dxa"/>
              <w:right w:w="57" w:type="dxa"/>
            </w:tcMar>
            <w:vAlign w:val="center"/>
          </w:tcPr>
          <w:p w14:paraId="31E0D76E">
            <w:pPr>
              <w:pStyle w:val="42"/>
              <w:keepNext w:val="0"/>
              <w:keepLines w:val="0"/>
              <w:suppressLineNumbers w:val="0"/>
              <w:bidi w:val="0"/>
              <w:spacing w:before="0" w:beforeAutospacing="0" w:after="0" w:afterAutospacing="0"/>
              <w:rPr>
                <w:rFonts w:hint="default"/>
                <w:highlight w:val="none"/>
              </w:rPr>
            </w:pPr>
          </w:p>
        </w:tc>
      </w:tr>
      <w:tr w14:paraId="0EFE4C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16A3660E">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2E02E8E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杨家上屋</w:t>
            </w:r>
          </w:p>
        </w:tc>
        <w:tc>
          <w:tcPr>
            <w:tcW w:w="816" w:type="pct"/>
            <w:noWrap w:val="0"/>
            <w:tcMar>
              <w:top w:w="0" w:type="dxa"/>
              <w:left w:w="57" w:type="dxa"/>
              <w:bottom w:w="0" w:type="dxa"/>
              <w:right w:w="57" w:type="dxa"/>
            </w:tcMar>
            <w:vAlign w:val="center"/>
          </w:tcPr>
          <w:p w14:paraId="7CE873B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E112.9196996</w:t>
            </w:r>
            <w:r>
              <w:rPr>
                <w:rFonts w:hint="eastAsia"/>
                <w:highlight w:val="none"/>
                <w:lang w:val="en-US" w:eastAsia="zh-CN"/>
              </w:rPr>
              <w:br w:type="textWrapping"/>
            </w:r>
            <w:r>
              <w:rPr>
                <w:rFonts w:hint="eastAsia"/>
                <w:highlight w:val="none"/>
                <w:lang w:val="en-US" w:eastAsia="zh-CN"/>
              </w:rPr>
              <w:t>N28.65194451</w:t>
            </w:r>
          </w:p>
        </w:tc>
        <w:tc>
          <w:tcPr>
            <w:tcW w:w="1127" w:type="pct"/>
            <w:shd w:val="clear" w:color="auto" w:fill="auto"/>
            <w:noWrap w:val="0"/>
            <w:tcMar>
              <w:top w:w="0" w:type="dxa"/>
              <w:left w:w="57" w:type="dxa"/>
              <w:bottom w:w="0" w:type="dxa"/>
              <w:right w:w="57" w:type="dxa"/>
            </w:tcMar>
            <w:vAlign w:val="center"/>
          </w:tcPr>
          <w:p w14:paraId="510B2C5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w:t>
            </w:r>
            <w:r>
              <w:rPr>
                <w:rFonts w:hint="default"/>
                <w:highlight w:val="none"/>
                <w:lang w:val="en-US" w:eastAsia="zh-CN"/>
              </w:rPr>
              <w:t>/</w:t>
            </w:r>
            <w:r>
              <w:rPr>
                <w:rFonts w:hint="eastAsia"/>
                <w:highlight w:val="none"/>
                <w:lang w:val="en-US" w:eastAsia="zh-CN"/>
              </w:rPr>
              <w:t>1300-1600</w:t>
            </w:r>
            <w:r>
              <w:rPr>
                <w:rFonts w:hint="default"/>
                <w:highlight w:val="none"/>
                <w:lang w:val="en-US" w:eastAsia="zh-CN"/>
              </w:rPr>
              <w:t>m，高差+2.2m</w:t>
            </w:r>
          </w:p>
        </w:tc>
        <w:tc>
          <w:tcPr>
            <w:tcW w:w="942" w:type="pct"/>
            <w:shd w:val="clear" w:color="auto" w:fill="auto"/>
            <w:noWrap w:val="0"/>
            <w:tcMar>
              <w:top w:w="0" w:type="dxa"/>
              <w:left w:w="57" w:type="dxa"/>
              <w:bottom w:w="0" w:type="dxa"/>
              <w:right w:w="57" w:type="dxa"/>
            </w:tcMar>
            <w:vAlign w:val="center"/>
          </w:tcPr>
          <w:p w14:paraId="3EEA8770">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9</w:t>
            </w:r>
            <w:r>
              <w:rPr>
                <w:rFonts w:hint="default"/>
                <w:highlight w:val="none"/>
                <w:lang w:val="en-US" w:eastAsia="zh-CN"/>
              </w:rPr>
              <w:t>0人</w:t>
            </w:r>
            <w:r>
              <w:rPr>
                <w:rFonts w:hint="eastAsia"/>
                <w:highlight w:val="none"/>
                <w:lang w:val="en-US" w:eastAsia="zh-CN"/>
              </w:rPr>
              <w:t>，20户</w:t>
            </w:r>
          </w:p>
        </w:tc>
        <w:tc>
          <w:tcPr>
            <w:tcW w:w="1094" w:type="pct"/>
            <w:vMerge w:val="continue"/>
            <w:noWrap w:val="0"/>
            <w:tcMar>
              <w:top w:w="0" w:type="dxa"/>
              <w:left w:w="57" w:type="dxa"/>
              <w:bottom w:w="0" w:type="dxa"/>
              <w:right w:w="57" w:type="dxa"/>
            </w:tcMar>
            <w:vAlign w:val="center"/>
          </w:tcPr>
          <w:p w14:paraId="050AAE36">
            <w:pPr>
              <w:pStyle w:val="42"/>
              <w:keepNext w:val="0"/>
              <w:keepLines w:val="0"/>
              <w:suppressLineNumbers w:val="0"/>
              <w:bidi w:val="0"/>
              <w:spacing w:before="0" w:beforeAutospacing="0" w:after="0" w:afterAutospacing="0"/>
              <w:rPr>
                <w:rFonts w:hint="default"/>
                <w:highlight w:val="none"/>
              </w:rPr>
            </w:pPr>
          </w:p>
        </w:tc>
      </w:tr>
      <w:tr w14:paraId="63ED42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59" w:type="pct"/>
            <w:vMerge w:val="continue"/>
            <w:noWrap w:val="0"/>
            <w:tcMar>
              <w:top w:w="0" w:type="dxa"/>
              <w:left w:w="57" w:type="dxa"/>
              <w:bottom w:w="0" w:type="dxa"/>
              <w:right w:w="57" w:type="dxa"/>
            </w:tcMar>
            <w:vAlign w:val="center"/>
          </w:tcPr>
          <w:p w14:paraId="2940915D">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F83890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知源学校</w:t>
            </w:r>
          </w:p>
        </w:tc>
        <w:tc>
          <w:tcPr>
            <w:tcW w:w="816" w:type="pct"/>
            <w:noWrap w:val="0"/>
            <w:tcMar>
              <w:top w:w="0" w:type="dxa"/>
              <w:left w:w="57" w:type="dxa"/>
              <w:bottom w:w="0" w:type="dxa"/>
              <w:right w:w="57" w:type="dxa"/>
            </w:tcMar>
            <w:vAlign w:val="center"/>
          </w:tcPr>
          <w:p w14:paraId="6AEA454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E112.9186053</w:t>
            </w:r>
            <w:r>
              <w:rPr>
                <w:rFonts w:hint="eastAsia"/>
                <w:highlight w:val="none"/>
                <w:lang w:val="en-US" w:eastAsia="zh-CN"/>
              </w:rPr>
              <w:br w:type="textWrapping"/>
            </w:r>
            <w:r>
              <w:rPr>
                <w:rFonts w:hint="eastAsia"/>
                <w:highlight w:val="none"/>
                <w:lang w:val="en-US" w:eastAsia="zh-CN"/>
              </w:rPr>
              <w:t>N28.65597856</w:t>
            </w:r>
          </w:p>
        </w:tc>
        <w:tc>
          <w:tcPr>
            <w:tcW w:w="1127" w:type="pct"/>
            <w:shd w:val="clear" w:color="auto" w:fill="auto"/>
            <w:noWrap w:val="0"/>
            <w:tcMar>
              <w:top w:w="0" w:type="dxa"/>
              <w:left w:w="57" w:type="dxa"/>
              <w:bottom w:w="0" w:type="dxa"/>
              <w:right w:w="57" w:type="dxa"/>
            </w:tcMar>
            <w:vAlign w:val="center"/>
          </w:tcPr>
          <w:p w14:paraId="5A3FB7F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E</w:t>
            </w:r>
            <w:r>
              <w:rPr>
                <w:rFonts w:hint="default"/>
                <w:highlight w:val="none"/>
              </w:rPr>
              <w:t>/</w:t>
            </w:r>
            <w:r>
              <w:rPr>
                <w:rFonts w:hint="eastAsia"/>
                <w:highlight w:val="none"/>
                <w:lang w:val="en-US" w:eastAsia="zh-CN"/>
              </w:rPr>
              <w:t>1350-1600</w:t>
            </w:r>
            <w:r>
              <w:rPr>
                <w:rFonts w:hint="default"/>
                <w:highlight w:val="none"/>
              </w:rPr>
              <w:t>m</w:t>
            </w:r>
            <w:r>
              <w:rPr>
                <w:rFonts w:hint="default"/>
                <w:highlight w:val="none"/>
                <w:lang w:eastAsia="zh-CN"/>
              </w:rPr>
              <w:t>，</w:t>
            </w:r>
            <w:r>
              <w:rPr>
                <w:rFonts w:hint="default"/>
                <w:highlight w:val="none"/>
              </w:rPr>
              <w:t>高差+</w:t>
            </w:r>
            <w:r>
              <w:rPr>
                <w:rFonts w:hint="default"/>
                <w:highlight w:val="none"/>
                <w:lang w:val="en-US" w:eastAsia="zh-CN"/>
              </w:rPr>
              <w:t>1</w:t>
            </w:r>
            <w:r>
              <w:rPr>
                <w:rFonts w:hint="default"/>
                <w:highlight w:val="none"/>
              </w:rPr>
              <w:t>.8m</w:t>
            </w:r>
          </w:p>
        </w:tc>
        <w:tc>
          <w:tcPr>
            <w:tcW w:w="942" w:type="pct"/>
            <w:shd w:val="clear" w:color="auto" w:fill="auto"/>
            <w:noWrap w:val="0"/>
            <w:tcMar>
              <w:top w:w="0" w:type="dxa"/>
              <w:left w:w="57" w:type="dxa"/>
              <w:bottom w:w="0" w:type="dxa"/>
              <w:right w:w="57" w:type="dxa"/>
            </w:tcMar>
            <w:vAlign w:val="center"/>
          </w:tcPr>
          <w:p w14:paraId="4D942CC2">
            <w:pPr>
              <w:pStyle w:val="42"/>
              <w:keepNext w:val="0"/>
              <w:keepLines w:val="0"/>
              <w:suppressLineNumbers w:val="0"/>
              <w:bidi w:val="0"/>
              <w:spacing w:before="0" w:beforeAutospacing="0" w:after="0" w:afterAutospacing="0"/>
              <w:rPr>
                <w:rFonts w:hint="default"/>
                <w:highlight w:val="none"/>
                <w:lang w:val="en-US"/>
              </w:rPr>
            </w:pPr>
            <w:r>
              <w:rPr>
                <w:rFonts w:hint="eastAsia"/>
                <w:highlight w:val="none"/>
                <w:lang w:val="en-US" w:eastAsia="zh-CN"/>
              </w:rPr>
              <w:t>学校</w:t>
            </w:r>
            <w:r>
              <w:rPr>
                <w:rFonts w:hint="default"/>
                <w:highlight w:val="none"/>
                <w:lang w:val="en-US" w:eastAsia="zh-CN"/>
              </w:rPr>
              <w:t>约</w:t>
            </w:r>
            <w:r>
              <w:rPr>
                <w:rFonts w:hint="eastAsia"/>
                <w:highlight w:val="none"/>
                <w:lang w:val="en-US" w:eastAsia="zh-CN"/>
              </w:rPr>
              <w:t>16</w:t>
            </w:r>
            <w:r>
              <w:rPr>
                <w:rFonts w:hint="default"/>
                <w:highlight w:val="none"/>
                <w:lang w:val="en-US" w:eastAsia="zh-CN"/>
              </w:rPr>
              <w:t>00人</w:t>
            </w:r>
          </w:p>
        </w:tc>
        <w:tc>
          <w:tcPr>
            <w:tcW w:w="1094" w:type="pct"/>
            <w:vMerge w:val="continue"/>
            <w:noWrap w:val="0"/>
            <w:tcMar>
              <w:top w:w="0" w:type="dxa"/>
              <w:left w:w="57" w:type="dxa"/>
              <w:bottom w:w="0" w:type="dxa"/>
              <w:right w:w="57" w:type="dxa"/>
            </w:tcMar>
            <w:vAlign w:val="center"/>
          </w:tcPr>
          <w:p w14:paraId="151A0476">
            <w:pPr>
              <w:pStyle w:val="42"/>
              <w:keepNext w:val="0"/>
              <w:keepLines w:val="0"/>
              <w:suppressLineNumbers w:val="0"/>
              <w:bidi w:val="0"/>
              <w:spacing w:before="0" w:beforeAutospacing="0" w:after="0" w:afterAutospacing="0"/>
              <w:rPr>
                <w:rFonts w:hint="default"/>
                <w:highlight w:val="none"/>
              </w:rPr>
            </w:pPr>
          </w:p>
        </w:tc>
      </w:tr>
      <w:tr w14:paraId="63BB04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9B69208">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673DAEB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杨家大屋</w:t>
            </w:r>
          </w:p>
        </w:tc>
        <w:tc>
          <w:tcPr>
            <w:tcW w:w="816" w:type="pct"/>
            <w:noWrap w:val="0"/>
            <w:tcMar>
              <w:top w:w="0" w:type="dxa"/>
              <w:left w:w="57" w:type="dxa"/>
              <w:bottom w:w="0" w:type="dxa"/>
              <w:right w:w="57" w:type="dxa"/>
            </w:tcMar>
            <w:vAlign w:val="center"/>
          </w:tcPr>
          <w:p w14:paraId="7CECE54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E112.9222745</w:t>
            </w:r>
            <w:r>
              <w:rPr>
                <w:rFonts w:hint="eastAsia"/>
                <w:highlight w:val="none"/>
                <w:lang w:val="en-US" w:eastAsia="zh-CN"/>
              </w:rPr>
              <w:br w:type="textWrapping"/>
            </w:r>
            <w:r>
              <w:rPr>
                <w:rFonts w:hint="eastAsia"/>
                <w:highlight w:val="none"/>
                <w:lang w:val="en-US" w:eastAsia="zh-CN"/>
              </w:rPr>
              <w:t>N28.65404737</w:t>
            </w:r>
          </w:p>
        </w:tc>
        <w:tc>
          <w:tcPr>
            <w:tcW w:w="1127" w:type="pct"/>
            <w:shd w:val="clear" w:color="auto" w:fill="auto"/>
            <w:noWrap w:val="0"/>
            <w:tcMar>
              <w:top w:w="0" w:type="dxa"/>
              <w:left w:w="57" w:type="dxa"/>
              <w:bottom w:w="0" w:type="dxa"/>
              <w:right w:w="57" w:type="dxa"/>
            </w:tcMar>
            <w:vAlign w:val="center"/>
          </w:tcPr>
          <w:p w14:paraId="6D8116F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E</w:t>
            </w:r>
            <w:r>
              <w:rPr>
                <w:rFonts w:hint="default"/>
                <w:highlight w:val="none"/>
              </w:rPr>
              <w:t>/</w:t>
            </w:r>
            <w:r>
              <w:rPr>
                <w:rFonts w:hint="eastAsia"/>
                <w:highlight w:val="none"/>
                <w:lang w:val="en-US" w:eastAsia="zh-CN"/>
              </w:rPr>
              <w:t>1280-2100</w:t>
            </w:r>
            <w:r>
              <w:rPr>
                <w:rFonts w:hint="default"/>
                <w:highlight w:val="none"/>
              </w:rPr>
              <w:t>m</w:t>
            </w:r>
            <w:r>
              <w:rPr>
                <w:rFonts w:hint="default"/>
                <w:highlight w:val="none"/>
                <w:lang w:eastAsia="zh-CN"/>
              </w:rPr>
              <w:t>，</w:t>
            </w:r>
            <w:r>
              <w:rPr>
                <w:rFonts w:hint="default"/>
                <w:sz w:val="24"/>
                <w:szCs w:val="24"/>
                <w:highlight w:val="none"/>
              </w:rPr>
              <w:t>高差</w:t>
            </w:r>
            <w:r>
              <w:rPr>
                <w:rFonts w:hint="default"/>
                <w:sz w:val="24"/>
                <w:szCs w:val="24"/>
                <w:highlight w:val="none"/>
                <w:lang w:val="en-US" w:eastAsia="zh-CN"/>
              </w:rPr>
              <w:t>-7.5</w:t>
            </w:r>
            <w:r>
              <w:rPr>
                <w:rFonts w:hint="default"/>
                <w:sz w:val="24"/>
                <w:szCs w:val="24"/>
                <w:highlight w:val="none"/>
              </w:rPr>
              <w:t>m</w:t>
            </w:r>
          </w:p>
        </w:tc>
        <w:tc>
          <w:tcPr>
            <w:tcW w:w="942" w:type="pct"/>
            <w:shd w:val="clear" w:color="auto" w:fill="auto"/>
            <w:noWrap w:val="0"/>
            <w:tcMar>
              <w:top w:w="0" w:type="dxa"/>
              <w:left w:w="57" w:type="dxa"/>
              <w:bottom w:w="0" w:type="dxa"/>
              <w:right w:w="57" w:type="dxa"/>
            </w:tcMar>
            <w:vAlign w:val="center"/>
          </w:tcPr>
          <w:p w14:paraId="3C769EE1">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约1</w:t>
            </w:r>
            <w:r>
              <w:rPr>
                <w:rFonts w:hint="eastAsia"/>
                <w:highlight w:val="none"/>
                <w:lang w:val="en-US" w:eastAsia="zh-CN"/>
              </w:rPr>
              <w:t>2</w:t>
            </w:r>
            <w:r>
              <w:rPr>
                <w:rFonts w:hint="default"/>
                <w:highlight w:val="none"/>
                <w:lang w:val="en-US" w:eastAsia="zh-CN"/>
              </w:rPr>
              <w:t>0人</w:t>
            </w:r>
            <w:r>
              <w:rPr>
                <w:rFonts w:hint="eastAsia"/>
                <w:highlight w:val="none"/>
                <w:lang w:val="en-US" w:eastAsia="zh-CN"/>
              </w:rPr>
              <w:t>，32户</w:t>
            </w:r>
          </w:p>
        </w:tc>
        <w:tc>
          <w:tcPr>
            <w:tcW w:w="1094" w:type="pct"/>
            <w:vMerge w:val="continue"/>
            <w:noWrap w:val="0"/>
            <w:tcMar>
              <w:top w:w="0" w:type="dxa"/>
              <w:left w:w="57" w:type="dxa"/>
              <w:bottom w:w="0" w:type="dxa"/>
              <w:right w:w="57" w:type="dxa"/>
            </w:tcMar>
            <w:vAlign w:val="center"/>
          </w:tcPr>
          <w:p w14:paraId="301F36A3">
            <w:pPr>
              <w:pStyle w:val="42"/>
              <w:keepNext w:val="0"/>
              <w:keepLines w:val="0"/>
              <w:suppressLineNumbers w:val="0"/>
              <w:bidi w:val="0"/>
              <w:spacing w:before="0" w:beforeAutospacing="0" w:after="0" w:afterAutospacing="0"/>
              <w:rPr>
                <w:rFonts w:hint="default"/>
                <w:highlight w:val="none"/>
              </w:rPr>
            </w:pPr>
          </w:p>
        </w:tc>
      </w:tr>
      <w:tr w14:paraId="112D43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841F052">
            <w:pPr>
              <w:pStyle w:val="42"/>
              <w:keepNext w:val="0"/>
              <w:keepLines w:val="0"/>
              <w:suppressLineNumbers w:val="0"/>
              <w:bidi w:val="0"/>
              <w:spacing w:before="0" w:beforeAutospacing="0" w:after="0" w:afterAutospacing="0"/>
              <w:rPr>
                <w:rFonts w:hint="default"/>
                <w:highlight w:val="none"/>
              </w:rPr>
            </w:pPr>
          </w:p>
          <w:p w14:paraId="6F80AB4F">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332EE39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友爱村</w:t>
            </w:r>
          </w:p>
        </w:tc>
        <w:tc>
          <w:tcPr>
            <w:tcW w:w="816" w:type="pct"/>
            <w:noWrap w:val="0"/>
            <w:tcMar>
              <w:top w:w="0" w:type="dxa"/>
              <w:left w:w="57" w:type="dxa"/>
              <w:bottom w:w="0" w:type="dxa"/>
              <w:right w:w="57" w:type="dxa"/>
            </w:tcMar>
            <w:vAlign w:val="center"/>
          </w:tcPr>
          <w:p w14:paraId="17F5DEB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E112.9168243</w:t>
            </w:r>
            <w:r>
              <w:rPr>
                <w:rFonts w:hint="eastAsia"/>
                <w:highlight w:val="none"/>
                <w:lang w:val="en-US" w:eastAsia="zh-CN"/>
              </w:rPr>
              <w:br w:type="textWrapping"/>
            </w:r>
            <w:r>
              <w:rPr>
                <w:rFonts w:hint="eastAsia"/>
                <w:highlight w:val="none"/>
                <w:lang w:val="en-US" w:eastAsia="zh-CN"/>
              </w:rPr>
              <w:t>N28.65898263</w:t>
            </w:r>
          </w:p>
        </w:tc>
        <w:tc>
          <w:tcPr>
            <w:tcW w:w="1127" w:type="pct"/>
            <w:shd w:val="clear" w:color="auto" w:fill="auto"/>
            <w:noWrap w:val="0"/>
            <w:tcMar>
              <w:top w:w="0" w:type="dxa"/>
              <w:left w:w="57" w:type="dxa"/>
              <w:bottom w:w="0" w:type="dxa"/>
              <w:right w:w="57" w:type="dxa"/>
            </w:tcMar>
            <w:vAlign w:val="center"/>
          </w:tcPr>
          <w:p w14:paraId="25015D7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EN</w:t>
            </w:r>
            <w:r>
              <w:rPr>
                <w:rFonts w:hint="default"/>
                <w:highlight w:val="none"/>
                <w:lang w:val="en-US" w:eastAsia="zh-CN"/>
              </w:rPr>
              <w:t>/</w:t>
            </w:r>
            <w:r>
              <w:rPr>
                <w:rFonts w:hint="eastAsia"/>
                <w:highlight w:val="none"/>
                <w:lang w:val="en-US" w:eastAsia="zh-CN"/>
              </w:rPr>
              <w:t>1300-2200m</w:t>
            </w:r>
            <w:r>
              <w:rPr>
                <w:rFonts w:hint="default"/>
                <w:highlight w:val="none"/>
                <w:lang w:val="en-US" w:eastAsia="zh-CN"/>
              </w:rPr>
              <w:t>，高差-8.5</w:t>
            </w:r>
            <w:r>
              <w:rPr>
                <w:rFonts w:hint="eastAsia"/>
                <w:highlight w:val="none"/>
                <w:lang w:val="en-US" w:eastAsia="zh-CN"/>
              </w:rPr>
              <w:t>m</w:t>
            </w:r>
          </w:p>
        </w:tc>
        <w:tc>
          <w:tcPr>
            <w:tcW w:w="942" w:type="pct"/>
            <w:shd w:val="clear" w:color="auto" w:fill="auto"/>
            <w:noWrap w:val="0"/>
            <w:tcMar>
              <w:top w:w="0" w:type="dxa"/>
              <w:left w:w="57" w:type="dxa"/>
              <w:bottom w:w="0" w:type="dxa"/>
              <w:right w:w="57" w:type="dxa"/>
            </w:tcMar>
            <w:vAlign w:val="center"/>
          </w:tcPr>
          <w:p w14:paraId="5D4D1F5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居住</w:t>
            </w:r>
            <w:r>
              <w:rPr>
                <w:rFonts w:hint="default"/>
                <w:highlight w:val="none"/>
                <w:lang w:val="en-US" w:eastAsia="zh-CN"/>
              </w:rPr>
              <w:t>约</w:t>
            </w:r>
            <w:r>
              <w:rPr>
                <w:rFonts w:hint="eastAsia"/>
                <w:highlight w:val="none"/>
                <w:lang w:val="en-US" w:eastAsia="zh-CN"/>
              </w:rPr>
              <w:t>250</w:t>
            </w:r>
            <w:r>
              <w:rPr>
                <w:rFonts w:hint="default"/>
                <w:highlight w:val="none"/>
                <w:lang w:val="en-US" w:eastAsia="zh-CN"/>
              </w:rPr>
              <w:t>人</w:t>
            </w:r>
            <w:r>
              <w:rPr>
                <w:rFonts w:hint="eastAsia"/>
                <w:highlight w:val="none"/>
                <w:lang w:val="en-US" w:eastAsia="zh-CN"/>
              </w:rPr>
              <w:t>，60户</w:t>
            </w:r>
          </w:p>
        </w:tc>
        <w:tc>
          <w:tcPr>
            <w:tcW w:w="1094" w:type="pct"/>
            <w:vMerge w:val="continue"/>
            <w:noWrap w:val="0"/>
            <w:tcMar>
              <w:top w:w="0" w:type="dxa"/>
              <w:left w:w="57" w:type="dxa"/>
              <w:bottom w:w="0" w:type="dxa"/>
              <w:right w:w="57" w:type="dxa"/>
            </w:tcMar>
            <w:vAlign w:val="center"/>
          </w:tcPr>
          <w:p w14:paraId="258A5FA8">
            <w:pPr>
              <w:pStyle w:val="42"/>
              <w:keepNext w:val="0"/>
              <w:keepLines w:val="0"/>
              <w:suppressLineNumbers w:val="0"/>
              <w:bidi w:val="0"/>
              <w:spacing w:before="0" w:beforeAutospacing="0" w:after="0" w:afterAutospacing="0"/>
              <w:rPr>
                <w:rFonts w:hint="default"/>
                <w:highlight w:val="none"/>
              </w:rPr>
            </w:pPr>
          </w:p>
        </w:tc>
      </w:tr>
      <w:tr w14:paraId="48E6D3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0806E53E">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62E6F2A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刘家园</w:t>
            </w:r>
          </w:p>
        </w:tc>
        <w:tc>
          <w:tcPr>
            <w:tcW w:w="816" w:type="pct"/>
            <w:noWrap w:val="0"/>
            <w:tcMar>
              <w:top w:w="0" w:type="dxa"/>
              <w:left w:w="57" w:type="dxa"/>
              <w:bottom w:w="0" w:type="dxa"/>
              <w:right w:w="57" w:type="dxa"/>
            </w:tcMar>
            <w:vAlign w:val="center"/>
          </w:tcPr>
          <w:p w14:paraId="2537301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E112.9136486</w:t>
            </w:r>
            <w:r>
              <w:rPr>
                <w:rFonts w:hint="eastAsia"/>
                <w:highlight w:val="none"/>
                <w:lang w:val="en-US" w:eastAsia="zh-CN"/>
              </w:rPr>
              <w:br w:type="textWrapping"/>
            </w:r>
            <w:r>
              <w:rPr>
                <w:rFonts w:hint="eastAsia"/>
                <w:highlight w:val="none"/>
                <w:lang w:val="en-US" w:eastAsia="zh-CN"/>
              </w:rPr>
              <w:t>N28.66591346</w:t>
            </w:r>
          </w:p>
        </w:tc>
        <w:tc>
          <w:tcPr>
            <w:tcW w:w="1127" w:type="pct"/>
            <w:shd w:val="clear" w:color="auto" w:fill="auto"/>
            <w:noWrap w:val="0"/>
            <w:tcMar>
              <w:top w:w="0" w:type="dxa"/>
              <w:left w:w="57" w:type="dxa"/>
              <w:bottom w:w="0" w:type="dxa"/>
              <w:right w:w="57" w:type="dxa"/>
            </w:tcMar>
            <w:vAlign w:val="center"/>
          </w:tcPr>
          <w:p w14:paraId="60C0DDD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EN</w:t>
            </w:r>
            <w:r>
              <w:rPr>
                <w:rFonts w:hint="default"/>
                <w:highlight w:val="none"/>
                <w:lang w:val="en-US" w:eastAsia="zh-CN"/>
              </w:rPr>
              <w:t>/</w:t>
            </w:r>
            <w:r>
              <w:rPr>
                <w:rFonts w:hint="eastAsia"/>
                <w:highlight w:val="none"/>
                <w:lang w:val="en-US" w:eastAsia="zh-CN"/>
              </w:rPr>
              <w:t>1780-2500m</w:t>
            </w:r>
            <w:r>
              <w:rPr>
                <w:rFonts w:hint="default"/>
                <w:highlight w:val="none"/>
                <w:lang w:val="en-US" w:eastAsia="zh-CN"/>
              </w:rPr>
              <w:t>，高差-8.0</w:t>
            </w:r>
            <w:r>
              <w:rPr>
                <w:rFonts w:hint="eastAsia"/>
                <w:highlight w:val="none"/>
                <w:lang w:val="en-US" w:eastAsia="zh-CN"/>
              </w:rPr>
              <w:t>m</w:t>
            </w:r>
          </w:p>
        </w:tc>
        <w:tc>
          <w:tcPr>
            <w:tcW w:w="942" w:type="pct"/>
            <w:shd w:val="clear" w:color="auto" w:fill="auto"/>
            <w:noWrap w:val="0"/>
            <w:tcMar>
              <w:top w:w="0" w:type="dxa"/>
              <w:left w:w="57" w:type="dxa"/>
              <w:bottom w:w="0" w:type="dxa"/>
              <w:right w:w="57" w:type="dxa"/>
            </w:tcMar>
            <w:vAlign w:val="center"/>
          </w:tcPr>
          <w:p w14:paraId="228A4732">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110</w:t>
            </w:r>
            <w:r>
              <w:rPr>
                <w:rFonts w:hint="default"/>
                <w:highlight w:val="none"/>
                <w:lang w:val="en-US" w:eastAsia="zh-CN"/>
              </w:rPr>
              <w:t>人</w:t>
            </w:r>
            <w:r>
              <w:rPr>
                <w:rFonts w:hint="eastAsia"/>
                <w:highlight w:val="none"/>
                <w:lang w:val="en-US" w:eastAsia="zh-CN"/>
              </w:rPr>
              <w:t>，35户</w:t>
            </w:r>
          </w:p>
        </w:tc>
        <w:tc>
          <w:tcPr>
            <w:tcW w:w="1094" w:type="pct"/>
            <w:vMerge w:val="continue"/>
            <w:noWrap w:val="0"/>
            <w:tcMar>
              <w:top w:w="0" w:type="dxa"/>
              <w:left w:w="57" w:type="dxa"/>
              <w:bottom w:w="0" w:type="dxa"/>
              <w:right w:w="57" w:type="dxa"/>
            </w:tcMar>
            <w:vAlign w:val="center"/>
          </w:tcPr>
          <w:p w14:paraId="7EFF471B">
            <w:pPr>
              <w:pStyle w:val="42"/>
              <w:keepNext w:val="0"/>
              <w:keepLines w:val="0"/>
              <w:suppressLineNumbers w:val="0"/>
              <w:bidi w:val="0"/>
              <w:spacing w:before="0" w:beforeAutospacing="0" w:after="0" w:afterAutospacing="0"/>
              <w:rPr>
                <w:rFonts w:hint="default"/>
                <w:highlight w:val="none"/>
              </w:rPr>
            </w:pPr>
          </w:p>
        </w:tc>
      </w:tr>
      <w:tr w14:paraId="079ED2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E600BE3">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4FE1BCA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刘家大屋</w:t>
            </w:r>
          </w:p>
        </w:tc>
        <w:tc>
          <w:tcPr>
            <w:tcW w:w="816" w:type="pct"/>
            <w:noWrap w:val="0"/>
            <w:tcMar>
              <w:top w:w="0" w:type="dxa"/>
              <w:left w:w="57" w:type="dxa"/>
              <w:bottom w:w="0" w:type="dxa"/>
              <w:right w:w="57" w:type="dxa"/>
            </w:tcMar>
            <w:vAlign w:val="center"/>
          </w:tcPr>
          <w:p w14:paraId="2BECCE3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E112.9112024</w:t>
            </w:r>
            <w:r>
              <w:rPr>
                <w:rFonts w:hint="eastAsia"/>
                <w:highlight w:val="none"/>
                <w:lang w:val="en-US" w:eastAsia="zh-CN"/>
              </w:rPr>
              <w:br w:type="textWrapping"/>
            </w:r>
            <w:r>
              <w:rPr>
                <w:rFonts w:hint="eastAsia"/>
                <w:highlight w:val="none"/>
                <w:lang w:val="en-US" w:eastAsia="zh-CN"/>
              </w:rPr>
              <w:t>N28.66838109</w:t>
            </w:r>
          </w:p>
        </w:tc>
        <w:tc>
          <w:tcPr>
            <w:tcW w:w="1127" w:type="pct"/>
            <w:shd w:val="clear" w:color="auto" w:fill="auto"/>
            <w:noWrap w:val="0"/>
            <w:tcMar>
              <w:top w:w="0" w:type="dxa"/>
              <w:left w:w="57" w:type="dxa"/>
              <w:bottom w:w="0" w:type="dxa"/>
              <w:right w:w="57" w:type="dxa"/>
            </w:tcMar>
            <w:vAlign w:val="center"/>
          </w:tcPr>
          <w:p w14:paraId="323AEAB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w:t>
            </w:r>
            <w:r>
              <w:rPr>
                <w:rFonts w:hint="default"/>
                <w:highlight w:val="none"/>
                <w:lang w:val="en-US" w:eastAsia="zh-CN"/>
              </w:rPr>
              <w:t>NW/</w:t>
            </w:r>
            <w:r>
              <w:rPr>
                <w:rFonts w:hint="eastAsia"/>
                <w:highlight w:val="none"/>
                <w:lang w:val="en-US" w:eastAsia="zh-CN"/>
              </w:rPr>
              <w:t>2100-2400</w:t>
            </w:r>
            <w:r>
              <w:rPr>
                <w:rFonts w:hint="default"/>
                <w:highlight w:val="none"/>
                <w:lang w:val="en-US" w:eastAsia="zh-CN"/>
              </w:rPr>
              <w:t>m，高差-12</w:t>
            </w:r>
            <w:r>
              <w:rPr>
                <w:rFonts w:hint="eastAsia"/>
                <w:highlight w:val="none"/>
                <w:lang w:val="en-US" w:eastAsia="zh-CN"/>
              </w:rPr>
              <w:t>m</w:t>
            </w:r>
          </w:p>
        </w:tc>
        <w:tc>
          <w:tcPr>
            <w:tcW w:w="942" w:type="pct"/>
            <w:shd w:val="clear" w:color="auto" w:fill="auto"/>
            <w:noWrap w:val="0"/>
            <w:tcMar>
              <w:top w:w="0" w:type="dxa"/>
              <w:left w:w="57" w:type="dxa"/>
              <w:bottom w:w="0" w:type="dxa"/>
              <w:right w:w="57" w:type="dxa"/>
            </w:tcMar>
            <w:vAlign w:val="center"/>
          </w:tcPr>
          <w:p w14:paraId="20E62420">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80</w:t>
            </w:r>
            <w:r>
              <w:rPr>
                <w:rFonts w:hint="default"/>
                <w:highlight w:val="none"/>
                <w:lang w:val="en-US" w:eastAsia="zh-CN"/>
              </w:rPr>
              <w:t>人</w:t>
            </w:r>
            <w:r>
              <w:rPr>
                <w:rFonts w:hint="eastAsia"/>
                <w:highlight w:val="none"/>
                <w:lang w:val="en-US" w:eastAsia="zh-CN"/>
              </w:rPr>
              <w:t>，20户</w:t>
            </w:r>
          </w:p>
        </w:tc>
        <w:tc>
          <w:tcPr>
            <w:tcW w:w="1094" w:type="pct"/>
            <w:vMerge w:val="continue"/>
            <w:noWrap w:val="0"/>
            <w:tcMar>
              <w:top w:w="0" w:type="dxa"/>
              <w:left w:w="57" w:type="dxa"/>
              <w:bottom w:w="0" w:type="dxa"/>
              <w:right w:w="57" w:type="dxa"/>
            </w:tcMar>
            <w:vAlign w:val="center"/>
          </w:tcPr>
          <w:p w14:paraId="4118A453">
            <w:pPr>
              <w:pStyle w:val="42"/>
              <w:keepNext w:val="0"/>
              <w:keepLines w:val="0"/>
              <w:suppressLineNumbers w:val="0"/>
              <w:bidi w:val="0"/>
              <w:spacing w:before="0" w:beforeAutospacing="0" w:after="0" w:afterAutospacing="0"/>
              <w:rPr>
                <w:rFonts w:hint="default"/>
                <w:highlight w:val="none"/>
              </w:rPr>
            </w:pPr>
          </w:p>
        </w:tc>
      </w:tr>
      <w:tr w14:paraId="15BE0C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EF8AC9E">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4F35FD1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黄金村</w:t>
            </w:r>
          </w:p>
        </w:tc>
        <w:tc>
          <w:tcPr>
            <w:tcW w:w="816" w:type="pct"/>
            <w:noWrap w:val="0"/>
            <w:tcMar>
              <w:top w:w="0" w:type="dxa"/>
              <w:left w:w="57" w:type="dxa"/>
              <w:bottom w:w="0" w:type="dxa"/>
              <w:right w:w="57" w:type="dxa"/>
            </w:tcMar>
            <w:vAlign w:val="center"/>
          </w:tcPr>
          <w:p w14:paraId="13FFAAD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E112.8908176</w:t>
            </w:r>
            <w:r>
              <w:rPr>
                <w:rFonts w:hint="eastAsia"/>
                <w:highlight w:val="none"/>
                <w:lang w:val="en-US" w:eastAsia="zh-CN"/>
              </w:rPr>
              <w:br w:type="textWrapping"/>
            </w:r>
            <w:r>
              <w:rPr>
                <w:rFonts w:hint="eastAsia"/>
                <w:highlight w:val="none"/>
                <w:lang w:val="en-US" w:eastAsia="zh-CN"/>
              </w:rPr>
              <w:t>N28.66138589</w:t>
            </w:r>
          </w:p>
        </w:tc>
        <w:tc>
          <w:tcPr>
            <w:tcW w:w="1127" w:type="pct"/>
            <w:shd w:val="clear" w:color="auto" w:fill="auto"/>
            <w:noWrap w:val="0"/>
            <w:tcMar>
              <w:top w:w="0" w:type="dxa"/>
              <w:left w:w="57" w:type="dxa"/>
              <w:bottom w:w="0" w:type="dxa"/>
              <w:right w:w="57" w:type="dxa"/>
            </w:tcMar>
            <w:vAlign w:val="center"/>
          </w:tcPr>
          <w:p w14:paraId="5ADB1F3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NW/</w:t>
            </w:r>
            <w:r>
              <w:rPr>
                <w:rFonts w:hint="eastAsia"/>
                <w:highlight w:val="none"/>
                <w:lang w:val="en-US" w:eastAsia="zh-CN"/>
              </w:rPr>
              <w:t>1630-2300</w:t>
            </w:r>
            <w:r>
              <w:rPr>
                <w:rFonts w:hint="default"/>
                <w:highlight w:val="none"/>
                <w:lang w:val="en-US" w:eastAsia="zh-CN"/>
              </w:rPr>
              <w:t>m，高差-16</w:t>
            </w:r>
            <w:r>
              <w:rPr>
                <w:rFonts w:hint="eastAsia"/>
                <w:highlight w:val="none"/>
                <w:lang w:val="en-US" w:eastAsia="zh-CN"/>
              </w:rPr>
              <w:t>m</w:t>
            </w:r>
          </w:p>
        </w:tc>
        <w:tc>
          <w:tcPr>
            <w:tcW w:w="942" w:type="pct"/>
            <w:shd w:val="clear" w:color="auto" w:fill="auto"/>
            <w:noWrap w:val="0"/>
            <w:tcMar>
              <w:top w:w="0" w:type="dxa"/>
              <w:left w:w="57" w:type="dxa"/>
              <w:bottom w:w="0" w:type="dxa"/>
              <w:right w:w="57" w:type="dxa"/>
            </w:tcMar>
            <w:vAlign w:val="center"/>
          </w:tcPr>
          <w:p w14:paraId="4E887428">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450</w:t>
            </w:r>
            <w:r>
              <w:rPr>
                <w:rFonts w:hint="default"/>
                <w:highlight w:val="none"/>
                <w:lang w:val="en-US" w:eastAsia="zh-CN"/>
              </w:rPr>
              <w:t>人</w:t>
            </w:r>
            <w:r>
              <w:rPr>
                <w:rFonts w:hint="eastAsia"/>
                <w:highlight w:val="none"/>
                <w:lang w:val="en-US" w:eastAsia="zh-CN"/>
              </w:rPr>
              <w:t>，100户</w:t>
            </w:r>
          </w:p>
        </w:tc>
        <w:tc>
          <w:tcPr>
            <w:tcW w:w="1094" w:type="pct"/>
            <w:vMerge w:val="continue"/>
            <w:noWrap w:val="0"/>
            <w:tcMar>
              <w:top w:w="0" w:type="dxa"/>
              <w:left w:w="57" w:type="dxa"/>
              <w:bottom w:w="0" w:type="dxa"/>
              <w:right w:w="57" w:type="dxa"/>
            </w:tcMar>
            <w:vAlign w:val="center"/>
          </w:tcPr>
          <w:p w14:paraId="69C6A77D">
            <w:pPr>
              <w:pStyle w:val="42"/>
              <w:keepNext w:val="0"/>
              <w:keepLines w:val="0"/>
              <w:suppressLineNumbers w:val="0"/>
              <w:bidi w:val="0"/>
              <w:spacing w:before="0" w:beforeAutospacing="0" w:after="0" w:afterAutospacing="0"/>
              <w:rPr>
                <w:rFonts w:hint="default"/>
                <w:highlight w:val="none"/>
              </w:rPr>
            </w:pPr>
          </w:p>
        </w:tc>
      </w:tr>
      <w:tr w14:paraId="24E8A8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416EE0A9">
            <w:pPr>
              <w:pStyle w:val="42"/>
              <w:keepNext w:val="0"/>
              <w:keepLines w:val="0"/>
              <w:suppressLineNumbers w:val="0"/>
              <w:bidi w:val="0"/>
              <w:spacing w:before="0" w:beforeAutospacing="0" w:after="0" w:afterAutospacing="0"/>
              <w:rPr>
                <w:rFonts w:hint="default"/>
                <w:highlight w:val="none"/>
              </w:rPr>
            </w:pPr>
          </w:p>
        </w:tc>
        <w:tc>
          <w:tcPr>
            <w:tcW w:w="659" w:type="pct"/>
            <w:shd w:val="clear" w:color="auto" w:fill="auto"/>
            <w:noWrap w:val="0"/>
            <w:tcMar>
              <w:top w:w="0" w:type="dxa"/>
              <w:left w:w="57" w:type="dxa"/>
              <w:bottom w:w="0" w:type="dxa"/>
              <w:right w:w="57" w:type="dxa"/>
            </w:tcMar>
            <w:vAlign w:val="center"/>
          </w:tcPr>
          <w:p w14:paraId="059C1407">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新南社区</w:t>
            </w:r>
          </w:p>
        </w:tc>
        <w:tc>
          <w:tcPr>
            <w:tcW w:w="816" w:type="pct"/>
            <w:noWrap w:val="0"/>
            <w:tcMar>
              <w:top w:w="0" w:type="dxa"/>
              <w:left w:w="57" w:type="dxa"/>
              <w:bottom w:w="0" w:type="dxa"/>
              <w:right w:w="57" w:type="dxa"/>
            </w:tcMar>
            <w:vAlign w:val="center"/>
          </w:tcPr>
          <w:p w14:paraId="43E628F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E112.9242057</w:t>
            </w:r>
            <w:r>
              <w:rPr>
                <w:rFonts w:hint="eastAsia"/>
                <w:highlight w:val="none"/>
                <w:lang w:val="en-US" w:eastAsia="zh-CN"/>
              </w:rPr>
              <w:br w:type="textWrapping"/>
            </w:r>
            <w:r>
              <w:rPr>
                <w:rFonts w:hint="eastAsia"/>
                <w:highlight w:val="none"/>
                <w:lang w:val="en-US" w:eastAsia="zh-CN"/>
              </w:rPr>
              <w:t>N28.63443505</w:t>
            </w:r>
          </w:p>
        </w:tc>
        <w:tc>
          <w:tcPr>
            <w:tcW w:w="1127" w:type="pct"/>
            <w:shd w:val="clear" w:color="auto" w:fill="auto"/>
            <w:noWrap w:val="0"/>
            <w:tcMar>
              <w:top w:w="0" w:type="dxa"/>
              <w:left w:w="57" w:type="dxa"/>
              <w:bottom w:w="0" w:type="dxa"/>
              <w:right w:w="57" w:type="dxa"/>
            </w:tcMar>
            <w:vAlign w:val="center"/>
          </w:tcPr>
          <w:p w14:paraId="7BCFE5AB">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ES</w:t>
            </w:r>
            <w:r>
              <w:rPr>
                <w:rFonts w:hint="default"/>
                <w:highlight w:val="none"/>
                <w:lang w:val="en-US" w:eastAsia="zh-CN"/>
              </w:rPr>
              <w:t>/</w:t>
            </w:r>
            <w:r>
              <w:rPr>
                <w:rFonts w:hint="eastAsia"/>
                <w:highlight w:val="none"/>
                <w:lang w:val="en-US" w:eastAsia="zh-CN"/>
              </w:rPr>
              <w:t>2300-2700</w:t>
            </w:r>
            <w:r>
              <w:rPr>
                <w:rFonts w:hint="default"/>
                <w:highlight w:val="none"/>
                <w:lang w:val="en-US" w:eastAsia="zh-CN"/>
              </w:rPr>
              <w:t>m，高差-20</w:t>
            </w:r>
            <w:r>
              <w:rPr>
                <w:rFonts w:hint="eastAsia"/>
                <w:highlight w:val="none"/>
                <w:lang w:val="en-US" w:eastAsia="zh-CN"/>
              </w:rPr>
              <w:t>m</w:t>
            </w:r>
          </w:p>
        </w:tc>
        <w:tc>
          <w:tcPr>
            <w:tcW w:w="942" w:type="pct"/>
            <w:shd w:val="clear" w:color="auto" w:fill="auto"/>
            <w:noWrap w:val="0"/>
            <w:tcMar>
              <w:top w:w="0" w:type="dxa"/>
              <w:left w:w="57" w:type="dxa"/>
              <w:bottom w:w="0" w:type="dxa"/>
              <w:right w:w="57" w:type="dxa"/>
            </w:tcMar>
            <w:vAlign w:val="center"/>
          </w:tcPr>
          <w:p w14:paraId="6F57D402">
            <w:pPr>
              <w:pStyle w:val="42"/>
              <w:keepNext w:val="0"/>
              <w:keepLines w:val="0"/>
              <w:suppressLineNumbers w:val="0"/>
              <w:bidi w:val="0"/>
              <w:spacing w:before="0" w:beforeAutospacing="0" w:after="0" w:afterAutospacing="0"/>
              <w:rPr>
                <w:rFonts w:hint="default"/>
                <w:highlight w:val="none"/>
                <w:lang w:val="en-US"/>
              </w:rPr>
            </w:pPr>
            <w:r>
              <w:rPr>
                <w:rFonts w:hint="default"/>
                <w:highlight w:val="none"/>
              </w:rPr>
              <w:t>居住</w:t>
            </w:r>
            <w:r>
              <w:rPr>
                <w:rFonts w:hint="default"/>
                <w:highlight w:val="none"/>
                <w:lang w:val="en-US" w:eastAsia="zh-CN"/>
              </w:rPr>
              <w:t>约</w:t>
            </w:r>
            <w:r>
              <w:rPr>
                <w:rFonts w:hint="eastAsia"/>
                <w:highlight w:val="none"/>
                <w:lang w:val="en-US" w:eastAsia="zh-CN"/>
              </w:rPr>
              <w:t>500</w:t>
            </w:r>
            <w:r>
              <w:rPr>
                <w:rFonts w:hint="default"/>
                <w:highlight w:val="none"/>
                <w:lang w:val="en-US" w:eastAsia="zh-CN"/>
              </w:rPr>
              <w:t>人</w:t>
            </w:r>
            <w:r>
              <w:rPr>
                <w:rFonts w:hint="eastAsia"/>
                <w:highlight w:val="none"/>
                <w:lang w:val="en-US" w:eastAsia="zh-CN"/>
              </w:rPr>
              <w:t>，110户</w:t>
            </w:r>
          </w:p>
        </w:tc>
        <w:tc>
          <w:tcPr>
            <w:tcW w:w="1094" w:type="pct"/>
            <w:vMerge w:val="continue"/>
            <w:noWrap w:val="0"/>
            <w:tcMar>
              <w:top w:w="0" w:type="dxa"/>
              <w:left w:w="57" w:type="dxa"/>
              <w:bottom w:w="0" w:type="dxa"/>
              <w:right w:w="57" w:type="dxa"/>
            </w:tcMar>
            <w:vAlign w:val="center"/>
          </w:tcPr>
          <w:p w14:paraId="32482370">
            <w:pPr>
              <w:pStyle w:val="42"/>
              <w:keepNext w:val="0"/>
              <w:keepLines w:val="0"/>
              <w:suppressLineNumbers w:val="0"/>
              <w:bidi w:val="0"/>
              <w:spacing w:before="0" w:beforeAutospacing="0" w:after="0" w:afterAutospacing="0"/>
              <w:rPr>
                <w:rFonts w:hint="default"/>
                <w:highlight w:val="none"/>
              </w:rPr>
            </w:pPr>
          </w:p>
        </w:tc>
      </w:tr>
      <w:tr w14:paraId="0B7B91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restart"/>
            <w:noWrap w:val="0"/>
            <w:tcMar>
              <w:top w:w="0" w:type="dxa"/>
              <w:left w:w="57" w:type="dxa"/>
              <w:bottom w:w="0" w:type="dxa"/>
              <w:right w:w="57" w:type="dxa"/>
            </w:tcMar>
            <w:vAlign w:val="center"/>
          </w:tcPr>
          <w:p w14:paraId="31608007">
            <w:pPr>
              <w:pStyle w:val="42"/>
              <w:keepNext w:val="0"/>
              <w:keepLines w:val="0"/>
              <w:suppressLineNumbers w:val="0"/>
              <w:bidi w:val="0"/>
              <w:spacing w:before="0" w:beforeAutospacing="0" w:after="0" w:afterAutospacing="0"/>
              <w:rPr>
                <w:rFonts w:hint="default"/>
                <w:highlight w:val="none"/>
              </w:rPr>
            </w:pPr>
            <w:r>
              <w:rPr>
                <w:rFonts w:hint="default"/>
                <w:highlight w:val="none"/>
              </w:rPr>
              <w:t>地表水环境</w:t>
            </w:r>
          </w:p>
        </w:tc>
        <w:tc>
          <w:tcPr>
            <w:tcW w:w="659" w:type="pct"/>
            <w:noWrap w:val="0"/>
            <w:tcMar>
              <w:top w:w="0" w:type="dxa"/>
              <w:left w:w="57" w:type="dxa"/>
              <w:bottom w:w="0" w:type="dxa"/>
              <w:right w:w="57" w:type="dxa"/>
            </w:tcMar>
            <w:vAlign w:val="center"/>
          </w:tcPr>
          <w:p w14:paraId="1BBDCCDB">
            <w:pPr>
              <w:pStyle w:val="42"/>
              <w:keepNext w:val="0"/>
              <w:keepLines w:val="0"/>
              <w:suppressLineNumbers w:val="0"/>
              <w:bidi w:val="0"/>
              <w:spacing w:before="0" w:beforeAutospacing="0" w:after="0" w:afterAutospacing="0"/>
              <w:rPr>
                <w:rFonts w:hint="eastAsia" w:eastAsia="宋体"/>
                <w:highlight w:val="none"/>
                <w:lang w:val="en-US" w:eastAsia="zh-CN"/>
              </w:rPr>
            </w:pPr>
          </w:p>
        </w:tc>
        <w:tc>
          <w:tcPr>
            <w:tcW w:w="1944" w:type="pct"/>
            <w:gridSpan w:val="2"/>
            <w:noWrap w:val="0"/>
            <w:tcMar>
              <w:top w:w="0" w:type="dxa"/>
              <w:left w:w="57" w:type="dxa"/>
              <w:bottom w:w="0" w:type="dxa"/>
              <w:right w:w="57" w:type="dxa"/>
            </w:tcMar>
            <w:vAlign w:val="center"/>
          </w:tcPr>
          <w:p w14:paraId="1C64958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W/1300m</w:t>
            </w:r>
          </w:p>
        </w:tc>
        <w:tc>
          <w:tcPr>
            <w:tcW w:w="942" w:type="pct"/>
            <w:noWrap w:val="0"/>
            <w:tcMar>
              <w:top w:w="0" w:type="dxa"/>
              <w:left w:w="57" w:type="dxa"/>
              <w:bottom w:w="0" w:type="dxa"/>
              <w:right w:w="57" w:type="dxa"/>
            </w:tcMar>
            <w:vAlign w:val="center"/>
          </w:tcPr>
          <w:p w14:paraId="189D7A50">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default"/>
                <w:highlight w:val="none"/>
              </w:rPr>
              <w:t>渔业、景观用水区</w:t>
            </w:r>
            <w:r>
              <w:rPr>
                <w:rFonts w:hint="eastAsia"/>
                <w:highlight w:val="none"/>
                <w:lang w:val="en-US" w:eastAsia="zh-CN"/>
              </w:rPr>
              <w:t>/湖泊</w:t>
            </w:r>
          </w:p>
        </w:tc>
        <w:tc>
          <w:tcPr>
            <w:tcW w:w="1094" w:type="pct"/>
            <w:vMerge w:val="restart"/>
            <w:noWrap w:val="0"/>
            <w:tcMar>
              <w:top w:w="0" w:type="dxa"/>
              <w:left w:w="57" w:type="dxa"/>
              <w:bottom w:w="0" w:type="dxa"/>
              <w:right w:w="57" w:type="dxa"/>
            </w:tcMar>
            <w:vAlign w:val="center"/>
          </w:tcPr>
          <w:p w14:paraId="00869050">
            <w:pPr>
              <w:pStyle w:val="42"/>
              <w:keepNext w:val="0"/>
              <w:keepLines w:val="0"/>
              <w:suppressLineNumbers w:val="0"/>
              <w:bidi w:val="0"/>
              <w:spacing w:before="0" w:beforeAutospacing="0" w:after="0" w:afterAutospacing="0"/>
              <w:rPr>
                <w:rFonts w:hint="default"/>
                <w:highlight w:val="none"/>
              </w:rPr>
            </w:pPr>
            <w:r>
              <w:rPr>
                <w:rFonts w:hint="default"/>
                <w:highlight w:val="none"/>
              </w:rPr>
              <w:t>《地表水环境质量标准》（GB3838-2002）中Ⅲ类标准</w:t>
            </w:r>
          </w:p>
        </w:tc>
      </w:tr>
      <w:tr w14:paraId="7F39C2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F6CA844">
            <w:pPr>
              <w:pStyle w:val="42"/>
              <w:keepNext w:val="0"/>
              <w:keepLines w:val="0"/>
              <w:suppressLineNumbers w:val="0"/>
              <w:bidi w:val="0"/>
              <w:spacing w:before="0" w:beforeAutospacing="0" w:after="0" w:afterAutospacing="0"/>
              <w:rPr>
                <w:rFonts w:hint="default"/>
                <w:highlight w:val="none"/>
              </w:rPr>
            </w:pPr>
          </w:p>
        </w:tc>
        <w:tc>
          <w:tcPr>
            <w:tcW w:w="659" w:type="pct"/>
            <w:noWrap w:val="0"/>
            <w:tcMar>
              <w:top w:w="0" w:type="dxa"/>
              <w:left w:w="57" w:type="dxa"/>
              <w:bottom w:w="0" w:type="dxa"/>
              <w:right w:w="57" w:type="dxa"/>
            </w:tcMar>
            <w:vAlign w:val="center"/>
          </w:tcPr>
          <w:p w14:paraId="2D9A32D2">
            <w:pPr>
              <w:pStyle w:val="42"/>
              <w:keepNext w:val="0"/>
              <w:keepLines w:val="0"/>
              <w:suppressLineNumbers w:val="0"/>
              <w:bidi w:val="0"/>
              <w:spacing w:before="0" w:beforeAutospacing="0" w:after="0" w:afterAutospacing="0"/>
              <w:rPr>
                <w:rFonts w:hint="default"/>
                <w:highlight w:val="none"/>
              </w:rPr>
            </w:pPr>
            <w:r>
              <w:rPr>
                <w:rFonts w:hint="default" w:ascii="Times New Roman" w:hAnsi="Times New Roman" w:cs="Times New Roman"/>
                <w:color w:val="auto"/>
                <w:kern w:val="0"/>
                <w:sz w:val="21"/>
                <w:szCs w:val="21"/>
                <w:highlight w:val="none"/>
                <w:u w:val="none" w:color="auto"/>
              </w:rPr>
              <w:t>东湖</w:t>
            </w:r>
          </w:p>
        </w:tc>
        <w:tc>
          <w:tcPr>
            <w:tcW w:w="1944" w:type="pct"/>
            <w:gridSpan w:val="2"/>
            <w:noWrap w:val="0"/>
            <w:tcMar>
              <w:top w:w="0" w:type="dxa"/>
              <w:left w:w="57" w:type="dxa"/>
              <w:bottom w:w="0" w:type="dxa"/>
              <w:right w:w="57" w:type="dxa"/>
            </w:tcMar>
            <w:vAlign w:val="center"/>
          </w:tcPr>
          <w:p w14:paraId="2327C9E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N/2500</w:t>
            </w:r>
          </w:p>
        </w:tc>
        <w:tc>
          <w:tcPr>
            <w:tcW w:w="942" w:type="pct"/>
            <w:noWrap w:val="0"/>
            <w:tcMar>
              <w:top w:w="0" w:type="dxa"/>
              <w:left w:w="57" w:type="dxa"/>
              <w:bottom w:w="0" w:type="dxa"/>
              <w:right w:w="57" w:type="dxa"/>
            </w:tcMar>
            <w:vAlign w:val="center"/>
          </w:tcPr>
          <w:p w14:paraId="328CA925">
            <w:pPr>
              <w:pStyle w:val="42"/>
              <w:keepNext w:val="0"/>
              <w:keepLines w:val="0"/>
              <w:suppressLineNumbers w:val="0"/>
              <w:bidi w:val="0"/>
              <w:spacing w:before="0" w:beforeAutospacing="0" w:after="0" w:afterAutospacing="0"/>
              <w:rPr>
                <w:rFonts w:hint="default"/>
                <w:highlight w:val="none"/>
              </w:rPr>
            </w:pPr>
            <w:r>
              <w:rPr>
                <w:rFonts w:hint="default"/>
                <w:highlight w:val="none"/>
              </w:rPr>
              <w:t>渔业、景观用水区</w:t>
            </w:r>
            <w:r>
              <w:rPr>
                <w:rFonts w:hint="eastAsia"/>
                <w:highlight w:val="none"/>
                <w:lang w:val="en-US" w:eastAsia="zh-CN"/>
              </w:rPr>
              <w:t>/湖泊</w:t>
            </w:r>
          </w:p>
        </w:tc>
        <w:tc>
          <w:tcPr>
            <w:tcW w:w="1094" w:type="pct"/>
            <w:vMerge w:val="continue"/>
            <w:noWrap w:val="0"/>
            <w:tcMar>
              <w:top w:w="0" w:type="dxa"/>
              <w:left w:w="57" w:type="dxa"/>
              <w:bottom w:w="0" w:type="dxa"/>
              <w:right w:w="57" w:type="dxa"/>
            </w:tcMar>
            <w:vAlign w:val="center"/>
          </w:tcPr>
          <w:p w14:paraId="49C50492">
            <w:pPr>
              <w:pStyle w:val="42"/>
              <w:keepNext w:val="0"/>
              <w:keepLines w:val="0"/>
              <w:suppressLineNumbers w:val="0"/>
              <w:bidi w:val="0"/>
              <w:spacing w:before="0" w:beforeAutospacing="0" w:after="0" w:afterAutospacing="0"/>
              <w:rPr>
                <w:rFonts w:hint="default"/>
                <w:highlight w:val="none"/>
              </w:rPr>
            </w:pPr>
          </w:p>
        </w:tc>
      </w:tr>
      <w:tr w14:paraId="29C8FB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36E16712">
            <w:pPr>
              <w:pStyle w:val="42"/>
              <w:keepNext w:val="0"/>
              <w:keepLines w:val="0"/>
              <w:suppressLineNumbers w:val="0"/>
              <w:bidi w:val="0"/>
              <w:spacing w:before="0" w:beforeAutospacing="0" w:after="0" w:afterAutospacing="0"/>
              <w:rPr>
                <w:rFonts w:hint="default"/>
                <w:highlight w:val="none"/>
              </w:rPr>
            </w:pPr>
          </w:p>
        </w:tc>
        <w:tc>
          <w:tcPr>
            <w:tcW w:w="659" w:type="pct"/>
            <w:noWrap w:val="0"/>
            <w:tcMar>
              <w:top w:w="0" w:type="dxa"/>
              <w:left w:w="57" w:type="dxa"/>
              <w:bottom w:w="0" w:type="dxa"/>
              <w:right w:w="57" w:type="dxa"/>
            </w:tcMar>
            <w:vAlign w:val="center"/>
          </w:tcPr>
          <w:p w14:paraId="185EB20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湘江</w:t>
            </w:r>
          </w:p>
        </w:tc>
        <w:tc>
          <w:tcPr>
            <w:tcW w:w="1944" w:type="pct"/>
            <w:gridSpan w:val="2"/>
            <w:noWrap w:val="0"/>
            <w:tcMar>
              <w:top w:w="0" w:type="dxa"/>
              <w:left w:w="57" w:type="dxa"/>
              <w:bottom w:w="0" w:type="dxa"/>
              <w:right w:w="57" w:type="dxa"/>
            </w:tcMar>
            <w:vAlign w:val="center"/>
          </w:tcPr>
          <w:p w14:paraId="645EDEA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WN/3500m</w:t>
            </w:r>
          </w:p>
        </w:tc>
        <w:tc>
          <w:tcPr>
            <w:tcW w:w="942" w:type="pct"/>
            <w:noWrap w:val="0"/>
            <w:tcMar>
              <w:top w:w="0" w:type="dxa"/>
              <w:left w:w="57" w:type="dxa"/>
              <w:bottom w:w="0" w:type="dxa"/>
              <w:right w:w="57" w:type="dxa"/>
            </w:tcMar>
            <w:vAlign w:val="center"/>
          </w:tcPr>
          <w:p w14:paraId="39F0197F">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default"/>
                <w:highlight w:val="none"/>
              </w:rPr>
              <w:t>渔业用水区</w:t>
            </w:r>
            <w:r>
              <w:rPr>
                <w:rFonts w:hint="eastAsia"/>
                <w:highlight w:val="none"/>
                <w:lang w:val="en-US" w:eastAsia="zh-CN"/>
              </w:rPr>
              <w:t>/大河</w:t>
            </w:r>
          </w:p>
        </w:tc>
        <w:tc>
          <w:tcPr>
            <w:tcW w:w="1094" w:type="pct"/>
            <w:vMerge w:val="continue"/>
            <w:noWrap w:val="0"/>
            <w:tcMar>
              <w:top w:w="0" w:type="dxa"/>
              <w:left w:w="57" w:type="dxa"/>
              <w:bottom w:w="0" w:type="dxa"/>
              <w:right w:w="57" w:type="dxa"/>
            </w:tcMar>
            <w:vAlign w:val="center"/>
          </w:tcPr>
          <w:p w14:paraId="307FC914">
            <w:pPr>
              <w:pStyle w:val="42"/>
              <w:keepNext w:val="0"/>
              <w:keepLines w:val="0"/>
              <w:suppressLineNumbers w:val="0"/>
              <w:bidi w:val="0"/>
              <w:spacing w:before="0" w:beforeAutospacing="0" w:after="0" w:afterAutospacing="0"/>
              <w:rPr>
                <w:rFonts w:hint="default"/>
                <w:highlight w:val="none"/>
              </w:rPr>
            </w:pPr>
          </w:p>
        </w:tc>
      </w:tr>
      <w:tr w14:paraId="1CD81F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noWrap w:val="0"/>
            <w:tcMar>
              <w:top w:w="0" w:type="dxa"/>
              <w:left w:w="57" w:type="dxa"/>
              <w:bottom w:w="0" w:type="dxa"/>
              <w:right w:w="57" w:type="dxa"/>
            </w:tcMar>
            <w:vAlign w:val="center"/>
          </w:tcPr>
          <w:p w14:paraId="77809F83">
            <w:pPr>
              <w:pStyle w:val="42"/>
              <w:keepNext w:val="0"/>
              <w:keepLines w:val="0"/>
              <w:suppressLineNumbers w:val="0"/>
              <w:bidi w:val="0"/>
              <w:spacing w:before="0" w:beforeAutospacing="0" w:after="0" w:afterAutospacing="0"/>
              <w:rPr>
                <w:rFonts w:hint="default"/>
                <w:highlight w:val="none"/>
              </w:rPr>
            </w:pPr>
            <w:r>
              <w:rPr>
                <w:rFonts w:hint="default"/>
                <w:highlight w:val="none"/>
              </w:rPr>
              <w:t>地下水环境</w:t>
            </w:r>
          </w:p>
        </w:tc>
        <w:tc>
          <w:tcPr>
            <w:tcW w:w="659" w:type="pct"/>
            <w:noWrap w:val="0"/>
            <w:tcMar>
              <w:top w:w="0" w:type="dxa"/>
              <w:left w:w="57" w:type="dxa"/>
              <w:bottom w:w="0" w:type="dxa"/>
              <w:right w:w="57" w:type="dxa"/>
            </w:tcMar>
            <w:vAlign w:val="center"/>
          </w:tcPr>
          <w:p w14:paraId="466C0BC7">
            <w:pPr>
              <w:pStyle w:val="42"/>
              <w:keepNext w:val="0"/>
              <w:keepLines w:val="0"/>
              <w:suppressLineNumbers w:val="0"/>
              <w:bidi w:val="0"/>
              <w:spacing w:before="0" w:beforeAutospacing="0" w:after="0" w:afterAutospacing="0"/>
              <w:rPr>
                <w:rFonts w:hint="default"/>
                <w:highlight w:val="none"/>
              </w:rPr>
            </w:pPr>
            <w:r>
              <w:rPr>
                <w:rFonts w:hint="default"/>
                <w:highlight w:val="none"/>
              </w:rPr>
              <w:t>地下水</w:t>
            </w:r>
          </w:p>
        </w:tc>
        <w:tc>
          <w:tcPr>
            <w:tcW w:w="2886" w:type="pct"/>
            <w:gridSpan w:val="3"/>
            <w:noWrap w:val="0"/>
            <w:tcMar>
              <w:top w:w="0" w:type="dxa"/>
              <w:left w:w="57" w:type="dxa"/>
              <w:bottom w:w="0" w:type="dxa"/>
              <w:right w:w="57" w:type="dxa"/>
            </w:tcMar>
            <w:vAlign w:val="center"/>
          </w:tcPr>
          <w:p w14:paraId="55083A7F">
            <w:pPr>
              <w:pStyle w:val="42"/>
              <w:keepNext w:val="0"/>
              <w:keepLines w:val="0"/>
              <w:suppressLineNumbers w:val="0"/>
              <w:bidi w:val="0"/>
              <w:spacing w:before="0" w:beforeAutospacing="0" w:after="0" w:afterAutospacing="0"/>
              <w:rPr>
                <w:rFonts w:hint="default"/>
                <w:highlight w:val="none"/>
              </w:rPr>
            </w:pPr>
            <w:r>
              <w:rPr>
                <w:rFonts w:hint="default"/>
                <w:highlight w:val="none"/>
              </w:rPr>
              <w:t>周边居民使用自来水，无地下水饮用水取水点。</w:t>
            </w:r>
          </w:p>
          <w:p w14:paraId="4DCB1B84">
            <w:pPr>
              <w:pStyle w:val="42"/>
              <w:keepNext w:val="0"/>
              <w:keepLines w:val="0"/>
              <w:suppressLineNumbers w:val="0"/>
              <w:bidi w:val="0"/>
              <w:spacing w:before="0" w:beforeAutospacing="0" w:after="0" w:afterAutospacing="0"/>
              <w:rPr>
                <w:rFonts w:hint="eastAsia" w:eastAsia="宋体"/>
                <w:highlight w:val="none"/>
                <w:lang w:eastAsia="zh-CN"/>
              </w:rPr>
            </w:pPr>
            <w:r>
              <w:rPr>
                <w:rFonts w:hint="default"/>
                <w:highlight w:val="none"/>
              </w:rPr>
              <w:t>东至项目所在地（上游）东面1km，西至，北至白水江，南至劈山渠，面积约13.6k</w:t>
            </w:r>
            <w:r>
              <w:rPr>
                <w:rFonts w:hint="eastAsia"/>
                <w:highlight w:val="none"/>
                <w:lang w:eastAsia="zh-CN"/>
              </w:rPr>
              <w:t>m</w:t>
            </w:r>
            <w:r>
              <w:rPr>
                <w:rFonts w:hint="eastAsia"/>
                <w:highlight w:val="none"/>
                <w:vertAlign w:val="superscript"/>
                <w:lang w:eastAsia="zh-CN"/>
              </w:rPr>
              <w:t>2</w:t>
            </w:r>
          </w:p>
        </w:tc>
        <w:tc>
          <w:tcPr>
            <w:tcW w:w="1094" w:type="pct"/>
            <w:noWrap w:val="0"/>
            <w:tcMar>
              <w:top w:w="0" w:type="dxa"/>
              <w:left w:w="57" w:type="dxa"/>
              <w:bottom w:w="0" w:type="dxa"/>
              <w:right w:w="57" w:type="dxa"/>
            </w:tcMar>
            <w:vAlign w:val="center"/>
          </w:tcPr>
          <w:p w14:paraId="7769501D">
            <w:pPr>
              <w:pStyle w:val="42"/>
              <w:keepNext w:val="0"/>
              <w:keepLines w:val="0"/>
              <w:suppressLineNumbers w:val="0"/>
              <w:bidi w:val="0"/>
              <w:spacing w:before="0" w:beforeAutospacing="0" w:after="0" w:afterAutospacing="0"/>
              <w:rPr>
                <w:rFonts w:hint="default"/>
                <w:highlight w:val="none"/>
              </w:rPr>
            </w:pPr>
            <w:r>
              <w:rPr>
                <w:rFonts w:hint="default"/>
                <w:highlight w:val="none"/>
              </w:rPr>
              <w:t>《地下水质量标准》（GB/T14848—2017）Ⅲ类标准</w:t>
            </w:r>
          </w:p>
        </w:tc>
      </w:tr>
      <w:tr w14:paraId="4C5D00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restart"/>
            <w:noWrap w:val="0"/>
            <w:tcMar>
              <w:top w:w="0" w:type="dxa"/>
              <w:left w:w="57" w:type="dxa"/>
              <w:bottom w:w="0" w:type="dxa"/>
              <w:right w:w="57" w:type="dxa"/>
            </w:tcMar>
            <w:vAlign w:val="center"/>
          </w:tcPr>
          <w:p w14:paraId="043715BB">
            <w:pPr>
              <w:pStyle w:val="42"/>
              <w:keepNext w:val="0"/>
              <w:keepLines w:val="0"/>
              <w:suppressLineNumbers w:val="0"/>
              <w:bidi w:val="0"/>
              <w:spacing w:before="0" w:beforeAutospacing="0" w:after="0" w:afterAutospacing="0"/>
              <w:rPr>
                <w:rFonts w:hint="default"/>
                <w:highlight w:val="none"/>
              </w:rPr>
            </w:pPr>
            <w:r>
              <w:rPr>
                <w:rFonts w:hint="default"/>
                <w:highlight w:val="none"/>
              </w:rPr>
              <w:t>土壤环境</w:t>
            </w:r>
          </w:p>
        </w:tc>
        <w:tc>
          <w:tcPr>
            <w:tcW w:w="659" w:type="pct"/>
            <w:noWrap w:val="0"/>
            <w:tcMar>
              <w:top w:w="0" w:type="dxa"/>
              <w:left w:w="57" w:type="dxa"/>
              <w:bottom w:w="0" w:type="dxa"/>
              <w:right w:w="57" w:type="dxa"/>
            </w:tcMar>
            <w:vAlign w:val="center"/>
          </w:tcPr>
          <w:p w14:paraId="524BE36B">
            <w:pPr>
              <w:pStyle w:val="42"/>
              <w:keepNext w:val="0"/>
              <w:keepLines w:val="0"/>
              <w:suppressLineNumbers w:val="0"/>
              <w:bidi w:val="0"/>
              <w:spacing w:before="0" w:beforeAutospacing="0" w:after="0" w:afterAutospacing="0"/>
              <w:rPr>
                <w:rFonts w:hint="default"/>
                <w:highlight w:val="none"/>
              </w:rPr>
            </w:pPr>
            <w:r>
              <w:rPr>
                <w:rFonts w:hint="default"/>
                <w:highlight w:val="none"/>
              </w:rPr>
              <w:t>建设用地</w:t>
            </w:r>
          </w:p>
        </w:tc>
        <w:tc>
          <w:tcPr>
            <w:tcW w:w="2886" w:type="pct"/>
            <w:gridSpan w:val="3"/>
            <w:noWrap w:val="0"/>
            <w:tcMar>
              <w:top w:w="0" w:type="dxa"/>
              <w:left w:w="57" w:type="dxa"/>
              <w:bottom w:w="0" w:type="dxa"/>
              <w:right w:w="57" w:type="dxa"/>
            </w:tcMar>
            <w:vAlign w:val="center"/>
          </w:tcPr>
          <w:p w14:paraId="4178C9B5">
            <w:pPr>
              <w:pStyle w:val="42"/>
              <w:keepNext w:val="0"/>
              <w:keepLines w:val="0"/>
              <w:suppressLineNumbers w:val="0"/>
              <w:bidi w:val="0"/>
              <w:spacing w:before="0" w:beforeAutospacing="0" w:after="0" w:afterAutospacing="0"/>
              <w:rPr>
                <w:rFonts w:hint="default"/>
                <w:highlight w:val="none"/>
              </w:rPr>
            </w:pPr>
            <w:r>
              <w:rPr>
                <w:rFonts w:hint="default"/>
                <w:highlight w:val="none"/>
              </w:rPr>
              <w:t>项目周边</w:t>
            </w:r>
            <w:r>
              <w:rPr>
                <w:rFonts w:hint="eastAsia"/>
                <w:highlight w:val="none"/>
                <w:lang w:val="en-US" w:eastAsia="zh-CN"/>
              </w:rPr>
              <w:t>1</w:t>
            </w:r>
            <w:r>
              <w:rPr>
                <w:rFonts w:hint="default"/>
                <w:highlight w:val="none"/>
                <w:lang w:val="en-US" w:eastAsia="zh-CN"/>
              </w:rPr>
              <w:t>k</w:t>
            </w:r>
            <w:r>
              <w:rPr>
                <w:rFonts w:hint="default"/>
                <w:highlight w:val="none"/>
              </w:rPr>
              <w:t>m范围内</w:t>
            </w:r>
          </w:p>
        </w:tc>
        <w:tc>
          <w:tcPr>
            <w:tcW w:w="1094" w:type="pct"/>
            <w:noWrap w:val="0"/>
            <w:tcMar>
              <w:top w:w="0" w:type="dxa"/>
              <w:left w:w="57" w:type="dxa"/>
              <w:bottom w:w="0" w:type="dxa"/>
              <w:right w:w="57" w:type="dxa"/>
            </w:tcMar>
            <w:vAlign w:val="center"/>
          </w:tcPr>
          <w:p w14:paraId="768EBC33">
            <w:pPr>
              <w:pStyle w:val="42"/>
              <w:keepNext w:val="0"/>
              <w:keepLines w:val="0"/>
              <w:suppressLineNumbers w:val="0"/>
              <w:bidi w:val="0"/>
              <w:spacing w:before="0" w:beforeAutospacing="0" w:after="0" w:afterAutospacing="0"/>
              <w:rPr>
                <w:rFonts w:hint="default"/>
                <w:highlight w:val="none"/>
              </w:rPr>
            </w:pPr>
            <w:r>
              <w:rPr>
                <w:rFonts w:hint="default"/>
                <w:highlight w:val="none"/>
              </w:rPr>
              <w:t>《土壤环境质量建设用地土壤污染风险管控标准（试行）》（GB36600-2018）</w:t>
            </w:r>
          </w:p>
        </w:tc>
      </w:tr>
      <w:tr w14:paraId="1157AB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vMerge w:val="continue"/>
            <w:noWrap w:val="0"/>
            <w:tcMar>
              <w:top w:w="0" w:type="dxa"/>
              <w:left w:w="57" w:type="dxa"/>
              <w:bottom w:w="0" w:type="dxa"/>
              <w:right w:w="57" w:type="dxa"/>
            </w:tcMar>
            <w:vAlign w:val="center"/>
          </w:tcPr>
          <w:p w14:paraId="77FB439E">
            <w:pPr>
              <w:pStyle w:val="42"/>
              <w:keepNext w:val="0"/>
              <w:keepLines w:val="0"/>
              <w:suppressLineNumbers w:val="0"/>
              <w:bidi w:val="0"/>
              <w:spacing w:before="0" w:beforeAutospacing="0" w:after="0" w:afterAutospacing="0"/>
              <w:rPr>
                <w:rFonts w:hint="default"/>
                <w:highlight w:val="none"/>
              </w:rPr>
            </w:pPr>
          </w:p>
        </w:tc>
        <w:tc>
          <w:tcPr>
            <w:tcW w:w="659" w:type="pct"/>
            <w:noWrap w:val="0"/>
            <w:tcMar>
              <w:top w:w="0" w:type="dxa"/>
              <w:left w:w="57" w:type="dxa"/>
              <w:bottom w:w="0" w:type="dxa"/>
              <w:right w:w="57" w:type="dxa"/>
            </w:tcMar>
            <w:vAlign w:val="center"/>
          </w:tcPr>
          <w:p w14:paraId="30C4DB2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农用地</w:t>
            </w:r>
          </w:p>
        </w:tc>
        <w:tc>
          <w:tcPr>
            <w:tcW w:w="2886" w:type="pct"/>
            <w:gridSpan w:val="3"/>
            <w:noWrap w:val="0"/>
            <w:tcMar>
              <w:top w:w="0" w:type="dxa"/>
              <w:left w:w="57" w:type="dxa"/>
              <w:bottom w:w="0" w:type="dxa"/>
              <w:right w:w="57" w:type="dxa"/>
            </w:tcMar>
            <w:vAlign w:val="center"/>
          </w:tcPr>
          <w:p w14:paraId="77F140F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项目周边</w:t>
            </w:r>
            <w:r>
              <w:rPr>
                <w:rFonts w:hint="eastAsia"/>
                <w:highlight w:val="none"/>
                <w:lang w:val="en-US" w:eastAsia="zh-CN"/>
              </w:rPr>
              <w:t>1</w:t>
            </w:r>
            <w:r>
              <w:rPr>
                <w:rFonts w:hint="default"/>
                <w:highlight w:val="none"/>
                <w:lang w:val="en-US" w:eastAsia="zh-CN"/>
              </w:rPr>
              <w:t>km</w:t>
            </w:r>
            <w:r>
              <w:rPr>
                <w:rFonts w:hint="default"/>
                <w:highlight w:val="none"/>
              </w:rPr>
              <w:t>范围内</w:t>
            </w:r>
            <w:r>
              <w:rPr>
                <w:rFonts w:hint="default"/>
                <w:highlight w:val="none"/>
                <w:lang w:val="en-US" w:eastAsia="zh-CN"/>
              </w:rPr>
              <w:t>的农用地</w:t>
            </w:r>
          </w:p>
        </w:tc>
        <w:tc>
          <w:tcPr>
            <w:tcW w:w="1094" w:type="pct"/>
            <w:noWrap w:val="0"/>
            <w:tcMar>
              <w:top w:w="0" w:type="dxa"/>
              <w:left w:w="57" w:type="dxa"/>
              <w:bottom w:w="0" w:type="dxa"/>
              <w:right w:w="57" w:type="dxa"/>
            </w:tcMar>
            <w:vAlign w:val="center"/>
          </w:tcPr>
          <w:p w14:paraId="1DD86EC9">
            <w:pPr>
              <w:pStyle w:val="42"/>
              <w:keepNext w:val="0"/>
              <w:keepLines w:val="0"/>
              <w:suppressLineNumbers w:val="0"/>
              <w:bidi w:val="0"/>
              <w:spacing w:before="0" w:beforeAutospacing="0" w:after="0" w:afterAutospacing="0"/>
              <w:rPr>
                <w:rFonts w:hint="default"/>
                <w:highlight w:val="none"/>
              </w:rPr>
            </w:pPr>
            <w:r>
              <w:rPr>
                <w:rFonts w:hint="default"/>
                <w:highlight w:val="none"/>
              </w:rPr>
              <w:t>《土壤环境质量 农用地土壤污染风险管控标准（试行）》（GB15618-2018）</w:t>
            </w:r>
          </w:p>
        </w:tc>
      </w:tr>
      <w:tr w14:paraId="359961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9" w:type="pct"/>
            <w:noWrap w:val="0"/>
            <w:tcMar>
              <w:top w:w="0" w:type="dxa"/>
              <w:left w:w="57" w:type="dxa"/>
              <w:bottom w:w="0" w:type="dxa"/>
              <w:right w:w="57" w:type="dxa"/>
            </w:tcMar>
            <w:vAlign w:val="center"/>
          </w:tcPr>
          <w:p w14:paraId="05CA59DD">
            <w:pPr>
              <w:pStyle w:val="42"/>
              <w:keepNext w:val="0"/>
              <w:keepLines w:val="0"/>
              <w:suppressLineNumbers w:val="0"/>
              <w:bidi w:val="0"/>
              <w:spacing w:before="0" w:beforeAutospacing="0" w:after="0" w:afterAutospacing="0"/>
              <w:rPr>
                <w:rFonts w:hint="default"/>
                <w:highlight w:val="none"/>
              </w:rPr>
            </w:pPr>
            <w:r>
              <w:rPr>
                <w:rFonts w:hint="default"/>
                <w:highlight w:val="none"/>
              </w:rPr>
              <w:t>生态环境</w:t>
            </w:r>
          </w:p>
        </w:tc>
        <w:tc>
          <w:tcPr>
            <w:tcW w:w="3546" w:type="pct"/>
            <w:gridSpan w:val="4"/>
            <w:noWrap w:val="0"/>
            <w:tcMar>
              <w:top w:w="0" w:type="dxa"/>
              <w:left w:w="57" w:type="dxa"/>
              <w:bottom w:w="0" w:type="dxa"/>
              <w:right w:w="57" w:type="dxa"/>
            </w:tcMar>
            <w:vAlign w:val="center"/>
          </w:tcPr>
          <w:p w14:paraId="1E4E60EA">
            <w:pPr>
              <w:pStyle w:val="42"/>
              <w:keepNext w:val="0"/>
              <w:keepLines w:val="0"/>
              <w:suppressLineNumbers w:val="0"/>
              <w:bidi w:val="0"/>
              <w:spacing w:before="0" w:beforeAutospacing="0" w:after="0" w:afterAutospacing="0"/>
              <w:rPr>
                <w:rFonts w:hint="default"/>
                <w:highlight w:val="none"/>
              </w:rPr>
            </w:pPr>
            <w:r>
              <w:rPr>
                <w:rFonts w:hint="default" w:ascii="Times New Roman" w:hAnsi="Times New Roman" w:cs="Times New Roman"/>
                <w:color w:val="auto"/>
                <w:kern w:val="0"/>
                <w:sz w:val="21"/>
                <w:szCs w:val="21"/>
                <w:highlight w:val="none"/>
                <w:u w:val="none" w:color="auto"/>
              </w:rPr>
              <w:t>-东湖国家级湿地公园</w:t>
            </w:r>
            <w:r>
              <w:rPr>
                <w:rFonts w:hint="eastAsia" w:cs="Times New Roman"/>
                <w:color w:val="auto"/>
                <w:kern w:val="0"/>
                <w:sz w:val="21"/>
                <w:szCs w:val="21"/>
                <w:highlight w:val="none"/>
                <w:u w:val="none" w:color="auto"/>
                <w:lang w:eastAsia="zh-CN"/>
              </w:rPr>
              <w:t>，规划总面积1525.9公顷</w:t>
            </w:r>
          </w:p>
        </w:tc>
        <w:tc>
          <w:tcPr>
            <w:tcW w:w="1094" w:type="pct"/>
            <w:noWrap w:val="0"/>
            <w:tcMar>
              <w:top w:w="0" w:type="dxa"/>
              <w:left w:w="57" w:type="dxa"/>
              <w:bottom w:w="0" w:type="dxa"/>
              <w:right w:w="57" w:type="dxa"/>
            </w:tcMar>
            <w:vAlign w:val="center"/>
          </w:tcPr>
          <w:p w14:paraId="0594B33A">
            <w:pPr>
              <w:pStyle w:val="42"/>
              <w:keepNext w:val="0"/>
              <w:keepLines w:val="0"/>
              <w:suppressLineNumbers w:val="0"/>
              <w:bidi w:val="0"/>
              <w:spacing w:before="0" w:beforeAutospacing="0" w:after="0" w:afterAutospacing="0"/>
              <w:rPr>
                <w:rFonts w:hint="default"/>
                <w:highlight w:val="none"/>
              </w:rPr>
            </w:pPr>
            <w:r>
              <w:rPr>
                <w:rFonts w:hint="default"/>
                <w:highlight w:val="none"/>
              </w:rPr>
              <w:t>保持水土</w:t>
            </w:r>
            <w:r>
              <w:rPr>
                <w:rFonts w:hint="default"/>
                <w:highlight w:val="none"/>
                <w:lang w:eastAsia="zh-CN"/>
              </w:rPr>
              <w:t>，</w:t>
            </w:r>
            <w:r>
              <w:rPr>
                <w:rFonts w:hint="default"/>
                <w:highlight w:val="none"/>
              </w:rPr>
              <w:t>维持生态平衡</w:t>
            </w:r>
          </w:p>
        </w:tc>
      </w:tr>
      <w:bookmarkEnd w:id="79"/>
    </w:tbl>
    <w:p w14:paraId="6A5619C7">
      <w:pPr>
        <w:pStyle w:val="4"/>
        <w:ind w:firstLine="643"/>
        <w:rPr>
          <w:rFonts w:hint="default" w:ascii="Times New Roman" w:hAnsi="Times New Roman" w:cs="Times New Roman"/>
          <w:color w:val="auto"/>
          <w:highlight w:val="none"/>
          <w:u w:val="none" w:color="auto"/>
        </w:rPr>
      </w:pPr>
      <w:bookmarkStart w:id="80" w:name="_Toc11092"/>
      <w:bookmarkStart w:id="81" w:name="_Toc490915905"/>
      <w:bookmarkStart w:id="82" w:name="_Toc12309"/>
      <w:bookmarkStart w:id="83" w:name="_Toc350783559"/>
      <w:r>
        <w:rPr>
          <w:rFonts w:hint="default" w:ascii="Times New Roman" w:hAnsi="Times New Roman" w:cs="Times New Roman"/>
          <w:color w:val="auto"/>
          <w:highlight w:val="none"/>
          <w:u w:val="none" w:color="auto"/>
          <w:lang w:val="en-US" w:eastAsia="zh-CN"/>
        </w:rPr>
        <w:t>拟建</w:t>
      </w:r>
      <w:r>
        <w:rPr>
          <w:rFonts w:hint="default" w:ascii="Times New Roman" w:hAnsi="Times New Roman" w:cs="Times New Roman"/>
          <w:color w:val="auto"/>
          <w:highlight w:val="none"/>
          <w:u w:val="none" w:color="auto"/>
        </w:rPr>
        <w:t>项目概况</w:t>
      </w:r>
      <w:bookmarkEnd w:id="80"/>
    </w:p>
    <w:p w14:paraId="151F0881">
      <w:pPr>
        <w:pStyle w:val="5"/>
        <w:rPr>
          <w:rFonts w:hint="default" w:ascii="Times New Roman" w:hAnsi="Times New Roman" w:cs="Times New Roman"/>
          <w:color w:val="auto"/>
          <w:highlight w:val="none"/>
          <w:u w:val="none" w:color="auto"/>
        </w:rPr>
      </w:pPr>
      <w:bookmarkStart w:id="84" w:name="_Toc24588"/>
      <w:bookmarkStart w:id="85" w:name="_Toc326"/>
      <w:bookmarkStart w:id="86" w:name="_Toc490915898"/>
      <w:r>
        <w:rPr>
          <w:rFonts w:hint="default" w:ascii="Times New Roman" w:hAnsi="Times New Roman" w:cs="Times New Roman"/>
          <w:color w:val="auto"/>
          <w:highlight w:val="none"/>
          <w:u w:val="none" w:color="auto"/>
        </w:rPr>
        <w:t>基本情况</w:t>
      </w:r>
      <w:bookmarkEnd w:id="84"/>
      <w:bookmarkEnd w:id="85"/>
      <w:bookmarkEnd w:id="86"/>
    </w:p>
    <w:p w14:paraId="76CCF0C4">
      <w:pPr>
        <w:ind w:firstLine="480"/>
        <w:rPr>
          <w:rFonts w:hint="default" w:ascii="Times New Roman" w:hAnsi="Times New Roman" w:eastAsia="Calibri" w:cs="Times New Roman"/>
          <w:color w:val="auto"/>
          <w:highlight w:val="none"/>
          <w:u w:val="none" w:color="auto"/>
          <w:lang w:val="en-US" w:eastAsia="zh-CN"/>
        </w:rPr>
      </w:pPr>
      <w:bookmarkStart w:id="87" w:name="_Toc209237356"/>
      <w:bookmarkStart w:id="88" w:name="_Toc350783554"/>
      <w:r>
        <w:rPr>
          <w:rFonts w:hint="default" w:ascii="Times New Roman" w:hAnsi="Times New Roman" w:eastAsia="Calibri" w:cs="Times New Roman"/>
          <w:color w:val="auto"/>
          <w:highlight w:val="none"/>
          <w:u w:val="none" w:color="auto"/>
          <w:lang w:val="en-US" w:eastAsia="zh-CN"/>
        </w:rPr>
        <w:t>项目名称：</w:t>
      </w:r>
      <w:r>
        <w:rPr>
          <w:rFonts w:hint="eastAsia" w:ascii="Times New Roman" w:hAnsi="Times New Roman" w:eastAsia="Calibri" w:cs="Times New Roman"/>
          <w:color w:val="auto"/>
          <w:highlight w:val="none"/>
          <w:u w:val="none" w:color="auto"/>
          <w:lang w:val="en-US" w:eastAsia="zh-CN"/>
        </w:rPr>
        <w:t>湘阴佳海绿色食品产业园一期污水处理站建设项目</w:t>
      </w:r>
    </w:p>
    <w:p w14:paraId="712726B4">
      <w:pPr>
        <w:shd w:val="clea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项目性质：</w:t>
      </w:r>
      <w:r>
        <w:rPr>
          <w:rFonts w:hint="eastAsia" w:ascii="Times New Roman" w:hAnsi="Times New Roman" w:eastAsia="Calibri" w:cs="Times New Roman"/>
          <w:color w:val="auto"/>
          <w:highlight w:val="none"/>
          <w:u w:val="none" w:color="auto"/>
          <w:lang w:val="en-US" w:eastAsia="zh-CN"/>
        </w:rPr>
        <w:t>新建</w:t>
      </w:r>
    </w:p>
    <w:p w14:paraId="493A7612">
      <w:pPr>
        <w:shd w:val="clea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建设单位：湘阴佳海产业园发展有限公司</w:t>
      </w:r>
    </w:p>
    <w:p w14:paraId="0BA11C11">
      <w:pPr>
        <w:shd w:val="clea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项目投资：</w:t>
      </w:r>
      <w:r>
        <w:rPr>
          <w:rFonts w:hint="eastAsia" w:ascii="Times New Roman" w:hAnsi="Times New Roman" w:eastAsia="Calibri" w:cs="Times New Roman"/>
          <w:color w:val="auto"/>
          <w:highlight w:val="none"/>
          <w:u w:val="none" w:color="auto"/>
          <w:lang w:val="en-US" w:eastAsia="zh-CN"/>
        </w:rPr>
        <w:t>1200</w:t>
      </w:r>
      <w:r>
        <w:rPr>
          <w:rFonts w:hint="default" w:ascii="Times New Roman" w:hAnsi="Times New Roman" w:eastAsia="Calibri" w:cs="Times New Roman"/>
          <w:color w:val="auto"/>
          <w:highlight w:val="none"/>
          <w:u w:val="none" w:color="auto"/>
          <w:lang w:val="en-US" w:eastAsia="zh-CN"/>
        </w:rPr>
        <w:t>万元，其中环保投资</w:t>
      </w:r>
      <w:r>
        <w:rPr>
          <w:rFonts w:hint="eastAsia" w:ascii="Times New Roman" w:hAnsi="Times New Roman" w:eastAsia="Calibri" w:cs="Times New Roman"/>
          <w:color w:val="auto"/>
          <w:highlight w:val="none"/>
          <w:u w:val="none" w:color="auto"/>
          <w:lang w:val="en-US" w:eastAsia="zh-CN"/>
        </w:rPr>
        <w:t>380</w:t>
      </w:r>
      <w:r>
        <w:rPr>
          <w:rFonts w:hint="default" w:ascii="Times New Roman" w:hAnsi="Times New Roman" w:eastAsia="Calibri" w:cs="Times New Roman"/>
          <w:color w:val="auto"/>
          <w:highlight w:val="none"/>
          <w:u w:val="none" w:color="auto"/>
          <w:lang w:val="en-US" w:eastAsia="zh-CN"/>
        </w:rPr>
        <w:t>万元</w:t>
      </w:r>
    </w:p>
    <w:p w14:paraId="6CE23E22">
      <w:pPr>
        <w:shd w:val="clea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建设地点：</w:t>
      </w:r>
      <w:bookmarkStart w:id="89" w:name="OLE_LINK31"/>
      <w:r>
        <w:rPr>
          <w:rFonts w:hint="default" w:ascii="Times New Roman" w:hAnsi="Times New Roman" w:eastAsia="Calibri" w:cs="Times New Roman"/>
          <w:color w:val="auto"/>
          <w:highlight w:val="none"/>
          <w:u w:val="none" w:color="auto"/>
          <w:lang w:val="en-US" w:eastAsia="zh-CN"/>
        </w:rPr>
        <w:t>湖南省岳阳市</w:t>
      </w:r>
      <w:r>
        <w:rPr>
          <w:rFonts w:hint="eastAsia" w:ascii="Times New Roman" w:hAnsi="Times New Roman" w:eastAsia="Calibri" w:cs="Times New Roman"/>
          <w:color w:val="auto"/>
          <w:highlight w:val="none"/>
          <w:u w:val="none" w:color="auto"/>
          <w:lang w:val="en-US" w:eastAsia="zh-CN"/>
        </w:rPr>
        <w:t>湘阴镇</w:t>
      </w:r>
      <w:r>
        <w:rPr>
          <w:rFonts w:hint="default" w:ascii="Times New Roman" w:hAnsi="Times New Roman" w:eastAsia="Calibri" w:cs="Times New Roman"/>
          <w:color w:val="auto"/>
          <w:highlight w:val="none"/>
          <w:u w:val="none" w:color="auto"/>
          <w:lang w:val="en-US" w:eastAsia="zh-CN"/>
        </w:rPr>
        <w:t>建铭大道北与芙蓉北路交汇处</w:t>
      </w:r>
      <w:r>
        <w:rPr>
          <w:rFonts w:hint="eastAsia" w:ascii="Times New Roman" w:hAnsi="Times New Roman" w:eastAsia="Calibri" w:cs="Times New Roman"/>
          <w:color w:val="auto"/>
          <w:highlight w:val="none"/>
          <w:u w:val="none" w:color="auto"/>
          <w:lang w:val="en-US" w:eastAsia="zh-CN"/>
        </w:rPr>
        <w:t>湘阴佳海绿色食品产业园一期</w:t>
      </w:r>
      <w:bookmarkEnd w:id="89"/>
      <w:r>
        <w:rPr>
          <w:rFonts w:hint="eastAsia" w:ascii="Times New Roman" w:hAnsi="Times New Roman" w:eastAsia="Calibri" w:cs="Times New Roman"/>
          <w:color w:val="auto"/>
          <w:highlight w:val="none"/>
          <w:u w:val="none" w:color="auto"/>
          <w:lang w:val="en-US" w:eastAsia="zh-CN"/>
        </w:rPr>
        <w:t>内</w:t>
      </w:r>
      <w:r>
        <w:rPr>
          <w:rFonts w:hint="default" w:ascii="Times New Roman" w:hAnsi="Times New Roman" w:eastAsia="Calibri" w:cs="Times New Roman"/>
          <w:color w:val="auto"/>
          <w:highlight w:val="none"/>
          <w:u w:val="none" w:color="auto"/>
          <w:lang w:val="en-US" w:eastAsia="zh-CN"/>
        </w:rPr>
        <w:t>(东经11</w:t>
      </w:r>
      <w:r>
        <w:rPr>
          <w:rFonts w:hint="eastAsia" w:ascii="Times New Roman" w:hAnsi="Times New Roman" w:eastAsia="Calibri" w:cs="Times New Roman"/>
          <w:color w:val="auto"/>
          <w:highlight w:val="none"/>
          <w:u w:val="none" w:color="auto"/>
          <w:lang w:val="en-US" w:eastAsia="zh-CN"/>
        </w:rPr>
        <w:t>2</w:t>
      </w:r>
      <w:r>
        <w:rPr>
          <w:rFonts w:hint="default" w:ascii="Times New Roman" w:hAnsi="Times New Roman" w:eastAsia="Calibri" w:cs="Times New Roman"/>
          <w:color w:val="auto"/>
          <w:highlight w:val="none"/>
          <w:u w:val="none" w:color="auto"/>
          <w:lang w:val="en-US" w:eastAsia="zh-CN"/>
        </w:rPr>
        <w:t>°</w:t>
      </w:r>
      <w:r>
        <w:rPr>
          <w:rFonts w:hint="eastAsia" w:ascii="Times New Roman" w:hAnsi="Times New Roman" w:eastAsia="Calibri" w:cs="Times New Roman"/>
          <w:color w:val="auto"/>
          <w:highlight w:val="none"/>
          <w:u w:val="none" w:color="auto"/>
          <w:lang w:val="en-US" w:eastAsia="zh-CN"/>
        </w:rPr>
        <w:t>54</w:t>
      </w:r>
      <w:r>
        <w:rPr>
          <w:rFonts w:hint="default" w:ascii="Times New Roman" w:hAnsi="Times New Roman" w:eastAsia="Calibri" w:cs="Times New Roman"/>
          <w:color w:val="auto"/>
          <w:highlight w:val="none"/>
          <w:u w:val="none" w:color="auto"/>
          <w:lang w:val="en-US" w:eastAsia="zh-CN"/>
        </w:rPr>
        <w:t>'</w:t>
      </w:r>
      <w:r>
        <w:rPr>
          <w:rFonts w:hint="eastAsia" w:ascii="Times New Roman" w:hAnsi="Times New Roman" w:eastAsia="Calibri" w:cs="Times New Roman"/>
          <w:color w:val="auto"/>
          <w:highlight w:val="none"/>
          <w:u w:val="none" w:color="auto"/>
          <w:lang w:val="en-US" w:eastAsia="zh-CN"/>
        </w:rPr>
        <w:t>19.324</w:t>
      </w:r>
      <w:r>
        <w:rPr>
          <w:rFonts w:hint="default" w:ascii="Times New Roman" w:hAnsi="Times New Roman" w:eastAsia="Calibri" w:cs="Times New Roman"/>
          <w:color w:val="auto"/>
          <w:highlight w:val="none"/>
          <w:u w:val="none" w:color="auto"/>
          <w:lang w:val="en-US" w:eastAsia="zh-CN"/>
        </w:rPr>
        <w:t>"，北纬2</w:t>
      </w:r>
      <w:r>
        <w:rPr>
          <w:rFonts w:hint="eastAsia" w:ascii="Times New Roman" w:hAnsi="Times New Roman" w:eastAsia="Calibri" w:cs="Times New Roman"/>
          <w:color w:val="auto"/>
          <w:highlight w:val="none"/>
          <w:u w:val="none" w:color="auto"/>
          <w:lang w:val="en-US" w:eastAsia="zh-CN"/>
        </w:rPr>
        <w:t>8°38</w:t>
      </w:r>
      <w:r>
        <w:rPr>
          <w:rFonts w:hint="default" w:ascii="Times New Roman" w:hAnsi="Times New Roman" w:eastAsia="Calibri" w:cs="Times New Roman"/>
          <w:color w:val="auto"/>
          <w:highlight w:val="none"/>
          <w:u w:val="none" w:color="auto"/>
          <w:lang w:val="en-US" w:eastAsia="zh-CN"/>
        </w:rPr>
        <w:t>'</w:t>
      </w:r>
      <w:r>
        <w:rPr>
          <w:rFonts w:hint="eastAsia" w:ascii="Times New Roman" w:hAnsi="Times New Roman" w:eastAsia="Calibri" w:cs="Times New Roman"/>
          <w:color w:val="auto"/>
          <w:highlight w:val="none"/>
          <w:u w:val="none" w:color="auto"/>
          <w:lang w:val="en-US" w:eastAsia="zh-CN"/>
        </w:rPr>
        <w:t>57.536</w:t>
      </w:r>
      <w:r>
        <w:rPr>
          <w:rFonts w:hint="default" w:ascii="Times New Roman" w:hAnsi="Times New Roman" w:eastAsia="Calibri" w:cs="Times New Roman"/>
          <w:color w:val="auto"/>
          <w:highlight w:val="none"/>
          <w:u w:val="none" w:color="auto"/>
          <w:lang w:val="en-US" w:eastAsia="zh-CN"/>
        </w:rPr>
        <w:t>")</w:t>
      </w:r>
    </w:p>
    <w:p w14:paraId="5E459B95">
      <w:pP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占地面积：</w:t>
      </w:r>
      <w:r>
        <w:rPr>
          <w:rFonts w:hint="eastAsia" w:ascii="Times New Roman" w:hAnsi="Times New Roman" w:eastAsia="Calibri" w:cs="Times New Roman"/>
          <w:color w:val="auto"/>
          <w:highlight w:val="none"/>
          <w:u w:val="none" w:color="auto"/>
          <w:lang w:val="en-US" w:eastAsia="zh-CN"/>
        </w:rPr>
        <w:t>1080</w:t>
      </w:r>
      <w:r>
        <w:rPr>
          <w:rFonts w:hint="default" w:ascii="Times New Roman" w:hAnsi="Times New Roman" w:eastAsia="Calibri" w:cs="Times New Roman"/>
          <w:color w:val="auto"/>
          <w:highlight w:val="none"/>
          <w:u w:val="none" w:color="auto"/>
          <w:lang w:val="en-US" w:eastAsia="zh-CN"/>
        </w:rPr>
        <w:t>m²</w:t>
      </w:r>
    </w:p>
    <w:p w14:paraId="73B40C27">
      <w:pPr>
        <w:ind w:firstLine="480"/>
        <w:rPr>
          <w:rFonts w:hint="default"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劳动定员：</w:t>
      </w:r>
      <w:r>
        <w:rPr>
          <w:rFonts w:hint="eastAsia" w:ascii="Times New Roman" w:hAnsi="Times New Roman" w:eastAsia="Calibri" w:cs="Times New Roman"/>
          <w:color w:val="auto"/>
          <w:highlight w:val="none"/>
          <w:u w:val="none" w:color="auto"/>
          <w:lang w:val="en-US" w:eastAsia="zh-CN"/>
        </w:rPr>
        <w:t>劳动定员2</w:t>
      </w:r>
      <w:r>
        <w:rPr>
          <w:rFonts w:hint="default" w:ascii="Times New Roman" w:hAnsi="Times New Roman" w:eastAsia="Calibri" w:cs="Times New Roman"/>
          <w:color w:val="auto"/>
          <w:highlight w:val="none"/>
          <w:u w:val="none" w:color="auto"/>
          <w:lang w:val="en-US" w:eastAsia="zh-CN"/>
        </w:rPr>
        <w:t>人</w:t>
      </w:r>
      <w:r>
        <w:rPr>
          <w:rFonts w:hint="eastAsia" w:ascii="Times New Roman" w:hAnsi="Times New Roman" w:eastAsia="Calibri" w:cs="Times New Roman"/>
          <w:color w:val="auto"/>
          <w:highlight w:val="none"/>
          <w:u w:val="none" w:color="auto"/>
          <w:lang w:val="en-US" w:eastAsia="zh-CN"/>
        </w:rPr>
        <w:t>，不食宿。</w:t>
      </w:r>
    </w:p>
    <w:p w14:paraId="44E0A685">
      <w:pPr>
        <w:ind w:firstLine="480"/>
        <w:rPr>
          <w:rFonts w:hint="eastAsia"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生产规模：</w:t>
      </w:r>
      <w:r>
        <w:rPr>
          <w:rFonts w:hint="eastAsia" w:ascii="Times New Roman" w:hAnsi="Times New Roman" w:eastAsia="Calibri" w:cs="Times New Roman"/>
          <w:color w:val="auto"/>
          <w:highlight w:val="none"/>
          <w:u w:val="none" w:color="auto"/>
          <w:lang w:val="en-US" w:eastAsia="zh-CN"/>
        </w:rPr>
        <w:t>污水处理站设计能力为1200t/a。</w:t>
      </w:r>
    </w:p>
    <w:p w14:paraId="5D9945AD">
      <w:pPr>
        <w:ind w:firstLine="480"/>
        <w:rPr>
          <w:rFonts w:hint="eastAsia" w:ascii="Times New Roman" w:hAnsi="Times New Roman" w:eastAsia="Calibri" w:cs="Times New Roman"/>
          <w:color w:val="auto"/>
          <w:highlight w:val="none"/>
          <w:u w:val="none" w:color="auto"/>
          <w:lang w:val="en-US" w:eastAsia="zh-CN"/>
        </w:rPr>
      </w:pPr>
      <w:r>
        <w:rPr>
          <w:rFonts w:hint="default" w:ascii="Times New Roman" w:hAnsi="Times New Roman" w:eastAsia="Calibri" w:cs="Times New Roman"/>
          <w:color w:val="auto"/>
          <w:highlight w:val="none"/>
          <w:u w:val="none" w:color="auto"/>
          <w:lang w:val="en-US" w:eastAsia="zh-CN"/>
        </w:rPr>
        <w:t>服务对象：</w:t>
      </w:r>
      <w:r>
        <w:rPr>
          <w:rFonts w:hint="eastAsia" w:ascii="Times New Roman" w:hAnsi="Times New Roman" w:eastAsia="Calibri" w:cs="Times New Roman"/>
          <w:color w:val="auto"/>
          <w:highlight w:val="none"/>
          <w:u w:val="none" w:color="auto"/>
          <w:lang w:val="en-US" w:eastAsia="zh-CN"/>
        </w:rPr>
        <w:t>湘阴佳海绿色食品产业园一期内</w:t>
      </w:r>
      <w:r>
        <w:rPr>
          <w:rFonts w:hint="default" w:ascii="Times New Roman" w:hAnsi="Times New Roman" w:eastAsia="Calibri" w:cs="Times New Roman"/>
          <w:color w:val="auto"/>
          <w:highlight w:val="none"/>
          <w:u w:val="none" w:color="auto"/>
          <w:lang w:val="en-US" w:eastAsia="zh-CN"/>
        </w:rPr>
        <w:t>企业</w:t>
      </w:r>
      <w:r>
        <w:rPr>
          <w:rFonts w:hint="eastAsia" w:ascii="Times New Roman" w:hAnsi="Times New Roman" w:eastAsia="Calibri" w:cs="Times New Roman"/>
          <w:color w:val="auto"/>
          <w:highlight w:val="none"/>
          <w:u w:val="none" w:color="auto"/>
          <w:lang w:val="en-US" w:eastAsia="zh-CN"/>
        </w:rPr>
        <w:t>食品</w:t>
      </w:r>
      <w:r>
        <w:rPr>
          <w:rFonts w:hint="default" w:ascii="Times New Roman" w:hAnsi="Times New Roman" w:eastAsia="Calibri" w:cs="Times New Roman"/>
          <w:color w:val="auto"/>
          <w:highlight w:val="none"/>
          <w:u w:val="none" w:color="auto"/>
          <w:lang w:val="en-US" w:eastAsia="zh-CN"/>
        </w:rPr>
        <w:t>生产废水</w:t>
      </w:r>
      <w:r>
        <w:rPr>
          <w:rFonts w:hint="eastAsia" w:ascii="Times New Roman" w:hAnsi="Times New Roman" w:eastAsia="Calibri" w:cs="Times New Roman"/>
          <w:color w:val="auto"/>
          <w:highlight w:val="none"/>
          <w:u w:val="none" w:color="auto"/>
          <w:lang w:val="en-US" w:eastAsia="zh-CN"/>
        </w:rPr>
        <w:t>。</w:t>
      </w:r>
    </w:p>
    <w:p w14:paraId="354E16C7">
      <w:pPr>
        <w:ind w:firstLine="480"/>
        <w:rPr>
          <w:rFonts w:hint="eastAsia" w:ascii="Times New Roman" w:hAnsi="Times New Roman" w:cs="Times New Roman"/>
          <w:color w:val="auto"/>
          <w:highlight w:val="none"/>
          <w:u w:val="none" w:color="auto"/>
          <w:lang w:eastAsia="zh-CN"/>
        </w:rPr>
      </w:pPr>
      <w:r>
        <w:rPr>
          <w:rFonts w:cs="Times New Roman"/>
        </w:rPr>
        <w:t>处理工艺：</w:t>
      </w:r>
      <w:r>
        <w:rPr>
          <w:rFonts w:hint="eastAsia" w:cs="Times New Roman"/>
        </w:rPr>
        <w:t>采用“集水池+微滤机+隔油预沉池+调节池/应急池+厌氧流化床+好氧池+缺氧池+消化池+好氧流化床+去磷池+清水池”处理工艺</w:t>
      </w:r>
      <w:r>
        <w:rPr>
          <w:rFonts w:hint="eastAsia" w:cs="Times New Roman"/>
          <w:lang w:eastAsia="zh-CN"/>
        </w:rPr>
        <w:t>，</w:t>
      </w:r>
      <w:r>
        <w:rPr>
          <w:rFonts w:hint="eastAsia" w:cs="Times New Roman"/>
          <w:lang w:val="en-US" w:eastAsia="zh-CN"/>
        </w:rPr>
        <w:t>处理后尾水湘阴县第二污水处理厂进水水质标准及《污水综合排放标准》三级标准后，</w:t>
      </w:r>
      <w:r>
        <w:rPr>
          <w:rFonts w:hint="default" w:ascii="Times New Roman" w:hAnsi="Times New Roman" w:cs="Times New Roman"/>
          <w:color w:val="auto"/>
          <w:highlight w:val="none"/>
          <w:u w:val="none" w:color="auto"/>
        </w:rPr>
        <w:t>纳入湘阴县第二污水处理厂处理</w:t>
      </w:r>
      <w:r>
        <w:rPr>
          <w:rFonts w:hint="eastAsia" w:ascii="Times New Roman" w:hAnsi="Times New Roman" w:cs="Times New Roman"/>
          <w:color w:val="auto"/>
          <w:highlight w:val="none"/>
          <w:u w:val="none" w:color="auto"/>
          <w:lang w:eastAsia="zh-CN"/>
        </w:rPr>
        <w:t>。</w:t>
      </w:r>
    </w:p>
    <w:p w14:paraId="13DEE916">
      <w:pPr>
        <w:pStyle w:val="5"/>
        <w:bidi w:val="0"/>
        <w:rPr>
          <w:rFonts w:hint="default"/>
        </w:rPr>
      </w:pPr>
      <w:bookmarkStart w:id="90" w:name="_Toc29512"/>
      <w:r>
        <w:rPr>
          <w:rFonts w:hint="default"/>
        </w:rPr>
        <w:t>建设规模及进出水水质论证</w:t>
      </w:r>
      <w:bookmarkEnd w:id="90"/>
    </w:p>
    <w:p w14:paraId="2584DD12">
      <w:pPr>
        <w:pStyle w:val="6"/>
        <w:bidi w:val="0"/>
        <w:rPr>
          <w:rFonts w:hint="default"/>
        </w:rPr>
      </w:pPr>
      <w:r>
        <w:rPr>
          <w:rFonts w:hint="default"/>
        </w:rPr>
        <w:t>污水处理厂</w:t>
      </w:r>
      <w:r>
        <w:rPr>
          <w:rFonts w:hint="eastAsia"/>
          <w:lang w:val="en-US" w:eastAsia="zh-CN"/>
        </w:rPr>
        <w:t>纳污</w:t>
      </w:r>
      <w:r>
        <w:rPr>
          <w:rFonts w:hint="default"/>
        </w:rPr>
        <w:t>范围</w:t>
      </w:r>
    </w:p>
    <w:p w14:paraId="53A8A30E">
      <w:pPr>
        <w:rPr>
          <w:rFonts w:hint="default"/>
        </w:rPr>
      </w:pPr>
      <w:r>
        <w:rPr>
          <w:rFonts w:hint="default"/>
        </w:rPr>
        <w:t>为</w:t>
      </w:r>
      <w:r>
        <w:rPr>
          <w:rFonts w:hint="eastAsia"/>
          <w:lang w:val="en-US" w:eastAsia="zh-CN"/>
        </w:rPr>
        <w:t>湘阴</w:t>
      </w:r>
      <w:r>
        <w:rPr>
          <w:rFonts w:hint="default"/>
        </w:rPr>
        <w:t>佳海食品产业园区配套的工业污水处理工程，纳污范围为湘阴佳海食品产业园区</w:t>
      </w:r>
      <w:r>
        <w:rPr>
          <w:rFonts w:hint="eastAsia"/>
          <w:lang w:val="en-US" w:eastAsia="zh-CN"/>
        </w:rPr>
        <w:t>食品企业</w:t>
      </w:r>
      <w:r>
        <w:rPr>
          <w:rFonts w:hint="default"/>
        </w:rPr>
        <w:t>生产废水。</w:t>
      </w:r>
    </w:p>
    <w:p w14:paraId="1FD4B8D2">
      <w:pPr>
        <w:pStyle w:val="6"/>
        <w:bidi w:val="0"/>
        <w:rPr>
          <w:rFonts w:hint="default"/>
        </w:rPr>
      </w:pPr>
      <w:r>
        <w:rPr>
          <w:rFonts w:hint="default"/>
        </w:rPr>
        <w:t>工程规模的确定</w:t>
      </w:r>
    </w:p>
    <w:p w14:paraId="7104B933">
      <w:pPr>
        <w:rPr>
          <w:rFonts w:hint="eastAsia" w:eastAsia="宋体"/>
          <w:lang w:eastAsia="zh-CN"/>
        </w:rPr>
      </w:pPr>
      <w:r>
        <w:rPr>
          <w:rFonts w:hint="eastAsia"/>
          <w:lang w:val="en-US" w:eastAsia="zh-CN"/>
        </w:rPr>
        <w:t>湘阴佳海绿色食品产业园一期产业定位为食品原材料生产、健康食品半加工、农副产品精深加工、功能性保健食品、中央厨房、新型食品加工及相关原辅材料研发、生产、检测等配套项目，打造一站式食品产业集中地。目前湘阴佳海绿色食品产业园一期在建设阶段，根据建设单位根据湘阴佳海绿色食品产业园一期拟引进的企业规划情况，及参考与湘阴食品佳海产业园类似产业园湘潭</w:t>
      </w:r>
      <w:r>
        <w:rPr>
          <w:rFonts w:hint="default"/>
        </w:rPr>
        <w:t>佳海食品医药产业园现已入园或即将入驻的产生生产废水的企业工业废水总量统计</w:t>
      </w:r>
      <w:r>
        <w:rPr>
          <w:rFonts w:hint="eastAsia"/>
          <w:lang w:eastAsia="zh-CN"/>
        </w:rPr>
        <w:t>，</w:t>
      </w:r>
      <w:r>
        <w:rPr>
          <w:rFonts w:hint="eastAsia"/>
          <w:lang w:val="en-US" w:eastAsia="zh-CN"/>
        </w:rPr>
        <w:t>本项目污水处理站设计规模为1200t/a</w:t>
      </w:r>
      <w:r>
        <w:rPr>
          <w:rFonts w:hint="eastAsia"/>
          <w:lang w:eastAsia="zh-CN"/>
        </w:rPr>
        <w:t>。</w:t>
      </w:r>
    </w:p>
    <w:p w14:paraId="03FF36DA">
      <w:pPr>
        <w:pStyle w:val="6"/>
        <w:bidi w:val="0"/>
        <w:rPr>
          <w:rFonts w:hint="default"/>
        </w:rPr>
      </w:pPr>
      <w:r>
        <w:rPr>
          <w:rFonts w:hint="default"/>
        </w:rPr>
        <w:t>污水处理</w:t>
      </w:r>
      <w:r>
        <w:rPr>
          <w:rFonts w:hint="eastAsia"/>
          <w:lang w:val="en-US" w:eastAsia="zh-CN"/>
        </w:rPr>
        <w:t>站</w:t>
      </w:r>
      <w:r>
        <w:rPr>
          <w:rFonts w:hint="default"/>
        </w:rPr>
        <w:t>进出水水质论证</w:t>
      </w:r>
    </w:p>
    <w:p w14:paraId="66C911A6">
      <w:pPr>
        <w:rPr>
          <w:rFonts w:hint="default"/>
          <w:lang w:val="en-US" w:eastAsia="zh-CN"/>
        </w:rPr>
      </w:pPr>
      <w:r>
        <w:rPr>
          <w:rFonts w:hint="eastAsia"/>
          <w:lang w:val="en-US" w:eastAsia="zh-CN"/>
        </w:rPr>
        <w:t>（1）进水水质</w:t>
      </w:r>
    </w:p>
    <w:p w14:paraId="43566286">
      <w:pPr>
        <w:rPr>
          <w:rFonts w:hint="eastAsia"/>
          <w:lang w:val="en-US" w:eastAsia="zh-CN"/>
        </w:rPr>
      </w:pPr>
      <w:r>
        <w:rPr>
          <w:rFonts w:hint="eastAsia"/>
          <w:lang w:val="en-US" w:eastAsia="zh-CN"/>
        </w:rPr>
        <w:t>本项目服务湘阴佳海绿色食品产业园一期内食品企业生产废水，该产业园拟引进企业</w:t>
      </w:r>
      <w:r>
        <w:rPr>
          <w:rFonts w:hint="default"/>
          <w:lang w:val="en-US" w:eastAsia="zh-CN"/>
        </w:rPr>
        <w:t>与湘潭佳海食品医药产业园</w:t>
      </w:r>
      <w:r>
        <w:rPr>
          <w:rFonts w:hint="eastAsia"/>
          <w:lang w:val="en-US" w:eastAsia="zh-CN"/>
        </w:rPr>
        <w:t>，</w:t>
      </w:r>
      <w:r>
        <w:rPr>
          <w:rFonts w:hint="default"/>
          <w:lang w:val="en-US" w:eastAsia="zh-CN"/>
        </w:rPr>
        <w:t>南县经济开发区食品产业园内企业类型一致，参考并收集湘潭佳海食品医药产业园</w:t>
      </w:r>
      <w:r>
        <w:rPr>
          <w:rFonts w:hint="eastAsia"/>
          <w:lang w:val="en-US" w:eastAsia="zh-CN"/>
        </w:rPr>
        <w:t>、</w:t>
      </w:r>
      <w:r>
        <w:rPr>
          <w:rFonts w:hint="default"/>
          <w:lang w:val="en-US" w:eastAsia="zh-CN"/>
        </w:rPr>
        <w:t>南县经济开发区食品产业园内企业相关资料，综合废水处理工程污染因子主要为COD、</w:t>
      </w:r>
      <w:r>
        <w:rPr>
          <w:rFonts w:hint="eastAsia"/>
          <w:lang w:val="en-US" w:eastAsia="zh-CN"/>
        </w:rPr>
        <w:t>NH</w:t>
      </w:r>
      <w:r>
        <w:rPr>
          <w:rFonts w:hint="eastAsia"/>
          <w:vertAlign w:val="subscript"/>
          <w:lang w:val="en-US" w:eastAsia="zh-CN"/>
        </w:rPr>
        <w:t>3</w:t>
      </w:r>
      <w:r>
        <w:rPr>
          <w:rFonts w:hint="default"/>
          <w:lang w:val="en-US" w:eastAsia="zh-CN"/>
        </w:rPr>
        <w:t>-N、</w:t>
      </w:r>
      <w:r>
        <w:rPr>
          <w:rFonts w:hint="eastAsia"/>
          <w:lang w:val="en-US" w:eastAsia="zh-CN"/>
        </w:rPr>
        <w:t>BOD</w:t>
      </w:r>
      <w:r>
        <w:rPr>
          <w:rFonts w:hint="eastAsia"/>
          <w:vertAlign w:val="subscript"/>
          <w:lang w:val="en-US" w:eastAsia="zh-CN"/>
        </w:rPr>
        <w:t>5</w:t>
      </w:r>
      <w:r>
        <w:rPr>
          <w:rFonts w:hint="default"/>
          <w:lang w:val="en-US" w:eastAsia="zh-CN"/>
        </w:rPr>
        <w:t>、SS</w:t>
      </w:r>
      <w:r>
        <w:rPr>
          <w:rFonts w:hint="eastAsia"/>
          <w:lang w:val="en-US" w:eastAsia="zh-CN"/>
        </w:rPr>
        <w:t>、总磷、盐分</w:t>
      </w:r>
      <w:r>
        <w:rPr>
          <w:rFonts w:hint="default"/>
          <w:lang w:val="en-US" w:eastAsia="zh-CN"/>
        </w:rPr>
        <w:t>等常规污染物</w:t>
      </w:r>
      <w:r>
        <w:rPr>
          <w:rFonts w:hint="eastAsia"/>
          <w:lang w:val="en-US" w:eastAsia="zh-CN"/>
        </w:rPr>
        <w:t>。</w:t>
      </w:r>
    </w:p>
    <w:p w14:paraId="1C82486F">
      <w:pPr>
        <w:rPr>
          <w:rFonts w:hint="eastAsia"/>
          <w:lang w:val="en-US" w:eastAsia="zh-CN"/>
        </w:rPr>
      </w:pPr>
      <w:r>
        <w:rPr>
          <w:rFonts w:hint="eastAsia"/>
          <w:lang w:val="en-US" w:eastAsia="zh-CN"/>
        </w:rPr>
        <w:t>佳海拟入驻企业的生产废水主要分为蔬菜制品污水、剁辣椒污水、肉制品污水、设备清洗水。混合后的废水具有如下水质特点：</w:t>
      </w:r>
    </w:p>
    <w:p w14:paraId="79D3B86F">
      <w:pPr>
        <w:rPr>
          <w:rFonts w:hint="eastAsia"/>
          <w:lang w:val="en-US" w:eastAsia="zh-CN"/>
        </w:rPr>
      </w:pPr>
      <w:r>
        <w:rPr>
          <w:rFonts w:hint="eastAsia"/>
          <w:lang w:val="en-US" w:eastAsia="zh-CN"/>
        </w:rPr>
        <w:t>1）废水中含有大量的米制品、渣皮、辣椒籽、碎肉等悬浮物，需设置良好的预处理措施进行去除，防止堵塞后续设备管道；</w:t>
      </w:r>
    </w:p>
    <w:p w14:paraId="07774251">
      <w:pPr>
        <w:rPr>
          <w:rFonts w:hint="eastAsia"/>
          <w:lang w:val="en-US" w:eastAsia="zh-CN"/>
        </w:rPr>
      </w:pPr>
      <w:r>
        <w:rPr>
          <w:rFonts w:hint="eastAsia"/>
          <w:lang w:val="en-US" w:eastAsia="zh-CN"/>
        </w:rPr>
        <w:t>2）废水中有机污染物含量高，属于高浓度有机废水，主要污染物成分为植物蛋白、脂肪酸、氨基酸等，大部分为易生物降解有机物，可生化性很好；</w:t>
      </w:r>
    </w:p>
    <w:p w14:paraId="38E17634">
      <w:pPr>
        <w:rPr>
          <w:rFonts w:hint="eastAsia"/>
          <w:lang w:val="en-US" w:eastAsia="zh-CN"/>
        </w:rPr>
      </w:pPr>
      <w:r>
        <w:rPr>
          <w:rFonts w:hint="eastAsia"/>
          <w:lang w:val="en-US" w:eastAsia="zh-CN"/>
        </w:rPr>
        <w:t>3）废水有机氮含量较高，经厌氧反应后部分有机氮转变成无机氮并以氨氮的形式存在，使进入好氧处理工段的废水氨氮含量升高，成为好氧工艺选择的控制指标，因此好氧处理工段必须具有去碳脱氮的功能才能确保出水达标排放；</w:t>
      </w:r>
    </w:p>
    <w:p w14:paraId="6ACA6D8F">
      <w:pPr>
        <w:rPr>
          <w:rFonts w:hint="eastAsia"/>
          <w:lang w:val="en-US" w:eastAsia="zh-CN"/>
        </w:rPr>
      </w:pPr>
      <w:r>
        <w:rPr>
          <w:rFonts w:hint="eastAsia"/>
          <w:lang w:val="en-US" w:eastAsia="zh-CN"/>
        </w:rPr>
        <w:t>4）废水pH值偏低：根据行业经验污水的pH值4.0，pH值偏低，影响后续系统，特别是生化系统，需要投加碱。同时废水中总磷含量高，需要投加药剂进行处理。针对几项问题，选择合适的预处理工艺，选择生化系统稳定运行，产泥量少，运行费用低的技术是有必要的。</w:t>
      </w:r>
    </w:p>
    <w:p w14:paraId="639F50DC">
      <w:pPr>
        <w:rPr>
          <w:rFonts w:hint="default"/>
          <w:lang w:val="en-US" w:eastAsia="zh-CN"/>
        </w:rPr>
      </w:pPr>
      <w:r>
        <w:rPr>
          <w:rFonts w:hint="eastAsia"/>
          <w:lang w:val="en-US" w:eastAsia="zh-CN"/>
        </w:rPr>
        <w:t>另根据湘阴佳海绿色食品产业园一期污水处理站设计方案</w:t>
      </w:r>
      <w:r>
        <w:rPr>
          <w:rFonts w:hint="default"/>
          <w:lang w:val="en-US" w:eastAsia="zh-CN"/>
        </w:rPr>
        <w:t>，污水处理进水水质指标如下：</w:t>
      </w:r>
    </w:p>
    <w:p w14:paraId="4A97571E">
      <w:pPr>
        <w:pStyle w:val="39"/>
        <w:bidi w:val="0"/>
        <w:rPr>
          <w:rFonts w:hint="default"/>
          <w:lang w:val="en-US" w:eastAsia="zh-CN"/>
        </w:rPr>
      </w:pPr>
      <w:r>
        <w:rPr>
          <w:rFonts w:hint="default"/>
          <w:lang w:val="en-US" w:eastAsia="zh-CN"/>
        </w:rPr>
        <w:t>表3.2-</w:t>
      </w:r>
      <w:r>
        <w:rPr>
          <w:rFonts w:hint="eastAsia"/>
          <w:lang w:val="en-US" w:eastAsia="zh-CN"/>
        </w:rPr>
        <w:t xml:space="preserve">1 </w:t>
      </w:r>
      <w:r>
        <w:rPr>
          <w:rFonts w:hint="default"/>
          <w:lang w:val="en-US" w:eastAsia="zh-CN"/>
        </w:rPr>
        <w:t xml:space="preserve"> 本工程设计进水水质参数表单位：mg/L</w:t>
      </w:r>
    </w:p>
    <w:tbl>
      <w:tblPr>
        <w:tblStyle w:val="51"/>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32"/>
        <w:gridCol w:w="950"/>
        <w:gridCol w:w="919"/>
        <w:gridCol w:w="772"/>
        <w:gridCol w:w="674"/>
        <w:gridCol w:w="1020"/>
        <w:gridCol w:w="1020"/>
        <w:gridCol w:w="1021"/>
        <w:gridCol w:w="1021"/>
      </w:tblGrid>
      <w:tr w14:paraId="7F29E2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59" w:type="pct"/>
            <w:tcBorders>
              <w:tl2br w:val="nil"/>
              <w:tr2bl w:val="nil"/>
            </w:tcBorders>
            <w:vAlign w:val="center"/>
          </w:tcPr>
          <w:p w14:paraId="16775FD7">
            <w:pPr>
              <w:pStyle w:val="42"/>
              <w:bidi w:val="0"/>
              <w:jc w:val="center"/>
            </w:pPr>
            <w:r>
              <w:t>水质参数</w:t>
            </w:r>
          </w:p>
        </w:tc>
        <w:tc>
          <w:tcPr>
            <w:tcW w:w="570" w:type="pct"/>
            <w:tcBorders>
              <w:tl2br w:val="nil"/>
              <w:tr2bl w:val="nil"/>
            </w:tcBorders>
            <w:vAlign w:val="center"/>
          </w:tcPr>
          <w:p w14:paraId="547F5AA2">
            <w:pPr>
              <w:pStyle w:val="42"/>
              <w:bidi w:val="0"/>
              <w:jc w:val="center"/>
            </w:pPr>
            <w:r>
              <w:rPr>
                <w:rFonts w:hint="eastAsia"/>
                <w:lang w:eastAsia="zh-CN"/>
              </w:rPr>
              <w:t>COD</w:t>
            </w:r>
            <w:r>
              <w:rPr>
                <w:rFonts w:hint="eastAsia"/>
                <w:vertAlign w:val="subscript"/>
                <w:lang w:eastAsia="zh-CN"/>
              </w:rPr>
              <w:t>cr</w:t>
            </w:r>
          </w:p>
        </w:tc>
        <w:tc>
          <w:tcPr>
            <w:tcW w:w="551" w:type="pct"/>
            <w:tcBorders>
              <w:tl2br w:val="nil"/>
              <w:tr2bl w:val="nil"/>
            </w:tcBorders>
            <w:vAlign w:val="center"/>
          </w:tcPr>
          <w:p w14:paraId="0F472393">
            <w:pPr>
              <w:pStyle w:val="42"/>
              <w:bidi w:val="0"/>
              <w:jc w:val="center"/>
            </w:pPr>
            <w:r>
              <w:rPr>
                <w:rFonts w:hint="eastAsia"/>
                <w:lang w:eastAsia="zh-CN"/>
              </w:rPr>
              <w:t>BOD</w:t>
            </w:r>
            <w:r>
              <w:rPr>
                <w:rFonts w:hint="eastAsia"/>
                <w:vertAlign w:val="subscript"/>
                <w:lang w:eastAsia="zh-CN"/>
              </w:rPr>
              <w:t>5</w:t>
            </w:r>
          </w:p>
        </w:tc>
        <w:tc>
          <w:tcPr>
            <w:tcW w:w="463" w:type="pct"/>
            <w:tcBorders>
              <w:tl2br w:val="nil"/>
              <w:tr2bl w:val="nil"/>
            </w:tcBorders>
            <w:vAlign w:val="center"/>
          </w:tcPr>
          <w:p w14:paraId="1B127EF1">
            <w:pPr>
              <w:pStyle w:val="42"/>
              <w:bidi w:val="0"/>
              <w:jc w:val="center"/>
            </w:pPr>
            <w:r>
              <w:t>SS</w:t>
            </w:r>
          </w:p>
        </w:tc>
        <w:tc>
          <w:tcPr>
            <w:tcW w:w="404" w:type="pct"/>
            <w:tcBorders>
              <w:tl2br w:val="nil"/>
              <w:tr2bl w:val="nil"/>
            </w:tcBorders>
            <w:vAlign w:val="center"/>
          </w:tcPr>
          <w:p w14:paraId="6B2586AE">
            <w:pPr>
              <w:pStyle w:val="42"/>
              <w:bidi w:val="0"/>
              <w:jc w:val="center"/>
            </w:pPr>
            <w:r>
              <w:t>pH</w:t>
            </w:r>
          </w:p>
        </w:tc>
        <w:tc>
          <w:tcPr>
            <w:tcW w:w="612" w:type="pct"/>
            <w:tcBorders>
              <w:tl2br w:val="nil"/>
              <w:tr2bl w:val="nil"/>
            </w:tcBorders>
            <w:vAlign w:val="center"/>
          </w:tcPr>
          <w:p w14:paraId="7635EE46">
            <w:pPr>
              <w:pStyle w:val="42"/>
              <w:bidi w:val="0"/>
              <w:jc w:val="center"/>
            </w:pPr>
            <w:r>
              <w:t>氨氮</w:t>
            </w:r>
          </w:p>
        </w:tc>
        <w:tc>
          <w:tcPr>
            <w:tcW w:w="612" w:type="pct"/>
            <w:tcBorders>
              <w:tl2br w:val="nil"/>
              <w:tr2bl w:val="nil"/>
            </w:tcBorders>
            <w:vAlign w:val="center"/>
          </w:tcPr>
          <w:p w14:paraId="48014D34">
            <w:pPr>
              <w:pStyle w:val="42"/>
              <w:bidi w:val="0"/>
              <w:jc w:val="center"/>
              <w:rPr>
                <w:rFonts w:hint="default" w:eastAsia="宋体"/>
                <w:lang w:val="en-US" w:eastAsia="zh-CN"/>
              </w:rPr>
            </w:pPr>
            <w:r>
              <w:rPr>
                <w:rFonts w:hint="eastAsia"/>
                <w:lang w:val="en-US" w:eastAsia="zh-CN"/>
              </w:rPr>
              <w:t>总磷</w:t>
            </w:r>
          </w:p>
        </w:tc>
        <w:tc>
          <w:tcPr>
            <w:tcW w:w="612" w:type="pct"/>
            <w:tcBorders>
              <w:tl2br w:val="nil"/>
              <w:tr2bl w:val="nil"/>
            </w:tcBorders>
            <w:vAlign w:val="center"/>
          </w:tcPr>
          <w:p w14:paraId="5DE05DFC">
            <w:pPr>
              <w:pStyle w:val="42"/>
              <w:bidi w:val="0"/>
              <w:jc w:val="center"/>
              <w:rPr>
                <w:rFonts w:hint="default"/>
                <w:lang w:val="en-US" w:eastAsia="zh-CN"/>
              </w:rPr>
            </w:pPr>
            <w:r>
              <w:rPr>
                <w:rFonts w:hint="eastAsia"/>
                <w:lang w:val="en-US" w:eastAsia="zh-CN"/>
              </w:rPr>
              <w:t>动植物油</w:t>
            </w:r>
          </w:p>
        </w:tc>
        <w:tc>
          <w:tcPr>
            <w:tcW w:w="612" w:type="pct"/>
            <w:tcBorders>
              <w:tl2br w:val="nil"/>
              <w:tr2bl w:val="nil"/>
            </w:tcBorders>
            <w:vAlign w:val="center"/>
          </w:tcPr>
          <w:p w14:paraId="0C56C47E">
            <w:pPr>
              <w:pStyle w:val="42"/>
              <w:bidi w:val="0"/>
              <w:jc w:val="center"/>
              <w:rPr>
                <w:rFonts w:hint="default"/>
                <w:lang w:val="en-US" w:eastAsia="zh-CN"/>
              </w:rPr>
            </w:pPr>
            <w:r>
              <w:rPr>
                <w:rFonts w:hint="eastAsia"/>
                <w:lang w:val="en-US" w:eastAsia="zh-CN"/>
              </w:rPr>
              <w:t>盐分</w:t>
            </w:r>
          </w:p>
        </w:tc>
      </w:tr>
      <w:tr w14:paraId="4A64A9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59" w:type="pct"/>
            <w:tcBorders>
              <w:tl2br w:val="nil"/>
              <w:tr2bl w:val="nil"/>
            </w:tcBorders>
            <w:vAlign w:val="center"/>
          </w:tcPr>
          <w:p w14:paraId="7AAF5266">
            <w:pPr>
              <w:pStyle w:val="42"/>
              <w:bidi w:val="0"/>
              <w:jc w:val="center"/>
            </w:pPr>
            <w:r>
              <w:t>设计限值</w:t>
            </w:r>
          </w:p>
        </w:tc>
        <w:tc>
          <w:tcPr>
            <w:tcW w:w="570" w:type="pct"/>
            <w:tcBorders>
              <w:tl2br w:val="nil"/>
              <w:tr2bl w:val="nil"/>
            </w:tcBorders>
            <w:vAlign w:val="center"/>
          </w:tcPr>
          <w:p w14:paraId="46EB4B00">
            <w:pPr>
              <w:pStyle w:val="42"/>
              <w:bidi w:val="0"/>
              <w:jc w:val="center"/>
            </w:pPr>
            <w:r>
              <w:t>＜6000</w:t>
            </w:r>
          </w:p>
        </w:tc>
        <w:tc>
          <w:tcPr>
            <w:tcW w:w="551" w:type="pct"/>
            <w:tcBorders>
              <w:tl2br w:val="nil"/>
              <w:tr2bl w:val="nil"/>
            </w:tcBorders>
            <w:vAlign w:val="center"/>
          </w:tcPr>
          <w:p w14:paraId="24064005">
            <w:pPr>
              <w:pStyle w:val="42"/>
              <w:bidi w:val="0"/>
              <w:jc w:val="center"/>
            </w:pPr>
            <w:r>
              <w:t>＜2500</w:t>
            </w:r>
          </w:p>
        </w:tc>
        <w:tc>
          <w:tcPr>
            <w:tcW w:w="463" w:type="pct"/>
            <w:tcBorders>
              <w:tl2br w:val="nil"/>
              <w:tr2bl w:val="nil"/>
            </w:tcBorders>
            <w:vAlign w:val="center"/>
          </w:tcPr>
          <w:p w14:paraId="4AB265A4">
            <w:pPr>
              <w:pStyle w:val="42"/>
              <w:bidi w:val="0"/>
              <w:jc w:val="center"/>
            </w:pPr>
            <w:r>
              <w:t>＜500</w:t>
            </w:r>
          </w:p>
        </w:tc>
        <w:tc>
          <w:tcPr>
            <w:tcW w:w="404" w:type="pct"/>
            <w:tcBorders>
              <w:tl2br w:val="nil"/>
              <w:tr2bl w:val="nil"/>
            </w:tcBorders>
            <w:vAlign w:val="center"/>
          </w:tcPr>
          <w:p w14:paraId="7F81142D">
            <w:pPr>
              <w:pStyle w:val="42"/>
              <w:bidi w:val="0"/>
              <w:jc w:val="center"/>
            </w:pPr>
            <w:r>
              <w:t>4-6.5</w:t>
            </w:r>
          </w:p>
        </w:tc>
        <w:tc>
          <w:tcPr>
            <w:tcW w:w="612" w:type="pct"/>
            <w:tcBorders>
              <w:tl2br w:val="nil"/>
              <w:tr2bl w:val="nil"/>
            </w:tcBorders>
            <w:vAlign w:val="center"/>
          </w:tcPr>
          <w:p w14:paraId="77AEC704">
            <w:pPr>
              <w:pStyle w:val="42"/>
              <w:bidi w:val="0"/>
              <w:jc w:val="center"/>
            </w:pPr>
            <w:r>
              <w:t>＜100</w:t>
            </w:r>
          </w:p>
        </w:tc>
        <w:tc>
          <w:tcPr>
            <w:tcW w:w="612" w:type="pct"/>
            <w:tcBorders>
              <w:tl2br w:val="nil"/>
              <w:tr2bl w:val="nil"/>
            </w:tcBorders>
            <w:vAlign w:val="center"/>
          </w:tcPr>
          <w:p w14:paraId="356A171F">
            <w:pPr>
              <w:pStyle w:val="42"/>
              <w:bidi w:val="0"/>
              <w:jc w:val="center"/>
              <w:rPr>
                <w:rFonts w:hint="default" w:eastAsia="宋体"/>
                <w:lang w:val="en-US" w:eastAsia="zh-CN"/>
              </w:rPr>
            </w:pPr>
            <w:r>
              <w:t>＜</w:t>
            </w:r>
            <w:r>
              <w:rPr>
                <w:rFonts w:hint="eastAsia"/>
                <w:lang w:val="en-US" w:eastAsia="zh-CN"/>
              </w:rPr>
              <w:t>40</w:t>
            </w:r>
          </w:p>
        </w:tc>
        <w:tc>
          <w:tcPr>
            <w:tcW w:w="612" w:type="pct"/>
            <w:tcBorders>
              <w:tl2br w:val="nil"/>
              <w:tr2bl w:val="nil"/>
            </w:tcBorders>
            <w:vAlign w:val="center"/>
          </w:tcPr>
          <w:p w14:paraId="5835AA40">
            <w:pPr>
              <w:pStyle w:val="42"/>
              <w:bidi w:val="0"/>
              <w:jc w:val="center"/>
              <w:rPr>
                <w:rFonts w:hint="default" w:eastAsia="宋体"/>
                <w:lang w:val="en-US" w:eastAsia="zh-CN"/>
              </w:rPr>
            </w:pPr>
            <w:r>
              <w:t>＜</w:t>
            </w:r>
            <w:r>
              <w:rPr>
                <w:rFonts w:hint="eastAsia"/>
                <w:lang w:val="en-US" w:eastAsia="zh-CN"/>
              </w:rPr>
              <w:t>800</w:t>
            </w:r>
          </w:p>
        </w:tc>
        <w:tc>
          <w:tcPr>
            <w:tcW w:w="612" w:type="pct"/>
            <w:tcBorders>
              <w:tl2br w:val="nil"/>
              <w:tr2bl w:val="nil"/>
            </w:tcBorders>
            <w:vAlign w:val="center"/>
          </w:tcPr>
          <w:p w14:paraId="603FD23C">
            <w:pPr>
              <w:pStyle w:val="42"/>
              <w:bidi w:val="0"/>
              <w:jc w:val="center"/>
              <w:rPr>
                <w:rFonts w:hint="default" w:eastAsia="宋体"/>
                <w:lang w:val="en-US" w:eastAsia="zh-CN"/>
              </w:rPr>
            </w:pPr>
            <w:r>
              <w:rPr>
                <w:rFonts w:hint="eastAsia"/>
                <w:lang w:val="en-US" w:eastAsia="zh-CN"/>
              </w:rPr>
              <w:t>＜15000</w:t>
            </w:r>
          </w:p>
        </w:tc>
      </w:tr>
    </w:tbl>
    <w:p w14:paraId="4A2FF6A8">
      <w:pPr>
        <w:bidi w:val="0"/>
        <w:rPr>
          <w:rFonts w:hint="default"/>
          <w:lang w:val="en-US" w:eastAsia="zh-CN"/>
        </w:rPr>
      </w:pPr>
      <w:r>
        <w:rPr>
          <w:rFonts w:hint="default"/>
          <w:lang w:val="en-US" w:eastAsia="zh-CN"/>
        </w:rPr>
        <w:t>为保障污水处理站能正常运行，对排入本项目污水处理站的企业废水需满足以下要求：</w:t>
      </w:r>
    </w:p>
    <w:p w14:paraId="4A203E32">
      <w:pPr>
        <w:bidi w:val="0"/>
        <w:rPr>
          <w:rFonts w:hint="default"/>
          <w:lang w:val="en-US" w:eastAsia="zh-CN"/>
        </w:rPr>
      </w:pPr>
      <w:r>
        <w:rPr>
          <w:rFonts w:hint="default"/>
          <w:lang w:val="en-US" w:eastAsia="zh-CN"/>
        </w:rPr>
        <w:t>a.含油量高的企业，如油炸食品企业，需在车间内单独设置隔油池后再排放，需定期清理隔油池的油泥、油渣。</w:t>
      </w:r>
    </w:p>
    <w:p w14:paraId="565B4B96">
      <w:pPr>
        <w:bidi w:val="0"/>
        <w:rPr>
          <w:rFonts w:hint="default"/>
          <w:lang w:val="en-US" w:eastAsia="zh-CN"/>
        </w:rPr>
      </w:pPr>
      <w:r>
        <w:rPr>
          <w:rFonts w:hint="default"/>
          <w:lang w:val="en-US" w:eastAsia="zh-CN"/>
        </w:rPr>
        <w:t>b.由于高浓度的盐类物质对微生物具有抑制和毒害作用，因此排放高盐废水的企业，如蔬菜腌渍业和鱼类加工业，需采取相应的预处理措施将污水中的盐分降低</w:t>
      </w:r>
      <w:r>
        <w:rPr>
          <w:rFonts w:hint="eastAsia"/>
          <w:lang w:val="en-US" w:eastAsia="zh-CN"/>
        </w:rPr>
        <w:t>，进入本污水处理站的盐分小于15000mg/L</w:t>
      </w:r>
      <w:r>
        <w:rPr>
          <w:rFonts w:hint="default"/>
          <w:lang w:val="en-US" w:eastAsia="zh-CN"/>
        </w:rPr>
        <w:t>。</w:t>
      </w:r>
    </w:p>
    <w:p w14:paraId="232F33CC">
      <w:pPr>
        <w:bidi w:val="0"/>
        <w:rPr>
          <w:rFonts w:hint="eastAsia"/>
          <w:lang w:val="en-US" w:eastAsia="zh-CN"/>
        </w:rPr>
      </w:pPr>
      <w:r>
        <w:rPr>
          <w:rFonts w:hint="eastAsia"/>
          <w:lang w:val="en-US" w:eastAsia="zh-CN"/>
        </w:rPr>
        <w:t>（2）出水水质</w:t>
      </w:r>
    </w:p>
    <w:p w14:paraId="414A21C8">
      <w:pPr>
        <w:bidi w:val="0"/>
        <w:rPr>
          <w:rFonts w:hint="default"/>
          <w:lang w:val="en-US" w:eastAsia="zh-CN"/>
        </w:rPr>
      </w:pPr>
      <w:r>
        <w:rPr>
          <w:rFonts w:hint="default"/>
          <w:lang w:val="en-US" w:eastAsia="zh-CN"/>
        </w:rPr>
        <w:t>污水处理站处理后</w:t>
      </w:r>
      <w:r>
        <w:rPr>
          <w:rFonts w:hint="eastAsia"/>
          <w:lang w:val="en-US" w:eastAsia="zh-CN"/>
        </w:rPr>
        <w:t>尾水</w:t>
      </w:r>
      <w:r>
        <w:rPr>
          <w:rFonts w:hint="default"/>
          <w:lang w:val="en-US" w:eastAsia="zh-CN"/>
        </w:rPr>
        <w:t>进入</w:t>
      </w:r>
      <w:r>
        <w:rPr>
          <w:rFonts w:hint="eastAsia"/>
          <w:lang w:val="en-US" w:eastAsia="zh-CN"/>
        </w:rPr>
        <w:t>湘阴</w:t>
      </w:r>
      <w:r>
        <w:rPr>
          <w:rFonts w:hint="default"/>
          <w:lang w:val="en-US" w:eastAsia="zh-CN"/>
        </w:rPr>
        <w:t>县第二污水处理厂，参照《污水综合排放标准》（GB8978-1996）三级标准要求，综合考虑</w:t>
      </w:r>
      <w:r>
        <w:rPr>
          <w:rFonts w:hint="eastAsia"/>
          <w:lang w:val="en-US" w:eastAsia="zh-CN"/>
        </w:rPr>
        <w:t>湘阴</w:t>
      </w:r>
      <w:r>
        <w:rPr>
          <w:rFonts w:hint="default"/>
          <w:lang w:val="en-US" w:eastAsia="zh-CN"/>
        </w:rPr>
        <w:t>县第二污水处理厂进厂水质要求</w:t>
      </w:r>
      <w:r>
        <w:rPr>
          <w:rFonts w:hint="eastAsia"/>
          <w:lang w:val="en-US" w:eastAsia="zh-CN"/>
        </w:rPr>
        <w:t>（</w:t>
      </w:r>
      <w:r>
        <w:rPr>
          <w:rFonts w:hint="eastAsia" w:ascii="Times New Roman" w:hAnsi="Times New Roman" w:cs="Times New Roman"/>
          <w:color w:val="auto"/>
          <w:highlight w:val="none"/>
          <w:u w:val="none" w:color="auto"/>
          <w:lang w:val="en-US" w:eastAsia="zh-CN"/>
        </w:rPr>
        <w:t>氯化物执行《污水排入城镇下水道水质标准》（GB/T31962-2015）B级标准）</w:t>
      </w:r>
      <w:r>
        <w:rPr>
          <w:rFonts w:hint="default"/>
          <w:lang w:val="en-US" w:eastAsia="zh-CN"/>
        </w:rPr>
        <w:t>，本项目设计出水水质指标详见下表：</w:t>
      </w:r>
    </w:p>
    <w:p w14:paraId="5D4AB361">
      <w:pPr>
        <w:pStyle w:val="39"/>
        <w:bidi w:val="0"/>
        <w:rPr>
          <w:rFonts w:hint="default"/>
          <w:lang w:val="en-US" w:eastAsia="zh-CN"/>
        </w:rPr>
      </w:pPr>
      <w:r>
        <w:rPr>
          <w:rFonts w:hint="default"/>
          <w:lang w:val="en-US" w:eastAsia="zh-CN"/>
        </w:rPr>
        <w:t>表3</w:t>
      </w:r>
      <w:r>
        <w:rPr>
          <w:rFonts w:hint="eastAsia"/>
          <w:lang w:val="en-US" w:eastAsia="zh-CN"/>
        </w:rPr>
        <w:t>.2</w:t>
      </w:r>
      <w:r>
        <w:rPr>
          <w:rFonts w:hint="default"/>
          <w:lang w:val="en-US" w:eastAsia="zh-CN"/>
        </w:rPr>
        <w:t>-</w:t>
      </w:r>
      <w:r>
        <w:rPr>
          <w:rFonts w:hint="eastAsia"/>
          <w:lang w:val="en-US" w:eastAsia="zh-CN"/>
        </w:rPr>
        <w:t xml:space="preserve">2 </w:t>
      </w:r>
      <w:r>
        <w:rPr>
          <w:rFonts w:hint="default"/>
          <w:lang w:val="en-US" w:eastAsia="zh-CN"/>
        </w:rPr>
        <w:t xml:space="preserve"> 本工程设计出水水质参数表单位：mg/L</w:t>
      </w:r>
    </w:p>
    <w:tbl>
      <w:tblPr>
        <w:tblStyle w:val="51"/>
        <w:tblW w:w="499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62"/>
        <w:gridCol w:w="1084"/>
        <w:gridCol w:w="1047"/>
        <w:gridCol w:w="769"/>
        <w:gridCol w:w="556"/>
        <w:gridCol w:w="952"/>
        <w:gridCol w:w="952"/>
        <w:gridCol w:w="953"/>
        <w:gridCol w:w="953"/>
      </w:tblGrid>
      <w:tr w14:paraId="4C83B2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59" w:type="pct"/>
            <w:tcBorders>
              <w:tl2br w:val="nil"/>
              <w:tr2bl w:val="nil"/>
            </w:tcBorders>
            <w:vAlign w:val="center"/>
          </w:tcPr>
          <w:p w14:paraId="6252465C">
            <w:pPr>
              <w:pStyle w:val="42"/>
              <w:bidi w:val="0"/>
              <w:jc w:val="center"/>
            </w:pPr>
            <w:r>
              <w:t>水质参数</w:t>
            </w:r>
          </w:p>
        </w:tc>
        <w:tc>
          <w:tcPr>
            <w:tcW w:w="573" w:type="pct"/>
            <w:tcBorders>
              <w:tl2br w:val="nil"/>
              <w:tr2bl w:val="nil"/>
            </w:tcBorders>
            <w:vAlign w:val="center"/>
          </w:tcPr>
          <w:p w14:paraId="1FE3C87A">
            <w:pPr>
              <w:pStyle w:val="42"/>
              <w:bidi w:val="0"/>
              <w:jc w:val="center"/>
            </w:pPr>
            <w:r>
              <w:rPr>
                <w:rFonts w:hint="eastAsia"/>
                <w:lang w:eastAsia="zh-CN"/>
              </w:rPr>
              <w:t>COD</w:t>
            </w:r>
            <w:r>
              <w:rPr>
                <w:rFonts w:hint="eastAsia"/>
                <w:vertAlign w:val="subscript"/>
                <w:lang w:eastAsia="zh-CN"/>
              </w:rPr>
              <w:t>cr</w:t>
            </w:r>
            <w:r>
              <w:t>(mg/l)</w:t>
            </w:r>
          </w:p>
        </w:tc>
        <w:tc>
          <w:tcPr>
            <w:tcW w:w="553" w:type="pct"/>
            <w:tcBorders>
              <w:tl2br w:val="nil"/>
              <w:tr2bl w:val="nil"/>
            </w:tcBorders>
            <w:vAlign w:val="center"/>
          </w:tcPr>
          <w:p w14:paraId="1EC07EEC">
            <w:pPr>
              <w:pStyle w:val="42"/>
              <w:bidi w:val="0"/>
              <w:jc w:val="center"/>
            </w:pPr>
            <w:r>
              <w:rPr>
                <w:rFonts w:hint="eastAsia"/>
                <w:lang w:eastAsia="zh-CN"/>
              </w:rPr>
              <w:t>BOD</w:t>
            </w:r>
            <w:r>
              <w:rPr>
                <w:rFonts w:hint="eastAsia"/>
                <w:vertAlign w:val="subscript"/>
                <w:lang w:eastAsia="zh-CN"/>
              </w:rPr>
              <w:t>5</w:t>
            </w:r>
            <w:r>
              <w:t>(mg/l)</w:t>
            </w:r>
          </w:p>
        </w:tc>
        <w:tc>
          <w:tcPr>
            <w:tcW w:w="462" w:type="pct"/>
            <w:tcBorders>
              <w:tl2br w:val="nil"/>
              <w:tr2bl w:val="nil"/>
            </w:tcBorders>
            <w:vAlign w:val="center"/>
          </w:tcPr>
          <w:p w14:paraId="20C4480E">
            <w:pPr>
              <w:pStyle w:val="42"/>
              <w:bidi w:val="0"/>
              <w:jc w:val="center"/>
            </w:pPr>
            <w:r>
              <w:t>SS(mg/l)</w:t>
            </w:r>
          </w:p>
        </w:tc>
        <w:tc>
          <w:tcPr>
            <w:tcW w:w="377" w:type="pct"/>
            <w:tcBorders>
              <w:tl2br w:val="nil"/>
              <w:tr2bl w:val="nil"/>
            </w:tcBorders>
            <w:vAlign w:val="center"/>
          </w:tcPr>
          <w:p w14:paraId="74360139">
            <w:pPr>
              <w:pStyle w:val="42"/>
              <w:bidi w:val="0"/>
              <w:jc w:val="center"/>
            </w:pPr>
            <w:r>
              <w:t>pH</w:t>
            </w:r>
          </w:p>
        </w:tc>
        <w:tc>
          <w:tcPr>
            <w:tcW w:w="593" w:type="pct"/>
            <w:tcBorders>
              <w:tl2br w:val="nil"/>
              <w:tr2bl w:val="nil"/>
            </w:tcBorders>
            <w:vAlign w:val="center"/>
          </w:tcPr>
          <w:p w14:paraId="655CA503">
            <w:pPr>
              <w:pStyle w:val="42"/>
              <w:bidi w:val="0"/>
              <w:jc w:val="center"/>
            </w:pPr>
            <w:r>
              <w:t>氨氮(mg/l)</w:t>
            </w:r>
          </w:p>
        </w:tc>
        <w:tc>
          <w:tcPr>
            <w:tcW w:w="593" w:type="pct"/>
            <w:tcBorders>
              <w:tl2br w:val="nil"/>
              <w:tr2bl w:val="nil"/>
            </w:tcBorders>
            <w:vAlign w:val="center"/>
          </w:tcPr>
          <w:p w14:paraId="2D06F483">
            <w:pPr>
              <w:pStyle w:val="42"/>
              <w:bidi w:val="0"/>
              <w:jc w:val="center"/>
              <w:rPr>
                <w:rFonts w:hint="eastAsia" w:eastAsia="宋体"/>
                <w:lang w:val="en-US" w:eastAsia="zh-CN"/>
              </w:rPr>
            </w:pPr>
            <w:r>
              <w:rPr>
                <w:rFonts w:hint="eastAsia"/>
                <w:lang w:val="en-US" w:eastAsia="zh-CN"/>
              </w:rPr>
              <w:t>总磷</w:t>
            </w:r>
          </w:p>
        </w:tc>
        <w:tc>
          <w:tcPr>
            <w:tcW w:w="593" w:type="pct"/>
            <w:tcBorders>
              <w:tl2br w:val="nil"/>
              <w:tr2bl w:val="nil"/>
            </w:tcBorders>
            <w:vAlign w:val="center"/>
          </w:tcPr>
          <w:p w14:paraId="66C8A5DF">
            <w:pPr>
              <w:pStyle w:val="42"/>
              <w:bidi w:val="0"/>
              <w:jc w:val="center"/>
              <w:rPr>
                <w:rFonts w:hint="default"/>
                <w:lang w:val="en-US" w:eastAsia="zh-CN"/>
              </w:rPr>
            </w:pPr>
            <w:r>
              <w:rPr>
                <w:rFonts w:hint="eastAsia"/>
                <w:lang w:val="en-US" w:eastAsia="zh-CN"/>
              </w:rPr>
              <w:t>动植物油</w:t>
            </w:r>
          </w:p>
        </w:tc>
        <w:tc>
          <w:tcPr>
            <w:tcW w:w="593" w:type="pct"/>
            <w:tcBorders>
              <w:tl2br w:val="nil"/>
              <w:tr2bl w:val="nil"/>
            </w:tcBorders>
            <w:vAlign w:val="center"/>
          </w:tcPr>
          <w:p w14:paraId="18E90B79">
            <w:pPr>
              <w:pStyle w:val="42"/>
              <w:bidi w:val="0"/>
              <w:jc w:val="center"/>
              <w:rPr>
                <w:rFonts w:hint="eastAsia"/>
                <w:lang w:val="en-US" w:eastAsia="zh-CN"/>
              </w:rPr>
            </w:pPr>
            <w:r>
              <w:rPr>
                <w:rFonts w:hint="eastAsia"/>
                <w:lang w:val="en-US" w:eastAsia="zh-CN"/>
              </w:rPr>
              <w:t>氯化物</w:t>
            </w:r>
          </w:p>
        </w:tc>
      </w:tr>
      <w:tr w14:paraId="546DDC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59" w:type="pct"/>
            <w:tcBorders>
              <w:tl2br w:val="nil"/>
              <w:tr2bl w:val="nil"/>
            </w:tcBorders>
            <w:vAlign w:val="center"/>
          </w:tcPr>
          <w:p w14:paraId="3525F929">
            <w:pPr>
              <w:pStyle w:val="42"/>
              <w:bidi w:val="0"/>
              <w:jc w:val="center"/>
            </w:pPr>
            <w:r>
              <w:t>限值</w:t>
            </w:r>
          </w:p>
        </w:tc>
        <w:tc>
          <w:tcPr>
            <w:tcW w:w="573" w:type="pct"/>
            <w:tcBorders>
              <w:tl2br w:val="nil"/>
              <w:tr2bl w:val="nil"/>
            </w:tcBorders>
            <w:vAlign w:val="center"/>
          </w:tcPr>
          <w:p w14:paraId="47986987">
            <w:pPr>
              <w:pStyle w:val="42"/>
              <w:bidi w:val="0"/>
              <w:jc w:val="center"/>
            </w:pPr>
            <w:r>
              <w:t>＜500</w:t>
            </w:r>
          </w:p>
        </w:tc>
        <w:tc>
          <w:tcPr>
            <w:tcW w:w="553" w:type="pct"/>
            <w:tcBorders>
              <w:tl2br w:val="nil"/>
              <w:tr2bl w:val="nil"/>
            </w:tcBorders>
            <w:vAlign w:val="center"/>
          </w:tcPr>
          <w:p w14:paraId="78A0F1D0">
            <w:pPr>
              <w:pStyle w:val="42"/>
              <w:bidi w:val="0"/>
              <w:jc w:val="center"/>
            </w:pPr>
            <w:r>
              <w:t>＜300</w:t>
            </w:r>
          </w:p>
        </w:tc>
        <w:tc>
          <w:tcPr>
            <w:tcW w:w="462" w:type="pct"/>
            <w:tcBorders>
              <w:tl2br w:val="nil"/>
              <w:tr2bl w:val="nil"/>
            </w:tcBorders>
            <w:vAlign w:val="center"/>
          </w:tcPr>
          <w:p w14:paraId="2FBCCB7F">
            <w:pPr>
              <w:pStyle w:val="42"/>
              <w:bidi w:val="0"/>
              <w:jc w:val="center"/>
            </w:pPr>
            <w:r>
              <w:t>＜400</w:t>
            </w:r>
          </w:p>
        </w:tc>
        <w:tc>
          <w:tcPr>
            <w:tcW w:w="377" w:type="pct"/>
            <w:tcBorders>
              <w:tl2br w:val="nil"/>
              <w:tr2bl w:val="nil"/>
            </w:tcBorders>
            <w:vAlign w:val="center"/>
          </w:tcPr>
          <w:p w14:paraId="3D81BA46">
            <w:pPr>
              <w:pStyle w:val="42"/>
              <w:bidi w:val="0"/>
              <w:jc w:val="center"/>
            </w:pPr>
            <w:r>
              <w:t>6-9</w:t>
            </w:r>
          </w:p>
        </w:tc>
        <w:tc>
          <w:tcPr>
            <w:tcW w:w="593" w:type="pct"/>
            <w:tcBorders>
              <w:tl2br w:val="nil"/>
              <w:tr2bl w:val="nil"/>
            </w:tcBorders>
            <w:vAlign w:val="center"/>
          </w:tcPr>
          <w:p w14:paraId="5F20BD1C">
            <w:pPr>
              <w:pStyle w:val="42"/>
              <w:bidi w:val="0"/>
              <w:jc w:val="center"/>
            </w:pPr>
            <w:r>
              <w:t>＜45</w:t>
            </w:r>
          </w:p>
        </w:tc>
        <w:tc>
          <w:tcPr>
            <w:tcW w:w="593" w:type="pct"/>
            <w:tcBorders>
              <w:tl2br w:val="nil"/>
              <w:tr2bl w:val="nil"/>
            </w:tcBorders>
            <w:vAlign w:val="center"/>
          </w:tcPr>
          <w:p w14:paraId="0F6B9EB2">
            <w:pPr>
              <w:pStyle w:val="42"/>
              <w:bidi w:val="0"/>
              <w:jc w:val="center"/>
              <w:rPr>
                <w:rFonts w:hint="eastAsia" w:eastAsia="宋体"/>
                <w:lang w:val="en-US" w:eastAsia="zh-CN"/>
              </w:rPr>
            </w:pPr>
            <w:r>
              <w:t>＜</w:t>
            </w:r>
            <w:r>
              <w:rPr>
                <w:rFonts w:hint="eastAsia"/>
                <w:lang w:val="en-US" w:eastAsia="zh-CN"/>
              </w:rPr>
              <w:t>8</w:t>
            </w:r>
          </w:p>
        </w:tc>
        <w:tc>
          <w:tcPr>
            <w:tcW w:w="593" w:type="pct"/>
            <w:tcBorders>
              <w:tl2br w:val="nil"/>
              <w:tr2bl w:val="nil"/>
            </w:tcBorders>
            <w:vAlign w:val="center"/>
          </w:tcPr>
          <w:p w14:paraId="24450C1C">
            <w:pPr>
              <w:pStyle w:val="42"/>
              <w:bidi w:val="0"/>
              <w:jc w:val="center"/>
              <w:rPr>
                <w:rFonts w:hint="default" w:eastAsia="宋体"/>
                <w:lang w:val="en-US" w:eastAsia="zh-CN"/>
              </w:rPr>
            </w:pPr>
            <w:r>
              <w:t>＜</w:t>
            </w:r>
            <w:r>
              <w:rPr>
                <w:rFonts w:hint="eastAsia"/>
                <w:lang w:val="en-US" w:eastAsia="zh-CN"/>
              </w:rPr>
              <w:t>100</w:t>
            </w:r>
          </w:p>
        </w:tc>
        <w:tc>
          <w:tcPr>
            <w:tcW w:w="593" w:type="pct"/>
            <w:tcBorders>
              <w:tl2br w:val="nil"/>
              <w:tr2bl w:val="nil"/>
            </w:tcBorders>
            <w:vAlign w:val="center"/>
          </w:tcPr>
          <w:p w14:paraId="1CF02641">
            <w:pPr>
              <w:pStyle w:val="42"/>
              <w:bidi w:val="0"/>
              <w:jc w:val="center"/>
              <w:rPr>
                <w:rFonts w:hint="default" w:eastAsia="宋体"/>
                <w:lang w:val="en-US" w:eastAsia="zh-CN"/>
              </w:rPr>
            </w:pPr>
            <w:r>
              <w:t>＜</w:t>
            </w:r>
            <w:r>
              <w:rPr>
                <w:rFonts w:hint="eastAsia"/>
                <w:lang w:val="en-US" w:eastAsia="zh-CN"/>
              </w:rPr>
              <w:t>800</w:t>
            </w:r>
          </w:p>
        </w:tc>
      </w:tr>
    </w:tbl>
    <w:p w14:paraId="2525FDC9">
      <w:pPr>
        <w:pStyle w:val="5"/>
        <w:rPr>
          <w:rFonts w:hint="default" w:ascii="Times New Roman" w:hAnsi="Times New Roman" w:cs="Times New Roman"/>
          <w:color w:val="auto"/>
          <w:highlight w:val="none"/>
          <w:u w:val="none" w:color="auto"/>
        </w:rPr>
      </w:pPr>
      <w:bookmarkStart w:id="91" w:name="_Toc490915899"/>
      <w:bookmarkStart w:id="92" w:name="_Toc9629"/>
      <w:bookmarkStart w:id="93" w:name="_Toc17301"/>
      <w:r>
        <w:rPr>
          <w:rFonts w:hint="default" w:ascii="Times New Roman" w:hAnsi="Times New Roman" w:cs="Times New Roman"/>
          <w:color w:val="auto"/>
          <w:highlight w:val="none"/>
          <w:u w:val="none" w:color="auto"/>
        </w:rPr>
        <w:t>建设内容</w:t>
      </w:r>
      <w:bookmarkEnd w:id="87"/>
      <w:bookmarkEnd w:id="88"/>
      <w:bookmarkEnd w:id="91"/>
      <w:bookmarkEnd w:id="92"/>
      <w:bookmarkEnd w:id="93"/>
    </w:p>
    <w:p w14:paraId="4260E250">
      <w:pPr>
        <w:pStyle w:val="6"/>
        <w:rPr>
          <w:rFonts w:hint="default" w:ascii="Times New Roman" w:hAnsi="Times New Roman" w:cs="Times New Roman"/>
          <w:color w:val="auto"/>
          <w:highlight w:val="none"/>
          <w:u w:val="none" w:color="auto"/>
        </w:rPr>
      </w:pPr>
      <w:bookmarkStart w:id="94" w:name="_Toc209237357"/>
      <w:r>
        <w:rPr>
          <w:rFonts w:hint="default" w:ascii="Times New Roman" w:hAnsi="Times New Roman" w:cs="Times New Roman"/>
          <w:color w:val="auto"/>
          <w:highlight w:val="none"/>
          <w:u w:val="none" w:color="auto"/>
        </w:rPr>
        <w:t>建设项目工程组成</w:t>
      </w:r>
      <w:bookmarkEnd w:id="94"/>
    </w:p>
    <w:p w14:paraId="00FA1C2E">
      <w:pPr>
        <w:bidi w:val="0"/>
        <w:rPr>
          <w:rFonts w:hint="eastAsia"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建设规模：</w:t>
      </w:r>
      <w:r>
        <w:rPr>
          <w:rFonts w:hint="eastAsia" w:ascii="Times New Roman" w:hAnsi="Times New Roman" w:cs="Times New Roman"/>
          <w:color w:val="auto"/>
          <w:highlight w:val="none"/>
          <w:u w:val="none" w:color="auto"/>
          <w:lang w:val="en-US" w:eastAsia="zh-CN"/>
        </w:rPr>
        <w:t>佳海产业园</w:t>
      </w:r>
      <w:r>
        <w:rPr>
          <w:rFonts w:hint="default" w:ascii="Times New Roman" w:hAnsi="Times New Roman" w:cs="Times New Roman"/>
          <w:color w:val="auto"/>
          <w:highlight w:val="none"/>
          <w:u w:val="none" w:color="auto"/>
          <w:lang w:val="en-US" w:eastAsia="zh-CN"/>
        </w:rPr>
        <w:t>总用地面积83124.19</w:t>
      </w:r>
      <w:r>
        <w:rPr>
          <w:rFonts w:hint="eastAsia" w:ascii="Times New Roman" w:hAnsi="Times New Roman" w:cs="Times New Roman"/>
          <w:color w:val="auto"/>
          <w:highlight w:val="none"/>
          <w:u w:val="none" w:color="auto"/>
          <w:lang w:val="en-US" w:eastAsia="zh-CN"/>
        </w:rPr>
        <w:t>m</w:t>
      </w:r>
      <w:r>
        <w:rPr>
          <w:rFonts w:hint="eastAsia" w:ascii="Times New Roman" w:hAnsi="Times New Roman" w:cs="Times New Roman"/>
          <w:color w:val="auto"/>
          <w:highlight w:val="none"/>
          <w:u w:val="none" w:color="auto"/>
          <w:vertAlign w:val="superscript"/>
          <w:lang w:val="en-US" w:eastAsia="zh-CN"/>
        </w:rPr>
        <w:t>2</w:t>
      </w:r>
      <w:r>
        <w:rPr>
          <w:rFonts w:hint="default" w:ascii="Times New Roman" w:hAnsi="Times New Roman" w:cs="Times New Roman"/>
          <w:color w:val="auto"/>
          <w:highlight w:val="none"/>
          <w:u w:val="none" w:color="auto"/>
          <w:lang w:val="en-US" w:eastAsia="zh-CN"/>
        </w:rPr>
        <w:t>，</w:t>
      </w:r>
      <w:r>
        <w:rPr>
          <w:rFonts w:hint="eastAsia" w:ascii="Times New Roman" w:hAnsi="Times New Roman" w:cs="Times New Roman"/>
          <w:color w:val="auto"/>
          <w:highlight w:val="none"/>
          <w:u w:val="none" w:color="auto"/>
          <w:lang w:val="en-US" w:eastAsia="zh-CN"/>
        </w:rPr>
        <w:t>其中污水处理站用地面积1080m</w:t>
      </w:r>
      <w:r>
        <w:rPr>
          <w:rFonts w:hint="eastAsia" w:ascii="Times New Roman" w:hAnsi="Times New Roman" w:cs="Times New Roman"/>
          <w:color w:val="auto"/>
          <w:highlight w:val="none"/>
          <w:u w:val="none" w:color="auto"/>
          <w:vertAlign w:val="superscript"/>
          <w:lang w:val="en-US" w:eastAsia="zh-CN"/>
        </w:rPr>
        <w:t>2</w:t>
      </w:r>
      <w:r>
        <w:rPr>
          <w:rFonts w:hint="default" w:ascii="Times New Roman" w:hAnsi="Times New Roman" w:cs="Times New Roman"/>
          <w:color w:val="auto"/>
          <w:highlight w:val="none"/>
          <w:u w:val="none" w:color="auto"/>
          <w:lang w:val="en-US" w:eastAsia="zh-CN"/>
        </w:rPr>
        <w:t>，</w:t>
      </w:r>
      <w:r>
        <w:rPr>
          <w:rFonts w:hint="eastAsia" w:ascii="Times New Roman" w:hAnsi="Times New Roman" w:cs="Times New Roman"/>
          <w:color w:val="auto"/>
          <w:highlight w:val="none"/>
          <w:u w:val="none" w:color="auto"/>
          <w:lang w:val="en-US" w:eastAsia="zh-CN"/>
        </w:rPr>
        <w:t>项目建设内容主要包括主体工程、辅助工程、公用工程、环保工程等。主要建设内容见表3.3-1。</w:t>
      </w:r>
    </w:p>
    <w:p w14:paraId="1FA950B6">
      <w:pPr>
        <w:bidi w:val="0"/>
        <w:rPr>
          <w:rFonts w:hint="default"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工程主要建设内容包括污水处理主体工程、污泥处理及管网等配套工程</w:t>
      </w:r>
      <w:r>
        <w:rPr>
          <w:rFonts w:hint="default" w:ascii="Times New Roman" w:hAnsi="Times New Roman" w:cs="Times New Roman"/>
          <w:color w:val="auto"/>
          <w:highlight w:val="none"/>
          <w:u w:val="none" w:color="auto"/>
          <w:lang w:val="en-US" w:eastAsia="zh-CN"/>
        </w:rPr>
        <w:t>。</w:t>
      </w:r>
    </w:p>
    <w:p w14:paraId="215B62EA">
      <w:pPr>
        <w:pStyle w:val="39"/>
        <w:bidi w:val="0"/>
        <w:rPr>
          <w:rFonts w:hint="default"/>
        </w:rPr>
      </w:pPr>
      <w:r>
        <w:rPr>
          <w:rFonts w:hint="default"/>
        </w:rPr>
        <w:t>表3.</w:t>
      </w:r>
      <w:r>
        <w:rPr>
          <w:rFonts w:hint="eastAsia"/>
          <w:lang w:val="en-US" w:eastAsia="zh-CN"/>
        </w:rPr>
        <w:t>3</w:t>
      </w:r>
      <w:r>
        <w:rPr>
          <w:rFonts w:hint="default"/>
        </w:rPr>
        <w:t>-1</w:t>
      </w:r>
      <w:r>
        <w:rPr>
          <w:rFonts w:hint="eastAsia"/>
          <w:lang w:val="en-US" w:eastAsia="zh-CN"/>
        </w:rPr>
        <w:t>项目</w:t>
      </w:r>
      <w:r>
        <w:rPr>
          <w:rFonts w:hint="default"/>
        </w:rPr>
        <w:t>主要建设内容一览表</w:t>
      </w:r>
    </w:p>
    <w:tbl>
      <w:tblPr>
        <w:tblStyle w:val="30"/>
        <w:tblW w:w="497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3"/>
        <w:gridCol w:w="2206"/>
        <w:gridCol w:w="4209"/>
        <w:gridCol w:w="1308"/>
      </w:tblGrid>
      <w:tr w14:paraId="5B976A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444" w:type="pct"/>
            <w:tcBorders>
              <w:tl2br w:val="nil"/>
              <w:tr2bl w:val="nil"/>
            </w:tcBorders>
            <w:noWrap w:val="0"/>
            <w:vAlign w:val="center"/>
          </w:tcPr>
          <w:p w14:paraId="351796D8">
            <w:pPr>
              <w:pStyle w:val="42"/>
              <w:keepNext w:val="0"/>
              <w:keepLines w:val="0"/>
              <w:suppressLineNumbers w:val="0"/>
              <w:bidi w:val="0"/>
              <w:spacing w:before="0" w:beforeAutospacing="0" w:after="0" w:afterAutospacing="0"/>
              <w:rPr>
                <w:rFonts w:hint="eastAsia"/>
                <w:lang w:eastAsia="zh-CN"/>
              </w:rPr>
            </w:pPr>
            <w:r>
              <w:rPr>
                <w:rFonts w:hint="eastAsia"/>
                <w:lang w:val="en-US" w:eastAsia="zh-CN"/>
              </w:rPr>
              <w:t>项目组成</w:t>
            </w:r>
          </w:p>
        </w:tc>
        <w:tc>
          <w:tcPr>
            <w:tcW w:w="1301" w:type="pct"/>
            <w:tcBorders>
              <w:tl2br w:val="nil"/>
              <w:tr2bl w:val="nil"/>
            </w:tcBorders>
            <w:noWrap w:val="0"/>
            <w:vAlign w:val="center"/>
          </w:tcPr>
          <w:p w14:paraId="02EC4709">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项目</w:t>
            </w:r>
          </w:p>
        </w:tc>
        <w:tc>
          <w:tcPr>
            <w:tcW w:w="2482" w:type="pct"/>
            <w:tcBorders>
              <w:tl2br w:val="nil"/>
              <w:tr2bl w:val="nil"/>
            </w:tcBorders>
            <w:noWrap w:val="0"/>
            <w:vAlign w:val="center"/>
          </w:tcPr>
          <w:p w14:paraId="4F2FA1CE">
            <w:pPr>
              <w:pStyle w:val="42"/>
              <w:keepNext w:val="0"/>
              <w:keepLines w:val="0"/>
              <w:suppressLineNumbers w:val="0"/>
              <w:bidi w:val="0"/>
              <w:spacing w:before="0" w:beforeAutospacing="0" w:after="0" w:afterAutospacing="0"/>
              <w:rPr>
                <w:rFonts w:hint="default"/>
              </w:rPr>
            </w:pPr>
            <w:r>
              <w:rPr>
                <w:rFonts w:hint="default"/>
              </w:rPr>
              <w:t>工程内容</w:t>
            </w:r>
          </w:p>
        </w:tc>
        <w:tc>
          <w:tcPr>
            <w:tcW w:w="771" w:type="pct"/>
            <w:tcBorders>
              <w:tl2br w:val="nil"/>
              <w:tr2bl w:val="nil"/>
            </w:tcBorders>
            <w:noWrap w:val="0"/>
            <w:vAlign w:val="center"/>
          </w:tcPr>
          <w:p w14:paraId="573B1DB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备注</w:t>
            </w:r>
          </w:p>
        </w:tc>
      </w:tr>
      <w:tr w14:paraId="1B32BD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444" w:type="pct"/>
            <w:vMerge w:val="restart"/>
            <w:tcBorders>
              <w:tl2br w:val="nil"/>
              <w:tr2bl w:val="nil"/>
            </w:tcBorders>
            <w:noWrap w:val="0"/>
            <w:vAlign w:val="center"/>
          </w:tcPr>
          <w:p w14:paraId="5019F5E5">
            <w:pPr>
              <w:pStyle w:val="42"/>
              <w:keepNext w:val="0"/>
              <w:keepLines w:val="0"/>
              <w:suppressLineNumbers w:val="0"/>
              <w:bidi w:val="0"/>
              <w:spacing w:before="0" w:beforeAutospacing="0" w:after="0" w:afterAutospacing="0"/>
              <w:rPr>
                <w:rFonts w:hint="default"/>
              </w:rPr>
            </w:pPr>
            <w:r>
              <w:rPr>
                <w:rFonts w:hint="default"/>
              </w:rPr>
              <w:t>主体工程</w:t>
            </w:r>
          </w:p>
        </w:tc>
        <w:tc>
          <w:tcPr>
            <w:tcW w:w="1301" w:type="pct"/>
            <w:tcBorders>
              <w:tl2br w:val="nil"/>
              <w:tr2bl w:val="nil"/>
            </w:tcBorders>
            <w:noWrap w:val="0"/>
            <w:vAlign w:val="center"/>
          </w:tcPr>
          <w:p w14:paraId="24B09D0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污水处理工程</w:t>
            </w:r>
          </w:p>
        </w:tc>
        <w:tc>
          <w:tcPr>
            <w:tcW w:w="2482" w:type="pct"/>
            <w:tcBorders>
              <w:tl2br w:val="nil"/>
              <w:tr2bl w:val="nil"/>
            </w:tcBorders>
            <w:noWrap w:val="0"/>
            <w:vAlign w:val="center"/>
          </w:tcPr>
          <w:p w14:paraId="6A915A0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采用“集水池+隔油预沉池+调节池+厌氧流化床+好氧池+缺氧池+消化池+好氧流化床+去磷池+清水池”处理工艺，主要设有车间暂存/隔渣池</w:t>
            </w:r>
            <w:r>
              <w:rPr>
                <w:rFonts w:hint="eastAsia"/>
                <w:lang w:val="en-US" w:eastAsia="zh-CN"/>
              </w:rPr>
              <w:t>、</w:t>
            </w:r>
            <w:r>
              <w:rPr>
                <w:rFonts w:hint="default"/>
                <w:lang w:val="en-US" w:eastAsia="zh-CN"/>
              </w:rPr>
              <w:t>集水池</w:t>
            </w:r>
            <w:r>
              <w:rPr>
                <w:rFonts w:hint="eastAsia"/>
                <w:lang w:val="en-US" w:eastAsia="zh-CN"/>
              </w:rPr>
              <w:t>、</w:t>
            </w:r>
            <w:r>
              <w:rPr>
                <w:rFonts w:hint="default"/>
                <w:lang w:val="en-US" w:eastAsia="zh-CN"/>
              </w:rPr>
              <w:t>隔油初沉池</w:t>
            </w:r>
            <w:r>
              <w:rPr>
                <w:rFonts w:hint="eastAsia"/>
                <w:lang w:val="en-US" w:eastAsia="zh-CN"/>
              </w:rPr>
              <w:t>、储油池、</w:t>
            </w:r>
            <w:r>
              <w:rPr>
                <w:rFonts w:hint="default"/>
                <w:lang w:val="en-US" w:eastAsia="zh-CN"/>
              </w:rPr>
              <w:t>调节池</w:t>
            </w:r>
            <w:r>
              <w:rPr>
                <w:rFonts w:hint="eastAsia"/>
                <w:lang w:val="en-US" w:eastAsia="zh-CN"/>
              </w:rPr>
              <w:t>、</w:t>
            </w:r>
            <w:r>
              <w:rPr>
                <w:rFonts w:hint="default"/>
                <w:lang w:val="en-US" w:eastAsia="zh-CN"/>
              </w:rPr>
              <w:t>厌氧流化床</w:t>
            </w:r>
            <w:r>
              <w:rPr>
                <w:rFonts w:hint="eastAsia"/>
                <w:lang w:val="en-US" w:eastAsia="zh-CN"/>
              </w:rPr>
              <w:t>、</w:t>
            </w:r>
            <w:r>
              <w:rPr>
                <w:rFonts w:hint="default"/>
                <w:lang w:val="en-US" w:eastAsia="zh-CN"/>
              </w:rPr>
              <w:t>好氧池</w:t>
            </w:r>
            <w:r>
              <w:rPr>
                <w:rFonts w:hint="eastAsia"/>
                <w:lang w:val="en-US" w:eastAsia="zh-CN"/>
              </w:rPr>
              <w:t>、</w:t>
            </w:r>
            <w:r>
              <w:rPr>
                <w:rFonts w:hint="default"/>
                <w:lang w:val="en-US" w:eastAsia="zh-CN"/>
              </w:rPr>
              <w:t>缺氧池</w:t>
            </w:r>
            <w:r>
              <w:rPr>
                <w:rFonts w:hint="eastAsia"/>
                <w:lang w:val="en-US" w:eastAsia="zh-CN"/>
              </w:rPr>
              <w:t>、</w:t>
            </w:r>
            <w:r>
              <w:rPr>
                <w:rFonts w:hint="default"/>
                <w:lang w:val="en-US" w:eastAsia="zh-CN"/>
              </w:rPr>
              <w:t>消化池</w:t>
            </w:r>
            <w:r>
              <w:rPr>
                <w:rFonts w:hint="eastAsia"/>
                <w:lang w:val="en-US" w:eastAsia="zh-CN"/>
              </w:rPr>
              <w:t>、</w:t>
            </w:r>
            <w:r>
              <w:rPr>
                <w:rFonts w:hint="default"/>
                <w:lang w:val="en-US" w:eastAsia="zh-CN"/>
              </w:rPr>
              <w:t>好氧流化床</w:t>
            </w:r>
            <w:r>
              <w:rPr>
                <w:rFonts w:hint="eastAsia"/>
                <w:lang w:val="en-US" w:eastAsia="zh-CN"/>
              </w:rPr>
              <w:t>、</w:t>
            </w:r>
            <w:r>
              <w:rPr>
                <w:rFonts w:hint="default"/>
                <w:lang w:val="en-US" w:eastAsia="zh-CN"/>
              </w:rPr>
              <w:t>去磷池</w:t>
            </w:r>
            <w:r>
              <w:rPr>
                <w:rFonts w:hint="eastAsia"/>
                <w:lang w:val="en-US" w:eastAsia="zh-CN"/>
              </w:rPr>
              <w:t>、</w:t>
            </w:r>
            <w:r>
              <w:rPr>
                <w:rFonts w:hint="default"/>
                <w:lang w:val="en-US" w:eastAsia="zh-CN"/>
              </w:rPr>
              <w:t>清水池</w:t>
            </w:r>
            <w:r>
              <w:rPr>
                <w:rFonts w:hint="eastAsia"/>
                <w:lang w:val="en-US" w:eastAsia="zh-CN"/>
              </w:rPr>
              <w:t>、</w:t>
            </w:r>
            <w:r>
              <w:rPr>
                <w:rFonts w:hint="default"/>
                <w:lang w:val="en-US" w:eastAsia="zh-CN"/>
              </w:rPr>
              <w:t>污泥池等池体</w:t>
            </w:r>
          </w:p>
        </w:tc>
        <w:tc>
          <w:tcPr>
            <w:tcW w:w="771" w:type="pct"/>
            <w:tcBorders>
              <w:tl2br w:val="nil"/>
              <w:tr2bl w:val="nil"/>
            </w:tcBorders>
            <w:noWrap w:val="0"/>
            <w:vAlign w:val="center"/>
          </w:tcPr>
          <w:p w14:paraId="5AAFCF3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25436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44" w:type="pct"/>
            <w:vMerge w:val="continue"/>
            <w:tcBorders>
              <w:tl2br w:val="nil"/>
              <w:tr2bl w:val="nil"/>
            </w:tcBorders>
            <w:noWrap w:val="0"/>
            <w:vAlign w:val="center"/>
          </w:tcPr>
          <w:p w14:paraId="3A202DD8">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1E9CF98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污泥处理系统</w:t>
            </w:r>
          </w:p>
        </w:tc>
        <w:tc>
          <w:tcPr>
            <w:tcW w:w="2482" w:type="pct"/>
            <w:tcBorders>
              <w:tl2br w:val="nil"/>
              <w:tr2bl w:val="nil"/>
            </w:tcBorders>
            <w:noWrap w:val="0"/>
            <w:vAlign w:val="center"/>
          </w:tcPr>
          <w:p w14:paraId="2FA7C77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主要存放生化污泥和污泥储池过来的污泥，利用重力作用进行初步污泥脱水</w:t>
            </w:r>
            <w:r>
              <w:rPr>
                <w:rFonts w:hint="eastAsia"/>
                <w:lang w:val="en-US" w:eastAsia="zh-CN"/>
              </w:rPr>
              <w:t>，</w:t>
            </w:r>
            <w:r>
              <w:rPr>
                <w:rFonts w:hint="default"/>
                <w:lang w:val="en-US" w:eastAsia="zh-CN"/>
              </w:rPr>
              <w:t>本项目脱水机采用隔膜压榨板框机</w:t>
            </w:r>
          </w:p>
        </w:tc>
        <w:tc>
          <w:tcPr>
            <w:tcW w:w="771" w:type="pct"/>
            <w:tcBorders>
              <w:tl2br w:val="nil"/>
              <w:tr2bl w:val="nil"/>
            </w:tcBorders>
            <w:noWrap w:val="0"/>
            <w:vAlign w:val="center"/>
          </w:tcPr>
          <w:p w14:paraId="1625BD3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42BE6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44" w:type="pct"/>
            <w:vMerge w:val="restart"/>
            <w:tcBorders>
              <w:tl2br w:val="nil"/>
              <w:tr2bl w:val="nil"/>
            </w:tcBorders>
            <w:noWrap w:val="0"/>
            <w:vAlign w:val="center"/>
          </w:tcPr>
          <w:p w14:paraId="3A10127B">
            <w:pPr>
              <w:pStyle w:val="42"/>
              <w:keepNext w:val="0"/>
              <w:keepLines w:val="0"/>
              <w:suppressLineNumbers w:val="0"/>
              <w:bidi w:val="0"/>
              <w:spacing w:before="0" w:beforeAutospacing="0" w:after="0" w:afterAutospacing="0"/>
              <w:rPr>
                <w:rFonts w:hint="default"/>
              </w:rPr>
            </w:pPr>
            <w:r>
              <w:rPr>
                <w:rFonts w:hint="default"/>
              </w:rPr>
              <w:t>辅助工程</w:t>
            </w:r>
          </w:p>
        </w:tc>
        <w:tc>
          <w:tcPr>
            <w:tcW w:w="1301" w:type="pct"/>
            <w:tcBorders>
              <w:tl2br w:val="nil"/>
              <w:tr2bl w:val="nil"/>
            </w:tcBorders>
            <w:noWrap w:val="0"/>
            <w:vAlign w:val="center"/>
          </w:tcPr>
          <w:p w14:paraId="310366E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值班室</w:t>
            </w:r>
          </w:p>
        </w:tc>
        <w:tc>
          <w:tcPr>
            <w:tcW w:w="2482" w:type="pct"/>
            <w:tcBorders>
              <w:tl2br w:val="nil"/>
              <w:tr2bl w:val="nil"/>
            </w:tcBorders>
            <w:noWrap w:val="0"/>
            <w:vAlign w:val="center"/>
          </w:tcPr>
          <w:p w14:paraId="3D7A1F08">
            <w:pPr>
              <w:pStyle w:val="42"/>
              <w:keepNext w:val="0"/>
              <w:keepLines w:val="0"/>
              <w:suppressLineNumbers w:val="0"/>
              <w:bidi w:val="0"/>
              <w:spacing w:before="0" w:beforeAutospacing="0" w:after="0" w:afterAutospacing="0"/>
              <w:rPr>
                <w:rFonts w:hint="eastAsia" w:eastAsia="宋体"/>
                <w:lang w:val="en-US" w:eastAsia="zh-CN"/>
              </w:rPr>
            </w:pPr>
            <w:r>
              <w:rPr>
                <w:rFonts w:hint="default"/>
                <w:lang w:val="en-US" w:eastAsia="zh-CN"/>
              </w:rPr>
              <w:t>1层建筑，</w:t>
            </w:r>
            <w:r>
              <w:rPr>
                <w:rFonts w:hint="default"/>
              </w:rPr>
              <w:t>建筑面积</w:t>
            </w:r>
            <w:r>
              <w:rPr>
                <w:rFonts w:hint="eastAsia"/>
                <w:lang w:val="en-US" w:eastAsia="zh-CN"/>
              </w:rPr>
              <w:t>15</w:t>
            </w:r>
            <w:r>
              <w:rPr>
                <w:rFonts w:hint="eastAsia"/>
                <w:lang w:eastAsia="zh-CN"/>
              </w:rPr>
              <w:t>m</w:t>
            </w:r>
            <w:r>
              <w:rPr>
                <w:rFonts w:hint="eastAsia"/>
                <w:vertAlign w:val="superscript"/>
                <w:lang w:eastAsia="zh-CN"/>
              </w:rPr>
              <w:t>2</w:t>
            </w:r>
          </w:p>
        </w:tc>
        <w:tc>
          <w:tcPr>
            <w:tcW w:w="771" w:type="pct"/>
            <w:tcBorders>
              <w:tl2br w:val="nil"/>
              <w:tr2bl w:val="nil"/>
            </w:tcBorders>
            <w:noWrap w:val="0"/>
            <w:vAlign w:val="center"/>
          </w:tcPr>
          <w:p w14:paraId="7328620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72BE9C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444" w:type="pct"/>
            <w:vMerge w:val="continue"/>
            <w:tcBorders>
              <w:tl2br w:val="nil"/>
              <w:tr2bl w:val="nil"/>
            </w:tcBorders>
            <w:noWrap w:val="0"/>
            <w:vAlign w:val="center"/>
          </w:tcPr>
          <w:p w14:paraId="3E110833">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1F60B13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风机房</w:t>
            </w:r>
          </w:p>
        </w:tc>
        <w:tc>
          <w:tcPr>
            <w:tcW w:w="2482" w:type="pct"/>
            <w:tcBorders>
              <w:tl2br w:val="nil"/>
              <w:tr2bl w:val="nil"/>
            </w:tcBorders>
            <w:noWrap w:val="0"/>
            <w:vAlign w:val="center"/>
          </w:tcPr>
          <w:p w14:paraId="6F4B8E9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1层建筑，建筑面积30㎡</w:t>
            </w:r>
          </w:p>
        </w:tc>
        <w:tc>
          <w:tcPr>
            <w:tcW w:w="771" w:type="pct"/>
            <w:tcBorders>
              <w:tl2br w:val="nil"/>
              <w:tr2bl w:val="nil"/>
            </w:tcBorders>
            <w:noWrap w:val="0"/>
            <w:vAlign w:val="center"/>
          </w:tcPr>
          <w:p w14:paraId="54A03B9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39EDA3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44" w:type="pct"/>
            <w:vMerge w:val="continue"/>
            <w:tcBorders>
              <w:tl2br w:val="nil"/>
              <w:tr2bl w:val="nil"/>
            </w:tcBorders>
            <w:noWrap w:val="0"/>
            <w:vAlign w:val="center"/>
          </w:tcPr>
          <w:p w14:paraId="07703282">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221E860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配电控制间</w:t>
            </w:r>
          </w:p>
        </w:tc>
        <w:tc>
          <w:tcPr>
            <w:tcW w:w="2482" w:type="pct"/>
            <w:tcBorders>
              <w:tl2br w:val="nil"/>
              <w:tr2bl w:val="nil"/>
            </w:tcBorders>
            <w:noWrap w:val="0"/>
            <w:vAlign w:val="center"/>
          </w:tcPr>
          <w:p w14:paraId="07A1738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1层建筑，建筑面积</w:t>
            </w:r>
            <w:r>
              <w:rPr>
                <w:rFonts w:hint="eastAsia"/>
                <w:lang w:val="en-US" w:eastAsia="zh-CN"/>
              </w:rPr>
              <w:t>15</w:t>
            </w:r>
            <w:r>
              <w:rPr>
                <w:rFonts w:hint="eastAsia"/>
                <w:lang w:eastAsia="zh-CN"/>
              </w:rPr>
              <w:t>m</w:t>
            </w:r>
            <w:r>
              <w:rPr>
                <w:rFonts w:hint="eastAsia"/>
                <w:vertAlign w:val="superscript"/>
                <w:lang w:eastAsia="zh-CN"/>
              </w:rPr>
              <w:t>2</w:t>
            </w:r>
          </w:p>
        </w:tc>
        <w:tc>
          <w:tcPr>
            <w:tcW w:w="771" w:type="pct"/>
            <w:tcBorders>
              <w:tl2br w:val="nil"/>
              <w:tr2bl w:val="nil"/>
            </w:tcBorders>
            <w:noWrap w:val="0"/>
            <w:vAlign w:val="center"/>
          </w:tcPr>
          <w:p w14:paraId="3932885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0E3D2D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44" w:type="pct"/>
            <w:vMerge w:val="continue"/>
            <w:tcBorders>
              <w:tl2br w:val="nil"/>
              <w:tr2bl w:val="nil"/>
            </w:tcBorders>
            <w:noWrap w:val="0"/>
            <w:vAlign w:val="center"/>
          </w:tcPr>
          <w:p w14:paraId="182A8C20">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56788A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污水综合房</w:t>
            </w:r>
          </w:p>
        </w:tc>
        <w:tc>
          <w:tcPr>
            <w:tcW w:w="2482" w:type="pct"/>
            <w:tcBorders>
              <w:tl2br w:val="nil"/>
              <w:tr2bl w:val="nil"/>
            </w:tcBorders>
            <w:noWrap w:val="0"/>
            <w:vAlign w:val="center"/>
          </w:tcPr>
          <w:p w14:paraId="6564B1C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1层建筑，建筑面积</w:t>
            </w:r>
            <w:r>
              <w:rPr>
                <w:rFonts w:hint="eastAsia"/>
                <w:lang w:val="en-US" w:eastAsia="zh-CN"/>
              </w:rPr>
              <w:t>197</w:t>
            </w:r>
            <w:r>
              <w:rPr>
                <w:rFonts w:hint="eastAsia"/>
                <w:lang w:eastAsia="zh-CN"/>
              </w:rPr>
              <w:t>m</w:t>
            </w:r>
            <w:r>
              <w:rPr>
                <w:rFonts w:hint="eastAsia"/>
                <w:vertAlign w:val="superscript"/>
                <w:lang w:eastAsia="zh-CN"/>
              </w:rPr>
              <w:t>2</w:t>
            </w:r>
          </w:p>
        </w:tc>
        <w:tc>
          <w:tcPr>
            <w:tcW w:w="771" w:type="pct"/>
            <w:tcBorders>
              <w:tl2br w:val="nil"/>
              <w:tr2bl w:val="nil"/>
            </w:tcBorders>
            <w:noWrap w:val="0"/>
            <w:vAlign w:val="center"/>
          </w:tcPr>
          <w:p w14:paraId="7BD30C7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2C96BA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444" w:type="pct"/>
            <w:vMerge w:val="continue"/>
            <w:tcBorders>
              <w:tl2br w:val="nil"/>
              <w:tr2bl w:val="nil"/>
            </w:tcBorders>
            <w:noWrap w:val="0"/>
            <w:vAlign w:val="center"/>
          </w:tcPr>
          <w:p w14:paraId="2137DF0D">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2F192C1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污泥脱水间</w:t>
            </w:r>
          </w:p>
        </w:tc>
        <w:tc>
          <w:tcPr>
            <w:tcW w:w="2482" w:type="pct"/>
            <w:tcBorders>
              <w:tl2br w:val="nil"/>
              <w:tr2bl w:val="nil"/>
            </w:tcBorders>
            <w:noWrap w:val="0"/>
            <w:vAlign w:val="center"/>
          </w:tcPr>
          <w:p w14:paraId="121EC1B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1层建筑，建筑面积40㎡</w:t>
            </w:r>
          </w:p>
        </w:tc>
        <w:tc>
          <w:tcPr>
            <w:tcW w:w="771" w:type="pct"/>
            <w:tcBorders>
              <w:tl2br w:val="nil"/>
              <w:tr2bl w:val="nil"/>
            </w:tcBorders>
            <w:noWrap w:val="0"/>
            <w:vAlign w:val="center"/>
          </w:tcPr>
          <w:p w14:paraId="223FA53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1EB0DA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44" w:type="pct"/>
            <w:vMerge w:val="restart"/>
            <w:tcBorders>
              <w:tl2br w:val="nil"/>
              <w:tr2bl w:val="nil"/>
            </w:tcBorders>
            <w:noWrap w:val="0"/>
            <w:vAlign w:val="center"/>
          </w:tcPr>
          <w:p w14:paraId="52B35731">
            <w:pPr>
              <w:pStyle w:val="42"/>
              <w:keepNext w:val="0"/>
              <w:keepLines w:val="0"/>
              <w:suppressLineNumbers w:val="0"/>
              <w:bidi w:val="0"/>
              <w:spacing w:before="0" w:beforeAutospacing="0" w:after="0" w:afterAutospacing="0"/>
              <w:rPr>
                <w:rFonts w:hint="default"/>
              </w:rPr>
            </w:pPr>
            <w:r>
              <w:rPr>
                <w:rFonts w:hint="default"/>
              </w:rPr>
              <w:t>储运工程</w:t>
            </w:r>
          </w:p>
        </w:tc>
        <w:tc>
          <w:tcPr>
            <w:tcW w:w="1301" w:type="pct"/>
            <w:tcBorders>
              <w:tl2br w:val="nil"/>
              <w:tr2bl w:val="nil"/>
            </w:tcBorders>
            <w:noWrap w:val="0"/>
            <w:vAlign w:val="center"/>
          </w:tcPr>
          <w:p w14:paraId="5DB7B68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污水处理药剂储存</w:t>
            </w:r>
          </w:p>
        </w:tc>
        <w:tc>
          <w:tcPr>
            <w:tcW w:w="2482" w:type="pct"/>
            <w:tcBorders>
              <w:tl2br w:val="nil"/>
              <w:tr2bl w:val="nil"/>
            </w:tcBorders>
            <w:noWrap w:val="0"/>
            <w:vAlign w:val="center"/>
          </w:tcPr>
          <w:p w14:paraId="77669203">
            <w:pPr>
              <w:pStyle w:val="42"/>
              <w:keepNext w:val="0"/>
              <w:keepLines w:val="0"/>
              <w:suppressLineNumbers w:val="0"/>
              <w:bidi w:val="0"/>
              <w:spacing w:before="0" w:beforeAutospacing="0" w:after="0" w:afterAutospacing="0"/>
              <w:rPr>
                <w:rFonts w:hint="default"/>
                <w:lang w:val="en-US"/>
              </w:rPr>
            </w:pPr>
            <w:r>
              <w:rPr>
                <w:rFonts w:hint="default"/>
                <w:lang w:val="en-US" w:eastAsia="zh-CN"/>
              </w:rPr>
              <w:t>储存于污水综合房</w:t>
            </w:r>
          </w:p>
        </w:tc>
        <w:tc>
          <w:tcPr>
            <w:tcW w:w="771" w:type="pct"/>
            <w:tcBorders>
              <w:tl2br w:val="nil"/>
              <w:tr2bl w:val="nil"/>
            </w:tcBorders>
            <w:noWrap w:val="0"/>
            <w:vAlign w:val="center"/>
          </w:tcPr>
          <w:p w14:paraId="76588B7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3D008B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444" w:type="pct"/>
            <w:vMerge w:val="continue"/>
            <w:tcBorders>
              <w:tl2br w:val="nil"/>
              <w:tr2bl w:val="nil"/>
            </w:tcBorders>
            <w:noWrap w:val="0"/>
            <w:vAlign w:val="center"/>
          </w:tcPr>
          <w:p w14:paraId="74153452">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2366DA5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污泥暂存</w:t>
            </w:r>
          </w:p>
        </w:tc>
        <w:tc>
          <w:tcPr>
            <w:tcW w:w="2482" w:type="pct"/>
            <w:tcBorders>
              <w:tl2br w:val="nil"/>
              <w:tr2bl w:val="nil"/>
            </w:tcBorders>
            <w:noWrap w:val="0"/>
            <w:vAlign w:val="center"/>
          </w:tcPr>
          <w:p w14:paraId="5F6F140D">
            <w:pPr>
              <w:pStyle w:val="42"/>
              <w:keepNext w:val="0"/>
              <w:keepLines w:val="0"/>
              <w:suppressLineNumbers w:val="0"/>
              <w:bidi w:val="0"/>
              <w:spacing w:before="0" w:beforeAutospacing="0" w:after="0" w:afterAutospacing="0"/>
              <w:rPr>
                <w:rFonts w:hint="default"/>
                <w:vertAlign w:val="superscript"/>
                <w:lang w:val="en-US"/>
              </w:rPr>
            </w:pPr>
            <w:r>
              <w:rPr>
                <w:rFonts w:hint="eastAsia"/>
                <w:highlight w:val="none"/>
                <w:lang w:val="en-US" w:eastAsia="zh-CN"/>
              </w:rPr>
              <w:t>污泥暂存区20m</w:t>
            </w:r>
            <w:r>
              <w:rPr>
                <w:rFonts w:hint="eastAsia"/>
                <w:highlight w:val="none"/>
                <w:vertAlign w:val="superscript"/>
                <w:lang w:val="en-US" w:eastAsia="zh-CN"/>
              </w:rPr>
              <w:t>2</w:t>
            </w:r>
          </w:p>
        </w:tc>
        <w:tc>
          <w:tcPr>
            <w:tcW w:w="771" w:type="pct"/>
            <w:tcBorders>
              <w:tl2br w:val="nil"/>
              <w:tr2bl w:val="nil"/>
            </w:tcBorders>
            <w:noWrap w:val="0"/>
            <w:vAlign w:val="center"/>
          </w:tcPr>
          <w:p w14:paraId="4729F68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新建</w:t>
            </w:r>
          </w:p>
        </w:tc>
      </w:tr>
      <w:tr w14:paraId="6B324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444" w:type="pct"/>
            <w:vMerge w:val="restart"/>
            <w:tcBorders>
              <w:tl2br w:val="nil"/>
              <w:tr2bl w:val="nil"/>
            </w:tcBorders>
            <w:noWrap w:val="0"/>
            <w:vAlign w:val="center"/>
          </w:tcPr>
          <w:p w14:paraId="1265322F">
            <w:pPr>
              <w:pStyle w:val="42"/>
              <w:keepNext w:val="0"/>
              <w:keepLines w:val="0"/>
              <w:suppressLineNumbers w:val="0"/>
              <w:bidi w:val="0"/>
              <w:spacing w:before="0" w:beforeAutospacing="0" w:after="0" w:afterAutospacing="0"/>
              <w:rPr>
                <w:rFonts w:hint="default"/>
              </w:rPr>
            </w:pPr>
            <w:r>
              <w:rPr>
                <w:rFonts w:hint="default"/>
              </w:rPr>
              <w:t>公用工程</w:t>
            </w:r>
          </w:p>
        </w:tc>
        <w:tc>
          <w:tcPr>
            <w:tcW w:w="1301" w:type="pct"/>
            <w:tcBorders>
              <w:tl2br w:val="nil"/>
              <w:tr2bl w:val="nil"/>
            </w:tcBorders>
            <w:noWrap w:val="0"/>
            <w:vAlign w:val="center"/>
          </w:tcPr>
          <w:p w14:paraId="44D9DEAB">
            <w:pPr>
              <w:pStyle w:val="42"/>
              <w:keepNext w:val="0"/>
              <w:keepLines w:val="0"/>
              <w:suppressLineNumbers w:val="0"/>
              <w:bidi w:val="0"/>
              <w:spacing w:before="0" w:beforeAutospacing="0" w:after="0" w:afterAutospacing="0"/>
              <w:rPr>
                <w:rFonts w:hint="default"/>
              </w:rPr>
            </w:pPr>
            <w:r>
              <w:rPr>
                <w:rFonts w:hint="default"/>
              </w:rPr>
              <w:t>供水</w:t>
            </w:r>
          </w:p>
        </w:tc>
        <w:tc>
          <w:tcPr>
            <w:tcW w:w="3254" w:type="pct"/>
            <w:gridSpan w:val="2"/>
            <w:tcBorders>
              <w:tl2br w:val="nil"/>
              <w:tr2bl w:val="nil"/>
            </w:tcBorders>
            <w:noWrap w:val="0"/>
            <w:vAlign w:val="center"/>
          </w:tcPr>
          <w:p w14:paraId="7500EE4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项目生产、生活及消防用水由园区</w:t>
            </w:r>
            <w:r>
              <w:rPr>
                <w:rFonts w:hint="default"/>
              </w:rPr>
              <w:t>市政给水管网</w:t>
            </w:r>
            <w:r>
              <w:rPr>
                <w:rFonts w:hint="default"/>
                <w:lang w:val="en-US" w:eastAsia="zh-CN"/>
              </w:rPr>
              <w:t>供应</w:t>
            </w:r>
          </w:p>
        </w:tc>
      </w:tr>
      <w:tr w14:paraId="494C0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444" w:type="pct"/>
            <w:vMerge w:val="continue"/>
            <w:tcBorders>
              <w:tl2br w:val="nil"/>
              <w:tr2bl w:val="nil"/>
            </w:tcBorders>
            <w:noWrap w:val="0"/>
            <w:vAlign w:val="center"/>
          </w:tcPr>
          <w:p w14:paraId="669481AB">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205F6E99">
            <w:pPr>
              <w:pStyle w:val="42"/>
              <w:keepNext w:val="0"/>
              <w:keepLines w:val="0"/>
              <w:suppressLineNumbers w:val="0"/>
              <w:bidi w:val="0"/>
              <w:spacing w:before="0" w:beforeAutospacing="0" w:after="0" w:afterAutospacing="0"/>
              <w:rPr>
                <w:rFonts w:hint="default"/>
              </w:rPr>
            </w:pPr>
            <w:r>
              <w:rPr>
                <w:rFonts w:hint="default"/>
              </w:rPr>
              <w:t>排水</w:t>
            </w:r>
          </w:p>
        </w:tc>
        <w:tc>
          <w:tcPr>
            <w:tcW w:w="3254" w:type="pct"/>
            <w:gridSpan w:val="2"/>
            <w:tcBorders>
              <w:tl2br w:val="nil"/>
              <w:tr2bl w:val="nil"/>
            </w:tcBorders>
            <w:noWrap w:val="0"/>
            <w:vAlign w:val="center"/>
          </w:tcPr>
          <w:p w14:paraId="1612FC28">
            <w:pPr>
              <w:pStyle w:val="42"/>
              <w:keepNext w:val="0"/>
              <w:keepLines w:val="0"/>
              <w:suppressLineNumbers w:val="0"/>
              <w:bidi w:val="0"/>
              <w:spacing w:before="0" w:beforeAutospacing="0" w:after="0" w:afterAutospacing="0"/>
              <w:rPr>
                <w:rFonts w:hint="default"/>
              </w:rPr>
            </w:pPr>
            <w:r>
              <w:rPr>
                <w:rFonts w:hint="default"/>
              </w:rPr>
              <w:t>厂区雨污分流，雨水排入</w:t>
            </w:r>
            <w:r>
              <w:rPr>
                <w:rFonts w:hint="default"/>
                <w:lang w:val="en-US" w:eastAsia="zh-CN"/>
              </w:rPr>
              <w:t>园区雨水管网后进入</w:t>
            </w:r>
            <w:r>
              <w:rPr>
                <w:rFonts w:hint="default"/>
              </w:rPr>
              <w:t>市政雨水管网</w:t>
            </w:r>
            <w:r>
              <w:rPr>
                <w:rFonts w:hint="default"/>
                <w:lang w:eastAsia="zh-CN"/>
              </w:rPr>
              <w:t>，</w:t>
            </w:r>
            <w:bookmarkStart w:id="95" w:name="OLE_LINK18"/>
            <w:r>
              <w:rPr>
                <w:rFonts w:hint="eastAsia"/>
                <w:lang w:val="en-US" w:eastAsia="zh-CN"/>
              </w:rPr>
              <w:t>喷淋废水、污泥脱水废水、冲洗废水进入</w:t>
            </w:r>
            <w:r>
              <w:rPr>
                <w:rFonts w:hint="default"/>
                <w:lang w:val="en-US" w:eastAsia="zh-CN"/>
              </w:rPr>
              <w:t>自身</w:t>
            </w:r>
            <w:r>
              <w:rPr>
                <w:rFonts w:hint="eastAsia"/>
                <w:lang w:val="en-US" w:eastAsia="zh-CN"/>
              </w:rPr>
              <w:t>污水处理站处理，</w:t>
            </w:r>
            <w:bookmarkEnd w:id="95"/>
            <w:r>
              <w:rPr>
                <w:rFonts w:hint="eastAsia"/>
                <w:lang w:val="en-US" w:eastAsia="zh-CN"/>
              </w:rPr>
              <w:t>污水处理站</w:t>
            </w:r>
            <w:r>
              <w:rPr>
                <w:rFonts w:hint="default"/>
                <w:lang w:val="en-US" w:eastAsia="zh-CN"/>
              </w:rPr>
              <w:t>处理后的</w:t>
            </w:r>
            <w:r>
              <w:rPr>
                <w:rFonts w:hint="eastAsia"/>
                <w:lang w:val="en-US" w:eastAsia="zh-CN"/>
              </w:rPr>
              <w:t>尾水</w:t>
            </w:r>
            <w:r>
              <w:rPr>
                <w:rFonts w:hint="default"/>
                <w:lang w:val="en-US" w:eastAsia="zh-CN"/>
              </w:rPr>
              <w:t>经园区污水管网接入市政污水管网纳入</w:t>
            </w:r>
            <w:r>
              <w:rPr>
                <w:rFonts w:hint="eastAsia"/>
                <w:lang w:val="en-US" w:eastAsia="zh-CN"/>
              </w:rPr>
              <w:t>湘阴县</w:t>
            </w:r>
            <w:r>
              <w:rPr>
                <w:rFonts w:hint="default"/>
                <w:lang w:val="en-US" w:eastAsia="zh-CN"/>
              </w:rPr>
              <w:t>第二污水处理厂处理后排放</w:t>
            </w:r>
          </w:p>
        </w:tc>
      </w:tr>
      <w:tr w14:paraId="66C8D3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44" w:type="pct"/>
            <w:vMerge w:val="continue"/>
            <w:tcBorders>
              <w:tl2br w:val="nil"/>
              <w:tr2bl w:val="nil"/>
            </w:tcBorders>
            <w:noWrap w:val="0"/>
            <w:vAlign w:val="center"/>
          </w:tcPr>
          <w:p w14:paraId="12F53BBC">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6E4C828A">
            <w:pPr>
              <w:pStyle w:val="42"/>
              <w:keepNext w:val="0"/>
              <w:keepLines w:val="0"/>
              <w:suppressLineNumbers w:val="0"/>
              <w:bidi w:val="0"/>
              <w:spacing w:before="0" w:beforeAutospacing="0" w:after="0" w:afterAutospacing="0"/>
              <w:rPr>
                <w:rFonts w:hint="default"/>
              </w:rPr>
            </w:pPr>
            <w:r>
              <w:rPr>
                <w:rFonts w:hint="default"/>
              </w:rPr>
              <w:t>供电</w:t>
            </w:r>
          </w:p>
        </w:tc>
        <w:tc>
          <w:tcPr>
            <w:tcW w:w="3254" w:type="pct"/>
            <w:gridSpan w:val="2"/>
            <w:tcBorders>
              <w:tl2br w:val="nil"/>
              <w:tr2bl w:val="nil"/>
            </w:tcBorders>
            <w:noWrap w:val="0"/>
            <w:vAlign w:val="center"/>
          </w:tcPr>
          <w:p w14:paraId="0A60379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市政供电</w:t>
            </w:r>
          </w:p>
        </w:tc>
      </w:tr>
      <w:tr w14:paraId="0A548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444" w:type="pct"/>
            <w:vMerge w:val="restart"/>
            <w:tcBorders>
              <w:tl2br w:val="nil"/>
              <w:tr2bl w:val="nil"/>
            </w:tcBorders>
            <w:noWrap w:val="0"/>
            <w:vAlign w:val="center"/>
          </w:tcPr>
          <w:p w14:paraId="00731518">
            <w:pPr>
              <w:pStyle w:val="42"/>
              <w:keepNext w:val="0"/>
              <w:keepLines w:val="0"/>
              <w:suppressLineNumbers w:val="0"/>
              <w:bidi w:val="0"/>
              <w:spacing w:before="0" w:beforeAutospacing="0" w:after="0" w:afterAutospacing="0"/>
              <w:rPr>
                <w:rFonts w:hint="default"/>
              </w:rPr>
            </w:pPr>
            <w:r>
              <w:rPr>
                <w:rFonts w:hint="default"/>
              </w:rPr>
              <w:t>环保工程</w:t>
            </w:r>
          </w:p>
        </w:tc>
        <w:tc>
          <w:tcPr>
            <w:tcW w:w="1301" w:type="pct"/>
            <w:tcBorders>
              <w:tl2br w:val="nil"/>
              <w:tr2bl w:val="nil"/>
            </w:tcBorders>
            <w:noWrap w:val="0"/>
            <w:vAlign w:val="center"/>
          </w:tcPr>
          <w:p w14:paraId="62CCB9A3">
            <w:pPr>
              <w:pStyle w:val="42"/>
              <w:keepNext w:val="0"/>
              <w:keepLines w:val="0"/>
              <w:suppressLineNumbers w:val="0"/>
              <w:bidi w:val="0"/>
              <w:spacing w:before="0" w:beforeAutospacing="0" w:after="0" w:afterAutospacing="0"/>
              <w:rPr>
                <w:rFonts w:hint="default"/>
              </w:rPr>
            </w:pPr>
            <w:r>
              <w:rPr>
                <w:rFonts w:hint="default"/>
              </w:rPr>
              <w:t>废水处理</w:t>
            </w:r>
          </w:p>
        </w:tc>
        <w:tc>
          <w:tcPr>
            <w:tcW w:w="3254" w:type="pct"/>
            <w:gridSpan w:val="2"/>
            <w:tcBorders>
              <w:tl2br w:val="nil"/>
              <w:tr2bl w:val="nil"/>
            </w:tcBorders>
            <w:noWrap w:val="0"/>
            <w:vAlign w:val="center"/>
          </w:tcPr>
          <w:p w14:paraId="5C28F1D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自身处理后的污水经园区污水管网接入市政污水管网纳入</w:t>
            </w:r>
            <w:r>
              <w:rPr>
                <w:rFonts w:hint="eastAsia"/>
                <w:lang w:val="en-US" w:eastAsia="zh-CN"/>
              </w:rPr>
              <w:t>湘阴县</w:t>
            </w:r>
            <w:r>
              <w:rPr>
                <w:rFonts w:hint="default"/>
                <w:lang w:val="en-US" w:eastAsia="zh-CN"/>
              </w:rPr>
              <w:t>第二污水处理厂处理后排放</w:t>
            </w:r>
          </w:p>
        </w:tc>
      </w:tr>
      <w:tr w14:paraId="792526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444" w:type="pct"/>
            <w:vMerge w:val="continue"/>
            <w:tcBorders>
              <w:tl2br w:val="nil"/>
              <w:tr2bl w:val="nil"/>
            </w:tcBorders>
            <w:noWrap w:val="0"/>
            <w:vAlign w:val="center"/>
          </w:tcPr>
          <w:p w14:paraId="796079E8">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560B1288">
            <w:pPr>
              <w:pStyle w:val="42"/>
              <w:keepNext w:val="0"/>
              <w:keepLines w:val="0"/>
              <w:suppressLineNumbers w:val="0"/>
              <w:bidi w:val="0"/>
              <w:spacing w:before="0" w:beforeAutospacing="0" w:after="0" w:afterAutospacing="0"/>
              <w:rPr>
                <w:rFonts w:hint="default"/>
                <w:highlight w:val="none"/>
              </w:rPr>
            </w:pPr>
            <w:r>
              <w:rPr>
                <w:rFonts w:hint="default"/>
                <w:highlight w:val="none"/>
              </w:rPr>
              <w:t>废气处理</w:t>
            </w:r>
          </w:p>
        </w:tc>
        <w:tc>
          <w:tcPr>
            <w:tcW w:w="3254" w:type="pct"/>
            <w:gridSpan w:val="2"/>
            <w:tcBorders>
              <w:tl2br w:val="nil"/>
              <w:tr2bl w:val="nil"/>
            </w:tcBorders>
            <w:noWrap w:val="0"/>
            <w:vAlign w:val="center"/>
          </w:tcPr>
          <w:p w14:paraId="482870A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本项目集水池、调节池、厌氧流化床、缺氧池、消化池、污泥池均设置为密闭式池体，然后废气采用密闭管道进行收集；隔油初沉池对池体加盖抽风；污泥脱水采用集气罩进行收集，收集后的臭气经一套“</w:t>
            </w:r>
            <w:r>
              <w:rPr>
                <w:rFonts w:hint="eastAsia"/>
                <w:highlight w:val="none"/>
                <w:lang w:val="en-US" w:eastAsia="zh-CN"/>
              </w:rPr>
              <w:t>二级喷淋塔+生物滤池</w:t>
            </w:r>
            <w:r>
              <w:rPr>
                <w:rFonts w:hint="default"/>
                <w:highlight w:val="none"/>
                <w:lang w:val="en-US" w:eastAsia="zh-CN"/>
              </w:rPr>
              <w:t>”除臭系统处理后通过一根15m高排气筒(DA001)排放，其他池体为无组织排放</w:t>
            </w:r>
          </w:p>
        </w:tc>
      </w:tr>
      <w:tr w14:paraId="020008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444" w:type="pct"/>
            <w:vMerge w:val="continue"/>
            <w:tcBorders>
              <w:tl2br w:val="nil"/>
              <w:tr2bl w:val="nil"/>
            </w:tcBorders>
            <w:noWrap w:val="0"/>
            <w:vAlign w:val="center"/>
          </w:tcPr>
          <w:p w14:paraId="54714571">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7C4A1C29">
            <w:pPr>
              <w:pStyle w:val="42"/>
              <w:keepNext w:val="0"/>
              <w:keepLines w:val="0"/>
              <w:suppressLineNumbers w:val="0"/>
              <w:bidi w:val="0"/>
              <w:spacing w:before="0" w:beforeAutospacing="0" w:after="0" w:afterAutospacing="0"/>
              <w:rPr>
                <w:rFonts w:hint="default"/>
              </w:rPr>
            </w:pPr>
            <w:r>
              <w:rPr>
                <w:rFonts w:hint="default"/>
              </w:rPr>
              <w:t>噪声控制</w:t>
            </w:r>
          </w:p>
        </w:tc>
        <w:tc>
          <w:tcPr>
            <w:tcW w:w="3254" w:type="pct"/>
            <w:gridSpan w:val="2"/>
            <w:tcBorders>
              <w:tl2br w:val="nil"/>
              <w:tr2bl w:val="nil"/>
            </w:tcBorders>
            <w:noWrap w:val="0"/>
            <w:vAlign w:val="center"/>
          </w:tcPr>
          <w:p w14:paraId="0FC16B7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针对高噪声设备采取选用低噪声设备、基础减振、消声、合理布局等降噪措施</w:t>
            </w:r>
          </w:p>
        </w:tc>
      </w:tr>
      <w:tr w14:paraId="41634D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444" w:type="pct"/>
            <w:vMerge w:val="continue"/>
            <w:tcBorders>
              <w:tl2br w:val="nil"/>
              <w:tr2bl w:val="nil"/>
            </w:tcBorders>
            <w:noWrap w:val="0"/>
            <w:vAlign w:val="center"/>
          </w:tcPr>
          <w:p w14:paraId="0071AA48">
            <w:pPr>
              <w:pStyle w:val="42"/>
              <w:keepNext w:val="0"/>
              <w:keepLines w:val="0"/>
              <w:suppressLineNumbers w:val="0"/>
              <w:bidi w:val="0"/>
              <w:spacing w:before="0" w:beforeAutospacing="0" w:after="0" w:afterAutospacing="0"/>
              <w:rPr>
                <w:rFonts w:hint="default"/>
              </w:rPr>
            </w:pPr>
          </w:p>
        </w:tc>
        <w:tc>
          <w:tcPr>
            <w:tcW w:w="1301" w:type="pct"/>
            <w:tcBorders>
              <w:tl2br w:val="nil"/>
              <w:tr2bl w:val="nil"/>
            </w:tcBorders>
            <w:noWrap w:val="0"/>
            <w:vAlign w:val="center"/>
          </w:tcPr>
          <w:p w14:paraId="3AF81F7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固废处置</w:t>
            </w:r>
          </w:p>
        </w:tc>
        <w:tc>
          <w:tcPr>
            <w:tcW w:w="3254" w:type="pct"/>
            <w:gridSpan w:val="2"/>
            <w:tcBorders>
              <w:tl2br w:val="nil"/>
              <w:tr2bl w:val="nil"/>
            </w:tcBorders>
            <w:noWrap w:val="0"/>
            <w:vAlign w:val="center"/>
          </w:tcPr>
          <w:p w14:paraId="5B51CCA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隔渣</w:t>
            </w:r>
            <w:r>
              <w:rPr>
                <w:rFonts w:hint="default"/>
                <w:highlight w:val="none"/>
                <w:lang w:val="en-US" w:eastAsia="zh-CN"/>
              </w:rPr>
              <w:t>、生活垃圾由环卫部门统一清运处置，污泥经脱水后</w:t>
            </w:r>
            <w:r>
              <w:rPr>
                <w:rFonts w:hint="eastAsia"/>
                <w:highlight w:val="none"/>
                <w:lang w:val="en-US" w:eastAsia="zh-CN"/>
              </w:rPr>
              <w:t>外委综合利用</w:t>
            </w:r>
            <w:r>
              <w:rPr>
                <w:rFonts w:hint="default"/>
                <w:highlight w:val="none"/>
                <w:lang w:val="en-US" w:eastAsia="zh-CN"/>
              </w:rPr>
              <w:t>，隔油池废油</w:t>
            </w:r>
            <w:r>
              <w:rPr>
                <w:rFonts w:hint="default"/>
                <w:highlight w:val="none"/>
              </w:rPr>
              <w:t>委托</w:t>
            </w:r>
            <w:r>
              <w:rPr>
                <w:rFonts w:hint="eastAsia"/>
                <w:highlight w:val="none"/>
                <w:lang w:val="en-US" w:eastAsia="zh-CN"/>
              </w:rPr>
              <w:t>资质单位</w:t>
            </w:r>
            <w:r>
              <w:rPr>
                <w:rFonts w:hint="default"/>
                <w:highlight w:val="none"/>
              </w:rPr>
              <w:t>进行清掏清运处理</w:t>
            </w:r>
            <w:r>
              <w:rPr>
                <w:rFonts w:hint="default"/>
                <w:highlight w:val="none"/>
                <w:lang w:val="en-US" w:eastAsia="zh-CN"/>
              </w:rPr>
              <w:t>，废包装袋</w:t>
            </w:r>
            <w:r>
              <w:rPr>
                <w:rFonts w:hint="eastAsia"/>
                <w:highlight w:val="none"/>
                <w:lang w:val="en-US" w:eastAsia="zh-CN"/>
              </w:rPr>
              <w:t>厂家回收利用，生物填料厂家回收利用，</w:t>
            </w:r>
            <w:r>
              <w:rPr>
                <w:rFonts w:hint="default" w:ascii="Times New Roman" w:hAnsi="Times New Roman" w:eastAsia="宋体" w:cs="Times New Roman"/>
                <w:highlight w:val="none"/>
                <w:lang w:val="en-US" w:eastAsia="zh-CN"/>
              </w:rPr>
              <w:t>废机油及废机油桶、含油抹布、手套、劳保用品建设危废暂存间</w:t>
            </w:r>
            <w:r>
              <w:rPr>
                <w:rFonts w:hint="eastAsia" w:cs="Times New Roman"/>
                <w:highlight w:val="none"/>
                <w:lang w:val="en-US" w:eastAsia="zh-CN"/>
              </w:rPr>
              <w:t>（5m</w:t>
            </w:r>
            <w:r>
              <w:rPr>
                <w:rFonts w:hint="eastAsia" w:cs="Times New Roman"/>
                <w:highlight w:val="none"/>
                <w:vertAlign w:val="superscript"/>
                <w:lang w:val="en-US" w:eastAsia="zh-CN"/>
              </w:rPr>
              <w:t>3</w:t>
            </w:r>
            <w:r>
              <w:rPr>
                <w:rFonts w:hint="eastAsia" w:cs="Times New Roman"/>
                <w:highlight w:val="none"/>
                <w:vertAlign w:val="baseline"/>
                <w:lang w:val="en-US" w:eastAsia="zh-CN"/>
              </w:rPr>
              <w:t>）</w:t>
            </w:r>
            <w:r>
              <w:rPr>
                <w:rFonts w:hint="default" w:ascii="Times New Roman" w:hAnsi="Times New Roman" w:eastAsia="宋体" w:cs="Times New Roman"/>
                <w:highlight w:val="none"/>
                <w:lang w:val="en-US" w:eastAsia="zh-CN"/>
              </w:rPr>
              <w:t>暂存后交有危废处理资质单位处理。</w:t>
            </w:r>
          </w:p>
        </w:tc>
      </w:tr>
    </w:tbl>
    <w:p w14:paraId="21D472F6">
      <w:pPr>
        <w:pStyle w:val="6"/>
        <w:bidi w:val="0"/>
        <w:rPr>
          <w:rFonts w:hint="default"/>
        </w:rPr>
      </w:pPr>
      <w:r>
        <w:rPr>
          <w:rFonts w:hint="eastAsia"/>
          <w:lang w:val="en-US" w:eastAsia="zh-CN"/>
        </w:rPr>
        <w:t>主要构筑物</w:t>
      </w:r>
    </w:p>
    <w:p w14:paraId="190B3BC1">
      <w:pPr>
        <w:bidi w:val="0"/>
        <w:rPr>
          <w:rFonts w:hint="default"/>
        </w:rPr>
      </w:pPr>
      <w:r>
        <w:rPr>
          <w:rFonts w:hint="default"/>
        </w:rPr>
        <w:t>项目污水处理工程主要构筑物情况建设如下表。</w:t>
      </w:r>
    </w:p>
    <w:p w14:paraId="06A37F44">
      <w:pPr>
        <w:pStyle w:val="39"/>
        <w:bidi w:val="0"/>
        <w:rPr>
          <w:rFonts w:hint="default"/>
        </w:rPr>
      </w:pPr>
      <w:r>
        <w:rPr>
          <w:rFonts w:hint="default"/>
        </w:rPr>
        <w:t>表</w:t>
      </w:r>
      <w:r>
        <w:rPr>
          <w:rFonts w:hint="eastAsia"/>
          <w:lang w:val="en-US" w:eastAsia="zh-CN"/>
        </w:rPr>
        <w:t>3.3</w:t>
      </w:r>
      <w:r>
        <w:rPr>
          <w:rFonts w:hint="default"/>
        </w:rPr>
        <w:t>-2  项目主要构筑物一览表</w:t>
      </w:r>
    </w:p>
    <w:tbl>
      <w:tblPr>
        <w:tblStyle w:val="51"/>
        <w:tblW w:w="5031"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51"/>
        <w:gridCol w:w="1578"/>
        <w:gridCol w:w="2325"/>
        <w:gridCol w:w="1576"/>
        <w:gridCol w:w="759"/>
        <w:gridCol w:w="1699"/>
      </w:tblGrid>
      <w:tr w14:paraId="135A8E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28" w:hRule="atLeast"/>
        </w:trPr>
        <w:tc>
          <w:tcPr>
            <w:tcW w:w="269" w:type="pct"/>
            <w:vMerge w:val="restart"/>
            <w:tcBorders>
              <w:tl2br w:val="nil"/>
              <w:tr2bl w:val="nil"/>
            </w:tcBorders>
            <w:vAlign w:val="center"/>
          </w:tcPr>
          <w:p w14:paraId="6FCF68A7">
            <w:pPr>
              <w:pStyle w:val="42"/>
              <w:bidi w:val="0"/>
              <w:jc w:val="center"/>
            </w:pPr>
            <w:r>
              <w:t>序号</w:t>
            </w:r>
          </w:p>
        </w:tc>
        <w:tc>
          <w:tcPr>
            <w:tcW w:w="940" w:type="pct"/>
            <w:vMerge w:val="restart"/>
            <w:tcBorders>
              <w:tl2br w:val="nil"/>
              <w:tr2bl w:val="nil"/>
            </w:tcBorders>
            <w:vAlign w:val="center"/>
          </w:tcPr>
          <w:p w14:paraId="15E3BC0A">
            <w:pPr>
              <w:pStyle w:val="42"/>
              <w:bidi w:val="0"/>
              <w:jc w:val="center"/>
            </w:pPr>
            <w:r>
              <w:t>名称</w:t>
            </w:r>
          </w:p>
        </w:tc>
        <w:tc>
          <w:tcPr>
            <w:tcW w:w="1385" w:type="pct"/>
            <w:tcBorders>
              <w:tl2br w:val="nil"/>
              <w:tr2bl w:val="nil"/>
            </w:tcBorders>
            <w:vAlign w:val="center"/>
          </w:tcPr>
          <w:p w14:paraId="1A4384A9">
            <w:pPr>
              <w:pStyle w:val="42"/>
              <w:bidi w:val="0"/>
              <w:jc w:val="center"/>
            </w:pPr>
            <w:r>
              <w:t>尺寸</w:t>
            </w:r>
          </w:p>
        </w:tc>
        <w:tc>
          <w:tcPr>
            <w:tcW w:w="939" w:type="pct"/>
            <w:tcBorders>
              <w:tl2br w:val="nil"/>
              <w:tr2bl w:val="nil"/>
            </w:tcBorders>
            <w:vAlign w:val="center"/>
          </w:tcPr>
          <w:p w14:paraId="2618EE10">
            <w:pPr>
              <w:pStyle w:val="42"/>
              <w:bidi w:val="0"/>
              <w:jc w:val="center"/>
            </w:pPr>
            <w:r>
              <w:t>容积</w:t>
            </w:r>
          </w:p>
        </w:tc>
        <w:tc>
          <w:tcPr>
            <w:tcW w:w="452" w:type="pct"/>
            <w:vMerge w:val="restart"/>
            <w:tcBorders>
              <w:tl2br w:val="nil"/>
              <w:tr2bl w:val="nil"/>
            </w:tcBorders>
            <w:vAlign w:val="center"/>
          </w:tcPr>
          <w:p w14:paraId="272EBEAA">
            <w:pPr>
              <w:pStyle w:val="42"/>
              <w:bidi w:val="0"/>
              <w:jc w:val="center"/>
            </w:pPr>
            <w:r>
              <w:t>数量（座）</w:t>
            </w:r>
          </w:p>
        </w:tc>
        <w:tc>
          <w:tcPr>
            <w:tcW w:w="1012" w:type="pct"/>
            <w:vMerge w:val="restart"/>
            <w:tcBorders>
              <w:tl2br w:val="nil"/>
              <w:tr2bl w:val="nil"/>
            </w:tcBorders>
            <w:vAlign w:val="center"/>
          </w:tcPr>
          <w:p w14:paraId="33A1FB2B">
            <w:pPr>
              <w:pStyle w:val="42"/>
              <w:bidi w:val="0"/>
              <w:jc w:val="center"/>
            </w:pPr>
            <w:r>
              <w:t>备注</w:t>
            </w:r>
          </w:p>
        </w:tc>
      </w:tr>
      <w:tr w14:paraId="7B4014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269" w:type="pct"/>
            <w:vMerge w:val="continue"/>
            <w:tcBorders>
              <w:tl2br w:val="nil"/>
              <w:tr2bl w:val="nil"/>
            </w:tcBorders>
            <w:vAlign w:val="center"/>
          </w:tcPr>
          <w:p w14:paraId="74D3ABBD">
            <w:pPr>
              <w:pStyle w:val="42"/>
              <w:bidi w:val="0"/>
              <w:jc w:val="center"/>
            </w:pPr>
          </w:p>
        </w:tc>
        <w:tc>
          <w:tcPr>
            <w:tcW w:w="940" w:type="pct"/>
            <w:vMerge w:val="continue"/>
            <w:tcBorders>
              <w:tl2br w:val="nil"/>
              <w:tr2bl w:val="nil"/>
            </w:tcBorders>
            <w:vAlign w:val="center"/>
          </w:tcPr>
          <w:p w14:paraId="58928407">
            <w:pPr>
              <w:pStyle w:val="42"/>
              <w:bidi w:val="0"/>
              <w:jc w:val="center"/>
            </w:pPr>
          </w:p>
        </w:tc>
        <w:tc>
          <w:tcPr>
            <w:tcW w:w="1385" w:type="pct"/>
            <w:tcBorders>
              <w:tl2br w:val="nil"/>
              <w:tr2bl w:val="nil"/>
            </w:tcBorders>
            <w:vAlign w:val="center"/>
          </w:tcPr>
          <w:p w14:paraId="43E3D1EC">
            <w:pPr>
              <w:pStyle w:val="42"/>
              <w:bidi w:val="0"/>
              <w:jc w:val="center"/>
            </w:pPr>
            <w:r>
              <w:t>L*B*Hm</w:t>
            </w:r>
          </w:p>
        </w:tc>
        <w:tc>
          <w:tcPr>
            <w:tcW w:w="939" w:type="pct"/>
            <w:tcBorders>
              <w:tl2br w:val="nil"/>
              <w:tr2bl w:val="nil"/>
            </w:tcBorders>
            <w:vAlign w:val="center"/>
          </w:tcPr>
          <w:p w14:paraId="27B9934C">
            <w:pPr>
              <w:pStyle w:val="42"/>
              <w:bidi w:val="0"/>
              <w:jc w:val="center"/>
            </w:pPr>
            <w:r>
              <w:t>（m³)</w:t>
            </w:r>
          </w:p>
        </w:tc>
        <w:tc>
          <w:tcPr>
            <w:tcW w:w="452" w:type="pct"/>
            <w:vMerge w:val="continue"/>
            <w:tcBorders>
              <w:tl2br w:val="nil"/>
              <w:tr2bl w:val="nil"/>
            </w:tcBorders>
            <w:vAlign w:val="center"/>
          </w:tcPr>
          <w:p w14:paraId="3FC0BEBF">
            <w:pPr>
              <w:pStyle w:val="42"/>
              <w:bidi w:val="0"/>
              <w:jc w:val="center"/>
            </w:pPr>
          </w:p>
        </w:tc>
        <w:tc>
          <w:tcPr>
            <w:tcW w:w="1012" w:type="pct"/>
            <w:vMerge w:val="continue"/>
            <w:tcBorders>
              <w:tl2br w:val="nil"/>
              <w:tr2bl w:val="nil"/>
            </w:tcBorders>
            <w:vAlign w:val="center"/>
          </w:tcPr>
          <w:p w14:paraId="7C2F54EB">
            <w:pPr>
              <w:pStyle w:val="42"/>
              <w:bidi w:val="0"/>
              <w:jc w:val="center"/>
            </w:pPr>
          </w:p>
        </w:tc>
      </w:tr>
      <w:tr w14:paraId="3E541C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57A2F7F5">
            <w:pPr>
              <w:pStyle w:val="42"/>
              <w:bidi w:val="0"/>
              <w:jc w:val="center"/>
            </w:pPr>
            <w:r>
              <w:t>1</w:t>
            </w:r>
          </w:p>
        </w:tc>
        <w:tc>
          <w:tcPr>
            <w:tcW w:w="940" w:type="pct"/>
            <w:tcBorders>
              <w:tl2br w:val="nil"/>
              <w:tr2bl w:val="nil"/>
            </w:tcBorders>
            <w:vAlign w:val="center"/>
          </w:tcPr>
          <w:p w14:paraId="48722427">
            <w:pPr>
              <w:pStyle w:val="42"/>
              <w:bidi w:val="0"/>
              <w:jc w:val="center"/>
            </w:pPr>
            <w:r>
              <w:t>集水池</w:t>
            </w:r>
          </w:p>
        </w:tc>
        <w:tc>
          <w:tcPr>
            <w:tcW w:w="1385" w:type="pct"/>
            <w:tcBorders>
              <w:tl2br w:val="nil"/>
              <w:tr2bl w:val="nil"/>
            </w:tcBorders>
            <w:vAlign w:val="center"/>
          </w:tcPr>
          <w:p w14:paraId="357376A9">
            <w:pPr>
              <w:pStyle w:val="42"/>
              <w:bidi w:val="0"/>
              <w:jc w:val="center"/>
            </w:pPr>
            <w:r>
              <w:t>2.65m×5.0m×4.5m</w:t>
            </w:r>
          </w:p>
        </w:tc>
        <w:tc>
          <w:tcPr>
            <w:tcW w:w="939" w:type="pct"/>
            <w:tcBorders>
              <w:tl2br w:val="nil"/>
              <w:tr2bl w:val="nil"/>
            </w:tcBorders>
            <w:vAlign w:val="center"/>
          </w:tcPr>
          <w:p w14:paraId="20C1D2DE">
            <w:pPr>
              <w:pStyle w:val="42"/>
              <w:bidi w:val="0"/>
              <w:jc w:val="center"/>
            </w:pPr>
            <w:r>
              <w:t>53</w:t>
            </w:r>
          </w:p>
        </w:tc>
        <w:tc>
          <w:tcPr>
            <w:tcW w:w="452" w:type="pct"/>
            <w:tcBorders>
              <w:tl2br w:val="nil"/>
              <w:tr2bl w:val="nil"/>
            </w:tcBorders>
            <w:vAlign w:val="center"/>
          </w:tcPr>
          <w:p w14:paraId="27511983">
            <w:pPr>
              <w:pStyle w:val="42"/>
              <w:bidi w:val="0"/>
              <w:jc w:val="center"/>
            </w:pPr>
            <w:r>
              <w:t>1</w:t>
            </w:r>
          </w:p>
        </w:tc>
        <w:tc>
          <w:tcPr>
            <w:tcW w:w="1012" w:type="pct"/>
            <w:tcBorders>
              <w:tl2br w:val="nil"/>
              <w:tr2bl w:val="nil"/>
            </w:tcBorders>
            <w:vAlign w:val="center"/>
          </w:tcPr>
          <w:p w14:paraId="19086CE1">
            <w:pPr>
              <w:pStyle w:val="42"/>
              <w:bidi w:val="0"/>
              <w:jc w:val="center"/>
            </w:pPr>
            <w:r>
              <w:t>钢砼地下密封</w:t>
            </w:r>
          </w:p>
        </w:tc>
      </w:tr>
      <w:tr w14:paraId="063318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269" w:type="pct"/>
            <w:tcBorders>
              <w:tl2br w:val="nil"/>
              <w:tr2bl w:val="nil"/>
            </w:tcBorders>
            <w:vAlign w:val="center"/>
          </w:tcPr>
          <w:p w14:paraId="2A3D8CD1">
            <w:pPr>
              <w:pStyle w:val="42"/>
              <w:bidi w:val="0"/>
              <w:jc w:val="center"/>
            </w:pPr>
            <w:r>
              <w:t>2</w:t>
            </w:r>
          </w:p>
        </w:tc>
        <w:tc>
          <w:tcPr>
            <w:tcW w:w="940" w:type="pct"/>
            <w:tcBorders>
              <w:tl2br w:val="nil"/>
              <w:tr2bl w:val="nil"/>
            </w:tcBorders>
            <w:vAlign w:val="center"/>
          </w:tcPr>
          <w:p w14:paraId="358387EA">
            <w:pPr>
              <w:pStyle w:val="42"/>
              <w:bidi w:val="0"/>
              <w:jc w:val="center"/>
            </w:pPr>
            <w:r>
              <w:t>隔油初沉池</w:t>
            </w:r>
          </w:p>
        </w:tc>
        <w:tc>
          <w:tcPr>
            <w:tcW w:w="1385" w:type="pct"/>
            <w:tcBorders>
              <w:tl2br w:val="nil"/>
              <w:tr2bl w:val="nil"/>
            </w:tcBorders>
            <w:vAlign w:val="center"/>
          </w:tcPr>
          <w:p w14:paraId="46B63459">
            <w:pPr>
              <w:pStyle w:val="42"/>
              <w:bidi w:val="0"/>
              <w:jc w:val="center"/>
            </w:pPr>
            <w:r>
              <w:t>2.1m×12.55m×4.6m</w:t>
            </w:r>
          </w:p>
        </w:tc>
        <w:tc>
          <w:tcPr>
            <w:tcW w:w="939" w:type="pct"/>
            <w:tcBorders>
              <w:tl2br w:val="nil"/>
              <w:tr2bl w:val="nil"/>
            </w:tcBorders>
            <w:vAlign w:val="center"/>
          </w:tcPr>
          <w:p w14:paraId="75935549">
            <w:pPr>
              <w:pStyle w:val="42"/>
              <w:bidi w:val="0"/>
              <w:jc w:val="center"/>
            </w:pPr>
            <w:r>
              <w:t>115.9</w:t>
            </w:r>
          </w:p>
        </w:tc>
        <w:tc>
          <w:tcPr>
            <w:tcW w:w="452" w:type="pct"/>
            <w:tcBorders>
              <w:tl2br w:val="nil"/>
              <w:tr2bl w:val="nil"/>
            </w:tcBorders>
            <w:vAlign w:val="center"/>
          </w:tcPr>
          <w:p w14:paraId="61D17C8C">
            <w:pPr>
              <w:pStyle w:val="42"/>
              <w:bidi w:val="0"/>
              <w:jc w:val="center"/>
            </w:pPr>
            <w:r>
              <w:t>1</w:t>
            </w:r>
          </w:p>
        </w:tc>
        <w:tc>
          <w:tcPr>
            <w:tcW w:w="1012" w:type="pct"/>
            <w:tcBorders>
              <w:tl2br w:val="nil"/>
              <w:tr2bl w:val="nil"/>
            </w:tcBorders>
            <w:vAlign w:val="center"/>
          </w:tcPr>
          <w:p w14:paraId="27800E96">
            <w:pPr>
              <w:pStyle w:val="42"/>
              <w:bidi w:val="0"/>
              <w:jc w:val="center"/>
            </w:pPr>
            <w:r>
              <w:t>钢砼地下敞开</w:t>
            </w:r>
          </w:p>
        </w:tc>
      </w:tr>
      <w:tr w14:paraId="1FCFF8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74D1C7B9">
            <w:pPr>
              <w:pStyle w:val="42"/>
              <w:bidi w:val="0"/>
              <w:jc w:val="center"/>
            </w:pPr>
            <w:r>
              <w:t>3</w:t>
            </w:r>
          </w:p>
        </w:tc>
        <w:tc>
          <w:tcPr>
            <w:tcW w:w="940" w:type="pct"/>
            <w:tcBorders>
              <w:tl2br w:val="nil"/>
              <w:tr2bl w:val="nil"/>
            </w:tcBorders>
            <w:vAlign w:val="center"/>
          </w:tcPr>
          <w:p w14:paraId="7195B91F">
            <w:pPr>
              <w:pStyle w:val="42"/>
              <w:bidi w:val="0"/>
              <w:jc w:val="center"/>
            </w:pPr>
            <w:r>
              <w:t>储油池</w:t>
            </w:r>
          </w:p>
        </w:tc>
        <w:tc>
          <w:tcPr>
            <w:tcW w:w="1385" w:type="pct"/>
            <w:tcBorders>
              <w:tl2br w:val="nil"/>
              <w:tr2bl w:val="nil"/>
            </w:tcBorders>
            <w:vAlign w:val="center"/>
          </w:tcPr>
          <w:p w14:paraId="3582763F">
            <w:pPr>
              <w:pStyle w:val="42"/>
              <w:bidi w:val="0"/>
              <w:jc w:val="center"/>
            </w:pPr>
            <w:r>
              <w:t>2.0m×5.6m×4.6m</w:t>
            </w:r>
          </w:p>
        </w:tc>
        <w:tc>
          <w:tcPr>
            <w:tcW w:w="939" w:type="pct"/>
            <w:tcBorders>
              <w:tl2br w:val="nil"/>
              <w:tr2bl w:val="nil"/>
            </w:tcBorders>
            <w:vAlign w:val="center"/>
          </w:tcPr>
          <w:p w14:paraId="736622D0">
            <w:pPr>
              <w:pStyle w:val="42"/>
              <w:bidi w:val="0"/>
              <w:jc w:val="center"/>
            </w:pPr>
            <w:r>
              <w:t>45</w:t>
            </w:r>
          </w:p>
        </w:tc>
        <w:tc>
          <w:tcPr>
            <w:tcW w:w="452" w:type="pct"/>
            <w:tcBorders>
              <w:tl2br w:val="nil"/>
              <w:tr2bl w:val="nil"/>
            </w:tcBorders>
            <w:vAlign w:val="center"/>
          </w:tcPr>
          <w:p w14:paraId="205DC80A">
            <w:pPr>
              <w:pStyle w:val="42"/>
              <w:bidi w:val="0"/>
              <w:jc w:val="center"/>
            </w:pPr>
            <w:r>
              <w:t>1</w:t>
            </w:r>
          </w:p>
        </w:tc>
        <w:tc>
          <w:tcPr>
            <w:tcW w:w="1012" w:type="pct"/>
            <w:tcBorders>
              <w:tl2br w:val="nil"/>
              <w:tr2bl w:val="nil"/>
            </w:tcBorders>
            <w:vAlign w:val="center"/>
          </w:tcPr>
          <w:p w14:paraId="52E7CEFD">
            <w:pPr>
              <w:pStyle w:val="42"/>
              <w:bidi w:val="0"/>
              <w:jc w:val="center"/>
            </w:pPr>
            <w:r>
              <w:t>钢砼地下密封</w:t>
            </w:r>
          </w:p>
        </w:tc>
      </w:tr>
      <w:tr w14:paraId="7F83B6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269" w:type="pct"/>
            <w:tcBorders>
              <w:tl2br w:val="nil"/>
              <w:tr2bl w:val="nil"/>
            </w:tcBorders>
            <w:vAlign w:val="center"/>
          </w:tcPr>
          <w:p w14:paraId="038A7266">
            <w:pPr>
              <w:pStyle w:val="42"/>
              <w:bidi w:val="0"/>
              <w:jc w:val="center"/>
            </w:pPr>
            <w:r>
              <w:t>4</w:t>
            </w:r>
          </w:p>
        </w:tc>
        <w:tc>
          <w:tcPr>
            <w:tcW w:w="940" w:type="pct"/>
            <w:tcBorders>
              <w:tl2br w:val="nil"/>
              <w:tr2bl w:val="nil"/>
            </w:tcBorders>
            <w:vAlign w:val="center"/>
          </w:tcPr>
          <w:p w14:paraId="6EFB1A9F">
            <w:pPr>
              <w:pStyle w:val="42"/>
              <w:bidi w:val="0"/>
              <w:jc w:val="center"/>
            </w:pPr>
            <w:r>
              <w:t>调节池</w:t>
            </w:r>
          </w:p>
        </w:tc>
        <w:tc>
          <w:tcPr>
            <w:tcW w:w="1385" w:type="pct"/>
            <w:tcBorders>
              <w:tl2br w:val="nil"/>
              <w:tr2bl w:val="nil"/>
            </w:tcBorders>
            <w:vAlign w:val="center"/>
          </w:tcPr>
          <w:p w14:paraId="7BB14453">
            <w:pPr>
              <w:pStyle w:val="42"/>
              <w:bidi w:val="0"/>
              <w:jc w:val="center"/>
            </w:pPr>
            <w:r>
              <w:rPr>
                <w:rFonts w:hint="eastAsia"/>
                <w:lang w:val="en-US" w:eastAsia="zh-CN"/>
              </w:rPr>
              <w:t>17.6</w:t>
            </w:r>
            <w:r>
              <w:t>m×</w:t>
            </w:r>
            <w:r>
              <w:rPr>
                <w:rFonts w:hint="eastAsia"/>
                <w:lang w:val="en-US" w:eastAsia="zh-CN"/>
              </w:rPr>
              <w:t>5.6</w:t>
            </w:r>
            <w:r>
              <w:t>m×</w:t>
            </w:r>
            <w:r>
              <w:rPr>
                <w:rFonts w:hint="eastAsia"/>
                <w:lang w:val="en-US" w:eastAsia="zh-CN"/>
              </w:rPr>
              <w:t>9.6</w:t>
            </w:r>
            <w:r>
              <w:t>m</w:t>
            </w:r>
          </w:p>
        </w:tc>
        <w:tc>
          <w:tcPr>
            <w:tcW w:w="939" w:type="pct"/>
            <w:tcBorders>
              <w:tl2br w:val="nil"/>
              <w:tr2bl w:val="nil"/>
            </w:tcBorders>
            <w:vAlign w:val="center"/>
          </w:tcPr>
          <w:p w14:paraId="65185108">
            <w:pPr>
              <w:pStyle w:val="42"/>
              <w:bidi w:val="0"/>
              <w:jc w:val="center"/>
              <w:rPr>
                <w:rFonts w:hint="default" w:eastAsia="宋体"/>
                <w:lang w:val="en-US" w:eastAsia="zh-CN"/>
              </w:rPr>
            </w:pPr>
            <w:r>
              <w:rPr>
                <w:rFonts w:hint="eastAsia"/>
                <w:lang w:val="en-US" w:eastAsia="zh-CN"/>
              </w:rPr>
              <w:t>946.2</w:t>
            </w:r>
          </w:p>
        </w:tc>
        <w:tc>
          <w:tcPr>
            <w:tcW w:w="452" w:type="pct"/>
            <w:tcBorders>
              <w:tl2br w:val="nil"/>
              <w:tr2bl w:val="nil"/>
            </w:tcBorders>
            <w:vAlign w:val="center"/>
          </w:tcPr>
          <w:p w14:paraId="0F63B59D">
            <w:pPr>
              <w:pStyle w:val="42"/>
              <w:bidi w:val="0"/>
              <w:jc w:val="center"/>
            </w:pPr>
            <w:r>
              <w:t>1</w:t>
            </w:r>
          </w:p>
        </w:tc>
        <w:tc>
          <w:tcPr>
            <w:tcW w:w="1012" w:type="pct"/>
            <w:tcBorders>
              <w:tl2br w:val="nil"/>
              <w:tr2bl w:val="nil"/>
            </w:tcBorders>
            <w:vAlign w:val="center"/>
          </w:tcPr>
          <w:p w14:paraId="69F3A8EA">
            <w:pPr>
              <w:pStyle w:val="42"/>
              <w:bidi w:val="0"/>
              <w:jc w:val="center"/>
            </w:pPr>
            <w:r>
              <w:t>钢砼</w:t>
            </w:r>
            <w:r>
              <w:rPr>
                <w:rFonts w:hint="eastAsia"/>
              </w:rPr>
              <w:t>半地上</w:t>
            </w:r>
            <w:r>
              <w:t>密封</w:t>
            </w:r>
          </w:p>
        </w:tc>
      </w:tr>
      <w:tr w14:paraId="22CB32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411FC736">
            <w:pPr>
              <w:pStyle w:val="42"/>
              <w:bidi w:val="0"/>
              <w:jc w:val="center"/>
            </w:pPr>
            <w:r>
              <w:t>5</w:t>
            </w:r>
          </w:p>
        </w:tc>
        <w:tc>
          <w:tcPr>
            <w:tcW w:w="940" w:type="pct"/>
            <w:tcBorders>
              <w:tl2br w:val="nil"/>
              <w:tr2bl w:val="nil"/>
            </w:tcBorders>
            <w:vAlign w:val="center"/>
          </w:tcPr>
          <w:p w14:paraId="46C09EA4">
            <w:pPr>
              <w:pStyle w:val="42"/>
              <w:bidi w:val="0"/>
              <w:jc w:val="center"/>
            </w:pPr>
            <w:r>
              <w:t>应急池</w:t>
            </w:r>
          </w:p>
        </w:tc>
        <w:tc>
          <w:tcPr>
            <w:tcW w:w="1385" w:type="pct"/>
            <w:tcBorders>
              <w:tl2br w:val="nil"/>
              <w:tr2bl w:val="nil"/>
            </w:tcBorders>
            <w:vAlign w:val="center"/>
          </w:tcPr>
          <w:p w14:paraId="1DD2F7FB">
            <w:pPr>
              <w:pStyle w:val="42"/>
              <w:bidi w:val="0"/>
              <w:jc w:val="center"/>
            </w:pPr>
            <w:r>
              <w:t>8.45m×5.95m×4.6m</w:t>
            </w:r>
          </w:p>
        </w:tc>
        <w:tc>
          <w:tcPr>
            <w:tcW w:w="939" w:type="pct"/>
            <w:tcBorders>
              <w:tl2br w:val="nil"/>
              <w:tr2bl w:val="nil"/>
            </w:tcBorders>
            <w:vAlign w:val="center"/>
          </w:tcPr>
          <w:p w14:paraId="2BFD4E59">
            <w:pPr>
              <w:pStyle w:val="42"/>
              <w:bidi w:val="0"/>
              <w:jc w:val="center"/>
            </w:pPr>
            <w:r>
              <w:t>201</w:t>
            </w:r>
          </w:p>
        </w:tc>
        <w:tc>
          <w:tcPr>
            <w:tcW w:w="452" w:type="pct"/>
            <w:tcBorders>
              <w:tl2br w:val="nil"/>
              <w:tr2bl w:val="nil"/>
            </w:tcBorders>
            <w:vAlign w:val="center"/>
          </w:tcPr>
          <w:p w14:paraId="412906BC">
            <w:pPr>
              <w:pStyle w:val="42"/>
              <w:bidi w:val="0"/>
              <w:jc w:val="center"/>
            </w:pPr>
            <w:r>
              <w:t>1</w:t>
            </w:r>
          </w:p>
        </w:tc>
        <w:tc>
          <w:tcPr>
            <w:tcW w:w="1012" w:type="pct"/>
            <w:tcBorders>
              <w:tl2br w:val="nil"/>
              <w:tr2bl w:val="nil"/>
            </w:tcBorders>
            <w:vAlign w:val="center"/>
          </w:tcPr>
          <w:p w14:paraId="550BFF7A">
            <w:pPr>
              <w:pStyle w:val="42"/>
              <w:bidi w:val="0"/>
              <w:jc w:val="center"/>
            </w:pPr>
            <w:r>
              <w:t>钢砼地下密封</w:t>
            </w:r>
          </w:p>
        </w:tc>
      </w:tr>
      <w:tr w14:paraId="4D74B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1C75A9B0">
            <w:pPr>
              <w:pStyle w:val="42"/>
              <w:bidi w:val="0"/>
              <w:jc w:val="center"/>
            </w:pPr>
            <w:r>
              <w:t>6</w:t>
            </w:r>
          </w:p>
        </w:tc>
        <w:tc>
          <w:tcPr>
            <w:tcW w:w="940" w:type="pct"/>
            <w:tcBorders>
              <w:tl2br w:val="nil"/>
              <w:tr2bl w:val="nil"/>
            </w:tcBorders>
            <w:vAlign w:val="center"/>
          </w:tcPr>
          <w:p w14:paraId="7C5B0976">
            <w:pPr>
              <w:pStyle w:val="42"/>
              <w:bidi w:val="0"/>
              <w:jc w:val="center"/>
            </w:pPr>
            <w:r>
              <w:t>污泥池</w:t>
            </w:r>
          </w:p>
        </w:tc>
        <w:tc>
          <w:tcPr>
            <w:tcW w:w="1385" w:type="pct"/>
            <w:tcBorders>
              <w:tl2br w:val="nil"/>
              <w:tr2bl w:val="nil"/>
            </w:tcBorders>
            <w:vAlign w:val="center"/>
          </w:tcPr>
          <w:p w14:paraId="05796757">
            <w:pPr>
              <w:pStyle w:val="42"/>
              <w:bidi w:val="0"/>
              <w:jc w:val="center"/>
            </w:pPr>
            <w:r>
              <w:t>5.95m×8.45m×4.3m</w:t>
            </w:r>
          </w:p>
        </w:tc>
        <w:tc>
          <w:tcPr>
            <w:tcW w:w="939" w:type="pct"/>
            <w:tcBorders>
              <w:tl2br w:val="nil"/>
              <w:tr2bl w:val="nil"/>
            </w:tcBorders>
            <w:vAlign w:val="center"/>
          </w:tcPr>
          <w:p w14:paraId="0064CBBD">
            <w:pPr>
              <w:pStyle w:val="42"/>
              <w:bidi w:val="0"/>
              <w:jc w:val="center"/>
            </w:pPr>
            <w:r>
              <w:t>201</w:t>
            </w:r>
          </w:p>
        </w:tc>
        <w:tc>
          <w:tcPr>
            <w:tcW w:w="452" w:type="pct"/>
            <w:tcBorders>
              <w:tl2br w:val="nil"/>
              <w:tr2bl w:val="nil"/>
            </w:tcBorders>
            <w:vAlign w:val="center"/>
          </w:tcPr>
          <w:p w14:paraId="662F3277">
            <w:pPr>
              <w:pStyle w:val="42"/>
              <w:bidi w:val="0"/>
              <w:jc w:val="center"/>
            </w:pPr>
            <w:r>
              <w:t>1</w:t>
            </w:r>
          </w:p>
        </w:tc>
        <w:tc>
          <w:tcPr>
            <w:tcW w:w="1012" w:type="pct"/>
            <w:tcBorders>
              <w:tl2br w:val="nil"/>
              <w:tr2bl w:val="nil"/>
            </w:tcBorders>
            <w:vAlign w:val="center"/>
          </w:tcPr>
          <w:p w14:paraId="21FFC74D">
            <w:pPr>
              <w:pStyle w:val="42"/>
              <w:bidi w:val="0"/>
              <w:jc w:val="center"/>
            </w:pPr>
            <w:r>
              <w:t>钢砼地下密封</w:t>
            </w:r>
          </w:p>
        </w:tc>
      </w:tr>
      <w:tr w14:paraId="318044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69990052">
            <w:pPr>
              <w:pStyle w:val="42"/>
              <w:bidi w:val="0"/>
              <w:jc w:val="center"/>
            </w:pPr>
            <w:r>
              <w:t>7</w:t>
            </w:r>
          </w:p>
        </w:tc>
        <w:tc>
          <w:tcPr>
            <w:tcW w:w="940" w:type="pct"/>
            <w:tcBorders>
              <w:tl2br w:val="nil"/>
              <w:tr2bl w:val="nil"/>
            </w:tcBorders>
            <w:vAlign w:val="center"/>
          </w:tcPr>
          <w:p w14:paraId="7F831DC5">
            <w:pPr>
              <w:pStyle w:val="42"/>
              <w:bidi w:val="0"/>
              <w:jc w:val="center"/>
            </w:pPr>
            <w:r>
              <w:t>厌氧流化床</w:t>
            </w:r>
          </w:p>
        </w:tc>
        <w:tc>
          <w:tcPr>
            <w:tcW w:w="1385" w:type="pct"/>
            <w:tcBorders>
              <w:tl2br w:val="nil"/>
              <w:tr2bl w:val="nil"/>
            </w:tcBorders>
            <w:vAlign w:val="center"/>
          </w:tcPr>
          <w:p w14:paraId="35C605F0">
            <w:pPr>
              <w:pStyle w:val="42"/>
              <w:bidi w:val="0"/>
              <w:jc w:val="center"/>
            </w:pPr>
            <w:r>
              <w:t>15.5m×23.2m×13.0m</w:t>
            </w:r>
          </w:p>
        </w:tc>
        <w:tc>
          <w:tcPr>
            <w:tcW w:w="939" w:type="pct"/>
            <w:tcBorders>
              <w:tl2br w:val="nil"/>
              <w:tr2bl w:val="nil"/>
            </w:tcBorders>
            <w:vAlign w:val="center"/>
          </w:tcPr>
          <w:p w14:paraId="23603C9A">
            <w:pPr>
              <w:pStyle w:val="42"/>
              <w:bidi w:val="0"/>
              <w:jc w:val="center"/>
            </w:pPr>
            <w:r>
              <w:t>4560</w:t>
            </w:r>
          </w:p>
        </w:tc>
        <w:tc>
          <w:tcPr>
            <w:tcW w:w="452" w:type="pct"/>
            <w:tcBorders>
              <w:tl2br w:val="nil"/>
              <w:tr2bl w:val="nil"/>
            </w:tcBorders>
            <w:vAlign w:val="center"/>
          </w:tcPr>
          <w:p w14:paraId="76BBC14E">
            <w:pPr>
              <w:pStyle w:val="42"/>
              <w:bidi w:val="0"/>
              <w:jc w:val="center"/>
            </w:pPr>
            <w:r>
              <w:t>1</w:t>
            </w:r>
          </w:p>
        </w:tc>
        <w:tc>
          <w:tcPr>
            <w:tcW w:w="1012" w:type="pct"/>
            <w:tcBorders>
              <w:tl2br w:val="nil"/>
              <w:tr2bl w:val="nil"/>
            </w:tcBorders>
            <w:vAlign w:val="center"/>
          </w:tcPr>
          <w:p w14:paraId="25C42F90">
            <w:pPr>
              <w:pStyle w:val="42"/>
              <w:bidi w:val="0"/>
              <w:jc w:val="center"/>
            </w:pPr>
            <w:r>
              <w:t>钢砼半地上密封</w:t>
            </w:r>
          </w:p>
        </w:tc>
      </w:tr>
      <w:tr w14:paraId="452698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52097A1C">
            <w:pPr>
              <w:pStyle w:val="42"/>
              <w:bidi w:val="0"/>
              <w:jc w:val="center"/>
            </w:pPr>
            <w:r>
              <w:t>8</w:t>
            </w:r>
          </w:p>
        </w:tc>
        <w:tc>
          <w:tcPr>
            <w:tcW w:w="940" w:type="pct"/>
            <w:tcBorders>
              <w:tl2br w:val="nil"/>
              <w:tr2bl w:val="nil"/>
            </w:tcBorders>
            <w:vAlign w:val="center"/>
          </w:tcPr>
          <w:p w14:paraId="0542F00F">
            <w:pPr>
              <w:pStyle w:val="42"/>
              <w:bidi w:val="0"/>
              <w:jc w:val="center"/>
            </w:pPr>
            <w:r>
              <w:t>好氧池A/B</w:t>
            </w:r>
          </w:p>
        </w:tc>
        <w:tc>
          <w:tcPr>
            <w:tcW w:w="1385" w:type="pct"/>
            <w:tcBorders>
              <w:tl2br w:val="nil"/>
              <w:tr2bl w:val="nil"/>
            </w:tcBorders>
            <w:vAlign w:val="center"/>
          </w:tcPr>
          <w:p w14:paraId="0C047EAE">
            <w:pPr>
              <w:pStyle w:val="42"/>
              <w:bidi w:val="0"/>
              <w:jc w:val="center"/>
            </w:pPr>
            <w:r>
              <w:t>8.45m×2.5m×8.4m×2</w:t>
            </w:r>
          </w:p>
        </w:tc>
        <w:tc>
          <w:tcPr>
            <w:tcW w:w="939" w:type="pct"/>
            <w:tcBorders>
              <w:tl2br w:val="nil"/>
              <w:tr2bl w:val="nil"/>
            </w:tcBorders>
            <w:vAlign w:val="center"/>
          </w:tcPr>
          <w:p w14:paraId="223BBAF4">
            <w:pPr>
              <w:pStyle w:val="42"/>
              <w:bidi w:val="0"/>
              <w:jc w:val="center"/>
            </w:pPr>
            <w:r>
              <w:t>354</w:t>
            </w:r>
          </w:p>
        </w:tc>
        <w:tc>
          <w:tcPr>
            <w:tcW w:w="452" w:type="pct"/>
            <w:tcBorders>
              <w:tl2br w:val="nil"/>
              <w:tr2bl w:val="nil"/>
            </w:tcBorders>
            <w:vAlign w:val="center"/>
          </w:tcPr>
          <w:p w14:paraId="3D910B8B">
            <w:pPr>
              <w:pStyle w:val="42"/>
              <w:bidi w:val="0"/>
              <w:jc w:val="center"/>
            </w:pPr>
            <w:r>
              <w:t>1</w:t>
            </w:r>
          </w:p>
        </w:tc>
        <w:tc>
          <w:tcPr>
            <w:tcW w:w="1012" w:type="pct"/>
            <w:tcBorders>
              <w:tl2br w:val="nil"/>
              <w:tr2bl w:val="nil"/>
            </w:tcBorders>
            <w:vAlign w:val="center"/>
          </w:tcPr>
          <w:p w14:paraId="0242C241">
            <w:pPr>
              <w:pStyle w:val="42"/>
              <w:bidi w:val="0"/>
              <w:jc w:val="center"/>
            </w:pPr>
            <w:r>
              <w:t>钢砼半地上密封</w:t>
            </w:r>
          </w:p>
        </w:tc>
      </w:tr>
      <w:tr w14:paraId="4F5508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59FB3B3F">
            <w:pPr>
              <w:pStyle w:val="42"/>
              <w:bidi w:val="0"/>
              <w:jc w:val="center"/>
            </w:pPr>
            <w:r>
              <w:t>9</w:t>
            </w:r>
          </w:p>
        </w:tc>
        <w:tc>
          <w:tcPr>
            <w:tcW w:w="940" w:type="pct"/>
            <w:tcBorders>
              <w:tl2br w:val="nil"/>
              <w:tr2bl w:val="nil"/>
            </w:tcBorders>
            <w:vAlign w:val="center"/>
          </w:tcPr>
          <w:p w14:paraId="7468E73E">
            <w:pPr>
              <w:pStyle w:val="42"/>
              <w:bidi w:val="0"/>
              <w:jc w:val="center"/>
            </w:pPr>
            <w:r>
              <w:t>缺氧池A/B</w:t>
            </w:r>
          </w:p>
        </w:tc>
        <w:tc>
          <w:tcPr>
            <w:tcW w:w="1385" w:type="pct"/>
            <w:tcBorders>
              <w:tl2br w:val="nil"/>
              <w:tr2bl w:val="nil"/>
            </w:tcBorders>
            <w:vAlign w:val="center"/>
          </w:tcPr>
          <w:p w14:paraId="11009BBC">
            <w:pPr>
              <w:pStyle w:val="42"/>
              <w:bidi w:val="0"/>
              <w:jc w:val="center"/>
            </w:pPr>
            <w:r>
              <w:t>8.45m×3.95m×8.4m×2</w:t>
            </w:r>
          </w:p>
        </w:tc>
        <w:tc>
          <w:tcPr>
            <w:tcW w:w="939" w:type="pct"/>
            <w:tcBorders>
              <w:tl2br w:val="nil"/>
              <w:tr2bl w:val="nil"/>
            </w:tcBorders>
            <w:vAlign w:val="center"/>
          </w:tcPr>
          <w:p w14:paraId="6304D3EB">
            <w:pPr>
              <w:pStyle w:val="42"/>
              <w:bidi w:val="0"/>
              <w:jc w:val="center"/>
            </w:pPr>
            <w:r>
              <w:t>560</w:t>
            </w:r>
          </w:p>
        </w:tc>
        <w:tc>
          <w:tcPr>
            <w:tcW w:w="452" w:type="pct"/>
            <w:tcBorders>
              <w:tl2br w:val="nil"/>
              <w:tr2bl w:val="nil"/>
            </w:tcBorders>
            <w:vAlign w:val="center"/>
          </w:tcPr>
          <w:p w14:paraId="2764078B">
            <w:pPr>
              <w:pStyle w:val="42"/>
              <w:bidi w:val="0"/>
              <w:jc w:val="center"/>
            </w:pPr>
            <w:r>
              <w:t>1</w:t>
            </w:r>
          </w:p>
        </w:tc>
        <w:tc>
          <w:tcPr>
            <w:tcW w:w="1012" w:type="pct"/>
            <w:tcBorders>
              <w:tl2br w:val="nil"/>
              <w:tr2bl w:val="nil"/>
            </w:tcBorders>
            <w:vAlign w:val="center"/>
          </w:tcPr>
          <w:p w14:paraId="4B47C286">
            <w:pPr>
              <w:pStyle w:val="42"/>
              <w:bidi w:val="0"/>
              <w:jc w:val="center"/>
            </w:pPr>
            <w:r>
              <w:t>钢砼半地上密封</w:t>
            </w:r>
          </w:p>
        </w:tc>
      </w:tr>
      <w:tr w14:paraId="1CAD0D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0D187DFE">
            <w:pPr>
              <w:pStyle w:val="42"/>
              <w:bidi w:val="0"/>
              <w:jc w:val="center"/>
            </w:pPr>
            <w:r>
              <w:t>10</w:t>
            </w:r>
          </w:p>
        </w:tc>
        <w:tc>
          <w:tcPr>
            <w:tcW w:w="940" w:type="pct"/>
            <w:tcBorders>
              <w:tl2br w:val="nil"/>
              <w:tr2bl w:val="nil"/>
            </w:tcBorders>
            <w:vAlign w:val="center"/>
          </w:tcPr>
          <w:p w14:paraId="798CE125">
            <w:pPr>
              <w:pStyle w:val="42"/>
              <w:bidi w:val="0"/>
              <w:jc w:val="center"/>
            </w:pPr>
            <w:r>
              <w:t>消化池A/B</w:t>
            </w:r>
          </w:p>
        </w:tc>
        <w:tc>
          <w:tcPr>
            <w:tcW w:w="1385" w:type="pct"/>
            <w:tcBorders>
              <w:tl2br w:val="nil"/>
              <w:tr2bl w:val="nil"/>
            </w:tcBorders>
            <w:vAlign w:val="center"/>
          </w:tcPr>
          <w:p w14:paraId="50A39936">
            <w:pPr>
              <w:pStyle w:val="42"/>
              <w:bidi w:val="0"/>
              <w:jc w:val="center"/>
            </w:pPr>
            <w:r>
              <w:t>8.45m×2.5m×8.4m×2</w:t>
            </w:r>
          </w:p>
        </w:tc>
        <w:tc>
          <w:tcPr>
            <w:tcW w:w="939" w:type="pct"/>
            <w:tcBorders>
              <w:tl2br w:val="nil"/>
              <w:tr2bl w:val="nil"/>
            </w:tcBorders>
            <w:vAlign w:val="center"/>
          </w:tcPr>
          <w:p w14:paraId="79F2AD2A">
            <w:pPr>
              <w:pStyle w:val="42"/>
              <w:bidi w:val="0"/>
              <w:jc w:val="center"/>
            </w:pPr>
            <w:r>
              <w:t>354</w:t>
            </w:r>
          </w:p>
        </w:tc>
        <w:tc>
          <w:tcPr>
            <w:tcW w:w="452" w:type="pct"/>
            <w:tcBorders>
              <w:tl2br w:val="nil"/>
              <w:tr2bl w:val="nil"/>
            </w:tcBorders>
            <w:vAlign w:val="center"/>
          </w:tcPr>
          <w:p w14:paraId="37D4CE38">
            <w:pPr>
              <w:pStyle w:val="42"/>
              <w:bidi w:val="0"/>
              <w:jc w:val="center"/>
            </w:pPr>
            <w:r>
              <w:t>1</w:t>
            </w:r>
          </w:p>
        </w:tc>
        <w:tc>
          <w:tcPr>
            <w:tcW w:w="1012" w:type="pct"/>
            <w:tcBorders>
              <w:tl2br w:val="nil"/>
              <w:tr2bl w:val="nil"/>
            </w:tcBorders>
            <w:vAlign w:val="center"/>
          </w:tcPr>
          <w:p w14:paraId="05B4F447">
            <w:pPr>
              <w:pStyle w:val="42"/>
              <w:bidi w:val="0"/>
              <w:jc w:val="center"/>
            </w:pPr>
            <w:r>
              <w:t>钢砼半地上密封</w:t>
            </w:r>
          </w:p>
        </w:tc>
      </w:tr>
      <w:tr w14:paraId="5E00F5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4FD79DBF">
            <w:pPr>
              <w:pStyle w:val="42"/>
              <w:bidi w:val="0"/>
              <w:jc w:val="center"/>
            </w:pPr>
            <w:r>
              <w:t>11</w:t>
            </w:r>
          </w:p>
        </w:tc>
        <w:tc>
          <w:tcPr>
            <w:tcW w:w="940" w:type="pct"/>
            <w:tcBorders>
              <w:tl2br w:val="nil"/>
              <w:tr2bl w:val="nil"/>
            </w:tcBorders>
            <w:vAlign w:val="center"/>
          </w:tcPr>
          <w:p w14:paraId="4F24BE73">
            <w:pPr>
              <w:pStyle w:val="42"/>
              <w:bidi w:val="0"/>
              <w:jc w:val="center"/>
            </w:pPr>
            <w:r>
              <w:t>好氧流化床A/B</w:t>
            </w:r>
          </w:p>
        </w:tc>
        <w:tc>
          <w:tcPr>
            <w:tcW w:w="1385" w:type="pct"/>
            <w:tcBorders>
              <w:tl2br w:val="nil"/>
              <w:tr2bl w:val="nil"/>
            </w:tcBorders>
            <w:vAlign w:val="center"/>
          </w:tcPr>
          <w:p w14:paraId="4AFF8400">
            <w:pPr>
              <w:pStyle w:val="42"/>
              <w:bidi w:val="0"/>
              <w:jc w:val="center"/>
            </w:pPr>
            <w:r>
              <w:t>8.45m×9.8m×8.4m×2</w:t>
            </w:r>
          </w:p>
        </w:tc>
        <w:tc>
          <w:tcPr>
            <w:tcW w:w="939" w:type="pct"/>
            <w:tcBorders>
              <w:tl2br w:val="nil"/>
              <w:tr2bl w:val="nil"/>
            </w:tcBorders>
            <w:vAlign w:val="center"/>
          </w:tcPr>
          <w:p w14:paraId="69415DF1">
            <w:pPr>
              <w:pStyle w:val="42"/>
              <w:bidi w:val="0"/>
              <w:jc w:val="center"/>
            </w:pPr>
            <w:r>
              <w:t>1390</w:t>
            </w:r>
          </w:p>
        </w:tc>
        <w:tc>
          <w:tcPr>
            <w:tcW w:w="452" w:type="pct"/>
            <w:tcBorders>
              <w:tl2br w:val="nil"/>
              <w:tr2bl w:val="nil"/>
            </w:tcBorders>
            <w:vAlign w:val="center"/>
          </w:tcPr>
          <w:p w14:paraId="012529F0">
            <w:pPr>
              <w:pStyle w:val="42"/>
              <w:bidi w:val="0"/>
              <w:jc w:val="center"/>
            </w:pPr>
            <w:r>
              <w:t>1</w:t>
            </w:r>
          </w:p>
        </w:tc>
        <w:tc>
          <w:tcPr>
            <w:tcW w:w="1012" w:type="pct"/>
            <w:tcBorders>
              <w:tl2br w:val="nil"/>
              <w:tr2bl w:val="nil"/>
            </w:tcBorders>
            <w:vAlign w:val="center"/>
          </w:tcPr>
          <w:p w14:paraId="71CBBC21">
            <w:pPr>
              <w:pStyle w:val="42"/>
              <w:bidi w:val="0"/>
              <w:jc w:val="center"/>
            </w:pPr>
            <w:r>
              <w:t>钢砼半地上敞开</w:t>
            </w:r>
          </w:p>
        </w:tc>
      </w:tr>
      <w:tr w14:paraId="30EA52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31A5E05F">
            <w:pPr>
              <w:pStyle w:val="42"/>
              <w:bidi w:val="0"/>
              <w:jc w:val="center"/>
            </w:pPr>
            <w:r>
              <w:t>12</w:t>
            </w:r>
          </w:p>
        </w:tc>
        <w:tc>
          <w:tcPr>
            <w:tcW w:w="940" w:type="pct"/>
            <w:tcBorders>
              <w:tl2br w:val="nil"/>
              <w:tr2bl w:val="nil"/>
            </w:tcBorders>
            <w:vAlign w:val="center"/>
          </w:tcPr>
          <w:p w14:paraId="5FFB2F5E">
            <w:pPr>
              <w:pStyle w:val="42"/>
              <w:bidi w:val="0"/>
              <w:jc w:val="center"/>
            </w:pPr>
            <w:r>
              <w:t>去磷池</w:t>
            </w:r>
          </w:p>
        </w:tc>
        <w:tc>
          <w:tcPr>
            <w:tcW w:w="1385" w:type="pct"/>
            <w:tcBorders>
              <w:tl2br w:val="nil"/>
              <w:tr2bl w:val="nil"/>
            </w:tcBorders>
            <w:vAlign w:val="center"/>
          </w:tcPr>
          <w:p w14:paraId="5EE89D2E">
            <w:pPr>
              <w:pStyle w:val="42"/>
              <w:bidi w:val="0"/>
              <w:jc w:val="center"/>
            </w:pPr>
            <w:r>
              <w:t>14.5m×3.45m×4.1m</w:t>
            </w:r>
          </w:p>
        </w:tc>
        <w:tc>
          <w:tcPr>
            <w:tcW w:w="939" w:type="pct"/>
            <w:tcBorders>
              <w:tl2br w:val="nil"/>
              <w:tr2bl w:val="nil"/>
            </w:tcBorders>
            <w:vAlign w:val="center"/>
          </w:tcPr>
          <w:p w14:paraId="33C3F59C">
            <w:pPr>
              <w:pStyle w:val="42"/>
              <w:bidi w:val="0"/>
              <w:jc w:val="center"/>
            </w:pPr>
            <w:r>
              <w:t>180</w:t>
            </w:r>
          </w:p>
        </w:tc>
        <w:tc>
          <w:tcPr>
            <w:tcW w:w="452" w:type="pct"/>
            <w:tcBorders>
              <w:tl2br w:val="nil"/>
              <w:tr2bl w:val="nil"/>
            </w:tcBorders>
            <w:vAlign w:val="center"/>
          </w:tcPr>
          <w:p w14:paraId="180AF32F">
            <w:pPr>
              <w:pStyle w:val="42"/>
              <w:bidi w:val="0"/>
              <w:jc w:val="center"/>
            </w:pPr>
            <w:r>
              <w:t>1</w:t>
            </w:r>
          </w:p>
        </w:tc>
        <w:tc>
          <w:tcPr>
            <w:tcW w:w="1012" w:type="pct"/>
            <w:tcBorders>
              <w:tl2br w:val="nil"/>
              <w:tr2bl w:val="nil"/>
            </w:tcBorders>
            <w:vAlign w:val="center"/>
          </w:tcPr>
          <w:p w14:paraId="5167D267">
            <w:pPr>
              <w:pStyle w:val="42"/>
              <w:bidi w:val="0"/>
              <w:jc w:val="center"/>
            </w:pPr>
            <w:r>
              <w:t>钢砼半地上敞开</w:t>
            </w:r>
          </w:p>
        </w:tc>
      </w:tr>
      <w:tr w14:paraId="222F47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3F62D8CA">
            <w:pPr>
              <w:pStyle w:val="42"/>
              <w:bidi w:val="0"/>
              <w:jc w:val="center"/>
            </w:pPr>
            <w:r>
              <w:t>13</w:t>
            </w:r>
          </w:p>
        </w:tc>
        <w:tc>
          <w:tcPr>
            <w:tcW w:w="940" w:type="pct"/>
            <w:tcBorders>
              <w:tl2br w:val="nil"/>
              <w:tr2bl w:val="nil"/>
            </w:tcBorders>
            <w:vAlign w:val="center"/>
          </w:tcPr>
          <w:p w14:paraId="779A2A23">
            <w:pPr>
              <w:pStyle w:val="42"/>
              <w:bidi w:val="0"/>
              <w:jc w:val="center"/>
            </w:pPr>
            <w:r>
              <w:t>清水池</w:t>
            </w:r>
          </w:p>
        </w:tc>
        <w:tc>
          <w:tcPr>
            <w:tcW w:w="1385" w:type="pct"/>
            <w:tcBorders>
              <w:tl2br w:val="nil"/>
              <w:tr2bl w:val="nil"/>
            </w:tcBorders>
            <w:vAlign w:val="center"/>
          </w:tcPr>
          <w:p w14:paraId="45BD3307">
            <w:pPr>
              <w:pStyle w:val="42"/>
              <w:bidi w:val="0"/>
              <w:jc w:val="center"/>
            </w:pPr>
            <w:r>
              <w:t>2.65m×2.4m×4.1m</w:t>
            </w:r>
          </w:p>
        </w:tc>
        <w:tc>
          <w:tcPr>
            <w:tcW w:w="939" w:type="pct"/>
            <w:tcBorders>
              <w:tl2br w:val="nil"/>
              <w:tr2bl w:val="nil"/>
            </w:tcBorders>
            <w:vAlign w:val="center"/>
          </w:tcPr>
          <w:p w14:paraId="3C76F755">
            <w:pPr>
              <w:pStyle w:val="42"/>
              <w:bidi w:val="0"/>
              <w:jc w:val="center"/>
            </w:pPr>
            <w:r>
              <w:t>26</w:t>
            </w:r>
          </w:p>
        </w:tc>
        <w:tc>
          <w:tcPr>
            <w:tcW w:w="452" w:type="pct"/>
            <w:tcBorders>
              <w:tl2br w:val="nil"/>
              <w:tr2bl w:val="nil"/>
            </w:tcBorders>
            <w:vAlign w:val="center"/>
          </w:tcPr>
          <w:p w14:paraId="00432A2F">
            <w:pPr>
              <w:pStyle w:val="42"/>
              <w:bidi w:val="0"/>
              <w:jc w:val="center"/>
            </w:pPr>
            <w:r>
              <w:t>1</w:t>
            </w:r>
          </w:p>
        </w:tc>
        <w:tc>
          <w:tcPr>
            <w:tcW w:w="1012" w:type="pct"/>
            <w:tcBorders>
              <w:tl2br w:val="nil"/>
              <w:tr2bl w:val="nil"/>
            </w:tcBorders>
            <w:vAlign w:val="center"/>
          </w:tcPr>
          <w:p w14:paraId="6ECA2FD9">
            <w:pPr>
              <w:pStyle w:val="42"/>
              <w:bidi w:val="0"/>
              <w:jc w:val="center"/>
            </w:pPr>
            <w:r>
              <w:t>钢砼地上敞开</w:t>
            </w:r>
          </w:p>
        </w:tc>
      </w:tr>
      <w:tr w14:paraId="6F2961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1FF00167">
            <w:pPr>
              <w:pStyle w:val="42"/>
              <w:bidi w:val="0"/>
              <w:jc w:val="center"/>
            </w:pPr>
            <w:r>
              <w:t>14</w:t>
            </w:r>
          </w:p>
        </w:tc>
        <w:tc>
          <w:tcPr>
            <w:tcW w:w="940" w:type="pct"/>
            <w:tcBorders>
              <w:tl2br w:val="nil"/>
              <w:tr2bl w:val="nil"/>
            </w:tcBorders>
            <w:vAlign w:val="center"/>
          </w:tcPr>
          <w:p w14:paraId="79A2FF3B">
            <w:pPr>
              <w:pStyle w:val="42"/>
              <w:bidi w:val="0"/>
              <w:jc w:val="center"/>
            </w:pPr>
            <w:r>
              <w:t>污水综合房</w:t>
            </w:r>
          </w:p>
        </w:tc>
        <w:tc>
          <w:tcPr>
            <w:tcW w:w="1385" w:type="pct"/>
            <w:tcBorders>
              <w:tl2br w:val="nil"/>
              <w:tr2bl w:val="nil"/>
            </w:tcBorders>
            <w:vAlign w:val="center"/>
          </w:tcPr>
          <w:p w14:paraId="0EA01727">
            <w:pPr>
              <w:pStyle w:val="42"/>
              <w:bidi w:val="0"/>
              <w:jc w:val="center"/>
            </w:pPr>
            <w:r>
              <w:t>27.4×7.5×8.5</w:t>
            </w:r>
          </w:p>
        </w:tc>
        <w:tc>
          <w:tcPr>
            <w:tcW w:w="939" w:type="pct"/>
            <w:tcBorders>
              <w:tl2br w:val="nil"/>
              <w:tr2bl w:val="nil"/>
            </w:tcBorders>
            <w:vAlign w:val="center"/>
          </w:tcPr>
          <w:p w14:paraId="09A7C70E">
            <w:pPr>
              <w:pStyle w:val="42"/>
              <w:bidi w:val="0"/>
              <w:jc w:val="center"/>
              <w:rPr>
                <w:rFonts w:hint="eastAsia" w:eastAsia="宋体"/>
                <w:lang w:eastAsia="zh-CN"/>
              </w:rPr>
            </w:pPr>
            <w:r>
              <w:t>197</w:t>
            </w:r>
            <w:r>
              <w:rPr>
                <w:rFonts w:hint="eastAsia"/>
                <w:lang w:eastAsia="zh-CN"/>
              </w:rPr>
              <w:t>m</w:t>
            </w:r>
            <w:r>
              <w:rPr>
                <w:rFonts w:hint="eastAsia"/>
                <w:vertAlign w:val="superscript"/>
                <w:lang w:eastAsia="zh-CN"/>
              </w:rPr>
              <w:t>2</w:t>
            </w:r>
          </w:p>
        </w:tc>
        <w:tc>
          <w:tcPr>
            <w:tcW w:w="452" w:type="pct"/>
            <w:tcBorders>
              <w:tl2br w:val="nil"/>
              <w:tr2bl w:val="nil"/>
            </w:tcBorders>
            <w:vAlign w:val="center"/>
          </w:tcPr>
          <w:p w14:paraId="389054F8">
            <w:pPr>
              <w:pStyle w:val="42"/>
              <w:bidi w:val="0"/>
              <w:jc w:val="center"/>
            </w:pPr>
            <w:r>
              <w:t>1</w:t>
            </w:r>
          </w:p>
        </w:tc>
        <w:tc>
          <w:tcPr>
            <w:tcW w:w="1012" w:type="pct"/>
            <w:tcBorders>
              <w:tl2br w:val="nil"/>
              <w:tr2bl w:val="nil"/>
            </w:tcBorders>
            <w:vAlign w:val="center"/>
          </w:tcPr>
          <w:p w14:paraId="58AA7760">
            <w:pPr>
              <w:pStyle w:val="42"/>
              <w:bidi w:val="0"/>
              <w:jc w:val="center"/>
            </w:pPr>
            <w:r>
              <w:t>钢砼</w:t>
            </w:r>
          </w:p>
        </w:tc>
      </w:tr>
      <w:tr w14:paraId="7B8264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269" w:type="pct"/>
            <w:tcBorders>
              <w:tl2br w:val="nil"/>
              <w:tr2bl w:val="nil"/>
            </w:tcBorders>
            <w:vAlign w:val="center"/>
          </w:tcPr>
          <w:p w14:paraId="29D530C9">
            <w:pPr>
              <w:pStyle w:val="42"/>
              <w:bidi w:val="0"/>
              <w:jc w:val="center"/>
              <w:rPr>
                <w:rFonts w:hint="default" w:eastAsia="宋体"/>
                <w:lang w:val="en-US" w:eastAsia="zh-CN"/>
              </w:rPr>
            </w:pPr>
            <w:r>
              <w:rPr>
                <w:rFonts w:hint="eastAsia"/>
                <w:lang w:val="en-US" w:eastAsia="zh-CN"/>
              </w:rPr>
              <w:t>15</w:t>
            </w:r>
          </w:p>
        </w:tc>
        <w:tc>
          <w:tcPr>
            <w:tcW w:w="940" w:type="pct"/>
            <w:tcBorders>
              <w:tl2br w:val="nil"/>
              <w:tr2bl w:val="nil"/>
            </w:tcBorders>
            <w:vAlign w:val="center"/>
          </w:tcPr>
          <w:p w14:paraId="0648EB7A">
            <w:pPr>
              <w:pStyle w:val="42"/>
              <w:bidi w:val="0"/>
              <w:jc w:val="center"/>
              <w:rPr>
                <w:rFonts w:hint="default" w:eastAsia="宋体"/>
                <w:lang w:val="en-US" w:eastAsia="zh-CN"/>
              </w:rPr>
            </w:pPr>
            <w:r>
              <w:rPr>
                <w:rFonts w:hint="eastAsia"/>
                <w:lang w:val="en-US" w:eastAsia="zh-CN"/>
              </w:rPr>
              <w:t>在线设备间</w:t>
            </w:r>
          </w:p>
        </w:tc>
        <w:tc>
          <w:tcPr>
            <w:tcW w:w="1385" w:type="pct"/>
            <w:tcBorders>
              <w:tl2br w:val="nil"/>
              <w:tr2bl w:val="nil"/>
            </w:tcBorders>
            <w:vAlign w:val="center"/>
          </w:tcPr>
          <w:p w14:paraId="0821A9CB">
            <w:pPr>
              <w:pStyle w:val="42"/>
              <w:bidi w:val="0"/>
              <w:jc w:val="center"/>
              <w:rPr>
                <w:rFonts w:hint="eastAsia" w:eastAsia="宋体"/>
                <w:lang w:val="en-US" w:eastAsia="zh-CN"/>
              </w:rPr>
            </w:pPr>
            <w:r>
              <w:rPr>
                <w:rFonts w:hint="eastAsia"/>
                <w:lang w:val="en-US" w:eastAsia="zh-CN"/>
              </w:rPr>
              <w:t>/</w:t>
            </w:r>
          </w:p>
        </w:tc>
        <w:tc>
          <w:tcPr>
            <w:tcW w:w="939" w:type="pct"/>
            <w:tcBorders>
              <w:tl2br w:val="nil"/>
              <w:tr2bl w:val="nil"/>
            </w:tcBorders>
            <w:vAlign w:val="center"/>
          </w:tcPr>
          <w:p w14:paraId="3147EC34">
            <w:pPr>
              <w:pStyle w:val="42"/>
              <w:bidi w:val="0"/>
              <w:jc w:val="center"/>
              <w:rPr>
                <w:rFonts w:hint="eastAsia" w:eastAsia="宋体"/>
                <w:lang w:val="en-US" w:eastAsia="zh-CN"/>
              </w:rPr>
            </w:pPr>
            <w:r>
              <w:rPr>
                <w:rFonts w:hint="eastAsia"/>
                <w:lang w:val="en-US" w:eastAsia="zh-CN"/>
              </w:rPr>
              <w:t>/</w:t>
            </w:r>
          </w:p>
        </w:tc>
        <w:tc>
          <w:tcPr>
            <w:tcW w:w="452" w:type="pct"/>
            <w:tcBorders>
              <w:tl2br w:val="nil"/>
              <w:tr2bl w:val="nil"/>
            </w:tcBorders>
            <w:vAlign w:val="center"/>
          </w:tcPr>
          <w:p w14:paraId="00DDF0A2">
            <w:pPr>
              <w:pStyle w:val="42"/>
              <w:bidi w:val="0"/>
              <w:jc w:val="center"/>
              <w:rPr>
                <w:rFonts w:hint="eastAsia" w:eastAsia="宋体"/>
                <w:lang w:val="en-US" w:eastAsia="zh-CN"/>
              </w:rPr>
            </w:pPr>
            <w:r>
              <w:rPr>
                <w:rFonts w:hint="eastAsia"/>
                <w:lang w:val="en-US" w:eastAsia="zh-CN"/>
              </w:rPr>
              <w:t>1</w:t>
            </w:r>
          </w:p>
        </w:tc>
        <w:tc>
          <w:tcPr>
            <w:tcW w:w="1012" w:type="pct"/>
            <w:tcBorders>
              <w:tl2br w:val="nil"/>
              <w:tr2bl w:val="nil"/>
            </w:tcBorders>
            <w:vAlign w:val="center"/>
          </w:tcPr>
          <w:p w14:paraId="01464BB7">
            <w:pPr>
              <w:pStyle w:val="42"/>
              <w:bidi w:val="0"/>
              <w:jc w:val="center"/>
            </w:pPr>
          </w:p>
        </w:tc>
      </w:tr>
    </w:tbl>
    <w:p w14:paraId="54E9B323">
      <w:pPr>
        <w:bidi w:val="0"/>
        <w:rPr>
          <w:rFonts w:hint="default"/>
          <w:lang w:val="en-US" w:eastAsia="zh-CN"/>
        </w:rPr>
      </w:pPr>
      <w:r>
        <w:rPr>
          <w:rFonts w:hint="eastAsia"/>
          <w:lang w:val="en-US" w:eastAsia="zh-CN"/>
        </w:rPr>
        <w:t>（1）车间暂存/隔渣池</w:t>
      </w:r>
    </w:p>
    <w:p w14:paraId="06AD6B8F">
      <w:pPr>
        <w:bidi w:val="0"/>
        <w:rPr>
          <w:rFonts w:hint="default"/>
        </w:rPr>
      </w:pPr>
      <w:r>
        <w:rPr>
          <w:rFonts w:hint="default"/>
        </w:rPr>
        <w:t>主要对废水中的粗浮油、杂质进行初步分离处理。荤菜水含有高浮油、高悬浮物物质，为了避免后续污水系统处理负荷过高，建议荤菜水车间设置明沟拦渣筛网，然后车间排水口处设置多个集油隔油池；解冻水车间设置明沟拦渣筛网，除渣后的污水和经初步隔油后的荤菜水混合后一起排至车间隔油池，此车间隔油池尽量靠近车间；</w:t>
      </w:r>
    </w:p>
    <w:p w14:paraId="12D8E91D">
      <w:pPr>
        <w:bidi w:val="0"/>
        <w:rPr>
          <w:rFonts w:hint="default"/>
        </w:rPr>
      </w:pPr>
      <w:r>
        <w:rPr>
          <w:rFonts w:hint="default"/>
        </w:rPr>
        <w:t>车间隔渣池，尺寸：6*2.0*2.5m</w:t>
      </w:r>
    </w:p>
    <w:p w14:paraId="05D3A753">
      <w:pPr>
        <w:bidi w:val="0"/>
        <w:rPr>
          <w:rFonts w:hint="eastAsia"/>
          <w:lang w:val="en-US" w:eastAsia="zh-CN"/>
        </w:rPr>
      </w:pPr>
      <w:r>
        <w:rPr>
          <w:rFonts w:hint="eastAsia"/>
          <w:lang w:eastAsia="zh-CN"/>
        </w:rPr>
        <w:t>（</w:t>
      </w:r>
      <w:r>
        <w:rPr>
          <w:rFonts w:hint="eastAsia"/>
          <w:lang w:val="en-US" w:eastAsia="zh-CN"/>
        </w:rPr>
        <w:t>2）集水池</w:t>
      </w:r>
    </w:p>
    <w:p w14:paraId="5B951D39">
      <w:pPr>
        <w:bidi w:val="0"/>
        <w:rPr>
          <w:rFonts w:hint="default"/>
          <w:lang w:val="en-US" w:eastAsia="zh-CN"/>
        </w:rPr>
      </w:pPr>
      <w:r>
        <w:rPr>
          <w:rFonts w:hint="default"/>
          <w:lang w:val="en-US" w:eastAsia="zh-CN"/>
        </w:rPr>
        <w:t>集水池主要对接厂区污水管网，由于管网埋设地面以下处，根据厂区距离核算，靠近污水站的污水井管底离地面有2.0~2.5m的距离，若直接对接调节池，则调节池内有2.0~2.5m空间不能有效的利用，故在调节池前端设置集水池（相当于泵房泵井）则可满足此需求，节约建筑造价成本。综合集水池的污水通过液位计自动泵至隔油初沉池内。集水池采用旋流式。</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10"/>
        <w:gridCol w:w="1575"/>
        <w:gridCol w:w="6048"/>
      </w:tblGrid>
      <w:tr w14:paraId="5FD504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6" w:hRule="atLeast"/>
        </w:trPr>
        <w:tc>
          <w:tcPr>
            <w:tcW w:w="426" w:type="pct"/>
            <w:tcBorders>
              <w:tl2br w:val="nil"/>
              <w:tr2bl w:val="nil"/>
            </w:tcBorders>
            <w:vAlign w:val="center"/>
          </w:tcPr>
          <w:p w14:paraId="102DA278">
            <w:pPr>
              <w:pStyle w:val="42"/>
              <w:bidi w:val="0"/>
            </w:pPr>
            <w:r>
              <w:t>序号</w:t>
            </w:r>
          </w:p>
        </w:tc>
        <w:tc>
          <w:tcPr>
            <w:tcW w:w="945" w:type="pct"/>
            <w:tcBorders>
              <w:tl2br w:val="nil"/>
              <w:tr2bl w:val="nil"/>
            </w:tcBorders>
            <w:vAlign w:val="center"/>
          </w:tcPr>
          <w:p w14:paraId="0695B521">
            <w:pPr>
              <w:pStyle w:val="42"/>
              <w:bidi w:val="0"/>
            </w:pPr>
            <w:r>
              <w:t>名称</w:t>
            </w:r>
          </w:p>
        </w:tc>
        <w:tc>
          <w:tcPr>
            <w:tcW w:w="3628" w:type="pct"/>
            <w:tcBorders>
              <w:tl2br w:val="nil"/>
              <w:tr2bl w:val="nil"/>
            </w:tcBorders>
            <w:vAlign w:val="center"/>
          </w:tcPr>
          <w:p w14:paraId="1C8AD577">
            <w:pPr>
              <w:pStyle w:val="42"/>
              <w:bidi w:val="0"/>
            </w:pPr>
            <w:r>
              <w:t>内容（1200TD）</w:t>
            </w:r>
          </w:p>
        </w:tc>
      </w:tr>
      <w:tr w14:paraId="2DB791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63" w:hRule="atLeast"/>
        </w:trPr>
        <w:tc>
          <w:tcPr>
            <w:tcW w:w="426" w:type="pct"/>
            <w:tcBorders>
              <w:tl2br w:val="nil"/>
              <w:tr2bl w:val="nil"/>
            </w:tcBorders>
            <w:vAlign w:val="center"/>
          </w:tcPr>
          <w:p w14:paraId="6D4C4FE9">
            <w:pPr>
              <w:pStyle w:val="42"/>
              <w:bidi w:val="0"/>
            </w:pPr>
            <w:r>
              <w:t>1</w:t>
            </w:r>
          </w:p>
        </w:tc>
        <w:tc>
          <w:tcPr>
            <w:tcW w:w="945" w:type="pct"/>
            <w:tcBorders>
              <w:tl2br w:val="nil"/>
              <w:tr2bl w:val="nil"/>
            </w:tcBorders>
            <w:vAlign w:val="center"/>
          </w:tcPr>
          <w:p w14:paraId="2C86A9C4">
            <w:pPr>
              <w:pStyle w:val="42"/>
              <w:bidi w:val="0"/>
            </w:pPr>
            <w:r>
              <w:t>构筑物参数</w:t>
            </w:r>
          </w:p>
        </w:tc>
        <w:tc>
          <w:tcPr>
            <w:tcW w:w="3628" w:type="pct"/>
            <w:tcBorders>
              <w:tl2br w:val="nil"/>
              <w:tr2bl w:val="nil"/>
            </w:tcBorders>
            <w:vAlign w:val="center"/>
          </w:tcPr>
          <w:p w14:paraId="56C31F3A">
            <w:pPr>
              <w:pStyle w:val="42"/>
              <w:bidi w:val="0"/>
            </w:pPr>
            <w:r>
              <w:t>集水池尺寸：2.65m×5.0m×4.5m</w:t>
            </w:r>
          </w:p>
          <w:p w14:paraId="7792CEE9">
            <w:pPr>
              <w:pStyle w:val="42"/>
              <w:bidi w:val="0"/>
            </w:pPr>
            <w:r>
              <w:t>结构型式：钢砼地下式</w:t>
            </w:r>
          </w:p>
          <w:p w14:paraId="66613813">
            <w:pPr>
              <w:pStyle w:val="42"/>
              <w:bidi w:val="0"/>
            </w:pPr>
            <w:r>
              <w:t>数量：1座，有效水深4.0米（根据生产污水管网标高而定）停留时间2.0h，有效容积：53m³</w:t>
            </w:r>
          </w:p>
        </w:tc>
      </w:tr>
      <w:tr w14:paraId="588671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50" w:hRule="atLeast"/>
        </w:trPr>
        <w:tc>
          <w:tcPr>
            <w:tcW w:w="426" w:type="pct"/>
            <w:tcBorders>
              <w:tl2br w:val="nil"/>
              <w:tr2bl w:val="nil"/>
            </w:tcBorders>
            <w:vAlign w:val="center"/>
          </w:tcPr>
          <w:p w14:paraId="5FB4A9FA">
            <w:pPr>
              <w:pStyle w:val="42"/>
              <w:bidi w:val="0"/>
            </w:pPr>
            <w:r>
              <w:t>2</w:t>
            </w:r>
          </w:p>
        </w:tc>
        <w:tc>
          <w:tcPr>
            <w:tcW w:w="945" w:type="pct"/>
            <w:tcBorders>
              <w:tl2br w:val="nil"/>
              <w:tr2bl w:val="nil"/>
            </w:tcBorders>
            <w:vAlign w:val="center"/>
          </w:tcPr>
          <w:p w14:paraId="173007A8">
            <w:pPr>
              <w:pStyle w:val="42"/>
              <w:bidi w:val="0"/>
            </w:pPr>
            <w:r>
              <w:t>主要配套设备</w:t>
            </w:r>
          </w:p>
        </w:tc>
        <w:tc>
          <w:tcPr>
            <w:tcW w:w="3628" w:type="pct"/>
            <w:tcBorders>
              <w:tl2br w:val="nil"/>
              <w:tr2bl w:val="nil"/>
            </w:tcBorders>
            <w:vAlign w:val="center"/>
          </w:tcPr>
          <w:p w14:paraId="4775CC98">
            <w:pPr>
              <w:pStyle w:val="42"/>
              <w:bidi w:val="0"/>
            </w:pPr>
            <w:r>
              <w:t>1）集水池提升泵</w:t>
            </w:r>
            <w:r>
              <w:rPr>
                <w:rFonts w:hint="eastAsia"/>
                <w:lang w:val="en-US" w:eastAsia="zh-CN"/>
              </w:rPr>
              <w:t xml:space="preserve">   </w:t>
            </w:r>
            <w:r>
              <w:t>数量：2台（1用1备）</w:t>
            </w:r>
          </w:p>
          <w:p w14:paraId="774974F4">
            <w:pPr>
              <w:pStyle w:val="42"/>
              <w:bidi w:val="0"/>
            </w:pPr>
            <w:r>
              <w:t>2）液位计</w:t>
            </w:r>
            <w:r>
              <w:rPr>
                <w:rFonts w:hint="eastAsia"/>
                <w:lang w:val="en-US" w:eastAsia="zh-CN"/>
              </w:rPr>
              <w:t xml:space="preserve">   </w:t>
            </w:r>
            <w:r>
              <w:t>数量：1台</w:t>
            </w:r>
          </w:p>
          <w:p w14:paraId="71F55287">
            <w:pPr>
              <w:pStyle w:val="42"/>
              <w:bidi w:val="0"/>
            </w:pPr>
            <w:r>
              <w:t>3）转鼓微滤机</w:t>
            </w:r>
            <w:r>
              <w:rPr>
                <w:rFonts w:hint="eastAsia"/>
                <w:lang w:val="en-US" w:eastAsia="zh-CN"/>
              </w:rPr>
              <w:t xml:space="preserve">   </w:t>
            </w:r>
            <w:r>
              <w:t>数量：1台</w:t>
            </w:r>
          </w:p>
          <w:p w14:paraId="2D30CC11">
            <w:pPr>
              <w:pStyle w:val="42"/>
              <w:bidi w:val="0"/>
            </w:pPr>
            <w:r>
              <w:t>4）在线盐度计</w:t>
            </w:r>
            <w:r>
              <w:rPr>
                <w:rFonts w:hint="eastAsia"/>
                <w:lang w:val="en-US" w:eastAsia="zh-CN"/>
              </w:rPr>
              <w:t xml:space="preserve">   </w:t>
            </w:r>
            <w:r>
              <w:t>数量：1套</w:t>
            </w:r>
          </w:p>
        </w:tc>
      </w:tr>
    </w:tbl>
    <w:p w14:paraId="6050012C">
      <w:pPr>
        <w:bidi w:val="0"/>
        <w:rPr>
          <w:rFonts w:hint="default"/>
          <w:lang w:val="en-US" w:eastAsia="zh-CN"/>
        </w:rPr>
      </w:pPr>
      <w:r>
        <w:rPr>
          <w:rFonts w:hint="eastAsia"/>
          <w:lang w:val="en-US" w:eastAsia="zh-CN"/>
        </w:rPr>
        <w:t>（3）</w:t>
      </w:r>
      <w:r>
        <w:rPr>
          <w:rFonts w:hint="default"/>
          <w:lang w:val="en-US" w:eastAsia="zh-CN"/>
        </w:rPr>
        <w:t>隔油初沉池</w:t>
      </w:r>
    </w:p>
    <w:p w14:paraId="15078756">
      <w:pPr>
        <w:bidi w:val="0"/>
        <w:rPr>
          <w:rFonts w:hint="default"/>
          <w:lang w:val="en-US" w:eastAsia="zh-CN"/>
        </w:rPr>
      </w:pPr>
      <w:r>
        <w:rPr>
          <w:rFonts w:hint="default"/>
          <w:lang w:val="en-US" w:eastAsia="zh-CN"/>
        </w:rPr>
        <w:t>主要是对来水当中的动植物油进行分隔隔油处理。</w:t>
      </w:r>
    </w:p>
    <w:p w14:paraId="13067AA5">
      <w:pPr>
        <w:bidi w:val="0"/>
        <w:rPr>
          <w:rFonts w:hint="default"/>
          <w:lang w:val="en-US" w:eastAsia="zh-CN"/>
        </w:rPr>
      </w:pPr>
      <w:r>
        <w:rPr>
          <w:rFonts w:hint="default"/>
          <w:lang w:val="en-US" w:eastAsia="zh-CN"/>
        </w:rPr>
        <w:t>由于污水pH偏酸，故需加入碱液调节pH至8.5，尽可能让动植物油进行皂化，然后通过刮渣机将浮油刮出至储油池，然后浮油收集后资源化利用。</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0"/>
        <w:gridCol w:w="1575"/>
        <w:gridCol w:w="6048"/>
      </w:tblGrid>
      <w:tr w14:paraId="0876DD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6" w:type="pct"/>
            <w:tcBorders>
              <w:top w:val="single" w:color="000000" w:sz="12" w:space="0"/>
              <w:left w:val="single" w:color="000000" w:sz="12" w:space="0"/>
              <w:bottom w:val="single" w:color="000000" w:sz="4" w:space="0"/>
              <w:right w:val="single" w:color="000000" w:sz="4" w:space="0"/>
            </w:tcBorders>
            <w:vAlign w:val="center"/>
          </w:tcPr>
          <w:p w14:paraId="3430E0D8">
            <w:pPr>
              <w:pStyle w:val="42"/>
              <w:bidi w:val="0"/>
              <w:jc w:val="center"/>
            </w:pPr>
            <w:r>
              <w:t>序号</w:t>
            </w:r>
          </w:p>
        </w:tc>
        <w:tc>
          <w:tcPr>
            <w:tcW w:w="945" w:type="pct"/>
            <w:tcBorders>
              <w:top w:val="single" w:color="000000" w:sz="12" w:space="0"/>
              <w:left w:val="single" w:color="000000" w:sz="4" w:space="0"/>
              <w:bottom w:val="single" w:color="000000" w:sz="4" w:space="0"/>
              <w:right w:val="single" w:color="000000" w:sz="4" w:space="0"/>
            </w:tcBorders>
            <w:vAlign w:val="center"/>
          </w:tcPr>
          <w:p w14:paraId="5791A85B">
            <w:pPr>
              <w:pStyle w:val="42"/>
              <w:bidi w:val="0"/>
              <w:jc w:val="center"/>
            </w:pPr>
            <w:r>
              <w:t>名称</w:t>
            </w:r>
          </w:p>
        </w:tc>
        <w:tc>
          <w:tcPr>
            <w:tcW w:w="3628" w:type="pct"/>
            <w:tcBorders>
              <w:top w:val="single" w:color="000000" w:sz="12" w:space="0"/>
              <w:left w:val="single" w:color="000000" w:sz="4" w:space="0"/>
              <w:bottom w:val="single" w:color="000000" w:sz="4" w:space="0"/>
              <w:right w:val="single" w:color="000000" w:sz="12" w:space="0"/>
            </w:tcBorders>
            <w:vAlign w:val="center"/>
          </w:tcPr>
          <w:p w14:paraId="4C8549E8">
            <w:pPr>
              <w:pStyle w:val="42"/>
              <w:bidi w:val="0"/>
              <w:jc w:val="center"/>
            </w:pPr>
            <w:r>
              <w:t>内容（1200TD）</w:t>
            </w:r>
          </w:p>
        </w:tc>
      </w:tr>
      <w:tr w14:paraId="568F6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6" w:type="pct"/>
            <w:vMerge w:val="restart"/>
            <w:tcBorders>
              <w:top w:val="single" w:color="000000" w:sz="4" w:space="0"/>
              <w:left w:val="single" w:color="000000" w:sz="12" w:space="0"/>
              <w:right w:val="single" w:color="000000" w:sz="4" w:space="0"/>
            </w:tcBorders>
            <w:vAlign w:val="center"/>
          </w:tcPr>
          <w:p w14:paraId="7DDDDE4E">
            <w:pPr>
              <w:pStyle w:val="42"/>
              <w:bidi w:val="0"/>
              <w:jc w:val="center"/>
            </w:pPr>
            <w:r>
              <w:t>1</w:t>
            </w:r>
          </w:p>
        </w:tc>
        <w:tc>
          <w:tcPr>
            <w:tcW w:w="945" w:type="pct"/>
            <w:vMerge w:val="restart"/>
            <w:tcBorders>
              <w:top w:val="single" w:color="000000" w:sz="4" w:space="0"/>
              <w:left w:val="single" w:color="000000" w:sz="4" w:space="0"/>
              <w:right w:val="single" w:color="000000" w:sz="4" w:space="0"/>
            </w:tcBorders>
            <w:vAlign w:val="center"/>
          </w:tcPr>
          <w:p w14:paraId="65F566E9">
            <w:pPr>
              <w:pStyle w:val="42"/>
              <w:bidi w:val="0"/>
              <w:jc w:val="center"/>
            </w:pPr>
            <w:r>
              <w:t>构筑物参数</w:t>
            </w:r>
          </w:p>
        </w:tc>
        <w:tc>
          <w:tcPr>
            <w:tcW w:w="3628" w:type="pct"/>
            <w:tcBorders>
              <w:top w:val="single" w:color="000000" w:sz="4" w:space="0"/>
              <w:left w:val="single" w:color="000000" w:sz="4" w:space="0"/>
              <w:bottom w:val="single" w:color="000000" w:sz="4" w:space="0"/>
              <w:right w:val="single" w:color="000000" w:sz="12" w:space="0"/>
            </w:tcBorders>
            <w:vAlign w:val="center"/>
          </w:tcPr>
          <w:p w14:paraId="024DE22D">
            <w:pPr>
              <w:pStyle w:val="42"/>
              <w:bidi w:val="0"/>
              <w:jc w:val="center"/>
            </w:pPr>
            <w:r>
              <w:t>隔油初沉池尺寸：2.1m×12.55m×4.6m</w:t>
            </w:r>
          </w:p>
        </w:tc>
      </w:tr>
      <w:tr w14:paraId="05C8F0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6" w:type="pct"/>
            <w:vMerge w:val="continue"/>
            <w:tcBorders>
              <w:left w:val="single" w:color="000000" w:sz="12" w:space="0"/>
              <w:bottom w:val="single" w:color="000000" w:sz="4" w:space="0"/>
              <w:right w:val="single" w:color="000000" w:sz="4" w:space="0"/>
            </w:tcBorders>
            <w:vAlign w:val="center"/>
          </w:tcPr>
          <w:p w14:paraId="59FFBB8D">
            <w:pPr>
              <w:pStyle w:val="42"/>
              <w:bidi w:val="0"/>
              <w:jc w:val="center"/>
            </w:pPr>
          </w:p>
        </w:tc>
        <w:tc>
          <w:tcPr>
            <w:tcW w:w="945" w:type="pct"/>
            <w:vMerge w:val="continue"/>
            <w:tcBorders>
              <w:left w:val="single" w:color="000000" w:sz="4" w:space="0"/>
              <w:bottom w:val="single" w:color="000000" w:sz="4" w:space="0"/>
              <w:right w:val="single" w:color="000000" w:sz="4" w:space="0"/>
            </w:tcBorders>
            <w:vAlign w:val="center"/>
          </w:tcPr>
          <w:p w14:paraId="20B35D4C">
            <w:pPr>
              <w:pStyle w:val="42"/>
              <w:bidi w:val="0"/>
              <w:jc w:val="center"/>
            </w:pPr>
          </w:p>
        </w:tc>
        <w:tc>
          <w:tcPr>
            <w:tcW w:w="3628" w:type="pct"/>
            <w:tcBorders>
              <w:top w:val="single" w:color="000000" w:sz="4" w:space="0"/>
              <w:left w:val="single" w:color="000000" w:sz="4" w:space="0"/>
              <w:bottom w:val="single" w:color="000000" w:sz="4" w:space="0"/>
              <w:right w:val="single" w:color="000000" w:sz="12" w:space="0"/>
            </w:tcBorders>
            <w:vAlign w:val="center"/>
          </w:tcPr>
          <w:p w14:paraId="1FDC4295">
            <w:pPr>
              <w:pStyle w:val="42"/>
              <w:bidi w:val="0"/>
              <w:jc w:val="center"/>
            </w:pPr>
            <w:r>
              <w:t>储油池尺寸：2.0m×5.6m×4.6m</w:t>
            </w:r>
          </w:p>
          <w:p w14:paraId="56858CE9">
            <w:pPr>
              <w:pStyle w:val="42"/>
              <w:bidi w:val="0"/>
              <w:jc w:val="center"/>
            </w:pPr>
            <w:r>
              <w:t>结构型式：钢砼地下式</w:t>
            </w:r>
          </w:p>
          <w:p w14:paraId="69752B7C">
            <w:pPr>
              <w:pStyle w:val="42"/>
              <w:bidi w:val="0"/>
              <w:jc w:val="center"/>
            </w:pPr>
            <w:r>
              <w:t>数量：1座，有效水深4.4m</w:t>
            </w:r>
          </w:p>
          <w:p w14:paraId="1D6F49F6">
            <w:pPr>
              <w:pStyle w:val="42"/>
              <w:bidi w:val="0"/>
              <w:jc w:val="center"/>
            </w:pPr>
            <w:r>
              <w:t>停留时间2.3h，有效容积：115.96m³</w:t>
            </w:r>
          </w:p>
        </w:tc>
      </w:tr>
      <w:tr w14:paraId="154539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26" w:type="pct"/>
            <w:tcBorders>
              <w:top w:val="single" w:color="000000" w:sz="4" w:space="0"/>
              <w:left w:val="single" w:color="000000" w:sz="12" w:space="0"/>
              <w:bottom w:val="single" w:color="000000" w:sz="12" w:space="0"/>
              <w:right w:val="single" w:color="000000" w:sz="4" w:space="0"/>
            </w:tcBorders>
            <w:vAlign w:val="center"/>
          </w:tcPr>
          <w:p w14:paraId="3D57CCC7">
            <w:pPr>
              <w:pStyle w:val="42"/>
              <w:bidi w:val="0"/>
              <w:jc w:val="center"/>
            </w:pPr>
            <w:r>
              <w:t>2</w:t>
            </w:r>
          </w:p>
        </w:tc>
        <w:tc>
          <w:tcPr>
            <w:tcW w:w="945" w:type="pct"/>
            <w:tcBorders>
              <w:top w:val="single" w:color="000000" w:sz="4" w:space="0"/>
              <w:left w:val="single" w:color="000000" w:sz="4" w:space="0"/>
              <w:bottom w:val="single" w:color="000000" w:sz="12" w:space="0"/>
              <w:right w:val="single" w:color="000000" w:sz="4" w:space="0"/>
            </w:tcBorders>
            <w:vAlign w:val="center"/>
          </w:tcPr>
          <w:p w14:paraId="371B5210">
            <w:pPr>
              <w:pStyle w:val="42"/>
              <w:bidi w:val="0"/>
              <w:jc w:val="center"/>
            </w:pPr>
            <w:r>
              <w:t>主要配套设备</w:t>
            </w:r>
          </w:p>
        </w:tc>
        <w:tc>
          <w:tcPr>
            <w:tcW w:w="3628" w:type="pct"/>
            <w:tcBorders>
              <w:top w:val="single" w:color="000000" w:sz="4" w:space="0"/>
              <w:left w:val="single" w:color="000000" w:sz="4" w:space="0"/>
              <w:bottom w:val="single" w:color="000000" w:sz="12" w:space="0"/>
              <w:right w:val="single" w:color="000000" w:sz="12" w:space="0"/>
            </w:tcBorders>
            <w:vAlign w:val="center"/>
          </w:tcPr>
          <w:p w14:paraId="097B6C30">
            <w:pPr>
              <w:pStyle w:val="42"/>
              <w:bidi w:val="0"/>
              <w:jc w:val="center"/>
            </w:pPr>
            <w:r>
              <w:t>1）预沉池泵</w:t>
            </w:r>
            <w:r>
              <w:rPr>
                <w:rFonts w:hint="eastAsia"/>
                <w:lang w:val="en-US" w:eastAsia="zh-CN"/>
              </w:rPr>
              <w:t xml:space="preserve">   </w:t>
            </w:r>
            <w:r>
              <w:t>数量：2台（1用1备）</w:t>
            </w:r>
          </w:p>
          <w:p w14:paraId="037F713E">
            <w:pPr>
              <w:pStyle w:val="42"/>
              <w:bidi w:val="0"/>
              <w:jc w:val="center"/>
            </w:pPr>
            <w:r>
              <w:t>2）浮渣挡板</w:t>
            </w:r>
            <w:r>
              <w:rPr>
                <w:rFonts w:hint="eastAsia"/>
                <w:lang w:val="en-US" w:eastAsia="zh-CN"/>
              </w:rPr>
              <w:t xml:space="preserve">   </w:t>
            </w:r>
            <w:r>
              <w:t>数量：1台</w:t>
            </w:r>
          </w:p>
          <w:p w14:paraId="2C6050CE">
            <w:pPr>
              <w:pStyle w:val="42"/>
              <w:bidi w:val="0"/>
              <w:jc w:val="center"/>
            </w:pPr>
            <w:r>
              <w:t>3）行车式刮渣机</w:t>
            </w:r>
            <w:r>
              <w:rPr>
                <w:rFonts w:hint="eastAsia"/>
                <w:lang w:val="en-US" w:eastAsia="zh-CN"/>
              </w:rPr>
              <w:t xml:space="preserve">   </w:t>
            </w:r>
            <w:r>
              <w:t>数量：1台</w:t>
            </w:r>
          </w:p>
          <w:p w14:paraId="046ACC91">
            <w:pPr>
              <w:pStyle w:val="42"/>
              <w:bidi w:val="0"/>
              <w:jc w:val="center"/>
            </w:pPr>
            <w:r>
              <w:t>4）pH在线仪</w:t>
            </w:r>
            <w:r>
              <w:rPr>
                <w:rFonts w:hint="eastAsia"/>
                <w:lang w:val="en-US" w:eastAsia="zh-CN"/>
              </w:rPr>
              <w:t xml:space="preserve">   </w:t>
            </w:r>
            <w:r>
              <w:t>数量：1套</w:t>
            </w:r>
          </w:p>
          <w:p w14:paraId="58534950">
            <w:pPr>
              <w:pStyle w:val="42"/>
              <w:bidi w:val="0"/>
              <w:jc w:val="center"/>
            </w:pPr>
            <w:r>
              <w:t>5）储油泵</w:t>
            </w:r>
            <w:r>
              <w:rPr>
                <w:rFonts w:hint="eastAsia"/>
                <w:lang w:val="en-US" w:eastAsia="zh-CN"/>
              </w:rPr>
              <w:t xml:space="preserve">   </w:t>
            </w:r>
            <w:r>
              <w:t>数量：2台</w:t>
            </w:r>
          </w:p>
        </w:tc>
      </w:tr>
    </w:tbl>
    <w:p w14:paraId="080ED20C">
      <w:pPr>
        <w:bidi w:val="0"/>
        <w:rPr>
          <w:rFonts w:hint="default"/>
          <w:lang w:val="en-US" w:eastAsia="zh-CN"/>
        </w:rPr>
      </w:pPr>
      <w:r>
        <w:rPr>
          <w:rFonts w:hint="eastAsia"/>
          <w:lang w:val="en-US" w:eastAsia="zh-CN"/>
        </w:rPr>
        <w:t>（4）</w:t>
      </w:r>
      <w:r>
        <w:rPr>
          <w:rFonts w:hint="default"/>
          <w:lang w:val="en-US" w:eastAsia="zh-CN"/>
        </w:rPr>
        <w:t>调节池</w:t>
      </w:r>
    </w:p>
    <w:p w14:paraId="21595311">
      <w:pPr>
        <w:bidi w:val="0"/>
        <w:rPr>
          <w:rFonts w:hint="default"/>
          <w:lang w:val="en-US" w:eastAsia="zh-CN"/>
        </w:rPr>
      </w:pPr>
      <w:r>
        <w:rPr>
          <w:rFonts w:hint="default"/>
          <w:lang w:val="en-US" w:eastAsia="zh-CN"/>
        </w:rPr>
        <w:t>调节池是用以尽量减小污水处理厂进水水量和水质波动的构筑物。调节池主要对废水起到均化水质和均化水量的作用。也可以是生产厂区在发生事故、检修等特殊情况下，暂时贮存排除废液的水池。</w:t>
      </w:r>
    </w:p>
    <w:p w14:paraId="4B26728C">
      <w:pPr>
        <w:bidi w:val="0"/>
        <w:rPr>
          <w:rFonts w:hint="default"/>
          <w:lang w:val="en-US" w:eastAsia="zh-CN"/>
        </w:rPr>
      </w:pPr>
      <w:r>
        <w:rPr>
          <w:rFonts w:hint="default"/>
          <w:lang w:val="en-US" w:eastAsia="zh-CN"/>
        </w:rPr>
        <w:t>调节池分为两部分，前端部分设置分离隔渣处理，沉渣定期泵至污泥池内，清液自流至后端部分；后端部分的污水通过空气搅拌对其进行空气氧化处理并均质均量。整个过程中污水还进行部分水解酸化功能。</w:t>
      </w:r>
    </w:p>
    <w:p w14:paraId="3C19EEFC">
      <w:pPr>
        <w:bidi w:val="0"/>
        <w:rPr>
          <w:rFonts w:hint="default"/>
          <w:lang w:val="en-US" w:eastAsia="zh-CN"/>
        </w:rPr>
      </w:pPr>
      <w:r>
        <w:rPr>
          <w:rFonts w:hint="default"/>
          <w:lang w:val="en-US" w:eastAsia="zh-CN"/>
        </w:rPr>
        <w:t>水解酸化放弃了厌氧反应中甲烷发酵阶段，利用水解和产酸菌的反应，将不溶性有机物水解成溶解性有机物，减轻后续处理构筑物的负荷，使污泥与污水同时得到处理，可以取消污泥消化。在整个水解酸化过程中，80%以上的进水悬浮物水解成可溶性物质，将大分子降解为小分子，不仅是难降解的大分子物质得到降解，而且出水</w:t>
      </w:r>
      <w:r>
        <w:rPr>
          <w:rFonts w:hint="eastAsia"/>
          <w:lang w:val="en-US" w:eastAsia="zh-CN"/>
        </w:rPr>
        <w:t>BOD</w:t>
      </w:r>
      <w:r>
        <w:rPr>
          <w:rFonts w:hint="eastAsia"/>
          <w:vertAlign w:val="subscript"/>
          <w:lang w:val="en-US" w:eastAsia="zh-CN"/>
        </w:rPr>
        <w:t>5</w:t>
      </w:r>
      <w:r>
        <w:rPr>
          <w:rFonts w:hint="default"/>
          <w:lang w:val="en-US" w:eastAsia="zh-CN"/>
        </w:rPr>
        <w:t>/COD比值提高，降低了系统负荷。有效池容1152m³</w:t>
      </w:r>
      <w:r>
        <w:rPr>
          <w:rFonts w:hint="eastAsia"/>
          <w:lang w:val="en-US" w:eastAsia="zh-CN"/>
        </w:rPr>
        <w:t>，</w:t>
      </w:r>
      <w:r>
        <w:rPr>
          <w:rFonts w:hint="default"/>
          <w:lang w:val="en-US" w:eastAsia="zh-CN"/>
        </w:rPr>
        <w:t>停留时间0.96天。</w:t>
      </w:r>
    </w:p>
    <w:tbl>
      <w:tblPr>
        <w:tblStyle w:val="51"/>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10"/>
        <w:gridCol w:w="1574"/>
        <w:gridCol w:w="6050"/>
      </w:tblGrid>
      <w:tr w14:paraId="71320D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26" w:type="pct"/>
            <w:tcBorders>
              <w:tl2br w:val="nil"/>
              <w:tr2bl w:val="nil"/>
            </w:tcBorders>
            <w:vAlign w:val="center"/>
          </w:tcPr>
          <w:p w14:paraId="1FBA7532">
            <w:pPr>
              <w:pStyle w:val="42"/>
              <w:bidi w:val="0"/>
              <w:jc w:val="center"/>
            </w:pPr>
            <w:r>
              <w:t>序号</w:t>
            </w:r>
          </w:p>
        </w:tc>
        <w:tc>
          <w:tcPr>
            <w:tcW w:w="944" w:type="pct"/>
            <w:tcBorders>
              <w:tl2br w:val="nil"/>
              <w:tr2bl w:val="nil"/>
            </w:tcBorders>
            <w:vAlign w:val="center"/>
          </w:tcPr>
          <w:p w14:paraId="1FBB771D">
            <w:pPr>
              <w:pStyle w:val="42"/>
              <w:bidi w:val="0"/>
              <w:jc w:val="center"/>
            </w:pPr>
            <w:r>
              <w:t>名称</w:t>
            </w:r>
          </w:p>
        </w:tc>
        <w:tc>
          <w:tcPr>
            <w:tcW w:w="3628" w:type="pct"/>
            <w:tcBorders>
              <w:tl2br w:val="nil"/>
              <w:tr2bl w:val="nil"/>
            </w:tcBorders>
            <w:vAlign w:val="center"/>
          </w:tcPr>
          <w:p w14:paraId="2726EBFD">
            <w:pPr>
              <w:pStyle w:val="42"/>
              <w:bidi w:val="0"/>
              <w:jc w:val="center"/>
            </w:pPr>
            <w:r>
              <w:t>内容（1200TD）</w:t>
            </w:r>
          </w:p>
        </w:tc>
      </w:tr>
      <w:tr w14:paraId="2E184E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26" w:type="pct"/>
            <w:tcBorders>
              <w:tl2br w:val="nil"/>
              <w:tr2bl w:val="nil"/>
            </w:tcBorders>
            <w:vAlign w:val="center"/>
          </w:tcPr>
          <w:p w14:paraId="65DAF501">
            <w:pPr>
              <w:pStyle w:val="42"/>
              <w:bidi w:val="0"/>
              <w:jc w:val="center"/>
            </w:pPr>
            <w:r>
              <w:t>1</w:t>
            </w:r>
          </w:p>
        </w:tc>
        <w:tc>
          <w:tcPr>
            <w:tcW w:w="944" w:type="pct"/>
            <w:tcBorders>
              <w:tl2br w:val="nil"/>
              <w:tr2bl w:val="nil"/>
            </w:tcBorders>
            <w:vAlign w:val="center"/>
          </w:tcPr>
          <w:p w14:paraId="79D2C583">
            <w:pPr>
              <w:pStyle w:val="42"/>
              <w:bidi w:val="0"/>
              <w:jc w:val="center"/>
            </w:pPr>
            <w:r>
              <w:t>构筑物参数</w:t>
            </w:r>
          </w:p>
        </w:tc>
        <w:tc>
          <w:tcPr>
            <w:tcW w:w="3628" w:type="pct"/>
            <w:tcBorders>
              <w:tl2br w:val="nil"/>
              <w:tr2bl w:val="nil"/>
            </w:tcBorders>
            <w:vAlign w:val="center"/>
          </w:tcPr>
          <w:p w14:paraId="7436E3E3">
            <w:pPr>
              <w:pStyle w:val="42"/>
              <w:bidi w:val="0"/>
              <w:jc w:val="center"/>
            </w:pPr>
            <w:r>
              <w:t>调节池尺寸：24.6m×9.7m×4.6m</w:t>
            </w:r>
          </w:p>
          <w:p w14:paraId="10352C55">
            <w:pPr>
              <w:pStyle w:val="42"/>
              <w:bidi w:val="0"/>
              <w:jc w:val="center"/>
            </w:pPr>
            <w:r>
              <w:t>应急池尺寸：8.45m×5.95m×4.3m</w:t>
            </w:r>
          </w:p>
          <w:p w14:paraId="25929112">
            <w:pPr>
              <w:pStyle w:val="42"/>
              <w:bidi w:val="0"/>
              <w:jc w:val="center"/>
            </w:pPr>
            <w:r>
              <w:t>结构型式：钢砼地下式</w:t>
            </w:r>
          </w:p>
          <w:p w14:paraId="7E02AFC1">
            <w:pPr>
              <w:pStyle w:val="42"/>
              <w:bidi w:val="0"/>
              <w:jc w:val="center"/>
            </w:pPr>
            <w:r>
              <w:t>数量：1座，有效水深4.0m</w:t>
            </w:r>
          </w:p>
          <w:p w14:paraId="60215BE7">
            <w:pPr>
              <w:pStyle w:val="42"/>
              <w:bidi w:val="0"/>
              <w:jc w:val="center"/>
            </w:pPr>
            <w:r>
              <w:t>停留时间0.96d，有效容积：954m³ +201m³</w:t>
            </w:r>
          </w:p>
        </w:tc>
      </w:tr>
      <w:tr w14:paraId="48E9C3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26" w:type="pct"/>
            <w:vMerge w:val="restart"/>
            <w:tcBorders>
              <w:tl2br w:val="nil"/>
              <w:tr2bl w:val="nil"/>
            </w:tcBorders>
            <w:vAlign w:val="center"/>
          </w:tcPr>
          <w:p w14:paraId="587E95A5">
            <w:pPr>
              <w:pStyle w:val="42"/>
              <w:bidi w:val="0"/>
              <w:jc w:val="center"/>
            </w:pPr>
            <w:r>
              <w:t>2</w:t>
            </w:r>
          </w:p>
        </w:tc>
        <w:tc>
          <w:tcPr>
            <w:tcW w:w="944" w:type="pct"/>
            <w:vMerge w:val="restart"/>
            <w:tcBorders>
              <w:tl2br w:val="nil"/>
              <w:tr2bl w:val="nil"/>
            </w:tcBorders>
            <w:vAlign w:val="center"/>
          </w:tcPr>
          <w:p w14:paraId="314BB3F3">
            <w:pPr>
              <w:pStyle w:val="42"/>
              <w:bidi w:val="0"/>
              <w:jc w:val="center"/>
            </w:pPr>
            <w:r>
              <w:t>主要配套设备</w:t>
            </w:r>
          </w:p>
        </w:tc>
        <w:tc>
          <w:tcPr>
            <w:tcW w:w="3628" w:type="pct"/>
            <w:tcBorders>
              <w:tl2br w:val="nil"/>
              <w:tr2bl w:val="nil"/>
            </w:tcBorders>
            <w:vAlign w:val="center"/>
          </w:tcPr>
          <w:p w14:paraId="2BC8270D">
            <w:pPr>
              <w:pStyle w:val="42"/>
              <w:bidi w:val="0"/>
              <w:jc w:val="center"/>
            </w:pPr>
            <w:r>
              <w:t>1）调节池泵   数量：2 台（1 用 1 备）</w:t>
            </w:r>
          </w:p>
        </w:tc>
      </w:tr>
      <w:tr w14:paraId="40ADD2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26" w:type="pct"/>
            <w:vMerge w:val="continue"/>
            <w:tcBorders>
              <w:tl2br w:val="nil"/>
              <w:tr2bl w:val="nil"/>
            </w:tcBorders>
            <w:vAlign w:val="center"/>
          </w:tcPr>
          <w:p w14:paraId="007121C4">
            <w:pPr>
              <w:pStyle w:val="42"/>
              <w:bidi w:val="0"/>
              <w:jc w:val="center"/>
            </w:pPr>
          </w:p>
        </w:tc>
        <w:tc>
          <w:tcPr>
            <w:tcW w:w="944" w:type="pct"/>
            <w:vMerge w:val="continue"/>
            <w:tcBorders>
              <w:tl2br w:val="nil"/>
              <w:tr2bl w:val="nil"/>
            </w:tcBorders>
            <w:vAlign w:val="center"/>
          </w:tcPr>
          <w:p w14:paraId="5301B342">
            <w:pPr>
              <w:pStyle w:val="42"/>
              <w:bidi w:val="0"/>
              <w:jc w:val="center"/>
            </w:pPr>
          </w:p>
        </w:tc>
        <w:tc>
          <w:tcPr>
            <w:tcW w:w="3628" w:type="pct"/>
            <w:tcBorders>
              <w:tl2br w:val="nil"/>
              <w:tr2bl w:val="nil"/>
            </w:tcBorders>
            <w:vAlign w:val="center"/>
          </w:tcPr>
          <w:p w14:paraId="14461273">
            <w:pPr>
              <w:pStyle w:val="42"/>
              <w:bidi w:val="0"/>
              <w:jc w:val="center"/>
            </w:pPr>
            <w:r>
              <w:t>2）调节池液位计</w:t>
            </w:r>
            <w:r>
              <w:rPr>
                <w:rFonts w:hint="eastAsia"/>
                <w:lang w:val="en-US" w:eastAsia="zh-CN"/>
              </w:rPr>
              <w:t xml:space="preserve"> </w:t>
            </w:r>
            <w:r>
              <w:t xml:space="preserve">  数量：1台</w:t>
            </w:r>
          </w:p>
          <w:p w14:paraId="59FCEB31">
            <w:pPr>
              <w:pStyle w:val="42"/>
              <w:bidi w:val="0"/>
              <w:jc w:val="center"/>
            </w:pPr>
            <w:r>
              <w:t>3） 电磁流量计   数量：1台</w:t>
            </w:r>
          </w:p>
          <w:p w14:paraId="78BFBD76">
            <w:pPr>
              <w:pStyle w:val="42"/>
              <w:bidi w:val="0"/>
              <w:jc w:val="center"/>
            </w:pPr>
            <w:r>
              <w:t>4）调节池空气搅拌</w:t>
            </w:r>
            <w:r>
              <w:rPr>
                <w:rFonts w:hint="eastAsia"/>
                <w:lang w:val="en-US" w:eastAsia="zh-CN"/>
              </w:rPr>
              <w:t xml:space="preserve">  </w:t>
            </w:r>
            <w:r>
              <w:t xml:space="preserve"> 数量：1套</w:t>
            </w:r>
          </w:p>
          <w:p w14:paraId="03CBFDB7">
            <w:pPr>
              <w:pStyle w:val="42"/>
              <w:bidi w:val="0"/>
              <w:jc w:val="center"/>
            </w:pPr>
            <w:r>
              <w:t>5）应急池泵   数量：2套</w:t>
            </w:r>
          </w:p>
          <w:p w14:paraId="3D5C4655">
            <w:pPr>
              <w:pStyle w:val="42"/>
              <w:bidi w:val="0"/>
              <w:jc w:val="center"/>
            </w:pPr>
            <w:r>
              <w:t>6）液位计   数量：1套</w:t>
            </w:r>
          </w:p>
          <w:p w14:paraId="246E7808">
            <w:pPr>
              <w:pStyle w:val="42"/>
              <w:bidi w:val="0"/>
              <w:jc w:val="center"/>
            </w:pPr>
            <w:r>
              <w:t>7）空气搅拌   数量：1套</w:t>
            </w:r>
          </w:p>
          <w:p w14:paraId="26054DB8">
            <w:pPr>
              <w:pStyle w:val="42"/>
              <w:bidi w:val="0"/>
              <w:jc w:val="center"/>
            </w:pPr>
            <w:r>
              <w:t>8）在线盐度计   数量：1套</w:t>
            </w:r>
          </w:p>
        </w:tc>
      </w:tr>
    </w:tbl>
    <w:p w14:paraId="095190A3">
      <w:pPr>
        <w:bidi w:val="0"/>
        <w:rPr>
          <w:rFonts w:hint="default"/>
          <w:lang w:val="en-US" w:eastAsia="zh-CN"/>
        </w:rPr>
      </w:pPr>
      <w:r>
        <w:rPr>
          <w:rFonts w:hint="eastAsia"/>
          <w:lang w:val="en-US" w:eastAsia="zh-CN"/>
        </w:rPr>
        <w:t>（5）</w:t>
      </w:r>
      <w:r>
        <w:rPr>
          <w:rFonts w:hint="default"/>
          <w:lang w:val="en-US" w:eastAsia="zh-CN"/>
        </w:rPr>
        <w:t>厌氧流化床</w:t>
      </w:r>
    </w:p>
    <w:p w14:paraId="0E4631BB">
      <w:pPr>
        <w:bidi w:val="0"/>
        <w:rPr>
          <w:rFonts w:hint="default"/>
          <w:lang w:val="en-US" w:eastAsia="zh-CN"/>
        </w:rPr>
      </w:pPr>
      <w:r>
        <w:rPr>
          <w:rFonts w:hint="default"/>
          <w:lang w:val="en-US" w:eastAsia="zh-CN"/>
        </w:rPr>
        <w:t>主要对废水进行厌氧生化处理。将废水中有机质进行水解酸化和甲烷化去除生成甲烷，废水中总氮水解成氨氮，硝酸盐氮在反硝化菌作用下反应生成氮气。</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64"/>
        <w:gridCol w:w="947"/>
        <w:gridCol w:w="6622"/>
      </w:tblGrid>
      <w:tr w14:paraId="2F6C85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8" w:type="pct"/>
            <w:tcBorders>
              <w:tl2br w:val="nil"/>
              <w:tr2bl w:val="nil"/>
            </w:tcBorders>
            <w:vAlign w:val="center"/>
          </w:tcPr>
          <w:p w14:paraId="74A8F15E">
            <w:pPr>
              <w:pStyle w:val="42"/>
              <w:bidi w:val="0"/>
              <w:jc w:val="center"/>
            </w:pPr>
            <w:r>
              <w:t>序号</w:t>
            </w:r>
          </w:p>
        </w:tc>
        <w:tc>
          <w:tcPr>
            <w:tcW w:w="568" w:type="pct"/>
            <w:tcBorders>
              <w:tl2br w:val="nil"/>
              <w:tr2bl w:val="nil"/>
            </w:tcBorders>
            <w:vAlign w:val="center"/>
          </w:tcPr>
          <w:p w14:paraId="6885A095">
            <w:pPr>
              <w:pStyle w:val="42"/>
              <w:bidi w:val="0"/>
              <w:jc w:val="center"/>
            </w:pPr>
            <w:r>
              <w:t>名称</w:t>
            </w:r>
          </w:p>
        </w:tc>
        <w:tc>
          <w:tcPr>
            <w:tcW w:w="3972" w:type="pct"/>
            <w:tcBorders>
              <w:tl2br w:val="nil"/>
              <w:tr2bl w:val="nil"/>
            </w:tcBorders>
            <w:vAlign w:val="center"/>
          </w:tcPr>
          <w:p w14:paraId="6AE0B4C7">
            <w:pPr>
              <w:pStyle w:val="42"/>
              <w:bidi w:val="0"/>
              <w:jc w:val="center"/>
            </w:pPr>
            <w:r>
              <w:t>内容（1200</w:t>
            </w:r>
            <w:r>
              <w:rPr>
                <w:rFonts w:hint="eastAsia"/>
                <w:lang w:eastAsia="zh-CN"/>
              </w:rPr>
              <w:t>m</w:t>
            </w:r>
            <w:r>
              <w:rPr>
                <w:rFonts w:hint="eastAsia"/>
                <w:vertAlign w:val="superscript"/>
                <w:lang w:eastAsia="zh-CN"/>
              </w:rPr>
              <w:t>3</w:t>
            </w:r>
            <w:r>
              <w:t>/d）</w:t>
            </w:r>
          </w:p>
        </w:tc>
      </w:tr>
      <w:tr w14:paraId="26B2B6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8" w:type="pct"/>
            <w:tcBorders>
              <w:tl2br w:val="nil"/>
              <w:tr2bl w:val="nil"/>
            </w:tcBorders>
            <w:vAlign w:val="center"/>
          </w:tcPr>
          <w:p w14:paraId="7D9D37C7">
            <w:pPr>
              <w:pStyle w:val="42"/>
              <w:bidi w:val="0"/>
              <w:jc w:val="center"/>
            </w:pPr>
            <w:r>
              <w:t>1</w:t>
            </w:r>
          </w:p>
        </w:tc>
        <w:tc>
          <w:tcPr>
            <w:tcW w:w="568" w:type="pct"/>
            <w:tcBorders>
              <w:tl2br w:val="nil"/>
              <w:tr2bl w:val="nil"/>
            </w:tcBorders>
            <w:vAlign w:val="center"/>
          </w:tcPr>
          <w:p w14:paraId="0F53A734">
            <w:pPr>
              <w:pStyle w:val="42"/>
              <w:bidi w:val="0"/>
              <w:jc w:val="center"/>
            </w:pPr>
            <w:r>
              <w:t>构筑物参数</w:t>
            </w:r>
          </w:p>
        </w:tc>
        <w:tc>
          <w:tcPr>
            <w:tcW w:w="3972" w:type="pct"/>
            <w:tcBorders>
              <w:tl2br w:val="nil"/>
              <w:tr2bl w:val="nil"/>
            </w:tcBorders>
            <w:vAlign w:val="center"/>
          </w:tcPr>
          <w:p w14:paraId="582EBB27">
            <w:pPr>
              <w:pStyle w:val="42"/>
              <w:bidi w:val="0"/>
              <w:jc w:val="center"/>
              <w:rPr>
                <w:rFonts w:hint="eastAsia" w:eastAsia="宋体"/>
                <w:lang w:eastAsia="zh-CN"/>
              </w:rPr>
            </w:pPr>
            <w:r>
              <w:t>有效容积：4560</w:t>
            </w:r>
            <w:r>
              <w:rPr>
                <w:rFonts w:hint="eastAsia"/>
                <w:lang w:eastAsia="zh-CN"/>
              </w:rPr>
              <w:t>m</w:t>
            </w:r>
            <w:r>
              <w:rPr>
                <w:rFonts w:hint="eastAsia"/>
                <w:vertAlign w:val="superscript"/>
                <w:lang w:eastAsia="zh-CN"/>
              </w:rPr>
              <w:t>3</w:t>
            </w:r>
          </w:p>
          <w:p w14:paraId="4785E0A6">
            <w:pPr>
              <w:pStyle w:val="42"/>
              <w:bidi w:val="0"/>
              <w:jc w:val="center"/>
            </w:pPr>
            <w:r>
              <w:t>总尺寸：23.2×15.5×13.0m</w:t>
            </w:r>
          </w:p>
          <w:p w14:paraId="446F764C">
            <w:pPr>
              <w:pStyle w:val="42"/>
              <w:bidi w:val="0"/>
              <w:jc w:val="center"/>
            </w:pPr>
            <w:r>
              <w:t>结构型式：钢砼半地下式（地下4.5米，地上8.5米）有效水深12.8米，停留时间3.8天</w:t>
            </w:r>
          </w:p>
          <w:p w14:paraId="45E91851">
            <w:pPr>
              <w:pStyle w:val="42"/>
              <w:bidi w:val="0"/>
              <w:jc w:val="center"/>
            </w:pPr>
            <w:r>
              <w:t>容积负荷：0.68kgCOD/m³•d，COD去除率：≥60%</w:t>
            </w:r>
          </w:p>
          <w:p w14:paraId="0880C0B6">
            <w:pPr>
              <w:pStyle w:val="42"/>
              <w:bidi w:val="0"/>
              <w:jc w:val="center"/>
            </w:pPr>
            <w:r>
              <w:t>产气率：0.5m³/kgCOD，污泥产率：0.1kgMLSS/kgCOD</w:t>
            </w:r>
          </w:p>
        </w:tc>
      </w:tr>
      <w:tr w14:paraId="3310E7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8" w:type="pct"/>
            <w:tcBorders>
              <w:tl2br w:val="nil"/>
              <w:tr2bl w:val="nil"/>
            </w:tcBorders>
            <w:vAlign w:val="center"/>
          </w:tcPr>
          <w:p w14:paraId="0DF5F317">
            <w:pPr>
              <w:pStyle w:val="42"/>
              <w:bidi w:val="0"/>
              <w:jc w:val="center"/>
            </w:pPr>
            <w:r>
              <w:t>2</w:t>
            </w:r>
          </w:p>
        </w:tc>
        <w:tc>
          <w:tcPr>
            <w:tcW w:w="568" w:type="pct"/>
            <w:tcBorders>
              <w:tl2br w:val="nil"/>
              <w:tr2bl w:val="nil"/>
            </w:tcBorders>
            <w:vAlign w:val="center"/>
          </w:tcPr>
          <w:p w14:paraId="746706B5">
            <w:pPr>
              <w:pStyle w:val="42"/>
              <w:bidi w:val="0"/>
              <w:jc w:val="center"/>
            </w:pPr>
            <w:r>
              <w:t>主要配套设备</w:t>
            </w:r>
          </w:p>
        </w:tc>
        <w:tc>
          <w:tcPr>
            <w:tcW w:w="3972" w:type="pct"/>
            <w:tcBorders>
              <w:tl2br w:val="nil"/>
              <w:tr2bl w:val="nil"/>
            </w:tcBorders>
            <w:vAlign w:val="center"/>
          </w:tcPr>
          <w:p w14:paraId="2CE61AA5">
            <w:pPr>
              <w:pStyle w:val="42"/>
              <w:bidi w:val="0"/>
              <w:jc w:val="center"/>
              <w:rPr>
                <w:highlight w:val="none"/>
              </w:rPr>
            </w:pPr>
            <w:r>
              <w:rPr>
                <w:highlight w:val="none"/>
              </w:rPr>
              <w:t>1）厌氧循环泵</w:t>
            </w:r>
            <w:r>
              <w:rPr>
                <w:rFonts w:hint="eastAsia"/>
                <w:highlight w:val="none"/>
                <w:lang w:val="en-US" w:eastAsia="zh-CN"/>
              </w:rPr>
              <w:t xml:space="preserve">   </w:t>
            </w:r>
            <w:r>
              <w:rPr>
                <w:highlight w:val="none"/>
              </w:rPr>
              <w:t>数量：4台（2用2备）</w:t>
            </w:r>
          </w:p>
          <w:p w14:paraId="3190C9DA">
            <w:pPr>
              <w:pStyle w:val="42"/>
              <w:bidi w:val="0"/>
              <w:jc w:val="center"/>
              <w:rPr>
                <w:highlight w:val="none"/>
              </w:rPr>
            </w:pPr>
            <w:r>
              <w:rPr>
                <w:highlight w:val="none"/>
              </w:rPr>
              <w:t>2）布水系统</w:t>
            </w:r>
            <w:r>
              <w:rPr>
                <w:rFonts w:hint="eastAsia"/>
                <w:highlight w:val="none"/>
                <w:lang w:val="en-US" w:eastAsia="zh-CN"/>
              </w:rPr>
              <w:t xml:space="preserve">   </w:t>
            </w:r>
            <w:r>
              <w:rPr>
                <w:highlight w:val="none"/>
              </w:rPr>
              <w:t>数量：2套</w:t>
            </w:r>
          </w:p>
          <w:p w14:paraId="029B4700">
            <w:pPr>
              <w:pStyle w:val="42"/>
              <w:bidi w:val="0"/>
              <w:jc w:val="center"/>
              <w:rPr>
                <w:highlight w:val="none"/>
              </w:rPr>
            </w:pPr>
            <w:r>
              <w:rPr>
                <w:highlight w:val="none"/>
              </w:rPr>
              <w:t>3）填料支架</w:t>
            </w:r>
            <w:r>
              <w:rPr>
                <w:rFonts w:hint="eastAsia"/>
                <w:highlight w:val="none"/>
                <w:lang w:val="en-US" w:eastAsia="zh-CN"/>
              </w:rPr>
              <w:t xml:space="preserve">   </w:t>
            </w:r>
            <w:r>
              <w:rPr>
                <w:highlight w:val="none"/>
              </w:rPr>
              <w:t>数量：2批</w:t>
            </w:r>
          </w:p>
          <w:p w14:paraId="3F4E836C">
            <w:pPr>
              <w:pStyle w:val="42"/>
              <w:bidi w:val="0"/>
              <w:jc w:val="center"/>
              <w:rPr>
                <w:highlight w:val="none"/>
              </w:rPr>
            </w:pPr>
            <w:r>
              <w:rPr>
                <w:highlight w:val="none"/>
              </w:rPr>
              <w:t>4）弹性填料</w:t>
            </w:r>
            <w:r>
              <w:rPr>
                <w:rFonts w:hint="eastAsia"/>
                <w:highlight w:val="none"/>
                <w:lang w:val="en-US" w:eastAsia="zh-CN"/>
              </w:rPr>
              <w:t xml:space="preserve">   </w:t>
            </w:r>
            <w:r>
              <w:rPr>
                <w:highlight w:val="none"/>
              </w:rPr>
              <w:t>数量：2套</w:t>
            </w:r>
          </w:p>
        </w:tc>
      </w:tr>
    </w:tbl>
    <w:p w14:paraId="0993A951">
      <w:pPr>
        <w:bidi w:val="0"/>
        <w:rPr>
          <w:rFonts w:hint="eastAsia"/>
          <w:lang w:val="en-US" w:eastAsia="zh-CN"/>
        </w:rPr>
      </w:pPr>
      <w:r>
        <w:rPr>
          <w:rFonts w:hint="eastAsia"/>
          <w:lang w:val="en-US" w:eastAsia="zh-CN"/>
        </w:rPr>
        <w:t>（6）好氧池</w:t>
      </w:r>
    </w:p>
    <w:p w14:paraId="794F0680">
      <w:pPr>
        <w:bidi w:val="0"/>
        <w:rPr>
          <w:rFonts w:hint="default"/>
          <w:lang w:val="en-US" w:eastAsia="zh-CN"/>
        </w:rPr>
      </w:pPr>
      <w:r>
        <w:rPr>
          <w:rFonts w:hint="default"/>
          <w:lang w:val="en-US" w:eastAsia="zh-CN"/>
        </w:rPr>
        <w:t>主要对废水进行一级好氧处理，根据污水的负荷选择优质生物质，进一步降低污水有机质和氨氮。</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77"/>
        <w:gridCol w:w="970"/>
        <w:gridCol w:w="6587"/>
      </w:tblGrid>
      <w:tr w14:paraId="1729A4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op w:val="single" w:color="000000" w:sz="12" w:space="0"/>
              <w:left w:val="single" w:color="000000" w:sz="12" w:space="0"/>
              <w:bottom w:val="single" w:color="000000" w:sz="4" w:space="0"/>
              <w:right w:val="single" w:color="000000" w:sz="4" w:space="0"/>
            </w:tcBorders>
            <w:vAlign w:val="center"/>
          </w:tcPr>
          <w:p w14:paraId="09AA0597">
            <w:pPr>
              <w:pStyle w:val="42"/>
              <w:bidi w:val="0"/>
              <w:jc w:val="center"/>
            </w:pPr>
            <w:r>
              <w:t>序号</w:t>
            </w:r>
          </w:p>
        </w:tc>
        <w:tc>
          <w:tcPr>
            <w:tcW w:w="582" w:type="pct"/>
            <w:tcBorders>
              <w:top w:val="single" w:color="000000" w:sz="12" w:space="0"/>
              <w:left w:val="single" w:color="000000" w:sz="4" w:space="0"/>
              <w:bottom w:val="single" w:color="000000" w:sz="4" w:space="0"/>
              <w:right w:val="single" w:color="000000" w:sz="4" w:space="0"/>
            </w:tcBorders>
            <w:vAlign w:val="center"/>
          </w:tcPr>
          <w:p w14:paraId="5EE42573">
            <w:pPr>
              <w:pStyle w:val="42"/>
              <w:bidi w:val="0"/>
              <w:jc w:val="center"/>
            </w:pPr>
            <w:r>
              <w:t>名称</w:t>
            </w:r>
          </w:p>
        </w:tc>
        <w:tc>
          <w:tcPr>
            <w:tcW w:w="3951" w:type="pct"/>
            <w:tcBorders>
              <w:top w:val="single" w:color="000000" w:sz="12" w:space="0"/>
              <w:left w:val="single" w:color="000000" w:sz="4" w:space="0"/>
              <w:bottom w:val="single" w:color="000000" w:sz="4" w:space="0"/>
              <w:right w:val="single" w:color="000000" w:sz="12" w:space="0"/>
            </w:tcBorders>
            <w:vAlign w:val="center"/>
          </w:tcPr>
          <w:p w14:paraId="7FE2CF39">
            <w:pPr>
              <w:pStyle w:val="42"/>
              <w:bidi w:val="0"/>
              <w:jc w:val="center"/>
            </w:pPr>
            <w:r>
              <w:t>内容（1200</w:t>
            </w:r>
            <w:r>
              <w:rPr>
                <w:rFonts w:hint="eastAsia"/>
                <w:lang w:eastAsia="zh-CN"/>
              </w:rPr>
              <w:t>m</w:t>
            </w:r>
            <w:r>
              <w:rPr>
                <w:rFonts w:hint="eastAsia"/>
                <w:vertAlign w:val="superscript"/>
                <w:lang w:eastAsia="zh-CN"/>
              </w:rPr>
              <w:t>3</w:t>
            </w:r>
            <w:r>
              <w:t>/d）</w:t>
            </w:r>
          </w:p>
        </w:tc>
      </w:tr>
      <w:tr w14:paraId="6EA629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vMerge w:val="restart"/>
            <w:tcBorders>
              <w:top w:val="single" w:color="000000" w:sz="4" w:space="0"/>
              <w:left w:val="single" w:color="000000" w:sz="12" w:space="0"/>
              <w:right w:val="single" w:color="000000" w:sz="4" w:space="0"/>
            </w:tcBorders>
            <w:vAlign w:val="center"/>
          </w:tcPr>
          <w:p w14:paraId="2B252C8A">
            <w:pPr>
              <w:pStyle w:val="42"/>
              <w:bidi w:val="0"/>
              <w:jc w:val="center"/>
            </w:pPr>
            <w:r>
              <w:t>1</w:t>
            </w:r>
          </w:p>
        </w:tc>
        <w:tc>
          <w:tcPr>
            <w:tcW w:w="582" w:type="pct"/>
            <w:vMerge w:val="restart"/>
            <w:tcBorders>
              <w:top w:val="single" w:color="000000" w:sz="4" w:space="0"/>
              <w:left w:val="single" w:color="000000" w:sz="4" w:space="0"/>
              <w:right w:val="single" w:color="000000" w:sz="4" w:space="0"/>
            </w:tcBorders>
            <w:vAlign w:val="center"/>
          </w:tcPr>
          <w:p w14:paraId="19D1FE08">
            <w:pPr>
              <w:pStyle w:val="42"/>
              <w:bidi w:val="0"/>
              <w:jc w:val="center"/>
            </w:pPr>
            <w:r>
              <w:t>构筑物参数</w:t>
            </w:r>
          </w:p>
        </w:tc>
        <w:tc>
          <w:tcPr>
            <w:tcW w:w="3951" w:type="pct"/>
            <w:tcBorders>
              <w:top w:val="single" w:color="000000" w:sz="4" w:space="0"/>
              <w:left w:val="single" w:color="000000" w:sz="4" w:space="0"/>
              <w:bottom w:val="single" w:color="000000" w:sz="4" w:space="0"/>
              <w:right w:val="single" w:color="000000" w:sz="12" w:space="0"/>
            </w:tcBorders>
            <w:vAlign w:val="center"/>
          </w:tcPr>
          <w:p w14:paraId="51579C2B">
            <w:pPr>
              <w:pStyle w:val="42"/>
              <w:bidi w:val="0"/>
              <w:jc w:val="center"/>
            </w:pPr>
            <w:r>
              <w:t>单池有效容积：172</w:t>
            </w:r>
            <w:r>
              <w:rPr>
                <w:rFonts w:hint="eastAsia"/>
                <w:lang w:eastAsia="zh-CN"/>
              </w:rPr>
              <w:t>m</w:t>
            </w:r>
            <w:r>
              <w:rPr>
                <w:rFonts w:hint="eastAsia"/>
                <w:vertAlign w:val="superscript"/>
                <w:lang w:eastAsia="zh-CN"/>
              </w:rPr>
              <w:t>3</w:t>
            </w:r>
            <w:r>
              <w:t>（2座）</w:t>
            </w:r>
          </w:p>
        </w:tc>
      </w:tr>
      <w:tr w14:paraId="4CACF4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vMerge w:val="continue"/>
            <w:tcBorders>
              <w:left w:val="single" w:color="000000" w:sz="12" w:space="0"/>
              <w:bottom w:val="single" w:color="000000" w:sz="4" w:space="0"/>
              <w:right w:val="single" w:color="000000" w:sz="4" w:space="0"/>
            </w:tcBorders>
            <w:vAlign w:val="center"/>
          </w:tcPr>
          <w:p w14:paraId="1DD08DDF">
            <w:pPr>
              <w:pStyle w:val="42"/>
              <w:bidi w:val="0"/>
              <w:jc w:val="center"/>
            </w:pPr>
          </w:p>
        </w:tc>
        <w:tc>
          <w:tcPr>
            <w:tcW w:w="582" w:type="pct"/>
            <w:vMerge w:val="continue"/>
            <w:tcBorders>
              <w:left w:val="single" w:color="000000" w:sz="4" w:space="0"/>
              <w:bottom w:val="single" w:color="000000" w:sz="4" w:space="0"/>
              <w:right w:val="single" w:color="000000" w:sz="4" w:space="0"/>
            </w:tcBorders>
            <w:vAlign w:val="center"/>
          </w:tcPr>
          <w:p w14:paraId="54F955C3">
            <w:pPr>
              <w:pStyle w:val="42"/>
              <w:bidi w:val="0"/>
              <w:jc w:val="center"/>
            </w:pPr>
          </w:p>
        </w:tc>
        <w:tc>
          <w:tcPr>
            <w:tcW w:w="3951" w:type="pct"/>
            <w:tcBorders>
              <w:top w:val="single" w:color="000000" w:sz="4" w:space="0"/>
              <w:left w:val="single" w:color="000000" w:sz="4" w:space="0"/>
              <w:bottom w:val="single" w:color="000000" w:sz="4" w:space="0"/>
              <w:right w:val="single" w:color="000000" w:sz="12" w:space="0"/>
            </w:tcBorders>
            <w:vAlign w:val="center"/>
          </w:tcPr>
          <w:p w14:paraId="1A620A1A">
            <w:pPr>
              <w:pStyle w:val="42"/>
              <w:bidi w:val="0"/>
              <w:jc w:val="center"/>
            </w:pPr>
            <w:r>
              <w:t>单池尺寸：8.45×2.5×8.4m（2座）</w:t>
            </w:r>
          </w:p>
          <w:p w14:paraId="36880D1D">
            <w:pPr>
              <w:pStyle w:val="42"/>
              <w:bidi w:val="0"/>
              <w:jc w:val="center"/>
            </w:pPr>
            <w:r>
              <w:t>结构型式：钢砼半地下式（地下4.5米，地上3.9米）有效水深8.0米，停留时间5.77h</w:t>
            </w:r>
          </w:p>
          <w:p w14:paraId="5998F6C2">
            <w:pPr>
              <w:pStyle w:val="42"/>
              <w:bidi w:val="0"/>
              <w:jc w:val="center"/>
            </w:pPr>
            <w:r>
              <w:t>容积负荷：1.03kgCOD/m³d</w:t>
            </w:r>
          </w:p>
          <w:p w14:paraId="78D69109">
            <w:pPr>
              <w:pStyle w:val="42"/>
              <w:bidi w:val="0"/>
              <w:jc w:val="center"/>
            </w:pPr>
            <w:r>
              <w:t>污泥负荷：0.33kgCOD/m³•d，污泥浓度：3g/l，填料高度3米</w:t>
            </w:r>
          </w:p>
        </w:tc>
      </w:tr>
      <w:tr w14:paraId="2AD579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op w:val="single" w:color="000000" w:sz="4" w:space="0"/>
              <w:left w:val="single" w:color="000000" w:sz="12" w:space="0"/>
              <w:bottom w:val="single" w:color="000000" w:sz="12" w:space="0"/>
              <w:right w:val="single" w:color="000000" w:sz="4" w:space="0"/>
            </w:tcBorders>
            <w:vAlign w:val="center"/>
          </w:tcPr>
          <w:p w14:paraId="05BC349E">
            <w:pPr>
              <w:pStyle w:val="42"/>
              <w:bidi w:val="0"/>
              <w:jc w:val="center"/>
            </w:pPr>
            <w:r>
              <w:t>2</w:t>
            </w:r>
          </w:p>
        </w:tc>
        <w:tc>
          <w:tcPr>
            <w:tcW w:w="582" w:type="pct"/>
            <w:tcBorders>
              <w:top w:val="single" w:color="000000" w:sz="4" w:space="0"/>
              <w:left w:val="single" w:color="000000" w:sz="4" w:space="0"/>
              <w:bottom w:val="single" w:color="000000" w:sz="12" w:space="0"/>
              <w:right w:val="single" w:color="000000" w:sz="4" w:space="0"/>
            </w:tcBorders>
            <w:vAlign w:val="center"/>
          </w:tcPr>
          <w:p w14:paraId="063CCECE">
            <w:pPr>
              <w:pStyle w:val="42"/>
              <w:bidi w:val="0"/>
              <w:jc w:val="center"/>
            </w:pPr>
            <w:r>
              <w:t>主要配套设备</w:t>
            </w:r>
          </w:p>
        </w:tc>
        <w:tc>
          <w:tcPr>
            <w:tcW w:w="3951" w:type="pct"/>
            <w:tcBorders>
              <w:top w:val="single" w:color="000000" w:sz="4" w:space="0"/>
              <w:left w:val="single" w:color="000000" w:sz="4" w:space="0"/>
              <w:bottom w:val="single" w:color="000000" w:sz="12" w:space="0"/>
              <w:right w:val="single" w:color="000000" w:sz="12" w:space="0"/>
            </w:tcBorders>
            <w:vAlign w:val="center"/>
          </w:tcPr>
          <w:p w14:paraId="44F4066F">
            <w:pPr>
              <w:pStyle w:val="42"/>
              <w:bidi w:val="0"/>
              <w:jc w:val="center"/>
            </w:pPr>
            <w:r>
              <w:t>1）组合填料</w:t>
            </w:r>
            <w:r>
              <w:rPr>
                <w:rFonts w:hint="eastAsia"/>
                <w:lang w:val="en-US" w:eastAsia="zh-CN"/>
              </w:rPr>
              <w:t xml:space="preserve">   </w:t>
            </w:r>
            <w:r>
              <w:t>数量：63.37m³</w:t>
            </w:r>
          </w:p>
          <w:p w14:paraId="23010B69">
            <w:pPr>
              <w:pStyle w:val="42"/>
              <w:bidi w:val="0"/>
              <w:jc w:val="center"/>
            </w:pPr>
            <w:r>
              <w:t>2）填料支架</w:t>
            </w:r>
            <w:r>
              <w:rPr>
                <w:rFonts w:hint="eastAsia"/>
                <w:lang w:val="en-US" w:eastAsia="zh-CN"/>
              </w:rPr>
              <w:t xml:space="preserve">   </w:t>
            </w:r>
            <w:r>
              <w:t>数量：1批</w:t>
            </w:r>
          </w:p>
          <w:p w14:paraId="04380159">
            <w:pPr>
              <w:pStyle w:val="42"/>
              <w:bidi w:val="0"/>
              <w:jc w:val="center"/>
            </w:pPr>
            <w:r>
              <w:t>3）微孔曝气系统</w:t>
            </w:r>
            <w:r>
              <w:rPr>
                <w:rFonts w:hint="eastAsia"/>
                <w:lang w:val="en-US" w:eastAsia="zh-CN"/>
              </w:rPr>
              <w:t xml:space="preserve">   </w:t>
            </w:r>
            <w:r>
              <w:t>数量：64批</w:t>
            </w:r>
          </w:p>
          <w:p w14:paraId="300CB6AE">
            <w:pPr>
              <w:pStyle w:val="42"/>
              <w:bidi w:val="0"/>
              <w:jc w:val="center"/>
            </w:pPr>
            <w:r>
              <w:t>4）曝气系统</w:t>
            </w:r>
            <w:r>
              <w:rPr>
                <w:rFonts w:hint="eastAsia"/>
                <w:lang w:val="en-US" w:eastAsia="zh-CN"/>
              </w:rPr>
              <w:t xml:space="preserve">   </w:t>
            </w:r>
            <w:r>
              <w:t>数量：1套</w:t>
            </w:r>
          </w:p>
        </w:tc>
      </w:tr>
    </w:tbl>
    <w:p w14:paraId="5730D02B">
      <w:pPr>
        <w:bidi w:val="0"/>
        <w:rPr>
          <w:rFonts w:hint="default"/>
          <w:lang w:val="en-US" w:eastAsia="zh-CN"/>
        </w:rPr>
      </w:pPr>
      <w:r>
        <w:rPr>
          <w:rFonts w:hint="eastAsia"/>
          <w:lang w:val="en-US" w:eastAsia="zh-CN"/>
        </w:rPr>
        <w:t>（7）</w:t>
      </w:r>
      <w:r>
        <w:rPr>
          <w:rFonts w:hint="default"/>
          <w:lang w:val="en-US" w:eastAsia="zh-CN"/>
        </w:rPr>
        <w:t>缺氧池</w:t>
      </w:r>
    </w:p>
    <w:p w14:paraId="28A846D7">
      <w:pPr>
        <w:bidi w:val="0"/>
        <w:rPr>
          <w:rFonts w:hint="default"/>
          <w:lang w:val="en-US" w:eastAsia="zh-CN"/>
        </w:rPr>
      </w:pPr>
      <w:r>
        <w:rPr>
          <w:rFonts w:hint="default"/>
          <w:lang w:val="en-US" w:eastAsia="zh-CN"/>
        </w:rPr>
        <w:t>主要对废水进行反硝化处理，进一步降低污水有机质和总氮。</w:t>
      </w:r>
    </w:p>
    <w:tbl>
      <w:tblPr>
        <w:tblStyle w:val="51"/>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60"/>
        <w:gridCol w:w="947"/>
        <w:gridCol w:w="6627"/>
      </w:tblGrid>
      <w:tr w14:paraId="374FE6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6" w:type="pct"/>
            <w:tcBorders>
              <w:tl2br w:val="nil"/>
              <w:tr2bl w:val="nil"/>
            </w:tcBorders>
            <w:vAlign w:val="center"/>
          </w:tcPr>
          <w:p w14:paraId="637FC599">
            <w:pPr>
              <w:pStyle w:val="42"/>
              <w:bidi w:val="0"/>
              <w:jc w:val="center"/>
            </w:pPr>
            <w:r>
              <w:t>序号</w:t>
            </w:r>
          </w:p>
        </w:tc>
        <w:tc>
          <w:tcPr>
            <w:tcW w:w="568" w:type="pct"/>
            <w:tcBorders>
              <w:tl2br w:val="nil"/>
              <w:tr2bl w:val="nil"/>
            </w:tcBorders>
            <w:vAlign w:val="center"/>
          </w:tcPr>
          <w:p w14:paraId="1E08D39A">
            <w:pPr>
              <w:pStyle w:val="42"/>
              <w:bidi w:val="0"/>
              <w:jc w:val="center"/>
            </w:pPr>
            <w:r>
              <w:t>名称</w:t>
            </w:r>
          </w:p>
        </w:tc>
        <w:tc>
          <w:tcPr>
            <w:tcW w:w="3974" w:type="pct"/>
            <w:tcBorders>
              <w:tl2br w:val="nil"/>
              <w:tr2bl w:val="nil"/>
            </w:tcBorders>
            <w:vAlign w:val="center"/>
          </w:tcPr>
          <w:p w14:paraId="57913B76">
            <w:pPr>
              <w:pStyle w:val="42"/>
              <w:bidi w:val="0"/>
              <w:jc w:val="center"/>
            </w:pPr>
            <w:r>
              <w:t>内容（1200</w:t>
            </w:r>
            <w:r>
              <w:rPr>
                <w:rFonts w:hint="eastAsia"/>
                <w:lang w:eastAsia="zh-CN"/>
              </w:rPr>
              <w:t>m</w:t>
            </w:r>
            <w:r>
              <w:rPr>
                <w:rFonts w:hint="eastAsia"/>
                <w:vertAlign w:val="superscript"/>
                <w:lang w:eastAsia="zh-CN"/>
              </w:rPr>
              <w:t>3</w:t>
            </w:r>
            <w:r>
              <w:t>/d）</w:t>
            </w:r>
          </w:p>
        </w:tc>
      </w:tr>
      <w:tr w14:paraId="01D30A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6" w:type="pct"/>
            <w:tcBorders>
              <w:tl2br w:val="nil"/>
              <w:tr2bl w:val="nil"/>
            </w:tcBorders>
            <w:vAlign w:val="center"/>
          </w:tcPr>
          <w:p w14:paraId="566CE48F">
            <w:pPr>
              <w:pStyle w:val="42"/>
              <w:bidi w:val="0"/>
              <w:jc w:val="center"/>
            </w:pPr>
            <w:r>
              <w:t>1</w:t>
            </w:r>
          </w:p>
        </w:tc>
        <w:tc>
          <w:tcPr>
            <w:tcW w:w="568" w:type="pct"/>
            <w:tcBorders>
              <w:tl2br w:val="nil"/>
              <w:tr2bl w:val="nil"/>
            </w:tcBorders>
            <w:vAlign w:val="center"/>
          </w:tcPr>
          <w:p w14:paraId="5BFB2F5D">
            <w:pPr>
              <w:pStyle w:val="42"/>
              <w:bidi w:val="0"/>
              <w:jc w:val="center"/>
            </w:pPr>
            <w:r>
              <w:t>构筑物参数</w:t>
            </w:r>
          </w:p>
        </w:tc>
        <w:tc>
          <w:tcPr>
            <w:tcW w:w="3974" w:type="pct"/>
            <w:tcBorders>
              <w:tl2br w:val="nil"/>
              <w:tr2bl w:val="nil"/>
            </w:tcBorders>
            <w:vAlign w:val="center"/>
          </w:tcPr>
          <w:p w14:paraId="52265F26">
            <w:pPr>
              <w:pStyle w:val="42"/>
              <w:bidi w:val="0"/>
              <w:jc w:val="center"/>
            </w:pPr>
            <w:r>
              <w:t>单池有效容积：272</w:t>
            </w:r>
            <w:r>
              <w:rPr>
                <w:rFonts w:hint="eastAsia"/>
                <w:lang w:eastAsia="zh-CN"/>
              </w:rPr>
              <w:t>m</w:t>
            </w:r>
            <w:r>
              <w:rPr>
                <w:rFonts w:hint="eastAsia"/>
                <w:vertAlign w:val="superscript"/>
                <w:lang w:eastAsia="zh-CN"/>
              </w:rPr>
              <w:t>3</w:t>
            </w:r>
            <w:r>
              <w:t>（2座）</w:t>
            </w:r>
          </w:p>
          <w:p w14:paraId="056FC197">
            <w:pPr>
              <w:pStyle w:val="42"/>
              <w:bidi w:val="0"/>
              <w:jc w:val="center"/>
            </w:pPr>
            <w:r>
              <w:t>单池尺寸：8.45×3.95×8.4m（2座）</w:t>
            </w:r>
          </w:p>
          <w:p w14:paraId="6015AFB1">
            <w:pPr>
              <w:pStyle w:val="42"/>
              <w:bidi w:val="0"/>
              <w:jc w:val="center"/>
            </w:pPr>
            <w:r>
              <w:t>结构型式：钢砼半地下式（地下4.5米，地上3.9米）有效水深8.0米，停留时间10.88h</w:t>
            </w:r>
          </w:p>
        </w:tc>
      </w:tr>
      <w:tr w14:paraId="6BD707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56" w:type="pct"/>
            <w:tcBorders>
              <w:tl2br w:val="nil"/>
              <w:tr2bl w:val="nil"/>
            </w:tcBorders>
            <w:vAlign w:val="center"/>
          </w:tcPr>
          <w:p w14:paraId="65D8F008">
            <w:pPr>
              <w:pStyle w:val="42"/>
              <w:bidi w:val="0"/>
              <w:jc w:val="center"/>
            </w:pPr>
            <w:r>
              <w:t>2</w:t>
            </w:r>
          </w:p>
        </w:tc>
        <w:tc>
          <w:tcPr>
            <w:tcW w:w="568" w:type="pct"/>
            <w:tcBorders>
              <w:tl2br w:val="nil"/>
              <w:tr2bl w:val="nil"/>
            </w:tcBorders>
            <w:vAlign w:val="center"/>
          </w:tcPr>
          <w:p w14:paraId="2052D1FC">
            <w:pPr>
              <w:pStyle w:val="42"/>
              <w:bidi w:val="0"/>
              <w:jc w:val="center"/>
            </w:pPr>
            <w:r>
              <w:t>主要配套设备</w:t>
            </w:r>
          </w:p>
        </w:tc>
        <w:tc>
          <w:tcPr>
            <w:tcW w:w="3974" w:type="pct"/>
            <w:tcBorders>
              <w:tl2br w:val="nil"/>
              <w:tr2bl w:val="nil"/>
            </w:tcBorders>
            <w:vAlign w:val="center"/>
          </w:tcPr>
          <w:p w14:paraId="3564F294">
            <w:pPr>
              <w:pStyle w:val="42"/>
              <w:bidi w:val="0"/>
              <w:jc w:val="center"/>
            </w:pPr>
            <w:r>
              <w:t>1）组合填料数量：100m³</w:t>
            </w:r>
          </w:p>
          <w:p w14:paraId="15BC8D49">
            <w:pPr>
              <w:pStyle w:val="42"/>
              <w:bidi w:val="0"/>
              <w:jc w:val="center"/>
            </w:pPr>
            <w:r>
              <w:t>2）填料支架数量：1批</w:t>
            </w:r>
          </w:p>
          <w:p w14:paraId="6AA9E3DC">
            <w:pPr>
              <w:pStyle w:val="42"/>
              <w:bidi w:val="0"/>
              <w:jc w:val="center"/>
            </w:pPr>
            <w:r>
              <w:t>3）潜水搅拌机数量：1台</w:t>
            </w:r>
          </w:p>
        </w:tc>
      </w:tr>
    </w:tbl>
    <w:p w14:paraId="0C4C94C8">
      <w:pPr>
        <w:bidi w:val="0"/>
        <w:rPr>
          <w:rFonts w:hint="default"/>
          <w:lang w:val="en-US" w:eastAsia="zh-CN"/>
        </w:rPr>
      </w:pPr>
      <w:r>
        <w:rPr>
          <w:rFonts w:hint="eastAsia"/>
          <w:lang w:val="en-US" w:eastAsia="zh-CN"/>
        </w:rPr>
        <w:t>（8）</w:t>
      </w:r>
      <w:r>
        <w:rPr>
          <w:rFonts w:hint="default"/>
          <w:lang w:val="en-US" w:eastAsia="zh-CN"/>
        </w:rPr>
        <w:t>消化池</w:t>
      </w:r>
    </w:p>
    <w:p w14:paraId="4A165C62">
      <w:pPr>
        <w:bidi w:val="0"/>
        <w:rPr>
          <w:rFonts w:hint="default"/>
          <w:lang w:val="en-US" w:eastAsia="zh-CN"/>
        </w:rPr>
      </w:pPr>
      <w:r>
        <w:rPr>
          <w:rFonts w:hint="default"/>
          <w:lang w:val="en-US" w:eastAsia="zh-CN"/>
        </w:rPr>
        <w:t>主要通过消化厌氧对污水进行释放总磷，通过后端的好氧流化床进行好氧污泥吸磷处理，从而进一步提高生物去磷的功能，以降低后续化学除磷的药剂成本。</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7"/>
        <w:gridCol w:w="944"/>
        <w:gridCol w:w="6632"/>
      </w:tblGrid>
      <w:tr w14:paraId="537CD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4" w:type="pct"/>
            <w:tcBorders>
              <w:top w:val="single" w:color="000000" w:sz="12" w:space="0"/>
              <w:left w:val="single" w:color="000000" w:sz="12" w:space="0"/>
              <w:bottom w:val="single" w:color="000000" w:sz="4" w:space="0"/>
              <w:right w:val="single" w:color="000000" w:sz="4" w:space="0"/>
            </w:tcBorders>
            <w:vAlign w:val="center"/>
          </w:tcPr>
          <w:p w14:paraId="58A7CB34">
            <w:pPr>
              <w:pStyle w:val="42"/>
              <w:bidi w:val="0"/>
              <w:jc w:val="center"/>
            </w:pPr>
            <w:r>
              <w:t>序号</w:t>
            </w:r>
          </w:p>
        </w:tc>
        <w:tc>
          <w:tcPr>
            <w:tcW w:w="566" w:type="pct"/>
            <w:tcBorders>
              <w:top w:val="single" w:color="000000" w:sz="12" w:space="0"/>
              <w:left w:val="single" w:color="000000" w:sz="4" w:space="0"/>
              <w:bottom w:val="single" w:color="000000" w:sz="4" w:space="0"/>
              <w:right w:val="single" w:color="000000" w:sz="4" w:space="0"/>
            </w:tcBorders>
            <w:vAlign w:val="center"/>
          </w:tcPr>
          <w:p w14:paraId="2BA89A53">
            <w:pPr>
              <w:pStyle w:val="42"/>
              <w:bidi w:val="0"/>
              <w:jc w:val="center"/>
            </w:pPr>
            <w:r>
              <w:t>名称</w:t>
            </w:r>
          </w:p>
        </w:tc>
        <w:tc>
          <w:tcPr>
            <w:tcW w:w="3978" w:type="pct"/>
            <w:tcBorders>
              <w:top w:val="single" w:color="000000" w:sz="12" w:space="0"/>
              <w:left w:val="single" w:color="000000" w:sz="4" w:space="0"/>
              <w:bottom w:val="single" w:color="000000" w:sz="4" w:space="0"/>
              <w:right w:val="single" w:color="000000" w:sz="12" w:space="0"/>
            </w:tcBorders>
            <w:vAlign w:val="center"/>
          </w:tcPr>
          <w:p w14:paraId="06BB24FD">
            <w:pPr>
              <w:pStyle w:val="42"/>
              <w:bidi w:val="0"/>
              <w:jc w:val="center"/>
            </w:pPr>
            <w:r>
              <w:t>内容（1200</w:t>
            </w:r>
            <w:r>
              <w:rPr>
                <w:rFonts w:hint="eastAsia"/>
                <w:lang w:eastAsia="zh-CN"/>
              </w:rPr>
              <w:t>m</w:t>
            </w:r>
            <w:r>
              <w:rPr>
                <w:rFonts w:hint="eastAsia"/>
                <w:vertAlign w:val="superscript"/>
                <w:lang w:eastAsia="zh-CN"/>
              </w:rPr>
              <w:t>3</w:t>
            </w:r>
            <w:r>
              <w:t>/d）</w:t>
            </w:r>
          </w:p>
        </w:tc>
      </w:tr>
      <w:tr w14:paraId="5EE0F8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4" w:type="pct"/>
            <w:vMerge w:val="restart"/>
            <w:tcBorders>
              <w:top w:val="single" w:color="000000" w:sz="4" w:space="0"/>
              <w:left w:val="single" w:color="000000" w:sz="12" w:space="0"/>
              <w:right w:val="single" w:color="000000" w:sz="4" w:space="0"/>
            </w:tcBorders>
            <w:vAlign w:val="center"/>
          </w:tcPr>
          <w:p w14:paraId="10E3D830">
            <w:pPr>
              <w:pStyle w:val="42"/>
              <w:bidi w:val="0"/>
              <w:jc w:val="center"/>
            </w:pPr>
            <w:r>
              <w:t>1</w:t>
            </w:r>
          </w:p>
        </w:tc>
        <w:tc>
          <w:tcPr>
            <w:tcW w:w="566" w:type="pct"/>
            <w:vMerge w:val="restart"/>
            <w:tcBorders>
              <w:top w:val="single" w:color="000000" w:sz="4" w:space="0"/>
              <w:left w:val="single" w:color="000000" w:sz="4" w:space="0"/>
              <w:right w:val="single" w:color="000000" w:sz="4" w:space="0"/>
            </w:tcBorders>
            <w:vAlign w:val="center"/>
          </w:tcPr>
          <w:p w14:paraId="37BCF416">
            <w:pPr>
              <w:pStyle w:val="42"/>
              <w:bidi w:val="0"/>
              <w:jc w:val="center"/>
            </w:pPr>
            <w:r>
              <w:t>构筑物参数</w:t>
            </w:r>
          </w:p>
        </w:tc>
        <w:tc>
          <w:tcPr>
            <w:tcW w:w="3978" w:type="pct"/>
            <w:tcBorders>
              <w:top w:val="single" w:color="000000" w:sz="4" w:space="0"/>
              <w:left w:val="single" w:color="000000" w:sz="4" w:space="0"/>
              <w:bottom w:val="single" w:color="000000" w:sz="4" w:space="0"/>
              <w:right w:val="single" w:color="000000" w:sz="12" w:space="0"/>
            </w:tcBorders>
            <w:vAlign w:val="center"/>
          </w:tcPr>
          <w:p w14:paraId="3B665954">
            <w:pPr>
              <w:pStyle w:val="42"/>
              <w:bidi w:val="0"/>
              <w:jc w:val="center"/>
            </w:pPr>
            <w:r>
              <w:t>单池有效容积：172</w:t>
            </w:r>
            <w:r>
              <w:rPr>
                <w:rFonts w:hint="eastAsia"/>
                <w:lang w:eastAsia="zh-CN"/>
              </w:rPr>
              <w:t>m</w:t>
            </w:r>
            <w:r>
              <w:rPr>
                <w:rFonts w:hint="eastAsia"/>
                <w:vertAlign w:val="superscript"/>
                <w:lang w:eastAsia="zh-CN"/>
              </w:rPr>
              <w:t>3</w:t>
            </w:r>
            <w:r>
              <w:t>（2座）</w:t>
            </w:r>
          </w:p>
          <w:p w14:paraId="320C0F56">
            <w:pPr>
              <w:pStyle w:val="42"/>
              <w:bidi w:val="0"/>
              <w:jc w:val="center"/>
            </w:pPr>
            <w:r>
              <w:t>单池尺寸：8.45×2.5×8.4m（2座）</w:t>
            </w:r>
          </w:p>
          <w:p w14:paraId="0695419D">
            <w:pPr>
              <w:pStyle w:val="42"/>
              <w:bidi w:val="0"/>
              <w:jc w:val="center"/>
            </w:pPr>
            <w:r>
              <w:t>结构型式：钢砼半地下式（地下4.5米，地上3.9米）</w:t>
            </w:r>
          </w:p>
        </w:tc>
      </w:tr>
      <w:tr w14:paraId="75FE98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4" w:type="pct"/>
            <w:vMerge w:val="continue"/>
            <w:tcBorders>
              <w:left w:val="single" w:color="000000" w:sz="12" w:space="0"/>
              <w:bottom w:val="single" w:color="000000" w:sz="4" w:space="0"/>
              <w:right w:val="single" w:color="000000" w:sz="4" w:space="0"/>
            </w:tcBorders>
            <w:vAlign w:val="center"/>
          </w:tcPr>
          <w:p w14:paraId="6FCA72BB">
            <w:pPr>
              <w:pStyle w:val="42"/>
              <w:bidi w:val="0"/>
              <w:jc w:val="center"/>
            </w:pPr>
          </w:p>
        </w:tc>
        <w:tc>
          <w:tcPr>
            <w:tcW w:w="566" w:type="pct"/>
            <w:vMerge w:val="continue"/>
            <w:tcBorders>
              <w:left w:val="single" w:color="000000" w:sz="4" w:space="0"/>
              <w:bottom w:val="single" w:color="000000" w:sz="4" w:space="0"/>
              <w:right w:val="single" w:color="000000" w:sz="4" w:space="0"/>
            </w:tcBorders>
            <w:vAlign w:val="center"/>
          </w:tcPr>
          <w:p w14:paraId="12C6E48C">
            <w:pPr>
              <w:pStyle w:val="42"/>
              <w:bidi w:val="0"/>
              <w:jc w:val="center"/>
            </w:pPr>
          </w:p>
        </w:tc>
        <w:tc>
          <w:tcPr>
            <w:tcW w:w="3978" w:type="pct"/>
            <w:tcBorders>
              <w:top w:val="single" w:color="000000" w:sz="4" w:space="0"/>
              <w:left w:val="single" w:color="000000" w:sz="4" w:space="0"/>
              <w:bottom w:val="single" w:color="000000" w:sz="4" w:space="0"/>
              <w:right w:val="single" w:color="000000" w:sz="12" w:space="0"/>
            </w:tcBorders>
            <w:vAlign w:val="center"/>
          </w:tcPr>
          <w:p w14:paraId="620DA3C4">
            <w:pPr>
              <w:pStyle w:val="42"/>
              <w:bidi w:val="0"/>
              <w:jc w:val="center"/>
            </w:pPr>
            <w:r>
              <w:t>有效水深8.0米，停留时间6.88h</w:t>
            </w:r>
          </w:p>
        </w:tc>
      </w:tr>
      <w:tr w14:paraId="608FBA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4" w:type="pct"/>
            <w:tcBorders>
              <w:top w:val="single" w:color="000000" w:sz="4" w:space="0"/>
              <w:left w:val="single" w:color="000000" w:sz="12" w:space="0"/>
              <w:bottom w:val="single" w:color="000000" w:sz="12" w:space="0"/>
              <w:right w:val="single" w:color="000000" w:sz="4" w:space="0"/>
            </w:tcBorders>
            <w:vAlign w:val="center"/>
          </w:tcPr>
          <w:p w14:paraId="53E51018">
            <w:pPr>
              <w:pStyle w:val="42"/>
              <w:bidi w:val="0"/>
              <w:jc w:val="center"/>
            </w:pPr>
            <w:r>
              <w:t>2</w:t>
            </w:r>
          </w:p>
        </w:tc>
        <w:tc>
          <w:tcPr>
            <w:tcW w:w="566" w:type="pct"/>
            <w:tcBorders>
              <w:top w:val="single" w:color="000000" w:sz="4" w:space="0"/>
              <w:left w:val="single" w:color="000000" w:sz="4" w:space="0"/>
              <w:bottom w:val="single" w:color="000000" w:sz="12" w:space="0"/>
              <w:right w:val="single" w:color="000000" w:sz="4" w:space="0"/>
            </w:tcBorders>
            <w:vAlign w:val="center"/>
          </w:tcPr>
          <w:p w14:paraId="670F499D">
            <w:pPr>
              <w:pStyle w:val="42"/>
              <w:bidi w:val="0"/>
              <w:jc w:val="center"/>
            </w:pPr>
            <w:r>
              <w:t>主要配套设备</w:t>
            </w:r>
          </w:p>
        </w:tc>
        <w:tc>
          <w:tcPr>
            <w:tcW w:w="3978" w:type="pct"/>
            <w:tcBorders>
              <w:top w:val="single" w:color="000000" w:sz="4" w:space="0"/>
              <w:left w:val="single" w:color="000000" w:sz="4" w:space="0"/>
              <w:bottom w:val="single" w:color="000000" w:sz="12" w:space="0"/>
              <w:right w:val="single" w:color="000000" w:sz="12" w:space="0"/>
            </w:tcBorders>
            <w:vAlign w:val="center"/>
          </w:tcPr>
          <w:p w14:paraId="078A30B0">
            <w:pPr>
              <w:pStyle w:val="42"/>
              <w:bidi w:val="0"/>
              <w:jc w:val="center"/>
            </w:pPr>
            <w:r>
              <w:t>1）潜水搅拌机数量：1台</w:t>
            </w:r>
          </w:p>
        </w:tc>
      </w:tr>
    </w:tbl>
    <w:p w14:paraId="19B6BBA6">
      <w:pPr>
        <w:bidi w:val="0"/>
        <w:rPr>
          <w:rFonts w:hint="default"/>
          <w:lang w:val="en-US" w:eastAsia="zh-CN"/>
        </w:rPr>
      </w:pPr>
      <w:r>
        <w:rPr>
          <w:rFonts w:hint="eastAsia"/>
          <w:lang w:val="en-US" w:eastAsia="zh-CN"/>
        </w:rPr>
        <w:t>（9）</w:t>
      </w:r>
      <w:r>
        <w:rPr>
          <w:rFonts w:hint="default"/>
          <w:lang w:val="en-US" w:eastAsia="zh-CN"/>
        </w:rPr>
        <w:t>好氧流化床</w:t>
      </w:r>
    </w:p>
    <w:p w14:paraId="28FF1ACE">
      <w:pPr>
        <w:bidi w:val="0"/>
        <w:rPr>
          <w:spacing w:val="-1"/>
          <w:sz w:val="24"/>
          <w:szCs w:val="24"/>
        </w:rPr>
      </w:pPr>
      <w:r>
        <w:rPr>
          <w:sz w:val="24"/>
          <w:szCs w:val="24"/>
        </w:rPr>
        <w:t>主要对废水进行好氧处理，进一步去除有机</w:t>
      </w:r>
      <w:r>
        <w:rPr>
          <w:spacing w:val="-1"/>
          <w:sz w:val="24"/>
          <w:szCs w:val="24"/>
        </w:rPr>
        <w:t>质。采用泥膜复合控制工艺。</w:t>
      </w:r>
    </w:p>
    <w:tbl>
      <w:tblPr>
        <w:tblStyle w:val="51"/>
        <w:tblW w:w="503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65"/>
        <w:gridCol w:w="951"/>
        <w:gridCol w:w="6670"/>
      </w:tblGrid>
      <w:tr w14:paraId="22C150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6" w:type="pct"/>
            <w:tcBorders>
              <w:tl2br w:val="nil"/>
              <w:tr2bl w:val="nil"/>
            </w:tcBorders>
            <w:vAlign w:val="center"/>
          </w:tcPr>
          <w:p w14:paraId="443880D8">
            <w:pPr>
              <w:pStyle w:val="42"/>
              <w:bidi w:val="0"/>
              <w:jc w:val="center"/>
            </w:pPr>
            <w:r>
              <w:t>序号</w:t>
            </w:r>
          </w:p>
        </w:tc>
        <w:tc>
          <w:tcPr>
            <w:tcW w:w="567" w:type="pct"/>
            <w:tcBorders>
              <w:tl2br w:val="nil"/>
              <w:tr2bl w:val="nil"/>
            </w:tcBorders>
            <w:vAlign w:val="center"/>
          </w:tcPr>
          <w:p w14:paraId="431A2336">
            <w:pPr>
              <w:pStyle w:val="42"/>
              <w:bidi w:val="0"/>
              <w:jc w:val="center"/>
            </w:pPr>
            <w:r>
              <w:t>名称</w:t>
            </w:r>
          </w:p>
        </w:tc>
        <w:tc>
          <w:tcPr>
            <w:tcW w:w="3975" w:type="pct"/>
            <w:tcBorders>
              <w:tl2br w:val="nil"/>
              <w:tr2bl w:val="nil"/>
            </w:tcBorders>
            <w:vAlign w:val="center"/>
          </w:tcPr>
          <w:p w14:paraId="42DBF582">
            <w:pPr>
              <w:pStyle w:val="42"/>
              <w:bidi w:val="0"/>
              <w:jc w:val="center"/>
            </w:pPr>
            <w:r>
              <w:t>内容（1200</w:t>
            </w:r>
            <w:r>
              <w:rPr>
                <w:rFonts w:hint="eastAsia"/>
                <w:lang w:eastAsia="zh-CN"/>
              </w:rPr>
              <w:t>m</w:t>
            </w:r>
            <w:r>
              <w:rPr>
                <w:rFonts w:hint="eastAsia"/>
                <w:vertAlign w:val="superscript"/>
                <w:lang w:eastAsia="zh-CN"/>
              </w:rPr>
              <w:t>3</w:t>
            </w:r>
            <w:r>
              <w:t>/d）</w:t>
            </w:r>
          </w:p>
        </w:tc>
      </w:tr>
      <w:tr w14:paraId="1572E1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6" w:type="pct"/>
            <w:tcBorders>
              <w:tl2br w:val="nil"/>
              <w:tr2bl w:val="nil"/>
            </w:tcBorders>
            <w:vAlign w:val="center"/>
          </w:tcPr>
          <w:p w14:paraId="70DDA83F">
            <w:pPr>
              <w:pStyle w:val="42"/>
              <w:bidi w:val="0"/>
              <w:jc w:val="center"/>
            </w:pPr>
            <w:r>
              <w:t>1</w:t>
            </w:r>
          </w:p>
        </w:tc>
        <w:tc>
          <w:tcPr>
            <w:tcW w:w="567" w:type="pct"/>
            <w:tcBorders>
              <w:tl2br w:val="nil"/>
              <w:tr2bl w:val="nil"/>
            </w:tcBorders>
            <w:vAlign w:val="center"/>
          </w:tcPr>
          <w:p w14:paraId="7C5C34EC">
            <w:pPr>
              <w:pStyle w:val="42"/>
              <w:bidi w:val="0"/>
              <w:jc w:val="center"/>
            </w:pPr>
            <w:r>
              <w:t>构筑物参数</w:t>
            </w:r>
          </w:p>
        </w:tc>
        <w:tc>
          <w:tcPr>
            <w:tcW w:w="3975" w:type="pct"/>
            <w:tcBorders>
              <w:tl2br w:val="nil"/>
              <w:tr2bl w:val="nil"/>
            </w:tcBorders>
            <w:vAlign w:val="center"/>
          </w:tcPr>
          <w:p w14:paraId="5D684869">
            <w:pPr>
              <w:pStyle w:val="42"/>
              <w:bidi w:val="0"/>
              <w:jc w:val="center"/>
            </w:pPr>
            <w:r>
              <w:t>单池有效容积：674.9</w:t>
            </w:r>
            <w:r>
              <w:rPr>
                <w:rFonts w:hint="eastAsia"/>
                <w:lang w:eastAsia="zh-CN"/>
              </w:rPr>
              <w:t>m</w:t>
            </w:r>
            <w:r>
              <w:rPr>
                <w:rFonts w:hint="eastAsia"/>
                <w:vertAlign w:val="superscript"/>
                <w:lang w:eastAsia="zh-CN"/>
              </w:rPr>
              <w:t>3</w:t>
            </w:r>
            <w:r>
              <w:t>（2座）</w:t>
            </w:r>
          </w:p>
          <w:p w14:paraId="75B0EE5A">
            <w:pPr>
              <w:pStyle w:val="42"/>
              <w:bidi w:val="0"/>
              <w:jc w:val="center"/>
            </w:pPr>
            <w:r>
              <w:t>单池尺寸：8.45×9.8×8.4m（2座）</w:t>
            </w:r>
          </w:p>
          <w:p w14:paraId="53123B29">
            <w:pPr>
              <w:pStyle w:val="42"/>
              <w:bidi w:val="0"/>
              <w:jc w:val="center"/>
            </w:pPr>
            <w:r>
              <w:t>结构型式：钢砼半地下式（地下4.5米，地上3.9米）有效水深8.2米，停留时间24h</w:t>
            </w:r>
          </w:p>
        </w:tc>
      </w:tr>
      <w:tr w14:paraId="69F613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6" w:type="pct"/>
            <w:tcBorders>
              <w:tl2br w:val="nil"/>
              <w:tr2bl w:val="nil"/>
            </w:tcBorders>
            <w:vAlign w:val="center"/>
          </w:tcPr>
          <w:p w14:paraId="31CEF74D">
            <w:pPr>
              <w:pStyle w:val="42"/>
              <w:bidi w:val="0"/>
              <w:jc w:val="center"/>
            </w:pPr>
            <w:r>
              <w:t>2</w:t>
            </w:r>
          </w:p>
        </w:tc>
        <w:tc>
          <w:tcPr>
            <w:tcW w:w="567" w:type="pct"/>
            <w:tcBorders>
              <w:tl2br w:val="nil"/>
              <w:tr2bl w:val="nil"/>
            </w:tcBorders>
            <w:vAlign w:val="center"/>
          </w:tcPr>
          <w:p w14:paraId="2F8A96DA">
            <w:pPr>
              <w:pStyle w:val="42"/>
              <w:bidi w:val="0"/>
              <w:jc w:val="center"/>
            </w:pPr>
            <w:r>
              <w:t>主要配套设备</w:t>
            </w:r>
          </w:p>
        </w:tc>
        <w:tc>
          <w:tcPr>
            <w:tcW w:w="3975" w:type="pct"/>
            <w:tcBorders>
              <w:tl2br w:val="nil"/>
              <w:tr2bl w:val="nil"/>
            </w:tcBorders>
            <w:vAlign w:val="center"/>
          </w:tcPr>
          <w:p w14:paraId="5A100B2F">
            <w:pPr>
              <w:pStyle w:val="42"/>
              <w:bidi w:val="0"/>
              <w:jc w:val="center"/>
            </w:pPr>
            <w:r>
              <w:t>1）组合填料数量：195m³</w:t>
            </w:r>
          </w:p>
          <w:p w14:paraId="66BC8A82">
            <w:pPr>
              <w:pStyle w:val="42"/>
              <w:bidi w:val="0"/>
              <w:jc w:val="center"/>
              <w:rPr>
                <w:rFonts w:hint="default" w:eastAsia="宋体"/>
                <w:lang w:val="en-US" w:eastAsia="zh-CN"/>
              </w:rPr>
            </w:pPr>
            <w:r>
              <w:t>2）填料支架数量：1套</w:t>
            </w:r>
          </w:p>
          <w:p w14:paraId="238F2130">
            <w:pPr>
              <w:pStyle w:val="42"/>
              <w:bidi w:val="0"/>
              <w:jc w:val="center"/>
            </w:pPr>
            <w:r>
              <w:t>3）微孔曝气装置数量：224套</w:t>
            </w:r>
          </w:p>
          <w:p w14:paraId="4544B890">
            <w:pPr>
              <w:pStyle w:val="42"/>
              <w:bidi w:val="0"/>
              <w:jc w:val="center"/>
            </w:pPr>
            <w:r>
              <w:t>4）外回流泵数量：2台</w:t>
            </w:r>
          </w:p>
          <w:p w14:paraId="2031E13A">
            <w:pPr>
              <w:pStyle w:val="42"/>
              <w:bidi w:val="0"/>
              <w:jc w:val="center"/>
            </w:pPr>
            <w:r>
              <w:t>5）固液分离系统数量：1套</w:t>
            </w:r>
          </w:p>
        </w:tc>
      </w:tr>
    </w:tbl>
    <w:p w14:paraId="65C11552">
      <w:pPr>
        <w:numPr>
          <w:ilvl w:val="0"/>
          <w:numId w:val="5"/>
        </w:numPr>
        <w:bidi w:val="0"/>
        <w:rPr>
          <w:rFonts w:hint="default"/>
          <w:spacing w:val="-1"/>
          <w:sz w:val="24"/>
          <w:szCs w:val="24"/>
          <w:lang w:val="en-US" w:eastAsia="zh-CN"/>
        </w:rPr>
      </w:pPr>
      <w:r>
        <w:rPr>
          <w:rFonts w:hint="default"/>
          <w:spacing w:val="-1"/>
          <w:sz w:val="24"/>
          <w:szCs w:val="24"/>
          <w:lang w:val="en-US" w:eastAsia="zh-CN"/>
        </w:rPr>
        <w:t>去磷池</w:t>
      </w:r>
    </w:p>
    <w:p w14:paraId="0AD7A742">
      <w:pPr>
        <w:bidi w:val="0"/>
        <w:rPr>
          <w:rFonts w:hint="default"/>
          <w:lang w:val="en-US" w:eastAsia="zh-CN"/>
        </w:rPr>
      </w:pPr>
      <w:r>
        <w:rPr>
          <w:rFonts w:hint="default"/>
          <w:lang w:val="en-US" w:eastAsia="zh-CN"/>
        </w:rPr>
        <w:t>主要对尾水进行化学深度除磷处理，进一步净化出水。</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64"/>
        <w:gridCol w:w="947"/>
        <w:gridCol w:w="2009"/>
        <w:gridCol w:w="4613"/>
      </w:tblGrid>
      <w:tr w14:paraId="7A84E7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12" w:space="0"/>
              <w:left w:val="single" w:color="000000" w:sz="12" w:space="0"/>
              <w:bottom w:val="single" w:color="000000" w:sz="4" w:space="0"/>
              <w:right w:val="single" w:color="000000" w:sz="4" w:space="0"/>
            </w:tcBorders>
            <w:vAlign w:val="center"/>
          </w:tcPr>
          <w:p w14:paraId="0DA9623A">
            <w:pPr>
              <w:pStyle w:val="42"/>
              <w:bidi w:val="0"/>
              <w:jc w:val="center"/>
            </w:pPr>
            <w:r>
              <w:t>序号</w:t>
            </w:r>
          </w:p>
        </w:tc>
        <w:tc>
          <w:tcPr>
            <w:tcW w:w="568" w:type="pct"/>
            <w:tcBorders>
              <w:top w:val="single" w:color="000000" w:sz="12" w:space="0"/>
              <w:left w:val="single" w:color="000000" w:sz="4" w:space="0"/>
              <w:bottom w:val="single" w:color="000000" w:sz="4" w:space="0"/>
              <w:right w:val="single" w:color="000000" w:sz="4" w:space="0"/>
            </w:tcBorders>
            <w:vAlign w:val="center"/>
          </w:tcPr>
          <w:p w14:paraId="7CB8F899">
            <w:pPr>
              <w:pStyle w:val="42"/>
              <w:bidi w:val="0"/>
              <w:jc w:val="center"/>
            </w:pPr>
            <w:r>
              <w:t>名称</w:t>
            </w:r>
          </w:p>
        </w:tc>
        <w:tc>
          <w:tcPr>
            <w:tcW w:w="3972" w:type="pct"/>
            <w:gridSpan w:val="2"/>
            <w:tcBorders>
              <w:top w:val="single" w:color="000000" w:sz="12" w:space="0"/>
              <w:left w:val="single" w:color="000000" w:sz="4" w:space="0"/>
              <w:bottom w:val="single" w:color="000000" w:sz="4" w:space="0"/>
              <w:right w:val="single" w:color="000000" w:sz="12" w:space="0"/>
            </w:tcBorders>
            <w:vAlign w:val="center"/>
          </w:tcPr>
          <w:p w14:paraId="5F060665">
            <w:pPr>
              <w:pStyle w:val="42"/>
              <w:bidi w:val="0"/>
              <w:jc w:val="center"/>
            </w:pPr>
            <w:r>
              <w:t>一期（1200</w:t>
            </w:r>
            <w:r>
              <w:rPr>
                <w:rFonts w:hint="eastAsia"/>
                <w:lang w:eastAsia="zh-CN"/>
              </w:rPr>
              <w:t>m</w:t>
            </w:r>
            <w:r>
              <w:rPr>
                <w:rFonts w:hint="eastAsia"/>
                <w:vertAlign w:val="superscript"/>
                <w:lang w:eastAsia="zh-CN"/>
              </w:rPr>
              <w:t>3</w:t>
            </w:r>
            <w:r>
              <w:t>/d）</w:t>
            </w:r>
          </w:p>
        </w:tc>
      </w:tr>
      <w:tr w14:paraId="44726C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4" w:space="0"/>
              <w:left w:val="single" w:color="000000" w:sz="12" w:space="0"/>
              <w:bottom w:val="single" w:color="000000" w:sz="4" w:space="0"/>
              <w:right w:val="single" w:color="000000" w:sz="4" w:space="0"/>
            </w:tcBorders>
            <w:vAlign w:val="center"/>
          </w:tcPr>
          <w:p w14:paraId="44314407">
            <w:pPr>
              <w:pStyle w:val="42"/>
              <w:bidi w:val="0"/>
              <w:jc w:val="center"/>
            </w:pPr>
            <w:r>
              <w:t>1</w:t>
            </w:r>
          </w:p>
        </w:tc>
        <w:tc>
          <w:tcPr>
            <w:tcW w:w="568" w:type="pct"/>
            <w:tcBorders>
              <w:top w:val="single" w:color="000000" w:sz="4" w:space="0"/>
              <w:left w:val="single" w:color="000000" w:sz="4" w:space="0"/>
              <w:bottom w:val="single" w:color="000000" w:sz="4" w:space="0"/>
              <w:right w:val="single" w:color="000000" w:sz="4" w:space="0"/>
            </w:tcBorders>
            <w:vAlign w:val="center"/>
          </w:tcPr>
          <w:p w14:paraId="0F2961A3">
            <w:pPr>
              <w:pStyle w:val="42"/>
              <w:bidi w:val="0"/>
              <w:jc w:val="center"/>
            </w:pPr>
            <w:r>
              <w:t>构筑物参数</w:t>
            </w:r>
          </w:p>
        </w:tc>
        <w:tc>
          <w:tcPr>
            <w:tcW w:w="3972" w:type="pct"/>
            <w:gridSpan w:val="2"/>
            <w:tcBorders>
              <w:top w:val="single" w:color="000000" w:sz="4" w:space="0"/>
              <w:left w:val="single" w:color="000000" w:sz="4" w:space="0"/>
              <w:bottom w:val="single" w:color="000000" w:sz="4" w:space="0"/>
              <w:right w:val="single" w:color="000000" w:sz="12" w:space="0"/>
            </w:tcBorders>
            <w:vAlign w:val="center"/>
          </w:tcPr>
          <w:p w14:paraId="24597E6D">
            <w:pPr>
              <w:pStyle w:val="42"/>
              <w:bidi w:val="0"/>
              <w:jc w:val="center"/>
              <w:rPr>
                <w:rFonts w:hint="eastAsia" w:eastAsia="宋体"/>
                <w:lang w:eastAsia="zh-CN"/>
              </w:rPr>
            </w:pPr>
            <w:r>
              <w:t>有效容积：180</w:t>
            </w:r>
            <w:r>
              <w:rPr>
                <w:rFonts w:hint="eastAsia"/>
                <w:lang w:eastAsia="zh-CN"/>
              </w:rPr>
              <w:t>m</w:t>
            </w:r>
            <w:r>
              <w:rPr>
                <w:rFonts w:hint="eastAsia"/>
                <w:vertAlign w:val="superscript"/>
                <w:lang w:eastAsia="zh-CN"/>
              </w:rPr>
              <w:t>3</w:t>
            </w:r>
          </w:p>
          <w:p w14:paraId="6764DCF5">
            <w:pPr>
              <w:pStyle w:val="42"/>
              <w:bidi w:val="0"/>
              <w:jc w:val="center"/>
            </w:pPr>
            <w:r>
              <w:t>尺寸：3.45×14.5×4.1m</w:t>
            </w:r>
          </w:p>
          <w:p w14:paraId="01E92FB7">
            <w:pPr>
              <w:pStyle w:val="42"/>
              <w:bidi w:val="0"/>
              <w:jc w:val="center"/>
            </w:pPr>
            <w:r>
              <w:t>结构型式：钢砼半地下式（地下0.2米，地上3.9米）有效水深3.6米，停留时间3.6h</w:t>
            </w:r>
          </w:p>
          <w:p w14:paraId="1CB4FA35">
            <w:pPr>
              <w:pStyle w:val="42"/>
              <w:bidi w:val="0"/>
              <w:jc w:val="center"/>
            </w:pPr>
            <w:r>
              <w:t>水力负荷：0.97</w:t>
            </w:r>
          </w:p>
        </w:tc>
      </w:tr>
      <w:tr w14:paraId="0B1DD3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4" w:space="0"/>
              <w:left w:val="single" w:color="000000" w:sz="12" w:space="0"/>
              <w:bottom w:val="single" w:color="000000" w:sz="12" w:space="0"/>
              <w:right w:val="single" w:color="000000" w:sz="4" w:space="0"/>
            </w:tcBorders>
            <w:vAlign w:val="center"/>
          </w:tcPr>
          <w:p w14:paraId="3E000158">
            <w:pPr>
              <w:pStyle w:val="42"/>
              <w:bidi w:val="0"/>
              <w:jc w:val="center"/>
            </w:pPr>
            <w:r>
              <w:t>2</w:t>
            </w:r>
          </w:p>
        </w:tc>
        <w:tc>
          <w:tcPr>
            <w:tcW w:w="568" w:type="pct"/>
            <w:tcBorders>
              <w:top w:val="single" w:color="000000" w:sz="4" w:space="0"/>
              <w:left w:val="single" w:color="000000" w:sz="4" w:space="0"/>
              <w:bottom w:val="single" w:color="000000" w:sz="12" w:space="0"/>
              <w:right w:val="single" w:color="000000" w:sz="4" w:space="0"/>
            </w:tcBorders>
            <w:vAlign w:val="center"/>
          </w:tcPr>
          <w:p w14:paraId="4DE687B4">
            <w:pPr>
              <w:pStyle w:val="42"/>
              <w:bidi w:val="0"/>
              <w:jc w:val="center"/>
            </w:pPr>
            <w:r>
              <w:t>主要配套设备</w:t>
            </w:r>
          </w:p>
        </w:tc>
        <w:tc>
          <w:tcPr>
            <w:tcW w:w="1205" w:type="pct"/>
            <w:tcBorders>
              <w:top w:val="single" w:color="000000" w:sz="4" w:space="0"/>
              <w:left w:val="single" w:color="000000" w:sz="4" w:space="0"/>
              <w:bottom w:val="single" w:color="000000" w:sz="12" w:space="0"/>
              <w:right w:val="single" w:color="000000" w:sz="4" w:space="0"/>
            </w:tcBorders>
            <w:vAlign w:val="center"/>
          </w:tcPr>
          <w:p w14:paraId="564D2494">
            <w:pPr>
              <w:pStyle w:val="42"/>
              <w:bidi w:val="0"/>
              <w:jc w:val="center"/>
            </w:pPr>
            <w:r>
              <w:t>1）去磷泵</w:t>
            </w:r>
          </w:p>
          <w:p w14:paraId="3E668B88">
            <w:pPr>
              <w:pStyle w:val="42"/>
              <w:bidi w:val="0"/>
              <w:jc w:val="center"/>
            </w:pPr>
            <w:r>
              <w:t>2）浮渣挡板</w:t>
            </w:r>
          </w:p>
          <w:p w14:paraId="49275707">
            <w:pPr>
              <w:pStyle w:val="42"/>
              <w:bidi w:val="0"/>
              <w:jc w:val="center"/>
            </w:pPr>
            <w:r>
              <w:t>3）刮渣机</w:t>
            </w:r>
          </w:p>
        </w:tc>
        <w:tc>
          <w:tcPr>
            <w:tcW w:w="2767" w:type="pct"/>
            <w:tcBorders>
              <w:top w:val="single" w:color="000000" w:sz="4" w:space="0"/>
              <w:left w:val="single" w:color="000000" w:sz="4" w:space="0"/>
              <w:bottom w:val="single" w:color="000000" w:sz="12" w:space="0"/>
              <w:right w:val="single" w:color="000000" w:sz="12" w:space="0"/>
            </w:tcBorders>
            <w:vAlign w:val="center"/>
          </w:tcPr>
          <w:p w14:paraId="75AAAEE8">
            <w:pPr>
              <w:pStyle w:val="42"/>
              <w:bidi w:val="0"/>
              <w:jc w:val="center"/>
            </w:pPr>
            <w:r>
              <w:t>数量：2台</w:t>
            </w:r>
          </w:p>
          <w:p w14:paraId="19B3D670">
            <w:pPr>
              <w:pStyle w:val="42"/>
              <w:bidi w:val="0"/>
              <w:jc w:val="center"/>
            </w:pPr>
            <w:r>
              <w:t>数量：1套</w:t>
            </w:r>
          </w:p>
          <w:p w14:paraId="5630E20E">
            <w:pPr>
              <w:pStyle w:val="42"/>
              <w:bidi w:val="0"/>
              <w:jc w:val="center"/>
            </w:pPr>
            <w:r>
              <w:t>数量：1套</w:t>
            </w:r>
          </w:p>
        </w:tc>
      </w:tr>
    </w:tbl>
    <w:p w14:paraId="14ACD9F1">
      <w:pPr>
        <w:bidi w:val="0"/>
        <w:rPr>
          <w:rFonts w:hint="default"/>
          <w:lang w:val="en-US" w:eastAsia="zh-CN"/>
        </w:rPr>
      </w:pPr>
      <w:r>
        <w:rPr>
          <w:rFonts w:hint="eastAsia"/>
          <w:lang w:val="en-US" w:eastAsia="zh-CN"/>
        </w:rPr>
        <w:t>（11）</w:t>
      </w:r>
      <w:r>
        <w:rPr>
          <w:rFonts w:hint="default"/>
          <w:lang w:val="en-US" w:eastAsia="zh-CN"/>
        </w:rPr>
        <w:t>清水池</w:t>
      </w:r>
    </w:p>
    <w:p w14:paraId="12F9C005">
      <w:pPr>
        <w:bidi w:val="0"/>
        <w:rPr>
          <w:rFonts w:hint="default"/>
          <w:lang w:val="en-US" w:eastAsia="zh-CN"/>
        </w:rPr>
      </w:pPr>
      <w:r>
        <w:rPr>
          <w:rFonts w:hint="default"/>
          <w:lang w:val="en-US" w:eastAsia="zh-CN"/>
        </w:rPr>
        <w:t>主要暂存去磷池出水，对污水进行计量。</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63"/>
        <w:gridCol w:w="947"/>
        <w:gridCol w:w="1891"/>
        <w:gridCol w:w="4732"/>
      </w:tblGrid>
      <w:tr w14:paraId="4EF626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12" w:space="0"/>
              <w:left w:val="single" w:color="000000" w:sz="12" w:space="0"/>
              <w:bottom w:val="single" w:color="000000" w:sz="4" w:space="0"/>
              <w:right w:val="single" w:color="000000" w:sz="4" w:space="0"/>
            </w:tcBorders>
            <w:vAlign w:val="center"/>
          </w:tcPr>
          <w:p w14:paraId="069DBBB7">
            <w:pPr>
              <w:pStyle w:val="42"/>
              <w:bidi w:val="0"/>
              <w:jc w:val="center"/>
            </w:pPr>
            <w:r>
              <w:t>序号</w:t>
            </w:r>
          </w:p>
        </w:tc>
        <w:tc>
          <w:tcPr>
            <w:tcW w:w="568" w:type="pct"/>
            <w:tcBorders>
              <w:top w:val="single" w:color="000000" w:sz="12" w:space="0"/>
              <w:left w:val="single" w:color="000000" w:sz="4" w:space="0"/>
              <w:bottom w:val="single" w:color="000000" w:sz="4" w:space="0"/>
              <w:right w:val="single" w:color="000000" w:sz="4" w:space="0"/>
            </w:tcBorders>
            <w:vAlign w:val="center"/>
          </w:tcPr>
          <w:p w14:paraId="24BAF15A">
            <w:pPr>
              <w:pStyle w:val="42"/>
              <w:bidi w:val="0"/>
              <w:jc w:val="center"/>
            </w:pPr>
            <w:r>
              <w:t>名称</w:t>
            </w:r>
          </w:p>
        </w:tc>
        <w:tc>
          <w:tcPr>
            <w:tcW w:w="3972" w:type="pct"/>
            <w:gridSpan w:val="2"/>
            <w:tcBorders>
              <w:top w:val="single" w:color="000000" w:sz="12" w:space="0"/>
              <w:left w:val="single" w:color="000000" w:sz="4" w:space="0"/>
              <w:bottom w:val="single" w:color="000000" w:sz="4" w:space="0"/>
              <w:right w:val="single" w:color="000000" w:sz="12" w:space="0"/>
            </w:tcBorders>
            <w:vAlign w:val="center"/>
          </w:tcPr>
          <w:p w14:paraId="2C1A3424">
            <w:pPr>
              <w:pStyle w:val="42"/>
              <w:bidi w:val="0"/>
              <w:jc w:val="center"/>
            </w:pPr>
            <w:r>
              <w:t>一期（1200</w:t>
            </w:r>
            <w:r>
              <w:rPr>
                <w:rFonts w:hint="eastAsia"/>
                <w:lang w:eastAsia="zh-CN"/>
              </w:rPr>
              <w:t>m</w:t>
            </w:r>
            <w:r>
              <w:rPr>
                <w:rFonts w:hint="eastAsia"/>
                <w:vertAlign w:val="superscript"/>
                <w:lang w:eastAsia="zh-CN"/>
              </w:rPr>
              <w:t>3</w:t>
            </w:r>
            <w:r>
              <w:t>/d）</w:t>
            </w:r>
          </w:p>
        </w:tc>
      </w:tr>
      <w:tr w14:paraId="1B3DFA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4" w:space="0"/>
              <w:left w:val="single" w:color="000000" w:sz="12" w:space="0"/>
              <w:bottom w:val="single" w:color="000000" w:sz="4" w:space="0"/>
              <w:right w:val="single" w:color="000000" w:sz="4" w:space="0"/>
            </w:tcBorders>
            <w:vAlign w:val="center"/>
          </w:tcPr>
          <w:p w14:paraId="791B76C7">
            <w:pPr>
              <w:pStyle w:val="42"/>
              <w:bidi w:val="0"/>
              <w:jc w:val="center"/>
            </w:pPr>
            <w:r>
              <w:t>1</w:t>
            </w:r>
          </w:p>
        </w:tc>
        <w:tc>
          <w:tcPr>
            <w:tcW w:w="568" w:type="pct"/>
            <w:tcBorders>
              <w:top w:val="single" w:color="000000" w:sz="4" w:space="0"/>
              <w:left w:val="single" w:color="000000" w:sz="4" w:space="0"/>
              <w:bottom w:val="single" w:color="000000" w:sz="4" w:space="0"/>
              <w:right w:val="single" w:color="000000" w:sz="4" w:space="0"/>
            </w:tcBorders>
            <w:vAlign w:val="center"/>
          </w:tcPr>
          <w:p w14:paraId="27536DE1">
            <w:pPr>
              <w:pStyle w:val="42"/>
              <w:bidi w:val="0"/>
              <w:jc w:val="center"/>
            </w:pPr>
            <w:r>
              <w:t>构筑物参数</w:t>
            </w:r>
          </w:p>
        </w:tc>
        <w:tc>
          <w:tcPr>
            <w:tcW w:w="3972" w:type="pct"/>
            <w:gridSpan w:val="2"/>
            <w:tcBorders>
              <w:top w:val="single" w:color="000000" w:sz="4" w:space="0"/>
              <w:left w:val="single" w:color="000000" w:sz="4" w:space="0"/>
              <w:bottom w:val="single" w:color="000000" w:sz="4" w:space="0"/>
              <w:right w:val="single" w:color="000000" w:sz="12" w:space="0"/>
            </w:tcBorders>
            <w:vAlign w:val="center"/>
          </w:tcPr>
          <w:p w14:paraId="7425B9C0">
            <w:pPr>
              <w:pStyle w:val="42"/>
              <w:bidi w:val="0"/>
              <w:jc w:val="center"/>
              <w:rPr>
                <w:rFonts w:hint="eastAsia" w:eastAsia="宋体"/>
                <w:lang w:eastAsia="zh-CN"/>
              </w:rPr>
            </w:pPr>
            <w:r>
              <w:t>有效容积：55</w:t>
            </w:r>
            <w:r>
              <w:rPr>
                <w:rFonts w:hint="eastAsia"/>
                <w:lang w:eastAsia="zh-CN"/>
              </w:rPr>
              <w:t>m</w:t>
            </w:r>
            <w:r>
              <w:rPr>
                <w:rFonts w:hint="eastAsia"/>
                <w:vertAlign w:val="superscript"/>
                <w:lang w:eastAsia="zh-CN"/>
              </w:rPr>
              <w:t>3</w:t>
            </w:r>
          </w:p>
          <w:p w14:paraId="4D400EF4">
            <w:pPr>
              <w:pStyle w:val="42"/>
              <w:bidi w:val="0"/>
              <w:jc w:val="center"/>
            </w:pPr>
            <w:r>
              <w:t>尺寸：3.45×0.6×4.1m</w:t>
            </w:r>
          </w:p>
          <w:p w14:paraId="4AEFAE8E">
            <w:pPr>
              <w:pStyle w:val="42"/>
              <w:bidi w:val="0"/>
              <w:jc w:val="center"/>
            </w:pPr>
            <w:r>
              <w:t>结构型式：钢砼半地下式（地下0.2米，地上3.9米）有效水深3.5米，停留时间8.6分钟</w:t>
            </w:r>
          </w:p>
        </w:tc>
      </w:tr>
      <w:tr w14:paraId="05373E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8" w:type="pct"/>
            <w:tcBorders>
              <w:top w:val="single" w:color="000000" w:sz="4" w:space="0"/>
              <w:left w:val="single" w:color="000000" w:sz="12" w:space="0"/>
              <w:bottom w:val="single" w:color="000000" w:sz="12" w:space="0"/>
              <w:right w:val="single" w:color="000000" w:sz="4" w:space="0"/>
            </w:tcBorders>
            <w:vAlign w:val="center"/>
          </w:tcPr>
          <w:p w14:paraId="4CBF1919">
            <w:pPr>
              <w:pStyle w:val="42"/>
              <w:bidi w:val="0"/>
              <w:jc w:val="center"/>
            </w:pPr>
            <w:r>
              <w:t>2</w:t>
            </w:r>
          </w:p>
        </w:tc>
        <w:tc>
          <w:tcPr>
            <w:tcW w:w="568" w:type="pct"/>
            <w:tcBorders>
              <w:top w:val="single" w:color="000000" w:sz="4" w:space="0"/>
              <w:left w:val="single" w:color="000000" w:sz="4" w:space="0"/>
              <w:bottom w:val="single" w:color="000000" w:sz="12" w:space="0"/>
              <w:right w:val="single" w:color="000000" w:sz="4" w:space="0"/>
            </w:tcBorders>
            <w:vAlign w:val="center"/>
          </w:tcPr>
          <w:p w14:paraId="481E8038">
            <w:pPr>
              <w:pStyle w:val="42"/>
              <w:bidi w:val="0"/>
              <w:jc w:val="center"/>
            </w:pPr>
            <w:r>
              <w:t>主要设备</w:t>
            </w:r>
          </w:p>
        </w:tc>
        <w:tc>
          <w:tcPr>
            <w:tcW w:w="1134" w:type="pct"/>
            <w:tcBorders>
              <w:top w:val="single" w:color="000000" w:sz="4" w:space="0"/>
              <w:left w:val="single" w:color="000000" w:sz="4" w:space="0"/>
              <w:bottom w:val="single" w:color="000000" w:sz="12" w:space="0"/>
              <w:right w:val="single" w:color="000000" w:sz="4" w:space="0"/>
            </w:tcBorders>
            <w:vAlign w:val="center"/>
          </w:tcPr>
          <w:p w14:paraId="71E0DE08">
            <w:pPr>
              <w:pStyle w:val="42"/>
              <w:bidi w:val="0"/>
              <w:jc w:val="center"/>
            </w:pPr>
            <w:r>
              <w:t>1）清水泵</w:t>
            </w:r>
          </w:p>
          <w:p w14:paraId="6434A8E6">
            <w:pPr>
              <w:pStyle w:val="42"/>
              <w:bidi w:val="0"/>
              <w:jc w:val="center"/>
            </w:pPr>
            <w:r>
              <w:t>2）液位计</w:t>
            </w:r>
          </w:p>
        </w:tc>
        <w:tc>
          <w:tcPr>
            <w:tcW w:w="2838" w:type="pct"/>
            <w:tcBorders>
              <w:top w:val="single" w:color="000000" w:sz="4" w:space="0"/>
              <w:left w:val="single" w:color="000000" w:sz="4" w:space="0"/>
              <w:bottom w:val="single" w:color="000000" w:sz="12" w:space="0"/>
              <w:right w:val="single" w:color="000000" w:sz="12" w:space="0"/>
            </w:tcBorders>
            <w:vAlign w:val="center"/>
          </w:tcPr>
          <w:p w14:paraId="7870F8C6">
            <w:pPr>
              <w:pStyle w:val="42"/>
              <w:bidi w:val="0"/>
              <w:jc w:val="center"/>
            </w:pPr>
            <w:r>
              <w:t>数量：2台</w:t>
            </w:r>
          </w:p>
          <w:p w14:paraId="1F8F7355">
            <w:pPr>
              <w:pStyle w:val="42"/>
              <w:bidi w:val="0"/>
              <w:jc w:val="center"/>
            </w:pPr>
            <w:r>
              <w:t>数量：1套</w:t>
            </w:r>
          </w:p>
        </w:tc>
      </w:tr>
    </w:tbl>
    <w:p w14:paraId="4F9381F4">
      <w:pPr>
        <w:bidi w:val="0"/>
        <w:rPr>
          <w:rFonts w:hint="default"/>
          <w:lang w:val="en-US" w:eastAsia="zh-CN"/>
        </w:rPr>
      </w:pPr>
      <w:r>
        <w:rPr>
          <w:rFonts w:hint="eastAsia"/>
          <w:lang w:val="en-US" w:eastAsia="zh-CN"/>
        </w:rPr>
        <w:t>（12）</w:t>
      </w:r>
      <w:r>
        <w:rPr>
          <w:rFonts w:hint="default"/>
          <w:lang w:val="en-US" w:eastAsia="zh-CN"/>
        </w:rPr>
        <w:t>污泥池</w:t>
      </w:r>
    </w:p>
    <w:p w14:paraId="1E3378D5">
      <w:pPr>
        <w:bidi w:val="0"/>
        <w:rPr>
          <w:rFonts w:hint="default"/>
          <w:highlight w:val="none"/>
          <w:lang w:val="en-US" w:eastAsia="zh-CN"/>
        </w:rPr>
      </w:pPr>
      <w:r>
        <w:rPr>
          <w:rFonts w:hint="default"/>
          <w:lang w:val="en-US" w:eastAsia="zh-CN"/>
        </w:rPr>
        <w:t>污泥池主要存放生化污泥，</w:t>
      </w:r>
      <w:r>
        <w:rPr>
          <w:rFonts w:hint="default"/>
          <w:highlight w:val="none"/>
          <w:lang w:val="en-US" w:eastAsia="zh-CN"/>
        </w:rPr>
        <w:t>利用重力作用对污泥进行浓缩处理。</w:t>
      </w:r>
    </w:p>
    <w:p w14:paraId="65CA8B3A">
      <w:pPr>
        <w:bidi w:val="0"/>
        <w:rPr>
          <w:rFonts w:hint="default"/>
          <w:highlight w:val="none"/>
          <w:lang w:val="en-US" w:eastAsia="zh-CN"/>
        </w:rPr>
      </w:pPr>
      <w:r>
        <w:rPr>
          <w:rFonts w:hint="default"/>
          <w:highlight w:val="none"/>
          <w:lang w:val="en-US" w:eastAsia="zh-CN"/>
        </w:rPr>
        <w:t>主要存放生化污泥和污泥储池过来的污泥，利用重力作用进行初步污泥脱水。</w:t>
      </w:r>
      <w:r>
        <w:rPr>
          <w:rFonts w:hint="eastAsia"/>
          <w:highlight w:val="none"/>
          <w:lang w:val="en-US" w:eastAsia="zh-CN"/>
        </w:rPr>
        <w:t>另污泥脱水间内设置隔膜压榨板框机，</w:t>
      </w:r>
      <w:r>
        <w:rPr>
          <w:rFonts w:hint="default"/>
          <w:highlight w:val="none"/>
          <w:lang w:val="en-US" w:eastAsia="zh-CN"/>
        </w:rPr>
        <w:t>采用2台，每一台按照1250L。</w:t>
      </w:r>
    </w:p>
    <w:tbl>
      <w:tblPr>
        <w:tblStyle w:val="51"/>
        <w:tblW w:w="506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66"/>
        <w:gridCol w:w="957"/>
        <w:gridCol w:w="3069"/>
        <w:gridCol w:w="3647"/>
      </w:tblGrid>
      <w:tr w14:paraId="63520E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4" w:type="pct"/>
            <w:tcBorders>
              <w:top w:val="single" w:color="000000" w:sz="12" w:space="0"/>
              <w:left w:val="single" w:color="000000" w:sz="12" w:space="0"/>
              <w:bottom w:val="single" w:color="000000" w:sz="4" w:space="0"/>
              <w:right w:val="single" w:color="000000" w:sz="4" w:space="0"/>
            </w:tcBorders>
            <w:vAlign w:val="top"/>
          </w:tcPr>
          <w:p w14:paraId="7EA201F5">
            <w:pPr>
              <w:pStyle w:val="42"/>
              <w:bidi w:val="0"/>
            </w:pPr>
            <w:r>
              <w:t>序号</w:t>
            </w:r>
          </w:p>
        </w:tc>
        <w:tc>
          <w:tcPr>
            <w:tcW w:w="567" w:type="pct"/>
            <w:tcBorders>
              <w:top w:val="single" w:color="000000" w:sz="12" w:space="0"/>
              <w:left w:val="single" w:color="000000" w:sz="4" w:space="0"/>
              <w:bottom w:val="single" w:color="000000" w:sz="4" w:space="0"/>
              <w:right w:val="single" w:color="000000" w:sz="4" w:space="0"/>
            </w:tcBorders>
            <w:vAlign w:val="top"/>
          </w:tcPr>
          <w:p w14:paraId="6A2CB519">
            <w:pPr>
              <w:pStyle w:val="42"/>
              <w:bidi w:val="0"/>
            </w:pPr>
            <w:r>
              <w:t>名称</w:t>
            </w:r>
          </w:p>
        </w:tc>
        <w:tc>
          <w:tcPr>
            <w:tcW w:w="3978" w:type="pct"/>
            <w:gridSpan w:val="2"/>
            <w:tcBorders>
              <w:top w:val="single" w:color="000000" w:sz="12" w:space="0"/>
              <w:left w:val="single" w:color="000000" w:sz="4" w:space="0"/>
              <w:bottom w:val="single" w:color="000000" w:sz="4" w:space="0"/>
              <w:right w:val="single" w:color="000000" w:sz="12" w:space="0"/>
            </w:tcBorders>
            <w:vAlign w:val="top"/>
          </w:tcPr>
          <w:p w14:paraId="0960C7AE">
            <w:pPr>
              <w:pStyle w:val="42"/>
              <w:bidi w:val="0"/>
            </w:pPr>
            <w:r>
              <w:t>内容（1200</w:t>
            </w:r>
            <w:r>
              <w:rPr>
                <w:rFonts w:hint="eastAsia"/>
                <w:lang w:eastAsia="zh-CN"/>
              </w:rPr>
              <w:t>m</w:t>
            </w:r>
            <w:r>
              <w:rPr>
                <w:rFonts w:hint="eastAsia"/>
                <w:vertAlign w:val="superscript"/>
                <w:lang w:eastAsia="zh-CN"/>
              </w:rPr>
              <w:t>3</w:t>
            </w:r>
            <w:r>
              <w:t>/d）</w:t>
            </w:r>
          </w:p>
        </w:tc>
      </w:tr>
      <w:tr w14:paraId="4D836B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4" w:type="pct"/>
            <w:tcBorders>
              <w:top w:val="single" w:color="000000" w:sz="4" w:space="0"/>
              <w:left w:val="single" w:color="000000" w:sz="12" w:space="0"/>
              <w:bottom w:val="single" w:color="000000" w:sz="4" w:space="0"/>
              <w:right w:val="single" w:color="000000" w:sz="4" w:space="0"/>
            </w:tcBorders>
            <w:vAlign w:val="top"/>
          </w:tcPr>
          <w:p w14:paraId="3BDFB565">
            <w:pPr>
              <w:pStyle w:val="42"/>
              <w:bidi w:val="0"/>
            </w:pPr>
            <w:r>
              <w:t>1</w:t>
            </w:r>
          </w:p>
        </w:tc>
        <w:tc>
          <w:tcPr>
            <w:tcW w:w="567" w:type="pct"/>
            <w:tcBorders>
              <w:top w:val="single" w:color="000000" w:sz="4" w:space="0"/>
              <w:left w:val="single" w:color="000000" w:sz="4" w:space="0"/>
              <w:bottom w:val="single" w:color="000000" w:sz="4" w:space="0"/>
              <w:right w:val="single" w:color="000000" w:sz="4" w:space="0"/>
            </w:tcBorders>
            <w:vAlign w:val="top"/>
          </w:tcPr>
          <w:p w14:paraId="29B57440">
            <w:pPr>
              <w:pStyle w:val="42"/>
              <w:bidi w:val="0"/>
            </w:pPr>
            <w:r>
              <w:t>构筑物参数</w:t>
            </w:r>
          </w:p>
        </w:tc>
        <w:tc>
          <w:tcPr>
            <w:tcW w:w="3978" w:type="pct"/>
            <w:gridSpan w:val="2"/>
            <w:tcBorders>
              <w:top w:val="single" w:color="000000" w:sz="4" w:space="0"/>
              <w:left w:val="single" w:color="000000" w:sz="4" w:space="0"/>
              <w:bottom w:val="single" w:color="000000" w:sz="4" w:space="0"/>
              <w:right w:val="single" w:color="000000" w:sz="12" w:space="0"/>
            </w:tcBorders>
            <w:vAlign w:val="top"/>
          </w:tcPr>
          <w:p w14:paraId="20DAE9B8">
            <w:pPr>
              <w:pStyle w:val="42"/>
              <w:bidi w:val="0"/>
              <w:rPr>
                <w:rFonts w:hint="eastAsia" w:eastAsia="宋体"/>
                <w:lang w:eastAsia="zh-CN"/>
              </w:rPr>
            </w:pPr>
            <w:r>
              <w:t>污泥池有效容积：201</w:t>
            </w:r>
            <w:r>
              <w:rPr>
                <w:rFonts w:hint="eastAsia"/>
                <w:lang w:eastAsia="zh-CN"/>
              </w:rPr>
              <w:t>m</w:t>
            </w:r>
            <w:r>
              <w:rPr>
                <w:rFonts w:hint="eastAsia"/>
                <w:vertAlign w:val="superscript"/>
                <w:lang w:eastAsia="zh-CN"/>
              </w:rPr>
              <w:t>3</w:t>
            </w:r>
          </w:p>
          <w:p w14:paraId="1DFFB16A">
            <w:pPr>
              <w:pStyle w:val="42"/>
              <w:bidi w:val="0"/>
            </w:pPr>
            <w:r>
              <w:t>污泥池尺寸：5.95×8.45×4.3m</w:t>
            </w:r>
          </w:p>
          <w:p w14:paraId="748A5620">
            <w:pPr>
              <w:pStyle w:val="42"/>
              <w:bidi w:val="0"/>
            </w:pPr>
            <w:r>
              <w:t>污泥调理罐尺寸：3.0×3.0×3.0m</w:t>
            </w:r>
          </w:p>
          <w:p w14:paraId="1B3F6F9F">
            <w:pPr>
              <w:pStyle w:val="42"/>
              <w:bidi w:val="0"/>
            </w:pPr>
            <w:r>
              <w:t>结构型式：钢砼半地下式（地下4.3米）有效水深4.0米，停留时间4h</w:t>
            </w:r>
          </w:p>
        </w:tc>
      </w:tr>
      <w:tr w14:paraId="61A693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54" w:type="pct"/>
            <w:tcBorders>
              <w:top w:val="single" w:color="000000" w:sz="4" w:space="0"/>
              <w:left w:val="single" w:color="000000" w:sz="12" w:space="0"/>
              <w:bottom w:val="single" w:color="000000" w:sz="12" w:space="0"/>
              <w:right w:val="single" w:color="000000" w:sz="4" w:space="0"/>
            </w:tcBorders>
            <w:vAlign w:val="top"/>
          </w:tcPr>
          <w:p w14:paraId="61B39B99">
            <w:pPr>
              <w:pStyle w:val="42"/>
              <w:bidi w:val="0"/>
            </w:pPr>
            <w:r>
              <w:t>2</w:t>
            </w:r>
          </w:p>
        </w:tc>
        <w:tc>
          <w:tcPr>
            <w:tcW w:w="567" w:type="pct"/>
            <w:tcBorders>
              <w:top w:val="single" w:color="000000" w:sz="4" w:space="0"/>
              <w:left w:val="single" w:color="000000" w:sz="4" w:space="0"/>
              <w:bottom w:val="single" w:color="000000" w:sz="12" w:space="0"/>
              <w:right w:val="single" w:color="000000" w:sz="4" w:space="0"/>
            </w:tcBorders>
            <w:vAlign w:val="top"/>
          </w:tcPr>
          <w:p w14:paraId="09FA8A28">
            <w:pPr>
              <w:pStyle w:val="42"/>
              <w:bidi w:val="0"/>
            </w:pPr>
            <w:r>
              <w:t>主要配套设备</w:t>
            </w:r>
          </w:p>
        </w:tc>
        <w:tc>
          <w:tcPr>
            <w:tcW w:w="1818" w:type="pct"/>
            <w:tcBorders>
              <w:top w:val="single" w:color="000000" w:sz="4" w:space="0"/>
              <w:left w:val="single" w:color="000000" w:sz="4" w:space="0"/>
              <w:bottom w:val="single" w:color="000000" w:sz="12" w:space="0"/>
              <w:right w:val="single" w:color="000000" w:sz="4" w:space="0"/>
            </w:tcBorders>
            <w:vAlign w:val="top"/>
          </w:tcPr>
          <w:p w14:paraId="0A4E51FC">
            <w:pPr>
              <w:pStyle w:val="42"/>
              <w:bidi w:val="0"/>
            </w:pPr>
            <w:r>
              <w:t>1）污泥池泵</w:t>
            </w:r>
          </w:p>
          <w:p w14:paraId="797AE319">
            <w:pPr>
              <w:pStyle w:val="42"/>
              <w:bidi w:val="0"/>
            </w:pPr>
            <w:r>
              <w:t>2）污泥液位计</w:t>
            </w:r>
          </w:p>
        </w:tc>
        <w:tc>
          <w:tcPr>
            <w:tcW w:w="2159" w:type="pct"/>
            <w:tcBorders>
              <w:top w:val="single" w:color="000000" w:sz="4" w:space="0"/>
              <w:left w:val="single" w:color="000000" w:sz="4" w:space="0"/>
              <w:bottom w:val="single" w:color="000000" w:sz="12" w:space="0"/>
              <w:right w:val="single" w:color="000000" w:sz="12" w:space="0"/>
            </w:tcBorders>
            <w:vAlign w:val="top"/>
          </w:tcPr>
          <w:p w14:paraId="4455D48F">
            <w:pPr>
              <w:pStyle w:val="42"/>
              <w:bidi w:val="0"/>
            </w:pPr>
            <w:r>
              <w:t>数量：2台</w:t>
            </w:r>
          </w:p>
          <w:p w14:paraId="112FA36C">
            <w:pPr>
              <w:pStyle w:val="42"/>
              <w:bidi w:val="0"/>
            </w:pPr>
            <w:r>
              <w:t>数量：1套</w:t>
            </w:r>
          </w:p>
        </w:tc>
      </w:tr>
    </w:tbl>
    <w:p w14:paraId="66D3E7BA">
      <w:pPr>
        <w:pStyle w:val="6"/>
        <w:bidi w:val="0"/>
        <w:rPr>
          <w:rFonts w:hint="default"/>
        </w:rPr>
      </w:pPr>
      <w:r>
        <w:rPr>
          <w:rFonts w:hint="default"/>
        </w:rPr>
        <w:t>管网工程</w:t>
      </w:r>
    </w:p>
    <w:p w14:paraId="102F6AC0">
      <w:pPr>
        <w:bidi w:val="0"/>
        <w:rPr>
          <w:rFonts w:hint="default"/>
        </w:rPr>
      </w:pPr>
      <w:r>
        <w:rPr>
          <w:rFonts w:hint="eastAsia"/>
          <w:lang w:val="en-US" w:eastAsia="zh-CN"/>
        </w:rPr>
        <w:t>目前正在建设的湘阴佳海绿色食品产业园一期，配套规划有各标准厂房污水管网</w:t>
      </w:r>
      <w:r>
        <w:rPr>
          <w:rFonts w:hint="default"/>
        </w:rPr>
        <w:t>。</w:t>
      </w:r>
    </w:p>
    <w:p w14:paraId="19C13A1E">
      <w:pPr>
        <w:bidi w:val="0"/>
        <w:rPr>
          <w:rFonts w:hint="default"/>
        </w:rPr>
      </w:pPr>
      <w:r>
        <w:rPr>
          <w:rFonts w:hint="default"/>
        </w:rPr>
        <w:t>（1）污水进水管网</w:t>
      </w:r>
    </w:p>
    <w:p w14:paraId="11BAA42F">
      <w:pPr>
        <w:bidi w:val="0"/>
        <w:rPr>
          <w:rFonts w:hint="default"/>
          <w:highlight w:val="none"/>
        </w:rPr>
      </w:pPr>
      <w:r>
        <w:rPr>
          <w:rFonts w:hint="eastAsia" w:ascii="Times New Roman" w:hAnsi="Times New Roman" w:cs="Times New Roman"/>
          <w:sz w:val="24"/>
          <w:highlight w:val="none"/>
          <w:lang w:val="en-US" w:eastAsia="zh-CN"/>
        </w:rPr>
        <w:t>湘阴佳海绿色食品产业园一期</w:t>
      </w:r>
      <w:r>
        <w:rPr>
          <w:rFonts w:hint="eastAsia"/>
          <w:lang w:val="en-US" w:eastAsia="zh-CN"/>
        </w:rPr>
        <w:t>规划建设</w:t>
      </w:r>
      <w:r>
        <w:rPr>
          <w:rFonts w:hint="default"/>
        </w:rPr>
        <w:t>标准化厂房</w:t>
      </w:r>
      <w:r>
        <w:rPr>
          <w:rFonts w:hint="eastAsia"/>
          <w:lang w:val="en-US" w:eastAsia="zh-CN"/>
        </w:rPr>
        <w:t>26</w:t>
      </w:r>
      <w:r>
        <w:rPr>
          <w:rFonts w:hint="default"/>
        </w:rPr>
        <w:t>栋</w:t>
      </w:r>
      <w:r>
        <w:rPr>
          <w:rFonts w:hint="default"/>
          <w:highlight w:val="none"/>
        </w:rPr>
        <w:t>，各楼层已建设并预留有污水排放口、隐蔽式排水沟。本项目污水进水管网工程主要为</w:t>
      </w:r>
      <w:r>
        <w:rPr>
          <w:rFonts w:hint="eastAsia"/>
          <w:highlight w:val="none"/>
          <w:lang w:val="en-US" w:eastAsia="zh-CN"/>
        </w:rPr>
        <w:t>污水处理站</w:t>
      </w:r>
      <w:r>
        <w:rPr>
          <w:rFonts w:hint="default"/>
          <w:highlight w:val="none"/>
        </w:rPr>
        <w:t>污水管网的铺设与</w:t>
      </w:r>
      <w:r>
        <w:rPr>
          <w:rFonts w:hint="eastAsia"/>
          <w:highlight w:val="none"/>
          <w:lang w:val="en-US" w:eastAsia="zh-CN"/>
        </w:rPr>
        <w:t>各标准厂房污水管网</w:t>
      </w:r>
      <w:r>
        <w:rPr>
          <w:rFonts w:hint="default"/>
          <w:highlight w:val="none"/>
        </w:rPr>
        <w:t>对接。</w:t>
      </w:r>
    </w:p>
    <w:p w14:paraId="0E71FBA9">
      <w:pPr>
        <w:bidi w:val="0"/>
        <w:rPr>
          <w:rFonts w:hint="default"/>
          <w:highlight w:val="none"/>
        </w:rPr>
      </w:pPr>
      <w:r>
        <w:rPr>
          <w:rFonts w:hint="default"/>
          <w:highlight w:val="none"/>
        </w:rPr>
        <w:t>（2）尾水排放管网</w:t>
      </w:r>
    </w:p>
    <w:p w14:paraId="279F29F0">
      <w:pPr>
        <w:bidi w:val="0"/>
        <w:rPr>
          <w:rFonts w:hint="default"/>
          <w:highlight w:val="none"/>
        </w:rPr>
      </w:pPr>
      <w:r>
        <w:rPr>
          <w:rFonts w:hint="default"/>
          <w:highlight w:val="none"/>
        </w:rPr>
        <w:t>污水处理站尾水排放口位于</w:t>
      </w:r>
      <w:r>
        <w:rPr>
          <w:rFonts w:hint="eastAsia" w:ascii="Times New Roman" w:hAnsi="Times New Roman" w:cs="Times New Roman"/>
          <w:sz w:val="24"/>
          <w:highlight w:val="none"/>
          <w:lang w:val="en-US" w:eastAsia="zh-CN"/>
        </w:rPr>
        <w:t>湘阴佳海绿色食品产业园一期北侧洋沙湖</w:t>
      </w:r>
      <w:r>
        <w:rPr>
          <w:rFonts w:hint="eastAsia"/>
          <w:highlight w:val="none"/>
          <w:lang w:val="en-US" w:eastAsia="zh-CN"/>
        </w:rPr>
        <w:t>大道上</w:t>
      </w:r>
      <w:r>
        <w:rPr>
          <w:rFonts w:hint="default"/>
          <w:highlight w:val="none"/>
        </w:rPr>
        <w:t>，排水管网长度约0.4km。目前大道已建设完成，在道路两侧均预留有隐蔽式排水沟，本项目尾水排放管网工程主要为污水管网的铺设与对接，不涉及土方开挖及回填工程。</w:t>
      </w:r>
    </w:p>
    <w:p w14:paraId="079C20E2">
      <w:pPr>
        <w:pStyle w:val="5"/>
        <w:bidi w:val="0"/>
        <w:rPr>
          <w:rFonts w:hint="default"/>
        </w:rPr>
      </w:pPr>
      <w:bookmarkStart w:id="96" w:name="_Toc2545"/>
      <w:r>
        <w:rPr>
          <w:rFonts w:hint="eastAsia"/>
          <w:lang w:val="en-US" w:eastAsia="zh-CN"/>
        </w:rPr>
        <w:t>污水处理站</w:t>
      </w:r>
      <w:r>
        <w:rPr>
          <w:rFonts w:hint="default"/>
        </w:rPr>
        <w:t>主要工艺设备</w:t>
      </w:r>
      <w:bookmarkEnd w:id="96"/>
    </w:p>
    <w:p w14:paraId="6B9072B7">
      <w:pPr>
        <w:bidi w:val="0"/>
        <w:rPr>
          <w:rFonts w:hint="eastAsia"/>
          <w:lang w:eastAsia="zh-CN"/>
        </w:rPr>
      </w:pPr>
      <w:r>
        <w:rPr>
          <w:rFonts w:hint="default"/>
        </w:rPr>
        <w:t>项目主要工艺设备见下表所示</w:t>
      </w:r>
      <w:r>
        <w:rPr>
          <w:rFonts w:hint="eastAsia"/>
          <w:lang w:eastAsia="zh-CN"/>
        </w:rPr>
        <w:t>：</w:t>
      </w:r>
    </w:p>
    <w:p w14:paraId="3A49AAB2">
      <w:pPr>
        <w:pStyle w:val="39"/>
        <w:bidi w:val="0"/>
        <w:rPr>
          <w:rFonts w:hint="eastAsia"/>
          <w:lang w:eastAsia="zh-CN"/>
        </w:rPr>
      </w:pPr>
      <w:r>
        <w:rPr>
          <w:rFonts w:hint="eastAsia"/>
          <w:lang w:eastAsia="zh-CN"/>
        </w:rPr>
        <w:t>表3</w:t>
      </w:r>
      <w:r>
        <w:rPr>
          <w:rFonts w:hint="eastAsia"/>
          <w:lang w:val="en-US" w:eastAsia="zh-CN"/>
        </w:rPr>
        <w:t>3.4-1</w:t>
      </w:r>
      <w:r>
        <w:rPr>
          <w:rFonts w:hint="eastAsia"/>
          <w:lang w:eastAsia="zh-CN"/>
        </w:rPr>
        <w:t xml:space="preserve"> 污水处理设施主要设备表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40"/>
        <w:gridCol w:w="1587"/>
        <w:gridCol w:w="4083"/>
        <w:gridCol w:w="774"/>
        <w:gridCol w:w="1235"/>
      </w:tblGrid>
      <w:tr w14:paraId="6105BB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C5BA4C2">
            <w:pPr>
              <w:pStyle w:val="42"/>
              <w:keepNext w:val="0"/>
              <w:keepLines w:val="0"/>
              <w:suppressLineNumbers w:val="0"/>
              <w:bidi w:val="0"/>
              <w:spacing w:before="0" w:beforeAutospacing="0" w:after="0" w:afterAutospacing="0"/>
              <w:rPr>
                <w:rFonts w:hint="eastAsia"/>
              </w:rPr>
            </w:pPr>
            <w:r>
              <w:rPr>
                <w:rFonts w:hint="eastAsia"/>
                <w:lang w:val="en-US" w:eastAsia="zh-CN"/>
              </w:rPr>
              <w:t>序号</w:t>
            </w:r>
          </w:p>
        </w:tc>
        <w:tc>
          <w:tcPr>
            <w:tcW w:w="931" w:type="pct"/>
            <w:tcBorders>
              <w:tl2br w:val="nil"/>
              <w:tr2bl w:val="nil"/>
            </w:tcBorders>
            <w:shd w:val="clear" w:color="auto" w:fill="auto"/>
            <w:vAlign w:val="center"/>
          </w:tcPr>
          <w:p w14:paraId="547124B3">
            <w:pPr>
              <w:pStyle w:val="42"/>
              <w:keepNext w:val="0"/>
              <w:keepLines w:val="0"/>
              <w:suppressLineNumbers w:val="0"/>
              <w:bidi w:val="0"/>
              <w:spacing w:before="0" w:beforeAutospacing="0" w:after="0" w:afterAutospacing="0"/>
              <w:rPr>
                <w:rFonts w:hint="eastAsia"/>
              </w:rPr>
            </w:pPr>
            <w:r>
              <w:rPr>
                <w:rFonts w:hint="eastAsia"/>
                <w:lang w:val="en-US" w:eastAsia="zh-CN"/>
              </w:rPr>
              <w:t>项目名称</w:t>
            </w:r>
          </w:p>
        </w:tc>
        <w:tc>
          <w:tcPr>
            <w:tcW w:w="2395" w:type="pct"/>
            <w:tcBorders>
              <w:tl2br w:val="nil"/>
              <w:tr2bl w:val="nil"/>
            </w:tcBorders>
            <w:shd w:val="clear" w:color="auto" w:fill="auto"/>
            <w:vAlign w:val="center"/>
          </w:tcPr>
          <w:p w14:paraId="3A3BC8FD">
            <w:pPr>
              <w:pStyle w:val="42"/>
              <w:keepNext w:val="0"/>
              <w:keepLines w:val="0"/>
              <w:suppressLineNumbers w:val="0"/>
              <w:bidi w:val="0"/>
              <w:spacing w:before="0" w:beforeAutospacing="0" w:after="0" w:afterAutospacing="0"/>
              <w:rPr>
                <w:rFonts w:hint="eastAsia"/>
              </w:rPr>
            </w:pPr>
            <w:r>
              <w:rPr>
                <w:rFonts w:hint="eastAsia"/>
                <w:lang w:val="en-US" w:eastAsia="zh-CN"/>
              </w:rPr>
              <w:t>规格型号</w:t>
            </w:r>
          </w:p>
        </w:tc>
        <w:tc>
          <w:tcPr>
            <w:tcW w:w="454" w:type="pct"/>
            <w:tcBorders>
              <w:tl2br w:val="nil"/>
              <w:tr2bl w:val="nil"/>
            </w:tcBorders>
            <w:shd w:val="clear" w:color="auto" w:fill="auto"/>
            <w:vAlign w:val="center"/>
          </w:tcPr>
          <w:p w14:paraId="0A0CB9F6">
            <w:pPr>
              <w:pStyle w:val="42"/>
              <w:keepNext w:val="0"/>
              <w:keepLines w:val="0"/>
              <w:suppressLineNumbers w:val="0"/>
              <w:bidi w:val="0"/>
              <w:spacing w:before="0" w:beforeAutospacing="0" w:after="0" w:afterAutospacing="0"/>
              <w:rPr>
                <w:rFonts w:hint="eastAsia"/>
              </w:rPr>
            </w:pPr>
            <w:r>
              <w:rPr>
                <w:rFonts w:hint="eastAsia"/>
                <w:lang w:val="en-US" w:eastAsia="zh-CN"/>
              </w:rPr>
              <w:t>数量</w:t>
            </w:r>
          </w:p>
        </w:tc>
        <w:tc>
          <w:tcPr>
            <w:tcW w:w="724" w:type="pct"/>
            <w:tcBorders>
              <w:tl2br w:val="nil"/>
              <w:tr2bl w:val="nil"/>
            </w:tcBorders>
            <w:shd w:val="clear" w:color="auto" w:fill="auto"/>
            <w:vAlign w:val="center"/>
          </w:tcPr>
          <w:p w14:paraId="1AF7CE8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备注</w:t>
            </w:r>
          </w:p>
        </w:tc>
      </w:tr>
      <w:tr w14:paraId="7BA2AD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88440F1">
            <w:pPr>
              <w:pStyle w:val="42"/>
              <w:keepNext w:val="0"/>
              <w:keepLines w:val="0"/>
              <w:suppressLineNumbers w:val="0"/>
              <w:bidi w:val="0"/>
              <w:spacing w:before="0" w:beforeAutospacing="0" w:after="0" w:afterAutospacing="0"/>
              <w:rPr>
                <w:rFonts w:hint="eastAsia"/>
              </w:rPr>
            </w:pPr>
            <w:r>
              <w:rPr>
                <w:rFonts w:hint="eastAsia"/>
                <w:lang w:val="en-US" w:eastAsia="zh-CN"/>
              </w:rPr>
              <w:t>2.1</w:t>
            </w:r>
          </w:p>
        </w:tc>
        <w:tc>
          <w:tcPr>
            <w:tcW w:w="931" w:type="pct"/>
            <w:tcBorders>
              <w:tl2br w:val="nil"/>
              <w:tr2bl w:val="nil"/>
            </w:tcBorders>
            <w:shd w:val="clear" w:color="auto" w:fill="auto"/>
            <w:vAlign w:val="center"/>
          </w:tcPr>
          <w:p w14:paraId="31070A61">
            <w:pPr>
              <w:pStyle w:val="42"/>
              <w:keepNext w:val="0"/>
              <w:keepLines w:val="0"/>
              <w:suppressLineNumbers w:val="0"/>
              <w:bidi w:val="0"/>
              <w:spacing w:before="0" w:beforeAutospacing="0" w:after="0" w:afterAutospacing="0"/>
              <w:rPr>
                <w:rFonts w:hint="eastAsia"/>
              </w:rPr>
            </w:pPr>
            <w:r>
              <w:rPr>
                <w:rFonts w:hint="eastAsia"/>
                <w:lang w:val="en-US" w:eastAsia="zh-CN"/>
              </w:rPr>
              <w:t>旋流集水池</w:t>
            </w:r>
          </w:p>
        </w:tc>
        <w:tc>
          <w:tcPr>
            <w:tcW w:w="2395" w:type="pct"/>
            <w:tcBorders>
              <w:tl2br w:val="nil"/>
              <w:tr2bl w:val="nil"/>
            </w:tcBorders>
            <w:shd w:val="clear" w:color="auto" w:fill="auto"/>
            <w:vAlign w:val="center"/>
          </w:tcPr>
          <w:p w14:paraId="15C383E2">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0D2719A9">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2723DB49">
            <w:pPr>
              <w:pStyle w:val="42"/>
              <w:keepNext w:val="0"/>
              <w:keepLines w:val="0"/>
              <w:suppressLineNumbers w:val="0"/>
              <w:bidi w:val="0"/>
              <w:spacing w:before="0" w:beforeAutospacing="0" w:after="0" w:afterAutospacing="0"/>
              <w:rPr>
                <w:rFonts w:hint="eastAsia"/>
              </w:rPr>
            </w:pPr>
          </w:p>
        </w:tc>
      </w:tr>
      <w:tr w14:paraId="795418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2CE83B29">
            <w:pPr>
              <w:pStyle w:val="42"/>
              <w:keepNext w:val="0"/>
              <w:keepLines w:val="0"/>
              <w:suppressLineNumbers w:val="0"/>
              <w:bidi w:val="0"/>
              <w:spacing w:before="0" w:beforeAutospacing="0" w:after="0" w:afterAutospacing="0"/>
              <w:rPr>
                <w:rFonts w:hint="eastAsia"/>
              </w:rPr>
            </w:pPr>
            <w:r>
              <w:rPr>
                <w:rFonts w:hint="eastAsia"/>
                <w:lang w:val="en-US" w:eastAsia="zh-CN"/>
              </w:rPr>
              <w:t>2.1.1</w:t>
            </w:r>
          </w:p>
        </w:tc>
        <w:tc>
          <w:tcPr>
            <w:tcW w:w="931" w:type="pct"/>
            <w:tcBorders>
              <w:tl2br w:val="nil"/>
              <w:tr2bl w:val="nil"/>
            </w:tcBorders>
            <w:shd w:val="clear" w:color="auto" w:fill="auto"/>
            <w:vAlign w:val="center"/>
          </w:tcPr>
          <w:p w14:paraId="7DC8F62D">
            <w:pPr>
              <w:pStyle w:val="42"/>
              <w:keepNext w:val="0"/>
              <w:keepLines w:val="0"/>
              <w:suppressLineNumbers w:val="0"/>
              <w:bidi w:val="0"/>
              <w:spacing w:before="0" w:beforeAutospacing="0" w:after="0" w:afterAutospacing="0"/>
              <w:rPr>
                <w:rFonts w:hint="eastAsia"/>
              </w:rPr>
            </w:pPr>
            <w:r>
              <w:rPr>
                <w:rFonts w:hint="eastAsia"/>
                <w:lang w:val="en-US" w:eastAsia="zh-CN"/>
              </w:rPr>
              <w:t>综合集水池泵</w:t>
            </w:r>
          </w:p>
        </w:tc>
        <w:tc>
          <w:tcPr>
            <w:tcW w:w="2395" w:type="pct"/>
            <w:tcBorders>
              <w:tl2br w:val="nil"/>
              <w:tr2bl w:val="nil"/>
            </w:tcBorders>
            <w:shd w:val="clear" w:color="auto" w:fill="auto"/>
            <w:vAlign w:val="center"/>
          </w:tcPr>
          <w:p w14:paraId="049C0E32">
            <w:pPr>
              <w:pStyle w:val="42"/>
              <w:keepNext w:val="0"/>
              <w:keepLines w:val="0"/>
              <w:suppressLineNumbers w:val="0"/>
              <w:bidi w:val="0"/>
              <w:spacing w:before="0" w:beforeAutospacing="0" w:after="0" w:afterAutospacing="0"/>
              <w:rPr>
                <w:rFonts w:hint="eastAsia"/>
              </w:rPr>
            </w:pPr>
            <w:r>
              <w:rPr>
                <w:rFonts w:hint="eastAsia"/>
                <w:lang w:val="en-US" w:eastAsia="zh-CN"/>
              </w:rPr>
              <w:t>潜污泵，WQ60-13-4，带切割，带耦合，带拉杆</w:t>
            </w:r>
          </w:p>
        </w:tc>
        <w:tc>
          <w:tcPr>
            <w:tcW w:w="454" w:type="pct"/>
            <w:tcBorders>
              <w:tl2br w:val="nil"/>
              <w:tr2bl w:val="nil"/>
            </w:tcBorders>
            <w:shd w:val="clear" w:color="auto" w:fill="auto"/>
            <w:vAlign w:val="center"/>
          </w:tcPr>
          <w:p w14:paraId="05C48507">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00318B9C">
            <w:pPr>
              <w:pStyle w:val="42"/>
              <w:keepNext w:val="0"/>
              <w:keepLines w:val="0"/>
              <w:suppressLineNumbers w:val="0"/>
              <w:bidi w:val="0"/>
              <w:spacing w:before="0" w:beforeAutospacing="0" w:after="0" w:afterAutospacing="0"/>
              <w:rPr>
                <w:rFonts w:hint="eastAsia"/>
                <w:lang w:val="en-US" w:eastAsia="zh-CN"/>
              </w:rPr>
            </w:pPr>
          </w:p>
        </w:tc>
      </w:tr>
      <w:tr w14:paraId="6A7893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4A73626">
            <w:pPr>
              <w:pStyle w:val="42"/>
              <w:keepNext w:val="0"/>
              <w:keepLines w:val="0"/>
              <w:suppressLineNumbers w:val="0"/>
              <w:bidi w:val="0"/>
              <w:spacing w:before="0" w:beforeAutospacing="0" w:after="0" w:afterAutospacing="0"/>
              <w:rPr>
                <w:rFonts w:hint="eastAsia"/>
              </w:rPr>
            </w:pPr>
            <w:r>
              <w:rPr>
                <w:rFonts w:hint="eastAsia"/>
                <w:lang w:val="en-US" w:eastAsia="zh-CN"/>
              </w:rPr>
              <w:t>2.1.2</w:t>
            </w:r>
          </w:p>
        </w:tc>
        <w:tc>
          <w:tcPr>
            <w:tcW w:w="931" w:type="pct"/>
            <w:tcBorders>
              <w:tl2br w:val="nil"/>
              <w:tr2bl w:val="nil"/>
            </w:tcBorders>
            <w:shd w:val="clear" w:color="auto" w:fill="auto"/>
            <w:vAlign w:val="center"/>
          </w:tcPr>
          <w:p w14:paraId="37834A71">
            <w:pPr>
              <w:pStyle w:val="42"/>
              <w:keepNext w:val="0"/>
              <w:keepLines w:val="0"/>
              <w:suppressLineNumbers w:val="0"/>
              <w:bidi w:val="0"/>
              <w:spacing w:before="0" w:beforeAutospacing="0" w:after="0" w:afterAutospacing="0"/>
              <w:rPr>
                <w:rFonts w:hint="eastAsia"/>
              </w:rPr>
            </w:pPr>
            <w:r>
              <w:rPr>
                <w:rFonts w:hint="eastAsia"/>
                <w:lang w:val="en-US" w:eastAsia="zh-CN"/>
              </w:rPr>
              <w:t>综合集水液位计</w:t>
            </w:r>
          </w:p>
        </w:tc>
        <w:tc>
          <w:tcPr>
            <w:tcW w:w="2395" w:type="pct"/>
            <w:tcBorders>
              <w:tl2br w:val="nil"/>
              <w:tr2bl w:val="nil"/>
            </w:tcBorders>
            <w:shd w:val="clear" w:color="auto" w:fill="auto"/>
            <w:vAlign w:val="center"/>
          </w:tcPr>
          <w:p w14:paraId="6956587C">
            <w:pPr>
              <w:pStyle w:val="42"/>
              <w:keepNext w:val="0"/>
              <w:keepLines w:val="0"/>
              <w:suppressLineNumbers w:val="0"/>
              <w:bidi w:val="0"/>
              <w:spacing w:before="0" w:beforeAutospacing="0" w:after="0" w:afterAutospacing="0"/>
              <w:rPr>
                <w:rFonts w:hint="eastAsia"/>
              </w:rPr>
            </w:pPr>
            <w:r>
              <w:rPr>
                <w:rFonts w:hint="eastAsia"/>
                <w:lang w:val="en-US" w:eastAsia="zh-CN"/>
              </w:rPr>
              <w:t>0-6m</w:t>
            </w:r>
          </w:p>
        </w:tc>
        <w:tc>
          <w:tcPr>
            <w:tcW w:w="454" w:type="pct"/>
            <w:tcBorders>
              <w:tl2br w:val="nil"/>
              <w:tr2bl w:val="nil"/>
            </w:tcBorders>
            <w:shd w:val="clear" w:color="auto" w:fill="auto"/>
            <w:vAlign w:val="center"/>
          </w:tcPr>
          <w:p w14:paraId="429507A8">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464A7B96">
            <w:pPr>
              <w:pStyle w:val="42"/>
              <w:keepNext w:val="0"/>
              <w:keepLines w:val="0"/>
              <w:suppressLineNumbers w:val="0"/>
              <w:bidi w:val="0"/>
              <w:spacing w:before="0" w:beforeAutospacing="0" w:after="0" w:afterAutospacing="0"/>
              <w:rPr>
                <w:rFonts w:hint="eastAsia"/>
                <w:lang w:val="en-US" w:eastAsia="zh-CN"/>
              </w:rPr>
            </w:pPr>
          </w:p>
        </w:tc>
      </w:tr>
      <w:tr w14:paraId="11712F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96AC79A">
            <w:pPr>
              <w:pStyle w:val="42"/>
              <w:keepNext w:val="0"/>
              <w:keepLines w:val="0"/>
              <w:suppressLineNumbers w:val="0"/>
              <w:bidi w:val="0"/>
              <w:spacing w:before="0" w:beforeAutospacing="0" w:after="0" w:afterAutospacing="0"/>
              <w:rPr>
                <w:rFonts w:hint="eastAsia"/>
              </w:rPr>
            </w:pPr>
            <w:r>
              <w:rPr>
                <w:rFonts w:hint="eastAsia"/>
                <w:lang w:val="en-US" w:eastAsia="zh-CN"/>
              </w:rPr>
              <w:t>2.1.3</w:t>
            </w:r>
          </w:p>
        </w:tc>
        <w:tc>
          <w:tcPr>
            <w:tcW w:w="931" w:type="pct"/>
            <w:tcBorders>
              <w:tl2br w:val="nil"/>
              <w:tr2bl w:val="nil"/>
            </w:tcBorders>
            <w:shd w:val="clear" w:color="auto" w:fill="auto"/>
            <w:vAlign w:val="center"/>
          </w:tcPr>
          <w:p w14:paraId="25D6246C">
            <w:pPr>
              <w:pStyle w:val="42"/>
              <w:keepNext w:val="0"/>
              <w:keepLines w:val="0"/>
              <w:suppressLineNumbers w:val="0"/>
              <w:bidi w:val="0"/>
              <w:spacing w:before="0" w:beforeAutospacing="0" w:after="0" w:afterAutospacing="0"/>
              <w:rPr>
                <w:rFonts w:hint="eastAsia"/>
              </w:rPr>
            </w:pPr>
            <w:r>
              <w:rPr>
                <w:rFonts w:hint="eastAsia"/>
                <w:lang w:val="en-US" w:eastAsia="zh-CN"/>
              </w:rPr>
              <w:t>微滤机</w:t>
            </w:r>
          </w:p>
        </w:tc>
        <w:tc>
          <w:tcPr>
            <w:tcW w:w="2395" w:type="pct"/>
            <w:tcBorders>
              <w:tl2br w:val="nil"/>
              <w:tr2bl w:val="nil"/>
            </w:tcBorders>
            <w:shd w:val="clear" w:color="auto" w:fill="auto"/>
            <w:vAlign w:val="center"/>
          </w:tcPr>
          <w:p w14:paraId="3E968E08">
            <w:pPr>
              <w:pStyle w:val="42"/>
              <w:keepNext w:val="0"/>
              <w:keepLines w:val="0"/>
              <w:suppressLineNumbers w:val="0"/>
              <w:bidi w:val="0"/>
              <w:spacing w:before="0" w:beforeAutospacing="0" w:after="0" w:afterAutospacing="0"/>
              <w:rPr>
                <w:rFonts w:hint="eastAsia"/>
              </w:rPr>
            </w:pPr>
            <w:r>
              <w:rPr>
                <w:rFonts w:hint="eastAsia"/>
                <w:lang w:val="en-US" w:eastAsia="zh-CN"/>
              </w:rPr>
              <w:t>不锈钢材质，栅距1.5mm</w:t>
            </w:r>
          </w:p>
        </w:tc>
        <w:tc>
          <w:tcPr>
            <w:tcW w:w="454" w:type="pct"/>
            <w:tcBorders>
              <w:tl2br w:val="nil"/>
              <w:tr2bl w:val="nil"/>
            </w:tcBorders>
            <w:shd w:val="clear" w:color="auto" w:fill="auto"/>
            <w:vAlign w:val="center"/>
          </w:tcPr>
          <w:p w14:paraId="27790289">
            <w:pPr>
              <w:pStyle w:val="42"/>
              <w:keepNext w:val="0"/>
              <w:keepLines w:val="0"/>
              <w:suppressLineNumbers w:val="0"/>
              <w:bidi w:val="0"/>
              <w:spacing w:before="0" w:beforeAutospacing="0" w:after="0" w:afterAutospacing="0"/>
              <w:rPr>
                <w:rFonts w:hint="eastAsia"/>
              </w:rPr>
            </w:pPr>
            <w:r>
              <w:rPr>
                <w:rFonts w:hint="eastAsia"/>
                <w:lang w:val="en-US" w:eastAsia="zh-CN"/>
              </w:rPr>
              <w:t>1台</w:t>
            </w:r>
          </w:p>
        </w:tc>
        <w:tc>
          <w:tcPr>
            <w:tcW w:w="724" w:type="pct"/>
            <w:tcBorders>
              <w:tl2br w:val="nil"/>
              <w:tr2bl w:val="nil"/>
            </w:tcBorders>
            <w:shd w:val="clear" w:color="auto" w:fill="auto"/>
            <w:vAlign w:val="center"/>
          </w:tcPr>
          <w:p w14:paraId="21224EAC">
            <w:pPr>
              <w:pStyle w:val="42"/>
              <w:keepNext w:val="0"/>
              <w:keepLines w:val="0"/>
              <w:suppressLineNumbers w:val="0"/>
              <w:bidi w:val="0"/>
              <w:spacing w:before="0" w:beforeAutospacing="0" w:after="0" w:afterAutospacing="0"/>
              <w:rPr>
                <w:rFonts w:hint="eastAsia"/>
                <w:lang w:val="en-US" w:eastAsia="zh-CN"/>
              </w:rPr>
            </w:pPr>
          </w:p>
        </w:tc>
      </w:tr>
      <w:tr w14:paraId="7EB4DA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6B6A6E0">
            <w:pPr>
              <w:pStyle w:val="42"/>
              <w:keepNext w:val="0"/>
              <w:keepLines w:val="0"/>
              <w:suppressLineNumbers w:val="0"/>
              <w:bidi w:val="0"/>
              <w:spacing w:before="0" w:beforeAutospacing="0" w:after="0" w:afterAutospacing="0"/>
              <w:rPr>
                <w:rFonts w:hint="eastAsia"/>
              </w:rPr>
            </w:pPr>
            <w:r>
              <w:rPr>
                <w:rFonts w:hint="eastAsia"/>
                <w:lang w:val="en-US" w:eastAsia="zh-CN"/>
              </w:rPr>
              <w:t>2.1.4</w:t>
            </w:r>
          </w:p>
        </w:tc>
        <w:tc>
          <w:tcPr>
            <w:tcW w:w="931" w:type="pct"/>
            <w:tcBorders>
              <w:tl2br w:val="nil"/>
              <w:tr2bl w:val="nil"/>
            </w:tcBorders>
            <w:shd w:val="clear" w:color="auto" w:fill="auto"/>
            <w:vAlign w:val="center"/>
          </w:tcPr>
          <w:p w14:paraId="3AF2D00C">
            <w:pPr>
              <w:pStyle w:val="42"/>
              <w:keepNext w:val="0"/>
              <w:keepLines w:val="0"/>
              <w:suppressLineNumbers w:val="0"/>
              <w:bidi w:val="0"/>
              <w:spacing w:before="0" w:beforeAutospacing="0" w:after="0" w:afterAutospacing="0"/>
              <w:rPr>
                <w:rFonts w:hint="eastAsia"/>
              </w:rPr>
            </w:pPr>
            <w:r>
              <w:rPr>
                <w:rFonts w:hint="eastAsia"/>
                <w:lang w:val="en-US" w:eastAsia="zh-CN"/>
              </w:rPr>
              <w:t>在线盐度计</w:t>
            </w:r>
          </w:p>
        </w:tc>
        <w:tc>
          <w:tcPr>
            <w:tcW w:w="2395" w:type="pct"/>
            <w:tcBorders>
              <w:tl2br w:val="nil"/>
              <w:tr2bl w:val="nil"/>
            </w:tcBorders>
            <w:shd w:val="clear" w:color="auto" w:fill="auto"/>
            <w:vAlign w:val="center"/>
          </w:tcPr>
          <w:p w14:paraId="2A728563">
            <w:pPr>
              <w:pStyle w:val="42"/>
              <w:keepNext w:val="0"/>
              <w:keepLines w:val="0"/>
              <w:suppressLineNumbers w:val="0"/>
              <w:bidi w:val="0"/>
              <w:spacing w:before="0" w:beforeAutospacing="0" w:after="0" w:afterAutospacing="0"/>
              <w:rPr>
                <w:rFonts w:hint="eastAsia"/>
              </w:rPr>
            </w:pPr>
            <w:r>
              <w:rPr>
                <w:rFonts w:hint="eastAsia"/>
                <w:lang w:val="en-US" w:eastAsia="zh-CN"/>
              </w:rPr>
              <w:t>0~5%</w:t>
            </w:r>
          </w:p>
        </w:tc>
        <w:tc>
          <w:tcPr>
            <w:tcW w:w="454" w:type="pct"/>
            <w:tcBorders>
              <w:tl2br w:val="nil"/>
              <w:tr2bl w:val="nil"/>
            </w:tcBorders>
            <w:shd w:val="clear" w:color="auto" w:fill="auto"/>
            <w:vAlign w:val="center"/>
          </w:tcPr>
          <w:p w14:paraId="6ABE26A5">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7A285359">
            <w:pPr>
              <w:pStyle w:val="42"/>
              <w:keepNext w:val="0"/>
              <w:keepLines w:val="0"/>
              <w:suppressLineNumbers w:val="0"/>
              <w:bidi w:val="0"/>
              <w:spacing w:before="0" w:beforeAutospacing="0" w:after="0" w:afterAutospacing="0"/>
              <w:rPr>
                <w:rFonts w:hint="eastAsia"/>
                <w:lang w:val="en-US" w:eastAsia="zh-CN"/>
              </w:rPr>
            </w:pPr>
          </w:p>
        </w:tc>
      </w:tr>
      <w:tr w14:paraId="2C6CD1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CAFD0AF">
            <w:pPr>
              <w:pStyle w:val="42"/>
              <w:keepNext w:val="0"/>
              <w:keepLines w:val="0"/>
              <w:suppressLineNumbers w:val="0"/>
              <w:bidi w:val="0"/>
              <w:spacing w:before="0" w:beforeAutospacing="0" w:after="0" w:afterAutospacing="0"/>
              <w:rPr>
                <w:rFonts w:hint="eastAsia"/>
              </w:rPr>
            </w:pPr>
            <w:r>
              <w:rPr>
                <w:rFonts w:hint="eastAsia"/>
                <w:lang w:val="en-US" w:eastAsia="zh-CN"/>
              </w:rPr>
              <w:t>2.2</w:t>
            </w:r>
          </w:p>
        </w:tc>
        <w:tc>
          <w:tcPr>
            <w:tcW w:w="931" w:type="pct"/>
            <w:tcBorders>
              <w:tl2br w:val="nil"/>
              <w:tr2bl w:val="nil"/>
            </w:tcBorders>
            <w:shd w:val="clear" w:color="auto" w:fill="auto"/>
            <w:vAlign w:val="center"/>
          </w:tcPr>
          <w:p w14:paraId="5421B203">
            <w:pPr>
              <w:pStyle w:val="42"/>
              <w:keepNext w:val="0"/>
              <w:keepLines w:val="0"/>
              <w:suppressLineNumbers w:val="0"/>
              <w:bidi w:val="0"/>
              <w:spacing w:before="0" w:beforeAutospacing="0" w:after="0" w:afterAutospacing="0"/>
              <w:rPr>
                <w:rFonts w:hint="eastAsia"/>
              </w:rPr>
            </w:pPr>
            <w:r>
              <w:rPr>
                <w:rFonts w:hint="eastAsia"/>
                <w:lang w:val="en-US" w:eastAsia="zh-CN"/>
              </w:rPr>
              <w:t>隔油初沉池</w:t>
            </w:r>
          </w:p>
        </w:tc>
        <w:tc>
          <w:tcPr>
            <w:tcW w:w="2395" w:type="pct"/>
            <w:tcBorders>
              <w:tl2br w:val="nil"/>
              <w:tr2bl w:val="nil"/>
            </w:tcBorders>
            <w:shd w:val="clear" w:color="auto" w:fill="auto"/>
            <w:vAlign w:val="center"/>
          </w:tcPr>
          <w:p w14:paraId="567DF979">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584789C3">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2A0C1DAC">
            <w:pPr>
              <w:pStyle w:val="42"/>
              <w:keepNext w:val="0"/>
              <w:keepLines w:val="0"/>
              <w:suppressLineNumbers w:val="0"/>
              <w:bidi w:val="0"/>
              <w:spacing w:before="0" w:beforeAutospacing="0" w:after="0" w:afterAutospacing="0"/>
              <w:rPr>
                <w:rFonts w:hint="eastAsia"/>
              </w:rPr>
            </w:pPr>
          </w:p>
        </w:tc>
      </w:tr>
      <w:tr w14:paraId="797F2B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27F77C5F">
            <w:pPr>
              <w:pStyle w:val="42"/>
              <w:keepNext w:val="0"/>
              <w:keepLines w:val="0"/>
              <w:suppressLineNumbers w:val="0"/>
              <w:bidi w:val="0"/>
              <w:spacing w:before="0" w:beforeAutospacing="0" w:after="0" w:afterAutospacing="0"/>
              <w:rPr>
                <w:rFonts w:hint="eastAsia"/>
              </w:rPr>
            </w:pPr>
            <w:r>
              <w:rPr>
                <w:rFonts w:hint="eastAsia"/>
                <w:lang w:val="en-US" w:eastAsia="zh-CN"/>
              </w:rPr>
              <w:t>2.2.1</w:t>
            </w:r>
          </w:p>
        </w:tc>
        <w:tc>
          <w:tcPr>
            <w:tcW w:w="931" w:type="pct"/>
            <w:tcBorders>
              <w:tl2br w:val="nil"/>
              <w:tr2bl w:val="nil"/>
            </w:tcBorders>
            <w:shd w:val="clear" w:color="auto" w:fill="auto"/>
            <w:vAlign w:val="center"/>
          </w:tcPr>
          <w:p w14:paraId="30C6DB54">
            <w:pPr>
              <w:pStyle w:val="42"/>
              <w:keepNext w:val="0"/>
              <w:keepLines w:val="0"/>
              <w:suppressLineNumbers w:val="0"/>
              <w:bidi w:val="0"/>
              <w:spacing w:before="0" w:beforeAutospacing="0" w:after="0" w:afterAutospacing="0"/>
              <w:rPr>
                <w:rFonts w:hint="eastAsia"/>
              </w:rPr>
            </w:pPr>
            <w:r>
              <w:rPr>
                <w:rFonts w:hint="eastAsia"/>
                <w:lang w:val="en-US" w:eastAsia="zh-CN"/>
              </w:rPr>
              <w:t>预沉泵</w:t>
            </w:r>
          </w:p>
        </w:tc>
        <w:tc>
          <w:tcPr>
            <w:tcW w:w="2395" w:type="pct"/>
            <w:tcBorders>
              <w:tl2br w:val="nil"/>
              <w:tr2bl w:val="nil"/>
            </w:tcBorders>
            <w:shd w:val="clear" w:color="auto" w:fill="auto"/>
            <w:vAlign w:val="center"/>
          </w:tcPr>
          <w:p w14:paraId="343E6C0D">
            <w:pPr>
              <w:pStyle w:val="42"/>
              <w:keepNext w:val="0"/>
              <w:keepLines w:val="0"/>
              <w:suppressLineNumbers w:val="0"/>
              <w:bidi w:val="0"/>
              <w:spacing w:before="0" w:beforeAutospacing="0" w:after="0" w:afterAutospacing="0"/>
              <w:rPr>
                <w:rFonts w:hint="eastAsia"/>
              </w:rPr>
            </w:pPr>
            <w:r>
              <w:rPr>
                <w:rFonts w:hint="eastAsia"/>
                <w:lang w:val="en-US" w:eastAsia="zh-CN"/>
              </w:rPr>
              <w:t>潜污泵，WQ15-9-1.5，带切割，带拉杆</w:t>
            </w:r>
          </w:p>
        </w:tc>
        <w:tc>
          <w:tcPr>
            <w:tcW w:w="454" w:type="pct"/>
            <w:tcBorders>
              <w:tl2br w:val="nil"/>
              <w:tr2bl w:val="nil"/>
            </w:tcBorders>
            <w:shd w:val="clear" w:color="auto" w:fill="auto"/>
            <w:vAlign w:val="center"/>
          </w:tcPr>
          <w:p w14:paraId="06FB64F4">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5108F09C">
            <w:pPr>
              <w:pStyle w:val="42"/>
              <w:keepNext w:val="0"/>
              <w:keepLines w:val="0"/>
              <w:suppressLineNumbers w:val="0"/>
              <w:bidi w:val="0"/>
              <w:spacing w:before="0" w:beforeAutospacing="0" w:after="0" w:afterAutospacing="0"/>
              <w:rPr>
                <w:rFonts w:hint="eastAsia"/>
                <w:lang w:val="en-US" w:eastAsia="zh-CN"/>
              </w:rPr>
            </w:pPr>
          </w:p>
        </w:tc>
      </w:tr>
      <w:tr w14:paraId="67D499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7DD7F3A1">
            <w:pPr>
              <w:pStyle w:val="42"/>
              <w:keepNext w:val="0"/>
              <w:keepLines w:val="0"/>
              <w:suppressLineNumbers w:val="0"/>
              <w:bidi w:val="0"/>
              <w:spacing w:before="0" w:beforeAutospacing="0" w:after="0" w:afterAutospacing="0"/>
              <w:rPr>
                <w:rFonts w:hint="eastAsia"/>
              </w:rPr>
            </w:pPr>
            <w:r>
              <w:rPr>
                <w:rFonts w:hint="eastAsia"/>
                <w:lang w:val="en-US" w:eastAsia="zh-CN"/>
              </w:rPr>
              <w:t>2.2.2</w:t>
            </w:r>
          </w:p>
        </w:tc>
        <w:tc>
          <w:tcPr>
            <w:tcW w:w="931" w:type="pct"/>
            <w:tcBorders>
              <w:tl2br w:val="nil"/>
              <w:tr2bl w:val="nil"/>
            </w:tcBorders>
            <w:shd w:val="clear" w:color="auto" w:fill="auto"/>
            <w:vAlign w:val="center"/>
          </w:tcPr>
          <w:p w14:paraId="12DD5D32">
            <w:pPr>
              <w:pStyle w:val="42"/>
              <w:keepNext w:val="0"/>
              <w:keepLines w:val="0"/>
              <w:suppressLineNumbers w:val="0"/>
              <w:bidi w:val="0"/>
              <w:spacing w:before="0" w:beforeAutospacing="0" w:after="0" w:afterAutospacing="0"/>
              <w:rPr>
                <w:rFonts w:hint="eastAsia"/>
              </w:rPr>
            </w:pPr>
            <w:r>
              <w:rPr>
                <w:rFonts w:hint="eastAsia"/>
                <w:lang w:val="en-US" w:eastAsia="zh-CN"/>
              </w:rPr>
              <w:t>行车式刮渣机</w:t>
            </w:r>
          </w:p>
        </w:tc>
        <w:tc>
          <w:tcPr>
            <w:tcW w:w="2395" w:type="pct"/>
            <w:tcBorders>
              <w:tl2br w:val="nil"/>
              <w:tr2bl w:val="nil"/>
            </w:tcBorders>
            <w:shd w:val="clear" w:color="auto" w:fill="auto"/>
            <w:vAlign w:val="center"/>
          </w:tcPr>
          <w:p w14:paraId="6EC3CF67">
            <w:pPr>
              <w:pStyle w:val="42"/>
              <w:keepNext w:val="0"/>
              <w:keepLines w:val="0"/>
              <w:suppressLineNumbers w:val="0"/>
              <w:bidi w:val="0"/>
              <w:spacing w:before="0" w:beforeAutospacing="0" w:after="0" w:afterAutospacing="0"/>
              <w:rPr>
                <w:rFonts w:hint="eastAsia"/>
              </w:rPr>
            </w:pPr>
            <w:r>
              <w:rPr>
                <w:rFonts w:hint="eastAsia"/>
                <w:lang w:val="en-US" w:eastAsia="zh-CN"/>
              </w:rPr>
              <w:t>池宽2.1米，1.5kw</w:t>
            </w:r>
          </w:p>
        </w:tc>
        <w:tc>
          <w:tcPr>
            <w:tcW w:w="454" w:type="pct"/>
            <w:tcBorders>
              <w:tl2br w:val="nil"/>
              <w:tr2bl w:val="nil"/>
            </w:tcBorders>
            <w:shd w:val="clear" w:color="auto" w:fill="auto"/>
            <w:vAlign w:val="center"/>
          </w:tcPr>
          <w:p w14:paraId="15A361B4">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1C6B3ABA">
            <w:pPr>
              <w:pStyle w:val="42"/>
              <w:keepNext w:val="0"/>
              <w:keepLines w:val="0"/>
              <w:suppressLineNumbers w:val="0"/>
              <w:bidi w:val="0"/>
              <w:spacing w:before="0" w:beforeAutospacing="0" w:after="0" w:afterAutospacing="0"/>
              <w:rPr>
                <w:rFonts w:hint="eastAsia"/>
                <w:lang w:val="en-US" w:eastAsia="zh-CN"/>
              </w:rPr>
            </w:pPr>
          </w:p>
        </w:tc>
      </w:tr>
      <w:tr w14:paraId="48AF2A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1711B053">
            <w:pPr>
              <w:pStyle w:val="42"/>
              <w:keepNext w:val="0"/>
              <w:keepLines w:val="0"/>
              <w:suppressLineNumbers w:val="0"/>
              <w:bidi w:val="0"/>
              <w:spacing w:before="0" w:beforeAutospacing="0" w:after="0" w:afterAutospacing="0"/>
              <w:rPr>
                <w:rFonts w:hint="eastAsia"/>
              </w:rPr>
            </w:pPr>
            <w:r>
              <w:rPr>
                <w:rFonts w:hint="eastAsia"/>
                <w:lang w:val="en-US" w:eastAsia="zh-CN"/>
              </w:rPr>
              <w:t>2.2.3</w:t>
            </w:r>
          </w:p>
        </w:tc>
        <w:tc>
          <w:tcPr>
            <w:tcW w:w="931" w:type="pct"/>
            <w:tcBorders>
              <w:tl2br w:val="nil"/>
              <w:tr2bl w:val="nil"/>
            </w:tcBorders>
            <w:shd w:val="clear" w:color="auto" w:fill="auto"/>
            <w:vAlign w:val="center"/>
          </w:tcPr>
          <w:p w14:paraId="29272B93">
            <w:pPr>
              <w:pStyle w:val="42"/>
              <w:keepNext w:val="0"/>
              <w:keepLines w:val="0"/>
              <w:suppressLineNumbers w:val="0"/>
              <w:bidi w:val="0"/>
              <w:spacing w:before="0" w:beforeAutospacing="0" w:after="0" w:afterAutospacing="0"/>
              <w:rPr>
                <w:rFonts w:hint="eastAsia"/>
              </w:rPr>
            </w:pPr>
            <w:r>
              <w:rPr>
                <w:rFonts w:hint="eastAsia"/>
                <w:lang w:val="en-US" w:eastAsia="zh-CN"/>
              </w:rPr>
              <w:t>浮渣挡板及支架</w:t>
            </w:r>
          </w:p>
        </w:tc>
        <w:tc>
          <w:tcPr>
            <w:tcW w:w="2395" w:type="pct"/>
            <w:tcBorders>
              <w:tl2br w:val="nil"/>
              <w:tr2bl w:val="nil"/>
            </w:tcBorders>
            <w:shd w:val="clear" w:color="auto" w:fill="auto"/>
            <w:vAlign w:val="center"/>
          </w:tcPr>
          <w:p w14:paraId="2D54FE16">
            <w:pPr>
              <w:pStyle w:val="42"/>
              <w:keepNext w:val="0"/>
              <w:keepLines w:val="0"/>
              <w:suppressLineNumbers w:val="0"/>
              <w:bidi w:val="0"/>
              <w:spacing w:before="0" w:beforeAutospacing="0" w:after="0" w:afterAutospacing="0"/>
              <w:rPr>
                <w:rFonts w:hint="eastAsia"/>
              </w:rPr>
            </w:pPr>
            <w:r>
              <w:rPr>
                <w:rFonts w:hint="eastAsia"/>
                <w:lang w:val="en-US" w:eastAsia="zh-CN"/>
              </w:rPr>
              <w:t>PP材质</w:t>
            </w:r>
          </w:p>
        </w:tc>
        <w:tc>
          <w:tcPr>
            <w:tcW w:w="454" w:type="pct"/>
            <w:tcBorders>
              <w:tl2br w:val="nil"/>
              <w:tr2bl w:val="nil"/>
            </w:tcBorders>
            <w:shd w:val="clear" w:color="auto" w:fill="auto"/>
            <w:vAlign w:val="center"/>
          </w:tcPr>
          <w:p w14:paraId="0AB7A118">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7C59DC4">
            <w:pPr>
              <w:pStyle w:val="42"/>
              <w:keepNext w:val="0"/>
              <w:keepLines w:val="0"/>
              <w:suppressLineNumbers w:val="0"/>
              <w:bidi w:val="0"/>
              <w:spacing w:before="0" w:beforeAutospacing="0" w:after="0" w:afterAutospacing="0"/>
              <w:rPr>
                <w:rFonts w:hint="eastAsia"/>
                <w:lang w:val="en-US" w:eastAsia="zh-CN"/>
              </w:rPr>
            </w:pPr>
          </w:p>
        </w:tc>
      </w:tr>
      <w:tr w14:paraId="68B5B3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1EDEF07">
            <w:pPr>
              <w:pStyle w:val="42"/>
              <w:keepNext w:val="0"/>
              <w:keepLines w:val="0"/>
              <w:suppressLineNumbers w:val="0"/>
              <w:bidi w:val="0"/>
              <w:spacing w:before="0" w:beforeAutospacing="0" w:after="0" w:afterAutospacing="0"/>
              <w:rPr>
                <w:rFonts w:hint="eastAsia"/>
              </w:rPr>
            </w:pPr>
            <w:r>
              <w:rPr>
                <w:rFonts w:hint="eastAsia"/>
                <w:lang w:val="en-US" w:eastAsia="zh-CN"/>
              </w:rPr>
              <w:t>2.2.4</w:t>
            </w:r>
          </w:p>
        </w:tc>
        <w:tc>
          <w:tcPr>
            <w:tcW w:w="931" w:type="pct"/>
            <w:tcBorders>
              <w:tl2br w:val="nil"/>
              <w:tr2bl w:val="nil"/>
            </w:tcBorders>
            <w:shd w:val="clear" w:color="auto" w:fill="auto"/>
            <w:vAlign w:val="center"/>
          </w:tcPr>
          <w:p w14:paraId="602A4069">
            <w:pPr>
              <w:pStyle w:val="42"/>
              <w:keepNext w:val="0"/>
              <w:keepLines w:val="0"/>
              <w:suppressLineNumbers w:val="0"/>
              <w:bidi w:val="0"/>
              <w:spacing w:before="0" w:beforeAutospacing="0" w:after="0" w:afterAutospacing="0"/>
              <w:rPr>
                <w:rFonts w:hint="eastAsia"/>
              </w:rPr>
            </w:pPr>
            <w:r>
              <w:rPr>
                <w:rFonts w:hint="eastAsia"/>
                <w:lang w:val="en-US" w:eastAsia="zh-CN"/>
              </w:rPr>
              <w:t>pH控制器</w:t>
            </w:r>
          </w:p>
        </w:tc>
        <w:tc>
          <w:tcPr>
            <w:tcW w:w="2395" w:type="pct"/>
            <w:tcBorders>
              <w:tl2br w:val="nil"/>
              <w:tr2bl w:val="nil"/>
            </w:tcBorders>
            <w:shd w:val="clear" w:color="auto" w:fill="auto"/>
            <w:vAlign w:val="center"/>
          </w:tcPr>
          <w:p w14:paraId="2992D584">
            <w:pPr>
              <w:pStyle w:val="42"/>
              <w:keepNext w:val="0"/>
              <w:keepLines w:val="0"/>
              <w:suppressLineNumbers w:val="0"/>
              <w:bidi w:val="0"/>
              <w:spacing w:before="0" w:beforeAutospacing="0" w:after="0" w:afterAutospacing="0"/>
              <w:rPr>
                <w:rFonts w:hint="eastAsia"/>
              </w:rPr>
            </w:pPr>
            <w:r>
              <w:rPr>
                <w:rFonts w:hint="eastAsia"/>
                <w:lang w:val="en-US" w:eastAsia="zh-CN"/>
              </w:rPr>
              <w:t>0-14</w:t>
            </w:r>
          </w:p>
        </w:tc>
        <w:tc>
          <w:tcPr>
            <w:tcW w:w="454" w:type="pct"/>
            <w:tcBorders>
              <w:tl2br w:val="nil"/>
              <w:tr2bl w:val="nil"/>
            </w:tcBorders>
            <w:shd w:val="clear" w:color="auto" w:fill="auto"/>
            <w:vAlign w:val="center"/>
          </w:tcPr>
          <w:p w14:paraId="052A3E60">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2DA602A0">
            <w:pPr>
              <w:pStyle w:val="42"/>
              <w:keepNext w:val="0"/>
              <w:keepLines w:val="0"/>
              <w:suppressLineNumbers w:val="0"/>
              <w:bidi w:val="0"/>
              <w:spacing w:before="0" w:beforeAutospacing="0" w:after="0" w:afterAutospacing="0"/>
              <w:rPr>
                <w:rFonts w:hint="eastAsia"/>
                <w:lang w:val="en-US" w:eastAsia="zh-CN"/>
              </w:rPr>
            </w:pPr>
          </w:p>
        </w:tc>
      </w:tr>
      <w:tr w14:paraId="0B3573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7987B212">
            <w:pPr>
              <w:pStyle w:val="42"/>
              <w:keepNext w:val="0"/>
              <w:keepLines w:val="0"/>
              <w:suppressLineNumbers w:val="0"/>
              <w:bidi w:val="0"/>
              <w:spacing w:before="0" w:beforeAutospacing="0" w:after="0" w:afterAutospacing="0"/>
              <w:rPr>
                <w:rFonts w:hint="eastAsia"/>
              </w:rPr>
            </w:pPr>
            <w:r>
              <w:rPr>
                <w:rFonts w:hint="eastAsia"/>
                <w:lang w:val="en-US" w:eastAsia="zh-CN"/>
              </w:rPr>
              <w:t>2.2.5</w:t>
            </w:r>
          </w:p>
        </w:tc>
        <w:tc>
          <w:tcPr>
            <w:tcW w:w="931" w:type="pct"/>
            <w:tcBorders>
              <w:tl2br w:val="nil"/>
              <w:tr2bl w:val="nil"/>
            </w:tcBorders>
            <w:shd w:val="clear" w:color="auto" w:fill="auto"/>
            <w:vAlign w:val="center"/>
          </w:tcPr>
          <w:p w14:paraId="0D8F9788">
            <w:pPr>
              <w:pStyle w:val="42"/>
              <w:keepNext w:val="0"/>
              <w:keepLines w:val="0"/>
              <w:suppressLineNumbers w:val="0"/>
              <w:bidi w:val="0"/>
              <w:spacing w:before="0" w:beforeAutospacing="0" w:after="0" w:afterAutospacing="0"/>
              <w:rPr>
                <w:rFonts w:hint="eastAsia"/>
              </w:rPr>
            </w:pPr>
            <w:r>
              <w:rPr>
                <w:rFonts w:hint="eastAsia"/>
                <w:lang w:val="en-US" w:eastAsia="zh-CN"/>
              </w:rPr>
              <w:t>储油池泵</w:t>
            </w:r>
          </w:p>
        </w:tc>
        <w:tc>
          <w:tcPr>
            <w:tcW w:w="2395" w:type="pct"/>
            <w:tcBorders>
              <w:tl2br w:val="nil"/>
              <w:tr2bl w:val="nil"/>
            </w:tcBorders>
            <w:shd w:val="clear" w:color="auto" w:fill="auto"/>
            <w:vAlign w:val="center"/>
          </w:tcPr>
          <w:p w14:paraId="21CD77C8">
            <w:pPr>
              <w:pStyle w:val="42"/>
              <w:keepNext w:val="0"/>
              <w:keepLines w:val="0"/>
              <w:suppressLineNumbers w:val="0"/>
              <w:bidi w:val="0"/>
              <w:spacing w:before="0" w:beforeAutospacing="0" w:after="0" w:afterAutospacing="0"/>
              <w:rPr>
                <w:rFonts w:hint="eastAsia"/>
              </w:rPr>
            </w:pPr>
            <w:r>
              <w:rPr>
                <w:rFonts w:hint="eastAsia"/>
                <w:lang w:val="en-US" w:eastAsia="zh-CN"/>
              </w:rPr>
              <w:t>潜污泵，WQ15-9-1.5，带切割，带拉杆</w:t>
            </w:r>
          </w:p>
        </w:tc>
        <w:tc>
          <w:tcPr>
            <w:tcW w:w="454" w:type="pct"/>
            <w:tcBorders>
              <w:tl2br w:val="nil"/>
              <w:tr2bl w:val="nil"/>
            </w:tcBorders>
            <w:shd w:val="clear" w:color="auto" w:fill="auto"/>
            <w:vAlign w:val="center"/>
          </w:tcPr>
          <w:p w14:paraId="0E845B4D">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64E011E6">
            <w:pPr>
              <w:pStyle w:val="42"/>
              <w:keepNext w:val="0"/>
              <w:keepLines w:val="0"/>
              <w:suppressLineNumbers w:val="0"/>
              <w:bidi w:val="0"/>
              <w:spacing w:before="0" w:beforeAutospacing="0" w:after="0" w:afterAutospacing="0"/>
              <w:rPr>
                <w:rFonts w:hint="eastAsia"/>
                <w:lang w:val="en-US" w:eastAsia="zh-CN"/>
              </w:rPr>
            </w:pPr>
          </w:p>
        </w:tc>
      </w:tr>
      <w:tr w14:paraId="530F20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55C4BDD">
            <w:pPr>
              <w:pStyle w:val="42"/>
              <w:keepNext w:val="0"/>
              <w:keepLines w:val="0"/>
              <w:suppressLineNumbers w:val="0"/>
              <w:bidi w:val="0"/>
              <w:spacing w:before="0" w:beforeAutospacing="0" w:after="0" w:afterAutospacing="0"/>
              <w:rPr>
                <w:rFonts w:hint="eastAsia"/>
              </w:rPr>
            </w:pPr>
            <w:r>
              <w:rPr>
                <w:rFonts w:hint="eastAsia"/>
                <w:lang w:val="en-US" w:eastAsia="zh-CN"/>
              </w:rPr>
              <w:t>2.3</w:t>
            </w:r>
          </w:p>
        </w:tc>
        <w:tc>
          <w:tcPr>
            <w:tcW w:w="931" w:type="pct"/>
            <w:tcBorders>
              <w:tl2br w:val="nil"/>
              <w:tr2bl w:val="nil"/>
            </w:tcBorders>
            <w:shd w:val="clear" w:color="auto" w:fill="auto"/>
            <w:vAlign w:val="center"/>
          </w:tcPr>
          <w:p w14:paraId="51C2FD5A">
            <w:pPr>
              <w:pStyle w:val="42"/>
              <w:keepNext w:val="0"/>
              <w:keepLines w:val="0"/>
              <w:suppressLineNumbers w:val="0"/>
              <w:bidi w:val="0"/>
              <w:spacing w:before="0" w:beforeAutospacing="0" w:after="0" w:afterAutospacing="0"/>
              <w:rPr>
                <w:rFonts w:hint="eastAsia"/>
              </w:rPr>
            </w:pPr>
            <w:r>
              <w:rPr>
                <w:rFonts w:hint="eastAsia"/>
                <w:lang w:val="en-US" w:eastAsia="zh-CN"/>
              </w:rPr>
              <w:t>调节池/应急池</w:t>
            </w:r>
          </w:p>
        </w:tc>
        <w:tc>
          <w:tcPr>
            <w:tcW w:w="2395" w:type="pct"/>
            <w:tcBorders>
              <w:tl2br w:val="nil"/>
              <w:tr2bl w:val="nil"/>
            </w:tcBorders>
            <w:shd w:val="clear" w:color="auto" w:fill="auto"/>
            <w:vAlign w:val="center"/>
          </w:tcPr>
          <w:p w14:paraId="2D7554A4">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6427FA0D">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075F9F92">
            <w:pPr>
              <w:pStyle w:val="42"/>
              <w:keepNext w:val="0"/>
              <w:keepLines w:val="0"/>
              <w:suppressLineNumbers w:val="0"/>
              <w:bidi w:val="0"/>
              <w:spacing w:before="0" w:beforeAutospacing="0" w:after="0" w:afterAutospacing="0"/>
              <w:rPr>
                <w:rFonts w:hint="eastAsia"/>
              </w:rPr>
            </w:pPr>
          </w:p>
        </w:tc>
      </w:tr>
      <w:tr w14:paraId="015971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487B225F">
            <w:pPr>
              <w:pStyle w:val="42"/>
              <w:keepNext w:val="0"/>
              <w:keepLines w:val="0"/>
              <w:suppressLineNumbers w:val="0"/>
              <w:bidi w:val="0"/>
              <w:spacing w:before="0" w:beforeAutospacing="0" w:after="0" w:afterAutospacing="0"/>
              <w:rPr>
                <w:rFonts w:hint="eastAsia"/>
              </w:rPr>
            </w:pPr>
            <w:r>
              <w:rPr>
                <w:rFonts w:hint="eastAsia"/>
                <w:lang w:val="en-US" w:eastAsia="zh-CN"/>
              </w:rPr>
              <w:t>2.3.1</w:t>
            </w:r>
          </w:p>
        </w:tc>
        <w:tc>
          <w:tcPr>
            <w:tcW w:w="931" w:type="pct"/>
            <w:tcBorders>
              <w:tl2br w:val="nil"/>
              <w:tr2bl w:val="nil"/>
            </w:tcBorders>
            <w:shd w:val="clear" w:color="auto" w:fill="auto"/>
            <w:vAlign w:val="center"/>
          </w:tcPr>
          <w:p w14:paraId="7422FAF7">
            <w:pPr>
              <w:pStyle w:val="42"/>
              <w:keepNext w:val="0"/>
              <w:keepLines w:val="0"/>
              <w:suppressLineNumbers w:val="0"/>
              <w:bidi w:val="0"/>
              <w:spacing w:before="0" w:beforeAutospacing="0" w:after="0" w:afterAutospacing="0"/>
              <w:rPr>
                <w:rFonts w:hint="eastAsia"/>
              </w:rPr>
            </w:pPr>
            <w:r>
              <w:rPr>
                <w:rFonts w:hint="eastAsia"/>
                <w:lang w:val="en-US" w:eastAsia="zh-CN"/>
              </w:rPr>
              <w:t>调节池泵</w:t>
            </w:r>
          </w:p>
        </w:tc>
        <w:tc>
          <w:tcPr>
            <w:tcW w:w="2395" w:type="pct"/>
            <w:tcBorders>
              <w:tl2br w:val="nil"/>
              <w:tr2bl w:val="nil"/>
            </w:tcBorders>
            <w:shd w:val="clear" w:color="auto" w:fill="auto"/>
            <w:vAlign w:val="center"/>
          </w:tcPr>
          <w:p w14:paraId="34198EC2">
            <w:pPr>
              <w:pStyle w:val="42"/>
              <w:keepNext w:val="0"/>
              <w:keepLines w:val="0"/>
              <w:suppressLineNumbers w:val="0"/>
              <w:bidi w:val="0"/>
              <w:spacing w:before="0" w:beforeAutospacing="0" w:after="0" w:afterAutospacing="0"/>
              <w:rPr>
                <w:rFonts w:hint="eastAsia"/>
              </w:rPr>
            </w:pPr>
            <w:r>
              <w:rPr>
                <w:rFonts w:hint="eastAsia"/>
                <w:lang w:val="en-US" w:eastAsia="zh-CN"/>
              </w:rPr>
              <w:t>潜污泵，WQ50-15.0-5.5，带切割，带耦合，带拉杆</w:t>
            </w:r>
          </w:p>
        </w:tc>
        <w:tc>
          <w:tcPr>
            <w:tcW w:w="454" w:type="pct"/>
            <w:tcBorders>
              <w:tl2br w:val="nil"/>
              <w:tr2bl w:val="nil"/>
            </w:tcBorders>
            <w:shd w:val="clear" w:color="auto" w:fill="auto"/>
            <w:vAlign w:val="center"/>
          </w:tcPr>
          <w:p w14:paraId="4054E13F">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2944C0F8">
            <w:pPr>
              <w:pStyle w:val="42"/>
              <w:keepNext w:val="0"/>
              <w:keepLines w:val="0"/>
              <w:suppressLineNumbers w:val="0"/>
              <w:bidi w:val="0"/>
              <w:spacing w:before="0" w:beforeAutospacing="0" w:after="0" w:afterAutospacing="0"/>
              <w:rPr>
                <w:rFonts w:hint="eastAsia"/>
                <w:lang w:val="en-US" w:eastAsia="zh-CN"/>
              </w:rPr>
            </w:pPr>
          </w:p>
        </w:tc>
      </w:tr>
      <w:tr w14:paraId="698F9B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DBA00E4">
            <w:pPr>
              <w:pStyle w:val="42"/>
              <w:keepNext w:val="0"/>
              <w:keepLines w:val="0"/>
              <w:suppressLineNumbers w:val="0"/>
              <w:bidi w:val="0"/>
              <w:spacing w:before="0" w:beforeAutospacing="0" w:after="0" w:afterAutospacing="0"/>
              <w:rPr>
                <w:rFonts w:hint="eastAsia"/>
              </w:rPr>
            </w:pPr>
            <w:r>
              <w:rPr>
                <w:rFonts w:hint="eastAsia"/>
                <w:lang w:val="en-US" w:eastAsia="zh-CN"/>
              </w:rPr>
              <w:t>2.3.2</w:t>
            </w:r>
          </w:p>
        </w:tc>
        <w:tc>
          <w:tcPr>
            <w:tcW w:w="931" w:type="pct"/>
            <w:tcBorders>
              <w:tl2br w:val="nil"/>
              <w:tr2bl w:val="nil"/>
            </w:tcBorders>
            <w:shd w:val="clear" w:color="auto" w:fill="auto"/>
            <w:vAlign w:val="center"/>
          </w:tcPr>
          <w:p w14:paraId="3CF0953A">
            <w:pPr>
              <w:pStyle w:val="42"/>
              <w:keepNext w:val="0"/>
              <w:keepLines w:val="0"/>
              <w:suppressLineNumbers w:val="0"/>
              <w:bidi w:val="0"/>
              <w:spacing w:before="0" w:beforeAutospacing="0" w:after="0" w:afterAutospacing="0"/>
              <w:rPr>
                <w:rFonts w:hint="eastAsia"/>
              </w:rPr>
            </w:pPr>
            <w:r>
              <w:rPr>
                <w:rFonts w:hint="eastAsia"/>
                <w:lang w:val="en-US" w:eastAsia="zh-CN"/>
              </w:rPr>
              <w:t>液位计</w:t>
            </w:r>
          </w:p>
        </w:tc>
        <w:tc>
          <w:tcPr>
            <w:tcW w:w="2395" w:type="pct"/>
            <w:tcBorders>
              <w:tl2br w:val="nil"/>
              <w:tr2bl w:val="nil"/>
            </w:tcBorders>
            <w:shd w:val="clear" w:color="auto" w:fill="auto"/>
            <w:vAlign w:val="center"/>
          </w:tcPr>
          <w:p w14:paraId="60258DAD">
            <w:pPr>
              <w:pStyle w:val="42"/>
              <w:keepNext w:val="0"/>
              <w:keepLines w:val="0"/>
              <w:suppressLineNumbers w:val="0"/>
              <w:bidi w:val="0"/>
              <w:spacing w:before="0" w:beforeAutospacing="0" w:after="0" w:afterAutospacing="0"/>
              <w:rPr>
                <w:rFonts w:hint="eastAsia"/>
              </w:rPr>
            </w:pPr>
            <w:r>
              <w:rPr>
                <w:rFonts w:hint="eastAsia"/>
                <w:lang w:val="en-US" w:eastAsia="zh-CN"/>
              </w:rPr>
              <w:t>控制液位深度5m，带显示</w:t>
            </w:r>
          </w:p>
        </w:tc>
        <w:tc>
          <w:tcPr>
            <w:tcW w:w="454" w:type="pct"/>
            <w:tcBorders>
              <w:tl2br w:val="nil"/>
              <w:tr2bl w:val="nil"/>
            </w:tcBorders>
            <w:shd w:val="clear" w:color="auto" w:fill="auto"/>
            <w:vAlign w:val="center"/>
          </w:tcPr>
          <w:p w14:paraId="7E05DB8D">
            <w:pPr>
              <w:pStyle w:val="42"/>
              <w:keepNext w:val="0"/>
              <w:keepLines w:val="0"/>
              <w:suppressLineNumbers w:val="0"/>
              <w:bidi w:val="0"/>
              <w:spacing w:before="0" w:beforeAutospacing="0" w:after="0" w:afterAutospacing="0"/>
              <w:rPr>
                <w:rFonts w:hint="eastAsia"/>
              </w:rPr>
            </w:pPr>
            <w:r>
              <w:rPr>
                <w:rFonts w:hint="eastAsia"/>
                <w:lang w:val="en-US" w:eastAsia="zh-CN"/>
              </w:rPr>
              <w:t>2台</w:t>
            </w:r>
          </w:p>
        </w:tc>
        <w:tc>
          <w:tcPr>
            <w:tcW w:w="724" w:type="pct"/>
            <w:tcBorders>
              <w:tl2br w:val="nil"/>
              <w:tr2bl w:val="nil"/>
            </w:tcBorders>
            <w:shd w:val="clear" w:color="auto" w:fill="auto"/>
            <w:vAlign w:val="center"/>
          </w:tcPr>
          <w:p w14:paraId="4D312F47">
            <w:pPr>
              <w:pStyle w:val="42"/>
              <w:keepNext w:val="0"/>
              <w:keepLines w:val="0"/>
              <w:suppressLineNumbers w:val="0"/>
              <w:bidi w:val="0"/>
              <w:spacing w:before="0" w:beforeAutospacing="0" w:after="0" w:afterAutospacing="0"/>
              <w:rPr>
                <w:rFonts w:hint="eastAsia"/>
                <w:lang w:val="en-US" w:eastAsia="zh-CN"/>
              </w:rPr>
            </w:pPr>
          </w:p>
        </w:tc>
      </w:tr>
      <w:tr w14:paraId="4DD388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34566083">
            <w:pPr>
              <w:pStyle w:val="42"/>
              <w:keepNext w:val="0"/>
              <w:keepLines w:val="0"/>
              <w:suppressLineNumbers w:val="0"/>
              <w:bidi w:val="0"/>
              <w:spacing w:before="0" w:beforeAutospacing="0" w:after="0" w:afterAutospacing="0"/>
              <w:rPr>
                <w:rFonts w:hint="eastAsia"/>
              </w:rPr>
            </w:pPr>
            <w:r>
              <w:rPr>
                <w:rFonts w:hint="eastAsia"/>
                <w:lang w:val="en-US" w:eastAsia="zh-CN"/>
              </w:rPr>
              <w:t>2.3.3</w:t>
            </w:r>
          </w:p>
        </w:tc>
        <w:tc>
          <w:tcPr>
            <w:tcW w:w="931" w:type="pct"/>
            <w:tcBorders>
              <w:tl2br w:val="nil"/>
              <w:tr2bl w:val="nil"/>
            </w:tcBorders>
            <w:shd w:val="clear" w:color="auto" w:fill="auto"/>
            <w:vAlign w:val="center"/>
          </w:tcPr>
          <w:p w14:paraId="094FD71A">
            <w:pPr>
              <w:pStyle w:val="42"/>
              <w:keepNext w:val="0"/>
              <w:keepLines w:val="0"/>
              <w:suppressLineNumbers w:val="0"/>
              <w:bidi w:val="0"/>
              <w:spacing w:before="0" w:beforeAutospacing="0" w:after="0" w:afterAutospacing="0"/>
              <w:rPr>
                <w:rFonts w:hint="eastAsia"/>
              </w:rPr>
            </w:pPr>
            <w:r>
              <w:rPr>
                <w:rFonts w:hint="eastAsia"/>
                <w:lang w:val="en-US" w:eastAsia="zh-CN"/>
              </w:rPr>
              <w:t>空气搅拌</w:t>
            </w:r>
          </w:p>
        </w:tc>
        <w:tc>
          <w:tcPr>
            <w:tcW w:w="2395" w:type="pct"/>
            <w:tcBorders>
              <w:tl2br w:val="nil"/>
              <w:tr2bl w:val="nil"/>
            </w:tcBorders>
            <w:shd w:val="clear" w:color="auto" w:fill="auto"/>
            <w:vAlign w:val="center"/>
          </w:tcPr>
          <w:p w14:paraId="1CCB799D">
            <w:pPr>
              <w:pStyle w:val="42"/>
              <w:keepNext w:val="0"/>
              <w:keepLines w:val="0"/>
              <w:suppressLineNumbers w:val="0"/>
              <w:bidi w:val="0"/>
              <w:spacing w:before="0" w:beforeAutospacing="0" w:after="0" w:afterAutospacing="0"/>
              <w:rPr>
                <w:rFonts w:hint="eastAsia"/>
              </w:rPr>
            </w:pPr>
            <w:r>
              <w:rPr>
                <w:rFonts w:hint="eastAsia"/>
                <w:lang w:val="en-US" w:eastAsia="zh-CN"/>
              </w:rPr>
              <w:t>ABS/UPVC材质，DN100/DN80，穿孔管</w:t>
            </w:r>
          </w:p>
        </w:tc>
        <w:tc>
          <w:tcPr>
            <w:tcW w:w="454" w:type="pct"/>
            <w:tcBorders>
              <w:tl2br w:val="nil"/>
              <w:tr2bl w:val="nil"/>
            </w:tcBorders>
            <w:shd w:val="clear" w:color="auto" w:fill="auto"/>
            <w:vAlign w:val="center"/>
          </w:tcPr>
          <w:p w14:paraId="4DADD7B3">
            <w:pPr>
              <w:pStyle w:val="42"/>
              <w:keepNext w:val="0"/>
              <w:keepLines w:val="0"/>
              <w:suppressLineNumbers w:val="0"/>
              <w:bidi w:val="0"/>
              <w:spacing w:before="0" w:beforeAutospacing="0" w:after="0" w:afterAutospacing="0"/>
              <w:rPr>
                <w:rFonts w:hint="eastAsia"/>
              </w:rPr>
            </w:pPr>
            <w:r>
              <w:rPr>
                <w:rFonts w:hint="eastAsia"/>
                <w:lang w:val="en-US" w:eastAsia="zh-CN"/>
              </w:rPr>
              <w:t>3套</w:t>
            </w:r>
          </w:p>
        </w:tc>
        <w:tc>
          <w:tcPr>
            <w:tcW w:w="724" w:type="pct"/>
            <w:tcBorders>
              <w:tl2br w:val="nil"/>
              <w:tr2bl w:val="nil"/>
            </w:tcBorders>
            <w:shd w:val="clear" w:color="auto" w:fill="auto"/>
            <w:vAlign w:val="center"/>
          </w:tcPr>
          <w:p w14:paraId="179F5F2D">
            <w:pPr>
              <w:pStyle w:val="42"/>
              <w:keepNext w:val="0"/>
              <w:keepLines w:val="0"/>
              <w:suppressLineNumbers w:val="0"/>
              <w:bidi w:val="0"/>
              <w:spacing w:before="0" w:beforeAutospacing="0" w:after="0" w:afterAutospacing="0"/>
              <w:rPr>
                <w:rFonts w:hint="eastAsia"/>
                <w:lang w:val="en-US" w:eastAsia="zh-CN"/>
              </w:rPr>
            </w:pPr>
          </w:p>
        </w:tc>
      </w:tr>
      <w:tr w14:paraId="6514AF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AA54AD0">
            <w:pPr>
              <w:pStyle w:val="42"/>
              <w:keepNext w:val="0"/>
              <w:keepLines w:val="0"/>
              <w:suppressLineNumbers w:val="0"/>
              <w:bidi w:val="0"/>
              <w:spacing w:before="0" w:beforeAutospacing="0" w:after="0" w:afterAutospacing="0"/>
              <w:rPr>
                <w:rFonts w:hint="eastAsia"/>
              </w:rPr>
            </w:pPr>
            <w:r>
              <w:rPr>
                <w:rFonts w:hint="eastAsia"/>
                <w:lang w:val="en-US" w:eastAsia="zh-CN"/>
              </w:rPr>
              <w:t>2.3.4</w:t>
            </w:r>
          </w:p>
        </w:tc>
        <w:tc>
          <w:tcPr>
            <w:tcW w:w="931" w:type="pct"/>
            <w:tcBorders>
              <w:tl2br w:val="nil"/>
              <w:tr2bl w:val="nil"/>
            </w:tcBorders>
            <w:shd w:val="clear" w:color="auto" w:fill="auto"/>
            <w:vAlign w:val="center"/>
          </w:tcPr>
          <w:p w14:paraId="75108D07">
            <w:pPr>
              <w:pStyle w:val="42"/>
              <w:keepNext w:val="0"/>
              <w:keepLines w:val="0"/>
              <w:suppressLineNumbers w:val="0"/>
              <w:bidi w:val="0"/>
              <w:spacing w:before="0" w:beforeAutospacing="0" w:after="0" w:afterAutospacing="0"/>
              <w:rPr>
                <w:rFonts w:hint="eastAsia"/>
              </w:rPr>
            </w:pPr>
            <w:r>
              <w:rPr>
                <w:rFonts w:hint="eastAsia"/>
                <w:lang w:val="en-US" w:eastAsia="zh-CN"/>
              </w:rPr>
              <w:t>电磁流量计</w:t>
            </w:r>
          </w:p>
        </w:tc>
        <w:tc>
          <w:tcPr>
            <w:tcW w:w="2395" w:type="pct"/>
            <w:tcBorders>
              <w:tl2br w:val="nil"/>
              <w:tr2bl w:val="nil"/>
            </w:tcBorders>
            <w:shd w:val="clear" w:color="auto" w:fill="auto"/>
            <w:vAlign w:val="center"/>
          </w:tcPr>
          <w:p w14:paraId="38EDD0FB">
            <w:pPr>
              <w:pStyle w:val="42"/>
              <w:keepNext w:val="0"/>
              <w:keepLines w:val="0"/>
              <w:suppressLineNumbers w:val="0"/>
              <w:bidi w:val="0"/>
              <w:spacing w:before="0" w:beforeAutospacing="0" w:after="0" w:afterAutospacing="0"/>
              <w:rPr>
                <w:rFonts w:hint="eastAsia"/>
              </w:rPr>
            </w:pPr>
            <w:r>
              <w:rPr>
                <w:rFonts w:hint="eastAsia"/>
                <w:lang w:val="en-US" w:eastAsia="zh-CN"/>
              </w:rPr>
              <w:t>0~80m³/h</w:t>
            </w:r>
          </w:p>
        </w:tc>
        <w:tc>
          <w:tcPr>
            <w:tcW w:w="454" w:type="pct"/>
            <w:tcBorders>
              <w:tl2br w:val="nil"/>
              <w:tr2bl w:val="nil"/>
            </w:tcBorders>
            <w:shd w:val="clear" w:color="auto" w:fill="auto"/>
            <w:vAlign w:val="center"/>
          </w:tcPr>
          <w:p w14:paraId="2D9C4A3F">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66722D1">
            <w:pPr>
              <w:pStyle w:val="42"/>
              <w:keepNext w:val="0"/>
              <w:keepLines w:val="0"/>
              <w:suppressLineNumbers w:val="0"/>
              <w:bidi w:val="0"/>
              <w:spacing w:before="0" w:beforeAutospacing="0" w:after="0" w:afterAutospacing="0"/>
              <w:rPr>
                <w:rFonts w:hint="eastAsia"/>
                <w:lang w:val="en-US" w:eastAsia="zh-CN"/>
              </w:rPr>
            </w:pPr>
          </w:p>
        </w:tc>
      </w:tr>
      <w:tr w14:paraId="246CB0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60301EF">
            <w:pPr>
              <w:pStyle w:val="42"/>
              <w:keepNext w:val="0"/>
              <w:keepLines w:val="0"/>
              <w:suppressLineNumbers w:val="0"/>
              <w:bidi w:val="0"/>
              <w:spacing w:before="0" w:beforeAutospacing="0" w:after="0" w:afterAutospacing="0"/>
              <w:rPr>
                <w:rFonts w:hint="eastAsia"/>
              </w:rPr>
            </w:pPr>
            <w:r>
              <w:rPr>
                <w:rFonts w:hint="eastAsia"/>
                <w:lang w:val="en-US" w:eastAsia="zh-CN"/>
              </w:rPr>
              <w:t>2.3.5</w:t>
            </w:r>
          </w:p>
        </w:tc>
        <w:tc>
          <w:tcPr>
            <w:tcW w:w="931" w:type="pct"/>
            <w:tcBorders>
              <w:tl2br w:val="nil"/>
              <w:tr2bl w:val="nil"/>
            </w:tcBorders>
            <w:shd w:val="clear" w:color="auto" w:fill="auto"/>
            <w:vAlign w:val="center"/>
          </w:tcPr>
          <w:p w14:paraId="49AA73BF">
            <w:pPr>
              <w:pStyle w:val="42"/>
              <w:keepNext w:val="0"/>
              <w:keepLines w:val="0"/>
              <w:suppressLineNumbers w:val="0"/>
              <w:bidi w:val="0"/>
              <w:spacing w:before="0" w:beforeAutospacing="0" w:after="0" w:afterAutospacing="0"/>
              <w:rPr>
                <w:rFonts w:hint="eastAsia"/>
              </w:rPr>
            </w:pPr>
            <w:r>
              <w:rPr>
                <w:rFonts w:hint="eastAsia"/>
                <w:lang w:val="en-US" w:eastAsia="zh-CN"/>
              </w:rPr>
              <w:t>应急池泵</w:t>
            </w:r>
          </w:p>
        </w:tc>
        <w:tc>
          <w:tcPr>
            <w:tcW w:w="2395" w:type="pct"/>
            <w:tcBorders>
              <w:tl2br w:val="nil"/>
              <w:tr2bl w:val="nil"/>
            </w:tcBorders>
            <w:shd w:val="clear" w:color="auto" w:fill="auto"/>
            <w:vAlign w:val="center"/>
          </w:tcPr>
          <w:p w14:paraId="7F1771CF">
            <w:pPr>
              <w:pStyle w:val="42"/>
              <w:keepNext w:val="0"/>
              <w:keepLines w:val="0"/>
              <w:suppressLineNumbers w:val="0"/>
              <w:bidi w:val="0"/>
              <w:spacing w:before="0" w:beforeAutospacing="0" w:after="0" w:afterAutospacing="0"/>
              <w:rPr>
                <w:rFonts w:hint="eastAsia"/>
              </w:rPr>
            </w:pPr>
            <w:r>
              <w:rPr>
                <w:rFonts w:hint="eastAsia"/>
                <w:lang w:val="en-US" w:eastAsia="zh-CN"/>
              </w:rPr>
              <w:t>潜污泵，WQ15-9-1.5，带切割，带拉杆</w:t>
            </w:r>
          </w:p>
        </w:tc>
        <w:tc>
          <w:tcPr>
            <w:tcW w:w="454" w:type="pct"/>
            <w:tcBorders>
              <w:tl2br w:val="nil"/>
              <w:tr2bl w:val="nil"/>
            </w:tcBorders>
            <w:shd w:val="clear" w:color="auto" w:fill="auto"/>
            <w:vAlign w:val="center"/>
          </w:tcPr>
          <w:p w14:paraId="54D40A09">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50F12F0B">
            <w:pPr>
              <w:pStyle w:val="42"/>
              <w:keepNext w:val="0"/>
              <w:keepLines w:val="0"/>
              <w:suppressLineNumbers w:val="0"/>
              <w:bidi w:val="0"/>
              <w:spacing w:before="0" w:beforeAutospacing="0" w:after="0" w:afterAutospacing="0"/>
              <w:rPr>
                <w:rFonts w:hint="eastAsia"/>
                <w:lang w:val="en-US" w:eastAsia="zh-CN"/>
              </w:rPr>
            </w:pPr>
          </w:p>
        </w:tc>
      </w:tr>
      <w:tr w14:paraId="11FF93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8A7EC91">
            <w:pPr>
              <w:pStyle w:val="42"/>
              <w:keepNext w:val="0"/>
              <w:keepLines w:val="0"/>
              <w:suppressLineNumbers w:val="0"/>
              <w:bidi w:val="0"/>
              <w:spacing w:before="0" w:beforeAutospacing="0" w:after="0" w:afterAutospacing="0"/>
              <w:rPr>
                <w:rFonts w:hint="eastAsia"/>
              </w:rPr>
            </w:pPr>
            <w:r>
              <w:rPr>
                <w:rFonts w:hint="eastAsia"/>
                <w:lang w:val="en-US" w:eastAsia="zh-CN"/>
              </w:rPr>
              <w:t>2.4</w:t>
            </w:r>
          </w:p>
        </w:tc>
        <w:tc>
          <w:tcPr>
            <w:tcW w:w="931" w:type="pct"/>
            <w:tcBorders>
              <w:tl2br w:val="nil"/>
              <w:tr2bl w:val="nil"/>
            </w:tcBorders>
            <w:shd w:val="clear" w:color="auto" w:fill="auto"/>
            <w:vAlign w:val="center"/>
          </w:tcPr>
          <w:p w14:paraId="13CE0C0D">
            <w:pPr>
              <w:pStyle w:val="42"/>
              <w:keepNext w:val="0"/>
              <w:keepLines w:val="0"/>
              <w:suppressLineNumbers w:val="0"/>
              <w:bidi w:val="0"/>
              <w:spacing w:before="0" w:beforeAutospacing="0" w:after="0" w:afterAutospacing="0"/>
              <w:rPr>
                <w:rFonts w:hint="eastAsia"/>
              </w:rPr>
            </w:pPr>
            <w:r>
              <w:rPr>
                <w:rFonts w:hint="eastAsia"/>
                <w:lang w:val="en-US" w:eastAsia="zh-CN"/>
              </w:rPr>
              <w:t>厌氧流化床</w:t>
            </w:r>
          </w:p>
        </w:tc>
        <w:tc>
          <w:tcPr>
            <w:tcW w:w="2395" w:type="pct"/>
            <w:tcBorders>
              <w:tl2br w:val="nil"/>
              <w:tr2bl w:val="nil"/>
            </w:tcBorders>
            <w:shd w:val="clear" w:color="auto" w:fill="auto"/>
            <w:vAlign w:val="center"/>
          </w:tcPr>
          <w:p w14:paraId="4C1E0117">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30357162">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7A07E918">
            <w:pPr>
              <w:pStyle w:val="42"/>
              <w:keepNext w:val="0"/>
              <w:keepLines w:val="0"/>
              <w:suppressLineNumbers w:val="0"/>
              <w:bidi w:val="0"/>
              <w:spacing w:before="0" w:beforeAutospacing="0" w:after="0" w:afterAutospacing="0"/>
              <w:rPr>
                <w:rFonts w:hint="eastAsia"/>
              </w:rPr>
            </w:pPr>
          </w:p>
        </w:tc>
      </w:tr>
      <w:tr w14:paraId="0939F4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A6F1A67">
            <w:pPr>
              <w:pStyle w:val="42"/>
              <w:keepNext w:val="0"/>
              <w:keepLines w:val="0"/>
              <w:suppressLineNumbers w:val="0"/>
              <w:bidi w:val="0"/>
              <w:spacing w:before="0" w:beforeAutospacing="0" w:after="0" w:afterAutospacing="0"/>
              <w:rPr>
                <w:rFonts w:hint="eastAsia"/>
              </w:rPr>
            </w:pPr>
            <w:r>
              <w:rPr>
                <w:rFonts w:hint="eastAsia"/>
                <w:lang w:val="en-US" w:eastAsia="zh-CN"/>
              </w:rPr>
              <w:t>2.4.1</w:t>
            </w:r>
          </w:p>
        </w:tc>
        <w:tc>
          <w:tcPr>
            <w:tcW w:w="931" w:type="pct"/>
            <w:tcBorders>
              <w:tl2br w:val="nil"/>
              <w:tr2bl w:val="nil"/>
            </w:tcBorders>
            <w:shd w:val="clear" w:color="auto" w:fill="auto"/>
            <w:vAlign w:val="center"/>
          </w:tcPr>
          <w:p w14:paraId="52F103FB">
            <w:pPr>
              <w:pStyle w:val="42"/>
              <w:keepNext w:val="0"/>
              <w:keepLines w:val="0"/>
              <w:suppressLineNumbers w:val="0"/>
              <w:bidi w:val="0"/>
              <w:spacing w:before="0" w:beforeAutospacing="0" w:after="0" w:afterAutospacing="0"/>
              <w:rPr>
                <w:rFonts w:hint="eastAsia"/>
              </w:rPr>
            </w:pPr>
            <w:r>
              <w:rPr>
                <w:rFonts w:hint="eastAsia"/>
                <w:lang w:val="en-US" w:eastAsia="zh-CN"/>
              </w:rPr>
              <w:t>穿孔布水系统</w:t>
            </w:r>
          </w:p>
        </w:tc>
        <w:tc>
          <w:tcPr>
            <w:tcW w:w="2395" w:type="pct"/>
            <w:tcBorders>
              <w:tl2br w:val="nil"/>
              <w:tr2bl w:val="nil"/>
            </w:tcBorders>
            <w:shd w:val="clear" w:color="auto" w:fill="auto"/>
            <w:vAlign w:val="center"/>
          </w:tcPr>
          <w:p w14:paraId="6C476D77">
            <w:pPr>
              <w:pStyle w:val="42"/>
              <w:keepNext w:val="0"/>
              <w:keepLines w:val="0"/>
              <w:suppressLineNumbers w:val="0"/>
              <w:bidi w:val="0"/>
              <w:spacing w:before="0" w:beforeAutospacing="0" w:after="0" w:afterAutospacing="0"/>
              <w:rPr>
                <w:rFonts w:hint="eastAsia"/>
              </w:rPr>
            </w:pPr>
            <w:r>
              <w:rPr>
                <w:rFonts w:hint="eastAsia"/>
                <w:lang w:val="en-US" w:eastAsia="zh-CN"/>
              </w:rPr>
              <w:t>ABS材质，按大阻力布水器设计</w:t>
            </w:r>
          </w:p>
        </w:tc>
        <w:tc>
          <w:tcPr>
            <w:tcW w:w="454" w:type="pct"/>
            <w:tcBorders>
              <w:tl2br w:val="nil"/>
              <w:tr2bl w:val="nil"/>
            </w:tcBorders>
            <w:shd w:val="clear" w:color="auto" w:fill="auto"/>
            <w:vAlign w:val="center"/>
          </w:tcPr>
          <w:p w14:paraId="0CDDE5A5">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1F81D235">
            <w:pPr>
              <w:pStyle w:val="42"/>
              <w:keepNext w:val="0"/>
              <w:keepLines w:val="0"/>
              <w:suppressLineNumbers w:val="0"/>
              <w:bidi w:val="0"/>
              <w:spacing w:before="0" w:beforeAutospacing="0" w:after="0" w:afterAutospacing="0"/>
              <w:rPr>
                <w:rFonts w:hint="eastAsia"/>
                <w:lang w:val="en-US" w:eastAsia="zh-CN"/>
              </w:rPr>
            </w:pPr>
          </w:p>
        </w:tc>
      </w:tr>
      <w:tr w14:paraId="7929F4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1D69F0F">
            <w:pPr>
              <w:pStyle w:val="42"/>
              <w:keepNext w:val="0"/>
              <w:keepLines w:val="0"/>
              <w:suppressLineNumbers w:val="0"/>
              <w:bidi w:val="0"/>
              <w:spacing w:before="0" w:beforeAutospacing="0" w:after="0" w:afterAutospacing="0"/>
              <w:rPr>
                <w:rFonts w:hint="eastAsia"/>
              </w:rPr>
            </w:pPr>
            <w:r>
              <w:rPr>
                <w:rFonts w:hint="eastAsia"/>
                <w:lang w:val="en-US" w:eastAsia="zh-CN"/>
              </w:rPr>
              <w:t>2.4.2</w:t>
            </w:r>
          </w:p>
        </w:tc>
        <w:tc>
          <w:tcPr>
            <w:tcW w:w="931" w:type="pct"/>
            <w:tcBorders>
              <w:tl2br w:val="nil"/>
              <w:tr2bl w:val="nil"/>
            </w:tcBorders>
            <w:shd w:val="clear" w:color="auto" w:fill="auto"/>
            <w:vAlign w:val="center"/>
          </w:tcPr>
          <w:p w14:paraId="320C9D9F">
            <w:pPr>
              <w:pStyle w:val="42"/>
              <w:keepNext w:val="0"/>
              <w:keepLines w:val="0"/>
              <w:suppressLineNumbers w:val="0"/>
              <w:bidi w:val="0"/>
              <w:spacing w:before="0" w:beforeAutospacing="0" w:after="0" w:afterAutospacing="0"/>
              <w:rPr>
                <w:rFonts w:hint="eastAsia"/>
              </w:rPr>
            </w:pPr>
            <w:r>
              <w:rPr>
                <w:rFonts w:hint="eastAsia"/>
                <w:lang w:val="en-US" w:eastAsia="zh-CN"/>
              </w:rPr>
              <w:t>弹性填料</w:t>
            </w:r>
          </w:p>
        </w:tc>
        <w:tc>
          <w:tcPr>
            <w:tcW w:w="2395" w:type="pct"/>
            <w:tcBorders>
              <w:tl2br w:val="nil"/>
              <w:tr2bl w:val="nil"/>
            </w:tcBorders>
            <w:shd w:val="clear" w:color="auto" w:fill="auto"/>
            <w:vAlign w:val="center"/>
          </w:tcPr>
          <w:p w14:paraId="0C9F9545">
            <w:pPr>
              <w:pStyle w:val="42"/>
              <w:keepNext w:val="0"/>
              <w:keepLines w:val="0"/>
              <w:suppressLineNumbers w:val="0"/>
              <w:bidi w:val="0"/>
              <w:spacing w:before="0" w:beforeAutospacing="0" w:after="0" w:afterAutospacing="0"/>
              <w:rPr>
                <w:rFonts w:hint="eastAsia"/>
              </w:rPr>
            </w:pPr>
            <w:r>
              <w:rPr>
                <w:rFonts w:hint="eastAsia"/>
                <w:lang w:val="en-US" w:eastAsia="zh-CN"/>
              </w:rPr>
              <w:t>φ80,3.0m高度，228m</w:t>
            </w:r>
            <w:r>
              <w:rPr>
                <w:rFonts w:hint="eastAsia"/>
                <w:vertAlign w:val="superscript"/>
                <w:lang w:val="en-US" w:eastAsia="zh-CN"/>
              </w:rPr>
              <w:t>2</w:t>
            </w:r>
          </w:p>
        </w:tc>
        <w:tc>
          <w:tcPr>
            <w:tcW w:w="454" w:type="pct"/>
            <w:tcBorders>
              <w:tl2br w:val="nil"/>
              <w:tr2bl w:val="nil"/>
            </w:tcBorders>
            <w:shd w:val="clear" w:color="auto" w:fill="auto"/>
            <w:vAlign w:val="center"/>
          </w:tcPr>
          <w:p w14:paraId="38E16C82">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9A4D805">
            <w:pPr>
              <w:pStyle w:val="42"/>
              <w:keepNext w:val="0"/>
              <w:keepLines w:val="0"/>
              <w:suppressLineNumbers w:val="0"/>
              <w:bidi w:val="0"/>
              <w:spacing w:before="0" w:beforeAutospacing="0" w:after="0" w:afterAutospacing="0"/>
              <w:rPr>
                <w:rFonts w:hint="eastAsia"/>
                <w:lang w:val="en-US" w:eastAsia="zh-CN"/>
              </w:rPr>
            </w:pPr>
          </w:p>
        </w:tc>
      </w:tr>
      <w:tr w14:paraId="7290A6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F7559FE">
            <w:pPr>
              <w:pStyle w:val="42"/>
              <w:keepNext w:val="0"/>
              <w:keepLines w:val="0"/>
              <w:suppressLineNumbers w:val="0"/>
              <w:bidi w:val="0"/>
              <w:spacing w:before="0" w:beforeAutospacing="0" w:after="0" w:afterAutospacing="0"/>
              <w:rPr>
                <w:rFonts w:hint="eastAsia"/>
              </w:rPr>
            </w:pPr>
            <w:r>
              <w:rPr>
                <w:rFonts w:hint="eastAsia"/>
                <w:lang w:val="en-US" w:eastAsia="zh-CN"/>
              </w:rPr>
              <w:t>2.4.3</w:t>
            </w:r>
          </w:p>
        </w:tc>
        <w:tc>
          <w:tcPr>
            <w:tcW w:w="931" w:type="pct"/>
            <w:tcBorders>
              <w:tl2br w:val="nil"/>
              <w:tr2bl w:val="nil"/>
            </w:tcBorders>
            <w:shd w:val="clear" w:color="auto" w:fill="auto"/>
            <w:vAlign w:val="center"/>
          </w:tcPr>
          <w:p w14:paraId="4B7D8817">
            <w:pPr>
              <w:pStyle w:val="42"/>
              <w:keepNext w:val="0"/>
              <w:keepLines w:val="0"/>
              <w:suppressLineNumbers w:val="0"/>
              <w:bidi w:val="0"/>
              <w:spacing w:before="0" w:beforeAutospacing="0" w:after="0" w:afterAutospacing="0"/>
              <w:rPr>
                <w:rFonts w:hint="eastAsia"/>
              </w:rPr>
            </w:pPr>
            <w:r>
              <w:rPr>
                <w:rFonts w:hint="eastAsia"/>
                <w:lang w:val="en-US" w:eastAsia="zh-CN"/>
              </w:rPr>
              <w:t>填料支架</w:t>
            </w:r>
          </w:p>
        </w:tc>
        <w:tc>
          <w:tcPr>
            <w:tcW w:w="2395" w:type="pct"/>
            <w:tcBorders>
              <w:tl2br w:val="nil"/>
              <w:tr2bl w:val="nil"/>
            </w:tcBorders>
            <w:shd w:val="clear" w:color="auto" w:fill="auto"/>
            <w:vAlign w:val="center"/>
          </w:tcPr>
          <w:p w14:paraId="5B81B0BC">
            <w:pPr>
              <w:pStyle w:val="42"/>
              <w:keepNext w:val="0"/>
              <w:keepLines w:val="0"/>
              <w:suppressLineNumbers w:val="0"/>
              <w:bidi w:val="0"/>
              <w:spacing w:before="0" w:beforeAutospacing="0" w:after="0" w:afterAutospacing="0"/>
              <w:rPr>
                <w:rFonts w:hint="eastAsia"/>
              </w:rPr>
            </w:pPr>
            <w:r>
              <w:rPr>
                <w:rFonts w:hint="eastAsia"/>
                <w:lang w:val="en-US" w:eastAsia="zh-CN"/>
              </w:rPr>
              <w:t>热镀锌钢材</w:t>
            </w:r>
          </w:p>
        </w:tc>
        <w:tc>
          <w:tcPr>
            <w:tcW w:w="454" w:type="pct"/>
            <w:tcBorders>
              <w:tl2br w:val="nil"/>
              <w:tr2bl w:val="nil"/>
            </w:tcBorders>
            <w:shd w:val="clear" w:color="auto" w:fill="auto"/>
            <w:vAlign w:val="center"/>
          </w:tcPr>
          <w:p w14:paraId="4F198C56">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22B23479">
            <w:pPr>
              <w:pStyle w:val="42"/>
              <w:keepNext w:val="0"/>
              <w:keepLines w:val="0"/>
              <w:suppressLineNumbers w:val="0"/>
              <w:bidi w:val="0"/>
              <w:spacing w:before="0" w:beforeAutospacing="0" w:after="0" w:afterAutospacing="0"/>
              <w:rPr>
                <w:rFonts w:hint="eastAsia"/>
                <w:lang w:val="en-US" w:eastAsia="zh-CN"/>
              </w:rPr>
            </w:pPr>
          </w:p>
        </w:tc>
      </w:tr>
      <w:tr w14:paraId="07AA28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BAB1757">
            <w:pPr>
              <w:pStyle w:val="42"/>
              <w:keepNext w:val="0"/>
              <w:keepLines w:val="0"/>
              <w:suppressLineNumbers w:val="0"/>
              <w:bidi w:val="0"/>
              <w:spacing w:before="0" w:beforeAutospacing="0" w:after="0" w:afterAutospacing="0"/>
              <w:rPr>
                <w:rFonts w:hint="eastAsia"/>
              </w:rPr>
            </w:pPr>
            <w:r>
              <w:rPr>
                <w:rFonts w:hint="eastAsia"/>
                <w:lang w:val="en-US" w:eastAsia="zh-CN"/>
              </w:rPr>
              <w:t>2.4.4</w:t>
            </w:r>
          </w:p>
        </w:tc>
        <w:tc>
          <w:tcPr>
            <w:tcW w:w="931" w:type="pct"/>
            <w:tcBorders>
              <w:tl2br w:val="nil"/>
              <w:tr2bl w:val="nil"/>
            </w:tcBorders>
            <w:shd w:val="clear" w:color="auto" w:fill="auto"/>
            <w:vAlign w:val="center"/>
          </w:tcPr>
          <w:p w14:paraId="0E8ED8A9">
            <w:pPr>
              <w:pStyle w:val="42"/>
              <w:keepNext w:val="0"/>
              <w:keepLines w:val="0"/>
              <w:suppressLineNumbers w:val="0"/>
              <w:bidi w:val="0"/>
              <w:spacing w:before="0" w:beforeAutospacing="0" w:after="0" w:afterAutospacing="0"/>
              <w:rPr>
                <w:rFonts w:hint="eastAsia"/>
              </w:rPr>
            </w:pPr>
            <w:r>
              <w:rPr>
                <w:rFonts w:hint="eastAsia"/>
                <w:lang w:val="en-US" w:eastAsia="zh-CN"/>
              </w:rPr>
              <w:t>回流系统</w:t>
            </w:r>
          </w:p>
        </w:tc>
        <w:tc>
          <w:tcPr>
            <w:tcW w:w="2395" w:type="pct"/>
            <w:tcBorders>
              <w:tl2br w:val="nil"/>
              <w:tr2bl w:val="nil"/>
            </w:tcBorders>
            <w:shd w:val="clear" w:color="auto" w:fill="auto"/>
            <w:vAlign w:val="center"/>
          </w:tcPr>
          <w:p w14:paraId="083938CB">
            <w:pPr>
              <w:pStyle w:val="42"/>
              <w:keepNext w:val="0"/>
              <w:keepLines w:val="0"/>
              <w:suppressLineNumbers w:val="0"/>
              <w:bidi w:val="0"/>
              <w:spacing w:before="0" w:beforeAutospacing="0" w:after="0" w:afterAutospacing="0"/>
              <w:rPr>
                <w:rFonts w:hint="eastAsia"/>
              </w:rPr>
            </w:pPr>
            <w:r>
              <w:rPr>
                <w:rFonts w:hint="eastAsia"/>
                <w:lang w:val="en-US" w:eastAsia="zh-CN"/>
              </w:rPr>
              <w:t>ABS材质，按大阻力布水器设计</w:t>
            </w:r>
          </w:p>
        </w:tc>
        <w:tc>
          <w:tcPr>
            <w:tcW w:w="454" w:type="pct"/>
            <w:tcBorders>
              <w:tl2br w:val="nil"/>
              <w:tr2bl w:val="nil"/>
            </w:tcBorders>
            <w:shd w:val="clear" w:color="auto" w:fill="auto"/>
            <w:vAlign w:val="center"/>
          </w:tcPr>
          <w:p w14:paraId="4B6FE20C">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5FD9B470">
            <w:pPr>
              <w:pStyle w:val="42"/>
              <w:keepNext w:val="0"/>
              <w:keepLines w:val="0"/>
              <w:suppressLineNumbers w:val="0"/>
              <w:bidi w:val="0"/>
              <w:spacing w:before="0" w:beforeAutospacing="0" w:after="0" w:afterAutospacing="0"/>
              <w:rPr>
                <w:rFonts w:hint="eastAsia"/>
                <w:lang w:val="en-US" w:eastAsia="zh-CN"/>
              </w:rPr>
            </w:pPr>
          </w:p>
        </w:tc>
      </w:tr>
      <w:tr w14:paraId="0ADCE0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B485A63">
            <w:pPr>
              <w:pStyle w:val="42"/>
              <w:keepNext w:val="0"/>
              <w:keepLines w:val="0"/>
              <w:suppressLineNumbers w:val="0"/>
              <w:bidi w:val="0"/>
              <w:spacing w:before="0" w:beforeAutospacing="0" w:after="0" w:afterAutospacing="0"/>
              <w:rPr>
                <w:rFonts w:hint="eastAsia"/>
              </w:rPr>
            </w:pPr>
            <w:r>
              <w:rPr>
                <w:rFonts w:hint="eastAsia"/>
                <w:lang w:val="en-US" w:eastAsia="zh-CN"/>
              </w:rPr>
              <w:t>2.4.5</w:t>
            </w:r>
          </w:p>
        </w:tc>
        <w:tc>
          <w:tcPr>
            <w:tcW w:w="931" w:type="pct"/>
            <w:tcBorders>
              <w:tl2br w:val="nil"/>
              <w:tr2bl w:val="nil"/>
            </w:tcBorders>
            <w:shd w:val="clear" w:color="auto" w:fill="auto"/>
            <w:vAlign w:val="center"/>
          </w:tcPr>
          <w:p w14:paraId="4FB80FDA">
            <w:pPr>
              <w:pStyle w:val="42"/>
              <w:keepNext w:val="0"/>
              <w:keepLines w:val="0"/>
              <w:suppressLineNumbers w:val="0"/>
              <w:bidi w:val="0"/>
              <w:spacing w:before="0" w:beforeAutospacing="0" w:after="0" w:afterAutospacing="0"/>
              <w:rPr>
                <w:rFonts w:hint="eastAsia"/>
              </w:rPr>
            </w:pPr>
            <w:r>
              <w:rPr>
                <w:rFonts w:hint="eastAsia"/>
                <w:lang w:val="en-US" w:eastAsia="zh-CN"/>
              </w:rPr>
              <w:t>回流泵</w:t>
            </w:r>
          </w:p>
        </w:tc>
        <w:tc>
          <w:tcPr>
            <w:tcW w:w="2395" w:type="pct"/>
            <w:tcBorders>
              <w:tl2br w:val="nil"/>
              <w:tr2bl w:val="nil"/>
            </w:tcBorders>
            <w:shd w:val="clear" w:color="auto" w:fill="auto"/>
            <w:vAlign w:val="center"/>
          </w:tcPr>
          <w:p w14:paraId="0C557F0D">
            <w:pPr>
              <w:pStyle w:val="42"/>
              <w:keepNext w:val="0"/>
              <w:keepLines w:val="0"/>
              <w:suppressLineNumbers w:val="0"/>
              <w:bidi w:val="0"/>
              <w:spacing w:before="0" w:beforeAutospacing="0" w:after="0" w:afterAutospacing="0"/>
              <w:rPr>
                <w:rFonts w:hint="eastAsia"/>
              </w:rPr>
            </w:pPr>
            <w:r>
              <w:rPr>
                <w:rFonts w:hint="eastAsia"/>
                <w:lang w:val="en-US" w:eastAsia="zh-CN"/>
              </w:rPr>
              <w:t>80-125(I)A，100m³/h-20m-11kw</w:t>
            </w:r>
          </w:p>
        </w:tc>
        <w:tc>
          <w:tcPr>
            <w:tcW w:w="454" w:type="pct"/>
            <w:tcBorders>
              <w:tl2br w:val="nil"/>
              <w:tr2bl w:val="nil"/>
            </w:tcBorders>
            <w:shd w:val="clear" w:color="auto" w:fill="auto"/>
            <w:vAlign w:val="center"/>
          </w:tcPr>
          <w:p w14:paraId="5B6B1DA2">
            <w:pPr>
              <w:pStyle w:val="42"/>
              <w:keepNext w:val="0"/>
              <w:keepLines w:val="0"/>
              <w:suppressLineNumbers w:val="0"/>
              <w:bidi w:val="0"/>
              <w:spacing w:before="0" w:beforeAutospacing="0" w:after="0" w:afterAutospacing="0"/>
              <w:rPr>
                <w:rFonts w:hint="eastAsia"/>
              </w:rPr>
            </w:pPr>
            <w:r>
              <w:rPr>
                <w:rFonts w:hint="eastAsia"/>
                <w:lang w:val="en-US" w:eastAsia="zh-CN"/>
              </w:rPr>
              <w:t>4套</w:t>
            </w:r>
          </w:p>
        </w:tc>
        <w:tc>
          <w:tcPr>
            <w:tcW w:w="724" w:type="pct"/>
            <w:tcBorders>
              <w:tl2br w:val="nil"/>
              <w:tr2bl w:val="nil"/>
            </w:tcBorders>
            <w:shd w:val="clear" w:color="auto" w:fill="auto"/>
            <w:vAlign w:val="center"/>
          </w:tcPr>
          <w:p w14:paraId="4870D80F">
            <w:pPr>
              <w:pStyle w:val="42"/>
              <w:keepNext w:val="0"/>
              <w:keepLines w:val="0"/>
              <w:suppressLineNumbers w:val="0"/>
              <w:bidi w:val="0"/>
              <w:spacing w:before="0" w:beforeAutospacing="0" w:after="0" w:afterAutospacing="0"/>
              <w:rPr>
                <w:rFonts w:hint="eastAsia"/>
                <w:lang w:val="en-US" w:eastAsia="zh-CN"/>
              </w:rPr>
            </w:pPr>
          </w:p>
        </w:tc>
      </w:tr>
      <w:tr w14:paraId="1C0294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22BED8C">
            <w:pPr>
              <w:pStyle w:val="42"/>
              <w:keepNext w:val="0"/>
              <w:keepLines w:val="0"/>
              <w:suppressLineNumbers w:val="0"/>
              <w:bidi w:val="0"/>
              <w:spacing w:before="0" w:beforeAutospacing="0" w:after="0" w:afterAutospacing="0"/>
              <w:rPr>
                <w:rFonts w:hint="eastAsia"/>
              </w:rPr>
            </w:pPr>
            <w:r>
              <w:rPr>
                <w:rFonts w:hint="eastAsia"/>
                <w:lang w:val="en-US" w:eastAsia="zh-CN"/>
              </w:rPr>
              <w:t>2.4.6</w:t>
            </w:r>
          </w:p>
        </w:tc>
        <w:tc>
          <w:tcPr>
            <w:tcW w:w="931" w:type="pct"/>
            <w:tcBorders>
              <w:tl2br w:val="nil"/>
              <w:tr2bl w:val="nil"/>
            </w:tcBorders>
            <w:shd w:val="clear" w:color="auto" w:fill="auto"/>
            <w:vAlign w:val="center"/>
          </w:tcPr>
          <w:p w14:paraId="4C16F9CD">
            <w:pPr>
              <w:pStyle w:val="42"/>
              <w:keepNext w:val="0"/>
              <w:keepLines w:val="0"/>
              <w:suppressLineNumbers w:val="0"/>
              <w:bidi w:val="0"/>
              <w:spacing w:before="0" w:beforeAutospacing="0" w:after="0" w:afterAutospacing="0"/>
              <w:rPr>
                <w:rFonts w:hint="eastAsia"/>
              </w:rPr>
            </w:pPr>
            <w:r>
              <w:rPr>
                <w:rFonts w:hint="eastAsia"/>
                <w:lang w:val="en-US" w:eastAsia="zh-CN"/>
              </w:rPr>
              <w:t>固液分离装置</w:t>
            </w:r>
          </w:p>
        </w:tc>
        <w:tc>
          <w:tcPr>
            <w:tcW w:w="2395" w:type="pct"/>
            <w:tcBorders>
              <w:tl2br w:val="nil"/>
              <w:tr2bl w:val="nil"/>
            </w:tcBorders>
            <w:shd w:val="clear" w:color="auto" w:fill="auto"/>
            <w:vAlign w:val="center"/>
          </w:tcPr>
          <w:p w14:paraId="62B48EA7">
            <w:pPr>
              <w:pStyle w:val="42"/>
              <w:keepNext w:val="0"/>
              <w:keepLines w:val="0"/>
              <w:suppressLineNumbers w:val="0"/>
              <w:bidi w:val="0"/>
              <w:spacing w:before="0" w:beforeAutospacing="0" w:after="0" w:afterAutospacing="0"/>
              <w:rPr>
                <w:rFonts w:hint="eastAsia"/>
              </w:rPr>
            </w:pPr>
            <w:r>
              <w:rPr>
                <w:rFonts w:hint="eastAsia"/>
                <w:lang w:val="en-US" w:eastAsia="zh-CN"/>
              </w:rPr>
              <w:t>pp折板</w:t>
            </w:r>
          </w:p>
        </w:tc>
        <w:tc>
          <w:tcPr>
            <w:tcW w:w="454" w:type="pct"/>
            <w:tcBorders>
              <w:tl2br w:val="nil"/>
              <w:tr2bl w:val="nil"/>
            </w:tcBorders>
            <w:shd w:val="clear" w:color="auto" w:fill="auto"/>
            <w:vAlign w:val="center"/>
          </w:tcPr>
          <w:p w14:paraId="645347C1">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415F1324">
            <w:pPr>
              <w:pStyle w:val="42"/>
              <w:keepNext w:val="0"/>
              <w:keepLines w:val="0"/>
              <w:suppressLineNumbers w:val="0"/>
              <w:bidi w:val="0"/>
              <w:spacing w:before="0" w:beforeAutospacing="0" w:after="0" w:afterAutospacing="0"/>
              <w:rPr>
                <w:rFonts w:hint="eastAsia"/>
                <w:lang w:val="en-US" w:eastAsia="zh-CN"/>
              </w:rPr>
            </w:pPr>
          </w:p>
        </w:tc>
      </w:tr>
      <w:tr w14:paraId="42CAF5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96DC3A6">
            <w:pPr>
              <w:pStyle w:val="42"/>
              <w:keepNext w:val="0"/>
              <w:keepLines w:val="0"/>
              <w:suppressLineNumbers w:val="0"/>
              <w:bidi w:val="0"/>
              <w:spacing w:before="0" w:beforeAutospacing="0" w:after="0" w:afterAutospacing="0"/>
              <w:rPr>
                <w:rFonts w:hint="eastAsia"/>
              </w:rPr>
            </w:pPr>
            <w:r>
              <w:rPr>
                <w:rFonts w:hint="eastAsia"/>
                <w:lang w:val="en-US" w:eastAsia="zh-CN"/>
              </w:rPr>
              <w:t>2.4.7</w:t>
            </w:r>
          </w:p>
        </w:tc>
        <w:tc>
          <w:tcPr>
            <w:tcW w:w="931" w:type="pct"/>
            <w:tcBorders>
              <w:tl2br w:val="nil"/>
              <w:tr2bl w:val="nil"/>
            </w:tcBorders>
            <w:shd w:val="clear" w:color="auto" w:fill="auto"/>
            <w:vAlign w:val="center"/>
          </w:tcPr>
          <w:p w14:paraId="2D1FF2A3">
            <w:pPr>
              <w:pStyle w:val="42"/>
              <w:keepNext w:val="0"/>
              <w:keepLines w:val="0"/>
              <w:suppressLineNumbers w:val="0"/>
              <w:bidi w:val="0"/>
              <w:spacing w:before="0" w:beforeAutospacing="0" w:after="0" w:afterAutospacing="0"/>
              <w:rPr>
                <w:rFonts w:hint="eastAsia"/>
              </w:rPr>
            </w:pPr>
            <w:r>
              <w:rPr>
                <w:rFonts w:hint="eastAsia"/>
                <w:lang w:val="en-US" w:eastAsia="zh-CN"/>
              </w:rPr>
              <w:t>射流器及配套</w:t>
            </w:r>
          </w:p>
        </w:tc>
        <w:tc>
          <w:tcPr>
            <w:tcW w:w="2395" w:type="pct"/>
            <w:tcBorders>
              <w:tl2br w:val="nil"/>
              <w:tr2bl w:val="nil"/>
            </w:tcBorders>
            <w:shd w:val="clear" w:color="auto" w:fill="auto"/>
            <w:vAlign w:val="center"/>
          </w:tcPr>
          <w:p w14:paraId="37C89E35">
            <w:pPr>
              <w:pStyle w:val="42"/>
              <w:keepNext w:val="0"/>
              <w:keepLines w:val="0"/>
              <w:suppressLineNumbers w:val="0"/>
              <w:bidi w:val="0"/>
              <w:spacing w:before="0" w:beforeAutospacing="0" w:after="0" w:afterAutospacing="0"/>
              <w:rPr>
                <w:rFonts w:hint="eastAsia"/>
              </w:rPr>
            </w:pPr>
            <w:r>
              <w:rPr>
                <w:rFonts w:hint="eastAsia"/>
                <w:lang w:val="en-US" w:eastAsia="zh-CN"/>
              </w:rPr>
              <w:t>PVDF材质，DN25*50</w:t>
            </w:r>
          </w:p>
        </w:tc>
        <w:tc>
          <w:tcPr>
            <w:tcW w:w="454" w:type="pct"/>
            <w:tcBorders>
              <w:tl2br w:val="nil"/>
              <w:tr2bl w:val="nil"/>
            </w:tcBorders>
            <w:shd w:val="clear" w:color="auto" w:fill="auto"/>
            <w:vAlign w:val="center"/>
          </w:tcPr>
          <w:p w14:paraId="26378E59">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3F08FFA4">
            <w:pPr>
              <w:pStyle w:val="42"/>
              <w:keepNext w:val="0"/>
              <w:keepLines w:val="0"/>
              <w:suppressLineNumbers w:val="0"/>
              <w:bidi w:val="0"/>
              <w:spacing w:before="0" w:beforeAutospacing="0" w:after="0" w:afterAutospacing="0"/>
              <w:rPr>
                <w:rFonts w:hint="eastAsia"/>
                <w:lang w:val="en-US" w:eastAsia="zh-CN"/>
              </w:rPr>
            </w:pPr>
          </w:p>
        </w:tc>
      </w:tr>
      <w:tr w14:paraId="0874C5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CD9B274">
            <w:pPr>
              <w:pStyle w:val="42"/>
              <w:keepNext w:val="0"/>
              <w:keepLines w:val="0"/>
              <w:suppressLineNumbers w:val="0"/>
              <w:bidi w:val="0"/>
              <w:spacing w:before="0" w:beforeAutospacing="0" w:after="0" w:afterAutospacing="0"/>
              <w:rPr>
                <w:rFonts w:hint="eastAsia"/>
              </w:rPr>
            </w:pPr>
            <w:r>
              <w:rPr>
                <w:rFonts w:hint="eastAsia"/>
                <w:lang w:val="en-US" w:eastAsia="zh-CN"/>
              </w:rPr>
              <w:t>2.5</w:t>
            </w:r>
          </w:p>
        </w:tc>
        <w:tc>
          <w:tcPr>
            <w:tcW w:w="931" w:type="pct"/>
            <w:tcBorders>
              <w:tl2br w:val="nil"/>
              <w:tr2bl w:val="nil"/>
            </w:tcBorders>
            <w:shd w:val="clear" w:color="auto" w:fill="auto"/>
            <w:vAlign w:val="center"/>
          </w:tcPr>
          <w:p w14:paraId="27FACFC0">
            <w:pPr>
              <w:pStyle w:val="42"/>
              <w:keepNext w:val="0"/>
              <w:keepLines w:val="0"/>
              <w:suppressLineNumbers w:val="0"/>
              <w:bidi w:val="0"/>
              <w:spacing w:before="0" w:beforeAutospacing="0" w:after="0" w:afterAutospacing="0"/>
              <w:rPr>
                <w:rFonts w:hint="eastAsia"/>
              </w:rPr>
            </w:pPr>
            <w:r>
              <w:rPr>
                <w:rFonts w:hint="eastAsia"/>
                <w:lang w:val="en-US" w:eastAsia="zh-CN"/>
              </w:rPr>
              <w:t>好氧池</w:t>
            </w:r>
          </w:p>
        </w:tc>
        <w:tc>
          <w:tcPr>
            <w:tcW w:w="2395" w:type="pct"/>
            <w:tcBorders>
              <w:tl2br w:val="nil"/>
              <w:tr2bl w:val="nil"/>
            </w:tcBorders>
            <w:shd w:val="clear" w:color="auto" w:fill="auto"/>
            <w:noWrap/>
            <w:vAlign w:val="center"/>
          </w:tcPr>
          <w:p w14:paraId="1B77D683">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09D9D474">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6344F58B">
            <w:pPr>
              <w:pStyle w:val="42"/>
              <w:keepNext w:val="0"/>
              <w:keepLines w:val="0"/>
              <w:suppressLineNumbers w:val="0"/>
              <w:bidi w:val="0"/>
              <w:spacing w:before="0" w:beforeAutospacing="0" w:after="0" w:afterAutospacing="0"/>
              <w:rPr>
                <w:rFonts w:hint="eastAsia"/>
              </w:rPr>
            </w:pPr>
          </w:p>
        </w:tc>
      </w:tr>
      <w:tr w14:paraId="2B7783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71A58BD">
            <w:pPr>
              <w:pStyle w:val="42"/>
              <w:keepNext w:val="0"/>
              <w:keepLines w:val="0"/>
              <w:suppressLineNumbers w:val="0"/>
              <w:bidi w:val="0"/>
              <w:spacing w:before="0" w:beforeAutospacing="0" w:after="0" w:afterAutospacing="0"/>
              <w:rPr>
                <w:rFonts w:hint="eastAsia"/>
              </w:rPr>
            </w:pPr>
            <w:r>
              <w:rPr>
                <w:rFonts w:hint="eastAsia"/>
                <w:lang w:val="en-US" w:eastAsia="zh-CN"/>
              </w:rPr>
              <w:t>2.5.1</w:t>
            </w:r>
          </w:p>
        </w:tc>
        <w:tc>
          <w:tcPr>
            <w:tcW w:w="931" w:type="pct"/>
            <w:tcBorders>
              <w:tl2br w:val="nil"/>
              <w:tr2bl w:val="nil"/>
            </w:tcBorders>
            <w:shd w:val="clear" w:color="auto" w:fill="auto"/>
            <w:vAlign w:val="center"/>
          </w:tcPr>
          <w:p w14:paraId="104C7C53">
            <w:pPr>
              <w:pStyle w:val="42"/>
              <w:keepNext w:val="0"/>
              <w:keepLines w:val="0"/>
              <w:suppressLineNumbers w:val="0"/>
              <w:bidi w:val="0"/>
              <w:spacing w:before="0" w:beforeAutospacing="0" w:after="0" w:afterAutospacing="0"/>
              <w:rPr>
                <w:rFonts w:hint="eastAsia"/>
              </w:rPr>
            </w:pPr>
            <w:r>
              <w:rPr>
                <w:rFonts w:hint="eastAsia"/>
                <w:lang w:val="en-US" w:eastAsia="zh-CN"/>
              </w:rPr>
              <w:t>曝气管道及其配件</w:t>
            </w:r>
          </w:p>
        </w:tc>
        <w:tc>
          <w:tcPr>
            <w:tcW w:w="2395" w:type="pct"/>
            <w:tcBorders>
              <w:tl2br w:val="nil"/>
              <w:tr2bl w:val="nil"/>
            </w:tcBorders>
            <w:shd w:val="clear" w:color="auto" w:fill="auto"/>
            <w:vAlign w:val="center"/>
          </w:tcPr>
          <w:p w14:paraId="77DFA4A0">
            <w:pPr>
              <w:pStyle w:val="42"/>
              <w:keepNext w:val="0"/>
              <w:keepLines w:val="0"/>
              <w:suppressLineNumbers w:val="0"/>
              <w:bidi w:val="0"/>
              <w:spacing w:before="0" w:beforeAutospacing="0" w:after="0" w:afterAutospacing="0"/>
              <w:rPr>
                <w:rFonts w:hint="eastAsia"/>
              </w:rPr>
            </w:pPr>
            <w:r>
              <w:rPr>
                <w:rFonts w:hint="eastAsia"/>
                <w:lang w:val="en-US" w:eastAsia="zh-CN"/>
              </w:rPr>
              <w:t>热镀锌材质，DN150/DN100防腐漆防腐，管壁厚度不低于3mm</w:t>
            </w:r>
          </w:p>
        </w:tc>
        <w:tc>
          <w:tcPr>
            <w:tcW w:w="454" w:type="pct"/>
            <w:tcBorders>
              <w:tl2br w:val="nil"/>
              <w:tr2bl w:val="nil"/>
            </w:tcBorders>
            <w:shd w:val="clear" w:color="auto" w:fill="auto"/>
            <w:vAlign w:val="center"/>
          </w:tcPr>
          <w:p w14:paraId="2AFBE9F5">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30FAF857">
            <w:pPr>
              <w:pStyle w:val="42"/>
              <w:keepNext w:val="0"/>
              <w:keepLines w:val="0"/>
              <w:suppressLineNumbers w:val="0"/>
              <w:bidi w:val="0"/>
              <w:spacing w:before="0" w:beforeAutospacing="0" w:after="0" w:afterAutospacing="0"/>
              <w:rPr>
                <w:rFonts w:hint="eastAsia"/>
                <w:lang w:val="en-US" w:eastAsia="zh-CN"/>
              </w:rPr>
            </w:pPr>
          </w:p>
        </w:tc>
      </w:tr>
      <w:tr w14:paraId="6B7D6A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C5750BC">
            <w:pPr>
              <w:pStyle w:val="42"/>
              <w:keepNext w:val="0"/>
              <w:keepLines w:val="0"/>
              <w:suppressLineNumbers w:val="0"/>
              <w:bidi w:val="0"/>
              <w:spacing w:before="0" w:beforeAutospacing="0" w:after="0" w:afterAutospacing="0"/>
              <w:rPr>
                <w:rFonts w:hint="eastAsia"/>
              </w:rPr>
            </w:pPr>
            <w:r>
              <w:rPr>
                <w:rFonts w:hint="eastAsia"/>
                <w:lang w:val="en-US" w:eastAsia="zh-CN"/>
              </w:rPr>
              <w:t>2.5.2</w:t>
            </w:r>
          </w:p>
        </w:tc>
        <w:tc>
          <w:tcPr>
            <w:tcW w:w="931" w:type="pct"/>
            <w:tcBorders>
              <w:tl2br w:val="nil"/>
              <w:tr2bl w:val="nil"/>
            </w:tcBorders>
            <w:shd w:val="clear" w:color="auto" w:fill="auto"/>
            <w:vAlign w:val="center"/>
          </w:tcPr>
          <w:p w14:paraId="10ABC855">
            <w:pPr>
              <w:pStyle w:val="42"/>
              <w:keepNext w:val="0"/>
              <w:keepLines w:val="0"/>
              <w:suppressLineNumbers w:val="0"/>
              <w:bidi w:val="0"/>
              <w:spacing w:before="0" w:beforeAutospacing="0" w:after="0" w:afterAutospacing="0"/>
              <w:rPr>
                <w:rFonts w:hint="eastAsia"/>
              </w:rPr>
            </w:pPr>
            <w:r>
              <w:rPr>
                <w:rFonts w:hint="eastAsia"/>
                <w:lang w:val="en-US" w:eastAsia="zh-CN"/>
              </w:rPr>
              <w:t>微孔曝气盘</w:t>
            </w:r>
          </w:p>
        </w:tc>
        <w:tc>
          <w:tcPr>
            <w:tcW w:w="2395" w:type="pct"/>
            <w:tcBorders>
              <w:tl2br w:val="nil"/>
              <w:tr2bl w:val="nil"/>
            </w:tcBorders>
            <w:shd w:val="clear" w:color="auto" w:fill="auto"/>
            <w:vAlign w:val="center"/>
          </w:tcPr>
          <w:p w14:paraId="3BF9457C">
            <w:pPr>
              <w:pStyle w:val="42"/>
              <w:keepNext w:val="0"/>
              <w:keepLines w:val="0"/>
              <w:suppressLineNumbers w:val="0"/>
              <w:bidi w:val="0"/>
              <w:spacing w:before="0" w:beforeAutospacing="0" w:after="0" w:afterAutospacing="0"/>
              <w:rPr>
                <w:rFonts w:hint="eastAsia"/>
              </w:rPr>
            </w:pPr>
            <w:r>
              <w:rPr>
                <w:rFonts w:hint="eastAsia"/>
                <w:lang w:val="en-US" w:eastAsia="zh-CN"/>
              </w:rPr>
              <w:t>φ215</w:t>
            </w:r>
          </w:p>
        </w:tc>
        <w:tc>
          <w:tcPr>
            <w:tcW w:w="454" w:type="pct"/>
            <w:tcBorders>
              <w:tl2br w:val="nil"/>
              <w:tr2bl w:val="nil"/>
            </w:tcBorders>
            <w:shd w:val="clear" w:color="auto" w:fill="auto"/>
            <w:vAlign w:val="center"/>
          </w:tcPr>
          <w:p w14:paraId="7495A484">
            <w:pPr>
              <w:pStyle w:val="42"/>
              <w:keepNext w:val="0"/>
              <w:keepLines w:val="0"/>
              <w:suppressLineNumbers w:val="0"/>
              <w:bidi w:val="0"/>
              <w:spacing w:before="0" w:beforeAutospacing="0" w:after="0" w:afterAutospacing="0"/>
              <w:rPr>
                <w:rFonts w:hint="eastAsia"/>
              </w:rPr>
            </w:pPr>
            <w:r>
              <w:rPr>
                <w:rFonts w:hint="eastAsia"/>
                <w:lang w:val="en-US" w:eastAsia="zh-CN"/>
              </w:rPr>
              <w:t>128套</w:t>
            </w:r>
          </w:p>
        </w:tc>
        <w:tc>
          <w:tcPr>
            <w:tcW w:w="724" w:type="pct"/>
            <w:tcBorders>
              <w:tl2br w:val="nil"/>
              <w:tr2bl w:val="nil"/>
            </w:tcBorders>
            <w:shd w:val="clear" w:color="auto" w:fill="auto"/>
            <w:vAlign w:val="center"/>
          </w:tcPr>
          <w:p w14:paraId="787EA7D3">
            <w:pPr>
              <w:pStyle w:val="42"/>
              <w:keepNext w:val="0"/>
              <w:keepLines w:val="0"/>
              <w:suppressLineNumbers w:val="0"/>
              <w:bidi w:val="0"/>
              <w:spacing w:before="0" w:beforeAutospacing="0" w:after="0" w:afterAutospacing="0"/>
              <w:rPr>
                <w:rFonts w:hint="eastAsia"/>
                <w:lang w:val="en-US" w:eastAsia="zh-CN"/>
              </w:rPr>
            </w:pPr>
          </w:p>
        </w:tc>
      </w:tr>
      <w:tr w14:paraId="5576DE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7E49DBFB">
            <w:pPr>
              <w:pStyle w:val="42"/>
              <w:keepNext w:val="0"/>
              <w:keepLines w:val="0"/>
              <w:suppressLineNumbers w:val="0"/>
              <w:bidi w:val="0"/>
              <w:spacing w:before="0" w:beforeAutospacing="0" w:after="0" w:afterAutospacing="0"/>
              <w:rPr>
                <w:rFonts w:hint="eastAsia"/>
              </w:rPr>
            </w:pPr>
            <w:r>
              <w:rPr>
                <w:rFonts w:hint="eastAsia"/>
                <w:lang w:val="en-US" w:eastAsia="zh-CN"/>
              </w:rPr>
              <w:t>2.5.3</w:t>
            </w:r>
          </w:p>
        </w:tc>
        <w:tc>
          <w:tcPr>
            <w:tcW w:w="931" w:type="pct"/>
            <w:tcBorders>
              <w:tl2br w:val="nil"/>
              <w:tr2bl w:val="nil"/>
            </w:tcBorders>
            <w:shd w:val="clear" w:color="auto" w:fill="auto"/>
            <w:vAlign w:val="center"/>
          </w:tcPr>
          <w:p w14:paraId="0BC9F980">
            <w:pPr>
              <w:pStyle w:val="42"/>
              <w:keepNext w:val="0"/>
              <w:keepLines w:val="0"/>
              <w:suppressLineNumbers w:val="0"/>
              <w:bidi w:val="0"/>
              <w:spacing w:before="0" w:beforeAutospacing="0" w:after="0" w:afterAutospacing="0"/>
              <w:rPr>
                <w:rFonts w:hint="eastAsia"/>
              </w:rPr>
            </w:pPr>
            <w:r>
              <w:rPr>
                <w:rFonts w:hint="eastAsia"/>
                <w:lang w:val="en-US" w:eastAsia="zh-CN"/>
              </w:rPr>
              <w:t>曝气系统</w:t>
            </w:r>
          </w:p>
        </w:tc>
        <w:tc>
          <w:tcPr>
            <w:tcW w:w="2395" w:type="pct"/>
            <w:tcBorders>
              <w:tl2br w:val="nil"/>
              <w:tr2bl w:val="nil"/>
            </w:tcBorders>
            <w:shd w:val="clear" w:color="auto" w:fill="auto"/>
            <w:vAlign w:val="center"/>
          </w:tcPr>
          <w:p w14:paraId="1014CBE9">
            <w:pPr>
              <w:pStyle w:val="42"/>
              <w:keepNext w:val="0"/>
              <w:keepLines w:val="0"/>
              <w:suppressLineNumbers w:val="0"/>
              <w:bidi w:val="0"/>
              <w:spacing w:before="0" w:beforeAutospacing="0" w:after="0" w:afterAutospacing="0"/>
              <w:rPr>
                <w:rFonts w:hint="eastAsia"/>
              </w:rPr>
            </w:pPr>
            <w:r>
              <w:rPr>
                <w:rFonts w:hint="eastAsia"/>
                <w:lang w:val="en-US" w:eastAsia="zh-CN"/>
              </w:rPr>
              <w:t>ABS/UPVC材质，DN100/DN80</w:t>
            </w:r>
          </w:p>
        </w:tc>
        <w:tc>
          <w:tcPr>
            <w:tcW w:w="454" w:type="pct"/>
            <w:tcBorders>
              <w:tl2br w:val="nil"/>
              <w:tr2bl w:val="nil"/>
            </w:tcBorders>
            <w:shd w:val="clear" w:color="auto" w:fill="auto"/>
            <w:vAlign w:val="center"/>
          </w:tcPr>
          <w:p w14:paraId="52C1BFEC">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581FFAA2">
            <w:pPr>
              <w:pStyle w:val="42"/>
              <w:keepNext w:val="0"/>
              <w:keepLines w:val="0"/>
              <w:suppressLineNumbers w:val="0"/>
              <w:bidi w:val="0"/>
              <w:spacing w:before="0" w:beforeAutospacing="0" w:after="0" w:afterAutospacing="0"/>
              <w:rPr>
                <w:rFonts w:hint="eastAsia"/>
                <w:lang w:val="en-US" w:eastAsia="zh-CN"/>
              </w:rPr>
            </w:pPr>
          </w:p>
        </w:tc>
      </w:tr>
      <w:tr w14:paraId="4AF54B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3" w:type="pct"/>
            <w:tcBorders>
              <w:tl2br w:val="nil"/>
              <w:tr2bl w:val="nil"/>
            </w:tcBorders>
            <w:shd w:val="clear" w:color="auto" w:fill="auto"/>
            <w:vAlign w:val="center"/>
          </w:tcPr>
          <w:p w14:paraId="60733BF9">
            <w:pPr>
              <w:pStyle w:val="42"/>
              <w:keepNext w:val="0"/>
              <w:keepLines w:val="0"/>
              <w:suppressLineNumbers w:val="0"/>
              <w:bidi w:val="0"/>
              <w:spacing w:before="0" w:beforeAutospacing="0" w:after="0" w:afterAutospacing="0"/>
              <w:rPr>
                <w:rFonts w:hint="eastAsia"/>
              </w:rPr>
            </w:pPr>
            <w:r>
              <w:rPr>
                <w:rFonts w:hint="eastAsia"/>
                <w:lang w:val="en-US" w:eastAsia="zh-CN"/>
              </w:rPr>
              <w:t>2.5.4</w:t>
            </w:r>
          </w:p>
        </w:tc>
        <w:tc>
          <w:tcPr>
            <w:tcW w:w="931" w:type="pct"/>
            <w:tcBorders>
              <w:tl2br w:val="nil"/>
              <w:tr2bl w:val="nil"/>
            </w:tcBorders>
            <w:shd w:val="clear" w:color="auto" w:fill="auto"/>
            <w:vAlign w:val="center"/>
          </w:tcPr>
          <w:p w14:paraId="42C7F840">
            <w:pPr>
              <w:pStyle w:val="42"/>
              <w:keepNext w:val="0"/>
              <w:keepLines w:val="0"/>
              <w:suppressLineNumbers w:val="0"/>
              <w:bidi w:val="0"/>
              <w:spacing w:before="0" w:beforeAutospacing="0" w:after="0" w:afterAutospacing="0"/>
              <w:rPr>
                <w:rFonts w:hint="eastAsia"/>
              </w:rPr>
            </w:pPr>
            <w:r>
              <w:rPr>
                <w:rFonts w:hint="eastAsia"/>
                <w:lang w:val="en-US" w:eastAsia="zh-CN"/>
              </w:rPr>
              <w:t>填料支架</w:t>
            </w:r>
          </w:p>
        </w:tc>
        <w:tc>
          <w:tcPr>
            <w:tcW w:w="2395" w:type="pct"/>
            <w:tcBorders>
              <w:tl2br w:val="nil"/>
              <w:tr2bl w:val="nil"/>
            </w:tcBorders>
            <w:shd w:val="clear" w:color="auto" w:fill="auto"/>
            <w:vAlign w:val="center"/>
          </w:tcPr>
          <w:p w14:paraId="659CACF4">
            <w:pPr>
              <w:pStyle w:val="42"/>
              <w:keepNext w:val="0"/>
              <w:keepLines w:val="0"/>
              <w:suppressLineNumbers w:val="0"/>
              <w:bidi w:val="0"/>
              <w:spacing w:before="0" w:beforeAutospacing="0" w:after="0" w:afterAutospacing="0"/>
              <w:rPr>
                <w:rFonts w:hint="eastAsia"/>
              </w:rPr>
            </w:pPr>
            <w:r>
              <w:rPr>
                <w:rFonts w:hint="eastAsia"/>
                <w:lang w:val="en-US" w:eastAsia="zh-CN"/>
              </w:rPr>
              <w:t>热镀锌钢材</w:t>
            </w:r>
          </w:p>
        </w:tc>
        <w:tc>
          <w:tcPr>
            <w:tcW w:w="454" w:type="pct"/>
            <w:tcBorders>
              <w:tl2br w:val="nil"/>
              <w:tr2bl w:val="nil"/>
            </w:tcBorders>
            <w:shd w:val="clear" w:color="auto" w:fill="auto"/>
            <w:vAlign w:val="center"/>
          </w:tcPr>
          <w:p w14:paraId="09564E50">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750B0A1D">
            <w:pPr>
              <w:pStyle w:val="42"/>
              <w:keepNext w:val="0"/>
              <w:keepLines w:val="0"/>
              <w:suppressLineNumbers w:val="0"/>
              <w:bidi w:val="0"/>
              <w:spacing w:before="0" w:beforeAutospacing="0" w:after="0" w:afterAutospacing="0"/>
              <w:rPr>
                <w:rFonts w:hint="eastAsia"/>
                <w:lang w:val="en-US" w:eastAsia="zh-CN"/>
              </w:rPr>
            </w:pPr>
          </w:p>
        </w:tc>
      </w:tr>
      <w:tr w14:paraId="265C18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637FEF5">
            <w:pPr>
              <w:pStyle w:val="42"/>
              <w:keepNext w:val="0"/>
              <w:keepLines w:val="0"/>
              <w:suppressLineNumbers w:val="0"/>
              <w:bidi w:val="0"/>
              <w:spacing w:before="0" w:beforeAutospacing="0" w:after="0" w:afterAutospacing="0"/>
              <w:rPr>
                <w:rFonts w:hint="eastAsia"/>
              </w:rPr>
            </w:pPr>
            <w:r>
              <w:rPr>
                <w:rFonts w:hint="eastAsia"/>
                <w:lang w:val="en-US" w:eastAsia="zh-CN"/>
              </w:rPr>
              <w:t>2.5.5</w:t>
            </w:r>
          </w:p>
        </w:tc>
        <w:tc>
          <w:tcPr>
            <w:tcW w:w="931" w:type="pct"/>
            <w:tcBorders>
              <w:tl2br w:val="nil"/>
              <w:tr2bl w:val="nil"/>
            </w:tcBorders>
            <w:shd w:val="clear" w:color="auto" w:fill="auto"/>
            <w:vAlign w:val="center"/>
          </w:tcPr>
          <w:p w14:paraId="1B9632FE">
            <w:pPr>
              <w:pStyle w:val="42"/>
              <w:keepNext w:val="0"/>
              <w:keepLines w:val="0"/>
              <w:suppressLineNumbers w:val="0"/>
              <w:bidi w:val="0"/>
              <w:spacing w:before="0" w:beforeAutospacing="0" w:after="0" w:afterAutospacing="0"/>
              <w:rPr>
                <w:rFonts w:hint="eastAsia"/>
              </w:rPr>
            </w:pPr>
            <w:r>
              <w:rPr>
                <w:rFonts w:hint="eastAsia"/>
                <w:lang w:val="en-US" w:eastAsia="zh-CN"/>
              </w:rPr>
              <w:t>组合填料</w:t>
            </w:r>
          </w:p>
        </w:tc>
        <w:tc>
          <w:tcPr>
            <w:tcW w:w="2395" w:type="pct"/>
            <w:tcBorders>
              <w:tl2br w:val="nil"/>
              <w:tr2bl w:val="nil"/>
            </w:tcBorders>
            <w:shd w:val="clear" w:color="auto" w:fill="auto"/>
            <w:vAlign w:val="center"/>
          </w:tcPr>
          <w:p w14:paraId="7A062088">
            <w:pPr>
              <w:pStyle w:val="42"/>
              <w:keepNext w:val="0"/>
              <w:keepLines w:val="0"/>
              <w:suppressLineNumbers w:val="0"/>
              <w:bidi w:val="0"/>
              <w:spacing w:before="0" w:beforeAutospacing="0" w:after="0" w:afterAutospacing="0"/>
              <w:rPr>
                <w:rFonts w:hint="eastAsia"/>
              </w:rPr>
            </w:pPr>
            <w:r>
              <w:rPr>
                <w:rFonts w:hint="eastAsia"/>
                <w:lang w:val="en-US" w:eastAsia="zh-CN"/>
              </w:rPr>
              <w:t>φ80，21m</w:t>
            </w:r>
            <w:r>
              <w:rPr>
                <w:rFonts w:hint="eastAsia"/>
                <w:vertAlign w:val="superscript"/>
                <w:lang w:val="en-US" w:eastAsia="zh-CN"/>
              </w:rPr>
              <w:t>2</w:t>
            </w:r>
            <w:r>
              <w:rPr>
                <w:rFonts w:hint="eastAsia"/>
                <w:lang w:val="en-US" w:eastAsia="zh-CN"/>
              </w:rPr>
              <w:t>，3.0m深</w:t>
            </w:r>
          </w:p>
        </w:tc>
        <w:tc>
          <w:tcPr>
            <w:tcW w:w="454" w:type="pct"/>
            <w:tcBorders>
              <w:tl2br w:val="nil"/>
              <w:tr2bl w:val="nil"/>
            </w:tcBorders>
            <w:shd w:val="clear" w:color="auto" w:fill="auto"/>
            <w:vAlign w:val="center"/>
          </w:tcPr>
          <w:p w14:paraId="71C0E07A">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6B1DE751">
            <w:pPr>
              <w:pStyle w:val="42"/>
              <w:keepNext w:val="0"/>
              <w:keepLines w:val="0"/>
              <w:suppressLineNumbers w:val="0"/>
              <w:bidi w:val="0"/>
              <w:spacing w:before="0" w:beforeAutospacing="0" w:after="0" w:afterAutospacing="0"/>
              <w:rPr>
                <w:rFonts w:hint="eastAsia"/>
                <w:lang w:val="en-US" w:eastAsia="zh-CN"/>
              </w:rPr>
            </w:pPr>
          </w:p>
        </w:tc>
      </w:tr>
      <w:tr w14:paraId="117C3B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1DC6882">
            <w:pPr>
              <w:pStyle w:val="42"/>
              <w:keepNext w:val="0"/>
              <w:keepLines w:val="0"/>
              <w:suppressLineNumbers w:val="0"/>
              <w:bidi w:val="0"/>
              <w:spacing w:before="0" w:beforeAutospacing="0" w:after="0" w:afterAutospacing="0"/>
              <w:rPr>
                <w:rFonts w:hint="eastAsia"/>
              </w:rPr>
            </w:pPr>
            <w:r>
              <w:rPr>
                <w:rFonts w:hint="eastAsia"/>
                <w:lang w:val="en-US" w:eastAsia="zh-CN"/>
              </w:rPr>
              <w:t>2.6</w:t>
            </w:r>
          </w:p>
        </w:tc>
        <w:tc>
          <w:tcPr>
            <w:tcW w:w="931" w:type="pct"/>
            <w:tcBorders>
              <w:tl2br w:val="nil"/>
              <w:tr2bl w:val="nil"/>
            </w:tcBorders>
            <w:shd w:val="clear" w:color="auto" w:fill="auto"/>
            <w:vAlign w:val="center"/>
          </w:tcPr>
          <w:p w14:paraId="400CE94C">
            <w:pPr>
              <w:pStyle w:val="42"/>
              <w:keepNext w:val="0"/>
              <w:keepLines w:val="0"/>
              <w:suppressLineNumbers w:val="0"/>
              <w:bidi w:val="0"/>
              <w:spacing w:before="0" w:beforeAutospacing="0" w:after="0" w:afterAutospacing="0"/>
              <w:rPr>
                <w:rFonts w:hint="eastAsia"/>
              </w:rPr>
            </w:pPr>
            <w:r>
              <w:rPr>
                <w:rFonts w:hint="eastAsia"/>
                <w:lang w:val="en-US" w:eastAsia="zh-CN"/>
              </w:rPr>
              <w:t>缺氧池</w:t>
            </w:r>
          </w:p>
        </w:tc>
        <w:tc>
          <w:tcPr>
            <w:tcW w:w="2395" w:type="pct"/>
            <w:tcBorders>
              <w:tl2br w:val="nil"/>
              <w:tr2bl w:val="nil"/>
            </w:tcBorders>
            <w:shd w:val="clear" w:color="auto" w:fill="auto"/>
            <w:vAlign w:val="center"/>
          </w:tcPr>
          <w:p w14:paraId="51BCA45F">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13155A35">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7B662206">
            <w:pPr>
              <w:pStyle w:val="42"/>
              <w:keepNext w:val="0"/>
              <w:keepLines w:val="0"/>
              <w:suppressLineNumbers w:val="0"/>
              <w:bidi w:val="0"/>
              <w:spacing w:before="0" w:beforeAutospacing="0" w:after="0" w:afterAutospacing="0"/>
              <w:rPr>
                <w:rFonts w:hint="eastAsia"/>
              </w:rPr>
            </w:pPr>
          </w:p>
        </w:tc>
      </w:tr>
      <w:tr w14:paraId="7F1A03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918650F">
            <w:pPr>
              <w:pStyle w:val="42"/>
              <w:keepNext w:val="0"/>
              <w:keepLines w:val="0"/>
              <w:suppressLineNumbers w:val="0"/>
              <w:bidi w:val="0"/>
              <w:spacing w:before="0" w:beforeAutospacing="0" w:after="0" w:afterAutospacing="0"/>
              <w:rPr>
                <w:rFonts w:hint="eastAsia"/>
              </w:rPr>
            </w:pPr>
            <w:r>
              <w:rPr>
                <w:rFonts w:hint="eastAsia"/>
                <w:lang w:val="en-US" w:eastAsia="zh-CN"/>
              </w:rPr>
              <w:t>2.6.1</w:t>
            </w:r>
          </w:p>
        </w:tc>
        <w:tc>
          <w:tcPr>
            <w:tcW w:w="931" w:type="pct"/>
            <w:tcBorders>
              <w:tl2br w:val="nil"/>
              <w:tr2bl w:val="nil"/>
            </w:tcBorders>
            <w:shd w:val="clear" w:color="auto" w:fill="auto"/>
            <w:vAlign w:val="center"/>
          </w:tcPr>
          <w:p w14:paraId="5368CC42">
            <w:pPr>
              <w:pStyle w:val="42"/>
              <w:keepNext w:val="0"/>
              <w:keepLines w:val="0"/>
              <w:suppressLineNumbers w:val="0"/>
              <w:bidi w:val="0"/>
              <w:spacing w:before="0" w:beforeAutospacing="0" w:after="0" w:afterAutospacing="0"/>
              <w:rPr>
                <w:rFonts w:hint="eastAsia"/>
              </w:rPr>
            </w:pPr>
            <w:r>
              <w:rPr>
                <w:rFonts w:hint="eastAsia"/>
                <w:lang w:val="en-US" w:eastAsia="zh-CN"/>
              </w:rPr>
              <w:t>填料支架</w:t>
            </w:r>
          </w:p>
        </w:tc>
        <w:tc>
          <w:tcPr>
            <w:tcW w:w="2395" w:type="pct"/>
            <w:tcBorders>
              <w:tl2br w:val="nil"/>
              <w:tr2bl w:val="nil"/>
            </w:tcBorders>
            <w:shd w:val="clear" w:color="auto" w:fill="auto"/>
            <w:vAlign w:val="center"/>
          </w:tcPr>
          <w:p w14:paraId="06F8AA20">
            <w:pPr>
              <w:pStyle w:val="42"/>
              <w:keepNext w:val="0"/>
              <w:keepLines w:val="0"/>
              <w:suppressLineNumbers w:val="0"/>
              <w:bidi w:val="0"/>
              <w:spacing w:before="0" w:beforeAutospacing="0" w:after="0" w:afterAutospacing="0"/>
              <w:rPr>
                <w:rFonts w:hint="eastAsia"/>
              </w:rPr>
            </w:pPr>
            <w:r>
              <w:rPr>
                <w:rFonts w:hint="eastAsia"/>
                <w:lang w:val="en-US" w:eastAsia="zh-CN"/>
              </w:rPr>
              <w:t>热镀锌钢材</w:t>
            </w:r>
          </w:p>
        </w:tc>
        <w:tc>
          <w:tcPr>
            <w:tcW w:w="454" w:type="pct"/>
            <w:tcBorders>
              <w:tl2br w:val="nil"/>
              <w:tr2bl w:val="nil"/>
            </w:tcBorders>
            <w:shd w:val="clear" w:color="auto" w:fill="auto"/>
            <w:vAlign w:val="center"/>
          </w:tcPr>
          <w:p w14:paraId="5F766BBF">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1C2BC966">
            <w:pPr>
              <w:pStyle w:val="42"/>
              <w:keepNext w:val="0"/>
              <w:keepLines w:val="0"/>
              <w:suppressLineNumbers w:val="0"/>
              <w:bidi w:val="0"/>
              <w:spacing w:before="0" w:beforeAutospacing="0" w:after="0" w:afterAutospacing="0"/>
              <w:rPr>
                <w:rFonts w:hint="eastAsia"/>
                <w:lang w:val="en-US" w:eastAsia="zh-CN"/>
              </w:rPr>
            </w:pPr>
          </w:p>
        </w:tc>
      </w:tr>
      <w:tr w14:paraId="04A470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864561A">
            <w:pPr>
              <w:pStyle w:val="42"/>
              <w:keepNext w:val="0"/>
              <w:keepLines w:val="0"/>
              <w:suppressLineNumbers w:val="0"/>
              <w:bidi w:val="0"/>
              <w:spacing w:before="0" w:beforeAutospacing="0" w:after="0" w:afterAutospacing="0"/>
              <w:rPr>
                <w:rFonts w:hint="eastAsia"/>
              </w:rPr>
            </w:pPr>
            <w:r>
              <w:rPr>
                <w:rFonts w:hint="eastAsia"/>
                <w:lang w:val="en-US" w:eastAsia="zh-CN"/>
              </w:rPr>
              <w:t>2.6.2</w:t>
            </w:r>
          </w:p>
        </w:tc>
        <w:tc>
          <w:tcPr>
            <w:tcW w:w="931" w:type="pct"/>
            <w:tcBorders>
              <w:tl2br w:val="nil"/>
              <w:tr2bl w:val="nil"/>
            </w:tcBorders>
            <w:shd w:val="clear" w:color="auto" w:fill="auto"/>
            <w:vAlign w:val="center"/>
          </w:tcPr>
          <w:p w14:paraId="1E79BF46">
            <w:pPr>
              <w:pStyle w:val="42"/>
              <w:keepNext w:val="0"/>
              <w:keepLines w:val="0"/>
              <w:suppressLineNumbers w:val="0"/>
              <w:bidi w:val="0"/>
              <w:spacing w:before="0" w:beforeAutospacing="0" w:after="0" w:afterAutospacing="0"/>
              <w:rPr>
                <w:rFonts w:hint="eastAsia"/>
              </w:rPr>
            </w:pPr>
            <w:r>
              <w:rPr>
                <w:rFonts w:hint="eastAsia"/>
                <w:lang w:val="en-US" w:eastAsia="zh-CN"/>
              </w:rPr>
              <w:t>组合填料</w:t>
            </w:r>
          </w:p>
        </w:tc>
        <w:tc>
          <w:tcPr>
            <w:tcW w:w="2395" w:type="pct"/>
            <w:tcBorders>
              <w:tl2br w:val="nil"/>
              <w:tr2bl w:val="nil"/>
            </w:tcBorders>
            <w:shd w:val="clear" w:color="auto" w:fill="auto"/>
            <w:vAlign w:val="center"/>
          </w:tcPr>
          <w:p w14:paraId="217B42F1">
            <w:pPr>
              <w:pStyle w:val="42"/>
              <w:keepNext w:val="0"/>
              <w:keepLines w:val="0"/>
              <w:suppressLineNumbers w:val="0"/>
              <w:bidi w:val="0"/>
              <w:spacing w:before="0" w:beforeAutospacing="0" w:after="0" w:afterAutospacing="0"/>
              <w:rPr>
                <w:rFonts w:hint="eastAsia"/>
              </w:rPr>
            </w:pPr>
            <w:r>
              <w:rPr>
                <w:rFonts w:hint="eastAsia"/>
                <w:lang w:val="en-US" w:eastAsia="zh-CN"/>
              </w:rPr>
              <w:t>φ80，33m</w:t>
            </w:r>
            <w:r>
              <w:rPr>
                <w:rFonts w:hint="eastAsia"/>
                <w:vertAlign w:val="superscript"/>
                <w:lang w:val="en-US" w:eastAsia="zh-CN"/>
              </w:rPr>
              <w:t>2</w:t>
            </w:r>
            <w:r>
              <w:rPr>
                <w:rFonts w:hint="eastAsia"/>
                <w:lang w:val="en-US" w:eastAsia="zh-CN"/>
              </w:rPr>
              <w:t>，3.0m</w:t>
            </w:r>
          </w:p>
        </w:tc>
        <w:tc>
          <w:tcPr>
            <w:tcW w:w="454" w:type="pct"/>
            <w:tcBorders>
              <w:tl2br w:val="nil"/>
              <w:tr2bl w:val="nil"/>
            </w:tcBorders>
            <w:shd w:val="clear" w:color="auto" w:fill="auto"/>
            <w:vAlign w:val="center"/>
          </w:tcPr>
          <w:p w14:paraId="7082B965">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4DB2F568">
            <w:pPr>
              <w:pStyle w:val="42"/>
              <w:keepNext w:val="0"/>
              <w:keepLines w:val="0"/>
              <w:suppressLineNumbers w:val="0"/>
              <w:bidi w:val="0"/>
              <w:spacing w:before="0" w:beforeAutospacing="0" w:after="0" w:afterAutospacing="0"/>
              <w:rPr>
                <w:rFonts w:hint="eastAsia"/>
                <w:lang w:val="en-US" w:eastAsia="zh-CN"/>
              </w:rPr>
            </w:pPr>
          </w:p>
        </w:tc>
      </w:tr>
      <w:tr w14:paraId="10380E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D3108AD">
            <w:pPr>
              <w:pStyle w:val="42"/>
              <w:keepNext w:val="0"/>
              <w:keepLines w:val="0"/>
              <w:suppressLineNumbers w:val="0"/>
              <w:bidi w:val="0"/>
              <w:spacing w:before="0" w:beforeAutospacing="0" w:after="0" w:afterAutospacing="0"/>
              <w:rPr>
                <w:rFonts w:hint="eastAsia"/>
              </w:rPr>
            </w:pPr>
            <w:r>
              <w:rPr>
                <w:rFonts w:hint="eastAsia"/>
                <w:lang w:val="en-US" w:eastAsia="zh-CN"/>
              </w:rPr>
              <w:t>2.6.3</w:t>
            </w:r>
          </w:p>
        </w:tc>
        <w:tc>
          <w:tcPr>
            <w:tcW w:w="931" w:type="pct"/>
            <w:tcBorders>
              <w:tl2br w:val="nil"/>
              <w:tr2bl w:val="nil"/>
            </w:tcBorders>
            <w:shd w:val="clear" w:color="auto" w:fill="auto"/>
            <w:vAlign w:val="center"/>
          </w:tcPr>
          <w:p w14:paraId="358BD389">
            <w:pPr>
              <w:pStyle w:val="42"/>
              <w:keepNext w:val="0"/>
              <w:keepLines w:val="0"/>
              <w:suppressLineNumbers w:val="0"/>
              <w:bidi w:val="0"/>
              <w:spacing w:before="0" w:beforeAutospacing="0" w:after="0" w:afterAutospacing="0"/>
              <w:rPr>
                <w:rFonts w:hint="eastAsia"/>
              </w:rPr>
            </w:pPr>
            <w:r>
              <w:rPr>
                <w:rFonts w:hint="eastAsia"/>
                <w:lang w:val="en-US" w:eastAsia="zh-CN"/>
              </w:rPr>
              <w:t>潜水搅拌机</w:t>
            </w:r>
          </w:p>
        </w:tc>
        <w:tc>
          <w:tcPr>
            <w:tcW w:w="2395" w:type="pct"/>
            <w:tcBorders>
              <w:tl2br w:val="nil"/>
              <w:tr2bl w:val="nil"/>
            </w:tcBorders>
            <w:shd w:val="clear" w:color="auto" w:fill="auto"/>
            <w:vAlign w:val="center"/>
          </w:tcPr>
          <w:p w14:paraId="1DF06D8C">
            <w:pPr>
              <w:pStyle w:val="42"/>
              <w:keepNext w:val="0"/>
              <w:keepLines w:val="0"/>
              <w:suppressLineNumbers w:val="0"/>
              <w:bidi w:val="0"/>
              <w:spacing w:before="0" w:beforeAutospacing="0" w:after="0" w:afterAutospacing="0"/>
              <w:rPr>
                <w:rFonts w:hint="eastAsia"/>
              </w:rPr>
            </w:pPr>
            <w:r>
              <w:rPr>
                <w:rFonts w:hint="eastAsia"/>
                <w:lang w:val="en-US" w:eastAsia="zh-CN"/>
              </w:rPr>
              <w:t>QJB3.0/C,带手摇拉杆，池10m深</w:t>
            </w:r>
          </w:p>
        </w:tc>
        <w:tc>
          <w:tcPr>
            <w:tcW w:w="454" w:type="pct"/>
            <w:tcBorders>
              <w:tl2br w:val="nil"/>
              <w:tr2bl w:val="nil"/>
            </w:tcBorders>
            <w:shd w:val="clear" w:color="auto" w:fill="auto"/>
            <w:vAlign w:val="center"/>
          </w:tcPr>
          <w:p w14:paraId="2C6A6F5F">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093C3D48">
            <w:pPr>
              <w:pStyle w:val="42"/>
              <w:keepNext w:val="0"/>
              <w:keepLines w:val="0"/>
              <w:suppressLineNumbers w:val="0"/>
              <w:bidi w:val="0"/>
              <w:spacing w:before="0" w:beforeAutospacing="0" w:after="0" w:afterAutospacing="0"/>
              <w:rPr>
                <w:rFonts w:hint="eastAsia"/>
                <w:lang w:val="en-US" w:eastAsia="zh-CN"/>
              </w:rPr>
            </w:pPr>
          </w:p>
        </w:tc>
      </w:tr>
      <w:tr w14:paraId="334AA1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8E15495">
            <w:pPr>
              <w:pStyle w:val="42"/>
              <w:keepNext w:val="0"/>
              <w:keepLines w:val="0"/>
              <w:suppressLineNumbers w:val="0"/>
              <w:bidi w:val="0"/>
              <w:spacing w:before="0" w:beforeAutospacing="0" w:after="0" w:afterAutospacing="0"/>
              <w:rPr>
                <w:rFonts w:hint="eastAsia"/>
              </w:rPr>
            </w:pPr>
            <w:r>
              <w:rPr>
                <w:rFonts w:hint="eastAsia"/>
                <w:lang w:val="en-US" w:eastAsia="zh-CN"/>
              </w:rPr>
              <w:t>2.7</w:t>
            </w:r>
          </w:p>
        </w:tc>
        <w:tc>
          <w:tcPr>
            <w:tcW w:w="931" w:type="pct"/>
            <w:tcBorders>
              <w:tl2br w:val="nil"/>
              <w:tr2bl w:val="nil"/>
            </w:tcBorders>
            <w:shd w:val="clear" w:color="auto" w:fill="auto"/>
            <w:vAlign w:val="center"/>
          </w:tcPr>
          <w:p w14:paraId="333AC268">
            <w:pPr>
              <w:pStyle w:val="42"/>
              <w:keepNext w:val="0"/>
              <w:keepLines w:val="0"/>
              <w:suppressLineNumbers w:val="0"/>
              <w:bidi w:val="0"/>
              <w:spacing w:before="0" w:beforeAutospacing="0" w:after="0" w:afterAutospacing="0"/>
              <w:rPr>
                <w:rFonts w:hint="eastAsia"/>
              </w:rPr>
            </w:pPr>
            <w:r>
              <w:rPr>
                <w:rFonts w:hint="eastAsia"/>
                <w:lang w:val="en-US" w:eastAsia="zh-CN"/>
              </w:rPr>
              <w:t>消化池</w:t>
            </w:r>
          </w:p>
        </w:tc>
        <w:tc>
          <w:tcPr>
            <w:tcW w:w="2395" w:type="pct"/>
            <w:tcBorders>
              <w:tl2br w:val="nil"/>
              <w:tr2bl w:val="nil"/>
            </w:tcBorders>
            <w:shd w:val="clear" w:color="auto" w:fill="auto"/>
            <w:vAlign w:val="center"/>
          </w:tcPr>
          <w:p w14:paraId="7A91F4D5">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47EB9E67">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7296B3D5">
            <w:pPr>
              <w:pStyle w:val="42"/>
              <w:keepNext w:val="0"/>
              <w:keepLines w:val="0"/>
              <w:suppressLineNumbers w:val="0"/>
              <w:bidi w:val="0"/>
              <w:spacing w:before="0" w:beforeAutospacing="0" w:after="0" w:afterAutospacing="0"/>
              <w:rPr>
                <w:rFonts w:hint="eastAsia"/>
              </w:rPr>
            </w:pPr>
          </w:p>
        </w:tc>
      </w:tr>
      <w:tr w14:paraId="13E69A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B700508">
            <w:pPr>
              <w:pStyle w:val="42"/>
              <w:keepNext w:val="0"/>
              <w:keepLines w:val="0"/>
              <w:suppressLineNumbers w:val="0"/>
              <w:bidi w:val="0"/>
              <w:spacing w:before="0" w:beforeAutospacing="0" w:after="0" w:afterAutospacing="0"/>
              <w:rPr>
                <w:rFonts w:hint="eastAsia"/>
              </w:rPr>
            </w:pPr>
            <w:r>
              <w:rPr>
                <w:rFonts w:hint="eastAsia"/>
                <w:lang w:val="en-US" w:eastAsia="zh-CN"/>
              </w:rPr>
              <w:t>2.7.1</w:t>
            </w:r>
          </w:p>
        </w:tc>
        <w:tc>
          <w:tcPr>
            <w:tcW w:w="931" w:type="pct"/>
            <w:tcBorders>
              <w:tl2br w:val="nil"/>
              <w:tr2bl w:val="nil"/>
            </w:tcBorders>
            <w:shd w:val="clear" w:color="auto" w:fill="auto"/>
            <w:vAlign w:val="center"/>
          </w:tcPr>
          <w:p w14:paraId="6EA05D5F">
            <w:pPr>
              <w:pStyle w:val="42"/>
              <w:keepNext w:val="0"/>
              <w:keepLines w:val="0"/>
              <w:suppressLineNumbers w:val="0"/>
              <w:bidi w:val="0"/>
              <w:spacing w:before="0" w:beforeAutospacing="0" w:after="0" w:afterAutospacing="0"/>
              <w:rPr>
                <w:rFonts w:hint="eastAsia"/>
              </w:rPr>
            </w:pPr>
            <w:r>
              <w:rPr>
                <w:rFonts w:hint="eastAsia"/>
                <w:lang w:val="en-US" w:eastAsia="zh-CN"/>
              </w:rPr>
              <w:t>潜水搅拌机</w:t>
            </w:r>
          </w:p>
        </w:tc>
        <w:tc>
          <w:tcPr>
            <w:tcW w:w="2395" w:type="pct"/>
            <w:tcBorders>
              <w:tl2br w:val="nil"/>
              <w:tr2bl w:val="nil"/>
            </w:tcBorders>
            <w:shd w:val="clear" w:color="auto" w:fill="auto"/>
            <w:vAlign w:val="center"/>
          </w:tcPr>
          <w:p w14:paraId="5282C731">
            <w:pPr>
              <w:pStyle w:val="42"/>
              <w:keepNext w:val="0"/>
              <w:keepLines w:val="0"/>
              <w:suppressLineNumbers w:val="0"/>
              <w:bidi w:val="0"/>
              <w:spacing w:before="0" w:beforeAutospacing="0" w:after="0" w:afterAutospacing="0"/>
              <w:rPr>
                <w:rFonts w:hint="eastAsia"/>
              </w:rPr>
            </w:pPr>
            <w:r>
              <w:rPr>
                <w:rFonts w:hint="eastAsia"/>
                <w:lang w:val="en-US" w:eastAsia="zh-CN"/>
              </w:rPr>
              <w:t>QJB3.0/C,带手摇拉杆，池10m深</w:t>
            </w:r>
          </w:p>
        </w:tc>
        <w:tc>
          <w:tcPr>
            <w:tcW w:w="454" w:type="pct"/>
            <w:tcBorders>
              <w:tl2br w:val="nil"/>
              <w:tr2bl w:val="nil"/>
            </w:tcBorders>
            <w:shd w:val="clear" w:color="auto" w:fill="auto"/>
            <w:vAlign w:val="center"/>
          </w:tcPr>
          <w:p w14:paraId="28B442D6">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1A401620">
            <w:pPr>
              <w:pStyle w:val="42"/>
              <w:keepNext w:val="0"/>
              <w:keepLines w:val="0"/>
              <w:suppressLineNumbers w:val="0"/>
              <w:bidi w:val="0"/>
              <w:spacing w:before="0" w:beforeAutospacing="0" w:after="0" w:afterAutospacing="0"/>
              <w:rPr>
                <w:rFonts w:hint="eastAsia"/>
                <w:lang w:val="en-US" w:eastAsia="zh-CN"/>
              </w:rPr>
            </w:pPr>
          </w:p>
        </w:tc>
      </w:tr>
      <w:tr w14:paraId="5691D2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43941F0">
            <w:pPr>
              <w:pStyle w:val="42"/>
              <w:keepNext w:val="0"/>
              <w:keepLines w:val="0"/>
              <w:suppressLineNumbers w:val="0"/>
              <w:bidi w:val="0"/>
              <w:spacing w:before="0" w:beforeAutospacing="0" w:after="0" w:afterAutospacing="0"/>
              <w:rPr>
                <w:rFonts w:hint="eastAsia"/>
              </w:rPr>
            </w:pPr>
            <w:r>
              <w:rPr>
                <w:rFonts w:hint="eastAsia"/>
                <w:lang w:val="en-US" w:eastAsia="zh-CN"/>
              </w:rPr>
              <w:t>2.8</w:t>
            </w:r>
          </w:p>
        </w:tc>
        <w:tc>
          <w:tcPr>
            <w:tcW w:w="931" w:type="pct"/>
            <w:tcBorders>
              <w:tl2br w:val="nil"/>
              <w:tr2bl w:val="nil"/>
            </w:tcBorders>
            <w:shd w:val="clear" w:color="auto" w:fill="auto"/>
            <w:vAlign w:val="center"/>
          </w:tcPr>
          <w:p w14:paraId="41AA06CF">
            <w:pPr>
              <w:pStyle w:val="42"/>
              <w:keepNext w:val="0"/>
              <w:keepLines w:val="0"/>
              <w:suppressLineNumbers w:val="0"/>
              <w:bidi w:val="0"/>
              <w:spacing w:before="0" w:beforeAutospacing="0" w:after="0" w:afterAutospacing="0"/>
              <w:rPr>
                <w:rFonts w:hint="eastAsia"/>
              </w:rPr>
            </w:pPr>
            <w:r>
              <w:rPr>
                <w:rFonts w:hint="eastAsia"/>
                <w:lang w:val="en-US" w:eastAsia="zh-CN"/>
              </w:rPr>
              <w:t>好氧流化床</w:t>
            </w:r>
          </w:p>
        </w:tc>
        <w:tc>
          <w:tcPr>
            <w:tcW w:w="2395" w:type="pct"/>
            <w:tcBorders>
              <w:tl2br w:val="nil"/>
              <w:tr2bl w:val="nil"/>
            </w:tcBorders>
            <w:shd w:val="clear" w:color="auto" w:fill="auto"/>
            <w:vAlign w:val="center"/>
          </w:tcPr>
          <w:p w14:paraId="712CD83F">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5833B525">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2F439B6D">
            <w:pPr>
              <w:pStyle w:val="42"/>
              <w:keepNext w:val="0"/>
              <w:keepLines w:val="0"/>
              <w:suppressLineNumbers w:val="0"/>
              <w:bidi w:val="0"/>
              <w:spacing w:before="0" w:beforeAutospacing="0" w:after="0" w:afterAutospacing="0"/>
              <w:rPr>
                <w:rFonts w:hint="eastAsia"/>
              </w:rPr>
            </w:pPr>
          </w:p>
        </w:tc>
      </w:tr>
      <w:tr w14:paraId="4A4EBF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80139EE">
            <w:pPr>
              <w:pStyle w:val="42"/>
              <w:keepNext w:val="0"/>
              <w:keepLines w:val="0"/>
              <w:suppressLineNumbers w:val="0"/>
              <w:bidi w:val="0"/>
              <w:spacing w:before="0" w:beforeAutospacing="0" w:after="0" w:afterAutospacing="0"/>
              <w:rPr>
                <w:rFonts w:hint="eastAsia"/>
              </w:rPr>
            </w:pPr>
            <w:r>
              <w:rPr>
                <w:rFonts w:hint="eastAsia"/>
                <w:lang w:val="en-US" w:eastAsia="zh-CN"/>
              </w:rPr>
              <w:t>2.8.1</w:t>
            </w:r>
          </w:p>
        </w:tc>
        <w:tc>
          <w:tcPr>
            <w:tcW w:w="931" w:type="pct"/>
            <w:tcBorders>
              <w:tl2br w:val="nil"/>
              <w:tr2bl w:val="nil"/>
            </w:tcBorders>
            <w:shd w:val="clear" w:color="auto" w:fill="auto"/>
            <w:vAlign w:val="center"/>
          </w:tcPr>
          <w:p w14:paraId="0D581DC1">
            <w:pPr>
              <w:pStyle w:val="42"/>
              <w:keepNext w:val="0"/>
              <w:keepLines w:val="0"/>
              <w:suppressLineNumbers w:val="0"/>
              <w:bidi w:val="0"/>
              <w:spacing w:before="0" w:beforeAutospacing="0" w:after="0" w:afterAutospacing="0"/>
              <w:rPr>
                <w:rFonts w:hint="eastAsia"/>
              </w:rPr>
            </w:pPr>
            <w:r>
              <w:rPr>
                <w:rFonts w:hint="eastAsia"/>
                <w:lang w:val="en-US" w:eastAsia="zh-CN"/>
              </w:rPr>
              <w:t>曝气管道及其配件</w:t>
            </w:r>
          </w:p>
        </w:tc>
        <w:tc>
          <w:tcPr>
            <w:tcW w:w="2395" w:type="pct"/>
            <w:tcBorders>
              <w:tl2br w:val="nil"/>
              <w:tr2bl w:val="nil"/>
            </w:tcBorders>
            <w:shd w:val="clear" w:color="auto" w:fill="auto"/>
            <w:vAlign w:val="center"/>
          </w:tcPr>
          <w:p w14:paraId="1B767143">
            <w:pPr>
              <w:pStyle w:val="42"/>
              <w:keepNext w:val="0"/>
              <w:keepLines w:val="0"/>
              <w:suppressLineNumbers w:val="0"/>
              <w:bidi w:val="0"/>
              <w:spacing w:before="0" w:beforeAutospacing="0" w:after="0" w:afterAutospacing="0"/>
              <w:rPr>
                <w:rFonts w:hint="eastAsia"/>
              </w:rPr>
            </w:pPr>
            <w:r>
              <w:rPr>
                <w:rFonts w:hint="eastAsia"/>
                <w:lang w:val="en-US" w:eastAsia="zh-CN"/>
              </w:rPr>
              <w:t>热镀锌材质，DN150/DN100防腐漆防腐，管壁厚度不低于3mm</w:t>
            </w:r>
          </w:p>
        </w:tc>
        <w:tc>
          <w:tcPr>
            <w:tcW w:w="454" w:type="pct"/>
            <w:tcBorders>
              <w:tl2br w:val="nil"/>
              <w:tr2bl w:val="nil"/>
            </w:tcBorders>
            <w:shd w:val="clear" w:color="auto" w:fill="auto"/>
            <w:vAlign w:val="center"/>
          </w:tcPr>
          <w:p w14:paraId="6A513712">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13B4CACB">
            <w:pPr>
              <w:pStyle w:val="42"/>
              <w:keepNext w:val="0"/>
              <w:keepLines w:val="0"/>
              <w:suppressLineNumbers w:val="0"/>
              <w:bidi w:val="0"/>
              <w:spacing w:before="0" w:beforeAutospacing="0" w:after="0" w:afterAutospacing="0"/>
              <w:rPr>
                <w:rFonts w:hint="eastAsia"/>
                <w:lang w:val="en-US" w:eastAsia="zh-CN"/>
              </w:rPr>
            </w:pPr>
          </w:p>
        </w:tc>
      </w:tr>
      <w:tr w14:paraId="3D3FFC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E17ADA0">
            <w:pPr>
              <w:pStyle w:val="42"/>
              <w:keepNext w:val="0"/>
              <w:keepLines w:val="0"/>
              <w:suppressLineNumbers w:val="0"/>
              <w:bidi w:val="0"/>
              <w:spacing w:before="0" w:beforeAutospacing="0" w:after="0" w:afterAutospacing="0"/>
              <w:rPr>
                <w:rFonts w:hint="eastAsia"/>
              </w:rPr>
            </w:pPr>
            <w:r>
              <w:rPr>
                <w:rFonts w:hint="eastAsia"/>
                <w:lang w:val="en-US" w:eastAsia="zh-CN"/>
              </w:rPr>
              <w:t>2.8.2</w:t>
            </w:r>
          </w:p>
        </w:tc>
        <w:tc>
          <w:tcPr>
            <w:tcW w:w="931" w:type="pct"/>
            <w:tcBorders>
              <w:tl2br w:val="nil"/>
              <w:tr2bl w:val="nil"/>
            </w:tcBorders>
            <w:shd w:val="clear" w:color="auto" w:fill="auto"/>
            <w:vAlign w:val="center"/>
          </w:tcPr>
          <w:p w14:paraId="600EF88A">
            <w:pPr>
              <w:pStyle w:val="42"/>
              <w:keepNext w:val="0"/>
              <w:keepLines w:val="0"/>
              <w:suppressLineNumbers w:val="0"/>
              <w:bidi w:val="0"/>
              <w:spacing w:before="0" w:beforeAutospacing="0" w:after="0" w:afterAutospacing="0"/>
              <w:rPr>
                <w:rFonts w:hint="eastAsia"/>
              </w:rPr>
            </w:pPr>
            <w:r>
              <w:rPr>
                <w:rFonts w:hint="eastAsia"/>
                <w:lang w:val="en-US" w:eastAsia="zh-CN"/>
              </w:rPr>
              <w:t>微孔曝气盘</w:t>
            </w:r>
          </w:p>
        </w:tc>
        <w:tc>
          <w:tcPr>
            <w:tcW w:w="2395" w:type="pct"/>
            <w:tcBorders>
              <w:tl2br w:val="nil"/>
              <w:tr2bl w:val="nil"/>
            </w:tcBorders>
            <w:shd w:val="clear" w:color="auto" w:fill="auto"/>
            <w:vAlign w:val="center"/>
          </w:tcPr>
          <w:p w14:paraId="4C0C9197">
            <w:pPr>
              <w:pStyle w:val="42"/>
              <w:keepNext w:val="0"/>
              <w:keepLines w:val="0"/>
              <w:suppressLineNumbers w:val="0"/>
              <w:bidi w:val="0"/>
              <w:spacing w:before="0" w:beforeAutospacing="0" w:after="0" w:afterAutospacing="0"/>
              <w:rPr>
                <w:rFonts w:hint="eastAsia"/>
              </w:rPr>
            </w:pPr>
            <w:r>
              <w:rPr>
                <w:rFonts w:hint="eastAsia"/>
                <w:lang w:val="en-US" w:eastAsia="zh-CN"/>
              </w:rPr>
              <w:t>φ215</w:t>
            </w:r>
          </w:p>
        </w:tc>
        <w:tc>
          <w:tcPr>
            <w:tcW w:w="454" w:type="pct"/>
            <w:tcBorders>
              <w:tl2br w:val="nil"/>
              <w:tr2bl w:val="nil"/>
            </w:tcBorders>
            <w:shd w:val="clear" w:color="auto" w:fill="auto"/>
            <w:vAlign w:val="center"/>
          </w:tcPr>
          <w:p w14:paraId="47308A01">
            <w:pPr>
              <w:pStyle w:val="42"/>
              <w:keepNext w:val="0"/>
              <w:keepLines w:val="0"/>
              <w:suppressLineNumbers w:val="0"/>
              <w:bidi w:val="0"/>
              <w:spacing w:before="0" w:beforeAutospacing="0" w:after="0" w:afterAutospacing="0"/>
              <w:rPr>
                <w:rFonts w:hint="eastAsia"/>
              </w:rPr>
            </w:pPr>
            <w:r>
              <w:rPr>
                <w:rFonts w:hint="eastAsia"/>
                <w:lang w:val="en-US" w:eastAsia="zh-CN"/>
              </w:rPr>
              <w:t>448套</w:t>
            </w:r>
          </w:p>
        </w:tc>
        <w:tc>
          <w:tcPr>
            <w:tcW w:w="724" w:type="pct"/>
            <w:tcBorders>
              <w:tl2br w:val="nil"/>
              <w:tr2bl w:val="nil"/>
            </w:tcBorders>
            <w:shd w:val="clear" w:color="auto" w:fill="auto"/>
            <w:vAlign w:val="center"/>
          </w:tcPr>
          <w:p w14:paraId="7F3D7261">
            <w:pPr>
              <w:pStyle w:val="42"/>
              <w:keepNext w:val="0"/>
              <w:keepLines w:val="0"/>
              <w:suppressLineNumbers w:val="0"/>
              <w:bidi w:val="0"/>
              <w:spacing w:before="0" w:beforeAutospacing="0" w:after="0" w:afterAutospacing="0"/>
              <w:rPr>
                <w:rFonts w:hint="eastAsia"/>
                <w:lang w:val="en-US" w:eastAsia="zh-CN"/>
              </w:rPr>
            </w:pPr>
          </w:p>
        </w:tc>
      </w:tr>
      <w:tr w14:paraId="301C4D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1B9A97D2">
            <w:pPr>
              <w:pStyle w:val="42"/>
              <w:keepNext w:val="0"/>
              <w:keepLines w:val="0"/>
              <w:suppressLineNumbers w:val="0"/>
              <w:bidi w:val="0"/>
              <w:spacing w:before="0" w:beforeAutospacing="0" w:after="0" w:afterAutospacing="0"/>
              <w:rPr>
                <w:rFonts w:hint="eastAsia"/>
              </w:rPr>
            </w:pPr>
            <w:r>
              <w:rPr>
                <w:rFonts w:hint="eastAsia"/>
                <w:lang w:val="en-US" w:eastAsia="zh-CN"/>
              </w:rPr>
              <w:t>2.8.3</w:t>
            </w:r>
          </w:p>
        </w:tc>
        <w:tc>
          <w:tcPr>
            <w:tcW w:w="931" w:type="pct"/>
            <w:tcBorders>
              <w:tl2br w:val="nil"/>
              <w:tr2bl w:val="nil"/>
            </w:tcBorders>
            <w:shd w:val="clear" w:color="auto" w:fill="auto"/>
            <w:vAlign w:val="center"/>
          </w:tcPr>
          <w:p w14:paraId="7463BD57">
            <w:pPr>
              <w:pStyle w:val="42"/>
              <w:keepNext w:val="0"/>
              <w:keepLines w:val="0"/>
              <w:suppressLineNumbers w:val="0"/>
              <w:bidi w:val="0"/>
              <w:spacing w:before="0" w:beforeAutospacing="0" w:after="0" w:afterAutospacing="0"/>
              <w:rPr>
                <w:rFonts w:hint="eastAsia"/>
              </w:rPr>
            </w:pPr>
            <w:r>
              <w:rPr>
                <w:rFonts w:hint="eastAsia"/>
                <w:lang w:val="en-US" w:eastAsia="zh-CN"/>
              </w:rPr>
              <w:t>曝气系统</w:t>
            </w:r>
          </w:p>
        </w:tc>
        <w:tc>
          <w:tcPr>
            <w:tcW w:w="2395" w:type="pct"/>
            <w:tcBorders>
              <w:tl2br w:val="nil"/>
              <w:tr2bl w:val="nil"/>
            </w:tcBorders>
            <w:shd w:val="clear" w:color="auto" w:fill="auto"/>
            <w:vAlign w:val="center"/>
          </w:tcPr>
          <w:p w14:paraId="4CB61CF4">
            <w:pPr>
              <w:pStyle w:val="42"/>
              <w:keepNext w:val="0"/>
              <w:keepLines w:val="0"/>
              <w:suppressLineNumbers w:val="0"/>
              <w:bidi w:val="0"/>
              <w:spacing w:before="0" w:beforeAutospacing="0" w:after="0" w:afterAutospacing="0"/>
              <w:rPr>
                <w:rFonts w:hint="eastAsia"/>
              </w:rPr>
            </w:pPr>
            <w:r>
              <w:rPr>
                <w:rFonts w:hint="eastAsia"/>
                <w:lang w:val="en-US" w:eastAsia="zh-CN"/>
              </w:rPr>
              <w:t>ABS/UPVC材质，DN100/DN80</w:t>
            </w:r>
          </w:p>
        </w:tc>
        <w:tc>
          <w:tcPr>
            <w:tcW w:w="454" w:type="pct"/>
            <w:tcBorders>
              <w:tl2br w:val="nil"/>
              <w:tr2bl w:val="nil"/>
            </w:tcBorders>
            <w:shd w:val="clear" w:color="auto" w:fill="auto"/>
            <w:vAlign w:val="center"/>
          </w:tcPr>
          <w:p w14:paraId="520F7810">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540F9549">
            <w:pPr>
              <w:pStyle w:val="42"/>
              <w:keepNext w:val="0"/>
              <w:keepLines w:val="0"/>
              <w:suppressLineNumbers w:val="0"/>
              <w:bidi w:val="0"/>
              <w:spacing w:before="0" w:beforeAutospacing="0" w:after="0" w:afterAutospacing="0"/>
              <w:rPr>
                <w:rFonts w:hint="eastAsia"/>
                <w:lang w:val="en-US" w:eastAsia="zh-CN"/>
              </w:rPr>
            </w:pPr>
          </w:p>
        </w:tc>
      </w:tr>
      <w:tr w14:paraId="52BF5C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104400F">
            <w:pPr>
              <w:pStyle w:val="42"/>
              <w:keepNext w:val="0"/>
              <w:keepLines w:val="0"/>
              <w:suppressLineNumbers w:val="0"/>
              <w:bidi w:val="0"/>
              <w:spacing w:before="0" w:beforeAutospacing="0" w:after="0" w:afterAutospacing="0"/>
              <w:rPr>
                <w:rFonts w:hint="eastAsia"/>
              </w:rPr>
            </w:pPr>
            <w:r>
              <w:rPr>
                <w:rFonts w:hint="eastAsia"/>
                <w:lang w:val="en-US" w:eastAsia="zh-CN"/>
              </w:rPr>
              <w:t>2.8.4</w:t>
            </w:r>
          </w:p>
        </w:tc>
        <w:tc>
          <w:tcPr>
            <w:tcW w:w="931" w:type="pct"/>
            <w:tcBorders>
              <w:tl2br w:val="nil"/>
              <w:tr2bl w:val="nil"/>
            </w:tcBorders>
            <w:shd w:val="clear" w:color="auto" w:fill="auto"/>
            <w:vAlign w:val="center"/>
          </w:tcPr>
          <w:p w14:paraId="5675BF42">
            <w:pPr>
              <w:pStyle w:val="42"/>
              <w:keepNext w:val="0"/>
              <w:keepLines w:val="0"/>
              <w:suppressLineNumbers w:val="0"/>
              <w:bidi w:val="0"/>
              <w:spacing w:before="0" w:beforeAutospacing="0" w:after="0" w:afterAutospacing="0"/>
              <w:rPr>
                <w:rFonts w:hint="eastAsia"/>
              </w:rPr>
            </w:pPr>
            <w:r>
              <w:rPr>
                <w:rFonts w:hint="eastAsia"/>
                <w:lang w:val="en-US" w:eastAsia="zh-CN"/>
              </w:rPr>
              <w:t>填料支架</w:t>
            </w:r>
          </w:p>
        </w:tc>
        <w:tc>
          <w:tcPr>
            <w:tcW w:w="2395" w:type="pct"/>
            <w:tcBorders>
              <w:tl2br w:val="nil"/>
              <w:tr2bl w:val="nil"/>
            </w:tcBorders>
            <w:shd w:val="clear" w:color="auto" w:fill="auto"/>
            <w:vAlign w:val="center"/>
          </w:tcPr>
          <w:p w14:paraId="17E87D42">
            <w:pPr>
              <w:pStyle w:val="42"/>
              <w:keepNext w:val="0"/>
              <w:keepLines w:val="0"/>
              <w:suppressLineNumbers w:val="0"/>
              <w:bidi w:val="0"/>
              <w:spacing w:before="0" w:beforeAutospacing="0" w:after="0" w:afterAutospacing="0"/>
              <w:rPr>
                <w:rFonts w:hint="eastAsia"/>
              </w:rPr>
            </w:pPr>
            <w:r>
              <w:rPr>
                <w:rFonts w:hint="eastAsia"/>
                <w:lang w:val="en-US" w:eastAsia="zh-CN"/>
              </w:rPr>
              <w:t>热镀锌钢材</w:t>
            </w:r>
          </w:p>
        </w:tc>
        <w:tc>
          <w:tcPr>
            <w:tcW w:w="454" w:type="pct"/>
            <w:tcBorders>
              <w:tl2br w:val="nil"/>
              <w:tr2bl w:val="nil"/>
            </w:tcBorders>
            <w:shd w:val="clear" w:color="auto" w:fill="auto"/>
            <w:vAlign w:val="center"/>
          </w:tcPr>
          <w:p w14:paraId="1DE76D81">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0B61113F">
            <w:pPr>
              <w:pStyle w:val="42"/>
              <w:keepNext w:val="0"/>
              <w:keepLines w:val="0"/>
              <w:suppressLineNumbers w:val="0"/>
              <w:bidi w:val="0"/>
              <w:spacing w:before="0" w:beforeAutospacing="0" w:after="0" w:afterAutospacing="0"/>
              <w:rPr>
                <w:rFonts w:hint="eastAsia"/>
                <w:lang w:val="en-US" w:eastAsia="zh-CN"/>
              </w:rPr>
            </w:pPr>
          </w:p>
        </w:tc>
      </w:tr>
      <w:tr w14:paraId="282B55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1B899770">
            <w:pPr>
              <w:pStyle w:val="42"/>
              <w:keepNext w:val="0"/>
              <w:keepLines w:val="0"/>
              <w:suppressLineNumbers w:val="0"/>
              <w:bidi w:val="0"/>
              <w:spacing w:before="0" w:beforeAutospacing="0" w:after="0" w:afterAutospacing="0"/>
              <w:rPr>
                <w:rFonts w:hint="eastAsia"/>
              </w:rPr>
            </w:pPr>
            <w:r>
              <w:rPr>
                <w:rFonts w:hint="eastAsia"/>
                <w:lang w:val="en-US" w:eastAsia="zh-CN"/>
              </w:rPr>
              <w:t>2.8.5</w:t>
            </w:r>
          </w:p>
        </w:tc>
        <w:tc>
          <w:tcPr>
            <w:tcW w:w="931" w:type="pct"/>
            <w:tcBorders>
              <w:tl2br w:val="nil"/>
              <w:tr2bl w:val="nil"/>
            </w:tcBorders>
            <w:shd w:val="clear" w:color="auto" w:fill="auto"/>
            <w:vAlign w:val="center"/>
          </w:tcPr>
          <w:p w14:paraId="591EA8F6">
            <w:pPr>
              <w:pStyle w:val="42"/>
              <w:keepNext w:val="0"/>
              <w:keepLines w:val="0"/>
              <w:suppressLineNumbers w:val="0"/>
              <w:bidi w:val="0"/>
              <w:spacing w:before="0" w:beforeAutospacing="0" w:after="0" w:afterAutospacing="0"/>
              <w:rPr>
                <w:rFonts w:hint="eastAsia"/>
              </w:rPr>
            </w:pPr>
            <w:r>
              <w:rPr>
                <w:rFonts w:hint="eastAsia"/>
                <w:lang w:val="en-US" w:eastAsia="zh-CN"/>
              </w:rPr>
              <w:t>组合填料</w:t>
            </w:r>
          </w:p>
        </w:tc>
        <w:tc>
          <w:tcPr>
            <w:tcW w:w="2395" w:type="pct"/>
            <w:tcBorders>
              <w:tl2br w:val="nil"/>
              <w:tr2bl w:val="nil"/>
            </w:tcBorders>
            <w:shd w:val="clear" w:color="auto" w:fill="auto"/>
            <w:vAlign w:val="center"/>
          </w:tcPr>
          <w:p w14:paraId="06FF8A25">
            <w:pPr>
              <w:pStyle w:val="42"/>
              <w:keepNext w:val="0"/>
              <w:keepLines w:val="0"/>
              <w:suppressLineNumbers w:val="0"/>
              <w:bidi w:val="0"/>
              <w:spacing w:before="0" w:beforeAutospacing="0" w:after="0" w:afterAutospacing="0"/>
              <w:rPr>
                <w:rFonts w:hint="eastAsia"/>
              </w:rPr>
            </w:pPr>
            <w:r>
              <w:rPr>
                <w:rFonts w:hint="eastAsia"/>
                <w:lang w:val="en-US" w:eastAsia="zh-CN"/>
              </w:rPr>
              <w:t>φ80，65m</w:t>
            </w:r>
            <w:r>
              <w:rPr>
                <w:rFonts w:hint="eastAsia"/>
                <w:vertAlign w:val="superscript"/>
                <w:lang w:val="en-US" w:eastAsia="zh-CN"/>
              </w:rPr>
              <w:t>2</w:t>
            </w:r>
            <w:r>
              <w:rPr>
                <w:rFonts w:hint="eastAsia"/>
                <w:lang w:val="en-US" w:eastAsia="zh-CN"/>
              </w:rPr>
              <w:t>，3.0m深</w:t>
            </w:r>
          </w:p>
        </w:tc>
        <w:tc>
          <w:tcPr>
            <w:tcW w:w="454" w:type="pct"/>
            <w:tcBorders>
              <w:tl2br w:val="nil"/>
              <w:tr2bl w:val="nil"/>
            </w:tcBorders>
            <w:shd w:val="clear" w:color="auto" w:fill="auto"/>
            <w:vAlign w:val="center"/>
          </w:tcPr>
          <w:p w14:paraId="5705D2C1">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6CAE5C77">
            <w:pPr>
              <w:pStyle w:val="42"/>
              <w:keepNext w:val="0"/>
              <w:keepLines w:val="0"/>
              <w:suppressLineNumbers w:val="0"/>
              <w:bidi w:val="0"/>
              <w:spacing w:before="0" w:beforeAutospacing="0" w:after="0" w:afterAutospacing="0"/>
              <w:rPr>
                <w:rFonts w:hint="eastAsia"/>
                <w:lang w:val="en-US" w:eastAsia="zh-CN"/>
              </w:rPr>
            </w:pPr>
          </w:p>
        </w:tc>
      </w:tr>
      <w:tr w14:paraId="76EE6D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192CB299">
            <w:pPr>
              <w:pStyle w:val="42"/>
              <w:keepNext w:val="0"/>
              <w:keepLines w:val="0"/>
              <w:suppressLineNumbers w:val="0"/>
              <w:bidi w:val="0"/>
              <w:spacing w:before="0" w:beforeAutospacing="0" w:after="0" w:afterAutospacing="0"/>
              <w:rPr>
                <w:rFonts w:hint="eastAsia"/>
              </w:rPr>
            </w:pPr>
            <w:r>
              <w:rPr>
                <w:rFonts w:hint="eastAsia"/>
                <w:lang w:val="en-US" w:eastAsia="zh-CN"/>
              </w:rPr>
              <w:t>2.8.6</w:t>
            </w:r>
          </w:p>
        </w:tc>
        <w:tc>
          <w:tcPr>
            <w:tcW w:w="931" w:type="pct"/>
            <w:tcBorders>
              <w:tl2br w:val="nil"/>
              <w:tr2bl w:val="nil"/>
            </w:tcBorders>
            <w:shd w:val="clear" w:color="auto" w:fill="auto"/>
            <w:vAlign w:val="center"/>
          </w:tcPr>
          <w:p w14:paraId="76079262">
            <w:pPr>
              <w:pStyle w:val="42"/>
              <w:keepNext w:val="0"/>
              <w:keepLines w:val="0"/>
              <w:suppressLineNumbers w:val="0"/>
              <w:bidi w:val="0"/>
              <w:spacing w:before="0" w:beforeAutospacing="0" w:after="0" w:afterAutospacing="0"/>
              <w:rPr>
                <w:rFonts w:hint="eastAsia"/>
              </w:rPr>
            </w:pPr>
            <w:r>
              <w:rPr>
                <w:rFonts w:hint="eastAsia"/>
                <w:lang w:val="en-US" w:eastAsia="zh-CN"/>
              </w:rPr>
              <w:t>外回流泵</w:t>
            </w:r>
          </w:p>
        </w:tc>
        <w:tc>
          <w:tcPr>
            <w:tcW w:w="2395" w:type="pct"/>
            <w:tcBorders>
              <w:tl2br w:val="nil"/>
              <w:tr2bl w:val="nil"/>
            </w:tcBorders>
            <w:shd w:val="clear" w:color="auto" w:fill="auto"/>
            <w:vAlign w:val="center"/>
          </w:tcPr>
          <w:p w14:paraId="4EFD6151">
            <w:pPr>
              <w:pStyle w:val="42"/>
              <w:keepNext w:val="0"/>
              <w:keepLines w:val="0"/>
              <w:suppressLineNumbers w:val="0"/>
              <w:bidi w:val="0"/>
              <w:spacing w:before="0" w:beforeAutospacing="0" w:after="0" w:afterAutospacing="0"/>
              <w:rPr>
                <w:rFonts w:hint="eastAsia"/>
              </w:rPr>
            </w:pPr>
            <w:r>
              <w:rPr>
                <w:rFonts w:hint="eastAsia"/>
                <w:lang w:val="en-US" w:eastAsia="zh-CN"/>
              </w:rPr>
              <w:t>ISW,80-125,50m³/h,20m,5.5kw</w:t>
            </w:r>
          </w:p>
        </w:tc>
        <w:tc>
          <w:tcPr>
            <w:tcW w:w="454" w:type="pct"/>
            <w:tcBorders>
              <w:tl2br w:val="nil"/>
              <w:tr2bl w:val="nil"/>
            </w:tcBorders>
            <w:shd w:val="clear" w:color="auto" w:fill="auto"/>
            <w:vAlign w:val="center"/>
          </w:tcPr>
          <w:p w14:paraId="768B1464">
            <w:pPr>
              <w:pStyle w:val="42"/>
              <w:keepNext w:val="0"/>
              <w:keepLines w:val="0"/>
              <w:suppressLineNumbers w:val="0"/>
              <w:bidi w:val="0"/>
              <w:spacing w:before="0" w:beforeAutospacing="0" w:after="0" w:afterAutospacing="0"/>
              <w:rPr>
                <w:rFonts w:hint="eastAsia"/>
              </w:rPr>
            </w:pPr>
            <w:r>
              <w:rPr>
                <w:rFonts w:hint="eastAsia"/>
                <w:lang w:val="en-US" w:eastAsia="zh-CN"/>
              </w:rPr>
              <w:t>4台</w:t>
            </w:r>
          </w:p>
        </w:tc>
        <w:tc>
          <w:tcPr>
            <w:tcW w:w="724" w:type="pct"/>
            <w:tcBorders>
              <w:tl2br w:val="nil"/>
              <w:tr2bl w:val="nil"/>
            </w:tcBorders>
            <w:shd w:val="clear" w:color="auto" w:fill="auto"/>
            <w:vAlign w:val="center"/>
          </w:tcPr>
          <w:p w14:paraId="30660753">
            <w:pPr>
              <w:pStyle w:val="42"/>
              <w:keepNext w:val="0"/>
              <w:keepLines w:val="0"/>
              <w:suppressLineNumbers w:val="0"/>
              <w:bidi w:val="0"/>
              <w:spacing w:before="0" w:beforeAutospacing="0" w:after="0" w:afterAutospacing="0"/>
              <w:rPr>
                <w:rFonts w:hint="eastAsia"/>
                <w:lang w:val="en-US" w:eastAsia="zh-CN"/>
              </w:rPr>
            </w:pPr>
          </w:p>
        </w:tc>
      </w:tr>
      <w:tr w14:paraId="22CBE4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5FC74C8">
            <w:pPr>
              <w:pStyle w:val="42"/>
              <w:keepNext w:val="0"/>
              <w:keepLines w:val="0"/>
              <w:suppressLineNumbers w:val="0"/>
              <w:bidi w:val="0"/>
              <w:spacing w:before="0" w:beforeAutospacing="0" w:after="0" w:afterAutospacing="0"/>
              <w:rPr>
                <w:rFonts w:hint="eastAsia"/>
              </w:rPr>
            </w:pPr>
            <w:r>
              <w:rPr>
                <w:rFonts w:hint="eastAsia"/>
                <w:lang w:val="en-US" w:eastAsia="zh-CN"/>
              </w:rPr>
              <w:t>2.8.7</w:t>
            </w:r>
          </w:p>
        </w:tc>
        <w:tc>
          <w:tcPr>
            <w:tcW w:w="931" w:type="pct"/>
            <w:tcBorders>
              <w:tl2br w:val="nil"/>
              <w:tr2bl w:val="nil"/>
            </w:tcBorders>
            <w:shd w:val="clear" w:color="auto" w:fill="auto"/>
            <w:vAlign w:val="center"/>
          </w:tcPr>
          <w:p w14:paraId="0B928F19">
            <w:pPr>
              <w:pStyle w:val="42"/>
              <w:keepNext w:val="0"/>
              <w:keepLines w:val="0"/>
              <w:suppressLineNumbers w:val="0"/>
              <w:bidi w:val="0"/>
              <w:spacing w:before="0" w:beforeAutospacing="0" w:after="0" w:afterAutospacing="0"/>
              <w:rPr>
                <w:rFonts w:hint="eastAsia"/>
              </w:rPr>
            </w:pPr>
            <w:r>
              <w:rPr>
                <w:rFonts w:hint="eastAsia"/>
                <w:lang w:val="en-US" w:eastAsia="zh-CN"/>
              </w:rPr>
              <w:t>固液分离装置</w:t>
            </w:r>
          </w:p>
        </w:tc>
        <w:tc>
          <w:tcPr>
            <w:tcW w:w="2395" w:type="pct"/>
            <w:tcBorders>
              <w:tl2br w:val="nil"/>
              <w:tr2bl w:val="nil"/>
            </w:tcBorders>
            <w:shd w:val="clear" w:color="auto" w:fill="auto"/>
            <w:vAlign w:val="center"/>
          </w:tcPr>
          <w:p w14:paraId="04C49FDF">
            <w:pPr>
              <w:pStyle w:val="42"/>
              <w:keepNext w:val="0"/>
              <w:keepLines w:val="0"/>
              <w:suppressLineNumbers w:val="0"/>
              <w:bidi w:val="0"/>
              <w:spacing w:before="0" w:beforeAutospacing="0" w:after="0" w:afterAutospacing="0"/>
              <w:rPr>
                <w:rFonts w:hint="eastAsia"/>
              </w:rPr>
            </w:pPr>
            <w:r>
              <w:rPr>
                <w:rFonts w:hint="eastAsia"/>
                <w:lang w:val="en-US" w:eastAsia="zh-CN"/>
              </w:rPr>
              <w:t>pp折板</w:t>
            </w:r>
          </w:p>
        </w:tc>
        <w:tc>
          <w:tcPr>
            <w:tcW w:w="454" w:type="pct"/>
            <w:tcBorders>
              <w:tl2br w:val="nil"/>
              <w:tr2bl w:val="nil"/>
            </w:tcBorders>
            <w:shd w:val="clear" w:color="auto" w:fill="auto"/>
            <w:vAlign w:val="center"/>
          </w:tcPr>
          <w:p w14:paraId="0AE1C396">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41FC41D4">
            <w:pPr>
              <w:pStyle w:val="42"/>
              <w:keepNext w:val="0"/>
              <w:keepLines w:val="0"/>
              <w:suppressLineNumbers w:val="0"/>
              <w:bidi w:val="0"/>
              <w:spacing w:before="0" w:beforeAutospacing="0" w:after="0" w:afterAutospacing="0"/>
              <w:rPr>
                <w:rFonts w:hint="eastAsia"/>
                <w:lang w:val="en-US" w:eastAsia="zh-CN"/>
              </w:rPr>
            </w:pPr>
          </w:p>
        </w:tc>
      </w:tr>
      <w:tr w14:paraId="5AE7F1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799CA5D">
            <w:pPr>
              <w:pStyle w:val="42"/>
              <w:keepNext w:val="0"/>
              <w:keepLines w:val="0"/>
              <w:suppressLineNumbers w:val="0"/>
              <w:bidi w:val="0"/>
              <w:spacing w:before="0" w:beforeAutospacing="0" w:after="0" w:afterAutospacing="0"/>
              <w:rPr>
                <w:rFonts w:hint="eastAsia"/>
              </w:rPr>
            </w:pPr>
            <w:r>
              <w:rPr>
                <w:rFonts w:hint="eastAsia"/>
                <w:lang w:val="en-US" w:eastAsia="zh-CN"/>
              </w:rPr>
              <w:t>2.9</w:t>
            </w:r>
          </w:p>
        </w:tc>
        <w:tc>
          <w:tcPr>
            <w:tcW w:w="931" w:type="pct"/>
            <w:tcBorders>
              <w:tl2br w:val="nil"/>
              <w:tr2bl w:val="nil"/>
            </w:tcBorders>
            <w:shd w:val="clear" w:color="auto" w:fill="auto"/>
            <w:vAlign w:val="center"/>
          </w:tcPr>
          <w:p w14:paraId="3E9CA266">
            <w:pPr>
              <w:pStyle w:val="42"/>
              <w:keepNext w:val="0"/>
              <w:keepLines w:val="0"/>
              <w:suppressLineNumbers w:val="0"/>
              <w:bidi w:val="0"/>
              <w:spacing w:before="0" w:beforeAutospacing="0" w:after="0" w:afterAutospacing="0"/>
              <w:rPr>
                <w:rFonts w:hint="eastAsia"/>
              </w:rPr>
            </w:pPr>
            <w:r>
              <w:rPr>
                <w:rFonts w:hint="eastAsia"/>
                <w:lang w:val="en-US" w:eastAsia="zh-CN"/>
              </w:rPr>
              <w:t>去磷池</w:t>
            </w:r>
          </w:p>
        </w:tc>
        <w:tc>
          <w:tcPr>
            <w:tcW w:w="2395" w:type="pct"/>
            <w:tcBorders>
              <w:tl2br w:val="nil"/>
              <w:tr2bl w:val="nil"/>
            </w:tcBorders>
            <w:shd w:val="clear" w:color="auto" w:fill="auto"/>
            <w:vAlign w:val="center"/>
          </w:tcPr>
          <w:p w14:paraId="5507DA3B">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5009F542">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03F66844">
            <w:pPr>
              <w:pStyle w:val="42"/>
              <w:keepNext w:val="0"/>
              <w:keepLines w:val="0"/>
              <w:suppressLineNumbers w:val="0"/>
              <w:bidi w:val="0"/>
              <w:spacing w:before="0" w:beforeAutospacing="0" w:after="0" w:afterAutospacing="0"/>
              <w:rPr>
                <w:rFonts w:hint="eastAsia"/>
              </w:rPr>
            </w:pPr>
          </w:p>
        </w:tc>
      </w:tr>
      <w:tr w14:paraId="68CADF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57A043A5">
            <w:pPr>
              <w:pStyle w:val="42"/>
              <w:keepNext w:val="0"/>
              <w:keepLines w:val="0"/>
              <w:suppressLineNumbers w:val="0"/>
              <w:bidi w:val="0"/>
              <w:spacing w:before="0" w:beforeAutospacing="0" w:after="0" w:afterAutospacing="0"/>
              <w:rPr>
                <w:rFonts w:hint="eastAsia"/>
              </w:rPr>
            </w:pPr>
            <w:r>
              <w:rPr>
                <w:rFonts w:hint="eastAsia"/>
                <w:lang w:val="en-US" w:eastAsia="zh-CN"/>
              </w:rPr>
              <w:t>2.9.1</w:t>
            </w:r>
          </w:p>
        </w:tc>
        <w:tc>
          <w:tcPr>
            <w:tcW w:w="931" w:type="pct"/>
            <w:tcBorders>
              <w:tl2br w:val="nil"/>
              <w:tr2bl w:val="nil"/>
            </w:tcBorders>
            <w:shd w:val="clear" w:color="auto" w:fill="auto"/>
            <w:vAlign w:val="center"/>
          </w:tcPr>
          <w:p w14:paraId="06C00305">
            <w:pPr>
              <w:pStyle w:val="42"/>
              <w:keepNext w:val="0"/>
              <w:keepLines w:val="0"/>
              <w:suppressLineNumbers w:val="0"/>
              <w:bidi w:val="0"/>
              <w:spacing w:before="0" w:beforeAutospacing="0" w:after="0" w:afterAutospacing="0"/>
              <w:rPr>
                <w:rFonts w:hint="eastAsia"/>
              </w:rPr>
            </w:pPr>
            <w:r>
              <w:rPr>
                <w:rFonts w:hint="eastAsia"/>
                <w:lang w:val="en-US" w:eastAsia="zh-CN"/>
              </w:rPr>
              <w:t>去磷泵</w:t>
            </w:r>
          </w:p>
        </w:tc>
        <w:tc>
          <w:tcPr>
            <w:tcW w:w="2395" w:type="pct"/>
            <w:tcBorders>
              <w:tl2br w:val="nil"/>
              <w:tr2bl w:val="nil"/>
            </w:tcBorders>
            <w:shd w:val="clear" w:color="auto" w:fill="auto"/>
            <w:vAlign w:val="center"/>
          </w:tcPr>
          <w:p w14:paraId="42CB5A51">
            <w:pPr>
              <w:pStyle w:val="42"/>
              <w:keepNext w:val="0"/>
              <w:keepLines w:val="0"/>
              <w:suppressLineNumbers w:val="0"/>
              <w:bidi w:val="0"/>
              <w:spacing w:before="0" w:beforeAutospacing="0" w:after="0" w:afterAutospacing="0"/>
              <w:rPr>
                <w:rFonts w:hint="eastAsia"/>
              </w:rPr>
            </w:pPr>
            <w:r>
              <w:rPr>
                <w:rFonts w:hint="eastAsia"/>
                <w:lang w:val="en-US" w:eastAsia="zh-CN"/>
              </w:rPr>
              <w:t>50ZW15-12-1.5，离心泵</w:t>
            </w:r>
          </w:p>
        </w:tc>
        <w:tc>
          <w:tcPr>
            <w:tcW w:w="454" w:type="pct"/>
            <w:tcBorders>
              <w:tl2br w:val="nil"/>
              <w:tr2bl w:val="nil"/>
            </w:tcBorders>
            <w:shd w:val="clear" w:color="auto" w:fill="auto"/>
            <w:vAlign w:val="center"/>
          </w:tcPr>
          <w:p w14:paraId="1D1777DA">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43AB168B">
            <w:pPr>
              <w:pStyle w:val="42"/>
              <w:keepNext w:val="0"/>
              <w:keepLines w:val="0"/>
              <w:suppressLineNumbers w:val="0"/>
              <w:bidi w:val="0"/>
              <w:spacing w:before="0" w:beforeAutospacing="0" w:after="0" w:afterAutospacing="0"/>
              <w:rPr>
                <w:rFonts w:hint="eastAsia"/>
                <w:lang w:val="en-US" w:eastAsia="zh-CN"/>
              </w:rPr>
            </w:pPr>
          </w:p>
        </w:tc>
      </w:tr>
      <w:tr w14:paraId="58EFAA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61019FC">
            <w:pPr>
              <w:pStyle w:val="42"/>
              <w:keepNext w:val="0"/>
              <w:keepLines w:val="0"/>
              <w:suppressLineNumbers w:val="0"/>
              <w:bidi w:val="0"/>
              <w:spacing w:before="0" w:beforeAutospacing="0" w:after="0" w:afterAutospacing="0"/>
              <w:rPr>
                <w:rFonts w:hint="eastAsia"/>
              </w:rPr>
            </w:pPr>
            <w:r>
              <w:rPr>
                <w:rFonts w:hint="eastAsia"/>
                <w:lang w:val="en-US" w:eastAsia="zh-CN"/>
              </w:rPr>
              <w:t>2.9.2</w:t>
            </w:r>
          </w:p>
        </w:tc>
        <w:tc>
          <w:tcPr>
            <w:tcW w:w="931" w:type="pct"/>
            <w:tcBorders>
              <w:tl2br w:val="nil"/>
              <w:tr2bl w:val="nil"/>
            </w:tcBorders>
            <w:shd w:val="clear" w:color="auto" w:fill="auto"/>
            <w:vAlign w:val="center"/>
          </w:tcPr>
          <w:p w14:paraId="0AFD4B14">
            <w:pPr>
              <w:pStyle w:val="42"/>
              <w:keepNext w:val="0"/>
              <w:keepLines w:val="0"/>
              <w:suppressLineNumbers w:val="0"/>
              <w:bidi w:val="0"/>
              <w:spacing w:before="0" w:beforeAutospacing="0" w:after="0" w:afterAutospacing="0"/>
              <w:rPr>
                <w:rFonts w:hint="eastAsia"/>
              </w:rPr>
            </w:pPr>
            <w:r>
              <w:rPr>
                <w:rFonts w:hint="eastAsia"/>
                <w:lang w:val="en-US" w:eastAsia="zh-CN"/>
              </w:rPr>
              <w:t>浮渣挡板</w:t>
            </w:r>
          </w:p>
        </w:tc>
        <w:tc>
          <w:tcPr>
            <w:tcW w:w="2395" w:type="pct"/>
            <w:tcBorders>
              <w:tl2br w:val="nil"/>
              <w:tr2bl w:val="nil"/>
            </w:tcBorders>
            <w:shd w:val="clear" w:color="auto" w:fill="auto"/>
            <w:vAlign w:val="center"/>
          </w:tcPr>
          <w:p w14:paraId="2FB3A078">
            <w:pPr>
              <w:pStyle w:val="42"/>
              <w:keepNext w:val="0"/>
              <w:keepLines w:val="0"/>
              <w:suppressLineNumbers w:val="0"/>
              <w:bidi w:val="0"/>
              <w:spacing w:before="0" w:beforeAutospacing="0" w:after="0" w:afterAutospacing="0"/>
              <w:rPr>
                <w:rFonts w:hint="eastAsia"/>
              </w:rPr>
            </w:pPr>
            <w:r>
              <w:rPr>
                <w:rFonts w:hint="eastAsia"/>
                <w:lang w:val="en-US" w:eastAsia="zh-CN"/>
              </w:rPr>
              <w:t>PP材质</w:t>
            </w:r>
          </w:p>
        </w:tc>
        <w:tc>
          <w:tcPr>
            <w:tcW w:w="454" w:type="pct"/>
            <w:tcBorders>
              <w:tl2br w:val="nil"/>
              <w:tr2bl w:val="nil"/>
            </w:tcBorders>
            <w:shd w:val="clear" w:color="auto" w:fill="auto"/>
            <w:vAlign w:val="center"/>
          </w:tcPr>
          <w:p w14:paraId="3BDDD41B">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30688E89">
            <w:pPr>
              <w:pStyle w:val="42"/>
              <w:keepNext w:val="0"/>
              <w:keepLines w:val="0"/>
              <w:suppressLineNumbers w:val="0"/>
              <w:bidi w:val="0"/>
              <w:spacing w:before="0" w:beforeAutospacing="0" w:after="0" w:afterAutospacing="0"/>
              <w:rPr>
                <w:rFonts w:hint="eastAsia"/>
                <w:lang w:val="en-US" w:eastAsia="zh-CN"/>
              </w:rPr>
            </w:pPr>
          </w:p>
        </w:tc>
      </w:tr>
      <w:tr w14:paraId="3F46FA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22ECD0C">
            <w:pPr>
              <w:pStyle w:val="42"/>
              <w:keepNext w:val="0"/>
              <w:keepLines w:val="0"/>
              <w:suppressLineNumbers w:val="0"/>
              <w:bidi w:val="0"/>
              <w:spacing w:before="0" w:beforeAutospacing="0" w:after="0" w:afterAutospacing="0"/>
              <w:rPr>
                <w:rFonts w:hint="eastAsia"/>
              </w:rPr>
            </w:pPr>
            <w:r>
              <w:rPr>
                <w:rFonts w:hint="eastAsia"/>
                <w:lang w:val="en-US" w:eastAsia="zh-CN"/>
              </w:rPr>
              <w:t>2.9.3</w:t>
            </w:r>
          </w:p>
        </w:tc>
        <w:tc>
          <w:tcPr>
            <w:tcW w:w="931" w:type="pct"/>
            <w:tcBorders>
              <w:tl2br w:val="nil"/>
              <w:tr2bl w:val="nil"/>
            </w:tcBorders>
            <w:shd w:val="clear" w:color="auto" w:fill="auto"/>
            <w:vAlign w:val="center"/>
          </w:tcPr>
          <w:p w14:paraId="3F33F4DF">
            <w:pPr>
              <w:pStyle w:val="42"/>
              <w:keepNext w:val="0"/>
              <w:keepLines w:val="0"/>
              <w:suppressLineNumbers w:val="0"/>
              <w:bidi w:val="0"/>
              <w:spacing w:before="0" w:beforeAutospacing="0" w:after="0" w:afterAutospacing="0"/>
              <w:rPr>
                <w:rFonts w:hint="eastAsia"/>
              </w:rPr>
            </w:pPr>
            <w:r>
              <w:rPr>
                <w:rFonts w:hint="eastAsia"/>
                <w:lang w:val="en-US" w:eastAsia="zh-CN"/>
              </w:rPr>
              <w:t>行车式刮渣机</w:t>
            </w:r>
          </w:p>
        </w:tc>
        <w:tc>
          <w:tcPr>
            <w:tcW w:w="2395" w:type="pct"/>
            <w:tcBorders>
              <w:tl2br w:val="nil"/>
              <w:tr2bl w:val="nil"/>
            </w:tcBorders>
            <w:shd w:val="clear" w:color="auto" w:fill="auto"/>
            <w:vAlign w:val="center"/>
          </w:tcPr>
          <w:p w14:paraId="310E848B">
            <w:pPr>
              <w:pStyle w:val="42"/>
              <w:keepNext w:val="0"/>
              <w:keepLines w:val="0"/>
              <w:suppressLineNumbers w:val="0"/>
              <w:bidi w:val="0"/>
              <w:spacing w:before="0" w:beforeAutospacing="0" w:after="0" w:afterAutospacing="0"/>
              <w:rPr>
                <w:rFonts w:hint="eastAsia"/>
              </w:rPr>
            </w:pPr>
            <w:r>
              <w:rPr>
                <w:rFonts w:hint="eastAsia"/>
                <w:lang w:val="en-US" w:eastAsia="zh-CN"/>
              </w:rPr>
              <w:t>池宽3.45m，2.2kw</w:t>
            </w:r>
          </w:p>
        </w:tc>
        <w:tc>
          <w:tcPr>
            <w:tcW w:w="454" w:type="pct"/>
            <w:tcBorders>
              <w:tl2br w:val="nil"/>
              <w:tr2bl w:val="nil"/>
            </w:tcBorders>
            <w:shd w:val="clear" w:color="auto" w:fill="auto"/>
            <w:vAlign w:val="center"/>
          </w:tcPr>
          <w:p w14:paraId="1D36433D">
            <w:pPr>
              <w:pStyle w:val="42"/>
              <w:keepNext w:val="0"/>
              <w:keepLines w:val="0"/>
              <w:suppressLineNumbers w:val="0"/>
              <w:bidi w:val="0"/>
              <w:spacing w:before="0" w:beforeAutospacing="0" w:after="0" w:afterAutospacing="0"/>
              <w:rPr>
                <w:rFonts w:hint="eastAsia"/>
              </w:rPr>
            </w:pPr>
            <w:r>
              <w:rPr>
                <w:rFonts w:hint="eastAsia"/>
                <w:lang w:val="en-US" w:eastAsia="zh-CN"/>
              </w:rPr>
              <w:t>1台</w:t>
            </w:r>
          </w:p>
        </w:tc>
        <w:tc>
          <w:tcPr>
            <w:tcW w:w="724" w:type="pct"/>
            <w:tcBorders>
              <w:tl2br w:val="nil"/>
              <w:tr2bl w:val="nil"/>
            </w:tcBorders>
            <w:shd w:val="clear" w:color="auto" w:fill="auto"/>
            <w:vAlign w:val="center"/>
          </w:tcPr>
          <w:p w14:paraId="7249F9FD">
            <w:pPr>
              <w:pStyle w:val="42"/>
              <w:keepNext w:val="0"/>
              <w:keepLines w:val="0"/>
              <w:suppressLineNumbers w:val="0"/>
              <w:bidi w:val="0"/>
              <w:spacing w:before="0" w:beforeAutospacing="0" w:after="0" w:afterAutospacing="0"/>
              <w:rPr>
                <w:rFonts w:hint="eastAsia"/>
                <w:lang w:val="en-US" w:eastAsia="zh-CN"/>
              </w:rPr>
            </w:pPr>
          </w:p>
        </w:tc>
      </w:tr>
      <w:tr w14:paraId="3ECF92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3D28474">
            <w:pPr>
              <w:pStyle w:val="42"/>
              <w:keepNext w:val="0"/>
              <w:keepLines w:val="0"/>
              <w:suppressLineNumbers w:val="0"/>
              <w:bidi w:val="0"/>
              <w:spacing w:before="0" w:beforeAutospacing="0" w:after="0" w:afterAutospacing="0"/>
              <w:rPr>
                <w:rFonts w:hint="eastAsia"/>
              </w:rPr>
            </w:pPr>
            <w:r>
              <w:rPr>
                <w:rFonts w:hint="eastAsia"/>
                <w:lang w:val="en-US" w:eastAsia="zh-CN"/>
              </w:rPr>
              <w:t>2.9.4</w:t>
            </w:r>
          </w:p>
        </w:tc>
        <w:tc>
          <w:tcPr>
            <w:tcW w:w="931" w:type="pct"/>
            <w:tcBorders>
              <w:tl2br w:val="nil"/>
              <w:tr2bl w:val="nil"/>
            </w:tcBorders>
            <w:shd w:val="clear" w:color="auto" w:fill="auto"/>
            <w:vAlign w:val="center"/>
          </w:tcPr>
          <w:p w14:paraId="66535C61">
            <w:pPr>
              <w:pStyle w:val="42"/>
              <w:keepNext w:val="0"/>
              <w:keepLines w:val="0"/>
              <w:suppressLineNumbers w:val="0"/>
              <w:bidi w:val="0"/>
              <w:spacing w:before="0" w:beforeAutospacing="0" w:after="0" w:afterAutospacing="0"/>
              <w:rPr>
                <w:rFonts w:hint="eastAsia"/>
              </w:rPr>
            </w:pPr>
            <w:r>
              <w:rPr>
                <w:rFonts w:hint="eastAsia"/>
                <w:lang w:val="en-US" w:eastAsia="zh-CN"/>
              </w:rPr>
              <w:t>混凝絮凝搅拌</w:t>
            </w:r>
          </w:p>
        </w:tc>
        <w:tc>
          <w:tcPr>
            <w:tcW w:w="2395" w:type="pct"/>
            <w:tcBorders>
              <w:tl2br w:val="nil"/>
              <w:tr2bl w:val="nil"/>
            </w:tcBorders>
            <w:shd w:val="clear" w:color="auto" w:fill="auto"/>
            <w:vAlign w:val="center"/>
          </w:tcPr>
          <w:p w14:paraId="2F30BD82">
            <w:pPr>
              <w:pStyle w:val="42"/>
              <w:keepNext w:val="0"/>
              <w:keepLines w:val="0"/>
              <w:suppressLineNumbers w:val="0"/>
              <w:bidi w:val="0"/>
              <w:spacing w:before="0" w:beforeAutospacing="0" w:after="0" w:afterAutospacing="0"/>
              <w:rPr>
                <w:rFonts w:hint="eastAsia"/>
              </w:rPr>
            </w:pPr>
            <w:r>
              <w:rPr>
                <w:rFonts w:hint="eastAsia"/>
                <w:lang w:val="en-US" w:eastAsia="zh-CN"/>
              </w:rPr>
              <w:t>304不锈钢材质、2.2kw</w:t>
            </w:r>
          </w:p>
        </w:tc>
        <w:tc>
          <w:tcPr>
            <w:tcW w:w="454" w:type="pct"/>
            <w:tcBorders>
              <w:tl2br w:val="nil"/>
              <w:tr2bl w:val="nil"/>
            </w:tcBorders>
            <w:shd w:val="clear" w:color="auto" w:fill="auto"/>
            <w:vAlign w:val="center"/>
          </w:tcPr>
          <w:p w14:paraId="2CEB5B25">
            <w:pPr>
              <w:pStyle w:val="42"/>
              <w:keepNext w:val="0"/>
              <w:keepLines w:val="0"/>
              <w:suppressLineNumbers w:val="0"/>
              <w:bidi w:val="0"/>
              <w:spacing w:before="0" w:beforeAutospacing="0" w:after="0" w:afterAutospacing="0"/>
              <w:rPr>
                <w:rFonts w:hint="eastAsia"/>
              </w:rPr>
            </w:pPr>
            <w:r>
              <w:rPr>
                <w:rFonts w:hint="eastAsia"/>
                <w:lang w:val="en-US" w:eastAsia="zh-CN"/>
              </w:rPr>
              <w:t>2台</w:t>
            </w:r>
          </w:p>
        </w:tc>
        <w:tc>
          <w:tcPr>
            <w:tcW w:w="724" w:type="pct"/>
            <w:tcBorders>
              <w:tl2br w:val="nil"/>
              <w:tr2bl w:val="nil"/>
            </w:tcBorders>
            <w:shd w:val="clear" w:color="auto" w:fill="auto"/>
            <w:vAlign w:val="center"/>
          </w:tcPr>
          <w:p w14:paraId="48F108F2">
            <w:pPr>
              <w:pStyle w:val="42"/>
              <w:keepNext w:val="0"/>
              <w:keepLines w:val="0"/>
              <w:suppressLineNumbers w:val="0"/>
              <w:bidi w:val="0"/>
              <w:spacing w:before="0" w:beforeAutospacing="0" w:after="0" w:afterAutospacing="0"/>
              <w:rPr>
                <w:rFonts w:hint="eastAsia"/>
                <w:lang w:val="en-US" w:eastAsia="zh-CN"/>
              </w:rPr>
            </w:pPr>
          </w:p>
        </w:tc>
      </w:tr>
      <w:tr w14:paraId="454E26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368269C">
            <w:pPr>
              <w:pStyle w:val="42"/>
              <w:keepNext w:val="0"/>
              <w:keepLines w:val="0"/>
              <w:suppressLineNumbers w:val="0"/>
              <w:bidi w:val="0"/>
              <w:spacing w:before="0" w:beforeAutospacing="0" w:after="0" w:afterAutospacing="0"/>
              <w:rPr>
                <w:rFonts w:hint="eastAsia"/>
              </w:rPr>
            </w:pPr>
            <w:r>
              <w:rPr>
                <w:rFonts w:hint="eastAsia"/>
                <w:lang w:val="en-US" w:eastAsia="zh-CN"/>
              </w:rPr>
              <w:t>2.1</w:t>
            </w:r>
          </w:p>
        </w:tc>
        <w:tc>
          <w:tcPr>
            <w:tcW w:w="931" w:type="pct"/>
            <w:tcBorders>
              <w:tl2br w:val="nil"/>
              <w:tr2bl w:val="nil"/>
            </w:tcBorders>
            <w:shd w:val="clear" w:color="auto" w:fill="auto"/>
            <w:vAlign w:val="center"/>
          </w:tcPr>
          <w:p w14:paraId="75C79598">
            <w:pPr>
              <w:pStyle w:val="42"/>
              <w:keepNext w:val="0"/>
              <w:keepLines w:val="0"/>
              <w:suppressLineNumbers w:val="0"/>
              <w:bidi w:val="0"/>
              <w:spacing w:before="0" w:beforeAutospacing="0" w:after="0" w:afterAutospacing="0"/>
              <w:rPr>
                <w:rFonts w:hint="eastAsia"/>
              </w:rPr>
            </w:pPr>
            <w:r>
              <w:rPr>
                <w:rFonts w:hint="eastAsia"/>
                <w:lang w:val="en-US" w:eastAsia="zh-CN"/>
              </w:rPr>
              <w:t>清水池</w:t>
            </w:r>
          </w:p>
        </w:tc>
        <w:tc>
          <w:tcPr>
            <w:tcW w:w="2395" w:type="pct"/>
            <w:tcBorders>
              <w:tl2br w:val="nil"/>
              <w:tr2bl w:val="nil"/>
            </w:tcBorders>
            <w:shd w:val="clear" w:color="auto" w:fill="auto"/>
            <w:vAlign w:val="center"/>
          </w:tcPr>
          <w:p w14:paraId="4124DC8D">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7D5B40AA">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7CFE6C25">
            <w:pPr>
              <w:pStyle w:val="42"/>
              <w:keepNext w:val="0"/>
              <w:keepLines w:val="0"/>
              <w:suppressLineNumbers w:val="0"/>
              <w:bidi w:val="0"/>
              <w:spacing w:before="0" w:beforeAutospacing="0" w:after="0" w:afterAutospacing="0"/>
              <w:rPr>
                <w:rFonts w:hint="eastAsia"/>
              </w:rPr>
            </w:pPr>
          </w:p>
        </w:tc>
      </w:tr>
      <w:tr w14:paraId="5772C8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0E8B92BD">
            <w:pPr>
              <w:pStyle w:val="42"/>
              <w:keepNext w:val="0"/>
              <w:keepLines w:val="0"/>
              <w:suppressLineNumbers w:val="0"/>
              <w:bidi w:val="0"/>
              <w:spacing w:before="0" w:beforeAutospacing="0" w:after="0" w:afterAutospacing="0"/>
              <w:rPr>
                <w:rFonts w:hint="eastAsia"/>
              </w:rPr>
            </w:pPr>
            <w:r>
              <w:rPr>
                <w:rFonts w:hint="eastAsia"/>
                <w:lang w:val="en-US" w:eastAsia="zh-CN"/>
              </w:rPr>
              <w:t>2.10.1</w:t>
            </w:r>
          </w:p>
        </w:tc>
        <w:tc>
          <w:tcPr>
            <w:tcW w:w="931" w:type="pct"/>
            <w:tcBorders>
              <w:tl2br w:val="nil"/>
              <w:tr2bl w:val="nil"/>
            </w:tcBorders>
            <w:shd w:val="clear" w:color="auto" w:fill="auto"/>
            <w:vAlign w:val="center"/>
          </w:tcPr>
          <w:p w14:paraId="07B17CEE">
            <w:pPr>
              <w:pStyle w:val="42"/>
              <w:keepNext w:val="0"/>
              <w:keepLines w:val="0"/>
              <w:suppressLineNumbers w:val="0"/>
              <w:bidi w:val="0"/>
              <w:spacing w:before="0" w:beforeAutospacing="0" w:after="0" w:afterAutospacing="0"/>
              <w:rPr>
                <w:rFonts w:hint="eastAsia"/>
              </w:rPr>
            </w:pPr>
            <w:r>
              <w:rPr>
                <w:rFonts w:hint="eastAsia"/>
                <w:lang w:val="en-US" w:eastAsia="zh-CN"/>
              </w:rPr>
              <w:t>清水池泵</w:t>
            </w:r>
          </w:p>
        </w:tc>
        <w:tc>
          <w:tcPr>
            <w:tcW w:w="2395" w:type="pct"/>
            <w:tcBorders>
              <w:tl2br w:val="nil"/>
              <w:tr2bl w:val="nil"/>
            </w:tcBorders>
            <w:shd w:val="clear" w:color="auto" w:fill="auto"/>
            <w:vAlign w:val="center"/>
          </w:tcPr>
          <w:p w14:paraId="3BA358E2">
            <w:pPr>
              <w:pStyle w:val="42"/>
              <w:keepNext w:val="0"/>
              <w:keepLines w:val="0"/>
              <w:suppressLineNumbers w:val="0"/>
              <w:bidi w:val="0"/>
              <w:spacing w:before="0" w:beforeAutospacing="0" w:after="0" w:afterAutospacing="0"/>
              <w:rPr>
                <w:rFonts w:hint="eastAsia"/>
              </w:rPr>
            </w:pPr>
            <w:r>
              <w:rPr>
                <w:rFonts w:hint="eastAsia"/>
                <w:lang w:val="en-US" w:eastAsia="zh-CN"/>
              </w:rPr>
              <w:t>潜污泵，WQ15-9-1.5，带切割，带拉杆</w:t>
            </w:r>
          </w:p>
        </w:tc>
        <w:tc>
          <w:tcPr>
            <w:tcW w:w="454" w:type="pct"/>
            <w:tcBorders>
              <w:tl2br w:val="nil"/>
              <w:tr2bl w:val="nil"/>
            </w:tcBorders>
            <w:shd w:val="clear" w:color="auto" w:fill="auto"/>
            <w:vAlign w:val="center"/>
          </w:tcPr>
          <w:p w14:paraId="5624EFFB">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1AFC16C8">
            <w:pPr>
              <w:pStyle w:val="42"/>
              <w:keepNext w:val="0"/>
              <w:keepLines w:val="0"/>
              <w:suppressLineNumbers w:val="0"/>
              <w:bidi w:val="0"/>
              <w:spacing w:before="0" w:beforeAutospacing="0" w:after="0" w:afterAutospacing="0"/>
              <w:rPr>
                <w:rFonts w:hint="eastAsia"/>
                <w:lang w:val="en-US" w:eastAsia="zh-CN"/>
              </w:rPr>
            </w:pPr>
          </w:p>
        </w:tc>
      </w:tr>
      <w:tr w14:paraId="116102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A32E723">
            <w:pPr>
              <w:pStyle w:val="42"/>
              <w:keepNext w:val="0"/>
              <w:keepLines w:val="0"/>
              <w:suppressLineNumbers w:val="0"/>
              <w:bidi w:val="0"/>
              <w:spacing w:before="0" w:beforeAutospacing="0" w:after="0" w:afterAutospacing="0"/>
              <w:rPr>
                <w:rFonts w:hint="eastAsia"/>
              </w:rPr>
            </w:pPr>
            <w:r>
              <w:rPr>
                <w:rFonts w:hint="eastAsia"/>
                <w:lang w:val="en-US" w:eastAsia="zh-CN"/>
              </w:rPr>
              <w:t>2.10.2</w:t>
            </w:r>
          </w:p>
        </w:tc>
        <w:tc>
          <w:tcPr>
            <w:tcW w:w="931" w:type="pct"/>
            <w:tcBorders>
              <w:tl2br w:val="nil"/>
              <w:tr2bl w:val="nil"/>
            </w:tcBorders>
            <w:shd w:val="clear" w:color="auto" w:fill="auto"/>
            <w:vAlign w:val="center"/>
          </w:tcPr>
          <w:p w14:paraId="5974D82A">
            <w:pPr>
              <w:pStyle w:val="42"/>
              <w:keepNext w:val="0"/>
              <w:keepLines w:val="0"/>
              <w:suppressLineNumbers w:val="0"/>
              <w:bidi w:val="0"/>
              <w:spacing w:before="0" w:beforeAutospacing="0" w:after="0" w:afterAutospacing="0"/>
              <w:rPr>
                <w:rFonts w:hint="eastAsia"/>
              </w:rPr>
            </w:pPr>
            <w:r>
              <w:rPr>
                <w:rFonts w:hint="eastAsia"/>
                <w:lang w:val="en-US" w:eastAsia="zh-CN"/>
              </w:rPr>
              <w:t>清水池液位计</w:t>
            </w:r>
          </w:p>
        </w:tc>
        <w:tc>
          <w:tcPr>
            <w:tcW w:w="2395" w:type="pct"/>
            <w:tcBorders>
              <w:tl2br w:val="nil"/>
              <w:tr2bl w:val="nil"/>
            </w:tcBorders>
            <w:shd w:val="clear" w:color="auto" w:fill="auto"/>
            <w:vAlign w:val="center"/>
          </w:tcPr>
          <w:p w14:paraId="61F248D6">
            <w:pPr>
              <w:pStyle w:val="42"/>
              <w:keepNext w:val="0"/>
              <w:keepLines w:val="0"/>
              <w:suppressLineNumbers w:val="0"/>
              <w:bidi w:val="0"/>
              <w:spacing w:before="0" w:beforeAutospacing="0" w:after="0" w:afterAutospacing="0"/>
              <w:rPr>
                <w:rFonts w:hint="eastAsia"/>
              </w:rPr>
            </w:pPr>
            <w:r>
              <w:rPr>
                <w:rFonts w:hint="eastAsia"/>
                <w:lang w:val="en-US" w:eastAsia="zh-CN"/>
              </w:rPr>
              <w:t>0-6m</w:t>
            </w:r>
          </w:p>
        </w:tc>
        <w:tc>
          <w:tcPr>
            <w:tcW w:w="454" w:type="pct"/>
            <w:tcBorders>
              <w:tl2br w:val="nil"/>
              <w:tr2bl w:val="nil"/>
            </w:tcBorders>
            <w:shd w:val="clear" w:color="auto" w:fill="auto"/>
            <w:vAlign w:val="center"/>
          </w:tcPr>
          <w:p w14:paraId="0E505A98">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0DE026B">
            <w:pPr>
              <w:pStyle w:val="42"/>
              <w:keepNext w:val="0"/>
              <w:keepLines w:val="0"/>
              <w:suppressLineNumbers w:val="0"/>
              <w:bidi w:val="0"/>
              <w:spacing w:before="0" w:beforeAutospacing="0" w:after="0" w:afterAutospacing="0"/>
              <w:rPr>
                <w:rFonts w:hint="eastAsia"/>
                <w:lang w:val="en-US" w:eastAsia="zh-CN"/>
              </w:rPr>
            </w:pPr>
          </w:p>
        </w:tc>
      </w:tr>
      <w:tr w14:paraId="06B7BC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31061B1B">
            <w:pPr>
              <w:pStyle w:val="42"/>
              <w:keepNext w:val="0"/>
              <w:keepLines w:val="0"/>
              <w:suppressLineNumbers w:val="0"/>
              <w:bidi w:val="0"/>
              <w:spacing w:before="0" w:beforeAutospacing="0" w:after="0" w:afterAutospacing="0"/>
              <w:rPr>
                <w:rFonts w:hint="eastAsia"/>
              </w:rPr>
            </w:pPr>
            <w:r>
              <w:rPr>
                <w:rFonts w:hint="eastAsia"/>
                <w:lang w:val="en-US" w:eastAsia="zh-CN"/>
              </w:rPr>
              <w:t>2.11</w:t>
            </w:r>
          </w:p>
        </w:tc>
        <w:tc>
          <w:tcPr>
            <w:tcW w:w="931" w:type="pct"/>
            <w:tcBorders>
              <w:tl2br w:val="nil"/>
              <w:tr2bl w:val="nil"/>
            </w:tcBorders>
            <w:shd w:val="clear" w:color="auto" w:fill="auto"/>
            <w:vAlign w:val="center"/>
          </w:tcPr>
          <w:p w14:paraId="5CC825B5">
            <w:pPr>
              <w:pStyle w:val="42"/>
              <w:keepNext w:val="0"/>
              <w:keepLines w:val="0"/>
              <w:suppressLineNumbers w:val="0"/>
              <w:bidi w:val="0"/>
              <w:spacing w:before="0" w:beforeAutospacing="0" w:after="0" w:afterAutospacing="0"/>
              <w:rPr>
                <w:rFonts w:hint="eastAsia"/>
              </w:rPr>
            </w:pPr>
            <w:r>
              <w:rPr>
                <w:rFonts w:hint="eastAsia"/>
                <w:lang w:val="en-US" w:eastAsia="zh-CN"/>
              </w:rPr>
              <w:t>污泥池</w:t>
            </w:r>
          </w:p>
        </w:tc>
        <w:tc>
          <w:tcPr>
            <w:tcW w:w="2395" w:type="pct"/>
            <w:tcBorders>
              <w:tl2br w:val="nil"/>
              <w:tr2bl w:val="nil"/>
            </w:tcBorders>
            <w:shd w:val="clear" w:color="auto" w:fill="auto"/>
            <w:vAlign w:val="center"/>
          </w:tcPr>
          <w:p w14:paraId="09C8618A">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5815C6EC">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45F7B3FD">
            <w:pPr>
              <w:pStyle w:val="42"/>
              <w:keepNext w:val="0"/>
              <w:keepLines w:val="0"/>
              <w:suppressLineNumbers w:val="0"/>
              <w:bidi w:val="0"/>
              <w:spacing w:before="0" w:beforeAutospacing="0" w:after="0" w:afterAutospacing="0"/>
              <w:rPr>
                <w:rFonts w:hint="eastAsia"/>
              </w:rPr>
            </w:pPr>
          </w:p>
        </w:tc>
      </w:tr>
      <w:tr w14:paraId="5DA76C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CB134DE">
            <w:pPr>
              <w:pStyle w:val="42"/>
              <w:keepNext w:val="0"/>
              <w:keepLines w:val="0"/>
              <w:suppressLineNumbers w:val="0"/>
              <w:bidi w:val="0"/>
              <w:spacing w:before="0" w:beforeAutospacing="0" w:after="0" w:afterAutospacing="0"/>
              <w:rPr>
                <w:rFonts w:hint="eastAsia"/>
              </w:rPr>
            </w:pPr>
            <w:r>
              <w:rPr>
                <w:rFonts w:hint="eastAsia"/>
                <w:lang w:val="en-US" w:eastAsia="zh-CN"/>
              </w:rPr>
              <w:t>2.11.1</w:t>
            </w:r>
          </w:p>
        </w:tc>
        <w:tc>
          <w:tcPr>
            <w:tcW w:w="931" w:type="pct"/>
            <w:tcBorders>
              <w:tl2br w:val="nil"/>
              <w:tr2bl w:val="nil"/>
            </w:tcBorders>
            <w:shd w:val="clear" w:color="auto" w:fill="auto"/>
            <w:vAlign w:val="center"/>
          </w:tcPr>
          <w:p w14:paraId="3E65AAA1">
            <w:pPr>
              <w:pStyle w:val="42"/>
              <w:keepNext w:val="0"/>
              <w:keepLines w:val="0"/>
              <w:suppressLineNumbers w:val="0"/>
              <w:bidi w:val="0"/>
              <w:spacing w:before="0" w:beforeAutospacing="0" w:after="0" w:afterAutospacing="0"/>
              <w:rPr>
                <w:rFonts w:hint="eastAsia"/>
              </w:rPr>
            </w:pPr>
            <w:r>
              <w:rPr>
                <w:rFonts w:hint="eastAsia"/>
                <w:lang w:val="en-US" w:eastAsia="zh-CN"/>
              </w:rPr>
              <w:t>污泥池泵</w:t>
            </w:r>
          </w:p>
        </w:tc>
        <w:tc>
          <w:tcPr>
            <w:tcW w:w="2395" w:type="pct"/>
            <w:tcBorders>
              <w:tl2br w:val="nil"/>
              <w:tr2bl w:val="nil"/>
            </w:tcBorders>
            <w:shd w:val="clear" w:color="auto" w:fill="auto"/>
            <w:vAlign w:val="center"/>
          </w:tcPr>
          <w:p w14:paraId="54700447">
            <w:pPr>
              <w:pStyle w:val="42"/>
              <w:keepNext w:val="0"/>
              <w:keepLines w:val="0"/>
              <w:suppressLineNumbers w:val="0"/>
              <w:bidi w:val="0"/>
              <w:spacing w:before="0" w:beforeAutospacing="0" w:after="0" w:afterAutospacing="0"/>
              <w:rPr>
                <w:rFonts w:hint="eastAsia"/>
              </w:rPr>
            </w:pPr>
            <w:r>
              <w:rPr>
                <w:rFonts w:hint="eastAsia"/>
                <w:lang w:val="en-US" w:eastAsia="zh-CN"/>
              </w:rPr>
              <w:t>潜污泵，WQ15-20-2.2，带切割，带拉杆</w:t>
            </w:r>
          </w:p>
        </w:tc>
        <w:tc>
          <w:tcPr>
            <w:tcW w:w="454" w:type="pct"/>
            <w:tcBorders>
              <w:tl2br w:val="nil"/>
              <w:tr2bl w:val="nil"/>
            </w:tcBorders>
            <w:shd w:val="clear" w:color="auto" w:fill="auto"/>
            <w:vAlign w:val="center"/>
          </w:tcPr>
          <w:p w14:paraId="73052901">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7CA6FB64">
            <w:pPr>
              <w:pStyle w:val="42"/>
              <w:keepNext w:val="0"/>
              <w:keepLines w:val="0"/>
              <w:suppressLineNumbers w:val="0"/>
              <w:bidi w:val="0"/>
              <w:spacing w:before="0" w:beforeAutospacing="0" w:after="0" w:afterAutospacing="0"/>
              <w:rPr>
                <w:rFonts w:hint="eastAsia"/>
                <w:lang w:val="en-US" w:eastAsia="zh-CN"/>
              </w:rPr>
            </w:pPr>
          </w:p>
        </w:tc>
      </w:tr>
      <w:tr w14:paraId="017724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A1AB66E">
            <w:pPr>
              <w:pStyle w:val="42"/>
              <w:keepNext w:val="0"/>
              <w:keepLines w:val="0"/>
              <w:suppressLineNumbers w:val="0"/>
              <w:bidi w:val="0"/>
              <w:spacing w:before="0" w:beforeAutospacing="0" w:after="0" w:afterAutospacing="0"/>
              <w:rPr>
                <w:rFonts w:hint="eastAsia"/>
              </w:rPr>
            </w:pPr>
            <w:r>
              <w:rPr>
                <w:rFonts w:hint="eastAsia"/>
                <w:lang w:val="en-US" w:eastAsia="zh-CN"/>
              </w:rPr>
              <w:t>2.11.2</w:t>
            </w:r>
          </w:p>
        </w:tc>
        <w:tc>
          <w:tcPr>
            <w:tcW w:w="931" w:type="pct"/>
            <w:tcBorders>
              <w:tl2br w:val="nil"/>
              <w:tr2bl w:val="nil"/>
            </w:tcBorders>
            <w:shd w:val="clear" w:color="auto" w:fill="auto"/>
            <w:vAlign w:val="center"/>
          </w:tcPr>
          <w:p w14:paraId="3B21A598">
            <w:pPr>
              <w:pStyle w:val="42"/>
              <w:keepNext w:val="0"/>
              <w:keepLines w:val="0"/>
              <w:suppressLineNumbers w:val="0"/>
              <w:bidi w:val="0"/>
              <w:spacing w:before="0" w:beforeAutospacing="0" w:after="0" w:afterAutospacing="0"/>
              <w:rPr>
                <w:rFonts w:hint="eastAsia"/>
              </w:rPr>
            </w:pPr>
            <w:r>
              <w:rPr>
                <w:rFonts w:hint="eastAsia"/>
                <w:lang w:val="en-US" w:eastAsia="zh-CN"/>
              </w:rPr>
              <w:t>污泥池液位计</w:t>
            </w:r>
          </w:p>
        </w:tc>
        <w:tc>
          <w:tcPr>
            <w:tcW w:w="2395" w:type="pct"/>
            <w:tcBorders>
              <w:tl2br w:val="nil"/>
              <w:tr2bl w:val="nil"/>
            </w:tcBorders>
            <w:shd w:val="clear" w:color="auto" w:fill="auto"/>
            <w:vAlign w:val="center"/>
          </w:tcPr>
          <w:p w14:paraId="6966BD7A">
            <w:pPr>
              <w:pStyle w:val="42"/>
              <w:keepNext w:val="0"/>
              <w:keepLines w:val="0"/>
              <w:suppressLineNumbers w:val="0"/>
              <w:bidi w:val="0"/>
              <w:spacing w:before="0" w:beforeAutospacing="0" w:after="0" w:afterAutospacing="0"/>
              <w:rPr>
                <w:rFonts w:hint="eastAsia"/>
              </w:rPr>
            </w:pPr>
            <w:r>
              <w:rPr>
                <w:rFonts w:hint="eastAsia"/>
                <w:lang w:val="en-US" w:eastAsia="zh-CN"/>
              </w:rPr>
              <w:t>0-6m</w:t>
            </w:r>
          </w:p>
        </w:tc>
        <w:tc>
          <w:tcPr>
            <w:tcW w:w="454" w:type="pct"/>
            <w:tcBorders>
              <w:tl2br w:val="nil"/>
              <w:tr2bl w:val="nil"/>
            </w:tcBorders>
            <w:shd w:val="clear" w:color="auto" w:fill="auto"/>
            <w:vAlign w:val="center"/>
          </w:tcPr>
          <w:p w14:paraId="3E17F597">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3F19B95B">
            <w:pPr>
              <w:pStyle w:val="42"/>
              <w:keepNext w:val="0"/>
              <w:keepLines w:val="0"/>
              <w:suppressLineNumbers w:val="0"/>
              <w:bidi w:val="0"/>
              <w:spacing w:before="0" w:beforeAutospacing="0" w:after="0" w:afterAutospacing="0"/>
              <w:rPr>
                <w:rFonts w:hint="eastAsia"/>
                <w:lang w:val="en-US" w:eastAsia="zh-CN"/>
              </w:rPr>
            </w:pPr>
          </w:p>
        </w:tc>
      </w:tr>
      <w:tr w14:paraId="33F0BA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C8E586A">
            <w:pPr>
              <w:pStyle w:val="42"/>
              <w:keepNext w:val="0"/>
              <w:keepLines w:val="0"/>
              <w:suppressLineNumbers w:val="0"/>
              <w:bidi w:val="0"/>
              <w:spacing w:before="0" w:beforeAutospacing="0" w:after="0" w:afterAutospacing="0"/>
              <w:rPr>
                <w:rFonts w:hint="eastAsia"/>
              </w:rPr>
            </w:pPr>
            <w:r>
              <w:rPr>
                <w:rFonts w:hint="eastAsia"/>
                <w:lang w:val="en-US" w:eastAsia="zh-CN"/>
              </w:rPr>
              <w:t>2.11.3</w:t>
            </w:r>
          </w:p>
        </w:tc>
        <w:tc>
          <w:tcPr>
            <w:tcW w:w="931" w:type="pct"/>
            <w:tcBorders>
              <w:tl2br w:val="nil"/>
              <w:tr2bl w:val="nil"/>
            </w:tcBorders>
            <w:shd w:val="clear" w:color="auto" w:fill="auto"/>
            <w:vAlign w:val="center"/>
          </w:tcPr>
          <w:p w14:paraId="3EF3FEB7">
            <w:pPr>
              <w:pStyle w:val="42"/>
              <w:keepNext w:val="0"/>
              <w:keepLines w:val="0"/>
              <w:suppressLineNumbers w:val="0"/>
              <w:bidi w:val="0"/>
              <w:spacing w:before="0" w:beforeAutospacing="0" w:after="0" w:afterAutospacing="0"/>
              <w:rPr>
                <w:rFonts w:hint="eastAsia"/>
              </w:rPr>
            </w:pPr>
            <w:r>
              <w:rPr>
                <w:rFonts w:hint="eastAsia"/>
                <w:lang w:val="en-US" w:eastAsia="zh-CN"/>
              </w:rPr>
              <w:t>调理罐液位计</w:t>
            </w:r>
          </w:p>
        </w:tc>
        <w:tc>
          <w:tcPr>
            <w:tcW w:w="2395" w:type="pct"/>
            <w:tcBorders>
              <w:tl2br w:val="nil"/>
              <w:tr2bl w:val="nil"/>
            </w:tcBorders>
            <w:shd w:val="clear" w:color="auto" w:fill="auto"/>
            <w:vAlign w:val="center"/>
          </w:tcPr>
          <w:p w14:paraId="50027A60">
            <w:pPr>
              <w:pStyle w:val="42"/>
              <w:keepNext w:val="0"/>
              <w:keepLines w:val="0"/>
              <w:suppressLineNumbers w:val="0"/>
              <w:bidi w:val="0"/>
              <w:spacing w:before="0" w:beforeAutospacing="0" w:after="0" w:afterAutospacing="0"/>
              <w:rPr>
                <w:rFonts w:hint="eastAsia"/>
              </w:rPr>
            </w:pPr>
            <w:r>
              <w:rPr>
                <w:rFonts w:hint="eastAsia"/>
                <w:lang w:val="en-US" w:eastAsia="zh-CN"/>
              </w:rPr>
              <w:t>0-6m</w:t>
            </w:r>
          </w:p>
        </w:tc>
        <w:tc>
          <w:tcPr>
            <w:tcW w:w="454" w:type="pct"/>
            <w:tcBorders>
              <w:tl2br w:val="nil"/>
              <w:tr2bl w:val="nil"/>
            </w:tcBorders>
            <w:shd w:val="clear" w:color="auto" w:fill="auto"/>
            <w:vAlign w:val="center"/>
          </w:tcPr>
          <w:p w14:paraId="42428B9A">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27BEE8D">
            <w:pPr>
              <w:pStyle w:val="42"/>
              <w:keepNext w:val="0"/>
              <w:keepLines w:val="0"/>
              <w:suppressLineNumbers w:val="0"/>
              <w:bidi w:val="0"/>
              <w:spacing w:before="0" w:beforeAutospacing="0" w:after="0" w:afterAutospacing="0"/>
              <w:rPr>
                <w:rFonts w:hint="eastAsia"/>
                <w:lang w:val="en-US" w:eastAsia="zh-CN"/>
              </w:rPr>
            </w:pPr>
          </w:p>
        </w:tc>
      </w:tr>
      <w:tr w14:paraId="0DF45F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307B7CD">
            <w:pPr>
              <w:pStyle w:val="42"/>
              <w:keepNext w:val="0"/>
              <w:keepLines w:val="0"/>
              <w:suppressLineNumbers w:val="0"/>
              <w:bidi w:val="0"/>
              <w:spacing w:before="0" w:beforeAutospacing="0" w:after="0" w:afterAutospacing="0"/>
              <w:rPr>
                <w:rFonts w:hint="eastAsia"/>
              </w:rPr>
            </w:pPr>
            <w:r>
              <w:rPr>
                <w:rFonts w:hint="eastAsia"/>
                <w:lang w:val="en-US" w:eastAsia="zh-CN"/>
              </w:rPr>
              <w:t>2.11.4</w:t>
            </w:r>
          </w:p>
        </w:tc>
        <w:tc>
          <w:tcPr>
            <w:tcW w:w="931" w:type="pct"/>
            <w:tcBorders>
              <w:tl2br w:val="nil"/>
              <w:tr2bl w:val="nil"/>
            </w:tcBorders>
            <w:shd w:val="clear" w:color="auto" w:fill="auto"/>
            <w:vAlign w:val="center"/>
          </w:tcPr>
          <w:p w14:paraId="792AEB03">
            <w:pPr>
              <w:pStyle w:val="42"/>
              <w:keepNext w:val="0"/>
              <w:keepLines w:val="0"/>
              <w:suppressLineNumbers w:val="0"/>
              <w:bidi w:val="0"/>
              <w:spacing w:before="0" w:beforeAutospacing="0" w:after="0" w:afterAutospacing="0"/>
              <w:rPr>
                <w:rFonts w:hint="eastAsia"/>
              </w:rPr>
            </w:pPr>
            <w:r>
              <w:rPr>
                <w:rFonts w:hint="eastAsia"/>
                <w:lang w:val="en-US" w:eastAsia="zh-CN"/>
              </w:rPr>
              <w:t>调理罐空气搅拌</w:t>
            </w:r>
          </w:p>
        </w:tc>
        <w:tc>
          <w:tcPr>
            <w:tcW w:w="2395" w:type="pct"/>
            <w:tcBorders>
              <w:tl2br w:val="nil"/>
              <w:tr2bl w:val="nil"/>
            </w:tcBorders>
            <w:shd w:val="clear" w:color="auto" w:fill="auto"/>
            <w:vAlign w:val="center"/>
          </w:tcPr>
          <w:p w14:paraId="349870A6">
            <w:pPr>
              <w:pStyle w:val="42"/>
              <w:keepNext w:val="0"/>
              <w:keepLines w:val="0"/>
              <w:suppressLineNumbers w:val="0"/>
              <w:bidi w:val="0"/>
              <w:spacing w:before="0" w:beforeAutospacing="0" w:after="0" w:afterAutospacing="0"/>
              <w:rPr>
                <w:rFonts w:hint="eastAsia"/>
              </w:rPr>
            </w:pPr>
            <w:r>
              <w:rPr>
                <w:rFonts w:hint="eastAsia"/>
                <w:lang w:val="en-US" w:eastAsia="zh-CN"/>
              </w:rPr>
              <w:t>ABS/UPVC材质，DN50/DN25，穿孔管</w:t>
            </w:r>
          </w:p>
        </w:tc>
        <w:tc>
          <w:tcPr>
            <w:tcW w:w="454" w:type="pct"/>
            <w:tcBorders>
              <w:tl2br w:val="nil"/>
              <w:tr2bl w:val="nil"/>
            </w:tcBorders>
            <w:shd w:val="clear" w:color="auto" w:fill="auto"/>
            <w:vAlign w:val="center"/>
          </w:tcPr>
          <w:p w14:paraId="4CDDCF25">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212323CC">
            <w:pPr>
              <w:pStyle w:val="42"/>
              <w:keepNext w:val="0"/>
              <w:keepLines w:val="0"/>
              <w:suppressLineNumbers w:val="0"/>
              <w:bidi w:val="0"/>
              <w:spacing w:before="0" w:beforeAutospacing="0" w:after="0" w:afterAutospacing="0"/>
              <w:rPr>
                <w:rFonts w:hint="eastAsia"/>
                <w:lang w:val="en-US" w:eastAsia="zh-CN"/>
              </w:rPr>
            </w:pPr>
          </w:p>
        </w:tc>
      </w:tr>
      <w:tr w14:paraId="47A4A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F0EB699">
            <w:pPr>
              <w:pStyle w:val="42"/>
              <w:keepNext w:val="0"/>
              <w:keepLines w:val="0"/>
              <w:suppressLineNumbers w:val="0"/>
              <w:bidi w:val="0"/>
              <w:spacing w:before="0" w:beforeAutospacing="0" w:after="0" w:afterAutospacing="0"/>
              <w:rPr>
                <w:rFonts w:hint="eastAsia"/>
              </w:rPr>
            </w:pPr>
            <w:r>
              <w:rPr>
                <w:rFonts w:hint="eastAsia"/>
                <w:lang w:val="en-US" w:eastAsia="zh-CN"/>
              </w:rPr>
              <w:t>2.11.5</w:t>
            </w:r>
          </w:p>
        </w:tc>
        <w:tc>
          <w:tcPr>
            <w:tcW w:w="931" w:type="pct"/>
            <w:tcBorders>
              <w:tl2br w:val="nil"/>
              <w:tr2bl w:val="nil"/>
            </w:tcBorders>
            <w:shd w:val="clear" w:color="auto" w:fill="auto"/>
            <w:vAlign w:val="center"/>
          </w:tcPr>
          <w:p w14:paraId="6B7DFA36">
            <w:pPr>
              <w:pStyle w:val="42"/>
              <w:keepNext w:val="0"/>
              <w:keepLines w:val="0"/>
              <w:suppressLineNumbers w:val="0"/>
              <w:bidi w:val="0"/>
              <w:spacing w:before="0" w:beforeAutospacing="0" w:after="0" w:afterAutospacing="0"/>
              <w:rPr>
                <w:rFonts w:hint="eastAsia"/>
              </w:rPr>
            </w:pPr>
            <w:r>
              <w:rPr>
                <w:rFonts w:hint="eastAsia"/>
                <w:lang w:val="en-US" w:eastAsia="zh-CN"/>
              </w:rPr>
              <w:t>污泥调理泵</w:t>
            </w:r>
          </w:p>
        </w:tc>
        <w:tc>
          <w:tcPr>
            <w:tcW w:w="2395" w:type="pct"/>
            <w:tcBorders>
              <w:tl2br w:val="nil"/>
              <w:tr2bl w:val="nil"/>
            </w:tcBorders>
            <w:shd w:val="clear" w:color="auto" w:fill="auto"/>
            <w:vAlign w:val="center"/>
          </w:tcPr>
          <w:p w14:paraId="0C29B81B">
            <w:pPr>
              <w:pStyle w:val="42"/>
              <w:keepNext w:val="0"/>
              <w:keepLines w:val="0"/>
              <w:suppressLineNumbers w:val="0"/>
              <w:bidi w:val="0"/>
              <w:spacing w:before="0" w:beforeAutospacing="0" w:after="0" w:afterAutospacing="0"/>
              <w:rPr>
                <w:rFonts w:hint="eastAsia"/>
              </w:rPr>
            </w:pPr>
            <w:r>
              <w:rPr>
                <w:rFonts w:hint="eastAsia"/>
                <w:lang w:val="en-US" w:eastAsia="zh-CN"/>
              </w:rPr>
              <w:t>工程塑料，80型</w:t>
            </w:r>
          </w:p>
        </w:tc>
        <w:tc>
          <w:tcPr>
            <w:tcW w:w="454" w:type="pct"/>
            <w:tcBorders>
              <w:tl2br w:val="nil"/>
              <w:tr2bl w:val="nil"/>
            </w:tcBorders>
            <w:shd w:val="clear" w:color="auto" w:fill="auto"/>
            <w:vAlign w:val="center"/>
          </w:tcPr>
          <w:p w14:paraId="774C2AB5">
            <w:pPr>
              <w:pStyle w:val="42"/>
              <w:keepNext w:val="0"/>
              <w:keepLines w:val="0"/>
              <w:suppressLineNumbers w:val="0"/>
              <w:bidi w:val="0"/>
              <w:spacing w:before="0" w:beforeAutospacing="0" w:after="0" w:afterAutospacing="0"/>
              <w:rPr>
                <w:rFonts w:hint="eastAsia"/>
              </w:rPr>
            </w:pPr>
            <w:r>
              <w:rPr>
                <w:rFonts w:hint="eastAsia"/>
                <w:lang w:val="en-US" w:eastAsia="zh-CN"/>
              </w:rPr>
              <w:t>4台</w:t>
            </w:r>
          </w:p>
        </w:tc>
        <w:tc>
          <w:tcPr>
            <w:tcW w:w="724" w:type="pct"/>
            <w:tcBorders>
              <w:tl2br w:val="nil"/>
              <w:tr2bl w:val="nil"/>
            </w:tcBorders>
            <w:shd w:val="clear" w:color="auto" w:fill="auto"/>
            <w:vAlign w:val="center"/>
          </w:tcPr>
          <w:p w14:paraId="12F9DE81">
            <w:pPr>
              <w:pStyle w:val="42"/>
              <w:keepNext w:val="0"/>
              <w:keepLines w:val="0"/>
              <w:suppressLineNumbers w:val="0"/>
              <w:bidi w:val="0"/>
              <w:spacing w:before="0" w:beforeAutospacing="0" w:after="0" w:afterAutospacing="0"/>
              <w:rPr>
                <w:rFonts w:hint="eastAsia"/>
                <w:lang w:val="en-US" w:eastAsia="zh-CN"/>
              </w:rPr>
            </w:pPr>
          </w:p>
        </w:tc>
      </w:tr>
      <w:tr w14:paraId="0E1480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5E3404CA">
            <w:pPr>
              <w:pStyle w:val="42"/>
              <w:keepNext w:val="0"/>
              <w:keepLines w:val="0"/>
              <w:suppressLineNumbers w:val="0"/>
              <w:bidi w:val="0"/>
              <w:spacing w:before="0" w:beforeAutospacing="0" w:after="0" w:afterAutospacing="0"/>
              <w:rPr>
                <w:rFonts w:hint="eastAsia"/>
              </w:rPr>
            </w:pPr>
            <w:r>
              <w:rPr>
                <w:rFonts w:hint="eastAsia"/>
                <w:lang w:val="en-US" w:eastAsia="zh-CN"/>
              </w:rPr>
              <w:t>2.11.6</w:t>
            </w:r>
          </w:p>
        </w:tc>
        <w:tc>
          <w:tcPr>
            <w:tcW w:w="931" w:type="pct"/>
            <w:tcBorders>
              <w:tl2br w:val="nil"/>
              <w:tr2bl w:val="nil"/>
            </w:tcBorders>
            <w:shd w:val="clear" w:color="auto" w:fill="auto"/>
            <w:vAlign w:val="center"/>
          </w:tcPr>
          <w:p w14:paraId="6C5DCC30">
            <w:pPr>
              <w:pStyle w:val="42"/>
              <w:keepNext w:val="0"/>
              <w:keepLines w:val="0"/>
              <w:suppressLineNumbers w:val="0"/>
              <w:bidi w:val="0"/>
              <w:spacing w:before="0" w:beforeAutospacing="0" w:after="0" w:afterAutospacing="0"/>
              <w:rPr>
                <w:rFonts w:hint="eastAsia"/>
              </w:rPr>
            </w:pPr>
            <w:r>
              <w:rPr>
                <w:rFonts w:hint="eastAsia"/>
                <w:lang w:val="en-US" w:eastAsia="zh-CN"/>
              </w:rPr>
              <w:t>板框压榨机</w:t>
            </w:r>
          </w:p>
        </w:tc>
        <w:tc>
          <w:tcPr>
            <w:tcW w:w="2395" w:type="pct"/>
            <w:tcBorders>
              <w:tl2br w:val="nil"/>
              <w:tr2bl w:val="nil"/>
            </w:tcBorders>
            <w:shd w:val="clear" w:color="auto" w:fill="auto"/>
            <w:vAlign w:val="center"/>
          </w:tcPr>
          <w:p w14:paraId="4817988E">
            <w:pPr>
              <w:pStyle w:val="42"/>
              <w:keepNext w:val="0"/>
              <w:keepLines w:val="0"/>
              <w:suppressLineNumbers w:val="0"/>
              <w:bidi w:val="0"/>
              <w:spacing w:before="0" w:beforeAutospacing="0" w:after="0" w:afterAutospacing="0"/>
              <w:rPr>
                <w:rFonts w:hint="eastAsia"/>
              </w:rPr>
            </w:pPr>
            <w:r>
              <w:rPr>
                <w:rFonts w:hint="eastAsia"/>
                <w:lang w:val="en-US" w:eastAsia="zh-CN"/>
              </w:rPr>
              <w:t>XMG100/1000-30U，自动拉板卸料,0.6MPa,3.0kw,6.41*1.5*1.4m</w:t>
            </w:r>
          </w:p>
        </w:tc>
        <w:tc>
          <w:tcPr>
            <w:tcW w:w="454" w:type="pct"/>
            <w:tcBorders>
              <w:tl2br w:val="nil"/>
              <w:tr2bl w:val="nil"/>
            </w:tcBorders>
            <w:shd w:val="clear" w:color="auto" w:fill="auto"/>
            <w:vAlign w:val="center"/>
          </w:tcPr>
          <w:p w14:paraId="54D3C605">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0151AE94">
            <w:pPr>
              <w:pStyle w:val="42"/>
              <w:keepNext w:val="0"/>
              <w:keepLines w:val="0"/>
              <w:suppressLineNumbers w:val="0"/>
              <w:bidi w:val="0"/>
              <w:spacing w:before="0" w:beforeAutospacing="0" w:after="0" w:afterAutospacing="0"/>
              <w:rPr>
                <w:rFonts w:hint="eastAsia"/>
                <w:lang w:val="en-US" w:eastAsia="zh-CN"/>
              </w:rPr>
            </w:pPr>
          </w:p>
        </w:tc>
      </w:tr>
      <w:tr w14:paraId="1CD0E1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3FCC3B5">
            <w:pPr>
              <w:pStyle w:val="42"/>
              <w:keepNext w:val="0"/>
              <w:keepLines w:val="0"/>
              <w:suppressLineNumbers w:val="0"/>
              <w:bidi w:val="0"/>
              <w:spacing w:before="0" w:beforeAutospacing="0" w:after="0" w:afterAutospacing="0"/>
              <w:rPr>
                <w:rFonts w:hint="eastAsia"/>
              </w:rPr>
            </w:pPr>
            <w:r>
              <w:rPr>
                <w:rFonts w:hint="eastAsia"/>
                <w:lang w:val="en-US" w:eastAsia="zh-CN"/>
              </w:rPr>
              <w:t>2.11.7</w:t>
            </w:r>
          </w:p>
        </w:tc>
        <w:tc>
          <w:tcPr>
            <w:tcW w:w="931" w:type="pct"/>
            <w:tcBorders>
              <w:tl2br w:val="nil"/>
              <w:tr2bl w:val="nil"/>
            </w:tcBorders>
            <w:shd w:val="clear" w:color="auto" w:fill="auto"/>
            <w:vAlign w:val="center"/>
          </w:tcPr>
          <w:p w14:paraId="1F1249CF">
            <w:pPr>
              <w:pStyle w:val="42"/>
              <w:keepNext w:val="0"/>
              <w:keepLines w:val="0"/>
              <w:suppressLineNumbers w:val="0"/>
              <w:bidi w:val="0"/>
              <w:spacing w:before="0" w:beforeAutospacing="0" w:after="0" w:afterAutospacing="0"/>
              <w:rPr>
                <w:rFonts w:hint="eastAsia"/>
              </w:rPr>
            </w:pPr>
            <w:r>
              <w:rPr>
                <w:rFonts w:hint="eastAsia"/>
                <w:lang w:val="en-US" w:eastAsia="zh-CN"/>
              </w:rPr>
              <w:t>螺杆空压机</w:t>
            </w:r>
          </w:p>
        </w:tc>
        <w:tc>
          <w:tcPr>
            <w:tcW w:w="2395" w:type="pct"/>
            <w:tcBorders>
              <w:tl2br w:val="nil"/>
              <w:tr2bl w:val="nil"/>
            </w:tcBorders>
            <w:shd w:val="clear" w:color="auto" w:fill="auto"/>
            <w:vAlign w:val="center"/>
          </w:tcPr>
          <w:p w14:paraId="2CE5A43B">
            <w:pPr>
              <w:pStyle w:val="42"/>
              <w:keepNext w:val="0"/>
              <w:keepLines w:val="0"/>
              <w:suppressLineNumbers w:val="0"/>
              <w:bidi w:val="0"/>
              <w:spacing w:before="0" w:beforeAutospacing="0" w:after="0" w:afterAutospacing="0"/>
              <w:rPr>
                <w:rFonts w:hint="eastAsia"/>
              </w:rPr>
            </w:pPr>
            <w:r>
              <w:rPr>
                <w:rFonts w:hint="eastAsia"/>
                <w:lang w:val="en-US" w:eastAsia="zh-CN"/>
              </w:rPr>
              <w:t>2.0m³/min，15kw</w:t>
            </w:r>
          </w:p>
        </w:tc>
        <w:tc>
          <w:tcPr>
            <w:tcW w:w="454" w:type="pct"/>
            <w:tcBorders>
              <w:tl2br w:val="nil"/>
              <w:tr2bl w:val="nil"/>
            </w:tcBorders>
            <w:shd w:val="clear" w:color="auto" w:fill="auto"/>
            <w:vAlign w:val="center"/>
          </w:tcPr>
          <w:p w14:paraId="6C9F2094">
            <w:pPr>
              <w:pStyle w:val="42"/>
              <w:keepNext w:val="0"/>
              <w:keepLines w:val="0"/>
              <w:suppressLineNumbers w:val="0"/>
              <w:bidi w:val="0"/>
              <w:spacing w:before="0" w:beforeAutospacing="0" w:after="0" w:afterAutospacing="0"/>
              <w:rPr>
                <w:rFonts w:hint="eastAsia"/>
              </w:rPr>
            </w:pPr>
            <w:r>
              <w:rPr>
                <w:rFonts w:hint="eastAsia"/>
                <w:lang w:val="en-US" w:eastAsia="zh-CN"/>
              </w:rPr>
              <w:t>1台</w:t>
            </w:r>
          </w:p>
        </w:tc>
        <w:tc>
          <w:tcPr>
            <w:tcW w:w="724" w:type="pct"/>
            <w:tcBorders>
              <w:tl2br w:val="nil"/>
              <w:tr2bl w:val="nil"/>
            </w:tcBorders>
            <w:shd w:val="clear" w:color="auto" w:fill="auto"/>
            <w:vAlign w:val="center"/>
          </w:tcPr>
          <w:p w14:paraId="02AC488A">
            <w:pPr>
              <w:pStyle w:val="42"/>
              <w:keepNext w:val="0"/>
              <w:keepLines w:val="0"/>
              <w:suppressLineNumbers w:val="0"/>
              <w:bidi w:val="0"/>
              <w:spacing w:before="0" w:beforeAutospacing="0" w:after="0" w:afterAutospacing="0"/>
              <w:rPr>
                <w:rFonts w:hint="eastAsia"/>
                <w:lang w:val="en-US" w:eastAsia="zh-CN"/>
              </w:rPr>
            </w:pPr>
          </w:p>
        </w:tc>
      </w:tr>
      <w:tr w14:paraId="126F63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09D5C7E">
            <w:pPr>
              <w:pStyle w:val="42"/>
              <w:keepNext w:val="0"/>
              <w:keepLines w:val="0"/>
              <w:suppressLineNumbers w:val="0"/>
              <w:bidi w:val="0"/>
              <w:spacing w:before="0" w:beforeAutospacing="0" w:after="0" w:afterAutospacing="0"/>
              <w:rPr>
                <w:rFonts w:hint="eastAsia"/>
              </w:rPr>
            </w:pPr>
            <w:r>
              <w:rPr>
                <w:rFonts w:hint="eastAsia"/>
                <w:lang w:val="en-US" w:eastAsia="zh-CN"/>
              </w:rPr>
              <w:t>2.11.8</w:t>
            </w:r>
          </w:p>
        </w:tc>
        <w:tc>
          <w:tcPr>
            <w:tcW w:w="931" w:type="pct"/>
            <w:tcBorders>
              <w:tl2br w:val="nil"/>
              <w:tr2bl w:val="nil"/>
            </w:tcBorders>
            <w:shd w:val="clear" w:color="auto" w:fill="auto"/>
            <w:vAlign w:val="center"/>
          </w:tcPr>
          <w:p w14:paraId="507AD969">
            <w:pPr>
              <w:pStyle w:val="42"/>
              <w:keepNext w:val="0"/>
              <w:keepLines w:val="0"/>
              <w:suppressLineNumbers w:val="0"/>
              <w:bidi w:val="0"/>
              <w:spacing w:before="0" w:beforeAutospacing="0" w:after="0" w:afterAutospacing="0"/>
              <w:rPr>
                <w:rFonts w:hint="eastAsia"/>
              </w:rPr>
            </w:pPr>
            <w:r>
              <w:rPr>
                <w:rFonts w:hint="eastAsia"/>
                <w:lang w:val="en-US" w:eastAsia="zh-CN"/>
              </w:rPr>
              <w:t>储气罐</w:t>
            </w:r>
          </w:p>
        </w:tc>
        <w:tc>
          <w:tcPr>
            <w:tcW w:w="2395" w:type="pct"/>
            <w:tcBorders>
              <w:tl2br w:val="nil"/>
              <w:tr2bl w:val="nil"/>
            </w:tcBorders>
            <w:shd w:val="clear" w:color="auto" w:fill="auto"/>
            <w:vAlign w:val="center"/>
          </w:tcPr>
          <w:p w14:paraId="540C6F74">
            <w:pPr>
              <w:pStyle w:val="42"/>
              <w:keepNext w:val="0"/>
              <w:keepLines w:val="0"/>
              <w:suppressLineNumbers w:val="0"/>
              <w:bidi w:val="0"/>
              <w:spacing w:before="0" w:beforeAutospacing="0" w:after="0" w:afterAutospacing="0"/>
              <w:rPr>
                <w:rFonts w:hint="eastAsia"/>
              </w:rPr>
            </w:pPr>
            <w:r>
              <w:rPr>
                <w:rFonts w:hint="eastAsia"/>
                <w:lang w:val="en-US" w:eastAsia="zh-CN"/>
              </w:rPr>
              <w:t>1m³，碳钢压力容器</w:t>
            </w:r>
          </w:p>
        </w:tc>
        <w:tc>
          <w:tcPr>
            <w:tcW w:w="454" w:type="pct"/>
            <w:tcBorders>
              <w:tl2br w:val="nil"/>
              <w:tr2bl w:val="nil"/>
            </w:tcBorders>
            <w:shd w:val="clear" w:color="auto" w:fill="auto"/>
            <w:vAlign w:val="center"/>
          </w:tcPr>
          <w:p w14:paraId="066CB418">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279C6C9C">
            <w:pPr>
              <w:pStyle w:val="42"/>
              <w:keepNext w:val="0"/>
              <w:keepLines w:val="0"/>
              <w:suppressLineNumbers w:val="0"/>
              <w:bidi w:val="0"/>
              <w:spacing w:before="0" w:beforeAutospacing="0" w:after="0" w:afterAutospacing="0"/>
              <w:rPr>
                <w:rFonts w:hint="eastAsia"/>
                <w:lang w:val="en-US" w:eastAsia="zh-CN"/>
              </w:rPr>
            </w:pPr>
          </w:p>
        </w:tc>
      </w:tr>
      <w:tr w14:paraId="6144D8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1488CB12">
            <w:pPr>
              <w:pStyle w:val="42"/>
              <w:keepNext w:val="0"/>
              <w:keepLines w:val="0"/>
              <w:suppressLineNumbers w:val="0"/>
              <w:bidi w:val="0"/>
              <w:spacing w:before="0" w:beforeAutospacing="0" w:after="0" w:afterAutospacing="0"/>
              <w:rPr>
                <w:rFonts w:hint="eastAsia"/>
              </w:rPr>
            </w:pPr>
            <w:r>
              <w:rPr>
                <w:rFonts w:hint="eastAsia"/>
                <w:lang w:val="en-US" w:eastAsia="zh-CN"/>
              </w:rPr>
              <w:t>2.11.9</w:t>
            </w:r>
          </w:p>
        </w:tc>
        <w:tc>
          <w:tcPr>
            <w:tcW w:w="931" w:type="pct"/>
            <w:tcBorders>
              <w:tl2br w:val="nil"/>
              <w:tr2bl w:val="nil"/>
            </w:tcBorders>
            <w:shd w:val="clear" w:color="auto" w:fill="auto"/>
            <w:vAlign w:val="center"/>
          </w:tcPr>
          <w:p w14:paraId="5DDA73C9">
            <w:pPr>
              <w:pStyle w:val="42"/>
              <w:keepNext w:val="0"/>
              <w:keepLines w:val="0"/>
              <w:suppressLineNumbers w:val="0"/>
              <w:bidi w:val="0"/>
              <w:spacing w:before="0" w:beforeAutospacing="0" w:after="0" w:afterAutospacing="0"/>
              <w:rPr>
                <w:rFonts w:hint="eastAsia"/>
              </w:rPr>
            </w:pPr>
            <w:r>
              <w:rPr>
                <w:rFonts w:hint="eastAsia"/>
                <w:lang w:val="en-US" w:eastAsia="zh-CN"/>
              </w:rPr>
              <w:t>污泥斗</w:t>
            </w:r>
          </w:p>
        </w:tc>
        <w:tc>
          <w:tcPr>
            <w:tcW w:w="2395" w:type="pct"/>
            <w:tcBorders>
              <w:tl2br w:val="nil"/>
              <w:tr2bl w:val="nil"/>
            </w:tcBorders>
            <w:shd w:val="clear" w:color="auto" w:fill="auto"/>
            <w:vAlign w:val="center"/>
          </w:tcPr>
          <w:p w14:paraId="019E4D6E">
            <w:pPr>
              <w:pStyle w:val="42"/>
              <w:keepNext w:val="0"/>
              <w:keepLines w:val="0"/>
              <w:suppressLineNumbers w:val="0"/>
              <w:bidi w:val="0"/>
              <w:spacing w:before="0" w:beforeAutospacing="0" w:after="0" w:afterAutospacing="0"/>
              <w:rPr>
                <w:rFonts w:hint="eastAsia"/>
              </w:rPr>
            </w:pPr>
            <w:r>
              <w:rPr>
                <w:rFonts w:hint="eastAsia"/>
                <w:lang w:val="en-US" w:eastAsia="zh-CN"/>
              </w:rPr>
              <w:t>非标，碳钢，1.5kw</w:t>
            </w:r>
          </w:p>
        </w:tc>
        <w:tc>
          <w:tcPr>
            <w:tcW w:w="454" w:type="pct"/>
            <w:tcBorders>
              <w:tl2br w:val="nil"/>
              <w:tr2bl w:val="nil"/>
            </w:tcBorders>
            <w:shd w:val="clear" w:color="auto" w:fill="auto"/>
            <w:vAlign w:val="center"/>
          </w:tcPr>
          <w:p w14:paraId="66E1003C">
            <w:pPr>
              <w:pStyle w:val="42"/>
              <w:keepNext w:val="0"/>
              <w:keepLines w:val="0"/>
              <w:suppressLineNumbers w:val="0"/>
              <w:bidi w:val="0"/>
              <w:spacing w:before="0" w:beforeAutospacing="0" w:after="0" w:afterAutospacing="0"/>
              <w:rPr>
                <w:rFonts w:hint="eastAsia"/>
              </w:rPr>
            </w:pPr>
            <w:r>
              <w:rPr>
                <w:rFonts w:hint="eastAsia"/>
                <w:lang w:val="en-US" w:eastAsia="zh-CN"/>
              </w:rPr>
              <w:t>2套</w:t>
            </w:r>
          </w:p>
        </w:tc>
        <w:tc>
          <w:tcPr>
            <w:tcW w:w="724" w:type="pct"/>
            <w:tcBorders>
              <w:tl2br w:val="nil"/>
              <w:tr2bl w:val="nil"/>
            </w:tcBorders>
            <w:shd w:val="clear" w:color="auto" w:fill="auto"/>
            <w:vAlign w:val="center"/>
          </w:tcPr>
          <w:p w14:paraId="4C4F7EB6">
            <w:pPr>
              <w:pStyle w:val="42"/>
              <w:keepNext w:val="0"/>
              <w:keepLines w:val="0"/>
              <w:suppressLineNumbers w:val="0"/>
              <w:bidi w:val="0"/>
              <w:spacing w:before="0" w:beforeAutospacing="0" w:after="0" w:afterAutospacing="0"/>
              <w:rPr>
                <w:rFonts w:hint="eastAsia"/>
                <w:lang w:val="en-US" w:eastAsia="zh-CN"/>
              </w:rPr>
            </w:pPr>
          </w:p>
        </w:tc>
      </w:tr>
      <w:tr w14:paraId="6F412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6D09065C">
            <w:pPr>
              <w:pStyle w:val="42"/>
              <w:keepNext w:val="0"/>
              <w:keepLines w:val="0"/>
              <w:suppressLineNumbers w:val="0"/>
              <w:bidi w:val="0"/>
              <w:spacing w:before="0" w:beforeAutospacing="0" w:after="0" w:afterAutospacing="0"/>
              <w:rPr>
                <w:rFonts w:hint="eastAsia"/>
              </w:rPr>
            </w:pPr>
            <w:r>
              <w:rPr>
                <w:rFonts w:hint="eastAsia"/>
                <w:lang w:val="en-US" w:eastAsia="zh-CN"/>
              </w:rPr>
              <w:t>2.12</w:t>
            </w:r>
          </w:p>
        </w:tc>
        <w:tc>
          <w:tcPr>
            <w:tcW w:w="931" w:type="pct"/>
            <w:tcBorders>
              <w:tl2br w:val="nil"/>
              <w:tr2bl w:val="nil"/>
            </w:tcBorders>
            <w:shd w:val="clear" w:color="auto" w:fill="auto"/>
            <w:vAlign w:val="center"/>
          </w:tcPr>
          <w:p w14:paraId="4BE0CE5D">
            <w:pPr>
              <w:pStyle w:val="42"/>
              <w:keepNext w:val="0"/>
              <w:keepLines w:val="0"/>
              <w:suppressLineNumbers w:val="0"/>
              <w:bidi w:val="0"/>
              <w:spacing w:before="0" w:beforeAutospacing="0" w:after="0" w:afterAutospacing="0"/>
              <w:rPr>
                <w:rFonts w:hint="eastAsia"/>
              </w:rPr>
            </w:pPr>
            <w:r>
              <w:rPr>
                <w:rFonts w:hint="eastAsia"/>
                <w:lang w:val="en-US" w:eastAsia="zh-CN"/>
              </w:rPr>
              <w:t>除臭系统</w:t>
            </w:r>
          </w:p>
        </w:tc>
        <w:tc>
          <w:tcPr>
            <w:tcW w:w="2395" w:type="pct"/>
            <w:tcBorders>
              <w:tl2br w:val="nil"/>
              <w:tr2bl w:val="nil"/>
            </w:tcBorders>
            <w:shd w:val="clear" w:color="auto" w:fill="auto"/>
            <w:vAlign w:val="center"/>
          </w:tcPr>
          <w:p w14:paraId="115C2308">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09E9DB5F">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0201AD42">
            <w:pPr>
              <w:pStyle w:val="42"/>
              <w:keepNext w:val="0"/>
              <w:keepLines w:val="0"/>
              <w:suppressLineNumbers w:val="0"/>
              <w:bidi w:val="0"/>
              <w:spacing w:before="0" w:beforeAutospacing="0" w:after="0" w:afterAutospacing="0"/>
              <w:rPr>
                <w:rFonts w:hint="eastAsia"/>
              </w:rPr>
            </w:pPr>
          </w:p>
        </w:tc>
      </w:tr>
      <w:tr w14:paraId="788917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28F04E5A">
            <w:pPr>
              <w:pStyle w:val="42"/>
              <w:keepNext w:val="0"/>
              <w:keepLines w:val="0"/>
              <w:suppressLineNumbers w:val="0"/>
              <w:bidi w:val="0"/>
              <w:spacing w:before="0" w:beforeAutospacing="0" w:after="0" w:afterAutospacing="0"/>
              <w:rPr>
                <w:rFonts w:hint="eastAsia"/>
              </w:rPr>
            </w:pPr>
            <w:r>
              <w:rPr>
                <w:rFonts w:hint="eastAsia"/>
                <w:lang w:val="en-US" w:eastAsia="zh-CN"/>
              </w:rPr>
              <w:t>2.12.1</w:t>
            </w:r>
          </w:p>
        </w:tc>
        <w:tc>
          <w:tcPr>
            <w:tcW w:w="931" w:type="pct"/>
            <w:tcBorders>
              <w:tl2br w:val="nil"/>
              <w:tr2bl w:val="nil"/>
            </w:tcBorders>
            <w:shd w:val="clear" w:color="auto" w:fill="auto"/>
            <w:vAlign w:val="center"/>
          </w:tcPr>
          <w:p w14:paraId="5EA34823">
            <w:pPr>
              <w:pStyle w:val="42"/>
              <w:keepNext w:val="0"/>
              <w:keepLines w:val="0"/>
              <w:suppressLineNumbers w:val="0"/>
              <w:bidi w:val="0"/>
              <w:spacing w:before="0" w:beforeAutospacing="0" w:after="0" w:afterAutospacing="0"/>
              <w:rPr>
                <w:rFonts w:hint="eastAsia"/>
              </w:rPr>
            </w:pPr>
            <w:r>
              <w:rPr>
                <w:rFonts w:hint="eastAsia"/>
                <w:lang w:val="en-US" w:eastAsia="zh-CN"/>
              </w:rPr>
              <w:t>除臭系统及风机</w:t>
            </w:r>
          </w:p>
        </w:tc>
        <w:tc>
          <w:tcPr>
            <w:tcW w:w="2395" w:type="pct"/>
            <w:tcBorders>
              <w:tl2br w:val="nil"/>
              <w:tr2bl w:val="nil"/>
            </w:tcBorders>
            <w:shd w:val="clear" w:color="auto" w:fill="auto"/>
            <w:vAlign w:val="center"/>
          </w:tcPr>
          <w:p w14:paraId="76D85ACE">
            <w:pPr>
              <w:pStyle w:val="42"/>
              <w:keepNext w:val="0"/>
              <w:keepLines w:val="0"/>
              <w:suppressLineNumbers w:val="0"/>
              <w:bidi w:val="0"/>
              <w:spacing w:before="0" w:beforeAutospacing="0" w:after="0" w:afterAutospacing="0"/>
              <w:rPr>
                <w:rFonts w:hint="eastAsia"/>
              </w:rPr>
            </w:pPr>
            <w:r>
              <w:rPr>
                <w:rFonts w:hint="eastAsia"/>
                <w:lang w:val="en-US" w:eastAsia="zh-CN"/>
              </w:rPr>
              <w:t>15kw，10000m³/h，基座，玻璃钢风机及PP风管系统</w:t>
            </w:r>
          </w:p>
        </w:tc>
        <w:tc>
          <w:tcPr>
            <w:tcW w:w="454" w:type="pct"/>
            <w:tcBorders>
              <w:tl2br w:val="nil"/>
              <w:tr2bl w:val="nil"/>
            </w:tcBorders>
            <w:shd w:val="clear" w:color="auto" w:fill="auto"/>
            <w:vAlign w:val="center"/>
          </w:tcPr>
          <w:p w14:paraId="10E5BCFA">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4128EF15">
            <w:pPr>
              <w:pStyle w:val="42"/>
              <w:keepNext w:val="0"/>
              <w:keepLines w:val="0"/>
              <w:suppressLineNumbers w:val="0"/>
              <w:bidi w:val="0"/>
              <w:spacing w:before="0" w:beforeAutospacing="0" w:after="0" w:afterAutospacing="0"/>
              <w:rPr>
                <w:rFonts w:hint="eastAsia"/>
                <w:lang w:val="en-US" w:eastAsia="zh-CN"/>
              </w:rPr>
            </w:pPr>
          </w:p>
        </w:tc>
      </w:tr>
      <w:tr w14:paraId="754296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B069499">
            <w:pPr>
              <w:pStyle w:val="42"/>
              <w:keepNext w:val="0"/>
              <w:keepLines w:val="0"/>
              <w:suppressLineNumbers w:val="0"/>
              <w:bidi w:val="0"/>
              <w:spacing w:before="0" w:beforeAutospacing="0" w:after="0" w:afterAutospacing="0"/>
              <w:rPr>
                <w:rFonts w:hint="eastAsia"/>
              </w:rPr>
            </w:pPr>
            <w:r>
              <w:rPr>
                <w:rFonts w:hint="eastAsia"/>
                <w:lang w:val="en-US" w:eastAsia="zh-CN"/>
              </w:rPr>
              <w:t>2.13</w:t>
            </w:r>
          </w:p>
        </w:tc>
        <w:tc>
          <w:tcPr>
            <w:tcW w:w="931" w:type="pct"/>
            <w:tcBorders>
              <w:tl2br w:val="nil"/>
              <w:tr2bl w:val="nil"/>
            </w:tcBorders>
            <w:shd w:val="clear" w:color="auto" w:fill="auto"/>
            <w:vAlign w:val="center"/>
          </w:tcPr>
          <w:p w14:paraId="24E92A59">
            <w:pPr>
              <w:pStyle w:val="42"/>
              <w:keepNext w:val="0"/>
              <w:keepLines w:val="0"/>
              <w:suppressLineNumbers w:val="0"/>
              <w:bidi w:val="0"/>
              <w:spacing w:before="0" w:beforeAutospacing="0" w:after="0" w:afterAutospacing="0"/>
              <w:rPr>
                <w:rFonts w:hint="eastAsia"/>
              </w:rPr>
            </w:pPr>
            <w:r>
              <w:rPr>
                <w:rFonts w:hint="eastAsia"/>
                <w:lang w:val="en-US" w:eastAsia="zh-CN"/>
              </w:rPr>
              <w:t>污水综合房</w:t>
            </w:r>
          </w:p>
        </w:tc>
        <w:tc>
          <w:tcPr>
            <w:tcW w:w="2395" w:type="pct"/>
            <w:tcBorders>
              <w:tl2br w:val="nil"/>
              <w:tr2bl w:val="nil"/>
            </w:tcBorders>
            <w:shd w:val="clear" w:color="auto" w:fill="auto"/>
            <w:vAlign w:val="center"/>
          </w:tcPr>
          <w:p w14:paraId="484B1174">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3343176C">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6496D486">
            <w:pPr>
              <w:pStyle w:val="42"/>
              <w:keepNext w:val="0"/>
              <w:keepLines w:val="0"/>
              <w:suppressLineNumbers w:val="0"/>
              <w:bidi w:val="0"/>
              <w:spacing w:before="0" w:beforeAutospacing="0" w:after="0" w:afterAutospacing="0"/>
              <w:rPr>
                <w:rFonts w:hint="eastAsia"/>
              </w:rPr>
            </w:pPr>
          </w:p>
        </w:tc>
      </w:tr>
      <w:tr w14:paraId="0DB245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E1FD68B">
            <w:pPr>
              <w:pStyle w:val="42"/>
              <w:keepNext w:val="0"/>
              <w:keepLines w:val="0"/>
              <w:suppressLineNumbers w:val="0"/>
              <w:bidi w:val="0"/>
              <w:spacing w:before="0" w:beforeAutospacing="0" w:after="0" w:afterAutospacing="0"/>
              <w:rPr>
                <w:rFonts w:hint="eastAsia"/>
              </w:rPr>
            </w:pPr>
            <w:r>
              <w:rPr>
                <w:rFonts w:hint="eastAsia"/>
                <w:lang w:val="en-US" w:eastAsia="zh-CN"/>
              </w:rPr>
              <w:t>2.13.1</w:t>
            </w:r>
          </w:p>
        </w:tc>
        <w:tc>
          <w:tcPr>
            <w:tcW w:w="931" w:type="pct"/>
            <w:tcBorders>
              <w:tl2br w:val="nil"/>
              <w:tr2bl w:val="nil"/>
            </w:tcBorders>
            <w:shd w:val="clear" w:color="auto" w:fill="auto"/>
            <w:vAlign w:val="center"/>
          </w:tcPr>
          <w:p w14:paraId="4747F1B1">
            <w:pPr>
              <w:pStyle w:val="42"/>
              <w:keepNext w:val="0"/>
              <w:keepLines w:val="0"/>
              <w:suppressLineNumbers w:val="0"/>
              <w:bidi w:val="0"/>
              <w:spacing w:before="0" w:beforeAutospacing="0" w:after="0" w:afterAutospacing="0"/>
              <w:rPr>
                <w:rFonts w:hint="eastAsia"/>
              </w:rPr>
            </w:pPr>
            <w:r>
              <w:rPr>
                <w:rFonts w:hint="eastAsia"/>
                <w:lang w:val="en-US" w:eastAsia="zh-CN"/>
              </w:rPr>
              <w:t>加药泵</w:t>
            </w:r>
          </w:p>
        </w:tc>
        <w:tc>
          <w:tcPr>
            <w:tcW w:w="2395" w:type="pct"/>
            <w:tcBorders>
              <w:tl2br w:val="nil"/>
              <w:tr2bl w:val="nil"/>
            </w:tcBorders>
            <w:shd w:val="clear" w:color="auto" w:fill="auto"/>
            <w:vAlign w:val="center"/>
          </w:tcPr>
          <w:p w14:paraId="65C531AE">
            <w:pPr>
              <w:pStyle w:val="42"/>
              <w:keepNext w:val="0"/>
              <w:keepLines w:val="0"/>
              <w:suppressLineNumbers w:val="0"/>
              <w:bidi w:val="0"/>
              <w:spacing w:before="0" w:beforeAutospacing="0" w:after="0" w:afterAutospacing="0"/>
              <w:rPr>
                <w:rFonts w:hint="eastAsia"/>
              </w:rPr>
            </w:pPr>
            <w:r>
              <w:rPr>
                <w:rFonts w:hint="eastAsia"/>
                <w:lang w:val="en-US" w:eastAsia="zh-CN"/>
              </w:rPr>
              <w:t>500L/h，1.5kw</w:t>
            </w:r>
          </w:p>
        </w:tc>
        <w:tc>
          <w:tcPr>
            <w:tcW w:w="454" w:type="pct"/>
            <w:tcBorders>
              <w:tl2br w:val="nil"/>
              <w:tr2bl w:val="nil"/>
            </w:tcBorders>
            <w:shd w:val="clear" w:color="auto" w:fill="auto"/>
            <w:vAlign w:val="center"/>
          </w:tcPr>
          <w:p w14:paraId="4196E94E">
            <w:pPr>
              <w:pStyle w:val="42"/>
              <w:keepNext w:val="0"/>
              <w:keepLines w:val="0"/>
              <w:suppressLineNumbers w:val="0"/>
              <w:bidi w:val="0"/>
              <w:spacing w:before="0" w:beforeAutospacing="0" w:after="0" w:afterAutospacing="0"/>
              <w:rPr>
                <w:rFonts w:hint="eastAsia"/>
              </w:rPr>
            </w:pPr>
            <w:r>
              <w:rPr>
                <w:rFonts w:hint="eastAsia"/>
                <w:lang w:val="en-US" w:eastAsia="zh-CN"/>
              </w:rPr>
              <w:t>12套</w:t>
            </w:r>
          </w:p>
        </w:tc>
        <w:tc>
          <w:tcPr>
            <w:tcW w:w="724" w:type="pct"/>
            <w:tcBorders>
              <w:tl2br w:val="nil"/>
              <w:tr2bl w:val="nil"/>
            </w:tcBorders>
            <w:shd w:val="clear" w:color="auto" w:fill="auto"/>
            <w:vAlign w:val="center"/>
          </w:tcPr>
          <w:p w14:paraId="6EBA7867">
            <w:pPr>
              <w:pStyle w:val="42"/>
              <w:keepNext w:val="0"/>
              <w:keepLines w:val="0"/>
              <w:suppressLineNumbers w:val="0"/>
              <w:bidi w:val="0"/>
              <w:spacing w:before="0" w:beforeAutospacing="0" w:after="0" w:afterAutospacing="0"/>
              <w:rPr>
                <w:rFonts w:hint="eastAsia"/>
                <w:lang w:val="en-US" w:eastAsia="zh-CN"/>
              </w:rPr>
            </w:pPr>
          </w:p>
        </w:tc>
      </w:tr>
      <w:tr w14:paraId="5800C0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70E8380">
            <w:pPr>
              <w:pStyle w:val="42"/>
              <w:keepNext w:val="0"/>
              <w:keepLines w:val="0"/>
              <w:suppressLineNumbers w:val="0"/>
              <w:bidi w:val="0"/>
              <w:spacing w:before="0" w:beforeAutospacing="0" w:after="0" w:afterAutospacing="0"/>
              <w:rPr>
                <w:rFonts w:hint="eastAsia"/>
              </w:rPr>
            </w:pPr>
            <w:r>
              <w:rPr>
                <w:rFonts w:hint="eastAsia"/>
                <w:lang w:val="en-US" w:eastAsia="zh-CN"/>
              </w:rPr>
              <w:t>2.13.2</w:t>
            </w:r>
          </w:p>
        </w:tc>
        <w:tc>
          <w:tcPr>
            <w:tcW w:w="931" w:type="pct"/>
            <w:tcBorders>
              <w:tl2br w:val="nil"/>
              <w:tr2bl w:val="nil"/>
            </w:tcBorders>
            <w:shd w:val="clear" w:color="auto" w:fill="auto"/>
            <w:vAlign w:val="center"/>
          </w:tcPr>
          <w:p w14:paraId="54D7ED7D">
            <w:pPr>
              <w:pStyle w:val="42"/>
              <w:keepNext w:val="0"/>
              <w:keepLines w:val="0"/>
              <w:suppressLineNumbers w:val="0"/>
              <w:bidi w:val="0"/>
              <w:spacing w:before="0" w:beforeAutospacing="0" w:after="0" w:afterAutospacing="0"/>
              <w:rPr>
                <w:rFonts w:hint="eastAsia"/>
              </w:rPr>
            </w:pPr>
            <w:r>
              <w:rPr>
                <w:rFonts w:hint="eastAsia"/>
                <w:lang w:val="en-US" w:eastAsia="zh-CN"/>
              </w:rPr>
              <w:t>配药搅拌系统</w:t>
            </w:r>
          </w:p>
        </w:tc>
        <w:tc>
          <w:tcPr>
            <w:tcW w:w="2395" w:type="pct"/>
            <w:tcBorders>
              <w:tl2br w:val="nil"/>
              <w:tr2bl w:val="nil"/>
            </w:tcBorders>
            <w:shd w:val="clear" w:color="auto" w:fill="auto"/>
            <w:vAlign w:val="center"/>
          </w:tcPr>
          <w:p w14:paraId="54F21BEB">
            <w:pPr>
              <w:pStyle w:val="42"/>
              <w:keepNext w:val="0"/>
              <w:keepLines w:val="0"/>
              <w:suppressLineNumbers w:val="0"/>
              <w:bidi w:val="0"/>
              <w:spacing w:before="0" w:beforeAutospacing="0" w:after="0" w:afterAutospacing="0"/>
              <w:rPr>
                <w:rFonts w:hint="eastAsia"/>
              </w:rPr>
            </w:pPr>
            <w:r>
              <w:rPr>
                <w:rFonts w:hint="eastAsia"/>
                <w:lang w:val="en-US" w:eastAsia="zh-CN"/>
              </w:rPr>
              <w:t>机械搅拌，1.5kw</w:t>
            </w:r>
          </w:p>
        </w:tc>
        <w:tc>
          <w:tcPr>
            <w:tcW w:w="454" w:type="pct"/>
            <w:tcBorders>
              <w:tl2br w:val="nil"/>
              <w:tr2bl w:val="nil"/>
            </w:tcBorders>
            <w:shd w:val="clear" w:color="auto" w:fill="auto"/>
            <w:vAlign w:val="center"/>
          </w:tcPr>
          <w:p w14:paraId="3D8F4000">
            <w:pPr>
              <w:pStyle w:val="42"/>
              <w:keepNext w:val="0"/>
              <w:keepLines w:val="0"/>
              <w:suppressLineNumbers w:val="0"/>
              <w:bidi w:val="0"/>
              <w:spacing w:before="0" w:beforeAutospacing="0" w:after="0" w:afterAutospacing="0"/>
              <w:rPr>
                <w:rFonts w:hint="eastAsia"/>
              </w:rPr>
            </w:pPr>
            <w:r>
              <w:rPr>
                <w:rFonts w:hint="eastAsia"/>
                <w:lang w:val="en-US" w:eastAsia="zh-CN"/>
              </w:rPr>
              <w:t>6套</w:t>
            </w:r>
          </w:p>
        </w:tc>
        <w:tc>
          <w:tcPr>
            <w:tcW w:w="724" w:type="pct"/>
            <w:tcBorders>
              <w:tl2br w:val="nil"/>
              <w:tr2bl w:val="nil"/>
            </w:tcBorders>
            <w:shd w:val="clear" w:color="auto" w:fill="auto"/>
            <w:vAlign w:val="center"/>
          </w:tcPr>
          <w:p w14:paraId="398B8891">
            <w:pPr>
              <w:pStyle w:val="42"/>
              <w:keepNext w:val="0"/>
              <w:keepLines w:val="0"/>
              <w:suppressLineNumbers w:val="0"/>
              <w:bidi w:val="0"/>
              <w:spacing w:before="0" w:beforeAutospacing="0" w:after="0" w:afterAutospacing="0"/>
              <w:rPr>
                <w:rFonts w:hint="eastAsia"/>
                <w:lang w:val="en-US" w:eastAsia="zh-CN"/>
              </w:rPr>
            </w:pPr>
          </w:p>
        </w:tc>
      </w:tr>
      <w:tr w14:paraId="1EDCD2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101E8613">
            <w:pPr>
              <w:pStyle w:val="42"/>
              <w:keepNext w:val="0"/>
              <w:keepLines w:val="0"/>
              <w:suppressLineNumbers w:val="0"/>
              <w:bidi w:val="0"/>
              <w:spacing w:before="0" w:beforeAutospacing="0" w:after="0" w:afterAutospacing="0"/>
              <w:rPr>
                <w:rFonts w:hint="eastAsia"/>
              </w:rPr>
            </w:pPr>
            <w:r>
              <w:rPr>
                <w:rFonts w:hint="eastAsia"/>
                <w:lang w:val="en-US" w:eastAsia="zh-CN"/>
              </w:rPr>
              <w:t>2.13.4</w:t>
            </w:r>
          </w:p>
        </w:tc>
        <w:tc>
          <w:tcPr>
            <w:tcW w:w="931" w:type="pct"/>
            <w:tcBorders>
              <w:tl2br w:val="nil"/>
              <w:tr2bl w:val="nil"/>
            </w:tcBorders>
            <w:shd w:val="clear" w:color="auto" w:fill="auto"/>
            <w:vAlign w:val="center"/>
          </w:tcPr>
          <w:p w14:paraId="2FBD495C">
            <w:pPr>
              <w:pStyle w:val="42"/>
              <w:keepNext w:val="0"/>
              <w:keepLines w:val="0"/>
              <w:suppressLineNumbers w:val="0"/>
              <w:bidi w:val="0"/>
              <w:spacing w:before="0" w:beforeAutospacing="0" w:after="0" w:afterAutospacing="0"/>
              <w:rPr>
                <w:rFonts w:hint="eastAsia"/>
              </w:rPr>
            </w:pPr>
            <w:r>
              <w:rPr>
                <w:rFonts w:hint="eastAsia"/>
                <w:lang w:val="en-US" w:eastAsia="zh-CN"/>
              </w:rPr>
              <w:t>生化空浮鼓风机</w:t>
            </w:r>
          </w:p>
        </w:tc>
        <w:tc>
          <w:tcPr>
            <w:tcW w:w="2395" w:type="pct"/>
            <w:tcBorders>
              <w:tl2br w:val="nil"/>
              <w:tr2bl w:val="nil"/>
            </w:tcBorders>
            <w:shd w:val="clear" w:color="auto" w:fill="auto"/>
            <w:vAlign w:val="center"/>
          </w:tcPr>
          <w:p w14:paraId="64DEB8E5">
            <w:pPr>
              <w:pStyle w:val="42"/>
              <w:keepNext w:val="0"/>
              <w:keepLines w:val="0"/>
              <w:suppressLineNumbers w:val="0"/>
              <w:bidi w:val="0"/>
              <w:spacing w:before="0" w:beforeAutospacing="0" w:after="0" w:afterAutospacing="0"/>
              <w:rPr>
                <w:rFonts w:hint="eastAsia"/>
              </w:rPr>
            </w:pPr>
            <w:r>
              <w:rPr>
                <w:rFonts w:hint="eastAsia"/>
                <w:lang w:val="en-US" w:eastAsia="zh-CN"/>
              </w:rPr>
              <w:t>37kw空浮风机，风量不低于10m³/min，风压不低于80kpa</w:t>
            </w:r>
          </w:p>
        </w:tc>
        <w:tc>
          <w:tcPr>
            <w:tcW w:w="454" w:type="pct"/>
            <w:tcBorders>
              <w:tl2br w:val="nil"/>
              <w:tr2bl w:val="nil"/>
            </w:tcBorders>
            <w:shd w:val="clear" w:color="auto" w:fill="auto"/>
            <w:vAlign w:val="center"/>
          </w:tcPr>
          <w:p w14:paraId="4C6D327B">
            <w:pPr>
              <w:pStyle w:val="42"/>
              <w:keepNext w:val="0"/>
              <w:keepLines w:val="0"/>
              <w:suppressLineNumbers w:val="0"/>
              <w:bidi w:val="0"/>
              <w:spacing w:before="0" w:beforeAutospacing="0" w:after="0" w:afterAutospacing="0"/>
              <w:rPr>
                <w:rFonts w:hint="eastAsia"/>
              </w:rPr>
            </w:pPr>
            <w:r>
              <w:rPr>
                <w:rFonts w:hint="eastAsia"/>
                <w:lang w:val="en-US" w:eastAsia="zh-CN"/>
              </w:rPr>
              <w:t>2台</w:t>
            </w:r>
          </w:p>
        </w:tc>
        <w:tc>
          <w:tcPr>
            <w:tcW w:w="724" w:type="pct"/>
            <w:tcBorders>
              <w:tl2br w:val="nil"/>
              <w:tr2bl w:val="nil"/>
            </w:tcBorders>
            <w:shd w:val="clear" w:color="auto" w:fill="auto"/>
            <w:vAlign w:val="center"/>
          </w:tcPr>
          <w:p w14:paraId="6B0E9444">
            <w:pPr>
              <w:pStyle w:val="42"/>
              <w:keepNext w:val="0"/>
              <w:keepLines w:val="0"/>
              <w:suppressLineNumbers w:val="0"/>
              <w:bidi w:val="0"/>
              <w:spacing w:before="0" w:beforeAutospacing="0" w:after="0" w:afterAutospacing="0"/>
              <w:rPr>
                <w:rFonts w:hint="eastAsia"/>
                <w:lang w:val="en-US" w:eastAsia="zh-CN"/>
              </w:rPr>
            </w:pPr>
          </w:p>
        </w:tc>
      </w:tr>
      <w:tr w14:paraId="3288C9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0CC9C56E">
            <w:pPr>
              <w:pStyle w:val="42"/>
              <w:keepNext w:val="0"/>
              <w:keepLines w:val="0"/>
              <w:suppressLineNumbers w:val="0"/>
              <w:bidi w:val="0"/>
              <w:spacing w:before="0" w:beforeAutospacing="0" w:after="0" w:afterAutospacing="0"/>
              <w:rPr>
                <w:rFonts w:hint="eastAsia"/>
              </w:rPr>
            </w:pPr>
            <w:r>
              <w:rPr>
                <w:rFonts w:hint="eastAsia"/>
                <w:lang w:val="en-US" w:eastAsia="zh-CN"/>
              </w:rPr>
              <w:t>2.13.5</w:t>
            </w:r>
          </w:p>
        </w:tc>
        <w:tc>
          <w:tcPr>
            <w:tcW w:w="931" w:type="pct"/>
            <w:tcBorders>
              <w:tl2br w:val="nil"/>
              <w:tr2bl w:val="nil"/>
            </w:tcBorders>
            <w:shd w:val="clear" w:color="auto" w:fill="auto"/>
            <w:vAlign w:val="center"/>
          </w:tcPr>
          <w:p w14:paraId="605AEF95">
            <w:pPr>
              <w:pStyle w:val="42"/>
              <w:keepNext w:val="0"/>
              <w:keepLines w:val="0"/>
              <w:suppressLineNumbers w:val="0"/>
              <w:bidi w:val="0"/>
              <w:spacing w:before="0" w:beforeAutospacing="0" w:after="0" w:afterAutospacing="0"/>
              <w:rPr>
                <w:rFonts w:hint="eastAsia"/>
              </w:rPr>
            </w:pPr>
            <w:r>
              <w:rPr>
                <w:rFonts w:hint="eastAsia"/>
                <w:lang w:val="en-US" w:eastAsia="zh-CN"/>
              </w:rPr>
              <w:t>电动葫芦行车</w:t>
            </w:r>
          </w:p>
        </w:tc>
        <w:tc>
          <w:tcPr>
            <w:tcW w:w="2395" w:type="pct"/>
            <w:tcBorders>
              <w:tl2br w:val="nil"/>
              <w:tr2bl w:val="nil"/>
            </w:tcBorders>
            <w:shd w:val="clear" w:color="auto" w:fill="auto"/>
            <w:vAlign w:val="center"/>
          </w:tcPr>
          <w:p w14:paraId="325EA85B">
            <w:pPr>
              <w:pStyle w:val="42"/>
              <w:keepNext w:val="0"/>
              <w:keepLines w:val="0"/>
              <w:suppressLineNumbers w:val="0"/>
              <w:bidi w:val="0"/>
              <w:spacing w:before="0" w:beforeAutospacing="0" w:after="0" w:afterAutospacing="0"/>
              <w:rPr>
                <w:rFonts w:hint="eastAsia"/>
              </w:rPr>
            </w:pPr>
            <w:r>
              <w:rPr>
                <w:rFonts w:hint="eastAsia"/>
                <w:lang w:val="en-US" w:eastAsia="zh-CN"/>
              </w:rPr>
              <w:t>2.2kw，带轨道</w:t>
            </w:r>
          </w:p>
        </w:tc>
        <w:tc>
          <w:tcPr>
            <w:tcW w:w="454" w:type="pct"/>
            <w:tcBorders>
              <w:tl2br w:val="nil"/>
              <w:tr2bl w:val="nil"/>
            </w:tcBorders>
            <w:shd w:val="clear" w:color="auto" w:fill="auto"/>
            <w:vAlign w:val="center"/>
          </w:tcPr>
          <w:p w14:paraId="42A89B84">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6EBCB417">
            <w:pPr>
              <w:pStyle w:val="42"/>
              <w:keepNext w:val="0"/>
              <w:keepLines w:val="0"/>
              <w:suppressLineNumbers w:val="0"/>
              <w:bidi w:val="0"/>
              <w:spacing w:before="0" w:beforeAutospacing="0" w:after="0" w:afterAutospacing="0"/>
              <w:rPr>
                <w:rFonts w:hint="eastAsia"/>
                <w:lang w:val="en-US" w:eastAsia="zh-CN"/>
              </w:rPr>
            </w:pPr>
          </w:p>
        </w:tc>
      </w:tr>
      <w:tr w14:paraId="7EB05B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7E0DCDC4">
            <w:pPr>
              <w:pStyle w:val="42"/>
              <w:keepNext w:val="0"/>
              <w:keepLines w:val="0"/>
              <w:suppressLineNumbers w:val="0"/>
              <w:bidi w:val="0"/>
              <w:spacing w:before="0" w:beforeAutospacing="0" w:after="0" w:afterAutospacing="0"/>
              <w:rPr>
                <w:rFonts w:hint="eastAsia"/>
              </w:rPr>
            </w:pPr>
            <w:r>
              <w:rPr>
                <w:rFonts w:hint="eastAsia"/>
                <w:lang w:val="en-US" w:eastAsia="zh-CN"/>
              </w:rPr>
              <w:t>2.14</w:t>
            </w:r>
          </w:p>
        </w:tc>
        <w:tc>
          <w:tcPr>
            <w:tcW w:w="931" w:type="pct"/>
            <w:tcBorders>
              <w:tl2br w:val="nil"/>
              <w:tr2bl w:val="nil"/>
            </w:tcBorders>
            <w:shd w:val="clear" w:color="auto" w:fill="auto"/>
            <w:vAlign w:val="center"/>
          </w:tcPr>
          <w:p w14:paraId="2A886AC8">
            <w:pPr>
              <w:pStyle w:val="42"/>
              <w:keepNext w:val="0"/>
              <w:keepLines w:val="0"/>
              <w:suppressLineNumbers w:val="0"/>
              <w:bidi w:val="0"/>
              <w:spacing w:before="0" w:beforeAutospacing="0" w:after="0" w:afterAutospacing="0"/>
              <w:rPr>
                <w:rFonts w:hint="eastAsia"/>
              </w:rPr>
            </w:pPr>
            <w:r>
              <w:rPr>
                <w:rFonts w:hint="eastAsia"/>
                <w:lang w:val="en-US" w:eastAsia="zh-CN"/>
              </w:rPr>
              <w:t>其他部分</w:t>
            </w:r>
          </w:p>
        </w:tc>
        <w:tc>
          <w:tcPr>
            <w:tcW w:w="2395" w:type="pct"/>
            <w:tcBorders>
              <w:tl2br w:val="nil"/>
              <w:tr2bl w:val="nil"/>
            </w:tcBorders>
            <w:shd w:val="clear" w:color="auto" w:fill="auto"/>
            <w:vAlign w:val="center"/>
          </w:tcPr>
          <w:p w14:paraId="578D3822">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5A1A11DC">
            <w:pPr>
              <w:pStyle w:val="42"/>
              <w:keepNext w:val="0"/>
              <w:keepLines w:val="0"/>
              <w:suppressLineNumbers w:val="0"/>
              <w:bidi w:val="0"/>
              <w:spacing w:before="0" w:beforeAutospacing="0" w:after="0" w:afterAutospacing="0"/>
              <w:rPr>
                <w:rFonts w:hint="eastAsia"/>
              </w:rPr>
            </w:pPr>
          </w:p>
        </w:tc>
        <w:tc>
          <w:tcPr>
            <w:tcW w:w="724" w:type="pct"/>
            <w:tcBorders>
              <w:tl2br w:val="nil"/>
              <w:tr2bl w:val="nil"/>
            </w:tcBorders>
            <w:shd w:val="clear" w:color="auto" w:fill="auto"/>
            <w:vAlign w:val="center"/>
          </w:tcPr>
          <w:p w14:paraId="1AADFA60">
            <w:pPr>
              <w:pStyle w:val="42"/>
              <w:keepNext w:val="0"/>
              <w:keepLines w:val="0"/>
              <w:suppressLineNumbers w:val="0"/>
              <w:bidi w:val="0"/>
              <w:spacing w:before="0" w:beforeAutospacing="0" w:after="0" w:afterAutospacing="0"/>
              <w:rPr>
                <w:rFonts w:hint="eastAsia"/>
              </w:rPr>
            </w:pPr>
          </w:p>
        </w:tc>
      </w:tr>
      <w:tr w14:paraId="26F76A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269C016D">
            <w:pPr>
              <w:pStyle w:val="42"/>
              <w:keepNext w:val="0"/>
              <w:keepLines w:val="0"/>
              <w:suppressLineNumbers w:val="0"/>
              <w:bidi w:val="0"/>
              <w:spacing w:before="0" w:beforeAutospacing="0" w:after="0" w:afterAutospacing="0"/>
              <w:rPr>
                <w:rFonts w:hint="eastAsia"/>
              </w:rPr>
            </w:pPr>
            <w:r>
              <w:rPr>
                <w:rFonts w:hint="eastAsia"/>
                <w:lang w:val="en-US" w:eastAsia="zh-CN"/>
              </w:rPr>
              <w:t>2.14.1</w:t>
            </w:r>
          </w:p>
        </w:tc>
        <w:tc>
          <w:tcPr>
            <w:tcW w:w="931" w:type="pct"/>
            <w:tcBorders>
              <w:tl2br w:val="nil"/>
              <w:tr2bl w:val="nil"/>
            </w:tcBorders>
            <w:shd w:val="clear" w:color="auto" w:fill="auto"/>
            <w:vAlign w:val="center"/>
          </w:tcPr>
          <w:p w14:paraId="2B9BA954">
            <w:pPr>
              <w:pStyle w:val="42"/>
              <w:keepNext w:val="0"/>
              <w:keepLines w:val="0"/>
              <w:suppressLineNumbers w:val="0"/>
              <w:bidi w:val="0"/>
              <w:spacing w:before="0" w:beforeAutospacing="0" w:after="0" w:afterAutospacing="0"/>
              <w:rPr>
                <w:rFonts w:hint="eastAsia"/>
              </w:rPr>
            </w:pPr>
            <w:r>
              <w:rPr>
                <w:rFonts w:hint="eastAsia"/>
                <w:lang w:val="en-US" w:eastAsia="zh-CN"/>
              </w:rPr>
              <w:t>电缆线</w:t>
            </w:r>
          </w:p>
        </w:tc>
        <w:tc>
          <w:tcPr>
            <w:tcW w:w="2395" w:type="pct"/>
            <w:tcBorders>
              <w:tl2br w:val="nil"/>
              <w:tr2bl w:val="nil"/>
            </w:tcBorders>
            <w:shd w:val="clear" w:color="auto" w:fill="auto"/>
            <w:vAlign w:val="center"/>
          </w:tcPr>
          <w:p w14:paraId="2F821C60">
            <w:pPr>
              <w:pStyle w:val="42"/>
              <w:keepNext w:val="0"/>
              <w:keepLines w:val="0"/>
              <w:suppressLineNumbers w:val="0"/>
              <w:bidi w:val="0"/>
              <w:spacing w:before="0" w:beforeAutospacing="0" w:after="0" w:afterAutospacing="0"/>
              <w:rPr>
                <w:rFonts w:hint="eastAsia"/>
              </w:rPr>
            </w:pPr>
            <w:r>
              <w:rPr>
                <w:rFonts w:hint="eastAsia"/>
                <w:lang w:val="en-US" w:eastAsia="zh-CN"/>
              </w:rPr>
              <w:t>电缆、信号线等、桥架、线管等</w:t>
            </w:r>
          </w:p>
        </w:tc>
        <w:tc>
          <w:tcPr>
            <w:tcW w:w="454" w:type="pct"/>
            <w:tcBorders>
              <w:tl2br w:val="nil"/>
              <w:tr2bl w:val="nil"/>
            </w:tcBorders>
            <w:shd w:val="clear" w:color="auto" w:fill="auto"/>
            <w:vAlign w:val="center"/>
          </w:tcPr>
          <w:p w14:paraId="0B28F2F5">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16211532">
            <w:pPr>
              <w:pStyle w:val="42"/>
              <w:keepNext w:val="0"/>
              <w:keepLines w:val="0"/>
              <w:suppressLineNumbers w:val="0"/>
              <w:bidi w:val="0"/>
              <w:spacing w:before="0" w:beforeAutospacing="0" w:after="0" w:afterAutospacing="0"/>
              <w:rPr>
                <w:rFonts w:hint="eastAsia"/>
                <w:lang w:val="en-US" w:eastAsia="zh-CN"/>
              </w:rPr>
            </w:pPr>
          </w:p>
        </w:tc>
      </w:tr>
      <w:tr w14:paraId="44A9AA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77798D24">
            <w:pPr>
              <w:pStyle w:val="42"/>
              <w:keepNext w:val="0"/>
              <w:keepLines w:val="0"/>
              <w:suppressLineNumbers w:val="0"/>
              <w:bidi w:val="0"/>
              <w:spacing w:before="0" w:beforeAutospacing="0" w:after="0" w:afterAutospacing="0"/>
              <w:rPr>
                <w:rFonts w:hint="eastAsia"/>
              </w:rPr>
            </w:pPr>
            <w:r>
              <w:rPr>
                <w:rFonts w:hint="eastAsia"/>
                <w:lang w:val="en-US" w:eastAsia="zh-CN"/>
              </w:rPr>
              <w:t>2.14.2</w:t>
            </w:r>
          </w:p>
        </w:tc>
        <w:tc>
          <w:tcPr>
            <w:tcW w:w="931" w:type="pct"/>
            <w:tcBorders>
              <w:tl2br w:val="nil"/>
              <w:tr2bl w:val="nil"/>
            </w:tcBorders>
            <w:shd w:val="clear" w:color="auto" w:fill="auto"/>
            <w:vAlign w:val="center"/>
          </w:tcPr>
          <w:p w14:paraId="34DD8A1B">
            <w:pPr>
              <w:pStyle w:val="42"/>
              <w:keepNext w:val="0"/>
              <w:keepLines w:val="0"/>
              <w:suppressLineNumbers w:val="0"/>
              <w:bidi w:val="0"/>
              <w:spacing w:before="0" w:beforeAutospacing="0" w:after="0" w:afterAutospacing="0"/>
              <w:rPr>
                <w:rFonts w:hint="eastAsia"/>
              </w:rPr>
            </w:pPr>
            <w:r>
              <w:rPr>
                <w:rFonts w:hint="eastAsia"/>
                <w:lang w:val="en-US" w:eastAsia="zh-CN"/>
              </w:rPr>
              <w:t>电控柜</w:t>
            </w:r>
          </w:p>
        </w:tc>
        <w:tc>
          <w:tcPr>
            <w:tcW w:w="2395" w:type="pct"/>
            <w:tcBorders>
              <w:tl2br w:val="nil"/>
              <w:tr2bl w:val="nil"/>
            </w:tcBorders>
            <w:shd w:val="clear" w:color="auto" w:fill="auto"/>
            <w:vAlign w:val="center"/>
          </w:tcPr>
          <w:p w14:paraId="616D084F">
            <w:pPr>
              <w:pStyle w:val="42"/>
              <w:keepNext w:val="0"/>
              <w:keepLines w:val="0"/>
              <w:suppressLineNumbers w:val="0"/>
              <w:bidi w:val="0"/>
              <w:spacing w:before="0" w:beforeAutospacing="0" w:after="0" w:afterAutospacing="0"/>
              <w:rPr>
                <w:rFonts w:hint="eastAsia"/>
              </w:rPr>
            </w:pPr>
            <w:r>
              <w:rPr>
                <w:rFonts w:hint="eastAsia"/>
                <w:lang w:val="en-US" w:eastAsia="zh-CN"/>
              </w:rPr>
              <w:t>PLC自动控制</w:t>
            </w:r>
          </w:p>
        </w:tc>
        <w:tc>
          <w:tcPr>
            <w:tcW w:w="454" w:type="pct"/>
            <w:tcBorders>
              <w:tl2br w:val="nil"/>
              <w:tr2bl w:val="nil"/>
            </w:tcBorders>
            <w:shd w:val="clear" w:color="auto" w:fill="auto"/>
            <w:vAlign w:val="center"/>
          </w:tcPr>
          <w:p w14:paraId="416BE046">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59D0292D">
            <w:pPr>
              <w:pStyle w:val="42"/>
              <w:keepNext w:val="0"/>
              <w:keepLines w:val="0"/>
              <w:suppressLineNumbers w:val="0"/>
              <w:bidi w:val="0"/>
              <w:spacing w:before="0" w:beforeAutospacing="0" w:after="0" w:afterAutospacing="0"/>
              <w:rPr>
                <w:rFonts w:hint="eastAsia"/>
                <w:lang w:val="en-US" w:eastAsia="zh-CN"/>
              </w:rPr>
            </w:pPr>
          </w:p>
        </w:tc>
      </w:tr>
      <w:tr w14:paraId="1FC41E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93" w:type="pct"/>
            <w:tcBorders>
              <w:tl2br w:val="nil"/>
              <w:tr2bl w:val="nil"/>
            </w:tcBorders>
            <w:shd w:val="clear" w:color="auto" w:fill="auto"/>
            <w:vAlign w:val="center"/>
          </w:tcPr>
          <w:p w14:paraId="1305CD61">
            <w:pPr>
              <w:pStyle w:val="42"/>
              <w:keepNext w:val="0"/>
              <w:keepLines w:val="0"/>
              <w:suppressLineNumbers w:val="0"/>
              <w:bidi w:val="0"/>
              <w:spacing w:before="0" w:beforeAutospacing="0" w:after="0" w:afterAutospacing="0"/>
              <w:rPr>
                <w:rFonts w:hint="eastAsia"/>
              </w:rPr>
            </w:pPr>
            <w:r>
              <w:rPr>
                <w:rFonts w:hint="eastAsia"/>
                <w:lang w:val="en-US" w:eastAsia="zh-CN"/>
              </w:rPr>
              <w:t>2.14.3</w:t>
            </w:r>
          </w:p>
        </w:tc>
        <w:tc>
          <w:tcPr>
            <w:tcW w:w="931" w:type="pct"/>
            <w:tcBorders>
              <w:tl2br w:val="nil"/>
              <w:tr2bl w:val="nil"/>
            </w:tcBorders>
            <w:shd w:val="clear" w:color="auto" w:fill="auto"/>
            <w:vAlign w:val="center"/>
          </w:tcPr>
          <w:p w14:paraId="442F64D4">
            <w:pPr>
              <w:pStyle w:val="42"/>
              <w:keepNext w:val="0"/>
              <w:keepLines w:val="0"/>
              <w:suppressLineNumbers w:val="0"/>
              <w:bidi w:val="0"/>
              <w:spacing w:before="0" w:beforeAutospacing="0" w:after="0" w:afterAutospacing="0"/>
              <w:rPr>
                <w:rFonts w:hint="eastAsia"/>
              </w:rPr>
            </w:pPr>
            <w:r>
              <w:rPr>
                <w:rFonts w:hint="eastAsia"/>
                <w:lang w:val="en-US" w:eastAsia="zh-CN"/>
              </w:rPr>
              <w:t>阀门及管件</w:t>
            </w:r>
          </w:p>
        </w:tc>
        <w:tc>
          <w:tcPr>
            <w:tcW w:w="2395" w:type="pct"/>
            <w:tcBorders>
              <w:tl2br w:val="nil"/>
              <w:tr2bl w:val="nil"/>
            </w:tcBorders>
            <w:shd w:val="clear" w:color="auto" w:fill="auto"/>
            <w:vAlign w:val="center"/>
          </w:tcPr>
          <w:p w14:paraId="6515D87F">
            <w:pPr>
              <w:pStyle w:val="42"/>
              <w:keepNext w:val="0"/>
              <w:keepLines w:val="0"/>
              <w:suppressLineNumbers w:val="0"/>
              <w:bidi w:val="0"/>
              <w:spacing w:before="0" w:beforeAutospacing="0" w:after="0" w:afterAutospacing="0"/>
              <w:rPr>
                <w:rFonts w:hint="eastAsia"/>
              </w:rPr>
            </w:pPr>
            <w:r>
              <w:rPr>
                <w:rFonts w:hint="eastAsia"/>
                <w:lang w:val="en-US" w:eastAsia="zh-CN"/>
              </w:rPr>
              <w:t>所有水上管道采用热镀锌材质和pvc，水下部分采用PVC管材</w:t>
            </w:r>
          </w:p>
        </w:tc>
        <w:tc>
          <w:tcPr>
            <w:tcW w:w="454" w:type="pct"/>
            <w:tcBorders>
              <w:tl2br w:val="nil"/>
              <w:tr2bl w:val="nil"/>
            </w:tcBorders>
            <w:shd w:val="clear" w:color="auto" w:fill="auto"/>
            <w:vAlign w:val="center"/>
          </w:tcPr>
          <w:p w14:paraId="2C375D62">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10268518">
            <w:pPr>
              <w:pStyle w:val="42"/>
              <w:keepNext w:val="0"/>
              <w:keepLines w:val="0"/>
              <w:suppressLineNumbers w:val="0"/>
              <w:bidi w:val="0"/>
              <w:spacing w:before="0" w:beforeAutospacing="0" w:after="0" w:afterAutospacing="0"/>
              <w:rPr>
                <w:rFonts w:hint="eastAsia"/>
                <w:lang w:val="en-US" w:eastAsia="zh-CN"/>
              </w:rPr>
            </w:pPr>
          </w:p>
        </w:tc>
      </w:tr>
      <w:tr w14:paraId="36B226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93" w:type="pct"/>
            <w:tcBorders>
              <w:tl2br w:val="nil"/>
              <w:tr2bl w:val="nil"/>
            </w:tcBorders>
            <w:shd w:val="clear" w:color="auto" w:fill="auto"/>
            <w:vAlign w:val="center"/>
          </w:tcPr>
          <w:p w14:paraId="49AE5ED5">
            <w:pPr>
              <w:pStyle w:val="42"/>
              <w:keepNext w:val="0"/>
              <w:keepLines w:val="0"/>
              <w:suppressLineNumbers w:val="0"/>
              <w:bidi w:val="0"/>
              <w:spacing w:before="0" w:beforeAutospacing="0" w:after="0" w:afterAutospacing="0"/>
              <w:rPr>
                <w:rFonts w:hint="eastAsia"/>
              </w:rPr>
            </w:pPr>
            <w:r>
              <w:rPr>
                <w:rFonts w:hint="eastAsia"/>
                <w:lang w:val="en-US" w:eastAsia="zh-CN"/>
              </w:rPr>
              <w:t>2.14.4</w:t>
            </w:r>
          </w:p>
        </w:tc>
        <w:tc>
          <w:tcPr>
            <w:tcW w:w="931" w:type="pct"/>
            <w:tcBorders>
              <w:tl2br w:val="nil"/>
              <w:tr2bl w:val="nil"/>
            </w:tcBorders>
            <w:shd w:val="clear" w:color="auto" w:fill="auto"/>
            <w:vAlign w:val="center"/>
          </w:tcPr>
          <w:p w14:paraId="61938630">
            <w:pPr>
              <w:pStyle w:val="42"/>
              <w:keepNext w:val="0"/>
              <w:keepLines w:val="0"/>
              <w:suppressLineNumbers w:val="0"/>
              <w:bidi w:val="0"/>
              <w:spacing w:before="0" w:beforeAutospacing="0" w:after="0" w:afterAutospacing="0"/>
              <w:rPr>
                <w:rFonts w:hint="eastAsia"/>
              </w:rPr>
            </w:pPr>
            <w:r>
              <w:rPr>
                <w:rFonts w:hint="eastAsia"/>
                <w:lang w:val="en-US" w:eastAsia="zh-CN"/>
              </w:rPr>
              <w:t>辅材</w:t>
            </w:r>
          </w:p>
        </w:tc>
        <w:tc>
          <w:tcPr>
            <w:tcW w:w="2395" w:type="pct"/>
            <w:tcBorders>
              <w:tl2br w:val="nil"/>
              <w:tr2bl w:val="nil"/>
            </w:tcBorders>
            <w:shd w:val="clear" w:color="auto" w:fill="auto"/>
            <w:vAlign w:val="center"/>
          </w:tcPr>
          <w:p w14:paraId="07B1CD90">
            <w:pPr>
              <w:pStyle w:val="42"/>
              <w:keepNext w:val="0"/>
              <w:keepLines w:val="0"/>
              <w:suppressLineNumbers w:val="0"/>
              <w:bidi w:val="0"/>
              <w:spacing w:before="0" w:beforeAutospacing="0" w:after="0" w:afterAutospacing="0"/>
              <w:rPr>
                <w:rFonts w:hint="eastAsia"/>
              </w:rPr>
            </w:pPr>
          </w:p>
        </w:tc>
        <w:tc>
          <w:tcPr>
            <w:tcW w:w="454" w:type="pct"/>
            <w:tcBorders>
              <w:tl2br w:val="nil"/>
              <w:tr2bl w:val="nil"/>
            </w:tcBorders>
            <w:shd w:val="clear" w:color="auto" w:fill="auto"/>
            <w:vAlign w:val="center"/>
          </w:tcPr>
          <w:p w14:paraId="45277694">
            <w:pPr>
              <w:pStyle w:val="42"/>
              <w:keepNext w:val="0"/>
              <w:keepLines w:val="0"/>
              <w:suppressLineNumbers w:val="0"/>
              <w:bidi w:val="0"/>
              <w:spacing w:before="0" w:beforeAutospacing="0" w:after="0" w:afterAutospacing="0"/>
              <w:rPr>
                <w:rFonts w:hint="eastAsia"/>
              </w:rPr>
            </w:pPr>
            <w:r>
              <w:rPr>
                <w:rFonts w:hint="eastAsia"/>
                <w:lang w:val="en-US" w:eastAsia="zh-CN"/>
              </w:rPr>
              <w:t>1套</w:t>
            </w:r>
          </w:p>
        </w:tc>
        <w:tc>
          <w:tcPr>
            <w:tcW w:w="724" w:type="pct"/>
            <w:tcBorders>
              <w:tl2br w:val="nil"/>
              <w:tr2bl w:val="nil"/>
            </w:tcBorders>
            <w:shd w:val="clear" w:color="auto" w:fill="auto"/>
            <w:vAlign w:val="center"/>
          </w:tcPr>
          <w:p w14:paraId="17BDE1EA">
            <w:pPr>
              <w:pStyle w:val="42"/>
              <w:keepNext w:val="0"/>
              <w:keepLines w:val="0"/>
              <w:suppressLineNumbers w:val="0"/>
              <w:bidi w:val="0"/>
              <w:spacing w:before="0" w:beforeAutospacing="0" w:after="0" w:afterAutospacing="0"/>
              <w:rPr>
                <w:rFonts w:hint="eastAsia"/>
                <w:lang w:val="en-US" w:eastAsia="zh-CN"/>
              </w:rPr>
            </w:pPr>
          </w:p>
        </w:tc>
      </w:tr>
    </w:tbl>
    <w:p w14:paraId="11396E86">
      <w:pPr>
        <w:pStyle w:val="5"/>
        <w:bidi w:val="0"/>
        <w:rPr>
          <w:rFonts w:hint="eastAsia"/>
          <w:lang w:eastAsia="zh-CN"/>
        </w:rPr>
      </w:pPr>
      <w:bookmarkStart w:id="97" w:name="_Toc27815"/>
      <w:r>
        <w:rPr>
          <w:rFonts w:hint="eastAsia"/>
          <w:lang w:eastAsia="zh-CN"/>
        </w:rPr>
        <w:t>污水处理工程主要原辅材料消耗</w:t>
      </w:r>
      <w:bookmarkEnd w:id="97"/>
    </w:p>
    <w:p w14:paraId="40E95A46">
      <w:pPr>
        <w:rPr>
          <w:rFonts w:hint="eastAsia"/>
          <w:lang w:eastAsia="zh-CN"/>
        </w:rPr>
      </w:pPr>
      <w:r>
        <w:rPr>
          <w:rFonts w:hint="eastAsia"/>
          <w:lang w:eastAsia="zh-CN"/>
        </w:rPr>
        <w:t>本项目主要原辅材料用量如下表所示。</w:t>
      </w:r>
    </w:p>
    <w:p w14:paraId="7F0BEFA4">
      <w:pPr>
        <w:pStyle w:val="39"/>
        <w:bidi w:val="0"/>
        <w:rPr>
          <w:rFonts w:hint="eastAsia"/>
          <w:lang w:eastAsia="zh-CN"/>
        </w:rPr>
      </w:pPr>
      <w:r>
        <w:rPr>
          <w:rFonts w:hint="eastAsia"/>
          <w:lang w:eastAsia="zh-CN"/>
        </w:rPr>
        <w:t>表</w:t>
      </w:r>
      <w:r>
        <w:rPr>
          <w:rFonts w:hint="eastAsia"/>
          <w:lang w:val="en-US" w:eastAsia="zh-CN"/>
        </w:rPr>
        <w:t>3.5-1</w:t>
      </w:r>
      <w:r>
        <w:rPr>
          <w:rFonts w:hint="eastAsia"/>
          <w:lang w:eastAsia="zh-CN"/>
        </w:rPr>
        <w:t xml:space="preserve">  项目主要原辅材料一览表</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301"/>
        <w:gridCol w:w="743"/>
        <w:gridCol w:w="1096"/>
        <w:gridCol w:w="956"/>
        <w:gridCol w:w="1013"/>
        <w:gridCol w:w="829"/>
        <w:gridCol w:w="1969"/>
      </w:tblGrid>
      <w:tr w14:paraId="110B7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58" w:type="pct"/>
            <w:tcBorders>
              <w:top w:val="single" w:color="auto" w:sz="12" w:space="0"/>
              <w:left w:val="single" w:color="auto" w:sz="12" w:space="0"/>
            </w:tcBorders>
            <w:noWrap w:val="0"/>
            <w:vAlign w:val="center"/>
          </w:tcPr>
          <w:p w14:paraId="039208B0">
            <w:pPr>
              <w:pStyle w:val="42"/>
              <w:keepNext w:val="0"/>
              <w:keepLines w:val="0"/>
              <w:suppressLineNumbers w:val="0"/>
              <w:bidi w:val="0"/>
              <w:spacing w:before="0" w:beforeAutospacing="0" w:after="0" w:afterAutospacing="0"/>
              <w:rPr>
                <w:rFonts w:hint="default"/>
              </w:rPr>
            </w:pPr>
            <w:r>
              <w:rPr>
                <w:rFonts w:hint="default"/>
              </w:rPr>
              <w:t>序号</w:t>
            </w:r>
          </w:p>
        </w:tc>
        <w:tc>
          <w:tcPr>
            <w:tcW w:w="763" w:type="pct"/>
            <w:tcBorders>
              <w:top w:val="single" w:color="auto" w:sz="12" w:space="0"/>
            </w:tcBorders>
            <w:noWrap w:val="0"/>
            <w:vAlign w:val="center"/>
          </w:tcPr>
          <w:p w14:paraId="5C5099F3">
            <w:pPr>
              <w:pStyle w:val="42"/>
              <w:keepNext w:val="0"/>
              <w:keepLines w:val="0"/>
              <w:suppressLineNumbers w:val="0"/>
              <w:bidi w:val="0"/>
              <w:spacing w:before="0" w:beforeAutospacing="0" w:after="0" w:afterAutospacing="0"/>
              <w:rPr>
                <w:rFonts w:hint="default"/>
              </w:rPr>
            </w:pPr>
            <w:r>
              <w:rPr>
                <w:rFonts w:hint="default"/>
              </w:rPr>
              <w:t>名称</w:t>
            </w:r>
          </w:p>
        </w:tc>
        <w:tc>
          <w:tcPr>
            <w:tcW w:w="436" w:type="pct"/>
            <w:tcBorders>
              <w:top w:val="single" w:color="auto" w:sz="12" w:space="0"/>
            </w:tcBorders>
            <w:noWrap w:val="0"/>
            <w:vAlign w:val="center"/>
          </w:tcPr>
          <w:p w14:paraId="7D23644F">
            <w:pPr>
              <w:pStyle w:val="42"/>
              <w:keepNext w:val="0"/>
              <w:keepLines w:val="0"/>
              <w:suppressLineNumbers w:val="0"/>
              <w:bidi w:val="0"/>
              <w:spacing w:before="0" w:beforeAutospacing="0" w:after="0" w:afterAutospacing="0"/>
              <w:rPr>
                <w:rFonts w:hint="default"/>
                <w:lang w:eastAsia="zh-CN"/>
              </w:rPr>
            </w:pPr>
            <w:r>
              <w:rPr>
                <w:rFonts w:hint="default"/>
                <w:lang w:val="en-US" w:eastAsia="zh-CN"/>
              </w:rPr>
              <w:t>状态</w:t>
            </w:r>
          </w:p>
        </w:tc>
        <w:tc>
          <w:tcPr>
            <w:tcW w:w="643" w:type="pct"/>
            <w:tcBorders>
              <w:top w:val="single" w:color="auto" w:sz="12" w:space="0"/>
            </w:tcBorders>
            <w:noWrap w:val="0"/>
            <w:vAlign w:val="center"/>
          </w:tcPr>
          <w:p w14:paraId="67E605E4">
            <w:pPr>
              <w:pStyle w:val="42"/>
              <w:keepNext w:val="0"/>
              <w:keepLines w:val="0"/>
              <w:suppressLineNumbers w:val="0"/>
              <w:bidi w:val="0"/>
              <w:spacing w:before="0" w:beforeAutospacing="0" w:after="0" w:afterAutospacing="0"/>
              <w:rPr>
                <w:rFonts w:hint="default"/>
              </w:rPr>
            </w:pPr>
            <w:r>
              <w:rPr>
                <w:rFonts w:hint="default"/>
              </w:rPr>
              <w:t>年耗量</w:t>
            </w:r>
            <w:r>
              <w:rPr>
                <w:rFonts w:hint="default"/>
                <w:lang w:eastAsia="zh-CN"/>
              </w:rPr>
              <w:t>（</w:t>
            </w:r>
            <w:r>
              <w:rPr>
                <w:rFonts w:hint="default"/>
                <w:lang w:val="en-US" w:eastAsia="zh-CN"/>
              </w:rPr>
              <w:t>t</w:t>
            </w:r>
            <w:r>
              <w:rPr>
                <w:rFonts w:hint="default"/>
                <w:lang w:eastAsia="zh-CN"/>
              </w:rPr>
              <w:t>）</w:t>
            </w:r>
          </w:p>
        </w:tc>
        <w:tc>
          <w:tcPr>
            <w:tcW w:w="561" w:type="pct"/>
            <w:tcBorders>
              <w:top w:val="single" w:color="auto" w:sz="12" w:space="0"/>
            </w:tcBorders>
            <w:noWrap w:val="0"/>
            <w:vAlign w:val="center"/>
          </w:tcPr>
          <w:p w14:paraId="1B037EB9">
            <w:pPr>
              <w:pStyle w:val="42"/>
              <w:keepNext w:val="0"/>
              <w:keepLines w:val="0"/>
              <w:suppressLineNumbers w:val="0"/>
              <w:bidi w:val="0"/>
              <w:spacing w:before="0" w:beforeAutospacing="0" w:after="0" w:afterAutospacing="0"/>
              <w:rPr>
                <w:rFonts w:hint="default"/>
              </w:rPr>
            </w:pPr>
            <w:r>
              <w:rPr>
                <w:rFonts w:hint="default"/>
              </w:rPr>
              <w:t>最大储存量</w:t>
            </w:r>
            <w:r>
              <w:rPr>
                <w:rFonts w:hint="default"/>
                <w:lang w:eastAsia="zh-CN"/>
              </w:rPr>
              <w:t>（</w:t>
            </w:r>
            <w:r>
              <w:rPr>
                <w:rFonts w:hint="default"/>
                <w:lang w:val="en-US" w:eastAsia="zh-CN"/>
              </w:rPr>
              <w:t>t</w:t>
            </w:r>
            <w:r>
              <w:rPr>
                <w:rFonts w:hint="default"/>
                <w:lang w:eastAsia="zh-CN"/>
              </w:rPr>
              <w:t>）</w:t>
            </w:r>
          </w:p>
        </w:tc>
        <w:tc>
          <w:tcPr>
            <w:tcW w:w="594" w:type="pct"/>
            <w:tcBorders>
              <w:top w:val="single" w:color="auto" w:sz="12" w:space="0"/>
            </w:tcBorders>
            <w:noWrap w:val="0"/>
            <w:vAlign w:val="center"/>
          </w:tcPr>
          <w:p w14:paraId="6DCA6FC7">
            <w:pPr>
              <w:pStyle w:val="42"/>
              <w:keepNext w:val="0"/>
              <w:keepLines w:val="0"/>
              <w:suppressLineNumbers w:val="0"/>
              <w:bidi w:val="0"/>
              <w:spacing w:before="0" w:beforeAutospacing="0" w:after="0" w:afterAutospacing="0"/>
              <w:rPr>
                <w:rFonts w:hint="default"/>
              </w:rPr>
            </w:pPr>
            <w:r>
              <w:rPr>
                <w:rFonts w:hint="default"/>
              </w:rPr>
              <w:t>储存方式</w:t>
            </w:r>
          </w:p>
        </w:tc>
        <w:tc>
          <w:tcPr>
            <w:tcW w:w="486" w:type="pct"/>
            <w:tcBorders>
              <w:top w:val="single" w:color="auto" w:sz="12" w:space="0"/>
            </w:tcBorders>
            <w:noWrap w:val="0"/>
            <w:vAlign w:val="center"/>
          </w:tcPr>
          <w:p w14:paraId="11D2EF8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储存位置</w:t>
            </w:r>
          </w:p>
        </w:tc>
        <w:tc>
          <w:tcPr>
            <w:tcW w:w="1155" w:type="pct"/>
            <w:tcBorders>
              <w:top w:val="single" w:color="auto" w:sz="12" w:space="0"/>
              <w:right w:val="single" w:color="auto" w:sz="12" w:space="0"/>
            </w:tcBorders>
            <w:noWrap w:val="0"/>
            <w:vAlign w:val="center"/>
          </w:tcPr>
          <w:p w14:paraId="623AF75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用途</w:t>
            </w:r>
          </w:p>
        </w:tc>
      </w:tr>
      <w:tr w14:paraId="2B0F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58" w:type="pct"/>
            <w:tcBorders>
              <w:left w:val="single" w:color="auto" w:sz="12" w:space="0"/>
            </w:tcBorders>
            <w:noWrap w:val="0"/>
            <w:vAlign w:val="center"/>
          </w:tcPr>
          <w:p w14:paraId="253987EF">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rPr>
              <w:t>1</w:t>
            </w:r>
          </w:p>
        </w:tc>
        <w:tc>
          <w:tcPr>
            <w:tcW w:w="763" w:type="pct"/>
            <w:noWrap w:val="0"/>
            <w:vAlign w:val="center"/>
          </w:tcPr>
          <w:p w14:paraId="4069AB1C">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氢氧化钠</w:t>
            </w:r>
          </w:p>
        </w:tc>
        <w:tc>
          <w:tcPr>
            <w:tcW w:w="436" w:type="pct"/>
            <w:noWrap w:val="0"/>
            <w:vAlign w:val="center"/>
          </w:tcPr>
          <w:p w14:paraId="0FBADAF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固态</w:t>
            </w:r>
          </w:p>
        </w:tc>
        <w:tc>
          <w:tcPr>
            <w:tcW w:w="643" w:type="pct"/>
            <w:noWrap w:val="0"/>
            <w:vAlign w:val="center"/>
          </w:tcPr>
          <w:p w14:paraId="0B09AB6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4.5</w:t>
            </w:r>
          </w:p>
        </w:tc>
        <w:tc>
          <w:tcPr>
            <w:tcW w:w="561" w:type="pct"/>
            <w:noWrap w:val="0"/>
            <w:vAlign w:val="center"/>
          </w:tcPr>
          <w:p w14:paraId="70C3988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w:t>
            </w:r>
          </w:p>
        </w:tc>
        <w:tc>
          <w:tcPr>
            <w:tcW w:w="594" w:type="pct"/>
            <w:noWrap w:val="0"/>
            <w:vAlign w:val="center"/>
          </w:tcPr>
          <w:p w14:paraId="0D719C76">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袋装</w:t>
            </w:r>
          </w:p>
        </w:tc>
        <w:tc>
          <w:tcPr>
            <w:tcW w:w="486" w:type="pct"/>
            <w:noWrap w:val="0"/>
            <w:vAlign w:val="center"/>
          </w:tcPr>
          <w:p w14:paraId="0B9DCF4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加药间</w:t>
            </w:r>
          </w:p>
        </w:tc>
        <w:tc>
          <w:tcPr>
            <w:tcW w:w="1155" w:type="pct"/>
            <w:tcBorders>
              <w:right w:val="single" w:color="auto" w:sz="12" w:space="0"/>
            </w:tcBorders>
            <w:noWrap w:val="0"/>
            <w:vAlign w:val="center"/>
          </w:tcPr>
          <w:p w14:paraId="24DB838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降低废水硬度和用于喷淋塔处理臭气</w:t>
            </w:r>
          </w:p>
        </w:tc>
      </w:tr>
      <w:tr w14:paraId="6A338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58" w:type="pct"/>
            <w:tcBorders>
              <w:left w:val="single" w:color="auto" w:sz="12" w:space="0"/>
            </w:tcBorders>
            <w:noWrap w:val="0"/>
            <w:vAlign w:val="center"/>
          </w:tcPr>
          <w:p w14:paraId="1C993A2C">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rPr>
              <w:t>2</w:t>
            </w:r>
          </w:p>
        </w:tc>
        <w:tc>
          <w:tcPr>
            <w:tcW w:w="763" w:type="pct"/>
            <w:noWrap w:val="0"/>
            <w:vAlign w:val="center"/>
          </w:tcPr>
          <w:p w14:paraId="356EE31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PAC</w:t>
            </w:r>
          </w:p>
        </w:tc>
        <w:tc>
          <w:tcPr>
            <w:tcW w:w="436" w:type="pct"/>
            <w:noWrap w:val="0"/>
            <w:vAlign w:val="center"/>
          </w:tcPr>
          <w:p w14:paraId="72B230B9">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eastAsia="zh-CN"/>
              </w:rPr>
              <w:t>固态</w:t>
            </w:r>
          </w:p>
        </w:tc>
        <w:tc>
          <w:tcPr>
            <w:tcW w:w="643" w:type="pct"/>
            <w:noWrap w:val="0"/>
            <w:vAlign w:val="center"/>
          </w:tcPr>
          <w:p w14:paraId="069C6D6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20</w:t>
            </w:r>
          </w:p>
        </w:tc>
        <w:tc>
          <w:tcPr>
            <w:tcW w:w="561" w:type="pct"/>
            <w:noWrap w:val="0"/>
            <w:vAlign w:val="center"/>
          </w:tcPr>
          <w:p w14:paraId="14224C8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w:t>
            </w:r>
          </w:p>
        </w:tc>
        <w:tc>
          <w:tcPr>
            <w:tcW w:w="594" w:type="pct"/>
            <w:noWrap w:val="0"/>
            <w:vAlign w:val="center"/>
          </w:tcPr>
          <w:p w14:paraId="39FDD20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袋装</w:t>
            </w:r>
          </w:p>
        </w:tc>
        <w:tc>
          <w:tcPr>
            <w:tcW w:w="486" w:type="pct"/>
            <w:noWrap w:val="0"/>
            <w:vAlign w:val="center"/>
          </w:tcPr>
          <w:p w14:paraId="2C1109C4">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eastAsia="zh-CN"/>
              </w:rPr>
              <w:t>加药间</w:t>
            </w:r>
          </w:p>
        </w:tc>
        <w:tc>
          <w:tcPr>
            <w:tcW w:w="1155" w:type="pct"/>
            <w:tcBorders>
              <w:right w:val="single" w:color="auto" w:sz="12" w:space="0"/>
            </w:tcBorders>
            <w:noWrap w:val="0"/>
            <w:vAlign w:val="center"/>
          </w:tcPr>
          <w:p w14:paraId="5A55F54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絮凝</w:t>
            </w:r>
          </w:p>
        </w:tc>
      </w:tr>
      <w:tr w14:paraId="32E9A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58" w:type="pct"/>
            <w:tcBorders>
              <w:left w:val="single" w:color="auto" w:sz="12" w:space="0"/>
            </w:tcBorders>
            <w:noWrap w:val="0"/>
            <w:vAlign w:val="center"/>
          </w:tcPr>
          <w:p w14:paraId="6C252A84">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rPr>
              <w:t>3</w:t>
            </w:r>
          </w:p>
        </w:tc>
        <w:tc>
          <w:tcPr>
            <w:tcW w:w="763" w:type="pct"/>
            <w:noWrap w:val="0"/>
            <w:vAlign w:val="center"/>
          </w:tcPr>
          <w:p w14:paraId="509D7D5F">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PAM</w:t>
            </w:r>
          </w:p>
        </w:tc>
        <w:tc>
          <w:tcPr>
            <w:tcW w:w="436" w:type="pct"/>
            <w:noWrap w:val="0"/>
            <w:vAlign w:val="center"/>
          </w:tcPr>
          <w:p w14:paraId="1944D9C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固态</w:t>
            </w:r>
          </w:p>
        </w:tc>
        <w:tc>
          <w:tcPr>
            <w:tcW w:w="643" w:type="pct"/>
            <w:noWrap w:val="0"/>
            <w:vAlign w:val="center"/>
          </w:tcPr>
          <w:p w14:paraId="2763CF0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2.4</w:t>
            </w:r>
          </w:p>
        </w:tc>
        <w:tc>
          <w:tcPr>
            <w:tcW w:w="561" w:type="pct"/>
            <w:noWrap w:val="0"/>
            <w:vAlign w:val="center"/>
          </w:tcPr>
          <w:p w14:paraId="704579D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0.5</w:t>
            </w:r>
          </w:p>
        </w:tc>
        <w:tc>
          <w:tcPr>
            <w:tcW w:w="594" w:type="pct"/>
            <w:noWrap w:val="0"/>
            <w:vAlign w:val="center"/>
          </w:tcPr>
          <w:p w14:paraId="1C4EA86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袋装</w:t>
            </w:r>
          </w:p>
        </w:tc>
        <w:tc>
          <w:tcPr>
            <w:tcW w:w="486" w:type="pct"/>
            <w:noWrap w:val="0"/>
            <w:vAlign w:val="center"/>
          </w:tcPr>
          <w:p w14:paraId="55B9C291">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eastAsia="zh-CN"/>
              </w:rPr>
              <w:t>加药间</w:t>
            </w:r>
          </w:p>
        </w:tc>
        <w:tc>
          <w:tcPr>
            <w:tcW w:w="1155" w:type="pct"/>
            <w:tcBorders>
              <w:right w:val="single" w:color="auto" w:sz="12" w:space="0"/>
            </w:tcBorders>
            <w:noWrap w:val="0"/>
            <w:vAlign w:val="center"/>
          </w:tcPr>
          <w:p w14:paraId="166AED21">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絮凝</w:t>
            </w:r>
          </w:p>
        </w:tc>
      </w:tr>
    </w:tbl>
    <w:p w14:paraId="785C8C25">
      <w:pPr>
        <w:rPr>
          <w:rFonts w:hint="eastAsia"/>
          <w:lang w:eastAsia="zh-CN"/>
        </w:rPr>
      </w:pPr>
      <w:r>
        <w:rPr>
          <w:rFonts w:hint="eastAsia"/>
          <w:lang w:eastAsia="zh-CN"/>
        </w:rPr>
        <w:t>主要原辅材料理化性质见下表。</w:t>
      </w:r>
    </w:p>
    <w:p w14:paraId="34720840">
      <w:pPr>
        <w:pStyle w:val="39"/>
        <w:bidi w:val="0"/>
        <w:rPr>
          <w:rFonts w:hint="eastAsia"/>
          <w:lang w:eastAsia="zh-CN"/>
        </w:rPr>
      </w:pPr>
      <w:r>
        <w:rPr>
          <w:rFonts w:hint="eastAsia"/>
          <w:lang w:eastAsia="zh-CN"/>
        </w:rPr>
        <w:t>表</w:t>
      </w:r>
      <w:r>
        <w:rPr>
          <w:rFonts w:hint="eastAsia"/>
          <w:lang w:val="en-US" w:eastAsia="zh-CN"/>
        </w:rPr>
        <w:t>3.5-2</w:t>
      </w:r>
      <w:r>
        <w:rPr>
          <w:rFonts w:hint="eastAsia"/>
          <w:lang w:eastAsia="zh-CN"/>
        </w:rPr>
        <w:t xml:space="preserve">  原辅材料理化性质</w:t>
      </w:r>
    </w:p>
    <w:tbl>
      <w:tblPr>
        <w:tblStyle w:val="30"/>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024"/>
        <w:gridCol w:w="4244"/>
        <w:gridCol w:w="2602"/>
      </w:tblGrid>
      <w:tr w14:paraId="7FF5AA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377" w:type="pct"/>
            <w:tcBorders>
              <w:tl2br w:val="nil"/>
              <w:tr2bl w:val="nil"/>
            </w:tcBorders>
            <w:noWrap w:val="0"/>
            <w:vAlign w:val="center"/>
          </w:tcPr>
          <w:p w14:paraId="268F9951">
            <w:pPr>
              <w:pStyle w:val="42"/>
              <w:keepNext w:val="0"/>
              <w:keepLines w:val="0"/>
              <w:suppressLineNumbers w:val="0"/>
              <w:bidi w:val="0"/>
              <w:spacing w:before="0" w:beforeAutospacing="0" w:after="0" w:afterAutospacing="0"/>
              <w:jc w:val="center"/>
              <w:rPr>
                <w:rFonts w:hint="default"/>
              </w:rPr>
            </w:pPr>
            <w:r>
              <w:rPr>
                <w:rFonts w:hint="default"/>
              </w:rPr>
              <w:t>序号</w:t>
            </w:r>
          </w:p>
        </w:tc>
        <w:tc>
          <w:tcPr>
            <w:tcW w:w="601" w:type="pct"/>
            <w:tcBorders>
              <w:tl2br w:val="nil"/>
              <w:tr2bl w:val="nil"/>
            </w:tcBorders>
            <w:noWrap w:val="0"/>
            <w:vAlign w:val="center"/>
          </w:tcPr>
          <w:p w14:paraId="6CFF91A9">
            <w:pPr>
              <w:pStyle w:val="42"/>
              <w:keepNext w:val="0"/>
              <w:keepLines w:val="0"/>
              <w:suppressLineNumbers w:val="0"/>
              <w:bidi w:val="0"/>
              <w:spacing w:before="0" w:beforeAutospacing="0" w:after="0" w:afterAutospacing="0"/>
              <w:jc w:val="center"/>
              <w:rPr>
                <w:rFonts w:hint="default"/>
              </w:rPr>
            </w:pPr>
            <w:r>
              <w:rPr>
                <w:rFonts w:hint="default"/>
              </w:rPr>
              <w:t>名称</w:t>
            </w:r>
          </w:p>
        </w:tc>
        <w:tc>
          <w:tcPr>
            <w:tcW w:w="2492" w:type="pct"/>
            <w:tcBorders>
              <w:tl2br w:val="nil"/>
              <w:tr2bl w:val="nil"/>
            </w:tcBorders>
            <w:noWrap w:val="0"/>
            <w:vAlign w:val="center"/>
          </w:tcPr>
          <w:p w14:paraId="41E1B6F0">
            <w:pPr>
              <w:pStyle w:val="42"/>
              <w:keepNext w:val="0"/>
              <w:keepLines w:val="0"/>
              <w:suppressLineNumbers w:val="0"/>
              <w:bidi w:val="0"/>
              <w:spacing w:before="0" w:beforeAutospacing="0" w:after="0" w:afterAutospacing="0"/>
              <w:jc w:val="center"/>
              <w:rPr>
                <w:rFonts w:hint="default"/>
              </w:rPr>
            </w:pPr>
            <w:r>
              <w:rPr>
                <w:rFonts w:hint="default"/>
              </w:rPr>
              <w:t>理化性质</w:t>
            </w:r>
          </w:p>
        </w:tc>
        <w:tc>
          <w:tcPr>
            <w:tcW w:w="1528" w:type="pct"/>
            <w:tcBorders>
              <w:tl2br w:val="nil"/>
              <w:tr2bl w:val="nil"/>
            </w:tcBorders>
            <w:noWrap w:val="0"/>
            <w:vAlign w:val="center"/>
          </w:tcPr>
          <w:p w14:paraId="69B2532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毒理性</w:t>
            </w:r>
          </w:p>
        </w:tc>
      </w:tr>
      <w:tr w14:paraId="32AC9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tcBorders>
              <w:tl2br w:val="nil"/>
              <w:tr2bl w:val="nil"/>
            </w:tcBorders>
            <w:noWrap w:val="0"/>
            <w:vAlign w:val="center"/>
          </w:tcPr>
          <w:p w14:paraId="7A02D0DA">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1</w:t>
            </w:r>
          </w:p>
        </w:tc>
        <w:tc>
          <w:tcPr>
            <w:tcW w:w="601" w:type="pct"/>
            <w:tcBorders>
              <w:tl2br w:val="nil"/>
              <w:tr2bl w:val="nil"/>
            </w:tcBorders>
            <w:noWrap w:val="0"/>
            <w:vAlign w:val="center"/>
          </w:tcPr>
          <w:p w14:paraId="43DB8E4E">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氢氧化钠</w:t>
            </w:r>
          </w:p>
        </w:tc>
        <w:tc>
          <w:tcPr>
            <w:tcW w:w="2492" w:type="pct"/>
            <w:tcBorders>
              <w:tl2br w:val="nil"/>
              <w:tr2bl w:val="nil"/>
            </w:tcBorders>
            <w:noWrap w:val="0"/>
            <w:vAlign w:val="center"/>
          </w:tcPr>
          <w:p w14:paraId="612543EF">
            <w:pPr>
              <w:pStyle w:val="42"/>
              <w:keepNext w:val="0"/>
              <w:keepLines w:val="0"/>
              <w:suppressLineNumbers w:val="0"/>
              <w:bidi w:val="0"/>
              <w:spacing w:before="0" w:beforeAutospacing="0" w:after="0" w:afterAutospacing="0"/>
              <w:jc w:val="center"/>
              <w:rPr>
                <w:rFonts w:hint="default"/>
              </w:rPr>
            </w:pPr>
            <w:r>
              <w:rPr>
                <w:rFonts w:hint="default"/>
                <w:lang w:val="en-US" w:eastAsia="zh-CN"/>
              </w:rPr>
              <w:t>白色结晶性粉末，分子量40.01，熔点（℃）318.4，沸点（℃）1390，相对密度（水=1）2.12，相对蒸汽密度（空气=1）&lt;1，饱和蒸气压（kPa）0.13（739℃），易溶于水、乙醇、甘油，不溶于丙酮。不燃，有强烈刺激和腐蚀性</w:t>
            </w:r>
          </w:p>
        </w:tc>
        <w:tc>
          <w:tcPr>
            <w:tcW w:w="1528" w:type="pct"/>
            <w:tcBorders>
              <w:tl2br w:val="nil"/>
              <w:tr2bl w:val="nil"/>
            </w:tcBorders>
            <w:noWrap w:val="0"/>
            <w:vAlign w:val="center"/>
          </w:tcPr>
          <w:p w14:paraId="07C4D86A">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有强烈刺激和腐蚀性。粉尘或烟雾会刺激眼和呼吸道，腐蚀鼻中隔，皮肤和眼与NaOH直接接触会引起灼伤，误服可造成消化道灼伤，粘膜糜烂、出血和休克</w:t>
            </w:r>
          </w:p>
        </w:tc>
      </w:tr>
      <w:tr w14:paraId="2EA336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tcBorders>
              <w:tl2br w:val="nil"/>
              <w:tr2bl w:val="nil"/>
            </w:tcBorders>
            <w:noWrap w:val="0"/>
            <w:vAlign w:val="center"/>
          </w:tcPr>
          <w:p w14:paraId="0F3F4776">
            <w:pPr>
              <w:pStyle w:val="42"/>
              <w:keepNext w:val="0"/>
              <w:keepLines w:val="0"/>
              <w:suppressLineNumbers w:val="0"/>
              <w:bidi w:val="0"/>
              <w:spacing w:before="0" w:beforeAutospacing="0" w:after="0" w:afterAutospacing="0"/>
              <w:jc w:val="center"/>
              <w:rPr>
                <w:rFonts w:hint="default"/>
                <w:lang w:eastAsia="zh-CN"/>
              </w:rPr>
            </w:pPr>
            <w:r>
              <w:rPr>
                <w:rFonts w:hint="default"/>
                <w:lang w:val="en-US" w:eastAsia="zh-CN"/>
              </w:rPr>
              <w:t>2</w:t>
            </w:r>
          </w:p>
        </w:tc>
        <w:tc>
          <w:tcPr>
            <w:tcW w:w="601" w:type="pct"/>
            <w:tcBorders>
              <w:tl2br w:val="nil"/>
              <w:tr2bl w:val="nil"/>
            </w:tcBorders>
            <w:noWrap w:val="0"/>
            <w:vAlign w:val="center"/>
          </w:tcPr>
          <w:p w14:paraId="56DD6381">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PAC（</w:t>
            </w:r>
            <w:r>
              <w:rPr>
                <w:rFonts w:hint="default"/>
              </w:rPr>
              <w:t>聚合氯化铝</w:t>
            </w:r>
            <w:r>
              <w:rPr>
                <w:rFonts w:hint="default"/>
                <w:lang w:val="en-US" w:eastAsia="zh-CN"/>
              </w:rPr>
              <w:t>）</w:t>
            </w:r>
          </w:p>
        </w:tc>
        <w:tc>
          <w:tcPr>
            <w:tcW w:w="2492" w:type="pct"/>
            <w:tcBorders>
              <w:tl2br w:val="nil"/>
              <w:tr2bl w:val="nil"/>
            </w:tcBorders>
            <w:noWrap w:val="0"/>
            <w:vAlign w:val="center"/>
          </w:tcPr>
          <w:p w14:paraId="151DD609">
            <w:pPr>
              <w:pStyle w:val="42"/>
              <w:keepNext w:val="0"/>
              <w:keepLines w:val="0"/>
              <w:suppressLineNumbers w:val="0"/>
              <w:bidi w:val="0"/>
              <w:spacing w:before="0" w:beforeAutospacing="0" w:after="0" w:afterAutospacing="0"/>
              <w:jc w:val="center"/>
              <w:rPr>
                <w:rFonts w:hint="default"/>
              </w:rPr>
            </w:pPr>
            <w:r>
              <w:rPr>
                <w:rFonts w:hint="default"/>
                <w:lang w:val="en-US" w:eastAsia="zh-CN"/>
              </w:rPr>
              <w:t>白色、淡灰色、淡黄色或棕褐色晶粒或粉末。易溶于水，具有</w:t>
            </w:r>
            <w:r>
              <w:rPr>
                <w:rFonts w:hint="default"/>
              </w:rPr>
              <w:t>吸附、凝聚、沉淀等性能，稳定性差</w:t>
            </w:r>
            <w:r>
              <w:rPr>
                <w:rFonts w:hint="default"/>
                <w:lang w:eastAsia="zh-CN"/>
              </w:rPr>
              <w:t>，</w:t>
            </w:r>
            <w:r>
              <w:rPr>
                <w:rFonts w:hint="default"/>
                <w:lang w:val="en-US" w:eastAsia="zh-CN"/>
              </w:rPr>
              <w:t>产品中氧化铝含量：固体产品为20%-40%，碱化度70%-75%，不燃</w:t>
            </w:r>
          </w:p>
        </w:tc>
        <w:tc>
          <w:tcPr>
            <w:tcW w:w="1528" w:type="pct"/>
            <w:tcBorders>
              <w:tl2br w:val="nil"/>
              <w:tr2bl w:val="nil"/>
            </w:tcBorders>
            <w:noWrap w:val="0"/>
            <w:vAlign w:val="center"/>
          </w:tcPr>
          <w:p w14:paraId="65ECD299">
            <w:pPr>
              <w:pStyle w:val="42"/>
              <w:keepNext w:val="0"/>
              <w:keepLines w:val="0"/>
              <w:suppressLineNumbers w:val="0"/>
              <w:bidi w:val="0"/>
              <w:spacing w:before="0" w:beforeAutospacing="0" w:after="0" w:afterAutospacing="0"/>
              <w:jc w:val="center"/>
              <w:rPr>
                <w:rFonts w:hint="default"/>
              </w:rPr>
            </w:pPr>
            <w:r>
              <w:rPr>
                <w:rFonts w:hint="default"/>
              </w:rPr>
              <w:t>有腐蚀性，如不慎溅到皮肤上要立即用水冲洗干净</w:t>
            </w:r>
          </w:p>
        </w:tc>
      </w:tr>
      <w:tr w14:paraId="31CA0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7" w:type="pct"/>
            <w:tcBorders>
              <w:tl2br w:val="nil"/>
              <w:tr2bl w:val="nil"/>
            </w:tcBorders>
            <w:noWrap w:val="0"/>
            <w:vAlign w:val="center"/>
          </w:tcPr>
          <w:p w14:paraId="082DEA0F">
            <w:pPr>
              <w:pStyle w:val="42"/>
              <w:keepNext w:val="0"/>
              <w:keepLines w:val="0"/>
              <w:suppressLineNumbers w:val="0"/>
              <w:bidi w:val="0"/>
              <w:spacing w:before="0" w:beforeAutospacing="0" w:after="0" w:afterAutospacing="0"/>
              <w:jc w:val="center"/>
              <w:rPr>
                <w:rFonts w:hint="default"/>
                <w:lang w:eastAsia="zh-CN"/>
              </w:rPr>
            </w:pPr>
            <w:r>
              <w:rPr>
                <w:rFonts w:hint="default"/>
                <w:lang w:val="en-US" w:eastAsia="zh-CN"/>
              </w:rPr>
              <w:t>3</w:t>
            </w:r>
          </w:p>
        </w:tc>
        <w:tc>
          <w:tcPr>
            <w:tcW w:w="601" w:type="pct"/>
            <w:tcBorders>
              <w:tl2br w:val="nil"/>
              <w:tr2bl w:val="nil"/>
            </w:tcBorders>
            <w:noWrap w:val="0"/>
            <w:vAlign w:val="center"/>
          </w:tcPr>
          <w:p w14:paraId="5A1FC2E3">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PAM阳离子（聚丙烯酰胺）</w:t>
            </w:r>
          </w:p>
        </w:tc>
        <w:tc>
          <w:tcPr>
            <w:tcW w:w="2492" w:type="pct"/>
            <w:tcBorders>
              <w:tl2br w:val="nil"/>
              <w:tr2bl w:val="nil"/>
            </w:tcBorders>
            <w:noWrap w:val="0"/>
            <w:vAlign w:val="center"/>
          </w:tcPr>
          <w:p w14:paraId="37EECBCE">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白色粉状物，密度为1．320g/cm。(23℃)，玻璃化温度为188℃，软化温度近于210℃，易吸附水分和保留水分，以各种百分比溶于水，不溶于大多数有机溶液，如甲醇、乙醇、丙酮、乙醚、脂肪烃和芳香烃</w:t>
            </w:r>
          </w:p>
        </w:tc>
        <w:tc>
          <w:tcPr>
            <w:tcW w:w="1528" w:type="pct"/>
            <w:tcBorders>
              <w:tl2br w:val="nil"/>
              <w:tr2bl w:val="nil"/>
            </w:tcBorders>
            <w:noWrap w:val="0"/>
            <w:vAlign w:val="center"/>
          </w:tcPr>
          <w:p w14:paraId="0E0A4C3B">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w:t>
            </w:r>
          </w:p>
        </w:tc>
      </w:tr>
    </w:tbl>
    <w:p w14:paraId="21845EDA">
      <w:pPr>
        <w:pStyle w:val="5"/>
        <w:bidi w:val="0"/>
        <w:rPr>
          <w:rFonts w:hint="default"/>
          <w:highlight w:val="none"/>
        </w:rPr>
      </w:pPr>
      <w:bookmarkStart w:id="98" w:name="_Toc20575"/>
      <w:bookmarkStart w:id="99" w:name="_Toc209237363"/>
      <w:bookmarkStart w:id="100" w:name="_Toc350783557"/>
      <w:bookmarkStart w:id="101" w:name="_Toc490915903"/>
      <w:bookmarkStart w:id="102" w:name="_Toc31326"/>
      <w:r>
        <w:rPr>
          <w:rFonts w:hint="default"/>
          <w:highlight w:val="none"/>
        </w:rPr>
        <w:t>公用及辅助工程</w:t>
      </w:r>
      <w:bookmarkEnd w:id="98"/>
    </w:p>
    <w:p w14:paraId="404EBC5D">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供水</w:t>
      </w:r>
    </w:p>
    <w:p w14:paraId="38107613">
      <w:pPr>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eastAsia="zh-CN"/>
        </w:rPr>
        <w:t>湘阴佳海绿色食品产业园一期</w:t>
      </w:r>
      <w:r>
        <w:rPr>
          <w:rFonts w:hint="default" w:ascii="Times New Roman" w:hAnsi="Times New Roman" w:cs="Times New Roman"/>
          <w:color w:val="auto"/>
          <w:highlight w:val="none"/>
          <w:u w:val="none" w:color="auto"/>
        </w:rPr>
        <w:t>用水为市政自来水，从北面大道的市政供水管上接一根DN200引入管。给水管在项目园区布置成环状管网供区域内各栋建筑生活及消防用水，室外设置20处消防栓，室外消防用水量为30L/s。消防管网在园区内形成环网，最高建筑屋顶设前10分钟消防用水箱。给水管采用PE管。</w:t>
      </w:r>
    </w:p>
    <w:p w14:paraId="343F22E4">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本项目生产用水主要为药剂配制用水、污泥脱水房地面设备冲洗用水和湿式喷淋塔用水。</w:t>
      </w:r>
    </w:p>
    <w:p w14:paraId="154A9B8F">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药剂配制用水：本项目采用的PAM等药剂在使用时，需现场配制成浓度为0.15%的溶液，本项目药剂用量总量为</w:t>
      </w:r>
      <w:r>
        <w:rPr>
          <w:rFonts w:hint="eastAsia" w:ascii="Times New Roman" w:hAnsi="Times New Roman" w:cs="Times New Roman"/>
          <w:color w:val="auto"/>
          <w:highlight w:val="none"/>
          <w:u w:val="none" w:color="auto"/>
          <w:lang w:val="en-US" w:eastAsia="zh-CN"/>
        </w:rPr>
        <w:t>20</w:t>
      </w:r>
      <w:r>
        <w:rPr>
          <w:rFonts w:hint="default" w:ascii="Times New Roman" w:hAnsi="Times New Roman" w:cs="Times New Roman"/>
          <w:color w:val="auto"/>
          <w:highlight w:val="none"/>
          <w:u w:val="none" w:color="auto"/>
          <w:lang w:eastAsia="zh-CN"/>
        </w:rPr>
        <w:t>t，经核算，本项目需药剂配制用水约</w:t>
      </w:r>
      <w:r>
        <w:rPr>
          <w:rFonts w:hint="eastAsia" w:ascii="Times New Roman" w:hAnsi="Times New Roman" w:cs="Times New Roman"/>
          <w:color w:val="auto"/>
          <w:highlight w:val="none"/>
          <w:u w:val="none" w:color="auto"/>
          <w:lang w:val="en-US" w:eastAsia="zh-CN"/>
        </w:rPr>
        <w:t>13440</w:t>
      </w:r>
      <w:r>
        <w:rPr>
          <w:rFonts w:hint="default" w:ascii="Times New Roman" w:hAnsi="Times New Roman" w:cs="Times New Roman"/>
          <w:color w:val="auto"/>
          <w:highlight w:val="none"/>
          <w:u w:val="none" w:color="auto"/>
          <w:lang w:eastAsia="zh-CN"/>
        </w:rPr>
        <w:t>m³/a。</w:t>
      </w:r>
    </w:p>
    <w:p w14:paraId="3A63524F">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污泥脱水间冲洗用水：本项目污泥脱水间内</w:t>
      </w:r>
      <w:r>
        <w:rPr>
          <w:rFonts w:hint="eastAsia" w:ascii="Times New Roman" w:hAnsi="Times New Roman" w:cs="Times New Roman"/>
          <w:color w:val="auto"/>
          <w:highlight w:val="none"/>
          <w:u w:val="none" w:color="auto"/>
          <w:lang w:eastAsia="zh-CN"/>
        </w:rPr>
        <w:t>板框压滤机</w:t>
      </w:r>
      <w:r>
        <w:rPr>
          <w:rFonts w:hint="default" w:ascii="Times New Roman" w:hAnsi="Times New Roman" w:cs="Times New Roman"/>
          <w:color w:val="auto"/>
          <w:highlight w:val="none"/>
          <w:u w:val="none" w:color="auto"/>
          <w:lang w:eastAsia="zh-CN"/>
        </w:rPr>
        <w:t>及地面拟每2天清洗1次，每次清洗用水约3m³，则污泥脱水间冲洗用水为547.5m³/a。</w:t>
      </w:r>
    </w:p>
    <w:p w14:paraId="418663C6">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湿式喷淋塔用水：项目臭气</w:t>
      </w:r>
      <w:r>
        <w:rPr>
          <w:rFonts w:hint="default" w:ascii="Times New Roman" w:hAnsi="Times New Roman" w:cs="Times New Roman"/>
          <w:color w:val="auto"/>
          <w:highlight w:val="none"/>
          <w:u w:val="none" w:color="auto"/>
          <w:shd w:val="clear"/>
          <w:lang w:eastAsia="zh-CN"/>
        </w:rPr>
        <w:t>处理采用“</w:t>
      </w:r>
      <w:r>
        <w:rPr>
          <w:rFonts w:hint="eastAsia" w:ascii="Times New Roman" w:hAnsi="Times New Roman" w:cs="Times New Roman"/>
          <w:color w:val="auto"/>
          <w:highlight w:val="none"/>
          <w:u w:val="none" w:color="auto"/>
          <w:shd w:val="clear"/>
          <w:lang w:val="en-US" w:eastAsia="zh-CN"/>
        </w:rPr>
        <w:t>生物滤池除臭</w:t>
      </w:r>
      <w:r>
        <w:rPr>
          <w:rFonts w:hint="default" w:ascii="Times New Roman" w:hAnsi="Times New Roman" w:cs="Times New Roman"/>
          <w:color w:val="auto"/>
          <w:highlight w:val="none"/>
          <w:u w:val="none" w:color="auto"/>
          <w:shd w:val="clear"/>
          <w:lang w:eastAsia="zh-CN"/>
        </w:rPr>
        <w:t>”设备</w:t>
      </w:r>
      <w:r>
        <w:rPr>
          <w:rFonts w:hint="default" w:ascii="Times New Roman" w:hAnsi="Times New Roman" w:cs="Times New Roman"/>
          <w:color w:val="auto"/>
          <w:highlight w:val="none"/>
          <w:u w:val="none" w:color="auto"/>
          <w:lang w:eastAsia="zh-CN"/>
        </w:rPr>
        <w:t>进行处理，湿式喷淋塔内循环水量约4m³，循环液定期更换，更换周期约半月1次，平时补充水量约0.1m³/d，则年补充水量为130.1t，废水产生量为96t/a，全部进入自身污水处理系统，与进站废水一并处理。</w:t>
      </w:r>
    </w:p>
    <w:p w14:paraId="6A84367C">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排水</w:t>
      </w:r>
    </w:p>
    <w:p w14:paraId="2096EBB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厂区采用雨污分流</w:t>
      </w: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污污分流</w:t>
      </w:r>
      <w:r>
        <w:rPr>
          <w:rFonts w:hint="default" w:ascii="Times New Roman" w:hAnsi="Times New Roman" w:cs="Times New Roman"/>
          <w:color w:val="auto"/>
          <w:highlight w:val="none"/>
          <w:u w:val="none" w:color="auto"/>
        </w:rPr>
        <w:t>的排水制度。雨水经厂区雨水管道收集后经雨水排口排入</w:t>
      </w:r>
      <w:r>
        <w:rPr>
          <w:rFonts w:hint="eastAsia" w:ascii="Times New Roman" w:hAnsi="Times New Roman" w:cs="Times New Roman"/>
          <w:color w:val="auto"/>
          <w:highlight w:val="none"/>
          <w:u w:val="none" w:color="auto"/>
          <w:lang w:val="en-US" w:eastAsia="zh-CN"/>
        </w:rPr>
        <w:t>市政</w:t>
      </w:r>
      <w:r>
        <w:rPr>
          <w:rFonts w:hint="default" w:ascii="Times New Roman" w:hAnsi="Times New Roman" w:cs="Times New Roman"/>
          <w:color w:val="auto"/>
          <w:highlight w:val="none"/>
          <w:u w:val="none" w:color="auto"/>
        </w:rPr>
        <w:t>雨水管网；</w:t>
      </w:r>
      <w:r>
        <w:rPr>
          <w:rFonts w:hint="eastAsia"/>
          <w:lang w:val="en-US" w:eastAsia="zh-CN"/>
        </w:rPr>
        <w:t>喷淋废水、污泥脱水废水、冲洗废水进入</w:t>
      </w:r>
      <w:r>
        <w:rPr>
          <w:rFonts w:hint="default"/>
          <w:lang w:val="en-US" w:eastAsia="zh-CN"/>
        </w:rPr>
        <w:t>自身</w:t>
      </w:r>
      <w:r>
        <w:rPr>
          <w:rFonts w:hint="eastAsia"/>
          <w:lang w:val="en-US" w:eastAsia="zh-CN"/>
        </w:rPr>
        <w:t>污水处理站处理；</w:t>
      </w:r>
      <w:r>
        <w:rPr>
          <w:rFonts w:hint="eastAsia" w:ascii="Times New Roman" w:hAnsi="Times New Roman" w:cs="Times New Roman"/>
          <w:color w:val="auto"/>
          <w:highlight w:val="none"/>
          <w:u w:val="none" w:color="auto"/>
          <w:lang w:val="en-US" w:eastAsia="zh-CN"/>
        </w:rPr>
        <w:t>产业园区内</w:t>
      </w:r>
      <w:r>
        <w:rPr>
          <w:rFonts w:hint="default" w:ascii="Times New Roman" w:hAnsi="Times New Roman" w:cs="Times New Roman"/>
          <w:color w:val="auto"/>
          <w:highlight w:val="none"/>
          <w:u w:val="none" w:color="auto"/>
        </w:rPr>
        <w:t>生产污水进入</w:t>
      </w:r>
      <w:r>
        <w:rPr>
          <w:rFonts w:hint="eastAsia" w:ascii="Times New Roman" w:hAnsi="Times New Roman" w:cs="Times New Roman"/>
          <w:color w:val="auto"/>
          <w:highlight w:val="none"/>
          <w:u w:val="none" w:color="auto"/>
          <w:lang w:eastAsia="zh-CN"/>
        </w:rPr>
        <w:t>湘阴佳海绿色食品产业园一期</w:t>
      </w:r>
      <w:r>
        <w:rPr>
          <w:rFonts w:hint="default" w:ascii="Times New Roman" w:hAnsi="Times New Roman" w:cs="Times New Roman"/>
          <w:color w:val="auto"/>
          <w:highlight w:val="none"/>
          <w:u w:val="none" w:color="auto"/>
        </w:rPr>
        <w:t>污水处理站处理后水达湘阴县第二污水处理</w:t>
      </w:r>
      <w:r>
        <w:rPr>
          <w:rFonts w:hint="eastAsia" w:ascii="Times New Roman" w:hAnsi="Times New Roman" w:cs="Times New Roman"/>
          <w:color w:val="auto"/>
          <w:highlight w:val="none"/>
          <w:u w:val="none" w:color="auto"/>
          <w:lang w:val="en-US" w:eastAsia="zh-CN"/>
        </w:rPr>
        <w:t>厂进水水质标准及</w:t>
      </w:r>
      <w:r>
        <w:rPr>
          <w:rFonts w:hint="default" w:ascii="Times New Roman" w:hAnsi="Times New Roman" w:cs="Times New Roman"/>
          <w:color w:val="auto"/>
          <w:highlight w:val="none"/>
          <w:u w:val="none" w:color="auto"/>
        </w:rPr>
        <w:t>《污水综合排放标准》三级标准后，再纳入湘阴县第二污水处理厂处理。</w:t>
      </w:r>
    </w:p>
    <w:p w14:paraId="70097801">
      <w:pPr>
        <w:pStyle w:val="7"/>
        <w:ind w:left="-480" w:leftChars="0" w:firstLine="48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供电</w:t>
      </w:r>
    </w:p>
    <w:p w14:paraId="1ED6987E">
      <w:pPr>
        <w:ind w:firstLine="48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eastAsia="zh-CN"/>
        </w:rPr>
        <w:t>湘阴佳海绿色食品产业园一期</w:t>
      </w:r>
      <w:r>
        <w:rPr>
          <w:rFonts w:hint="default" w:ascii="Times New Roman" w:hAnsi="Times New Roman" w:cs="Times New Roman"/>
          <w:color w:val="auto"/>
          <w:highlight w:val="none"/>
          <w:u w:val="none" w:color="auto"/>
        </w:rPr>
        <w:t>供电电源以二回10kV线路取自外部电源。地下设备用房新建10/0.4kV变电所，内设置10kV开关柜，2台1600kVA变压器，0.4kV固定开关柜，均为单母线接线。室外设置6台800kVA箱式变压器，由10/0.4kV变配电所提供10kV电缆。变电器负荷率为75%左右。低压配电系统采用TN-S系统，厂房内采用树干式配电，配电干线采用密集型插接式母线槽，滑触线采用安全式滑触线。在总配电变电房高压配电室内设置专用计量柜，装设电度表作总计表，照明、动力分开计量。</w:t>
      </w:r>
    </w:p>
    <w:p w14:paraId="3E8622F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建筑等按三类防雷建筑采取相应的防雷措施，在屋面设避雷带保护，利用建筑物内主筋作引下线，基础内主盘环形连接作接地装置，要求接内闪器，引下线及接地极相互焊接连通。变配电房接地电阻不大于4欧姆，综合采用联合接地，接地电阻不大于1欧姆。所有电气设备不带电的金属外壳均需保证与保护线已可靠连接。</w:t>
      </w:r>
    </w:p>
    <w:p w14:paraId="69BB481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消防负荷采用两回路供电，并在末端自投，消防时自动切掉与消防无关的负荷，确保消防用电。</w:t>
      </w:r>
    </w:p>
    <w:p w14:paraId="0E9F05D3">
      <w:pPr>
        <w:pStyle w:val="5"/>
        <w:rPr>
          <w:rFonts w:hint="default" w:ascii="Times New Roman" w:hAnsi="Times New Roman" w:cs="Times New Roman"/>
          <w:color w:val="auto"/>
          <w:highlight w:val="none"/>
          <w:u w:val="none" w:color="auto"/>
        </w:rPr>
      </w:pPr>
      <w:bookmarkStart w:id="103" w:name="_Toc4315"/>
      <w:r>
        <w:rPr>
          <w:rFonts w:hint="default" w:ascii="Times New Roman" w:hAnsi="Times New Roman" w:cs="Times New Roman"/>
          <w:color w:val="auto"/>
          <w:highlight w:val="none"/>
          <w:u w:val="none" w:color="auto"/>
        </w:rPr>
        <w:t>劳动定员及工作制度</w:t>
      </w:r>
      <w:bookmarkEnd w:id="99"/>
      <w:bookmarkEnd w:id="100"/>
      <w:bookmarkEnd w:id="101"/>
      <w:bookmarkEnd w:id="102"/>
      <w:bookmarkEnd w:id="103"/>
    </w:p>
    <w:p w14:paraId="3E12B80C">
      <w:pPr>
        <w:bidi w:val="0"/>
        <w:rPr>
          <w:rFonts w:hint="default"/>
          <w:highlight w:val="none"/>
        </w:rPr>
      </w:pPr>
      <w:r>
        <w:rPr>
          <w:rFonts w:hint="default"/>
          <w:highlight w:val="none"/>
        </w:rPr>
        <w:t>本项目</w:t>
      </w:r>
      <w:r>
        <w:rPr>
          <w:rFonts w:hint="eastAsia"/>
          <w:highlight w:val="none"/>
          <w:lang w:val="en-US" w:eastAsia="zh-CN"/>
        </w:rPr>
        <w:t>劳动</w:t>
      </w:r>
      <w:r>
        <w:rPr>
          <w:rFonts w:hint="default"/>
          <w:highlight w:val="none"/>
        </w:rPr>
        <w:t>定员工</w:t>
      </w:r>
      <w:r>
        <w:rPr>
          <w:rFonts w:hint="eastAsia"/>
          <w:highlight w:val="none"/>
          <w:lang w:val="en-US" w:eastAsia="zh-CN"/>
        </w:rPr>
        <w:t>2</w:t>
      </w:r>
      <w:r>
        <w:rPr>
          <w:rFonts w:hint="default"/>
          <w:highlight w:val="none"/>
        </w:rPr>
        <w:t>人，</w:t>
      </w:r>
      <w:r>
        <w:rPr>
          <w:rFonts w:hint="eastAsia"/>
          <w:highlight w:val="none"/>
          <w:lang w:val="en-US" w:eastAsia="zh-CN"/>
        </w:rPr>
        <w:t>不</w:t>
      </w:r>
      <w:r>
        <w:rPr>
          <w:rFonts w:hint="default"/>
          <w:highlight w:val="none"/>
        </w:rPr>
        <w:t>食宿</w:t>
      </w:r>
      <w:r>
        <w:rPr>
          <w:rFonts w:hint="eastAsia"/>
          <w:highlight w:val="none"/>
          <w:lang w:eastAsia="zh-CN"/>
        </w:rPr>
        <w:t>，</w:t>
      </w:r>
      <w:r>
        <w:rPr>
          <w:rFonts w:hint="eastAsia"/>
          <w:highlight w:val="none"/>
          <w:lang w:val="en-US" w:eastAsia="zh-CN"/>
        </w:rPr>
        <w:t>依托</w:t>
      </w:r>
      <w:bookmarkStart w:id="104" w:name="OLE_LINK28"/>
      <w:r>
        <w:rPr>
          <w:rFonts w:hint="default"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bookmarkEnd w:id="104"/>
      <w:r>
        <w:rPr>
          <w:rFonts w:hint="eastAsia" w:ascii="Times New Roman" w:hAnsi="Times New Roman" w:cs="Times New Roman"/>
          <w:color w:val="auto"/>
          <w:highlight w:val="none"/>
          <w:u w:val="none" w:color="auto"/>
          <w:lang w:val="en-US" w:eastAsia="zh-CN"/>
        </w:rPr>
        <w:t>办公室生活设施</w:t>
      </w:r>
      <w:r>
        <w:rPr>
          <w:rFonts w:hint="default"/>
          <w:highlight w:val="none"/>
        </w:rPr>
        <w:t>，</w:t>
      </w:r>
      <w:r>
        <w:rPr>
          <w:rFonts w:hint="eastAsia"/>
          <w:highlight w:val="none"/>
          <w:lang w:val="en-US" w:eastAsia="zh-CN"/>
        </w:rPr>
        <w:t>仅</w:t>
      </w:r>
      <w:r>
        <w:rPr>
          <w:rFonts w:hint="eastAsia" w:cs="Times New Roman"/>
          <w:highlight w:val="none"/>
        </w:rPr>
        <w:t>定期对污水处理厂进行巡视、维护</w:t>
      </w:r>
      <w:r>
        <w:rPr>
          <w:rFonts w:hint="default"/>
          <w:highlight w:val="none"/>
        </w:rPr>
        <w:t>。</w:t>
      </w:r>
    </w:p>
    <w:p w14:paraId="7822C30F">
      <w:pPr>
        <w:pStyle w:val="5"/>
        <w:rPr>
          <w:rFonts w:hint="default" w:ascii="Times New Roman" w:hAnsi="Times New Roman" w:cs="Times New Roman"/>
          <w:color w:val="auto"/>
          <w:highlight w:val="none"/>
          <w:u w:val="none" w:color="auto"/>
        </w:rPr>
      </w:pPr>
      <w:bookmarkStart w:id="105" w:name="_Toc7922"/>
      <w:bookmarkStart w:id="106" w:name="_Toc209237368"/>
      <w:r>
        <w:rPr>
          <w:rFonts w:hint="default" w:ascii="Times New Roman" w:hAnsi="Times New Roman" w:cs="Times New Roman"/>
          <w:color w:val="auto"/>
          <w:highlight w:val="none"/>
          <w:u w:val="none" w:color="auto"/>
        </w:rPr>
        <w:t>总平面布置</w:t>
      </w:r>
      <w:bookmarkEnd w:id="105"/>
    </w:p>
    <w:bookmarkEnd w:id="106"/>
    <w:p w14:paraId="4D789EE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本污水处理</w:t>
      </w:r>
      <w:r>
        <w:rPr>
          <w:rFonts w:hint="eastAsia" w:ascii="Times New Roman" w:hAnsi="Times New Roman" w:cs="Times New Roman"/>
          <w:color w:val="auto"/>
          <w:highlight w:val="none"/>
          <w:u w:val="none" w:color="auto"/>
          <w:lang w:val="en-US" w:eastAsia="zh-CN"/>
        </w:rPr>
        <w:t>站</w:t>
      </w:r>
      <w:r>
        <w:rPr>
          <w:rFonts w:hint="default" w:ascii="Times New Roman" w:hAnsi="Times New Roman" w:cs="Times New Roman"/>
          <w:color w:val="auto"/>
          <w:highlight w:val="none"/>
          <w:u w:val="none" w:color="auto"/>
        </w:rPr>
        <w:t>总用地面积为</w:t>
      </w:r>
      <w:r>
        <w:rPr>
          <w:rFonts w:hint="eastAsia" w:ascii="Times New Roman" w:hAnsi="Times New Roman" w:cs="Times New Roman"/>
          <w:color w:val="auto"/>
          <w:highlight w:val="none"/>
          <w:u w:val="none" w:color="auto"/>
          <w:lang w:val="en-US" w:eastAsia="zh-CN"/>
        </w:rPr>
        <w:t>1080</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w:t>
      </w:r>
      <w:bookmarkStart w:id="107" w:name="OLE_LINK29"/>
      <w:r>
        <w:rPr>
          <w:rFonts w:hint="eastAsia" w:ascii="Times New Roman" w:hAnsi="Times New Roman" w:cs="Times New Roman"/>
          <w:color w:val="auto"/>
          <w:highlight w:val="none"/>
          <w:u w:val="none" w:color="auto"/>
          <w:lang w:val="en-US" w:eastAsia="zh-CN"/>
        </w:rPr>
        <w:t>位于</w:t>
      </w:r>
      <w:r>
        <w:rPr>
          <w:rFonts w:hint="default" w:ascii="Times New Roman" w:hAnsi="Times New Roman" w:cs="Times New Roman"/>
          <w:highlight w:val="none"/>
          <w:lang w:val="en-US" w:eastAsia="zh-CN"/>
        </w:rPr>
        <w:t>湘阴佳海绿色食品产业园</w:t>
      </w:r>
      <w:r>
        <w:rPr>
          <w:rFonts w:hint="default" w:ascii="Times New Roman" w:hAnsi="Times New Roman" w:eastAsia="宋体" w:cs="Times New Roman"/>
          <w:color w:val="auto"/>
          <w:highlight w:val="none"/>
          <w:u w:val="none" w:color="auto"/>
          <w:lang w:val="en-US" w:eastAsia="zh-CN"/>
        </w:rPr>
        <w:t>一期</w:t>
      </w:r>
      <w:r>
        <w:rPr>
          <w:rFonts w:hint="eastAsia" w:ascii="Times New Roman" w:hAnsi="Times New Roman" w:cs="Times New Roman"/>
          <w:color w:val="auto"/>
          <w:highlight w:val="none"/>
          <w:u w:val="none" w:color="auto"/>
          <w:lang w:val="en-US" w:eastAsia="zh-CN"/>
        </w:rPr>
        <w:t>东南角</w:t>
      </w:r>
      <w:bookmarkEnd w:id="107"/>
      <w:r>
        <w:rPr>
          <w:rFonts w:hint="eastAsia"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rPr>
        <w:t>主要处理食品工业废水，为了与周边环境协调，减少污水处理厂对周边建设用地的环境影响，本项目收集池、生化处理池、污泥间等均加盖封闭。</w:t>
      </w:r>
    </w:p>
    <w:p w14:paraId="51213C43">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w:t>
      </w:r>
      <w:r>
        <w:rPr>
          <w:rFonts w:hint="eastAsia" w:ascii="Times New Roman" w:hAnsi="Times New Roman" w:cs="Times New Roman"/>
          <w:color w:val="auto"/>
          <w:highlight w:val="none"/>
          <w:u w:val="none" w:color="auto"/>
          <w:lang w:val="en-US" w:eastAsia="zh-CN"/>
        </w:rPr>
        <w:t>北</w:t>
      </w:r>
      <w:r>
        <w:rPr>
          <w:rFonts w:hint="default" w:ascii="Times New Roman" w:hAnsi="Times New Roman" w:cs="Times New Roman"/>
          <w:color w:val="auto"/>
          <w:highlight w:val="none"/>
          <w:u w:val="none" w:color="auto"/>
        </w:rPr>
        <w:t>侧建设封闭式收集池，污水由</w:t>
      </w:r>
      <w:r>
        <w:rPr>
          <w:rFonts w:hint="eastAsia" w:ascii="Times New Roman" w:hAnsi="Times New Roman" w:cs="Times New Roman"/>
          <w:color w:val="auto"/>
          <w:highlight w:val="none"/>
          <w:u w:val="none" w:color="auto"/>
          <w:lang w:val="en-US" w:eastAsia="zh-CN"/>
        </w:rPr>
        <w:t>北</w:t>
      </w:r>
      <w:r>
        <w:rPr>
          <w:rFonts w:hint="default" w:ascii="Times New Roman" w:hAnsi="Times New Roman" w:cs="Times New Roman"/>
          <w:color w:val="auto"/>
          <w:highlight w:val="none"/>
          <w:u w:val="none" w:color="auto"/>
        </w:rPr>
        <w:t>侧进入收集池，后通过提升泵房，泵入北侧封闭式生化处理池，经过处理后，通过尾水管网排入城市管网中，同时建设废气处理设置对恶臭气体进行处置，同时建设加药间及鼓风机房。</w:t>
      </w:r>
    </w:p>
    <w:p w14:paraId="3E7809FB">
      <w:pPr>
        <w:rPr>
          <w:rFonts w:hint="default" w:ascii="Times New Roman" w:hAnsi="Times New Roman" w:cs="Times New Roman"/>
          <w:color w:val="auto"/>
          <w:highlight w:val="none"/>
          <w:u w:val="none" w:color="auto"/>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33EA4F8C">
      <w:pPr>
        <w:pStyle w:val="4"/>
        <w:ind w:firstLine="643"/>
        <w:rPr>
          <w:rFonts w:hint="default" w:ascii="Times New Roman" w:hAnsi="Times New Roman" w:cs="Times New Roman"/>
          <w:color w:val="auto"/>
          <w:highlight w:val="none"/>
          <w:u w:val="none" w:color="auto"/>
        </w:rPr>
      </w:pPr>
      <w:bookmarkStart w:id="108" w:name="_Toc3772"/>
      <w:r>
        <w:rPr>
          <w:rFonts w:hint="default" w:ascii="Times New Roman" w:hAnsi="Times New Roman" w:cs="Times New Roman"/>
          <w:color w:val="auto"/>
          <w:highlight w:val="none"/>
          <w:u w:val="none" w:color="auto"/>
        </w:rPr>
        <w:t>工程分析</w:t>
      </w:r>
      <w:bookmarkEnd w:id="81"/>
      <w:bookmarkEnd w:id="82"/>
      <w:bookmarkEnd w:id="83"/>
      <w:bookmarkEnd w:id="108"/>
    </w:p>
    <w:p w14:paraId="7AADCD22">
      <w:pPr>
        <w:pStyle w:val="5"/>
        <w:rPr>
          <w:rFonts w:hint="default" w:ascii="Times New Roman" w:hAnsi="Times New Roman" w:cs="Times New Roman"/>
          <w:bCs/>
          <w:color w:val="auto"/>
          <w:highlight w:val="none"/>
          <w:u w:val="none" w:color="auto"/>
        </w:rPr>
      </w:pPr>
      <w:bookmarkStart w:id="109" w:name="_Toc5915"/>
      <w:bookmarkStart w:id="110" w:name="_Toc350783560"/>
      <w:bookmarkStart w:id="111" w:name="_Toc490915906"/>
      <w:bookmarkStart w:id="112" w:name="_Toc209237370"/>
      <w:bookmarkStart w:id="113" w:name="_Toc1225"/>
      <w:r>
        <w:rPr>
          <w:rFonts w:hint="default" w:ascii="Times New Roman" w:hAnsi="Times New Roman" w:cs="Times New Roman"/>
          <w:bCs/>
          <w:color w:val="auto"/>
          <w:highlight w:val="none"/>
          <w:u w:val="none" w:color="auto"/>
        </w:rPr>
        <w:t>施工期工程分析和</w:t>
      </w:r>
      <w:r>
        <w:rPr>
          <w:rFonts w:hint="default" w:ascii="Times New Roman" w:hAnsi="Times New Roman" w:cs="Times New Roman"/>
          <w:color w:val="auto"/>
          <w:highlight w:val="none"/>
          <w:u w:val="none" w:color="auto"/>
        </w:rPr>
        <w:t>产污环节分析</w:t>
      </w:r>
      <w:bookmarkEnd w:id="109"/>
    </w:p>
    <w:p w14:paraId="14B167E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eastAsia="宋体" w:cs="Times New Roman"/>
          <w:bCs/>
          <w:kern w:val="0"/>
          <w:sz w:val="24"/>
          <w:szCs w:val="24"/>
          <w:highlight w:val="none"/>
          <w:lang w:val="en-US" w:eastAsia="zh-CN" w:bidi="ar"/>
        </w:rPr>
        <w:t>本项目施工期的工艺流程与产污环节简述如下图4.1-1所示：</w:t>
      </w:r>
    </w:p>
    <w:p w14:paraId="629C30AF">
      <w:pPr>
        <w:pStyle w:val="39"/>
        <w:bidi w:val="0"/>
        <w:rPr>
          <w:rFonts w:hint="default" w:ascii="Times New Roman" w:hAnsi="Times New Roman" w:cs="Times New Roman"/>
          <w:b/>
          <w:bCs/>
          <w:color w:val="auto"/>
          <w:highlight w:val="none"/>
          <w:u w:val="none" w:color="auto"/>
        </w:rPr>
        <w:sectPr>
          <w:footerReference r:id="rId10" w:type="default"/>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object>
          <v:shape id="_x0000_i1029" o:spt="75" type="#_x0000_t75" style="height:198.2pt;width:430.75pt;" o:ole="t" filled="f" o:preferrelative="t" stroked="f" coordsize="21600,21600">
            <v:path/>
            <v:fill on="f" focussize="0,0"/>
            <v:stroke on="f"/>
            <v:imagedata r:id="rId37" cropright="3541f" o:title=""/>
            <o:lock v:ext="edit" aspectratio="t"/>
            <w10:wrap type="none"/>
            <w10:anchorlock/>
          </v:shape>
          <o:OLEObject Type="Embed" ProgID="Visio.Drawing.11" ShapeID="_x0000_i1029" DrawAspect="Content" ObjectID="_1468075729" r:id="rId36">
            <o:LockedField>false</o:LockedField>
          </o:OLEObject>
        </w:object>
      </w:r>
      <w:r>
        <w:rPr>
          <w:rFonts w:hint="default" w:ascii="Times New Roman" w:hAnsi="Times New Roman" w:cs="Times New Roman"/>
          <w:b/>
          <w:bCs/>
          <w:color w:val="auto"/>
          <w:highlight w:val="none"/>
          <w:u w:val="none" w:color="auto"/>
        </w:rPr>
        <w:t>图</w:t>
      </w:r>
      <w:r>
        <w:rPr>
          <w:rFonts w:hint="eastAsia" w:cs="Times New Roman"/>
          <w:b/>
          <w:bCs/>
          <w:color w:val="auto"/>
          <w:highlight w:val="none"/>
          <w:u w:val="none" w:color="auto"/>
          <w:lang w:val="en-US" w:eastAsia="zh-CN"/>
        </w:rPr>
        <w:t>4</w:t>
      </w:r>
      <w:r>
        <w:rPr>
          <w:rFonts w:hint="default" w:ascii="Times New Roman" w:hAnsi="Times New Roman" w:cs="Times New Roman"/>
          <w:b/>
          <w:bCs/>
          <w:color w:val="auto"/>
          <w:highlight w:val="none"/>
          <w:u w:val="none" w:color="auto"/>
        </w:rPr>
        <w:t>.1-1  项目施工期工艺流程图</w:t>
      </w:r>
    </w:p>
    <w:p w14:paraId="52AB135A">
      <w:pPr>
        <w:pStyle w:val="5"/>
        <w:shd w:val="clear"/>
        <w:rPr>
          <w:rFonts w:hint="default" w:ascii="Times New Roman" w:hAnsi="Times New Roman" w:cs="Times New Roman"/>
          <w:color w:val="auto"/>
          <w:highlight w:val="none"/>
          <w:u w:val="none" w:color="auto"/>
        </w:rPr>
      </w:pPr>
      <w:bookmarkStart w:id="114" w:name="_Toc17654"/>
      <w:r>
        <w:rPr>
          <w:rFonts w:hint="default" w:ascii="Times New Roman" w:hAnsi="Times New Roman" w:cs="Times New Roman"/>
          <w:color w:val="auto"/>
          <w:highlight w:val="none"/>
          <w:u w:val="none" w:color="auto"/>
        </w:rPr>
        <w:t>营运期工艺流程和产污环节分析</w:t>
      </w:r>
      <w:bookmarkEnd w:id="110"/>
      <w:bookmarkEnd w:id="111"/>
      <w:bookmarkEnd w:id="112"/>
      <w:bookmarkEnd w:id="113"/>
      <w:bookmarkEnd w:id="114"/>
    </w:p>
    <w:p w14:paraId="4626E4E8">
      <w:pPr>
        <w:pStyle w:val="6"/>
        <w:shd w:val="clear"/>
        <w:bidi w:val="0"/>
        <w:rPr>
          <w:rFonts w:hint="default"/>
          <w:highlight w:val="none"/>
        </w:rPr>
      </w:pPr>
      <w:r>
        <w:rPr>
          <w:rFonts w:hint="default"/>
          <w:highlight w:val="none"/>
        </w:rPr>
        <w:t>污水的可生化性</w:t>
      </w:r>
    </w:p>
    <w:p w14:paraId="5CB246A2">
      <w:pPr>
        <w:shd w:val="clear"/>
        <w:bidi w:val="0"/>
        <w:rPr>
          <w:rFonts w:hint="default"/>
          <w:lang w:val="en-US" w:eastAsia="zh-CN"/>
        </w:rPr>
      </w:pPr>
      <w:r>
        <w:rPr>
          <w:rFonts w:hint="default"/>
          <w:highlight w:val="none"/>
          <w:lang w:val="en-US" w:eastAsia="zh-CN"/>
        </w:rPr>
        <w:t>污水生物处理是以污水中所含污染物作为营养源，利用微生物的代谢作用使污染物被降解，</w:t>
      </w:r>
      <w:r>
        <w:rPr>
          <w:rFonts w:hint="default"/>
          <w:lang w:val="en-US" w:eastAsia="zh-CN"/>
        </w:rPr>
        <w:t>污水得以净化的一种最经济实用同时也是首选的污水处理工艺。而对污水可生化性的判断是污水处理工艺选择的前提。污水能否采用生化处理，取决于污水中各种营养成分的含量及其比例能否满足生物生长的需要，因此首先应判断相关的指标能否满足要求。</w:t>
      </w:r>
    </w:p>
    <w:p w14:paraId="1AAA7A7D">
      <w:pPr>
        <w:bidi w:val="0"/>
        <w:rPr>
          <w:rFonts w:hint="default"/>
          <w:lang w:val="en-US" w:eastAsia="zh-CN"/>
        </w:rPr>
      </w:pPr>
      <w:r>
        <w:rPr>
          <w:rFonts w:hint="eastAsia"/>
          <w:lang w:val="en-US" w:eastAsia="zh-CN"/>
        </w:rPr>
        <w:t>BOD</w:t>
      </w:r>
      <w:r>
        <w:rPr>
          <w:rFonts w:hint="eastAsia"/>
          <w:vertAlign w:val="subscript"/>
          <w:lang w:val="en-US" w:eastAsia="zh-CN"/>
        </w:rPr>
        <w:t>5</w:t>
      </w:r>
      <w:r>
        <w:rPr>
          <w:rFonts w:hint="default"/>
          <w:lang w:val="en-US" w:eastAsia="zh-CN"/>
        </w:rPr>
        <w:t>和</w:t>
      </w:r>
      <w:r>
        <w:rPr>
          <w:rFonts w:hint="eastAsia"/>
          <w:lang w:val="en-US" w:eastAsia="zh-CN"/>
        </w:rPr>
        <w:t>COD</w:t>
      </w:r>
      <w:r>
        <w:rPr>
          <w:rFonts w:hint="eastAsia"/>
          <w:vertAlign w:val="subscript"/>
          <w:lang w:val="en-US" w:eastAsia="zh-CN"/>
        </w:rPr>
        <w:t>cr</w:t>
      </w:r>
      <w:r>
        <w:rPr>
          <w:rFonts w:hint="default"/>
          <w:lang w:val="en-US" w:eastAsia="zh-CN"/>
        </w:rPr>
        <w:t>是污水生物处理过程中常用的两个水质指标，采用</w:t>
      </w:r>
      <w:r>
        <w:rPr>
          <w:rFonts w:hint="eastAsia"/>
          <w:lang w:val="en-US" w:eastAsia="zh-CN"/>
        </w:rPr>
        <w:t>BOD</w:t>
      </w:r>
      <w:r>
        <w:rPr>
          <w:rFonts w:hint="eastAsia"/>
          <w:vertAlign w:val="subscript"/>
          <w:lang w:val="en-US" w:eastAsia="zh-CN"/>
        </w:rPr>
        <w:t>5</w:t>
      </w:r>
      <w:r>
        <w:rPr>
          <w:rFonts w:hint="default"/>
          <w:lang w:val="en-US" w:eastAsia="zh-CN"/>
        </w:rPr>
        <w:t>/COD比值评价污水的可生化性是广泛采用的一种最为简易的传统方法。一般情况下，</w:t>
      </w:r>
      <w:r>
        <w:rPr>
          <w:rFonts w:hint="eastAsia"/>
          <w:lang w:val="en-US" w:eastAsia="zh-CN"/>
        </w:rPr>
        <w:t>BOD</w:t>
      </w:r>
      <w:r>
        <w:rPr>
          <w:rFonts w:hint="eastAsia"/>
          <w:vertAlign w:val="subscript"/>
          <w:lang w:val="en-US" w:eastAsia="zh-CN"/>
        </w:rPr>
        <w:t>5</w:t>
      </w:r>
      <w:r>
        <w:rPr>
          <w:rFonts w:hint="default"/>
          <w:lang w:val="en-US" w:eastAsia="zh-CN"/>
        </w:rPr>
        <w:t>/COD值越大，说明污水可生物处理性越好。目前国内外多按照下表中所列的数据来评价污水的可生物降解性能。</w:t>
      </w:r>
    </w:p>
    <w:p w14:paraId="4765ECB9">
      <w:pPr>
        <w:pStyle w:val="39"/>
        <w:bidi w:val="0"/>
        <w:rPr>
          <w:rFonts w:hint="default"/>
          <w:lang w:val="en-US" w:eastAsia="zh-CN"/>
        </w:rPr>
      </w:pPr>
      <w:r>
        <w:rPr>
          <w:rFonts w:hint="default"/>
          <w:lang w:val="en-US" w:eastAsia="zh-CN"/>
        </w:rPr>
        <w:t>表</w:t>
      </w:r>
      <w:r>
        <w:rPr>
          <w:rFonts w:hint="eastAsia"/>
          <w:lang w:val="en-US" w:eastAsia="zh-CN"/>
        </w:rPr>
        <w:t>4.2-1</w:t>
      </w:r>
      <w:r>
        <w:rPr>
          <w:rFonts w:hint="default"/>
          <w:lang w:val="en-US" w:eastAsia="zh-CN"/>
        </w:rPr>
        <w:t>可生化性判断表</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4C60B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14:paraId="78433D50">
            <w:pPr>
              <w:pStyle w:val="42"/>
              <w:keepNext w:val="0"/>
              <w:keepLines w:val="0"/>
              <w:suppressLineNumbers w:val="0"/>
              <w:bidi w:val="0"/>
              <w:spacing w:before="0" w:beforeAutospacing="0" w:after="0" w:afterAutospacing="0"/>
              <w:rPr>
                <w:rFonts w:hint="default"/>
              </w:rPr>
            </w:pPr>
            <w:r>
              <w:rPr>
                <w:rFonts w:hint="eastAsia"/>
                <w:lang w:eastAsia="zh-CN"/>
              </w:rPr>
              <w:t>BOD</w:t>
            </w:r>
            <w:r>
              <w:rPr>
                <w:rFonts w:hint="eastAsia"/>
                <w:vertAlign w:val="subscript"/>
                <w:lang w:eastAsia="zh-CN"/>
              </w:rPr>
              <w:t>5</w:t>
            </w:r>
            <w:r>
              <w:rPr>
                <w:rFonts w:hint="default"/>
              </w:rPr>
              <w:t>/COD</w:t>
            </w:r>
          </w:p>
        </w:tc>
        <w:tc>
          <w:tcPr>
            <w:tcW w:w="999" w:type="pct"/>
            <w:vAlign w:val="center"/>
          </w:tcPr>
          <w:p w14:paraId="1FEBD845">
            <w:pPr>
              <w:pStyle w:val="42"/>
              <w:keepNext w:val="0"/>
              <w:keepLines w:val="0"/>
              <w:suppressLineNumbers w:val="0"/>
              <w:bidi w:val="0"/>
              <w:spacing w:before="0" w:beforeAutospacing="0" w:after="0" w:afterAutospacing="0"/>
              <w:rPr>
                <w:rFonts w:hint="default"/>
              </w:rPr>
            </w:pPr>
            <w:r>
              <w:rPr>
                <w:rFonts w:hint="default"/>
              </w:rPr>
              <w:t>＞0.45</w:t>
            </w:r>
          </w:p>
        </w:tc>
        <w:tc>
          <w:tcPr>
            <w:tcW w:w="999" w:type="pct"/>
            <w:vAlign w:val="center"/>
          </w:tcPr>
          <w:p w14:paraId="2076661C">
            <w:pPr>
              <w:pStyle w:val="42"/>
              <w:keepNext w:val="0"/>
              <w:keepLines w:val="0"/>
              <w:suppressLineNumbers w:val="0"/>
              <w:bidi w:val="0"/>
              <w:spacing w:before="0" w:beforeAutospacing="0" w:after="0" w:afterAutospacing="0"/>
              <w:rPr>
                <w:rFonts w:hint="default"/>
              </w:rPr>
            </w:pPr>
            <w:r>
              <w:rPr>
                <w:rFonts w:hint="default"/>
              </w:rPr>
              <w:t>0.3～0.45</w:t>
            </w:r>
          </w:p>
        </w:tc>
        <w:tc>
          <w:tcPr>
            <w:tcW w:w="1000" w:type="pct"/>
            <w:vAlign w:val="center"/>
          </w:tcPr>
          <w:p w14:paraId="2CD95970">
            <w:pPr>
              <w:pStyle w:val="42"/>
              <w:keepNext w:val="0"/>
              <w:keepLines w:val="0"/>
              <w:suppressLineNumbers w:val="0"/>
              <w:bidi w:val="0"/>
              <w:spacing w:before="0" w:beforeAutospacing="0" w:after="0" w:afterAutospacing="0"/>
              <w:rPr>
                <w:rFonts w:hint="default"/>
              </w:rPr>
            </w:pPr>
            <w:r>
              <w:rPr>
                <w:rFonts w:hint="default"/>
              </w:rPr>
              <w:t>0.3～0.25</w:t>
            </w:r>
          </w:p>
        </w:tc>
        <w:tc>
          <w:tcPr>
            <w:tcW w:w="1000" w:type="pct"/>
            <w:vAlign w:val="center"/>
          </w:tcPr>
          <w:p w14:paraId="06429FE5">
            <w:pPr>
              <w:pStyle w:val="42"/>
              <w:keepNext w:val="0"/>
              <w:keepLines w:val="0"/>
              <w:suppressLineNumbers w:val="0"/>
              <w:bidi w:val="0"/>
              <w:spacing w:before="0" w:beforeAutospacing="0" w:after="0" w:afterAutospacing="0"/>
              <w:rPr>
                <w:rFonts w:hint="default"/>
              </w:rPr>
            </w:pPr>
            <w:r>
              <w:rPr>
                <w:rFonts w:hint="default"/>
              </w:rPr>
              <w:t>＜0.25</w:t>
            </w:r>
          </w:p>
        </w:tc>
      </w:tr>
      <w:tr w14:paraId="64966A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14:paraId="00FADFF3">
            <w:pPr>
              <w:pStyle w:val="42"/>
              <w:keepNext w:val="0"/>
              <w:keepLines w:val="0"/>
              <w:suppressLineNumbers w:val="0"/>
              <w:bidi w:val="0"/>
              <w:spacing w:before="0" w:beforeAutospacing="0" w:after="0" w:afterAutospacing="0"/>
              <w:rPr>
                <w:rFonts w:hint="default"/>
              </w:rPr>
            </w:pPr>
            <w:r>
              <w:rPr>
                <w:rFonts w:hint="default"/>
              </w:rPr>
              <w:t>可生化性</w:t>
            </w:r>
          </w:p>
        </w:tc>
        <w:tc>
          <w:tcPr>
            <w:tcW w:w="999" w:type="pct"/>
            <w:vAlign w:val="center"/>
          </w:tcPr>
          <w:p w14:paraId="29B767DA">
            <w:pPr>
              <w:pStyle w:val="42"/>
              <w:keepNext w:val="0"/>
              <w:keepLines w:val="0"/>
              <w:suppressLineNumbers w:val="0"/>
              <w:bidi w:val="0"/>
              <w:spacing w:before="0" w:beforeAutospacing="0" w:after="0" w:afterAutospacing="0"/>
              <w:rPr>
                <w:rFonts w:hint="default"/>
              </w:rPr>
            </w:pPr>
            <w:r>
              <w:rPr>
                <w:rFonts w:hint="default"/>
              </w:rPr>
              <w:t>好</w:t>
            </w:r>
          </w:p>
        </w:tc>
        <w:tc>
          <w:tcPr>
            <w:tcW w:w="999" w:type="pct"/>
            <w:vAlign w:val="center"/>
          </w:tcPr>
          <w:p w14:paraId="0F512868">
            <w:pPr>
              <w:pStyle w:val="42"/>
              <w:keepNext w:val="0"/>
              <w:keepLines w:val="0"/>
              <w:suppressLineNumbers w:val="0"/>
              <w:bidi w:val="0"/>
              <w:spacing w:before="0" w:beforeAutospacing="0" w:after="0" w:afterAutospacing="0"/>
              <w:rPr>
                <w:rFonts w:hint="default"/>
              </w:rPr>
            </w:pPr>
            <w:r>
              <w:rPr>
                <w:rFonts w:hint="default"/>
              </w:rPr>
              <w:t>较好</w:t>
            </w:r>
          </w:p>
        </w:tc>
        <w:tc>
          <w:tcPr>
            <w:tcW w:w="1000" w:type="pct"/>
            <w:vAlign w:val="center"/>
          </w:tcPr>
          <w:p w14:paraId="36674BB9">
            <w:pPr>
              <w:pStyle w:val="42"/>
              <w:keepNext w:val="0"/>
              <w:keepLines w:val="0"/>
              <w:suppressLineNumbers w:val="0"/>
              <w:bidi w:val="0"/>
              <w:spacing w:before="0" w:beforeAutospacing="0" w:after="0" w:afterAutospacing="0"/>
              <w:rPr>
                <w:rFonts w:hint="default"/>
              </w:rPr>
            </w:pPr>
            <w:r>
              <w:rPr>
                <w:rFonts w:hint="default"/>
              </w:rPr>
              <w:t>较难</w:t>
            </w:r>
          </w:p>
        </w:tc>
        <w:tc>
          <w:tcPr>
            <w:tcW w:w="1000" w:type="pct"/>
            <w:vAlign w:val="center"/>
          </w:tcPr>
          <w:p w14:paraId="1A8EEFBE">
            <w:pPr>
              <w:pStyle w:val="42"/>
              <w:keepNext w:val="0"/>
              <w:keepLines w:val="0"/>
              <w:suppressLineNumbers w:val="0"/>
              <w:bidi w:val="0"/>
              <w:spacing w:before="0" w:beforeAutospacing="0" w:after="0" w:afterAutospacing="0"/>
              <w:rPr>
                <w:rFonts w:hint="default"/>
              </w:rPr>
            </w:pPr>
            <w:r>
              <w:rPr>
                <w:rFonts w:hint="default"/>
              </w:rPr>
              <w:t>不宜生化</w:t>
            </w:r>
          </w:p>
        </w:tc>
      </w:tr>
    </w:tbl>
    <w:p w14:paraId="5E148510">
      <w:pPr>
        <w:bidi w:val="0"/>
        <w:rPr>
          <w:rFonts w:hint="default"/>
          <w:lang w:val="en-US" w:eastAsia="zh-CN"/>
        </w:rPr>
      </w:pPr>
      <w:r>
        <w:rPr>
          <w:rFonts w:hint="default"/>
          <w:lang w:val="en-US" w:eastAsia="zh-CN"/>
        </w:rPr>
        <w:t>本工程污水处理厂设计进水水质COD=</w:t>
      </w:r>
      <w:r>
        <w:rPr>
          <w:rFonts w:hint="eastAsia"/>
          <w:lang w:val="en-US" w:eastAsia="zh-CN"/>
        </w:rPr>
        <w:t>6</w:t>
      </w:r>
      <w:r>
        <w:rPr>
          <w:rFonts w:hint="default"/>
          <w:lang w:val="en-US" w:eastAsia="zh-CN"/>
        </w:rPr>
        <w:t>000mg/L，</w:t>
      </w:r>
      <w:r>
        <w:rPr>
          <w:rFonts w:hint="eastAsia"/>
          <w:lang w:val="en-US" w:eastAsia="zh-CN"/>
        </w:rPr>
        <w:t>BOD</w:t>
      </w:r>
      <w:r>
        <w:rPr>
          <w:rFonts w:hint="eastAsia"/>
          <w:vertAlign w:val="subscript"/>
          <w:lang w:val="en-US" w:eastAsia="zh-CN"/>
        </w:rPr>
        <w:t>5</w:t>
      </w:r>
      <w:r>
        <w:rPr>
          <w:rFonts w:hint="default"/>
          <w:lang w:val="en-US" w:eastAsia="zh-CN"/>
        </w:rPr>
        <w:t>=</w:t>
      </w:r>
      <w:r>
        <w:rPr>
          <w:rFonts w:hint="eastAsia"/>
          <w:lang w:val="en-US" w:eastAsia="zh-CN"/>
        </w:rPr>
        <w:t>25</w:t>
      </w:r>
      <w:r>
        <w:rPr>
          <w:rFonts w:hint="default"/>
          <w:lang w:val="en-US" w:eastAsia="zh-CN"/>
        </w:rPr>
        <w:t>00mg/L，污水中</w:t>
      </w:r>
      <w:r>
        <w:rPr>
          <w:rFonts w:hint="eastAsia"/>
          <w:lang w:val="en-US" w:eastAsia="zh-CN"/>
        </w:rPr>
        <w:t>BOD</w:t>
      </w:r>
      <w:r>
        <w:rPr>
          <w:rFonts w:hint="eastAsia"/>
          <w:vertAlign w:val="subscript"/>
          <w:lang w:val="en-US" w:eastAsia="zh-CN"/>
        </w:rPr>
        <w:t>5</w:t>
      </w:r>
      <w:r>
        <w:rPr>
          <w:rFonts w:hint="default"/>
          <w:lang w:val="en-US" w:eastAsia="zh-CN"/>
        </w:rPr>
        <w:t>/COD=0.4</w:t>
      </w:r>
      <w:r>
        <w:rPr>
          <w:rFonts w:hint="eastAsia"/>
          <w:lang w:val="en-US" w:eastAsia="zh-CN"/>
        </w:rPr>
        <w:t>16</w:t>
      </w:r>
      <w:r>
        <w:rPr>
          <w:rFonts w:hint="default"/>
          <w:lang w:val="en-US" w:eastAsia="zh-CN"/>
        </w:rPr>
        <w:t>，从污水可生化性考虑，水质属于生物降解性能较好的范畴。</w:t>
      </w:r>
    </w:p>
    <w:p w14:paraId="4243F6E9">
      <w:pPr>
        <w:pStyle w:val="6"/>
        <w:bidi w:val="0"/>
        <w:rPr>
          <w:rFonts w:hint="default"/>
          <w:lang w:val="en-US" w:eastAsia="zh-CN"/>
        </w:rPr>
      </w:pPr>
      <w:r>
        <w:rPr>
          <w:rFonts w:hint="default"/>
          <w:lang w:val="en-US" w:eastAsia="zh-CN"/>
        </w:rPr>
        <w:t>污染物去除及处理工艺要求</w:t>
      </w:r>
    </w:p>
    <w:p w14:paraId="07B278F5">
      <w:pPr>
        <w:bidi w:val="0"/>
        <w:rPr>
          <w:rFonts w:hint="default"/>
          <w:lang w:val="en-US" w:eastAsia="zh-CN"/>
        </w:rPr>
      </w:pPr>
      <w:r>
        <w:rPr>
          <w:rFonts w:hint="default"/>
          <w:lang w:val="en-US" w:eastAsia="zh-CN"/>
        </w:rPr>
        <w:t>污水处理的目的是去除水中的污染物，污水中的主要污染物有</w:t>
      </w:r>
      <w:r>
        <w:rPr>
          <w:rFonts w:hint="eastAsia"/>
          <w:lang w:val="en-US" w:eastAsia="zh-CN"/>
        </w:rPr>
        <w:t>BOD</w:t>
      </w:r>
      <w:r>
        <w:rPr>
          <w:rFonts w:hint="eastAsia"/>
          <w:vertAlign w:val="subscript"/>
          <w:lang w:val="en-US" w:eastAsia="zh-CN"/>
        </w:rPr>
        <w:t>5</w:t>
      </w:r>
      <w:r>
        <w:rPr>
          <w:rFonts w:hint="default"/>
          <w:lang w:val="en-US" w:eastAsia="zh-CN"/>
        </w:rPr>
        <w:t>、</w:t>
      </w:r>
      <w:r>
        <w:rPr>
          <w:rFonts w:hint="eastAsia"/>
          <w:lang w:val="en-US" w:eastAsia="zh-CN"/>
        </w:rPr>
        <w:t>COD</w:t>
      </w:r>
      <w:r>
        <w:rPr>
          <w:rFonts w:hint="eastAsia"/>
          <w:vertAlign w:val="subscript"/>
          <w:lang w:val="en-US" w:eastAsia="zh-CN"/>
        </w:rPr>
        <w:t>cr</w:t>
      </w:r>
      <w:r>
        <w:rPr>
          <w:rFonts w:hint="default"/>
          <w:lang w:val="en-US" w:eastAsia="zh-CN"/>
        </w:rPr>
        <w:t>、SS、N和P等。首先需要分析各种污染物的去除机理和所能达到的去除程度。</w:t>
      </w:r>
    </w:p>
    <w:p w14:paraId="3A2700E8">
      <w:pPr>
        <w:bidi w:val="0"/>
        <w:rPr>
          <w:rFonts w:hint="default"/>
          <w:lang w:val="en-US" w:eastAsia="zh-CN"/>
        </w:rPr>
      </w:pPr>
      <w:r>
        <w:rPr>
          <w:rFonts w:hint="default"/>
          <w:lang w:val="en-US" w:eastAsia="zh-CN"/>
        </w:rPr>
        <w:t>（1）COD的去除</w:t>
      </w:r>
    </w:p>
    <w:p w14:paraId="57024BD2">
      <w:pPr>
        <w:bidi w:val="0"/>
        <w:rPr>
          <w:rFonts w:hint="default"/>
          <w:lang w:val="en-US" w:eastAsia="zh-CN"/>
        </w:rPr>
      </w:pPr>
      <w:r>
        <w:rPr>
          <w:rFonts w:hint="default"/>
          <w:lang w:val="en-US" w:eastAsia="zh-CN"/>
        </w:rPr>
        <w:t>污水中COD去除的原理与</w:t>
      </w:r>
      <w:r>
        <w:rPr>
          <w:rFonts w:hint="eastAsia"/>
          <w:lang w:val="en-US" w:eastAsia="zh-CN"/>
        </w:rPr>
        <w:t>BOD</w:t>
      </w:r>
      <w:r>
        <w:rPr>
          <w:rFonts w:hint="eastAsia"/>
          <w:vertAlign w:val="subscript"/>
          <w:lang w:val="en-US" w:eastAsia="zh-CN"/>
        </w:rPr>
        <w:t>5</w:t>
      </w:r>
      <w:r>
        <w:rPr>
          <w:rFonts w:hint="default"/>
          <w:lang w:val="en-US" w:eastAsia="zh-CN"/>
        </w:rPr>
        <w:t>基本相同。COD的去除率取决于原污水的可生化性，它与污水的组成有关。对于那些主要以生活污水及其成分与生活污水相近的工业废水组成的城市污水，</w:t>
      </w:r>
      <w:r>
        <w:rPr>
          <w:rFonts w:hint="eastAsia"/>
          <w:lang w:val="en-US" w:eastAsia="zh-CN"/>
        </w:rPr>
        <w:t>BOD</w:t>
      </w:r>
      <w:r>
        <w:rPr>
          <w:rFonts w:hint="eastAsia"/>
          <w:vertAlign w:val="subscript"/>
          <w:lang w:val="en-US" w:eastAsia="zh-CN"/>
        </w:rPr>
        <w:t>5</w:t>
      </w:r>
      <w:r>
        <w:rPr>
          <w:rFonts w:hint="default"/>
          <w:lang w:val="en-US" w:eastAsia="zh-CN"/>
        </w:rPr>
        <w:t>/COD比值往往接近0.5甚至大于0.5，污水的可生化性较好，出水COD值可以控制在较低的水平。而成分主要以工业废水为主的城市污水，或</w:t>
      </w:r>
      <w:r>
        <w:rPr>
          <w:rFonts w:hint="eastAsia"/>
          <w:lang w:val="en-US" w:eastAsia="zh-CN"/>
        </w:rPr>
        <w:t>BOD</w:t>
      </w:r>
      <w:r>
        <w:rPr>
          <w:rFonts w:hint="eastAsia"/>
          <w:vertAlign w:val="subscript"/>
          <w:lang w:val="en-US" w:eastAsia="zh-CN"/>
        </w:rPr>
        <w:t>5</w:t>
      </w:r>
      <w:r>
        <w:rPr>
          <w:rFonts w:hint="default"/>
          <w:lang w:val="en-US" w:eastAsia="zh-CN"/>
        </w:rPr>
        <w:t>/COD比值较小的城市污水，污水的可生化性较差，处理后污水中剩余的COD会较高。</w:t>
      </w:r>
    </w:p>
    <w:p w14:paraId="75D66378">
      <w:pPr>
        <w:bidi w:val="0"/>
        <w:rPr>
          <w:rFonts w:hint="default"/>
          <w:lang w:val="en-US" w:eastAsia="zh-CN"/>
        </w:rPr>
      </w:pPr>
      <w:r>
        <w:rPr>
          <w:rFonts w:hint="default"/>
          <w:lang w:val="en-US" w:eastAsia="zh-CN"/>
        </w:rPr>
        <w:t>（2）</w:t>
      </w:r>
      <w:r>
        <w:rPr>
          <w:rFonts w:hint="eastAsia"/>
          <w:lang w:val="en-US" w:eastAsia="zh-CN"/>
        </w:rPr>
        <w:t>BOD</w:t>
      </w:r>
      <w:r>
        <w:rPr>
          <w:rFonts w:hint="eastAsia"/>
          <w:vertAlign w:val="subscript"/>
          <w:lang w:val="en-US" w:eastAsia="zh-CN"/>
        </w:rPr>
        <w:t>5</w:t>
      </w:r>
      <w:r>
        <w:rPr>
          <w:rFonts w:hint="default"/>
          <w:lang w:val="en-US" w:eastAsia="zh-CN"/>
        </w:rPr>
        <w:t>的去除</w:t>
      </w:r>
    </w:p>
    <w:p w14:paraId="4A998775">
      <w:pPr>
        <w:bidi w:val="0"/>
        <w:rPr>
          <w:rFonts w:hint="default"/>
          <w:lang w:val="en-US" w:eastAsia="zh-CN"/>
        </w:rPr>
      </w:pPr>
      <w:r>
        <w:rPr>
          <w:rFonts w:hint="default"/>
          <w:lang w:val="en-US" w:eastAsia="zh-CN"/>
        </w:rPr>
        <w:t>污水中</w:t>
      </w:r>
      <w:r>
        <w:rPr>
          <w:rFonts w:hint="eastAsia"/>
          <w:lang w:val="en-US" w:eastAsia="zh-CN"/>
        </w:rPr>
        <w:t>BOD</w:t>
      </w:r>
      <w:r>
        <w:rPr>
          <w:rFonts w:hint="eastAsia"/>
          <w:vertAlign w:val="subscript"/>
          <w:lang w:val="en-US" w:eastAsia="zh-CN"/>
        </w:rPr>
        <w:t>5</w:t>
      </w:r>
      <w:r>
        <w:rPr>
          <w:rFonts w:hint="default"/>
          <w:lang w:val="en-US" w:eastAsia="zh-CN"/>
        </w:rPr>
        <w:t>的去除是靠微生物的吸附作用和代谢作用，然后将污泥与水进行分离来完成的。活性污泥中的微生物在有氧的条件下将污水中的一部分有机物用于合成新的细胞，将另一部分有机物进行分解代谢以便获得细胞合成所需的能量，其最终产物是CO2和H2O等稳定物质。在这种合成代谢与分解代谢的过程中，溶解性有机物（如低分子有机酸等易降解有机物）直接进入细胞内部被利用，而非溶解性有机物则首先被吸附在微生物表面，然后被酶水解后进入细胞内部被利用。由此可见，微生物的好氧代谢作用对污水中的溶解性有机物和非溶解性有机物都起作用，并且代谢产物是无害的稳定物质，因此，可以使处理后污水中的残余</w:t>
      </w:r>
      <w:r>
        <w:rPr>
          <w:rFonts w:hint="eastAsia"/>
          <w:lang w:val="en-US" w:eastAsia="zh-CN"/>
        </w:rPr>
        <w:t>BOD</w:t>
      </w:r>
      <w:r>
        <w:rPr>
          <w:rFonts w:hint="eastAsia"/>
          <w:vertAlign w:val="subscript"/>
          <w:lang w:val="en-US" w:eastAsia="zh-CN"/>
        </w:rPr>
        <w:t>5</w:t>
      </w:r>
      <w:r>
        <w:rPr>
          <w:rFonts w:hint="default"/>
          <w:lang w:val="en-US" w:eastAsia="zh-CN"/>
        </w:rPr>
        <w:t>浓度很低。根据国内外有关设计资料，在污泥负荷为0.3kg</w:t>
      </w:r>
      <w:r>
        <w:rPr>
          <w:rFonts w:hint="eastAsia"/>
          <w:lang w:val="en-US" w:eastAsia="zh-CN"/>
        </w:rPr>
        <w:t>BOD</w:t>
      </w:r>
      <w:r>
        <w:rPr>
          <w:rFonts w:hint="eastAsia"/>
          <w:vertAlign w:val="subscript"/>
          <w:lang w:val="en-US" w:eastAsia="zh-CN"/>
        </w:rPr>
        <w:t>5</w:t>
      </w:r>
      <w:r>
        <w:rPr>
          <w:rFonts w:hint="default"/>
          <w:lang w:val="en-US" w:eastAsia="zh-CN"/>
        </w:rPr>
        <w:t>/（kgMLSS·d）以下时，就很容易使得出水</w:t>
      </w:r>
      <w:r>
        <w:rPr>
          <w:rFonts w:hint="eastAsia"/>
          <w:lang w:val="en-US" w:eastAsia="zh-CN"/>
        </w:rPr>
        <w:t>BOD</w:t>
      </w:r>
      <w:r>
        <w:rPr>
          <w:rFonts w:hint="eastAsia"/>
          <w:vertAlign w:val="subscript"/>
          <w:lang w:val="en-US" w:eastAsia="zh-CN"/>
        </w:rPr>
        <w:t>5</w:t>
      </w:r>
      <w:r>
        <w:rPr>
          <w:rFonts w:hint="default"/>
          <w:lang w:val="en-US" w:eastAsia="zh-CN"/>
        </w:rPr>
        <w:t>保持在30mg/L以下。</w:t>
      </w:r>
    </w:p>
    <w:p w14:paraId="62AD709A">
      <w:pPr>
        <w:bidi w:val="0"/>
        <w:rPr>
          <w:rFonts w:hint="default"/>
          <w:lang w:val="en-US" w:eastAsia="zh-CN"/>
        </w:rPr>
      </w:pPr>
      <w:r>
        <w:rPr>
          <w:rFonts w:hint="default"/>
          <w:lang w:val="en-US" w:eastAsia="zh-CN"/>
        </w:rPr>
        <w:t>（3）SS的去除</w:t>
      </w:r>
    </w:p>
    <w:p w14:paraId="07C92FF9">
      <w:pPr>
        <w:bidi w:val="0"/>
        <w:rPr>
          <w:rFonts w:hint="default"/>
          <w:lang w:val="en-US" w:eastAsia="zh-CN"/>
        </w:rPr>
      </w:pPr>
      <w:r>
        <w:rPr>
          <w:rFonts w:hint="default"/>
          <w:lang w:val="en-US" w:eastAsia="zh-CN"/>
        </w:rPr>
        <w:t>污水中SS的去除主要靠沉淀作用。污水中的无机颗粒和有机颗粒靠自然沉淀作用或靠活性污泥絮体的吸附、网络作用，与活性污泥絮体同时沉淀被去除。污水厂尾水中悬浮物浓度不仅涉及到出水SS指标，出水中的</w:t>
      </w:r>
      <w:r>
        <w:rPr>
          <w:rFonts w:hint="eastAsia"/>
          <w:lang w:val="en-US" w:eastAsia="zh-CN"/>
        </w:rPr>
        <w:t>BOD</w:t>
      </w:r>
      <w:r>
        <w:rPr>
          <w:rFonts w:hint="eastAsia"/>
          <w:vertAlign w:val="subscript"/>
          <w:lang w:val="en-US" w:eastAsia="zh-CN"/>
        </w:rPr>
        <w:t>5</w:t>
      </w:r>
      <w:r>
        <w:rPr>
          <w:rFonts w:hint="default"/>
          <w:lang w:val="en-US" w:eastAsia="zh-CN"/>
        </w:rPr>
        <w:t>、COD、TP等指标也与之有关。这是因为组成水中悬浮物的主要是活性污泥絮体，其本身的有机成分就很高，较高的悬浮物含量会使得水中的</w:t>
      </w:r>
      <w:r>
        <w:rPr>
          <w:rFonts w:hint="eastAsia"/>
          <w:lang w:val="en-US" w:eastAsia="zh-CN"/>
        </w:rPr>
        <w:t>BOD</w:t>
      </w:r>
      <w:r>
        <w:rPr>
          <w:rFonts w:hint="eastAsia"/>
          <w:vertAlign w:val="subscript"/>
          <w:lang w:val="en-US" w:eastAsia="zh-CN"/>
        </w:rPr>
        <w:t>5</w:t>
      </w:r>
      <w:r>
        <w:rPr>
          <w:rFonts w:hint="default"/>
          <w:lang w:val="en-US" w:eastAsia="zh-CN"/>
        </w:rPr>
        <w:t>、COD、TP均增加。因此，控制污水厂尾水的SS指标是最基本的，也是很重要的。为了降低出水中的悬浮物浓度，应在工程中采取适当的措施，例如采用适当的污泥负荷以保持活性污泥的凝聚及沉降性能、采用较小的二次沉淀池表面负荷、采用较低的出水堰负荷、充分利用活性污泥悬浮层的吸附网络作用等。在污水处理方案选用合理、工艺参数取值恰当和单体设计优化的条件下，完全能够使尾水SS指标达到</w:t>
      </w:r>
      <w:r>
        <w:rPr>
          <w:rFonts w:hint="eastAsia"/>
          <w:lang w:val="en-US" w:eastAsia="zh-CN"/>
        </w:rPr>
        <w:t>4</w:t>
      </w:r>
      <w:r>
        <w:rPr>
          <w:rFonts w:hint="default"/>
          <w:lang w:val="en-US" w:eastAsia="zh-CN"/>
        </w:rPr>
        <w:t>00mg/L以下，满足</w:t>
      </w:r>
      <w:r>
        <w:rPr>
          <w:rFonts w:hint="eastAsia"/>
          <w:lang w:val="en-US" w:eastAsia="zh-CN"/>
        </w:rPr>
        <w:t>湘阴县</w:t>
      </w:r>
      <w:r>
        <w:rPr>
          <w:rFonts w:hint="default"/>
          <w:lang w:val="en-US" w:eastAsia="zh-CN"/>
        </w:rPr>
        <w:t>第二污水处理厂纳管要求。</w:t>
      </w:r>
    </w:p>
    <w:p w14:paraId="606D6BB9">
      <w:pPr>
        <w:bidi w:val="0"/>
        <w:rPr>
          <w:rFonts w:hint="default"/>
          <w:lang w:val="en-US" w:eastAsia="zh-CN"/>
        </w:rPr>
      </w:pPr>
      <w:r>
        <w:rPr>
          <w:rFonts w:hint="default"/>
          <w:lang w:val="en-US" w:eastAsia="zh-CN"/>
        </w:rPr>
        <w:t>（4）氨氮的去除</w:t>
      </w:r>
    </w:p>
    <w:p w14:paraId="7C124078">
      <w:pPr>
        <w:bidi w:val="0"/>
        <w:rPr>
          <w:rFonts w:hint="default"/>
          <w:lang w:val="en-US" w:eastAsia="zh-CN"/>
        </w:rPr>
      </w:pPr>
      <w:r>
        <w:rPr>
          <w:rFonts w:hint="default"/>
          <w:lang w:val="en-US" w:eastAsia="zh-CN"/>
        </w:rPr>
        <w:t>污水去除氨氮方法主要有物理化学法和生物法两大类，在市政污水处理行业中生物法去除氨氮是主流，也是城市污水处理中经济和常用的方法，从经济、管理等方面考虑，氨氮的去除应该采用生物处理的方法。氮是蛋白质不可缺少的组成部分，因此广泛存在于城市污水之中。在原污水中，氮以NH4</w:t>
      </w:r>
      <w:r>
        <w:rPr>
          <w:rFonts w:hint="default"/>
          <w:sz w:val="24"/>
          <w:szCs w:val="24"/>
          <w:vertAlign w:val="superscript"/>
          <w:lang w:val="en-US" w:eastAsia="zh-CN"/>
        </w:rPr>
        <w:t>+</w:t>
      </w:r>
      <w:r>
        <w:rPr>
          <w:rFonts w:hint="default"/>
          <w:lang w:val="en-US" w:eastAsia="zh-CN"/>
        </w:rPr>
        <w:t>-N及有机氮的形式存在，这两种形式的氮合在一起称之为凯氏氮，用TKN表示。</w:t>
      </w:r>
    </w:p>
    <w:p w14:paraId="0047FC2D">
      <w:pPr>
        <w:bidi w:val="0"/>
        <w:rPr>
          <w:rFonts w:hint="default"/>
          <w:lang w:val="en-US" w:eastAsia="zh-CN"/>
        </w:rPr>
      </w:pPr>
      <w:r>
        <w:rPr>
          <w:rFonts w:hint="default"/>
          <w:lang w:val="en-US" w:eastAsia="zh-CN"/>
        </w:rPr>
        <w:t>而原污水中的</w:t>
      </w:r>
      <w:r>
        <w:rPr>
          <w:rFonts w:hint="eastAsia"/>
          <w:lang w:val="en-US" w:eastAsia="zh-CN"/>
        </w:rPr>
        <w:t>NO</w:t>
      </w:r>
      <w:r>
        <w:rPr>
          <w:rFonts w:hint="eastAsia"/>
          <w:vertAlign w:val="subscript"/>
          <w:lang w:val="en-US" w:eastAsia="zh-CN"/>
        </w:rPr>
        <w:t>X</w:t>
      </w:r>
      <w:r>
        <w:rPr>
          <w:rFonts w:hint="default"/>
          <w:lang w:val="en-US" w:eastAsia="zh-CN"/>
        </w:rPr>
        <w:t>-N（包括亚硝酸盐和硝酸盐在内）含量很少，几乎为零。这些不同形式的氮统称为总氮（TN）。氮也是构成微生物的元素之一，一部分进入细胞体内的氮将随剩余污泥一起从水中去除。这部分氮量约占所去除的</w:t>
      </w:r>
      <w:r>
        <w:rPr>
          <w:rFonts w:hint="eastAsia"/>
          <w:lang w:val="en-US" w:eastAsia="zh-CN"/>
        </w:rPr>
        <w:t>BOD</w:t>
      </w:r>
      <w:r>
        <w:rPr>
          <w:rFonts w:hint="eastAsia"/>
          <w:vertAlign w:val="subscript"/>
          <w:lang w:val="en-US" w:eastAsia="zh-CN"/>
        </w:rPr>
        <w:t>5</w:t>
      </w:r>
      <w:r>
        <w:rPr>
          <w:rFonts w:hint="default"/>
          <w:lang w:val="en-US" w:eastAsia="zh-CN"/>
        </w:rPr>
        <w:t>的5%，为微生物重量的12%，约占污水处理厂剩余活性污泥量的4%。在有机物被氧化的同时，污水中的有机氮也被氧化成氨氮，在溶解氧充足、泥龄较长的情况下，进一步被氧化成亚硝酸盐和硝酸盐，通常称之为硝化过程。其反应方程式如下：</w:t>
      </w:r>
    </w:p>
    <w:p w14:paraId="47B03C41">
      <w:pPr>
        <w:bidi w:val="0"/>
        <w:rPr>
          <w:rFonts w:hint="default" w:ascii="Times New Roman" w:hAnsi="Times New Roman" w:cs="Times New Roman"/>
        </w:rPr>
      </w:pPr>
      <w:r>
        <w:rPr>
          <w:rFonts w:hint="default" w:ascii="Times New Roman" w:hAnsi="Times New Roman" w:cs="Times New Roman"/>
        </w:rPr>
        <w:t>NH</w:t>
      </w:r>
      <w:r>
        <w:rPr>
          <w:rFonts w:hint="default" w:ascii="Times New Roman" w:hAnsi="Times New Roman" w:cs="Times New Roman"/>
          <w:vertAlign w:val="subscript"/>
        </w:rPr>
        <w:t>4</w:t>
      </w:r>
      <w:r>
        <w:rPr>
          <w:rFonts w:hint="default" w:ascii="Times New Roman" w:hAnsi="Times New Roman" w:cs="Times New Roman"/>
        </w:rPr>
        <w:t>++1.5O</w:t>
      </w:r>
      <w:r>
        <w:rPr>
          <w:rFonts w:hint="default" w:ascii="Times New Roman" w:hAnsi="Times New Roman" w:cs="Times New Roman"/>
          <w:vertAlign w:val="subscript"/>
        </w:rPr>
        <w:t>2</w:t>
      </w:r>
      <w:r>
        <w:rPr>
          <w:rFonts w:hint="default" w:ascii="Times New Roman" w:hAnsi="Times New Roman" w:cs="Times New Roman"/>
        </w:rPr>
        <w:t>→</w:t>
      </w:r>
      <w:r>
        <w:rPr>
          <w:rFonts w:hint="eastAsia" w:ascii="Times New Roman" w:hAnsi="Times New Roman" w:cs="Times New Roman"/>
          <w:lang w:eastAsia="zh-CN"/>
        </w:rPr>
        <w:t>NO</w:t>
      </w:r>
      <w:r>
        <w:rPr>
          <w:rFonts w:hint="eastAsia" w:ascii="Times New Roman" w:hAnsi="Times New Roman" w:cs="Times New Roman"/>
          <w:vertAlign w:val="subscript"/>
          <w:lang w:eastAsia="zh-CN"/>
        </w:rPr>
        <w:t>2</w:t>
      </w:r>
      <w:r>
        <w:rPr>
          <w:rFonts w:hint="default" w:ascii="Times New Roman" w:hAnsi="Times New Roman" w:cs="Times New Roman"/>
          <w:vertAlign w:val="superscript"/>
        </w:rPr>
        <w:t>-</w:t>
      </w:r>
      <w:r>
        <w:rPr>
          <w:rFonts w:hint="default" w:ascii="Times New Roman" w:hAnsi="Times New Roman" w:cs="Times New Roman"/>
        </w:rPr>
        <w:t>+2H</w:t>
      </w:r>
      <w:r>
        <w:rPr>
          <w:rFonts w:hint="default" w:ascii="Times New Roman" w:hAnsi="Times New Roman" w:cs="Times New Roman"/>
          <w:vertAlign w:val="superscript"/>
        </w:rPr>
        <w:t>+</w:t>
      </w:r>
      <w:r>
        <w:rPr>
          <w:rFonts w:hint="default" w:ascii="Times New Roman" w:hAnsi="Times New Roman" w:cs="Times New Roman"/>
        </w:rPr>
        <w:t>+H</w:t>
      </w:r>
      <w:r>
        <w:rPr>
          <w:rFonts w:hint="default" w:ascii="Times New Roman" w:hAnsi="Times New Roman" w:cs="Times New Roman"/>
          <w:vertAlign w:val="subscript"/>
        </w:rPr>
        <w:t>2</w:t>
      </w:r>
      <w:r>
        <w:rPr>
          <w:rFonts w:hint="default" w:ascii="Times New Roman" w:hAnsi="Times New Roman" w:cs="Times New Roman"/>
        </w:rPr>
        <w:t>O</w:t>
      </w:r>
    </w:p>
    <w:p w14:paraId="23F7E265">
      <w:pPr>
        <w:bidi w:val="0"/>
        <w:rPr>
          <w:rFonts w:hint="default" w:ascii="Times New Roman" w:hAnsi="Times New Roman" w:cs="Times New Roman"/>
        </w:rPr>
      </w:pPr>
      <w:r>
        <w:rPr>
          <w:rFonts w:hint="eastAsia" w:ascii="Times New Roman" w:hAnsi="Times New Roman" w:cs="Times New Roman"/>
          <w:lang w:eastAsia="zh-CN"/>
        </w:rPr>
        <w:t>NO</w:t>
      </w:r>
      <w:r>
        <w:rPr>
          <w:rFonts w:hint="eastAsia" w:ascii="Times New Roman" w:hAnsi="Times New Roman" w:cs="Times New Roman"/>
          <w:vertAlign w:val="subscript"/>
          <w:lang w:eastAsia="zh-CN"/>
        </w:rPr>
        <w:t>2</w:t>
      </w:r>
      <w:r>
        <w:rPr>
          <w:rFonts w:hint="default" w:ascii="Times New Roman" w:hAnsi="Times New Roman" w:cs="Times New Roman"/>
          <w:vertAlign w:val="superscript"/>
        </w:rPr>
        <w:t>-</w:t>
      </w:r>
      <w:r>
        <w:rPr>
          <w:rFonts w:hint="default" w:ascii="Times New Roman" w:hAnsi="Times New Roman" w:cs="Times New Roman"/>
        </w:rPr>
        <w:t>+0.5O</w:t>
      </w:r>
      <w:r>
        <w:rPr>
          <w:rFonts w:hint="default" w:ascii="Times New Roman" w:hAnsi="Times New Roman" w:cs="Times New Roman"/>
          <w:vertAlign w:val="subscript"/>
        </w:rPr>
        <w:t>2</w:t>
      </w:r>
      <w:r>
        <w:rPr>
          <w:rFonts w:hint="default" w:ascii="Times New Roman" w:hAnsi="Times New Roman" w:cs="Times New Roman"/>
        </w:rPr>
        <w:t>→NO</w:t>
      </w:r>
      <w:r>
        <w:rPr>
          <w:rFonts w:hint="default" w:ascii="Times New Roman" w:hAnsi="Times New Roman" w:cs="Times New Roman"/>
          <w:vertAlign w:val="superscript"/>
        </w:rPr>
        <w:t>3-</w:t>
      </w:r>
    </w:p>
    <w:p w14:paraId="1567BD07">
      <w:pPr>
        <w:bidi w:val="0"/>
        <w:rPr>
          <w:rFonts w:hint="default"/>
          <w:lang w:val="en-US" w:eastAsia="zh-CN"/>
        </w:rPr>
      </w:pPr>
      <w:r>
        <w:rPr>
          <w:rFonts w:hint="default"/>
          <w:lang w:val="en-US" w:eastAsia="zh-CN"/>
        </w:rPr>
        <w:t>第一步反应靠亚硝酸菌完成，第二步反应靠硝化菌完成，总的反应为：</w:t>
      </w:r>
    </w:p>
    <w:p w14:paraId="3BB1923D">
      <w:pPr>
        <w:bidi w:val="0"/>
        <w:rPr>
          <w:rFonts w:hint="default" w:ascii="Times New Roman" w:hAnsi="Times New Roman" w:eastAsia="宋体" w:cs="Times New Roman"/>
        </w:rPr>
      </w:pPr>
      <w:r>
        <w:rPr>
          <w:rFonts w:hint="default" w:ascii="Times New Roman" w:hAnsi="Times New Roman" w:eastAsia="宋体" w:cs="Times New Roman"/>
        </w:rPr>
        <w:t>NH</w:t>
      </w:r>
      <w:r>
        <w:rPr>
          <w:rFonts w:hint="default" w:ascii="Times New Roman" w:hAnsi="Times New Roman" w:eastAsia="宋体" w:cs="Times New Roman"/>
          <w:vertAlign w:val="subscript"/>
        </w:rPr>
        <w:t>4</w:t>
      </w:r>
      <w:r>
        <w:rPr>
          <w:rFonts w:hint="default" w:ascii="Times New Roman" w:hAnsi="Times New Roman" w:eastAsia="宋体" w:cs="Times New Roman"/>
        </w:rPr>
        <w:t>++2O</w:t>
      </w:r>
      <w:r>
        <w:rPr>
          <w:rFonts w:hint="default" w:ascii="Times New Roman" w:hAnsi="Times New Roman" w:eastAsia="宋体" w:cs="Times New Roman"/>
          <w:vertAlign w:val="subscript"/>
        </w:rPr>
        <w:t>2</w:t>
      </w:r>
      <w:r>
        <w:rPr>
          <w:rFonts w:hint="default" w:ascii="Times New Roman" w:hAnsi="Times New Roman" w:eastAsia="宋体" w:cs="Times New Roman"/>
        </w:rPr>
        <w:t>→NO</w:t>
      </w:r>
      <w:r>
        <w:rPr>
          <w:rFonts w:hint="default" w:ascii="Times New Roman" w:hAnsi="Times New Roman" w:eastAsia="宋体" w:cs="Times New Roman"/>
          <w:vertAlign w:val="superscript"/>
        </w:rPr>
        <w:t>3-</w:t>
      </w:r>
      <w:r>
        <w:rPr>
          <w:rFonts w:hint="default" w:ascii="Times New Roman" w:hAnsi="Times New Roman" w:eastAsia="宋体" w:cs="Times New Roman"/>
        </w:rPr>
        <w:t>+2H</w:t>
      </w:r>
      <w:r>
        <w:rPr>
          <w:rFonts w:hint="default" w:ascii="Times New Roman" w:hAnsi="Times New Roman" w:eastAsia="宋体" w:cs="Times New Roman"/>
          <w:vertAlign w:val="superscript"/>
        </w:rPr>
        <w:t>+</w:t>
      </w:r>
      <w:r>
        <w:rPr>
          <w:rFonts w:hint="default" w:ascii="Times New Roman" w:hAnsi="Times New Roman" w:eastAsia="宋体" w:cs="Times New Roman"/>
        </w:rPr>
        <w:t>+H</w:t>
      </w:r>
      <w:r>
        <w:rPr>
          <w:rFonts w:hint="default" w:ascii="Times New Roman" w:hAnsi="Times New Roman" w:eastAsia="宋体" w:cs="Times New Roman"/>
          <w:vertAlign w:val="subscript"/>
        </w:rPr>
        <w:t>2</w:t>
      </w:r>
      <w:r>
        <w:rPr>
          <w:rFonts w:hint="default" w:ascii="Times New Roman" w:hAnsi="Times New Roman" w:eastAsia="宋体" w:cs="Times New Roman"/>
        </w:rPr>
        <w:t>O</w:t>
      </w:r>
    </w:p>
    <w:p w14:paraId="6EEF3B14">
      <w:pPr>
        <w:bidi w:val="0"/>
        <w:rPr>
          <w:rFonts w:hint="default"/>
          <w:lang w:val="en-US" w:eastAsia="zh-CN"/>
        </w:rPr>
      </w:pPr>
      <w:r>
        <w:rPr>
          <w:rFonts w:hint="default"/>
          <w:lang w:val="en-US" w:eastAsia="zh-CN"/>
        </w:rPr>
        <w:t>因为硝化菌属于自养菌，其比生长率μN明显小于异养菌的生长率μN，生物脱氮系统维持硝化的必要条件是θ≥θN，即系统的实际泥龄大于硝化要求的泥龄，也就是说系统必须维持在较低的污泥负荷条件下运行，使系统泥龄大于维持硝化所需的最小泥龄。</w:t>
      </w:r>
    </w:p>
    <w:p w14:paraId="56DE3AF0">
      <w:pPr>
        <w:pStyle w:val="6"/>
        <w:bidi w:val="0"/>
        <w:rPr>
          <w:rFonts w:hint="default"/>
          <w:lang w:val="en-US" w:eastAsia="zh-CN"/>
        </w:rPr>
      </w:pPr>
      <w:r>
        <w:rPr>
          <w:rFonts w:hint="default"/>
          <w:lang w:val="en-US" w:eastAsia="zh-CN"/>
        </w:rPr>
        <w:t>废水处理工艺选择原则</w:t>
      </w:r>
    </w:p>
    <w:p w14:paraId="08982C9E">
      <w:pPr>
        <w:rPr>
          <w:rFonts w:hint="default"/>
          <w:lang w:val="en-US" w:eastAsia="zh-CN"/>
        </w:rPr>
      </w:pPr>
      <w:r>
        <w:rPr>
          <w:rFonts w:hint="default"/>
          <w:lang w:val="en-US" w:eastAsia="zh-CN"/>
        </w:rPr>
        <w:t>选择适宜的污水处理工艺应当根据处理规模、原水水质、出水要求，用地条件、工程地质，环境等条件作慎重考虑。各种工艺都有其适用条件，因此必须在生产实践上总结优化，提出适合于具体项目的工艺。废水处理工艺选择原则为：</w:t>
      </w:r>
    </w:p>
    <w:p w14:paraId="15234E9C">
      <w:pPr>
        <w:rPr>
          <w:rFonts w:hint="default"/>
          <w:lang w:val="en-US" w:eastAsia="zh-CN"/>
        </w:rPr>
      </w:pPr>
      <w:r>
        <w:rPr>
          <w:rFonts w:hint="default"/>
          <w:lang w:val="en-US" w:eastAsia="zh-CN"/>
        </w:rPr>
        <w:t>（1）处理效果好，出水水质稳定、达标；</w:t>
      </w:r>
    </w:p>
    <w:p w14:paraId="4FDA21DC">
      <w:pPr>
        <w:rPr>
          <w:rFonts w:hint="default"/>
          <w:lang w:val="en-US" w:eastAsia="zh-CN"/>
        </w:rPr>
      </w:pPr>
      <w:r>
        <w:rPr>
          <w:rFonts w:hint="default"/>
          <w:lang w:val="en-US" w:eastAsia="zh-CN"/>
        </w:rPr>
        <w:t>（2）整个工艺流程要成熟、可靠，对水量、水质波动适应性强；</w:t>
      </w:r>
    </w:p>
    <w:p w14:paraId="43DB6B35">
      <w:pPr>
        <w:rPr>
          <w:rFonts w:hint="default"/>
          <w:lang w:val="en-US" w:eastAsia="zh-CN"/>
        </w:rPr>
      </w:pPr>
      <w:r>
        <w:rPr>
          <w:rFonts w:hint="default"/>
          <w:lang w:val="en-US" w:eastAsia="zh-CN"/>
        </w:rPr>
        <w:t>（3）核心工艺要充分利用技术先进、应用成熟的技术，提高处理效果，减少技术风险；</w:t>
      </w:r>
    </w:p>
    <w:p w14:paraId="21460552">
      <w:pPr>
        <w:rPr>
          <w:rFonts w:hint="default"/>
          <w:lang w:val="en-US" w:eastAsia="zh-CN"/>
        </w:rPr>
      </w:pPr>
      <w:r>
        <w:rPr>
          <w:rFonts w:hint="default"/>
          <w:lang w:val="en-US" w:eastAsia="zh-CN"/>
        </w:rPr>
        <w:t>（4）经济节约，电耗少、造价低、占地少；</w:t>
      </w:r>
    </w:p>
    <w:p w14:paraId="72CA4E78">
      <w:pPr>
        <w:rPr>
          <w:rFonts w:hint="default"/>
          <w:lang w:val="en-US" w:eastAsia="zh-CN"/>
        </w:rPr>
      </w:pPr>
      <w:r>
        <w:rPr>
          <w:rFonts w:hint="default"/>
          <w:lang w:val="en-US" w:eastAsia="zh-CN"/>
        </w:rPr>
        <w:t>（5）易于管理，操作方便，设备性能稳定；</w:t>
      </w:r>
    </w:p>
    <w:p w14:paraId="0222DE4C">
      <w:pPr>
        <w:rPr>
          <w:rFonts w:hint="default"/>
          <w:lang w:val="en-US" w:eastAsia="zh-CN"/>
        </w:rPr>
      </w:pPr>
      <w:r>
        <w:rPr>
          <w:rFonts w:hint="default"/>
          <w:lang w:val="en-US" w:eastAsia="zh-CN"/>
        </w:rPr>
        <w:t>（6）重视环境，臭气防护，噪声控制，环境协调，清洁生产。</w:t>
      </w:r>
    </w:p>
    <w:p w14:paraId="411D2DC9">
      <w:pPr>
        <w:pStyle w:val="6"/>
        <w:bidi w:val="0"/>
        <w:rPr>
          <w:rFonts w:hint="default"/>
          <w:lang w:val="en-US" w:eastAsia="zh-CN"/>
        </w:rPr>
      </w:pPr>
      <w:r>
        <w:rPr>
          <w:rFonts w:hint="eastAsia"/>
          <w:lang w:val="en-US" w:eastAsia="zh-CN"/>
        </w:rPr>
        <w:t>项目工艺流程</w:t>
      </w:r>
    </w:p>
    <w:p w14:paraId="42DA38ED">
      <w:pPr>
        <w:pStyle w:val="7"/>
        <w:bidi w:val="0"/>
        <w:rPr>
          <w:rFonts w:hint="default"/>
          <w:lang w:val="en-US" w:eastAsia="zh-CN"/>
        </w:rPr>
      </w:pPr>
      <w:r>
        <w:rPr>
          <w:rFonts w:hint="default"/>
          <w:lang w:val="en-US" w:eastAsia="zh-CN"/>
        </w:rPr>
        <w:t>本工程污水处理工艺</w:t>
      </w:r>
    </w:p>
    <w:p w14:paraId="441CA356">
      <w:pPr>
        <w:rPr>
          <w:rFonts w:hint="default"/>
          <w:lang w:val="en-US" w:eastAsia="zh-CN"/>
        </w:rPr>
      </w:pPr>
      <w:r>
        <w:rPr>
          <w:rFonts w:hint="default"/>
          <w:lang w:val="en-US" w:eastAsia="zh-CN"/>
        </w:rPr>
        <w:object>
          <v:shape id="_x0000_i1030" o:spt="75" type="#_x0000_t75" style="height:489.75pt;width:327pt;" o:ole="t" filled="f" o:preferrelative="t" stroked="f" coordsize="21600,21600">
            <v:path/>
            <v:fill on="f" focussize="0,0"/>
            <v:stroke on="f"/>
            <v:imagedata r:id="rId39" o:title=""/>
            <o:lock v:ext="edit" aspectratio="f"/>
            <w10:wrap type="none"/>
            <w10:anchorlock/>
          </v:shape>
          <o:OLEObject Type="Embed" ProgID="Visio.Drawing.15" ShapeID="_x0000_i1030" DrawAspect="Content" ObjectID="_1468075730" r:id="rId38">
            <o:LockedField>false</o:LockedField>
          </o:OLEObject>
        </w:object>
      </w:r>
    </w:p>
    <w:p w14:paraId="5D972889">
      <w:pPr>
        <w:pStyle w:val="39"/>
        <w:bidi w:val="0"/>
        <w:rPr>
          <w:rFonts w:hint="default"/>
          <w:lang w:val="en-US" w:eastAsia="zh-CN"/>
        </w:rPr>
      </w:pPr>
      <w:r>
        <w:rPr>
          <w:rFonts w:hint="default"/>
          <w:lang w:val="en-US" w:eastAsia="zh-CN"/>
        </w:rPr>
        <w:t>图</w:t>
      </w:r>
      <w:r>
        <w:rPr>
          <w:rFonts w:hint="eastAsia"/>
          <w:lang w:val="en-US" w:eastAsia="zh-CN"/>
        </w:rPr>
        <w:t xml:space="preserve">4.2-1  </w:t>
      </w:r>
      <w:r>
        <w:rPr>
          <w:rFonts w:hint="default"/>
          <w:lang w:val="en-US" w:eastAsia="zh-CN"/>
        </w:rPr>
        <w:t>污水处理工艺流程图</w:t>
      </w:r>
    </w:p>
    <w:p w14:paraId="1CD5C1D4">
      <w:pPr>
        <w:bidi w:val="0"/>
        <w:rPr>
          <w:rFonts w:hint="eastAsia"/>
          <w:spacing w:val="-1"/>
          <w:sz w:val="24"/>
          <w:szCs w:val="24"/>
          <w:lang w:val="en-US" w:eastAsia="zh-CN"/>
        </w:rPr>
      </w:pPr>
      <w:r>
        <w:rPr>
          <w:rFonts w:hint="eastAsia"/>
          <w:lang w:val="en-US" w:eastAsia="zh-CN"/>
        </w:rPr>
        <w:t>工艺流程简述：车间暂存/隔渣池：</w:t>
      </w:r>
      <w:r>
        <w:rPr>
          <w:rFonts w:hint="default"/>
        </w:rPr>
        <w:t>主要对废水中的粗浮油、杂质进行初步分离处理。荤菜水含有高浮油、高悬浮物物质，为了避免后续污水系统处理负荷过高</w:t>
      </w:r>
      <w:r>
        <w:rPr>
          <w:rFonts w:hint="eastAsia"/>
          <w:lang w:eastAsia="zh-CN"/>
        </w:rPr>
        <w:t>；</w:t>
      </w:r>
      <w:r>
        <w:rPr>
          <w:rFonts w:hint="default"/>
          <w:lang w:val="en-US" w:eastAsia="zh-CN"/>
        </w:rPr>
        <w:t>隔油初沉池</w:t>
      </w:r>
      <w:r>
        <w:rPr>
          <w:rFonts w:hint="eastAsia"/>
          <w:lang w:val="en-US" w:eastAsia="zh-CN"/>
        </w:rPr>
        <w:t>：</w:t>
      </w:r>
      <w:r>
        <w:rPr>
          <w:rFonts w:hint="default"/>
          <w:lang w:val="en-US" w:eastAsia="zh-CN"/>
        </w:rPr>
        <w:t>由于污水pH偏酸，故需加入碱液调节pH至8.5，尽可能让动植物油进行皂化，然后通过刮渣机将浮油刮出至储油池，然后浮油收集后资源化利用。调节池</w:t>
      </w:r>
      <w:r>
        <w:rPr>
          <w:rFonts w:hint="eastAsia"/>
          <w:lang w:val="en-US" w:eastAsia="zh-CN"/>
        </w:rPr>
        <w:t>：调节池是用以尽量减小污水处理厂进水水量和水质波动的构筑物。调节池主要对废水起到均化水质和均化水量的作用。也可以是生产厂区在发生事故、检修等特殊情况下，暂时贮存排除废液的水池。调节池分为两部分，前端部分设置分离隔渣处理，沉渣定期泵至污泥池内，清液自流至后端部分；后端部分的污水通过空气搅拌对其进行空气氧化处理并均质均量。整个过程中污水还进行部分水解酸化功能。</w:t>
      </w:r>
      <w:r>
        <w:rPr>
          <w:rFonts w:hint="default"/>
          <w:lang w:val="en-US" w:eastAsia="zh-CN"/>
        </w:rPr>
        <w:t>厌氧流化床</w:t>
      </w:r>
      <w:r>
        <w:rPr>
          <w:rFonts w:hint="eastAsia"/>
          <w:lang w:val="en-US" w:eastAsia="zh-CN"/>
        </w:rPr>
        <w:t>：主要对废水进行厌氧生化处理。将废水中有机质进行水解酸化和甲烷化去除生成甲烷，废水中总氮水解成氨氮，硝酸盐氮在反硝化菌作用下反应生成氮气。好氧池：主要对废水进行一级好氧处理，根据污水的负荷选择优质生物质，进一步降低污水有机质和氨氮。缺氧池：</w:t>
      </w:r>
      <w:r>
        <w:rPr>
          <w:rFonts w:hint="default"/>
          <w:lang w:val="en-US" w:eastAsia="zh-CN"/>
        </w:rPr>
        <w:t>主要对废水进行反硝化处理，进一步降低污水有机质和总氮。</w:t>
      </w:r>
      <w:r>
        <w:rPr>
          <w:rFonts w:hint="eastAsia"/>
          <w:lang w:val="en-US" w:eastAsia="zh-CN"/>
        </w:rPr>
        <w:t>消化池：</w:t>
      </w:r>
      <w:r>
        <w:rPr>
          <w:rFonts w:hint="default"/>
          <w:lang w:val="en-US" w:eastAsia="zh-CN"/>
        </w:rPr>
        <w:t>主要通过消化厌氧对污水进行释放总磷，通过后端的好氧流化床进行好氧污泥吸磷处理，从而进一步提高生物去磷的功能，以降低后续化学除磷的药剂成本。好氧流化床</w:t>
      </w:r>
      <w:r>
        <w:rPr>
          <w:rFonts w:hint="eastAsia"/>
          <w:lang w:val="en-US" w:eastAsia="zh-CN"/>
        </w:rPr>
        <w:t>：</w:t>
      </w:r>
      <w:r>
        <w:rPr>
          <w:sz w:val="24"/>
          <w:szCs w:val="24"/>
        </w:rPr>
        <w:t>主要对废水进行好氧处理，进一步去除有机</w:t>
      </w:r>
      <w:r>
        <w:rPr>
          <w:spacing w:val="-1"/>
          <w:sz w:val="24"/>
          <w:szCs w:val="24"/>
        </w:rPr>
        <w:t>质</w:t>
      </w:r>
      <w:r>
        <w:rPr>
          <w:rFonts w:hint="eastAsia"/>
          <w:spacing w:val="-1"/>
          <w:sz w:val="24"/>
          <w:szCs w:val="24"/>
          <w:lang w:eastAsia="zh-CN"/>
        </w:rPr>
        <w:t>，</w:t>
      </w:r>
      <w:r>
        <w:rPr>
          <w:spacing w:val="-1"/>
          <w:sz w:val="24"/>
          <w:szCs w:val="24"/>
        </w:rPr>
        <w:t>采用泥膜复合控制工艺。</w:t>
      </w:r>
      <w:r>
        <w:rPr>
          <w:rFonts w:hint="default"/>
          <w:spacing w:val="-1"/>
          <w:sz w:val="24"/>
          <w:szCs w:val="24"/>
          <w:lang w:val="en-US" w:eastAsia="zh-CN"/>
        </w:rPr>
        <w:t>去磷池</w:t>
      </w:r>
      <w:r>
        <w:rPr>
          <w:rFonts w:hint="eastAsia"/>
          <w:spacing w:val="-1"/>
          <w:sz w:val="24"/>
          <w:szCs w:val="24"/>
          <w:lang w:val="en-US" w:eastAsia="zh-CN"/>
        </w:rPr>
        <w:t>：主要对尾水进行化学深度除磷处理，进一步净化出水。</w:t>
      </w:r>
    </w:p>
    <w:p w14:paraId="17A81666">
      <w:pPr>
        <w:pStyle w:val="7"/>
        <w:bidi w:val="0"/>
        <w:rPr>
          <w:rFonts w:hint="default"/>
          <w:lang w:val="en-US" w:eastAsia="zh-CN"/>
        </w:rPr>
      </w:pPr>
      <w:r>
        <w:rPr>
          <w:rFonts w:hint="default"/>
          <w:lang w:val="en-US" w:eastAsia="zh-CN"/>
        </w:rPr>
        <w:t>污泥处理工艺</w:t>
      </w:r>
    </w:p>
    <w:p w14:paraId="17E09158">
      <w:pPr>
        <w:rPr>
          <w:rFonts w:hint="default"/>
          <w:lang w:val="en-US" w:eastAsia="zh-CN"/>
        </w:rPr>
      </w:pPr>
      <w:r>
        <w:rPr>
          <w:rFonts w:hint="default"/>
          <w:lang w:val="en-US" w:eastAsia="zh-CN"/>
        </w:rPr>
        <w:t>污泥脱水的目的是进一步降低含水率，对污泥进行减容处理。污泥脱水的方法有自然干化、机械脱水、污泥烘干及焚烧等，本项目设计污泥含水率为&lt;80%，选取隔膜压榨板框机进行污泥脱水，</w:t>
      </w:r>
      <w:r>
        <w:rPr>
          <w:rFonts w:hint="eastAsia"/>
          <w:lang w:val="en-US" w:eastAsia="zh-CN"/>
        </w:rPr>
        <w:t>废水进入本污水处理站处理，</w:t>
      </w:r>
      <w:r>
        <w:rPr>
          <w:rFonts w:hint="default"/>
          <w:lang w:val="en-US" w:eastAsia="zh-CN"/>
        </w:rPr>
        <w:t>在污泥中加入高分子絮凝剂PAM、PAC，污泥经过絮凝沉淀，再经机械浓缩脱水后含水率降至80%以下，再</w:t>
      </w:r>
      <w:r>
        <w:rPr>
          <w:rFonts w:hint="eastAsia"/>
          <w:lang w:val="en-US" w:eastAsia="zh-CN"/>
        </w:rPr>
        <w:t>外</w:t>
      </w:r>
      <w:r>
        <w:rPr>
          <w:rFonts w:hint="default"/>
          <w:lang w:val="en-US" w:eastAsia="zh-CN"/>
        </w:rPr>
        <w:t>运处置。</w:t>
      </w:r>
    </w:p>
    <w:p w14:paraId="581EB4F0">
      <w:pPr>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4287520" cy="760095"/>
            <wp:effectExtent l="0" t="0" r="17780" b="1905"/>
            <wp:docPr id="53" name="图片 8" descr="未命名文件(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descr="未命名文件(10)"/>
                    <pic:cNvPicPr>
                      <a:picLocks noChangeAspect="1"/>
                    </pic:cNvPicPr>
                  </pic:nvPicPr>
                  <pic:blipFill>
                    <a:blip r:embed="rId40"/>
                    <a:srcRect t="18742" b="12225"/>
                    <a:stretch>
                      <a:fillRect/>
                    </a:stretch>
                  </pic:blipFill>
                  <pic:spPr>
                    <a:xfrm>
                      <a:off x="0" y="0"/>
                      <a:ext cx="4287520" cy="760095"/>
                    </a:xfrm>
                    <a:prstGeom prst="rect">
                      <a:avLst/>
                    </a:prstGeom>
                    <a:noFill/>
                    <a:ln>
                      <a:noFill/>
                    </a:ln>
                  </pic:spPr>
                </pic:pic>
              </a:graphicData>
            </a:graphic>
          </wp:inline>
        </w:drawing>
      </w:r>
    </w:p>
    <w:p w14:paraId="0D773307">
      <w:pPr>
        <w:pStyle w:val="39"/>
        <w:bidi w:val="0"/>
        <w:rPr>
          <w:rFonts w:hint="default"/>
          <w:lang w:val="en-US" w:eastAsia="zh-CN"/>
        </w:rPr>
      </w:pPr>
      <w:r>
        <w:rPr>
          <w:rFonts w:hint="default"/>
          <w:lang w:val="en-US" w:eastAsia="zh-CN"/>
        </w:rPr>
        <w:t>图 4.</w:t>
      </w:r>
      <w:r>
        <w:rPr>
          <w:rFonts w:hint="eastAsia"/>
          <w:lang w:val="en-US" w:eastAsia="zh-CN"/>
        </w:rPr>
        <w:t>2</w:t>
      </w:r>
      <w:r>
        <w:rPr>
          <w:rFonts w:hint="default"/>
          <w:lang w:val="en-US" w:eastAsia="zh-CN"/>
        </w:rPr>
        <w:t>-2  污泥处理工艺流程图</w:t>
      </w:r>
    </w:p>
    <w:p w14:paraId="064326F6">
      <w:pPr>
        <w:pStyle w:val="7"/>
        <w:bidi w:val="0"/>
        <w:rPr>
          <w:rFonts w:hint="default"/>
          <w:lang w:val="en-US" w:eastAsia="zh-CN"/>
        </w:rPr>
      </w:pPr>
      <w:r>
        <w:rPr>
          <w:rFonts w:hint="default"/>
          <w:lang w:val="en-US" w:eastAsia="zh-CN"/>
        </w:rPr>
        <w:t>除臭工艺</w:t>
      </w:r>
    </w:p>
    <w:p w14:paraId="15D9E0AA">
      <w:pPr>
        <w:shd w:val="clear"/>
        <w:rPr>
          <w:rFonts w:hint="default"/>
          <w:lang w:val="en-US" w:eastAsia="zh-CN"/>
        </w:rPr>
      </w:pPr>
      <w:r>
        <w:rPr>
          <w:rFonts w:hint="default"/>
          <w:lang w:val="en-US" w:eastAsia="zh-CN"/>
        </w:rPr>
        <w:t>臭气气体中的气态污染物主要有氨、硫等，气味恶臭，随着曝气等处理手段，使臭气挥发出来，强烈的臭味不仅威胁现场工作人员的健康和安全，还对周边环境造成污染。目前对恶臭的控制技术主要有吸收、吸附、氧化和燃烧等，其中吸收法中包括填料湿式吸收法、细雾湿式吸收法、活性炭吸收法，另外还有生物滤池法和热氧化法等等。</w:t>
      </w:r>
    </w:p>
    <w:p w14:paraId="05E595AC">
      <w:pPr>
        <w:shd w:val="clear"/>
        <w:rPr>
          <w:rFonts w:hint="default"/>
          <w:lang w:val="en-US" w:eastAsia="zh-CN"/>
        </w:rPr>
      </w:pPr>
      <w:r>
        <w:rPr>
          <w:rFonts w:hint="default"/>
          <w:lang w:val="en-US" w:eastAsia="zh-CN"/>
        </w:rPr>
        <w:t>湿式吸收法是发展最成熟应用最普遍的恶臭脱除方法之一，其中塔式吸收是多年经验发展的主导趋势。常用的湿式吸收塔有三种：填料塔、喷雾塔和文丘里洗涤塔。化学吸收法其基本原理是：通过喷淋式或填料式吸收塔将恶臭气体捕捉到液体中，附着于颗粒物质上的臭气分子通过湿法吸收氧化后被从空气中去除，恶臭气体和药液中的乳化试剂反应从溶液中去除，也可和强氧化剂反应生成溶于水的无臭物质吸收去除。臭气特点，吸收液的选择主要针对氨气和硫化氢及有机硫化物，所以药液一般选用是强碱、次氯酸钠和硫酸的溶液。气―液传质接触一般采用两相同流、逆流、交流，水平式气液接触方式，本项目喷淋药剂使用NaOH。</w:t>
      </w:r>
    </w:p>
    <w:p w14:paraId="080C7CD3">
      <w:pPr>
        <w:shd w:val="clear"/>
        <w:rPr>
          <w:rFonts w:hint="default"/>
          <w:lang w:val="en-US" w:eastAsia="zh-CN"/>
        </w:rPr>
      </w:pPr>
      <w:r>
        <w:rPr>
          <w:rFonts w:hint="default"/>
          <w:lang w:val="en-US" w:eastAsia="zh-CN"/>
        </w:rPr>
        <w:t>生物滤池法是近几年来开发的一种新型的恶臭处理方法，因其具有运行成本低、处理效率高、不产生二次污染等优点，正逐步发展成除臭的主流方法。生物法包括生物洗涤法、生物滤池法和生物滴滤法。</w:t>
      </w:r>
      <w:r>
        <w:rPr>
          <w:rFonts w:hint="eastAsia"/>
          <w:lang w:val="en-US" w:eastAsia="zh-CN"/>
        </w:rPr>
        <w:t>生物滤池</w:t>
      </w:r>
      <w:r>
        <w:rPr>
          <w:rFonts w:hint="default"/>
          <w:lang w:val="en-US" w:eastAsia="zh-CN"/>
        </w:rPr>
        <w:t>除臭，原理是指加湿后的废气被通入填充有填料(如堆肥、土壤、树皮、珍珠岩、沸石、有机塑料等等)的生物过滤器中，与填料上所附着生长的生物膜(微生物)接触，被微生物所吸附降解，最终转化为简单的无机物(如CO2、H2O、SO42-、NO3-和Cl-等)或合成新细胞物质，处理后的气体在从生物过滤器的另一端排出。</w:t>
      </w:r>
      <w:r>
        <w:rPr>
          <w:rFonts w:hint="eastAsia"/>
          <w:lang w:val="en-US" w:eastAsia="zh-CN"/>
        </w:rPr>
        <w:t>生物滤池</w:t>
      </w:r>
      <w:r>
        <w:rPr>
          <w:rFonts w:hint="default"/>
          <w:lang w:val="en-US" w:eastAsia="zh-CN"/>
        </w:rPr>
        <w:t>所填充的填料需维持一定的pH范围、湿度和营养，以维持微生物的正常代谢活动，这些营养和湿度可以通过填料自身提供或外加。生物过滤法对废气去除是不同的生化作用与物理化学作用的复杂结合的结果。其降解机理如下：</w:t>
      </w:r>
    </w:p>
    <w:p w14:paraId="189203BC">
      <w:pPr>
        <w:shd w:val="clear"/>
        <w:rPr>
          <w:rFonts w:hint="default"/>
          <w:lang w:val="en-US" w:eastAsia="zh-CN"/>
        </w:rPr>
      </w:pPr>
      <w:r>
        <w:rPr>
          <w:rFonts w:hint="default"/>
          <w:lang w:val="en-US" w:eastAsia="zh-CN"/>
        </w:rPr>
        <w:t>H2S或其它含硫物质+O2→SO42-+CO2+H2O+细胞物质</w:t>
      </w:r>
    </w:p>
    <w:p w14:paraId="38F8E736">
      <w:pPr>
        <w:shd w:val="clear"/>
        <w:rPr>
          <w:rFonts w:hint="default"/>
          <w:lang w:val="en-US" w:eastAsia="zh-CN"/>
        </w:rPr>
      </w:pPr>
      <w:r>
        <w:rPr>
          <w:rFonts w:hint="default"/>
          <w:lang w:val="en-US" w:eastAsia="zh-CN"/>
        </w:rPr>
        <w:t>NH3或含N无机化合物+O2→CO2+NO3-+H2O+细胞物质</w:t>
      </w:r>
    </w:p>
    <w:p w14:paraId="461A98E9">
      <w:pPr>
        <w:shd w:val="clear"/>
        <w:rPr>
          <w:rFonts w:hint="default"/>
          <w:lang w:val="en-US" w:eastAsia="zh-CN"/>
        </w:rPr>
      </w:pPr>
      <w:r>
        <w:rPr>
          <w:rFonts w:hint="default"/>
          <w:lang w:val="en-US" w:eastAsia="zh-CN"/>
        </w:rPr>
        <w:t>本项目选用“湿式喷淋塔+</w:t>
      </w:r>
      <w:r>
        <w:rPr>
          <w:rFonts w:hint="eastAsia"/>
          <w:lang w:val="en-US" w:eastAsia="zh-CN"/>
        </w:rPr>
        <w:t>生物滤池</w:t>
      </w:r>
      <w:r>
        <w:rPr>
          <w:rFonts w:hint="default"/>
          <w:lang w:val="en-US" w:eastAsia="zh-CN"/>
        </w:rPr>
        <w:t>”进行除臭。除臭系统主要有气体收集系统、湿式喷淋塔、</w:t>
      </w:r>
      <w:r>
        <w:rPr>
          <w:rFonts w:hint="eastAsia"/>
          <w:lang w:val="en-US" w:eastAsia="zh-CN"/>
        </w:rPr>
        <w:t>生物滤池</w:t>
      </w:r>
      <w:r>
        <w:rPr>
          <w:rFonts w:hint="default"/>
          <w:lang w:val="en-US" w:eastAsia="zh-CN"/>
        </w:rPr>
        <w:t>、离心风机、排放装置等组成。药剂选用NaOH，气—液采用逆流接触，经过</w:t>
      </w:r>
      <w:r>
        <w:rPr>
          <w:rFonts w:hint="eastAsia"/>
          <w:lang w:val="en-US" w:eastAsia="zh-CN"/>
        </w:rPr>
        <w:t>二级</w:t>
      </w:r>
      <w:r>
        <w:rPr>
          <w:rFonts w:hint="default"/>
          <w:lang w:val="en-US" w:eastAsia="zh-CN"/>
        </w:rPr>
        <w:t>喷淋塔吸收后再进入</w:t>
      </w:r>
      <w:r>
        <w:rPr>
          <w:rFonts w:hint="eastAsia"/>
          <w:lang w:val="en-US" w:eastAsia="zh-CN"/>
        </w:rPr>
        <w:t>生物滤池</w:t>
      </w:r>
      <w:r>
        <w:rPr>
          <w:rFonts w:hint="default"/>
          <w:lang w:val="en-US" w:eastAsia="zh-CN"/>
        </w:rPr>
        <w:t>净化，最后经15m高排气筒排放。</w:t>
      </w:r>
    </w:p>
    <w:p w14:paraId="0A60447D">
      <w:pPr>
        <w:pStyle w:val="7"/>
        <w:bidi w:val="0"/>
        <w:rPr>
          <w:rFonts w:hint="default"/>
          <w:lang w:val="en-US" w:eastAsia="zh-CN"/>
        </w:rPr>
      </w:pPr>
      <w:r>
        <w:rPr>
          <w:rFonts w:hint="default"/>
          <w:lang w:val="en-US" w:eastAsia="zh-CN"/>
        </w:rPr>
        <w:t>沼气处理工艺</w:t>
      </w:r>
    </w:p>
    <w:p w14:paraId="0C86E3D3">
      <w:pPr>
        <w:rPr>
          <w:rFonts w:hint="default"/>
          <w:lang w:val="en-US" w:eastAsia="zh-CN"/>
        </w:rPr>
      </w:pPr>
      <w:r>
        <w:rPr>
          <w:rFonts w:hint="default"/>
          <w:lang w:val="en-US" w:eastAsia="zh-CN"/>
        </w:rPr>
        <w:t>沼气不仅会污染环境而且也会产生严重的安全隐患，因此需要对厌氧沼气进行集中处理。对于产气量较小的工厂或场所，一般通过设置沼气火炬对集中收集的沼气进行焚烧。沼气火炬具有提高场所安全、增加社会认同、减少恶臭污染、减少温室效应等作用。</w:t>
      </w:r>
    </w:p>
    <w:p w14:paraId="451A62D9">
      <w:pPr>
        <w:rPr>
          <w:rFonts w:hint="default"/>
          <w:lang w:val="en-US" w:eastAsia="zh-CN"/>
        </w:rPr>
      </w:pPr>
      <w:r>
        <w:rPr>
          <w:rFonts w:hint="default"/>
          <w:lang w:val="en-US" w:eastAsia="zh-CN"/>
        </w:rPr>
        <w:t>工程在厌氧反应过程中会产生沼气，沼气的主要成分是甲烷，由于沼气含有少量硫化氢，所以略带臭味，空气中如含有8.6-20.8%（按体积计）的沼气时，就会形成爆炸性的混合气体。本工程沼气产生量较小，不能实现综合利用，项目拟安装沼气火柜将其燃烧后高空排放。具体过程如下：</w:t>
      </w:r>
    </w:p>
    <w:p w14:paraId="3E147F83">
      <w:pPr>
        <w:rPr>
          <w:rFonts w:hint="default"/>
          <w:lang w:val="en-US" w:eastAsia="zh-CN"/>
        </w:rPr>
      </w:pPr>
      <w:r>
        <w:rPr>
          <w:rFonts w:hint="eastAsia"/>
          <w:lang w:val="en-US" w:eastAsia="zh-CN"/>
        </w:rPr>
        <w:t>厌氧流化床</w:t>
      </w:r>
      <w:r>
        <w:rPr>
          <w:rFonts w:hint="default"/>
          <w:lang w:val="en-US" w:eastAsia="zh-CN"/>
        </w:rPr>
        <w:t>中的沼气通过三相分离器集中在气室，然后经导管导入沼气储气罐，经过气水分离器提高沼气的干燥程度，由于沼气内含有硫化氢等腐蚀性气体，需进入脱硫净化罐脱硫，净化后的沼气即可进入沼气火柜进行燃烧，产污主要为CO</w:t>
      </w:r>
      <w:r>
        <w:rPr>
          <w:rFonts w:hint="default"/>
          <w:vertAlign w:val="subscript"/>
          <w:lang w:val="en-US" w:eastAsia="zh-CN"/>
        </w:rPr>
        <w:t>2</w:t>
      </w:r>
      <w:r>
        <w:rPr>
          <w:rFonts w:hint="default"/>
          <w:lang w:val="en-US" w:eastAsia="zh-CN"/>
        </w:rPr>
        <w:t>和H</w:t>
      </w:r>
      <w:r>
        <w:rPr>
          <w:rFonts w:hint="default"/>
          <w:vertAlign w:val="subscript"/>
          <w:lang w:val="en-US" w:eastAsia="zh-CN"/>
        </w:rPr>
        <w:t>2</w:t>
      </w:r>
      <w:r>
        <w:rPr>
          <w:rFonts w:hint="default"/>
          <w:lang w:val="en-US" w:eastAsia="zh-CN"/>
        </w:rPr>
        <w:t>O。</w:t>
      </w:r>
    </w:p>
    <w:p w14:paraId="620AD6DD">
      <w:pPr>
        <w:rPr>
          <w:rFonts w:hint="default"/>
          <w:highlight w:val="none"/>
          <w:lang w:val="en-US" w:eastAsia="zh-CN"/>
        </w:rPr>
      </w:pPr>
      <w:r>
        <w:rPr>
          <w:rFonts w:hint="eastAsia"/>
          <w:lang w:val="en-US" w:eastAsia="zh-CN"/>
        </w:rPr>
        <w:t>根据废水处</w:t>
      </w:r>
      <w:r>
        <w:rPr>
          <w:rFonts w:hint="eastAsia"/>
          <w:highlight w:val="none"/>
          <w:lang w:val="en-US" w:eastAsia="zh-CN"/>
        </w:rPr>
        <w:t>理设计方案及相关资料查询</w:t>
      </w:r>
      <w:r>
        <w:rPr>
          <w:rFonts w:hint="default"/>
          <w:highlight w:val="none"/>
          <w:lang w:val="en-US" w:eastAsia="zh-CN"/>
        </w:rPr>
        <w:t>，每去除1千克COD，在理想状态下可产0.</w:t>
      </w:r>
      <w:r>
        <w:rPr>
          <w:rFonts w:hint="eastAsia"/>
          <w:highlight w:val="none"/>
          <w:lang w:val="en-US" w:eastAsia="zh-CN"/>
        </w:rPr>
        <w:t>5m</w:t>
      </w:r>
      <w:r>
        <w:rPr>
          <w:rFonts w:hint="eastAsia"/>
          <w:highlight w:val="none"/>
          <w:vertAlign w:val="superscript"/>
          <w:lang w:val="en-US" w:eastAsia="zh-CN"/>
        </w:rPr>
        <w:t>3</w:t>
      </w:r>
      <w:r>
        <w:rPr>
          <w:rFonts w:hint="eastAsia"/>
          <w:highlight w:val="none"/>
          <w:lang w:val="en-US" w:eastAsia="zh-CN"/>
        </w:rPr>
        <w:t>的产气率。</w:t>
      </w:r>
      <w:r>
        <w:rPr>
          <w:rFonts w:hint="default"/>
          <w:highlight w:val="none"/>
          <w:lang w:val="en-US" w:eastAsia="zh-CN"/>
        </w:rPr>
        <w:t>根据下文分析，项目每天产生COD量为</w:t>
      </w:r>
      <w:r>
        <w:rPr>
          <w:rFonts w:hint="eastAsia"/>
          <w:highlight w:val="none"/>
          <w:lang w:val="en-US" w:eastAsia="zh-CN"/>
        </w:rPr>
        <w:t>7.2</w:t>
      </w:r>
      <w:r>
        <w:rPr>
          <w:rFonts w:hint="default"/>
          <w:highlight w:val="none"/>
          <w:lang w:val="en-US" w:eastAsia="zh-CN"/>
        </w:rPr>
        <w:t>t，</w:t>
      </w:r>
      <w:r>
        <w:rPr>
          <w:rFonts w:hint="eastAsia"/>
          <w:highlight w:val="none"/>
          <w:lang w:val="en-US" w:eastAsia="zh-CN"/>
        </w:rPr>
        <w:t>厌氧流化床</w:t>
      </w:r>
      <w:r>
        <w:rPr>
          <w:rFonts w:hint="default"/>
          <w:highlight w:val="none"/>
          <w:lang w:val="en-US" w:eastAsia="zh-CN"/>
        </w:rPr>
        <w:t>的COD去除效率一般约为</w:t>
      </w:r>
      <w:r>
        <w:rPr>
          <w:rFonts w:hint="eastAsia"/>
          <w:highlight w:val="none"/>
          <w:lang w:val="en-US" w:eastAsia="zh-CN"/>
        </w:rPr>
        <w:t>60</w:t>
      </w:r>
      <w:r>
        <w:rPr>
          <w:rFonts w:hint="default"/>
          <w:highlight w:val="none"/>
          <w:lang w:val="en-US" w:eastAsia="zh-CN"/>
        </w:rPr>
        <w:t>%</w:t>
      </w:r>
      <w:r>
        <w:rPr>
          <w:rFonts w:hint="eastAsia"/>
          <w:highlight w:val="none"/>
          <w:lang w:val="en-US" w:eastAsia="zh-CN"/>
        </w:rPr>
        <w:t>以上</w:t>
      </w:r>
      <w:r>
        <w:rPr>
          <w:rFonts w:hint="default"/>
          <w:highlight w:val="none"/>
          <w:lang w:val="en-US" w:eastAsia="zh-CN"/>
        </w:rPr>
        <w:t>，则本项目甲烷每天的产生量在1.</w:t>
      </w:r>
      <w:r>
        <w:rPr>
          <w:rFonts w:hint="eastAsia"/>
          <w:highlight w:val="none"/>
          <w:lang w:val="en-US" w:eastAsia="zh-CN"/>
        </w:rPr>
        <w:t>764</w:t>
      </w:r>
      <w:r>
        <w:rPr>
          <w:rFonts w:hint="default"/>
          <w:highlight w:val="none"/>
          <w:lang w:val="en-US" w:eastAsia="zh-CN"/>
        </w:rPr>
        <w:t>-</w:t>
      </w:r>
      <w:r>
        <w:rPr>
          <w:rFonts w:hint="eastAsia"/>
          <w:highlight w:val="none"/>
          <w:lang w:val="en-US" w:eastAsia="zh-CN"/>
        </w:rPr>
        <w:t>2.142</w:t>
      </w:r>
      <w:r>
        <w:rPr>
          <w:rFonts w:hint="default"/>
          <w:highlight w:val="none"/>
          <w:lang w:val="en-US" w:eastAsia="zh-CN"/>
        </w:rPr>
        <w:t>m³之间，甲烷的密度为0.716g/L，即</w:t>
      </w:r>
      <w:r>
        <w:rPr>
          <w:rFonts w:hint="eastAsia"/>
          <w:highlight w:val="none"/>
          <w:lang w:val="en-US" w:eastAsia="zh-CN"/>
        </w:rPr>
        <w:t>1.26</w:t>
      </w:r>
      <w:r>
        <w:rPr>
          <w:rFonts w:hint="default"/>
          <w:highlight w:val="none"/>
          <w:lang w:val="en-US" w:eastAsia="zh-CN"/>
        </w:rPr>
        <w:t>-</w:t>
      </w:r>
      <w:r>
        <w:rPr>
          <w:rFonts w:hint="eastAsia"/>
          <w:highlight w:val="none"/>
          <w:lang w:val="en-US" w:eastAsia="zh-CN"/>
        </w:rPr>
        <w:t>1.536</w:t>
      </w:r>
      <w:r>
        <w:rPr>
          <w:rFonts w:hint="default"/>
          <w:highlight w:val="none"/>
          <w:lang w:val="en-US" w:eastAsia="zh-CN"/>
        </w:rPr>
        <w:t>kg之间。</w:t>
      </w:r>
    </w:p>
    <w:p w14:paraId="749B4692">
      <w:pPr>
        <w:pStyle w:val="5"/>
        <w:rPr>
          <w:rFonts w:hint="default" w:ascii="Times New Roman" w:hAnsi="Times New Roman" w:cs="Times New Roman"/>
          <w:color w:val="auto"/>
          <w:highlight w:val="none"/>
          <w:u w:val="none" w:color="auto"/>
        </w:rPr>
      </w:pPr>
      <w:bookmarkStart w:id="115" w:name="_Toc15346"/>
      <w:bookmarkStart w:id="116" w:name="_Toc11914767"/>
      <w:bookmarkStart w:id="117" w:name="_Toc21527"/>
      <w:bookmarkStart w:id="118" w:name="_Toc12556"/>
      <w:r>
        <w:rPr>
          <w:rFonts w:hint="default" w:ascii="Times New Roman" w:hAnsi="Times New Roman" w:cs="Times New Roman"/>
          <w:color w:val="auto"/>
          <w:highlight w:val="none"/>
          <w:u w:val="none" w:color="auto"/>
        </w:rPr>
        <w:t>产污环节</w:t>
      </w:r>
      <w:bookmarkEnd w:id="115"/>
    </w:p>
    <w:p w14:paraId="53E38CBE">
      <w:pPr>
        <w:ind w:firstLine="480"/>
        <w:rPr>
          <w:rFonts w:hint="default" w:ascii="Times New Roman" w:hAnsi="Times New Roman" w:cs="Times New Roman"/>
          <w:highlight w:val="none"/>
        </w:rPr>
      </w:pPr>
      <w:r>
        <w:rPr>
          <w:rFonts w:hint="default" w:ascii="Times New Roman" w:hAnsi="Times New Roman" w:cs="Times New Roman"/>
          <w:highlight w:val="none"/>
        </w:rPr>
        <w:t>产排污节点见下表</w:t>
      </w:r>
      <w:r>
        <w:rPr>
          <w:rFonts w:hint="eastAsia" w:ascii="Times New Roman" w:hAnsi="Times New Roman" w:cs="Times New Roman"/>
          <w:highlight w:val="none"/>
          <w:lang w:val="en-US" w:eastAsia="zh-CN"/>
        </w:rPr>
        <w:t>4</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-1。</w:t>
      </w:r>
    </w:p>
    <w:p w14:paraId="48FF342E">
      <w:pPr>
        <w:pStyle w:val="39"/>
        <w:bidi w:val="0"/>
        <w:rPr>
          <w:rFonts w:hint="default" w:ascii="Times New Roman" w:hAnsi="Times New Roman" w:cs="Times New Roman"/>
          <w:highlight w:val="none"/>
        </w:rPr>
      </w:pPr>
      <w:r>
        <w:rPr>
          <w:rFonts w:hint="default" w:ascii="Times New Roman" w:hAnsi="Times New Roman" w:cs="Times New Roman"/>
          <w:highlight w:val="none"/>
        </w:rPr>
        <w:t>表</w:t>
      </w:r>
      <w:r>
        <w:rPr>
          <w:rFonts w:hint="eastAsia" w:cs="Times New Roman"/>
          <w:highlight w:val="none"/>
          <w:lang w:val="en-US" w:eastAsia="zh-CN"/>
        </w:rPr>
        <w:t>4</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-1工程产排污节点一览表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69"/>
        <w:gridCol w:w="547"/>
        <w:gridCol w:w="1304"/>
        <w:gridCol w:w="1235"/>
        <w:gridCol w:w="2247"/>
        <w:gridCol w:w="1297"/>
        <w:gridCol w:w="1234"/>
      </w:tblGrid>
      <w:tr w14:paraId="533985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tcBorders>
              <w:tl2br w:val="nil"/>
              <w:tr2bl w:val="nil"/>
            </w:tcBorders>
            <w:noWrap w:val="0"/>
            <w:vAlign w:val="center"/>
          </w:tcPr>
          <w:p w14:paraId="295706B1">
            <w:pPr>
              <w:pStyle w:val="42"/>
              <w:keepNext w:val="0"/>
              <w:keepLines w:val="0"/>
              <w:suppressLineNumbers w:val="0"/>
              <w:bidi w:val="0"/>
              <w:spacing w:before="0" w:beforeAutospacing="0" w:after="0" w:afterAutospacing="0"/>
              <w:rPr>
                <w:rFonts w:hint="default"/>
              </w:rPr>
            </w:pPr>
            <w:r>
              <w:rPr>
                <w:rFonts w:hint="default"/>
              </w:rPr>
              <w:t>类别</w:t>
            </w:r>
          </w:p>
        </w:tc>
        <w:tc>
          <w:tcPr>
            <w:tcW w:w="782" w:type="pct"/>
            <w:tcBorders>
              <w:tl2br w:val="nil"/>
              <w:tr2bl w:val="nil"/>
            </w:tcBorders>
            <w:noWrap w:val="0"/>
            <w:vAlign w:val="center"/>
          </w:tcPr>
          <w:p w14:paraId="4DFED896">
            <w:pPr>
              <w:pStyle w:val="42"/>
              <w:keepNext w:val="0"/>
              <w:keepLines w:val="0"/>
              <w:suppressLineNumbers w:val="0"/>
              <w:bidi w:val="0"/>
              <w:spacing w:before="0" w:beforeAutospacing="0" w:after="0" w:afterAutospacing="0"/>
              <w:rPr>
                <w:rFonts w:hint="default"/>
              </w:rPr>
            </w:pPr>
            <w:r>
              <w:rPr>
                <w:rFonts w:hint="default"/>
              </w:rPr>
              <w:t>产污工序</w:t>
            </w:r>
          </w:p>
        </w:tc>
        <w:tc>
          <w:tcPr>
            <w:tcW w:w="741" w:type="pct"/>
            <w:tcBorders>
              <w:tl2br w:val="nil"/>
              <w:tr2bl w:val="nil"/>
            </w:tcBorders>
            <w:noWrap w:val="0"/>
            <w:vAlign w:val="center"/>
          </w:tcPr>
          <w:p w14:paraId="0CB5726B">
            <w:pPr>
              <w:pStyle w:val="42"/>
              <w:keepNext w:val="0"/>
              <w:keepLines w:val="0"/>
              <w:suppressLineNumbers w:val="0"/>
              <w:bidi w:val="0"/>
              <w:spacing w:before="0" w:beforeAutospacing="0" w:after="0" w:afterAutospacing="0"/>
              <w:rPr>
                <w:rFonts w:hint="default"/>
              </w:rPr>
            </w:pPr>
            <w:r>
              <w:rPr>
                <w:rFonts w:hint="default"/>
              </w:rPr>
              <w:t>污染物名称</w:t>
            </w:r>
          </w:p>
        </w:tc>
        <w:tc>
          <w:tcPr>
            <w:tcW w:w="1347" w:type="pct"/>
            <w:tcBorders>
              <w:tl2br w:val="nil"/>
              <w:tr2bl w:val="nil"/>
            </w:tcBorders>
            <w:noWrap w:val="0"/>
            <w:vAlign w:val="center"/>
          </w:tcPr>
          <w:p w14:paraId="4CAC9004">
            <w:pPr>
              <w:pStyle w:val="42"/>
              <w:keepNext w:val="0"/>
              <w:keepLines w:val="0"/>
              <w:suppressLineNumbers w:val="0"/>
              <w:bidi w:val="0"/>
              <w:spacing w:before="0" w:beforeAutospacing="0" w:after="0" w:afterAutospacing="0"/>
              <w:rPr>
                <w:rFonts w:hint="default"/>
              </w:rPr>
            </w:pPr>
            <w:r>
              <w:rPr>
                <w:rFonts w:hint="default"/>
              </w:rPr>
              <w:t>主要污染因子</w:t>
            </w:r>
          </w:p>
        </w:tc>
        <w:tc>
          <w:tcPr>
            <w:tcW w:w="1518" w:type="pct"/>
            <w:gridSpan w:val="2"/>
            <w:tcBorders>
              <w:tl2br w:val="nil"/>
              <w:tr2bl w:val="nil"/>
            </w:tcBorders>
            <w:noWrap w:val="0"/>
            <w:vAlign w:val="center"/>
          </w:tcPr>
          <w:p w14:paraId="27AE2A6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处理措施</w:t>
            </w:r>
          </w:p>
        </w:tc>
      </w:tr>
      <w:tr w14:paraId="6E2662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restart"/>
            <w:tcBorders>
              <w:tl2br w:val="nil"/>
              <w:tr2bl w:val="nil"/>
            </w:tcBorders>
            <w:noWrap w:val="0"/>
            <w:vAlign w:val="center"/>
          </w:tcPr>
          <w:p w14:paraId="2DB20321">
            <w:pPr>
              <w:pStyle w:val="42"/>
              <w:keepNext w:val="0"/>
              <w:keepLines w:val="0"/>
              <w:suppressLineNumbers w:val="0"/>
              <w:bidi w:val="0"/>
              <w:spacing w:before="0" w:beforeAutospacing="0" w:after="0" w:afterAutospacing="0"/>
              <w:rPr>
                <w:rFonts w:hint="default"/>
              </w:rPr>
            </w:pPr>
            <w:r>
              <w:rPr>
                <w:rFonts w:hint="default"/>
              </w:rPr>
              <w:t>废气</w:t>
            </w:r>
          </w:p>
        </w:tc>
        <w:tc>
          <w:tcPr>
            <w:tcW w:w="782" w:type="pct"/>
            <w:tcBorders>
              <w:tl2br w:val="nil"/>
              <w:tr2bl w:val="nil"/>
            </w:tcBorders>
            <w:noWrap w:val="0"/>
            <w:vAlign w:val="center"/>
          </w:tcPr>
          <w:p w14:paraId="5F72090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集水池</w:t>
            </w:r>
          </w:p>
        </w:tc>
        <w:tc>
          <w:tcPr>
            <w:tcW w:w="741" w:type="pct"/>
            <w:tcBorders>
              <w:tl2br w:val="nil"/>
              <w:tr2bl w:val="nil"/>
            </w:tcBorders>
            <w:noWrap w:val="0"/>
            <w:vAlign w:val="center"/>
          </w:tcPr>
          <w:p w14:paraId="72A69C46">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臭气</w:t>
            </w:r>
          </w:p>
        </w:tc>
        <w:tc>
          <w:tcPr>
            <w:tcW w:w="1347" w:type="pct"/>
            <w:tcBorders>
              <w:tl2br w:val="nil"/>
              <w:tr2bl w:val="nil"/>
            </w:tcBorders>
            <w:noWrap w:val="0"/>
            <w:vAlign w:val="center"/>
          </w:tcPr>
          <w:p w14:paraId="37FC0FB6">
            <w:pPr>
              <w:pStyle w:val="42"/>
              <w:keepNext w:val="0"/>
              <w:keepLines w:val="0"/>
              <w:suppressLineNumbers w:val="0"/>
              <w:bidi w:val="0"/>
              <w:spacing w:before="0" w:beforeAutospacing="0" w:after="0" w:afterAutospacing="0"/>
              <w:rPr>
                <w:rFonts w:hint="default"/>
              </w:rPr>
            </w:pPr>
            <w:r>
              <w:rPr>
                <w:rFonts w:hint="default"/>
              </w:rPr>
              <w:t>硫化氢、氨、臭气浓度</w:t>
            </w:r>
          </w:p>
        </w:tc>
        <w:tc>
          <w:tcPr>
            <w:tcW w:w="778" w:type="pct"/>
            <w:tcBorders>
              <w:tl2br w:val="nil"/>
              <w:tr2bl w:val="nil"/>
            </w:tcBorders>
            <w:shd w:val="clear" w:color="auto" w:fill="auto"/>
            <w:noWrap w:val="0"/>
            <w:vAlign w:val="center"/>
          </w:tcPr>
          <w:p w14:paraId="2651FB9F">
            <w:pPr>
              <w:pStyle w:val="42"/>
              <w:keepNext w:val="0"/>
              <w:keepLines w:val="0"/>
              <w:suppressLineNumbers w:val="0"/>
              <w:bidi w:val="0"/>
              <w:spacing w:before="0" w:beforeAutospacing="0" w:after="0" w:afterAutospacing="0"/>
              <w:rPr>
                <w:rFonts w:hint="default"/>
                <w:lang w:val="en-US"/>
              </w:rPr>
            </w:pPr>
            <w:r>
              <w:rPr>
                <w:rFonts w:hint="eastAsia"/>
                <w:lang w:val="en-US" w:eastAsia="zh-CN"/>
              </w:rPr>
              <w:t>池体封闭</w:t>
            </w:r>
          </w:p>
        </w:tc>
        <w:tc>
          <w:tcPr>
            <w:tcW w:w="740" w:type="pct"/>
            <w:vMerge w:val="restart"/>
            <w:tcBorders>
              <w:tl2br w:val="nil"/>
              <w:tr2bl w:val="nil"/>
            </w:tcBorders>
            <w:shd w:val="clear" w:color="auto" w:fill="auto"/>
            <w:noWrap w:val="0"/>
            <w:vAlign w:val="center"/>
          </w:tcPr>
          <w:p w14:paraId="588F8B2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臭气收集经“二级喷淋塔+生物滤池”处理后由15m高排气筒（DA001）排放</w:t>
            </w:r>
          </w:p>
        </w:tc>
      </w:tr>
      <w:tr w14:paraId="490E7A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2E123BC8">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55D33EB8">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隔油初沉池</w:t>
            </w:r>
          </w:p>
        </w:tc>
        <w:tc>
          <w:tcPr>
            <w:tcW w:w="741" w:type="pct"/>
            <w:tcBorders>
              <w:tl2br w:val="nil"/>
              <w:tr2bl w:val="nil"/>
            </w:tcBorders>
            <w:shd w:val="clear" w:color="auto" w:fill="auto"/>
            <w:noWrap w:val="0"/>
            <w:vAlign w:val="center"/>
          </w:tcPr>
          <w:p w14:paraId="7667A060">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臭气</w:t>
            </w:r>
          </w:p>
        </w:tc>
        <w:tc>
          <w:tcPr>
            <w:tcW w:w="1347" w:type="pct"/>
            <w:tcBorders>
              <w:tl2br w:val="nil"/>
              <w:tr2bl w:val="nil"/>
            </w:tcBorders>
            <w:shd w:val="clear" w:color="auto" w:fill="auto"/>
            <w:noWrap w:val="0"/>
            <w:vAlign w:val="center"/>
          </w:tcPr>
          <w:p w14:paraId="652CE90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硫化氢、氨、臭气浓度</w:t>
            </w:r>
          </w:p>
        </w:tc>
        <w:tc>
          <w:tcPr>
            <w:tcW w:w="778" w:type="pct"/>
            <w:tcBorders>
              <w:tl2br w:val="nil"/>
              <w:tr2bl w:val="nil"/>
            </w:tcBorders>
            <w:shd w:val="clear" w:color="auto" w:fill="auto"/>
            <w:noWrap w:val="0"/>
            <w:vAlign w:val="center"/>
          </w:tcPr>
          <w:p w14:paraId="2ECEB359">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加盖抽风</w:t>
            </w:r>
          </w:p>
        </w:tc>
        <w:tc>
          <w:tcPr>
            <w:tcW w:w="740" w:type="pct"/>
            <w:vMerge w:val="continue"/>
            <w:tcBorders>
              <w:tl2br w:val="nil"/>
              <w:tr2bl w:val="nil"/>
            </w:tcBorders>
            <w:noWrap w:val="0"/>
            <w:vAlign w:val="center"/>
          </w:tcPr>
          <w:p w14:paraId="667810B9">
            <w:pPr>
              <w:pStyle w:val="42"/>
              <w:keepNext w:val="0"/>
              <w:keepLines w:val="0"/>
              <w:suppressLineNumbers w:val="0"/>
              <w:bidi w:val="0"/>
              <w:spacing w:before="0" w:beforeAutospacing="0" w:after="0" w:afterAutospacing="0"/>
              <w:rPr>
                <w:rFonts w:hint="eastAsia"/>
                <w:lang w:val="en-US" w:eastAsia="zh-CN"/>
              </w:rPr>
            </w:pPr>
          </w:p>
        </w:tc>
      </w:tr>
      <w:tr w14:paraId="79458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279B6979">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28CDD69C">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调节池</w:t>
            </w:r>
          </w:p>
        </w:tc>
        <w:tc>
          <w:tcPr>
            <w:tcW w:w="741" w:type="pct"/>
            <w:tcBorders>
              <w:tl2br w:val="nil"/>
              <w:tr2bl w:val="nil"/>
            </w:tcBorders>
            <w:noWrap w:val="0"/>
            <w:vAlign w:val="center"/>
          </w:tcPr>
          <w:p w14:paraId="0784ABC5">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臭气</w:t>
            </w:r>
          </w:p>
        </w:tc>
        <w:tc>
          <w:tcPr>
            <w:tcW w:w="1347" w:type="pct"/>
            <w:tcBorders>
              <w:tl2br w:val="nil"/>
              <w:tr2bl w:val="nil"/>
            </w:tcBorders>
            <w:noWrap w:val="0"/>
            <w:vAlign w:val="center"/>
          </w:tcPr>
          <w:p w14:paraId="29B31814">
            <w:pPr>
              <w:pStyle w:val="42"/>
              <w:keepNext w:val="0"/>
              <w:keepLines w:val="0"/>
              <w:suppressLineNumbers w:val="0"/>
              <w:bidi w:val="0"/>
              <w:spacing w:before="0" w:beforeAutospacing="0" w:after="0" w:afterAutospacing="0"/>
              <w:rPr>
                <w:rFonts w:hint="default"/>
                <w:lang w:val="en-US" w:eastAsia="zh-CN"/>
              </w:rPr>
            </w:pPr>
            <w:r>
              <w:rPr>
                <w:rFonts w:hint="default"/>
              </w:rPr>
              <w:t>硫化氢、氨、臭气浓度</w:t>
            </w:r>
          </w:p>
        </w:tc>
        <w:tc>
          <w:tcPr>
            <w:tcW w:w="778" w:type="pct"/>
            <w:tcBorders>
              <w:tl2br w:val="nil"/>
              <w:tr2bl w:val="nil"/>
            </w:tcBorders>
            <w:noWrap w:val="0"/>
            <w:vAlign w:val="center"/>
          </w:tcPr>
          <w:p w14:paraId="53481688">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池体封闭</w:t>
            </w:r>
          </w:p>
        </w:tc>
        <w:tc>
          <w:tcPr>
            <w:tcW w:w="740" w:type="pct"/>
            <w:vMerge w:val="continue"/>
            <w:tcBorders>
              <w:tl2br w:val="nil"/>
              <w:tr2bl w:val="nil"/>
            </w:tcBorders>
            <w:noWrap w:val="0"/>
            <w:vAlign w:val="center"/>
          </w:tcPr>
          <w:p w14:paraId="0F02E027">
            <w:pPr>
              <w:pStyle w:val="42"/>
              <w:keepNext w:val="0"/>
              <w:keepLines w:val="0"/>
              <w:suppressLineNumbers w:val="0"/>
              <w:bidi w:val="0"/>
              <w:spacing w:before="0" w:beforeAutospacing="0" w:after="0" w:afterAutospacing="0"/>
              <w:rPr>
                <w:rFonts w:hint="eastAsia"/>
                <w:lang w:val="en-US" w:eastAsia="zh-CN"/>
              </w:rPr>
            </w:pPr>
          </w:p>
        </w:tc>
      </w:tr>
      <w:tr w14:paraId="28E1EC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6DC01029">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49A19A93">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缺氧池</w:t>
            </w:r>
          </w:p>
        </w:tc>
        <w:tc>
          <w:tcPr>
            <w:tcW w:w="741" w:type="pct"/>
            <w:tcBorders>
              <w:tl2br w:val="nil"/>
              <w:tr2bl w:val="nil"/>
            </w:tcBorders>
            <w:shd w:val="clear" w:color="auto" w:fill="auto"/>
            <w:noWrap w:val="0"/>
            <w:vAlign w:val="center"/>
          </w:tcPr>
          <w:p w14:paraId="52CC8BD5">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臭气</w:t>
            </w:r>
          </w:p>
        </w:tc>
        <w:tc>
          <w:tcPr>
            <w:tcW w:w="1347" w:type="pct"/>
            <w:tcBorders>
              <w:tl2br w:val="nil"/>
              <w:tr2bl w:val="nil"/>
            </w:tcBorders>
            <w:shd w:val="clear" w:color="auto" w:fill="auto"/>
            <w:noWrap w:val="0"/>
            <w:vAlign w:val="center"/>
          </w:tcPr>
          <w:p w14:paraId="3BF5564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硫化氢、氨、臭气浓度</w:t>
            </w:r>
          </w:p>
        </w:tc>
        <w:tc>
          <w:tcPr>
            <w:tcW w:w="778" w:type="pct"/>
            <w:tcBorders>
              <w:tl2br w:val="nil"/>
              <w:tr2bl w:val="nil"/>
            </w:tcBorders>
            <w:noWrap w:val="0"/>
            <w:vAlign w:val="center"/>
          </w:tcPr>
          <w:p w14:paraId="056149E6">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池体封闭</w:t>
            </w:r>
          </w:p>
        </w:tc>
        <w:tc>
          <w:tcPr>
            <w:tcW w:w="740" w:type="pct"/>
            <w:vMerge w:val="continue"/>
            <w:tcBorders>
              <w:tl2br w:val="nil"/>
              <w:tr2bl w:val="nil"/>
            </w:tcBorders>
            <w:noWrap w:val="0"/>
            <w:vAlign w:val="center"/>
          </w:tcPr>
          <w:p w14:paraId="53C47D1B">
            <w:pPr>
              <w:pStyle w:val="42"/>
              <w:keepNext w:val="0"/>
              <w:keepLines w:val="0"/>
              <w:suppressLineNumbers w:val="0"/>
              <w:bidi w:val="0"/>
              <w:spacing w:before="0" w:beforeAutospacing="0" w:after="0" w:afterAutospacing="0"/>
              <w:rPr>
                <w:rFonts w:hint="eastAsia"/>
                <w:lang w:val="en-US" w:eastAsia="zh-CN"/>
              </w:rPr>
            </w:pPr>
          </w:p>
        </w:tc>
      </w:tr>
      <w:tr w14:paraId="551E9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0DE37992">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76995FC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消化池</w:t>
            </w:r>
          </w:p>
        </w:tc>
        <w:tc>
          <w:tcPr>
            <w:tcW w:w="741" w:type="pct"/>
            <w:tcBorders>
              <w:tl2br w:val="nil"/>
              <w:tr2bl w:val="nil"/>
            </w:tcBorders>
            <w:shd w:val="clear" w:color="auto" w:fill="auto"/>
            <w:noWrap w:val="0"/>
            <w:vAlign w:val="center"/>
          </w:tcPr>
          <w:p w14:paraId="17B6CE3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臭气</w:t>
            </w:r>
          </w:p>
        </w:tc>
        <w:tc>
          <w:tcPr>
            <w:tcW w:w="1347" w:type="pct"/>
            <w:tcBorders>
              <w:tl2br w:val="nil"/>
              <w:tr2bl w:val="nil"/>
            </w:tcBorders>
            <w:shd w:val="clear" w:color="auto" w:fill="auto"/>
            <w:noWrap w:val="0"/>
            <w:vAlign w:val="center"/>
          </w:tcPr>
          <w:p w14:paraId="47D22E2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硫化氢、氨、臭气浓度</w:t>
            </w:r>
          </w:p>
        </w:tc>
        <w:tc>
          <w:tcPr>
            <w:tcW w:w="778" w:type="pct"/>
            <w:tcBorders>
              <w:tl2br w:val="nil"/>
              <w:tr2bl w:val="nil"/>
            </w:tcBorders>
            <w:noWrap w:val="0"/>
            <w:vAlign w:val="center"/>
          </w:tcPr>
          <w:p w14:paraId="1BB57CD2">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池体封闭</w:t>
            </w:r>
          </w:p>
        </w:tc>
        <w:tc>
          <w:tcPr>
            <w:tcW w:w="740" w:type="pct"/>
            <w:vMerge w:val="continue"/>
            <w:tcBorders>
              <w:tl2br w:val="nil"/>
              <w:tr2bl w:val="nil"/>
            </w:tcBorders>
            <w:noWrap w:val="0"/>
            <w:vAlign w:val="center"/>
          </w:tcPr>
          <w:p w14:paraId="19560BF2">
            <w:pPr>
              <w:pStyle w:val="42"/>
              <w:keepNext w:val="0"/>
              <w:keepLines w:val="0"/>
              <w:suppressLineNumbers w:val="0"/>
              <w:bidi w:val="0"/>
              <w:spacing w:before="0" w:beforeAutospacing="0" w:after="0" w:afterAutospacing="0"/>
              <w:rPr>
                <w:rFonts w:hint="eastAsia"/>
                <w:lang w:val="en-US" w:eastAsia="zh-CN"/>
              </w:rPr>
            </w:pPr>
          </w:p>
        </w:tc>
      </w:tr>
      <w:tr w14:paraId="0986BE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69196C87">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4F904FD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污泥池</w:t>
            </w:r>
          </w:p>
        </w:tc>
        <w:tc>
          <w:tcPr>
            <w:tcW w:w="741" w:type="pct"/>
            <w:tcBorders>
              <w:tl2br w:val="nil"/>
              <w:tr2bl w:val="nil"/>
            </w:tcBorders>
            <w:noWrap w:val="0"/>
            <w:vAlign w:val="center"/>
          </w:tcPr>
          <w:p w14:paraId="05580D4F">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臭气</w:t>
            </w:r>
          </w:p>
        </w:tc>
        <w:tc>
          <w:tcPr>
            <w:tcW w:w="1347" w:type="pct"/>
            <w:tcBorders>
              <w:tl2br w:val="nil"/>
              <w:tr2bl w:val="nil"/>
            </w:tcBorders>
            <w:noWrap w:val="0"/>
            <w:vAlign w:val="center"/>
          </w:tcPr>
          <w:p w14:paraId="36FEE233">
            <w:pPr>
              <w:pStyle w:val="42"/>
              <w:keepNext w:val="0"/>
              <w:keepLines w:val="0"/>
              <w:suppressLineNumbers w:val="0"/>
              <w:bidi w:val="0"/>
              <w:spacing w:before="0" w:beforeAutospacing="0" w:after="0" w:afterAutospacing="0"/>
              <w:rPr>
                <w:rFonts w:hint="default"/>
                <w:lang w:val="en-US" w:eastAsia="zh-CN"/>
              </w:rPr>
            </w:pPr>
            <w:r>
              <w:rPr>
                <w:rFonts w:hint="default"/>
              </w:rPr>
              <w:t>硫化氢、氨、臭气浓度</w:t>
            </w:r>
          </w:p>
        </w:tc>
        <w:tc>
          <w:tcPr>
            <w:tcW w:w="778" w:type="pct"/>
            <w:tcBorders>
              <w:tl2br w:val="nil"/>
              <w:tr2bl w:val="nil"/>
            </w:tcBorders>
            <w:noWrap w:val="0"/>
            <w:vAlign w:val="center"/>
          </w:tcPr>
          <w:p w14:paraId="7BF4FEB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池体封闭</w:t>
            </w:r>
          </w:p>
        </w:tc>
        <w:tc>
          <w:tcPr>
            <w:tcW w:w="740" w:type="pct"/>
            <w:vMerge w:val="continue"/>
            <w:tcBorders>
              <w:tl2br w:val="nil"/>
              <w:tr2bl w:val="nil"/>
            </w:tcBorders>
            <w:noWrap w:val="0"/>
            <w:vAlign w:val="center"/>
          </w:tcPr>
          <w:p w14:paraId="40E55F3E">
            <w:pPr>
              <w:pStyle w:val="42"/>
              <w:keepNext w:val="0"/>
              <w:keepLines w:val="0"/>
              <w:suppressLineNumbers w:val="0"/>
              <w:bidi w:val="0"/>
              <w:spacing w:before="0" w:beforeAutospacing="0" w:after="0" w:afterAutospacing="0"/>
              <w:rPr>
                <w:rFonts w:hint="eastAsia"/>
                <w:lang w:val="en-US" w:eastAsia="zh-CN"/>
              </w:rPr>
            </w:pPr>
          </w:p>
        </w:tc>
      </w:tr>
      <w:tr w14:paraId="3E55F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017ADF8F">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64DD043D">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污泥脱水间</w:t>
            </w:r>
          </w:p>
        </w:tc>
        <w:tc>
          <w:tcPr>
            <w:tcW w:w="741" w:type="pct"/>
            <w:tcBorders>
              <w:tl2br w:val="nil"/>
              <w:tr2bl w:val="nil"/>
            </w:tcBorders>
            <w:noWrap w:val="0"/>
            <w:vAlign w:val="center"/>
          </w:tcPr>
          <w:p w14:paraId="7A4EE6E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臭气</w:t>
            </w:r>
          </w:p>
        </w:tc>
        <w:tc>
          <w:tcPr>
            <w:tcW w:w="1347" w:type="pct"/>
            <w:tcBorders>
              <w:tl2br w:val="nil"/>
              <w:tr2bl w:val="nil"/>
            </w:tcBorders>
            <w:noWrap w:val="0"/>
            <w:vAlign w:val="center"/>
          </w:tcPr>
          <w:p w14:paraId="38976DF0">
            <w:pPr>
              <w:pStyle w:val="42"/>
              <w:keepNext w:val="0"/>
              <w:keepLines w:val="0"/>
              <w:suppressLineNumbers w:val="0"/>
              <w:bidi w:val="0"/>
              <w:spacing w:before="0" w:beforeAutospacing="0" w:after="0" w:afterAutospacing="0"/>
              <w:rPr>
                <w:rFonts w:hint="default"/>
                <w:lang w:val="en-US" w:eastAsia="zh-CN"/>
              </w:rPr>
            </w:pPr>
            <w:r>
              <w:rPr>
                <w:rFonts w:hint="default"/>
              </w:rPr>
              <w:t>硫化氢、氨、臭气浓度</w:t>
            </w:r>
          </w:p>
        </w:tc>
        <w:tc>
          <w:tcPr>
            <w:tcW w:w="778" w:type="pct"/>
            <w:tcBorders>
              <w:tl2br w:val="nil"/>
              <w:tr2bl w:val="nil"/>
            </w:tcBorders>
            <w:noWrap w:val="0"/>
            <w:vAlign w:val="center"/>
          </w:tcPr>
          <w:p w14:paraId="3B6CAA11">
            <w:pPr>
              <w:pStyle w:val="42"/>
              <w:keepNext w:val="0"/>
              <w:keepLines w:val="0"/>
              <w:suppressLineNumbers w:val="0"/>
              <w:bidi w:val="0"/>
              <w:spacing w:before="0" w:beforeAutospacing="0" w:after="0" w:afterAutospacing="0"/>
              <w:rPr>
                <w:rFonts w:hint="default"/>
                <w:lang w:val="zh-CN" w:eastAsia="zh-CN"/>
              </w:rPr>
            </w:pPr>
            <w:r>
              <w:rPr>
                <w:rFonts w:hint="eastAsia"/>
                <w:lang w:val="en-US" w:eastAsia="zh-CN"/>
              </w:rPr>
              <w:t>集气罩</w:t>
            </w:r>
          </w:p>
        </w:tc>
        <w:tc>
          <w:tcPr>
            <w:tcW w:w="740" w:type="pct"/>
            <w:vMerge w:val="continue"/>
            <w:tcBorders>
              <w:tl2br w:val="nil"/>
              <w:tr2bl w:val="nil"/>
            </w:tcBorders>
            <w:noWrap w:val="0"/>
            <w:vAlign w:val="center"/>
          </w:tcPr>
          <w:p w14:paraId="63E38B04">
            <w:pPr>
              <w:pStyle w:val="42"/>
              <w:keepNext w:val="0"/>
              <w:keepLines w:val="0"/>
              <w:suppressLineNumbers w:val="0"/>
              <w:bidi w:val="0"/>
              <w:spacing w:before="0" w:beforeAutospacing="0" w:after="0" w:afterAutospacing="0"/>
              <w:rPr>
                <w:rFonts w:hint="eastAsia"/>
                <w:lang w:val="en-US" w:eastAsia="zh-CN"/>
              </w:rPr>
            </w:pPr>
          </w:p>
        </w:tc>
      </w:tr>
      <w:tr w14:paraId="72D116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0FAB883C">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2D4C5CC1">
            <w:pPr>
              <w:pStyle w:val="42"/>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厌氧流化床</w:t>
            </w:r>
          </w:p>
        </w:tc>
        <w:tc>
          <w:tcPr>
            <w:tcW w:w="2088" w:type="pct"/>
            <w:gridSpan w:val="2"/>
            <w:tcBorders>
              <w:tl2br w:val="nil"/>
              <w:tr2bl w:val="nil"/>
            </w:tcBorders>
            <w:shd w:val="clear" w:color="auto" w:fill="auto"/>
            <w:noWrap w:val="0"/>
            <w:vAlign w:val="center"/>
          </w:tcPr>
          <w:p w14:paraId="25088E47">
            <w:pPr>
              <w:pStyle w:val="42"/>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沼气、</w:t>
            </w:r>
            <w:r>
              <w:rPr>
                <w:rFonts w:hint="default"/>
              </w:rPr>
              <w:t>硫化氢、氨、臭气浓度</w:t>
            </w:r>
          </w:p>
        </w:tc>
        <w:tc>
          <w:tcPr>
            <w:tcW w:w="1518" w:type="pct"/>
            <w:gridSpan w:val="2"/>
            <w:tcBorders>
              <w:tl2br w:val="nil"/>
              <w:tr2bl w:val="nil"/>
            </w:tcBorders>
            <w:shd w:val="clear" w:color="auto" w:fill="auto"/>
            <w:noWrap w:val="0"/>
            <w:vAlign w:val="center"/>
          </w:tcPr>
          <w:p w14:paraId="560CDC43">
            <w:pPr>
              <w:pStyle w:val="42"/>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池体封闭，收集脱硫后火炬燃烧后排放</w:t>
            </w:r>
          </w:p>
        </w:tc>
      </w:tr>
      <w:tr w14:paraId="26E594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3D2033BC">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602EAE49">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好氧池</w:t>
            </w:r>
          </w:p>
        </w:tc>
        <w:tc>
          <w:tcPr>
            <w:tcW w:w="741" w:type="pct"/>
            <w:tcBorders>
              <w:tl2br w:val="nil"/>
              <w:tr2bl w:val="nil"/>
            </w:tcBorders>
            <w:shd w:val="clear" w:color="auto" w:fill="auto"/>
            <w:noWrap w:val="0"/>
            <w:vAlign w:val="center"/>
          </w:tcPr>
          <w:p w14:paraId="2235276F">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臭气</w:t>
            </w:r>
          </w:p>
        </w:tc>
        <w:tc>
          <w:tcPr>
            <w:tcW w:w="1347" w:type="pct"/>
            <w:tcBorders>
              <w:tl2br w:val="nil"/>
              <w:tr2bl w:val="nil"/>
            </w:tcBorders>
            <w:shd w:val="clear" w:color="auto" w:fill="auto"/>
            <w:noWrap w:val="0"/>
            <w:vAlign w:val="center"/>
          </w:tcPr>
          <w:p w14:paraId="428B081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硫化氢、氨、臭气浓度</w:t>
            </w:r>
          </w:p>
        </w:tc>
        <w:tc>
          <w:tcPr>
            <w:tcW w:w="1518" w:type="pct"/>
            <w:gridSpan w:val="2"/>
            <w:tcBorders>
              <w:tl2br w:val="nil"/>
              <w:tr2bl w:val="nil"/>
            </w:tcBorders>
            <w:shd w:val="clear" w:color="auto" w:fill="auto"/>
            <w:noWrap w:val="0"/>
            <w:vAlign w:val="center"/>
          </w:tcPr>
          <w:p w14:paraId="293FB1C2">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无组织</w:t>
            </w:r>
          </w:p>
        </w:tc>
      </w:tr>
      <w:tr w14:paraId="465348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423F6879">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3ECF90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好氧流化床</w:t>
            </w:r>
          </w:p>
        </w:tc>
        <w:tc>
          <w:tcPr>
            <w:tcW w:w="741" w:type="pct"/>
            <w:tcBorders>
              <w:tl2br w:val="nil"/>
              <w:tr2bl w:val="nil"/>
            </w:tcBorders>
            <w:noWrap w:val="0"/>
            <w:vAlign w:val="center"/>
          </w:tcPr>
          <w:p w14:paraId="143DB8E1">
            <w:pPr>
              <w:pStyle w:val="42"/>
              <w:keepNext w:val="0"/>
              <w:keepLines w:val="0"/>
              <w:suppressLineNumbers w:val="0"/>
              <w:bidi w:val="0"/>
              <w:spacing w:before="0" w:beforeAutospacing="0" w:after="0" w:afterAutospacing="0"/>
              <w:rPr>
                <w:rFonts w:hint="default"/>
              </w:rPr>
            </w:pPr>
            <w:r>
              <w:rPr>
                <w:rFonts w:hint="eastAsia"/>
                <w:lang w:val="en-US" w:eastAsia="zh-CN"/>
              </w:rPr>
              <w:t>臭气</w:t>
            </w:r>
          </w:p>
        </w:tc>
        <w:tc>
          <w:tcPr>
            <w:tcW w:w="1347" w:type="pct"/>
            <w:tcBorders>
              <w:tl2br w:val="nil"/>
              <w:tr2bl w:val="nil"/>
            </w:tcBorders>
            <w:noWrap w:val="0"/>
            <w:vAlign w:val="center"/>
          </w:tcPr>
          <w:p w14:paraId="75038E6A">
            <w:pPr>
              <w:pStyle w:val="42"/>
              <w:keepNext w:val="0"/>
              <w:keepLines w:val="0"/>
              <w:suppressLineNumbers w:val="0"/>
              <w:bidi w:val="0"/>
              <w:spacing w:before="0" w:beforeAutospacing="0" w:after="0" w:afterAutospacing="0"/>
              <w:rPr>
                <w:rFonts w:hint="default"/>
                <w:lang w:val="en-US" w:eastAsia="zh-CN"/>
              </w:rPr>
            </w:pPr>
            <w:r>
              <w:rPr>
                <w:rFonts w:hint="default"/>
              </w:rPr>
              <w:t>硫化氢、氨、臭气浓度</w:t>
            </w:r>
          </w:p>
        </w:tc>
        <w:tc>
          <w:tcPr>
            <w:tcW w:w="1518" w:type="pct"/>
            <w:gridSpan w:val="2"/>
            <w:tcBorders>
              <w:tl2br w:val="nil"/>
              <w:tr2bl w:val="nil"/>
            </w:tcBorders>
            <w:noWrap w:val="0"/>
            <w:vAlign w:val="center"/>
          </w:tcPr>
          <w:p w14:paraId="7C5DEF9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无组织</w:t>
            </w:r>
          </w:p>
        </w:tc>
      </w:tr>
      <w:tr w14:paraId="7BBC3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continue"/>
            <w:tcBorders>
              <w:tl2br w:val="nil"/>
              <w:tr2bl w:val="nil"/>
            </w:tcBorders>
            <w:noWrap w:val="0"/>
            <w:vAlign w:val="center"/>
          </w:tcPr>
          <w:p w14:paraId="4819C40C">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333469D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去磷池</w:t>
            </w:r>
          </w:p>
        </w:tc>
        <w:tc>
          <w:tcPr>
            <w:tcW w:w="741" w:type="pct"/>
            <w:tcBorders>
              <w:tl2br w:val="nil"/>
              <w:tr2bl w:val="nil"/>
            </w:tcBorders>
            <w:shd w:val="clear" w:color="auto" w:fill="auto"/>
            <w:noWrap w:val="0"/>
            <w:vAlign w:val="center"/>
          </w:tcPr>
          <w:p w14:paraId="0D64CCE0">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臭气</w:t>
            </w:r>
          </w:p>
        </w:tc>
        <w:tc>
          <w:tcPr>
            <w:tcW w:w="1347" w:type="pct"/>
            <w:tcBorders>
              <w:tl2br w:val="nil"/>
              <w:tr2bl w:val="nil"/>
            </w:tcBorders>
            <w:shd w:val="clear" w:color="auto" w:fill="auto"/>
            <w:noWrap w:val="0"/>
            <w:vAlign w:val="center"/>
          </w:tcPr>
          <w:p w14:paraId="33B4CC2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rPr>
              <w:t>硫化氢、氨、臭气浓度</w:t>
            </w:r>
          </w:p>
        </w:tc>
        <w:tc>
          <w:tcPr>
            <w:tcW w:w="1518" w:type="pct"/>
            <w:gridSpan w:val="2"/>
            <w:tcBorders>
              <w:tl2br w:val="nil"/>
              <w:tr2bl w:val="nil"/>
            </w:tcBorders>
            <w:shd w:val="clear" w:color="auto" w:fill="auto"/>
            <w:noWrap w:val="0"/>
            <w:vAlign w:val="center"/>
          </w:tcPr>
          <w:p w14:paraId="4C39EC34">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无组织</w:t>
            </w:r>
          </w:p>
        </w:tc>
      </w:tr>
      <w:tr w14:paraId="2F97C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vMerge w:val="restart"/>
            <w:tcBorders>
              <w:tl2br w:val="nil"/>
              <w:tr2bl w:val="nil"/>
            </w:tcBorders>
            <w:noWrap w:val="0"/>
            <w:vAlign w:val="center"/>
          </w:tcPr>
          <w:p w14:paraId="0E5CD8BD">
            <w:pPr>
              <w:pStyle w:val="42"/>
              <w:keepNext w:val="0"/>
              <w:keepLines w:val="0"/>
              <w:suppressLineNumbers w:val="0"/>
              <w:bidi w:val="0"/>
              <w:spacing w:before="0" w:beforeAutospacing="0" w:after="0" w:afterAutospacing="0"/>
              <w:rPr>
                <w:rFonts w:hint="default"/>
              </w:rPr>
            </w:pPr>
            <w:r>
              <w:rPr>
                <w:rFonts w:hint="default"/>
              </w:rPr>
              <w:t>废水</w:t>
            </w:r>
          </w:p>
        </w:tc>
        <w:tc>
          <w:tcPr>
            <w:tcW w:w="782" w:type="pct"/>
            <w:tcBorders>
              <w:tl2br w:val="nil"/>
              <w:tr2bl w:val="nil"/>
            </w:tcBorders>
            <w:noWrap w:val="0"/>
            <w:vAlign w:val="center"/>
          </w:tcPr>
          <w:p w14:paraId="38CF139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污泥脱水间</w:t>
            </w:r>
          </w:p>
        </w:tc>
        <w:tc>
          <w:tcPr>
            <w:tcW w:w="741" w:type="pct"/>
            <w:tcBorders>
              <w:tl2br w:val="nil"/>
              <w:tr2bl w:val="nil"/>
            </w:tcBorders>
            <w:noWrap w:val="0"/>
            <w:vAlign w:val="center"/>
          </w:tcPr>
          <w:p w14:paraId="3DC5DD9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地面设备冲洗废水</w:t>
            </w:r>
          </w:p>
        </w:tc>
        <w:tc>
          <w:tcPr>
            <w:tcW w:w="1347" w:type="pct"/>
            <w:tcBorders>
              <w:tl2br w:val="nil"/>
              <w:tr2bl w:val="nil"/>
            </w:tcBorders>
            <w:noWrap w:val="0"/>
            <w:vAlign w:val="center"/>
          </w:tcPr>
          <w:p w14:paraId="6308D7B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SS、BOD、COD、氨氮</w:t>
            </w:r>
          </w:p>
        </w:tc>
        <w:tc>
          <w:tcPr>
            <w:tcW w:w="1518" w:type="pct"/>
            <w:gridSpan w:val="2"/>
            <w:vMerge w:val="restart"/>
            <w:tcBorders>
              <w:tl2br w:val="nil"/>
              <w:tr2bl w:val="nil"/>
            </w:tcBorders>
            <w:noWrap w:val="0"/>
            <w:vAlign w:val="center"/>
          </w:tcPr>
          <w:p w14:paraId="08EB480F">
            <w:pPr>
              <w:pStyle w:val="42"/>
              <w:keepNext w:val="0"/>
              <w:keepLines w:val="0"/>
              <w:suppressLineNumbers w:val="0"/>
              <w:bidi w:val="0"/>
              <w:spacing w:before="0" w:beforeAutospacing="0" w:after="0" w:afterAutospacing="0"/>
              <w:rPr>
                <w:rFonts w:hint="default"/>
                <w:lang w:val="en-US" w:eastAsia="zh-CN"/>
              </w:rPr>
            </w:pPr>
            <w:r>
              <w:rPr>
                <w:rFonts w:hint="default" w:ascii="Times New Roman" w:hAnsi="Times New Roman" w:cs="Times New Roman"/>
                <w:color w:val="auto"/>
                <w:sz w:val="21"/>
                <w:szCs w:val="21"/>
                <w:highlight w:val="none"/>
                <w:lang w:val="en-US" w:eastAsia="zh-CN"/>
              </w:rPr>
              <w:t>与进站废水一并处理达标后外排</w:t>
            </w:r>
          </w:p>
        </w:tc>
      </w:tr>
      <w:tr w14:paraId="318734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3" w:hRule="atLeast"/>
        </w:trPr>
        <w:tc>
          <w:tcPr>
            <w:tcW w:w="610" w:type="pct"/>
            <w:gridSpan w:val="2"/>
            <w:vMerge w:val="continue"/>
            <w:tcBorders>
              <w:tl2br w:val="nil"/>
              <w:tr2bl w:val="nil"/>
            </w:tcBorders>
            <w:noWrap w:val="0"/>
            <w:vAlign w:val="center"/>
          </w:tcPr>
          <w:p w14:paraId="6285F84F">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noWrap w:val="0"/>
            <w:vAlign w:val="center"/>
          </w:tcPr>
          <w:p w14:paraId="59DF93F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二级</w:t>
            </w:r>
            <w:r>
              <w:rPr>
                <w:rFonts w:hint="default"/>
                <w:lang w:val="en-US" w:eastAsia="zh-CN"/>
              </w:rPr>
              <w:t>喷淋塔</w:t>
            </w:r>
          </w:p>
        </w:tc>
        <w:tc>
          <w:tcPr>
            <w:tcW w:w="741" w:type="pct"/>
            <w:tcBorders>
              <w:tl2br w:val="nil"/>
              <w:tr2bl w:val="nil"/>
            </w:tcBorders>
            <w:noWrap w:val="0"/>
            <w:vAlign w:val="center"/>
          </w:tcPr>
          <w:p w14:paraId="37CC90F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循环废水</w:t>
            </w:r>
          </w:p>
        </w:tc>
        <w:tc>
          <w:tcPr>
            <w:tcW w:w="1347" w:type="pct"/>
            <w:tcBorders>
              <w:tl2br w:val="nil"/>
              <w:tr2bl w:val="nil"/>
            </w:tcBorders>
            <w:noWrap w:val="0"/>
            <w:vAlign w:val="center"/>
          </w:tcPr>
          <w:p w14:paraId="295514D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pH、SS、BOD、COD、氨氮</w:t>
            </w:r>
          </w:p>
        </w:tc>
        <w:tc>
          <w:tcPr>
            <w:tcW w:w="1518" w:type="pct"/>
            <w:gridSpan w:val="2"/>
            <w:vMerge w:val="continue"/>
            <w:tcBorders>
              <w:tl2br w:val="nil"/>
              <w:tr2bl w:val="nil"/>
            </w:tcBorders>
            <w:noWrap w:val="0"/>
            <w:vAlign w:val="center"/>
          </w:tcPr>
          <w:p w14:paraId="41EA1B0A">
            <w:pPr>
              <w:pStyle w:val="42"/>
              <w:keepNext w:val="0"/>
              <w:keepLines w:val="0"/>
              <w:suppressLineNumbers w:val="0"/>
              <w:bidi w:val="0"/>
              <w:spacing w:before="0" w:beforeAutospacing="0" w:after="0" w:afterAutospacing="0"/>
              <w:rPr>
                <w:rFonts w:hint="default"/>
              </w:rPr>
            </w:pPr>
          </w:p>
        </w:tc>
      </w:tr>
      <w:tr w14:paraId="0B2D02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610" w:type="pct"/>
            <w:gridSpan w:val="2"/>
            <w:tcBorders>
              <w:tl2br w:val="nil"/>
              <w:tr2bl w:val="nil"/>
            </w:tcBorders>
            <w:noWrap w:val="0"/>
            <w:vAlign w:val="center"/>
          </w:tcPr>
          <w:p w14:paraId="05F9EDCD">
            <w:pPr>
              <w:pStyle w:val="42"/>
              <w:keepNext w:val="0"/>
              <w:keepLines w:val="0"/>
              <w:suppressLineNumbers w:val="0"/>
              <w:bidi w:val="0"/>
              <w:spacing w:before="0" w:beforeAutospacing="0" w:after="0" w:afterAutospacing="0"/>
              <w:rPr>
                <w:rFonts w:hint="default"/>
              </w:rPr>
            </w:pPr>
            <w:r>
              <w:rPr>
                <w:rFonts w:hint="default"/>
              </w:rPr>
              <w:t>噪声</w:t>
            </w:r>
          </w:p>
        </w:tc>
        <w:tc>
          <w:tcPr>
            <w:tcW w:w="782" w:type="pct"/>
            <w:tcBorders>
              <w:tl2br w:val="nil"/>
              <w:tr2bl w:val="nil"/>
            </w:tcBorders>
            <w:noWrap w:val="0"/>
            <w:vAlign w:val="center"/>
          </w:tcPr>
          <w:p w14:paraId="2E62257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污水处理厂内泵站、鼓风机等设备</w:t>
            </w:r>
          </w:p>
        </w:tc>
        <w:tc>
          <w:tcPr>
            <w:tcW w:w="741" w:type="pct"/>
            <w:tcBorders>
              <w:tl2br w:val="nil"/>
              <w:tr2bl w:val="nil"/>
            </w:tcBorders>
            <w:noWrap w:val="0"/>
            <w:vAlign w:val="center"/>
          </w:tcPr>
          <w:p w14:paraId="619FFA4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设备</w:t>
            </w:r>
            <w:r>
              <w:rPr>
                <w:rFonts w:hint="default"/>
                <w:lang w:val="en-US" w:eastAsia="zh-CN"/>
              </w:rPr>
              <w:t>噪声</w:t>
            </w:r>
          </w:p>
        </w:tc>
        <w:tc>
          <w:tcPr>
            <w:tcW w:w="1347" w:type="pct"/>
            <w:tcBorders>
              <w:tl2br w:val="nil"/>
              <w:tr2bl w:val="nil"/>
            </w:tcBorders>
            <w:noWrap w:val="0"/>
            <w:vAlign w:val="center"/>
          </w:tcPr>
          <w:p w14:paraId="604E508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t>
            </w:r>
          </w:p>
        </w:tc>
        <w:tc>
          <w:tcPr>
            <w:tcW w:w="1518" w:type="pct"/>
            <w:gridSpan w:val="2"/>
            <w:tcBorders>
              <w:tl2br w:val="nil"/>
              <w:tr2bl w:val="nil"/>
            </w:tcBorders>
            <w:noWrap w:val="0"/>
            <w:vAlign w:val="center"/>
          </w:tcPr>
          <w:p w14:paraId="2DBCB25C">
            <w:pPr>
              <w:pStyle w:val="42"/>
              <w:keepNext w:val="0"/>
              <w:keepLines w:val="0"/>
              <w:suppressLineNumbers w:val="0"/>
              <w:bidi w:val="0"/>
              <w:spacing w:before="0" w:beforeAutospacing="0" w:after="0" w:afterAutospacing="0"/>
              <w:rPr>
                <w:rFonts w:hint="default"/>
                <w:lang w:val="en-US" w:eastAsia="zh-CN"/>
              </w:rPr>
            </w:pPr>
            <w:r>
              <w:rPr>
                <w:rFonts w:hint="default"/>
              </w:rPr>
              <w:t>减振基础/消声/隔声/室内、水下设置</w:t>
            </w:r>
          </w:p>
        </w:tc>
      </w:tr>
      <w:tr w14:paraId="141FAA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restart"/>
            <w:tcBorders>
              <w:tl2br w:val="nil"/>
              <w:tr2bl w:val="nil"/>
            </w:tcBorders>
            <w:noWrap w:val="0"/>
            <w:vAlign w:val="center"/>
          </w:tcPr>
          <w:p w14:paraId="2E249DFF">
            <w:pPr>
              <w:pStyle w:val="42"/>
              <w:keepNext w:val="0"/>
              <w:keepLines w:val="0"/>
              <w:suppressLineNumbers w:val="0"/>
              <w:bidi w:val="0"/>
              <w:spacing w:before="0" w:beforeAutospacing="0" w:after="0" w:afterAutospacing="0"/>
              <w:rPr>
                <w:rFonts w:hint="default"/>
              </w:rPr>
            </w:pPr>
            <w:r>
              <w:rPr>
                <w:rFonts w:hint="default"/>
              </w:rPr>
              <w:t>固体废物</w:t>
            </w:r>
          </w:p>
        </w:tc>
        <w:tc>
          <w:tcPr>
            <w:tcW w:w="328" w:type="pct"/>
            <w:vMerge w:val="restart"/>
            <w:tcBorders>
              <w:tl2br w:val="nil"/>
              <w:tr2bl w:val="nil"/>
            </w:tcBorders>
            <w:shd w:val="clear" w:color="auto" w:fill="auto"/>
            <w:noWrap w:val="0"/>
            <w:vAlign w:val="center"/>
          </w:tcPr>
          <w:p w14:paraId="14E317C3">
            <w:pPr>
              <w:pStyle w:val="42"/>
              <w:keepNext w:val="0"/>
              <w:keepLines w:val="0"/>
              <w:suppressLineNumbers w:val="0"/>
              <w:bidi w:val="0"/>
              <w:spacing w:before="0" w:beforeAutospacing="0" w:after="0" w:afterAutospacing="0"/>
              <w:rPr>
                <w:rFonts w:hint="default"/>
              </w:rPr>
            </w:pPr>
            <w:r>
              <w:rPr>
                <w:rFonts w:hint="default"/>
              </w:rPr>
              <w:t>一般</w:t>
            </w:r>
          </w:p>
          <w:p w14:paraId="25CCB164">
            <w:pPr>
              <w:pStyle w:val="42"/>
              <w:keepNext w:val="0"/>
              <w:keepLines w:val="0"/>
              <w:suppressLineNumbers w:val="0"/>
              <w:bidi w:val="0"/>
              <w:spacing w:before="0" w:beforeAutospacing="0" w:after="0" w:afterAutospacing="0"/>
              <w:rPr>
                <w:rFonts w:hint="default"/>
              </w:rPr>
            </w:pPr>
            <w:r>
              <w:rPr>
                <w:rFonts w:hint="default"/>
              </w:rPr>
              <w:t>固体废物</w:t>
            </w:r>
          </w:p>
        </w:tc>
        <w:tc>
          <w:tcPr>
            <w:tcW w:w="782" w:type="pct"/>
            <w:tcBorders>
              <w:tl2br w:val="nil"/>
              <w:tr2bl w:val="nil"/>
            </w:tcBorders>
            <w:shd w:val="clear" w:color="auto" w:fill="auto"/>
            <w:noWrap w:val="0"/>
            <w:vAlign w:val="center"/>
          </w:tcPr>
          <w:p w14:paraId="05E6267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格栅</w:t>
            </w:r>
          </w:p>
        </w:tc>
        <w:tc>
          <w:tcPr>
            <w:tcW w:w="741" w:type="pct"/>
            <w:tcBorders>
              <w:tl2br w:val="nil"/>
              <w:tr2bl w:val="nil"/>
            </w:tcBorders>
            <w:shd w:val="clear" w:color="auto" w:fill="auto"/>
            <w:noWrap w:val="0"/>
            <w:vAlign w:val="center"/>
          </w:tcPr>
          <w:p w14:paraId="403F3B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栅渣</w:t>
            </w:r>
          </w:p>
        </w:tc>
        <w:tc>
          <w:tcPr>
            <w:tcW w:w="1347" w:type="pct"/>
            <w:tcBorders>
              <w:tl2br w:val="nil"/>
              <w:tr2bl w:val="nil"/>
            </w:tcBorders>
            <w:shd w:val="clear" w:color="auto" w:fill="auto"/>
            <w:noWrap w:val="0"/>
            <w:vAlign w:val="center"/>
          </w:tcPr>
          <w:p w14:paraId="79CA754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食物残渣、塑料袋等杂质</w:t>
            </w:r>
          </w:p>
        </w:tc>
        <w:tc>
          <w:tcPr>
            <w:tcW w:w="1518" w:type="pct"/>
            <w:gridSpan w:val="2"/>
            <w:tcBorders>
              <w:tl2br w:val="nil"/>
              <w:tr2bl w:val="nil"/>
            </w:tcBorders>
            <w:shd w:val="clear" w:color="auto" w:fill="auto"/>
            <w:noWrap w:val="0"/>
            <w:vAlign w:val="center"/>
          </w:tcPr>
          <w:p w14:paraId="6014523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收集交由环卫部门清运处置</w:t>
            </w:r>
          </w:p>
        </w:tc>
      </w:tr>
      <w:tr w14:paraId="179564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continue"/>
            <w:tcBorders>
              <w:tl2br w:val="nil"/>
              <w:tr2bl w:val="nil"/>
            </w:tcBorders>
            <w:noWrap w:val="0"/>
            <w:vAlign w:val="center"/>
          </w:tcPr>
          <w:p w14:paraId="0F56E1F1">
            <w:pPr>
              <w:pStyle w:val="42"/>
              <w:keepNext w:val="0"/>
              <w:keepLines w:val="0"/>
              <w:suppressLineNumbers w:val="0"/>
              <w:bidi w:val="0"/>
              <w:spacing w:before="0" w:beforeAutospacing="0" w:after="0" w:afterAutospacing="0"/>
              <w:rPr>
                <w:rFonts w:hint="default"/>
              </w:rPr>
            </w:pPr>
          </w:p>
        </w:tc>
        <w:tc>
          <w:tcPr>
            <w:tcW w:w="328" w:type="pct"/>
            <w:vMerge w:val="continue"/>
            <w:tcBorders>
              <w:tl2br w:val="nil"/>
              <w:tr2bl w:val="nil"/>
            </w:tcBorders>
            <w:shd w:val="clear" w:color="auto" w:fill="auto"/>
            <w:noWrap w:val="0"/>
            <w:vAlign w:val="center"/>
          </w:tcPr>
          <w:p w14:paraId="30D5B892">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5D5FA86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废气处理</w:t>
            </w:r>
          </w:p>
        </w:tc>
        <w:tc>
          <w:tcPr>
            <w:tcW w:w="741" w:type="pct"/>
            <w:tcBorders>
              <w:tl2br w:val="nil"/>
              <w:tr2bl w:val="nil"/>
            </w:tcBorders>
            <w:shd w:val="clear" w:color="auto" w:fill="auto"/>
            <w:noWrap w:val="0"/>
            <w:vAlign w:val="center"/>
          </w:tcPr>
          <w:p w14:paraId="0B61F24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废生物填料</w:t>
            </w:r>
          </w:p>
        </w:tc>
        <w:tc>
          <w:tcPr>
            <w:tcW w:w="1347" w:type="pct"/>
            <w:tcBorders>
              <w:tl2br w:val="nil"/>
              <w:tr2bl w:val="nil"/>
            </w:tcBorders>
            <w:shd w:val="clear" w:color="auto" w:fill="auto"/>
            <w:noWrap w:val="0"/>
            <w:vAlign w:val="center"/>
          </w:tcPr>
          <w:p w14:paraId="79CF9F5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废生物填料</w:t>
            </w:r>
          </w:p>
        </w:tc>
        <w:tc>
          <w:tcPr>
            <w:tcW w:w="1518" w:type="pct"/>
            <w:gridSpan w:val="2"/>
            <w:tcBorders>
              <w:tl2br w:val="nil"/>
              <w:tr2bl w:val="nil"/>
            </w:tcBorders>
            <w:shd w:val="clear" w:color="auto" w:fill="auto"/>
            <w:noWrap w:val="0"/>
            <w:vAlign w:val="center"/>
          </w:tcPr>
          <w:p w14:paraId="22CDB2D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收集后交原料供应厂家回收利用</w:t>
            </w:r>
          </w:p>
        </w:tc>
      </w:tr>
      <w:tr w14:paraId="4CA83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continue"/>
            <w:tcBorders>
              <w:tl2br w:val="nil"/>
              <w:tr2bl w:val="nil"/>
            </w:tcBorders>
            <w:noWrap w:val="0"/>
            <w:vAlign w:val="center"/>
          </w:tcPr>
          <w:p w14:paraId="7AFE18CA">
            <w:pPr>
              <w:pStyle w:val="42"/>
              <w:keepNext w:val="0"/>
              <w:keepLines w:val="0"/>
              <w:suppressLineNumbers w:val="0"/>
              <w:bidi w:val="0"/>
              <w:spacing w:before="0" w:beforeAutospacing="0" w:after="0" w:afterAutospacing="0"/>
              <w:rPr>
                <w:rFonts w:hint="default"/>
              </w:rPr>
            </w:pPr>
          </w:p>
        </w:tc>
        <w:tc>
          <w:tcPr>
            <w:tcW w:w="328" w:type="pct"/>
            <w:vMerge w:val="continue"/>
            <w:tcBorders>
              <w:tl2br w:val="nil"/>
              <w:tr2bl w:val="nil"/>
            </w:tcBorders>
            <w:shd w:val="clear" w:color="auto" w:fill="auto"/>
            <w:noWrap w:val="0"/>
            <w:vAlign w:val="center"/>
          </w:tcPr>
          <w:p w14:paraId="291F365E">
            <w:pPr>
              <w:pStyle w:val="42"/>
              <w:keepNext w:val="0"/>
              <w:keepLines w:val="0"/>
              <w:suppressLineNumbers w:val="0"/>
              <w:bidi w:val="0"/>
              <w:spacing w:before="0" w:beforeAutospacing="0" w:after="0" w:afterAutospacing="0"/>
              <w:rPr>
                <w:rFonts w:hint="default"/>
              </w:rPr>
            </w:pPr>
          </w:p>
        </w:tc>
        <w:tc>
          <w:tcPr>
            <w:tcW w:w="782" w:type="pct"/>
            <w:tcBorders>
              <w:tl2br w:val="nil"/>
              <w:tr2bl w:val="nil"/>
            </w:tcBorders>
            <w:shd w:val="clear" w:color="auto" w:fill="auto"/>
            <w:noWrap w:val="0"/>
            <w:vAlign w:val="center"/>
          </w:tcPr>
          <w:p w14:paraId="45CF44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辅料包装</w:t>
            </w:r>
          </w:p>
        </w:tc>
        <w:tc>
          <w:tcPr>
            <w:tcW w:w="741" w:type="pct"/>
            <w:tcBorders>
              <w:tl2br w:val="nil"/>
              <w:tr2bl w:val="nil"/>
            </w:tcBorders>
            <w:shd w:val="clear" w:color="auto" w:fill="auto"/>
            <w:noWrap w:val="0"/>
            <w:vAlign w:val="center"/>
          </w:tcPr>
          <w:p w14:paraId="297D69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废塑料</w:t>
            </w:r>
          </w:p>
        </w:tc>
        <w:tc>
          <w:tcPr>
            <w:tcW w:w="1347" w:type="pct"/>
            <w:tcBorders>
              <w:tl2br w:val="nil"/>
              <w:tr2bl w:val="nil"/>
            </w:tcBorders>
            <w:shd w:val="clear" w:color="auto" w:fill="auto"/>
            <w:noWrap w:val="0"/>
            <w:vAlign w:val="center"/>
          </w:tcPr>
          <w:p w14:paraId="1D1EF67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废塑料</w:t>
            </w:r>
          </w:p>
        </w:tc>
        <w:tc>
          <w:tcPr>
            <w:tcW w:w="1518" w:type="pct"/>
            <w:gridSpan w:val="2"/>
            <w:tcBorders>
              <w:tl2br w:val="nil"/>
              <w:tr2bl w:val="nil"/>
            </w:tcBorders>
            <w:shd w:val="clear" w:color="auto" w:fill="auto"/>
            <w:noWrap w:val="0"/>
            <w:vAlign w:val="center"/>
          </w:tcPr>
          <w:p w14:paraId="1DD093B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收集后交原料供应厂家回收利用</w:t>
            </w:r>
          </w:p>
        </w:tc>
      </w:tr>
      <w:tr w14:paraId="1B341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continue"/>
            <w:tcBorders>
              <w:tl2br w:val="nil"/>
              <w:tr2bl w:val="nil"/>
            </w:tcBorders>
            <w:noWrap w:val="0"/>
            <w:vAlign w:val="center"/>
          </w:tcPr>
          <w:p w14:paraId="15B3428E">
            <w:pPr>
              <w:pStyle w:val="42"/>
              <w:keepNext w:val="0"/>
              <w:keepLines w:val="0"/>
              <w:suppressLineNumbers w:val="0"/>
              <w:bidi w:val="0"/>
              <w:spacing w:before="0" w:beforeAutospacing="0" w:after="0" w:afterAutospacing="0"/>
              <w:rPr>
                <w:rFonts w:hint="default"/>
              </w:rPr>
            </w:pPr>
          </w:p>
        </w:tc>
        <w:tc>
          <w:tcPr>
            <w:tcW w:w="328" w:type="pct"/>
            <w:vMerge w:val="continue"/>
            <w:tcBorders>
              <w:tl2br w:val="nil"/>
              <w:tr2bl w:val="nil"/>
            </w:tcBorders>
            <w:shd w:val="clear" w:color="auto" w:fill="auto"/>
            <w:noWrap w:val="0"/>
            <w:vAlign w:val="center"/>
          </w:tcPr>
          <w:p w14:paraId="6BEC4578">
            <w:pPr>
              <w:pStyle w:val="42"/>
              <w:keepNext w:val="0"/>
              <w:keepLines w:val="0"/>
              <w:suppressLineNumbers w:val="0"/>
              <w:bidi w:val="0"/>
              <w:spacing w:before="0" w:beforeAutospacing="0" w:after="0" w:afterAutospacing="0"/>
              <w:rPr>
                <w:rFonts w:hint="default"/>
                <w:highlight w:val="none"/>
              </w:rPr>
            </w:pPr>
          </w:p>
        </w:tc>
        <w:tc>
          <w:tcPr>
            <w:tcW w:w="782" w:type="pct"/>
            <w:tcBorders>
              <w:tl2br w:val="nil"/>
              <w:tr2bl w:val="nil"/>
            </w:tcBorders>
            <w:shd w:val="clear" w:color="auto" w:fill="auto"/>
            <w:noWrap w:val="0"/>
            <w:vAlign w:val="center"/>
          </w:tcPr>
          <w:p w14:paraId="0862170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隔油池</w:t>
            </w:r>
          </w:p>
        </w:tc>
        <w:tc>
          <w:tcPr>
            <w:tcW w:w="741" w:type="pct"/>
            <w:tcBorders>
              <w:tl2br w:val="nil"/>
              <w:tr2bl w:val="nil"/>
            </w:tcBorders>
            <w:shd w:val="clear" w:color="auto" w:fill="auto"/>
            <w:noWrap w:val="0"/>
            <w:vAlign w:val="center"/>
          </w:tcPr>
          <w:p w14:paraId="139EFD8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废油</w:t>
            </w:r>
          </w:p>
        </w:tc>
        <w:tc>
          <w:tcPr>
            <w:tcW w:w="1347" w:type="pct"/>
            <w:tcBorders>
              <w:tl2br w:val="nil"/>
              <w:tr2bl w:val="nil"/>
            </w:tcBorders>
            <w:shd w:val="clear" w:color="auto" w:fill="auto"/>
            <w:noWrap w:val="0"/>
            <w:vAlign w:val="center"/>
          </w:tcPr>
          <w:p w14:paraId="0EA27A1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废油</w:t>
            </w:r>
          </w:p>
        </w:tc>
        <w:tc>
          <w:tcPr>
            <w:tcW w:w="1518" w:type="pct"/>
            <w:gridSpan w:val="2"/>
            <w:tcBorders>
              <w:tl2br w:val="nil"/>
              <w:tr2bl w:val="nil"/>
            </w:tcBorders>
            <w:shd w:val="clear" w:color="auto" w:fill="auto"/>
            <w:noWrap w:val="0"/>
            <w:vAlign w:val="center"/>
          </w:tcPr>
          <w:p w14:paraId="06E0035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定期</w:t>
            </w:r>
            <w:r>
              <w:rPr>
                <w:rFonts w:hint="default"/>
                <w:highlight w:val="none"/>
                <w:lang w:val="en-US" w:eastAsia="zh-CN"/>
              </w:rPr>
              <w:t>进行清掏</w:t>
            </w:r>
            <w:r>
              <w:rPr>
                <w:rFonts w:hint="eastAsia"/>
                <w:highlight w:val="none"/>
                <w:lang w:val="en-US" w:eastAsia="zh-CN"/>
              </w:rPr>
              <w:t>，</w:t>
            </w:r>
            <w:r>
              <w:rPr>
                <w:rFonts w:hint="default"/>
                <w:highlight w:val="none"/>
                <w:lang w:val="en-US" w:eastAsia="zh-CN"/>
              </w:rPr>
              <w:t>清运处理</w:t>
            </w:r>
          </w:p>
        </w:tc>
      </w:tr>
      <w:tr w14:paraId="7F2A50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continue"/>
            <w:tcBorders>
              <w:tl2br w:val="nil"/>
              <w:tr2bl w:val="nil"/>
            </w:tcBorders>
            <w:noWrap w:val="0"/>
            <w:vAlign w:val="center"/>
          </w:tcPr>
          <w:p w14:paraId="0322665D">
            <w:pPr>
              <w:pStyle w:val="42"/>
              <w:keepNext w:val="0"/>
              <w:keepLines w:val="0"/>
              <w:suppressLineNumbers w:val="0"/>
              <w:bidi w:val="0"/>
              <w:spacing w:before="0" w:beforeAutospacing="0" w:after="0" w:afterAutospacing="0"/>
              <w:rPr>
                <w:rFonts w:hint="default"/>
              </w:rPr>
            </w:pPr>
          </w:p>
        </w:tc>
        <w:tc>
          <w:tcPr>
            <w:tcW w:w="328" w:type="pct"/>
            <w:vMerge w:val="continue"/>
            <w:tcBorders>
              <w:tl2br w:val="nil"/>
              <w:tr2bl w:val="nil"/>
            </w:tcBorders>
            <w:shd w:val="clear" w:color="auto" w:fill="auto"/>
            <w:noWrap w:val="0"/>
            <w:vAlign w:val="center"/>
          </w:tcPr>
          <w:p w14:paraId="6CC732A0">
            <w:pPr>
              <w:pStyle w:val="42"/>
              <w:keepNext w:val="0"/>
              <w:keepLines w:val="0"/>
              <w:suppressLineNumbers w:val="0"/>
              <w:bidi w:val="0"/>
              <w:spacing w:before="0" w:beforeAutospacing="0" w:after="0" w:afterAutospacing="0"/>
              <w:rPr>
                <w:rFonts w:hint="default"/>
                <w:highlight w:val="none"/>
              </w:rPr>
            </w:pPr>
          </w:p>
        </w:tc>
        <w:tc>
          <w:tcPr>
            <w:tcW w:w="782" w:type="pct"/>
            <w:tcBorders>
              <w:tl2br w:val="nil"/>
              <w:tr2bl w:val="nil"/>
            </w:tcBorders>
            <w:shd w:val="clear" w:color="auto" w:fill="auto"/>
            <w:noWrap w:val="0"/>
            <w:vAlign w:val="center"/>
          </w:tcPr>
          <w:p w14:paraId="58371C2F">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污泥脱水</w:t>
            </w:r>
          </w:p>
        </w:tc>
        <w:tc>
          <w:tcPr>
            <w:tcW w:w="741" w:type="pct"/>
            <w:tcBorders>
              <w:tl2br w:val="nil"/>
              <w:tr2bl w:val="nil"/>
            </w:tcBorders>
            <w:shd w:val="clear" w:color="auto" w:fill="auto"/>
            <w:noWrap w:val="0"/>
            <w:vAlign w:val="center"/>
          </w:tcPr>
          <w:p w14:paraId="3F5CD89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污泥</w:t>
            </w:r>
          </w:p>
        </w:tc>
        <w:tc>
          <w:tcPr>
            <w:tcW w:w="1347" w:type="pct"/>
            <w:tcBorders>
              <w:tl2br w:val="nil"/>
              <w:tr2bl w:val="nil"/>
            </w:tcBorders>
            <w:shd w:val="clear" w:color="auto" w:fill="auto"/>
            <w:noWrap w:val="0"/>
            <w:vAlign w:val="center"/>
          </w:tcPr>
          <w:p w14:paraId="362460E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污泥</w:t>
            </w:r>
          </w:p>
        </w:tc>
        <w:tc>
          <w:tcPr>
            <w:tcW w:w="1518" w:type="pct"/>
            <w:gridSpan w:val="2"/>
            <w:tcBorders>
              <w:tl2br w:val="nil"/>
              <w:tr2bl w:val="nil"/>
            </w:tcBorders>
            <w:shd w:val="clear" w:color="auto" w:fill="auto"/>
            <w:noWrap w:val="0"/>
            <w:vAlign w:val="center"/>
          </w:tcPr>
          <w:p w14:paraId="1E5E4B1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经脱水至含水率80%以下后</w:t>
            </w:r>
            <w:r>
              <w:rPr>
                <w:rFonts w:hint="eastAsia"/>
                <w:highlight w:val="none"/>
                <w:lang w:val="en-US" w:eastAsia="zh-CN"/>
              </w:rPr>
              <w:t>外运综合利用</w:t>
            </w:r>
          </w:p>
        </w:tc>
      </w:tr>
      <w:tr w14:paraId="27F46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rPr>
        <w:tc>
          <w:tcPr>
            <w:tcW w:w="282" w:type="pct"/>
            <w:vMerge w:val="continue"/>
            <w:tcBorders>
              <w:tl2br w:val="nil"/>
              <w:tr2bl w:val="nil"/>
            </w:tcBorders>
            <w:shd w:val="clear" w:color="auto" w:fill="FFFF00"/>
            <w:noWrap w:val="0"/>
            <w:vAlign w:val="center"/>
          </w:tcPr>
          <w:p w14:paraId="746867F5">
            <w:pPr>
              <w:pStyle w:val="42"/>
              <w:keepNext w:val="0"/>
              <w:keepLines w:val="0"/>
              <w:suppressLineNumbers w:val="0"/>
              <w:bidi w:val="0"/>
              <w:spacing w:before="0" w:beforeAutospacing="0" w:after="0" w:afterAutospacing="0"/>
              <w:rPr>
                <w:rFonts w:hint="default"/>
              </w:rPr>
            </w:pPr>
          </w:p>
        </w:tc>
        <w:tc>
          <w:tcPr>
            <w:tcW w:w="328" w:type="pct"/>
            <w:tcBorders>
              <w:tl2br w:val="nil"/>
              <w:tr2bl w:val="nil"/>
            </w:tcBorders>
            <w:shd w:val="clear" w:color="auto" w:fill="auto"/>
            <w:noWrap w:val="0"/>
            <w:vAlign w:val="center"/>
          </w:tcPr>
          <w:p w14:paraId="482A5044">
            <w:pPr>
              <w:pStyle w:val="42"/>
              <w:keepNext w:val="0"/>
              <w:keepLines w:val="0"/>
              <w:suppressLineNumbers w:val="0"/>
              <w:bidi w:val="0"/>
              <w:spacing w:before="0" w:beforeAutospacing="0" w:after="0" w:afterAutospacing="0"/>
              <w:rPr>
                <w:rFonts w:hint="default"/>
              </w:rPr>
            </w:pPr>
            <w:r>
              <w:rPr>
                <w:rFonts w:hint="default"/>
              </w:rPr>
              <w:t>危险</w:t>
            </w:r>
          </w:p>
          <w:p w14:paraId="506CFF01">
            <w:pPr>
              <w:pStyle w:val="42"/>
              <w:keepNext w:val="0"/>
              <w:keepLines w:val="0"/>
              <w:suppressLineNumbers w:val="0"/>
              <w:bidi w:val="0"/>
              <w:spacing w:before="0" w:beforeAutospacing="0" w:after="0" w:afterAutospacing="0"/>
              <w:rPr>
                <w:rFonts w:hint="default"/>
              </w:rPr>
            </w:pPr>
            <w:r>
              <w:rPr>
                <w:rFonts w:hint="default"/>
              </w:rPr>
              <w:t>废物</w:t>
            </w:r>
          </w:p>
        </w:tc>
        <w:tc>
          <w:tcPr>
            <w:tcW w:w="782" w:type="pct"/>
            <w:tcBorders>
              <w:tl2br w:val="nil"/>
              <w:tr2bl w:val="nil"/>
            </w:tcBorders>
            <w:shd w:val="clear" w:color="auto" w:fill="auto"/>
            <w:noWrap w:val="0"/>
            <w:vAlign w:val="center"/>
          </w:tcPr>
          <w:p w14:paraId="6743820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设备维护</w:t>
            </w:r>
          </w:p>
        </w:tc>
        <w:tc>
          <w:tcPr>
            <w:tcW w:w="741" w:type="pct"/>
            <w:tcBorders>
              <w:tl2br w:val="nil"/>
              <w:tr2bl w:val="nil"/>
            </w:tcBorders>
            <w:shd w:val="clear" w:color="auto" w:fill="auto"/>
            <w:noWrap w:val="0"/>
            <w:vAlign w:val="center"/>
          </w:tcPr>
          <w:p w14:paraId="5312694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废机油及废机油桶、含油抹布、手套、劳保用品</w:t>
            </w:r>
          </w:p>
        </w:tc>
        <w:tc>
          <w:tcPr>
            <w:tcW w:w="1347" w:type="pct"/>
            <w:tcBorders>
              <w:tl2br w:val="nil"/>
              <w:tr2bl w:val="nil"/>
            </w:tcBorders>
            <w:shd w:val="clear" w:color="auto" w:fill="auto"/>
            <w:noWrap w:val="0"/>
            <w:vAlign w:val="center"/>
          </w:tcPr>
          <w:p w14:paraId="3C5114F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机油</w:t>
            </w:r>
          </w:p>
        </w:tc>
        <w:tc>
          <w:tcPr>
            <w:tcW w:w="1518" w:type="pct"/>
            <w:gridSpan w:val="2"/>
            <w:tcBorders>
              <w:tl2br w:val="nil"/>
              <w:tr2bl w:val="nil"/>
            </w:tcBorders>
            <w:shd w:val="clear" w:color="auto" w:fill="auto"/>
            <w:noWrap w:val="0"/>
            <w:vAlign w:val="center"/>
          </w:tcPr>
          <w:p w14:paraId="28826C68">
            <w:pPr>
              <w:pStyle w:val="42"/>
              <w:keepNext w:val="0"/>
              <w:keepLines w:val="0"/>
              <w:suppressLineNumbers w:val="0"/>
              <w:bidi w:val="0"/>
              <w:spacing w:before="0" w:beforeAutospacing="0" w:after="0" w:afterAutospacing="0"/>
              <w:rPr>
                <w:rFonts w:hint="default"/>
              </w:rPr>
            </w:pPr>
            <w:r>
              <w:rPr>
                <w:rFonts w:hint="default"/>
                <w:lang w:val="en-US" w:eastAsia="zh-CN"/>
              </w:rPr>
              <w:t>暂存至危险废物暂存间后交由有危险废物处理资质单位进行处理</w:t>
            </w:r>
          </w:p>
        </w:tc>
      </w:tr>
      <w:tr w14:paraId="317816FE">
        <w:tblPrEx>
          <w:tblCellMar>
            <w:top w:w="0" w:type="dxa"/>
            <w:left w:w="0" w:type="dxa"/>
            <w:bottom w:w="0" w:type="dxa"/>
            <w:right w:w="0" w:type="dxa"/>
          </w:tblCellMar>
        </w:tblPrEx>
        <w:trPr>
          <w:trHeight w:val="339" w:hRule="atLeast"/>
        </w:trPr>
        <w:tc>
          <w:tcPr>
            <w:tcW w:w="282" w:type="pct"/>
            <w:vMerge w:val="continue"/>
            <w:tcBorders>
              <w:tl2br w:val="nil"/>
              <w:tr2bl w:val="nil"/>
            </w:tcBorders>
            <w:noWrap w:val="0"/>
            <w:vAlign w:val="center"/>
          </w:tcPr>
          <w:p w14:paraId="5DE58FD4">
            <w:pPr>
              <w:pStyle w:val="42"/>
              <w:keepNext w:val="0"/>
              <w:keepLines w:val="0"/>
              <w:suppressLineNumbers w:val="0"/>
              <w:bidi w:val="0"/>
              <w:spacing w:before="0" w:beforeAutospacing="0" w:after="0" w:afterAutospacing="0"/>
              <w:rPr>
                <w:rFonts w:hint="default"/>
              </w:rPr>
            </w:pPr>
          </w:p>
        </w:tc>
        <w:tc>
          <w:tcPr>
            <w:tcW w:w="3199" w:type="pct"/>
            <w:gridSpan w:val="4"/>
            <w:tcBorders>
              <w:tl2br w:val="nil"/>
              <w:tr2bl w:val="nil"/>
            </w:tcBorders>
            <w:noWrap w:val="0"/>
            <w:vAlign w:val="center"/>
          </w:tcPr>
          <w:p w14:paraId="5B4FF04D">
            <w:pPr>
              <w:pStyle w:val="42"/>
              <w:keepNext w:val="0"/>
              <w:keepLines w:val="0"/>
              <w:suppressLineNumbers w:val="0"/>
              <w:bidi w:val="0"/>
              <w:spacing w:before="0" w:beforeAutospacing="0" w:after="0" w:afterAutospacing="0"/>
              <w:rPr>
                <w:rFonts w:hint="default"/>
              </w:rPr>
            </w:pPr>
            <w:r>
              <w:rPr>
                <w:rFonts w:hint="default"/>
              </w:rPr>
              <w:t>生活垃圾</w:t>
            </w:r>
          </w:p>
        </w:tc>
        <w:tc>
          <w:tcPr>
            <w:tcW w:w="1518" w:type="pct"/>
            <w:gridSpan w:val="2"/>
            <w:tcBorders>
              <w:tl2br w:val="nil"/>
              <w:tr2bl w:val="nil"/>
            </w:tcBorders>
            <w:noWrap w:val="0"/>
            <w:vAlign w:val="center"/>
          </w:tcPr>
          <w:p w14:paraId="45C60BF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环卫部门处置</w:t>
            </w:r>
          </w:p>
        </w:tc>
      </w:tr>
      <w:bookmarkEnd w:id="116"/>
    </w:tbl>
    <w:p w14:paraId="03598598">
      <w:pPr>
        <w:pStyle w:val="5"/>
        <w:rPr>
          <w:rFonts w:hint="default" w:ascii="Times New Roman" w:hAnsi="Times New Roman" w:cs="Times New Roman"/>
          <w:color w:val="auto"/>
          <w:highlight w:val="none"/>
          <w:u w:val="none" w:color="auto"/>
        </w:rPr>
      </w:pPr>
      <w:bookmarkStart w:id="119" w:name="_Toc5384"/>
      <w:r>
        <w:rPr>
          <w:rFonts w:hint="default" w:ascii="Times New Roman" w:hAnsi="Times New Roman" w:cs="Times New Roman"/>
          <w:color w:val="auto"/>
          <w:highlight w:val="none"/>
          <w:u w:val="none" w:color="auto"/>
        </w:rPr>
        <w:t>施工期污染源分析</w:t>
      </w:r>
      <w:bookmarkEnd w:id="117"/>
      <w:bookmarkEnd w:id="118"/>
      <w:bookmarkEnd w:id="119"/>
    </w:p>
    <w:p w14:paraId="2877C468">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拟建项目施工期主要包括污水处理厂建（构）筑物的施工以及设备安装等，在施工期间产生的污染源主要为施工期产生的噪声、土石方弃土以及引起的水土流失、车辆运输、堆土、沙石料产生的扬尘；施工人员产生的生活污水和施工生产废水等；各种运输及施工机械产生的废气等。</w:t>
      </w:r>
    </w:p>
    <w:p w14:paraId="49A5980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（1）施工期废水污染源</w:t>
      </w:r>
    </w:p>
    <w:p w14:paraId="5F12F63F">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施工期废水污染源主要为施工区内的冲洗废水、混凝土养护用水、施工机械的清洗废水、雨天的地面泥水等泥浆废水以及施工队伍的生活污水等。冲洗废水主要来源于石料等建材的洗涤，主要污染物为SS；混凝土养护产生的废水主要污染物为SS；施工机械需经常清洗或受到雨淋，产生的废水主要污染物为SS、石油类；施工队伍日常生活产生的生活污水，主要污染物为COD、</w:t>
      </w:r>
      <w:r>
        <w:rPr>
          <w:rFonts w:hint="eastAsia" w:ascii="Times New Roman" w:hAnsi="Times New Roman" w:cs="Times New Roman"/>
          <w:bCs/>
          <w:kern w:val="0"/>
          <w:sz w:val="24"/>
          <w:szCs w:val="24"/>
          <w:highlight w:val="none"/>
          <w:lang w:eastAsia="zh-CN"/>
        </w:rPr>
        <w:t>BOD</w:t>
      </w:r>
      <w:r>
        <w:rPr>
          <w:rFonts w:hint="eastAsia" w:ascii="Times New Roman" w:hAnsi="Times New Roman" w:cs="Times New Roman"/>
          <w:bCs/>
          <w:kern w:val="0"/>
          <w:sz w:val="24"/>
          <w:szCs w:val="24"/>
          <w:highlight w:val="none"/>
          <w:vertAlign w:val="subscript"/>
          <w:lang w:eastAsia="zh-CN"/>
        </w:rPr>
        <w:t>5</w:t>
      </w:r>
      <w:r>
        <w:rPr>
          <w:rFonts w:hint="default" w:ascii="Times New Roman" w:hAnsi="Times New Roman" w:cs="Times New Roman"/>
          <w:bCs/>
          <w:kern w:val="0"/>
          <w:sz w:val="24"/>
          <w:szCs w:val="24"/>
          <w:highlight w:val="none"/>
        </w:rPr>
        <w:t>、</w:t>
      </w:r>
      <w:r>
        <w:rPr>
          <w:rFonts w:hint="eastAsia" w:ascii="Times New Roman" w:hAnsi="Times New Roman" w:cs="Times New Roman"/>
          <w:bCs/>
          <w:kern w:val="0"/>
          <w:sz w:val="24"/>
          <w:szCs w:val="24"/>
          <w:highlight w:val="none"/>
          <w:lang w:eastAsia="zh-CN"/>
        </w:rPr>
        <w:t>NH</w:t>
      </w:r>
      <w:r>
        <w:rPr>
          <w:rFonts w:hint="eastAsia" w:ascii="Times New Roman" w:hAnsi="Times New Roman" w:cs="Times New Roman"/>
          <w:bCs/>
          <w:kern w:val="0"/>
          <w:sz w:val="24"/>
          <w:szCs w:val="24"/>
          <w:highlight w:val="none"/>
          <w:vertAlign w:val="subscript"/>
          <w:lang w:eastAsia="zh-CN"/>
        </w:rPr>
        <w:t>3</w:t>
      </w:r>
      <w:r>
        <w:rPr>
          <w:rFonts w:hint="default" w:ascii="Times New Roman" w:hAnsi="Times New Roman" w:cs="Times New Roman"/>
          <w:bCs/>
          <w:kern w:val="0"/>
          <w:sz w:val="24"/>
          <w:szCs w:val="24"/>
          <w:highlight w:val="none"/>
        </w:rPr>
        <w:t>-N、SS等。</w:t>
      </w:r>
    </w:p>
    <w:p w14:paraId="2EA0129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（2）施工期废气污染源</w:t>
      </w:r>
    </w:p>
    <w:p w14:paraId="319ABE2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施工期废气主要为扬尘和施工机械、运输车辆产生的尾气。施工扬尘主要来源为污水处理厂、厂内道路、管网建设时植被遭受破坏，表层土壤裸露，产生扬尘；运送建筑材料的车辆沿途运输及车辆建筑散落产生扬尘；同时，施工期建设区及运输道路车辆会增加，交通车辆排放尾气中要含有烟尘、一氧化碳、氮氧化物、碳氢化合物等污染物。</w:t>
      </w:r>
    </w:p>
    <w:p w14:paraId="60E84DE4">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（3）施工期噪声污染源</w:t>
      </w:r>
    </w:p>
    <w:p w14:paraId="5787E2F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施工噪声主要分为机械噪声、施工作业噪声和施工运输车辆噪声。机械噪声主要由施工机械所造成，如挖土机械、打桩机械等，多为点声源；施工作业噪声主要指一些零星的敲打声、装卸车辆的撞击声、拆卸模板的撞击声等，多为瞬时噪声；施工车辆的噪声属于交通噪声。在这些施工噪声中，对声环境影响最大的是施工各阶段的机械噪声。</w:t>
      </w:r>
    </w:p>
    <w:p w14:paraId="5F0625DD">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kern w:val="0"/>
          <w:sz w:val="24"/>
          <w:szCs w:val="24"/>
          <w:highlight w:val="none"/>
        </w:rPr>
      </w:pPr>
      <w:r>
        <w:rPr>
          <w:rFonts w:hint="default" w:ascii="Times New Roman" w:hAnsi="Times New Roman" w:cs="Times New Roman"/>
          <w:bCs/>
          <w:kern w:val="0"/>
          <w:sz w:val="24"/>
          <w:szCs w:val="24"/>
          <w:highlight w:val="none"/>
        </w:rPr>
        <w:t>不同阶段的主要施工机械噪声源强见表4.4-1。</w:t>
      </w:r>
    </w:p>
    <w:p w14:paraId="1170908D">
      <w:pPr>
        <w:pStyle w:val="39"/>
        <w:bidi w:val="0"/>
        <w:rPr>
          <w:rFonts w:hint="default"/>
        </w:rPr>
      </w:pPr>
      <w:r>
        <w:rPr>
          <w:rFonts w:hint="default"/>
        </w:rPr>
        <w:t>表4.4-1   各施工阶段主要噪声源状况</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20"/>
        <w:gridCol w:w="1420"/>
        <w:gridCol w:w="1253"/>
        <w:gridCol w:w="1587"/>
        <w:gridCol w:w="1421"/>
      </w:tblGrid>
      <w:tr w14:paraId="140BD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tcBorders>
              <w:top w:val="single" w:color="auto" w:sz="12" w:space="0"/>
              <w:left w:val="single" w:color="auto" w:sz="12" w:space="0"/>
            </w:tcBorders>
            <w:noWrap w:val="0"/>
            <w:vAlign w:val="center"/>
          </w:tcPr>
          <w:p w14:paraId="7D54602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施工阶段</w:t>
            </w:r>
          </w:p>
        </w:tc>
        <w:tc>
          <w:tcPr>
            <w:tcW w:w="833" w:type="pct"/>
            <w:tcBorders>
              <w:top w:val="single" w:color="auto" w:sz="12" w:space="0"/>
            </w:tcBorders>
            <w:noWrap w:val="0"/>
            <w:vAlign w:val="center"/>
          </w:tcPr>
          <w:p w14:paraId="6774FBF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噪声源</w:t>
            </w:r>
          </w:p>
        </w:tc>
        <w:tc>
          <w:tcPr>
            <w:tcW w:w="833" w:type="pct"/>
            <w:tcBorders>
              <w:top w:val="single" w:color="auto" w:sz="12" w:space="0"/>
            </w:tcBorders>
            <w:noWrap w:val="0"/>
            <w:vAlign w:val="center"/>
          </w:tcPr>
          <w:p w14:paraId="4FA8F64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声级/dB（A）</w:t>
            </w:r>
          </w:p>
        </w:tc>
        <w:tc>
          <w:tcPr>
            <w:tcW w:w="735" w:type="pct"/>
            <w:tcBorders>
              <w:top w:val="single" w:color="auto" w:sz="12" w:space="0"/>
            </w:tcBorders>
            <w:noWrap w:val="0"/>
            <w:vAlign w:val="center"/>
          </w:tcPr>
          <w:p w14:paraId="101D2F1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施工阶段</w:t>
            </w:r>
          </w:p>
        </w:tc>
        <w:tc>
          <w:tcPr>
            <w:tcW w:w="931" w:type="pct"/>
            <w:tcBorders>
              <w:top w:val="single" w:color="auto" w:sz="12" w:space="0"/>
            </w:tcBorders>
            <w:noWrap w:val="0"/>
            <w:vAlign w:val="center"/>
          </w:tcPr>
          <w:p w14:paraId="686F287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噪声源</w:t>
            </w:r>
          </w:p>
        </w:tc>
        <w:tc>
          <w:tcPr>
            <w:tcW w:w="834" w:type="pct"/>
            <w:tcBorders>
              <w:top w:val="single" w:color="auto" w:sz="12" w:space="0"/>
              <w:right w:val="single" w:color="auto" w:sz="12" w:space="0"/>
            </w:tcBorders>
            <w:noWrap w:val="0"/>
            <w:vAlign w:val="center"/>
          </w:tcPr>
          <w:p w14:paraId="618769B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声级/dB（A）</w:t>
            </w:r>
          </w:p>
        </w:tc>
      </w:tr>
      <w:tr w14:paraId="6EAD8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2" w:type="pct"/>
            <w:vMerge w:val="restart"/>
            <w:tcBorders>
              <w:left w:val="single" w:color="auto" w:sz="12" w:space="0"/>
            </w:tcBorders>
            <w:noWrap w:val="0"/>
            <w:vAlign w:val="center"/>
          </w:tcPr>
          <w:p w14:paraId="1F18212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土石方阶段</w:t>
            </w:r>
          </w:p>
        </w:tc>
        <w:tc>
          <w:tcPr>
            <w:tcW w:w="833" w:type="pct"/>
            <w:noWrap w:val="0"/>
            <w:vAlign w:val="center"/>
          </w:tcPr>
          <w:p w14:paraId="38BA22B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挖土机</w:t>
            </w:r>
          </w:p>
        </w:tc>
        <w:tc>
          <w:tcPr>
            <w:tcW w:w="833" w:type="pct"/>
            <w:noWrap w:val="0"/>
            <w:vAlign w:val="center"/>
          </w:tcPr>
          <w:p w14:paraId="492A9FD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78-95</w:t>
            </w:r>
          </w:p>
        </w:tc>
        <w:tc>
          <w:tcPr>
            <w:tcW w:w="735" w:type="pct"/>
            <w:vMerge w:val="restart"/>
            <w:noWrap w:val="0"/>
            <w:vAlign w:val="center"/>
          </w:tcPr>
          <w:p w14:paraId="1F7509B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结构阶段</w:t>
            </w:r>
          </w:p>
        </w:tc>
        <w:tc>
          <w:tcPr>
            <w:tcW w:w="931" w:type="pct"/>
            <w:noWrap w:val="0"/>
            <w:vAlign w:val="center"/>
          </w:tcPr>
          <w:p w14:paraId="7CCCE47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混凝土搅拌机</w:t>
            </w:r>
          </w:p>
        </w:tc>
        <w:tc>
          <w:tcPr>
            <w:tcW w:w="834" w:type="pct"/>
            <w:tcBorders>
              <w:right w:val="single" w:color="auto" w:sz="12" w:space="0"/>
            </w:tcBorders>
            <w:noWrap w:val="0"/>
            <w:vAlign w:val="center"/>
          </w:tcPr>
          <w:p w14:paraId="69CF0CD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100-110</w:t>
            </w:r>
          </w:p>
        </w:tc>
      </w:tr>
      <w:tr w14:paraId="2E6E6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left w:val="single" w:color="auto" w:sz="12" w:space="0"/>
            </w:tcBorders>
            <w:noWrap w:val="0"/>
            <w:vAlign w:val="center"/>
          </w:tcPr>
          <w:p w14:paraId="0059E6EF">
            <w:pPr>
              <w:pStyle w:val="42"/>
              <w:keepNext w:val="0"/>
              <w:keepLines w:val="0"/>
              <w:suppressLineNumbers w:val="0"/>
              <w:bidi w:val="0"/>
              <w:spacing w:before="0" w:beforeAutospacing="0" w:after="0" w:afterAutospacing="0"/>
              <w:rPr>
                <w:rFonts w:hint="default"/>
              </w:rPr>
            </w:pPr>
          </w:p>
        </w:tc>
        <w:tc>
          <w:tcPr>
            <w:tcW w:w="833" w:type="pct"/>
            <w:noWrap w:val="0"/>
            <w:vAlign w:val="center"/>
          </w:tcPr>
          <w:p w14:paraId="6A2E3A0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钻孔机</w:t>
            </w:r>
          </w:p>
        </w:tc>
        <w:tc>
          <w:tcPr>
            <w:tcW w:w="833" w:type="pct"/>
            <w:noWrap w:val="0"/>
            <w:vAlign w:val="center"/>
          </w:tcPr>
          <w:p w14:paraId="03FDD44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105</w:t>
            </w:r>
          </w:p>
        </w:tc>
        <w:tc>
          <w:tcPr>
            <w:tcW w:w="735" w:type="pct"/>
            <w:vMerge w:val="continue"/>
            <w:noWrap w:val="0"/>
            <w:vAlign w:val="center"/>
          </w:tcPr>
          <w:p w14:paraId="61BFE39B">
            <w:pPr>
              <w:pStyle w:val="42"/>
              <w:keepNext w:val="0"/>
              <w:keepLines w:val="0"/>
              <w:suppressLineNumbers w:val="0"/>
              <w:bidi w:val="0"/>
              <w:spacing w:before="0" w:beforeAutospacing="0" w:after="0" w:afterAutospacing="0"/>
              <w:rPr>
                <w:rFonts w:hint="default"/>
              </w:rPr>
            </w:pPr>
          </w:p>
        </w:tc>
        <w:tc>
          <w:tcPr>
            <w:tcW w:w="931" w:type="pct"/>
            <w:noWrap w:val="0"/>
            <w:vAlign w:val="center"/>
          </w:tcPr>
          <w:p w14:paraId="6C658AD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混凝土输送泵</w:t>
            </w:r>
          </w:p>
        </w:tc>
        <w:tc>
          <w:tcPr>
            <w:tcW w:w="834" w:type="pct"/>
            <w:tcBorders>
              <w:right w:val="single" w:color="auto" w:sz="12" w:space="0"/>
            </w:tcBorders>
            <w:noWrap w:val="0"/>
            <w:vAlign w:val="center"/>
          </w:tcPr>
          <w:p w14:paraId="57350BA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90-100</w:t>
            </w:r>
          </w:p>
        </w:tc>
      </w:tr>
      <w:tr w14:paraId="175F7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left w:val="single" w:color="auto" w:sz="12" w:space="0"/>
            </w:tcBorders>
            <w:noWrap w:val="0"/>
            <w:vAlign w:val="center"/>
          </w:tcPr>
          <w:p w14:paraId="210F1365">
            <w:pPr>
              <w:pStyle w:val="42"/>
              <w:keepNext w:val="0"/>
              <w:keepLines w:val="0"/>
              <w:suppressLineNumbers w:val="0"/>
              <w:bidi w:val="0"/>
              <w:spacing w:before="0" w:beforeAutospacing="0" w:after="0" w:afterAutospacing="0"/>
              <w:rPr>
                <w:rFonts w:hint="default"/>
              </w:rPr>
            </w:pPr>
          </w:p>
        </w:tc>
        <w:tc>
          <w:tcPr>
            <w:tcW w:w="833" w:type="pct"/>
            <w:noWrap w:val="0"/>
            <w:vAlign w:val="center"/>
          </w:tcPr>
          <w:p w14:paraId="4AE1E8B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空压机</w:t>
            </w:r>
          </w:p>
        </w:tc>
        <w:tc>
          <w:tcPr>
            <w:tcW w:w="833" w:type="pct"/>
            <w:noWrap w:val="0"/>
            <w:vAlign w:val="center"/>
          </w:tcPr>
          <w:p w14:paraId="7CEFE6F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75-85</w:t>
            </w:r>
          </w:p>
        </w:tc>
        <w:tc>
          <w:tcPr>
            <w:tcW w:w="735" w:type="pct"/>
            <w:vMerge w:val="continue"/>
            <w:noWrap w:val="0"/>
            <w:vAlign w:val="center"/>
          </w:tcPr>
          <w:p w14:paraId="67B681C0">
            <w:pPr>
              <w:pStyle w:val="42"/>
              <w:keepNext w:val="0"/>
              <w:keepLines w:val="0"/>
              <w:suppressLineNumbers w:val="0"/>
              <w:bidi w:val="0"/>
              <w:spacing w:before="0" w:beforeAutospacing="0" w:after="0" w:afterAutospacing="0"/>
              <w:rPr>
                <w:rFonts w:hint="default"/>
              </w:rPr>
            </w:pPr>
          </w:p>
        </w:tc>
        <w:tc>
          <w:tcPr>
            <w:tcW w:w="931" w:type="pct"/>
            <w:noWrap w:val="0"/>
            <w:vAlign w:val="center"/>
          </w:tcPr>
          <w:p w14:paraId="6BCCE73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振捣器</w:t>
            </w:r>
          </w:p>
        </w:tc>
        <w:tc>
          <w:tcPr>
            <w:tcW w:w="834" w:type="pct"/>
            <w:tcBorders>
              <w:right w:val="single" w:color="auto" w:sz="12" w:space="0"/>
            </w:tcBorders>
            <w:noWrap w:val="0"/>
            <w:vAlign w:val="center"/>
          </w:tcPr>
          <w:p w14:paraId="1136C20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100-105</w:t>
            </w:r>
          </w:p>
        </w:tc>
      </w:tr>
      <w:tr w14:paraId="1F0A1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left w:val="single" w:color="auto" w:sz="12" w:space="0"/>
            </w:tcBorders>
            <w:noWrap w:val="0"/>
            <w:vAlign w:val="center"/>
          </w:tcPr>
          <w:p w14:paraId="35687A14">
            <w:pPr>
              <w:pStyle w:val="42"/>
              <w:keepNext w:val="0"/>
              <w:keepLines w:val="0"/>
              <w:suppressLineNumbers w:val="0"/>
              <w:bidi w:val="0"/>
              <w:spacing w:before="0" w:beforeAutospacing="0" w:after="0" w:afterAutospacing="0"/>
              <w:rPr>
                <w:rFonts w:hint="default"/>
              </w:rPr>
            </w:pPr>
          </w:p>
        </w:tc>
        <w:tc>
          <w:tcPr>
            <w:tcW w:w="833" w:type="pct"/>
            <w:noWrap w:val="0"/>
            <w:vAlign w:val="center"/>
          </w:tcPr>
          <w:p w14:paraId="054EADF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打桩机</w:t>
            </w:r>
          </w:p>
        </w:tc>
        <w:tc>
          <w:tcPr>
            <w:tcW w:w="833" w:type="pct"/>
            <w:noWrap w:val="0"/>
            <w:vAlign w:val="center"/>
          </w:tcPr>
          <w:p w14:paraId="1D771A5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95-100</w:t>
            </w:r>
          </w:p>
        </w:tc>
        <w:tc>
          <w:tcPr>
            <w:tcW w:w="735" w:type="pct"/>
            <w:vMerge w:val="continue"/>
            <w:noWrap w:val="0"/>
            <w:vAlign w:val="center"/>
          </w:tcPr>
          <w:p w14:paraId="4504C6F3">
            <w:pPr>
              <w:pStyle w:val="42"/>
              <w:keepNext w:val="0"/>
              <w:keepLines w:val="0"/>
              <w:suppressLineNumbers w:val="0"/>
              <w:bidi w:val="0"/>
              <w:spacing w:before="0" w:beforeAutospacing="0" w:after="0" w:afterAutospacing="0"/>
              <w:rPr>
                <w:rFonts w:hint="default"/>
              </w:rPr>
            </w:pPr>
          </w:p>
        </w:tc>
        <w:tc>
          <w:tcPr>
            <w:tcW w:w="931" w:type="pct"/>
            <w:noWrap w:val="0"/>
            <w:vAlign w:val="center"/>
          </w:tcPr>
          <w:p w14:paraId="27B55A9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电锯</w:t>
            </w:r>
          </w:p>
        </w:tc>
        <w:tc>
          <w:tcPr>
            <w:tcW w:w="834" w:type="pct"/>
            <w:tcBorders>
              <w:right w:val="single" w:color="auto" w:sz="12" w:space="0"/>
            </w:tcBorders>
            <w:noWrap w:val="0"/>
            <w:vAlign w:val="center"/>
          </w:tcPr>
          <w:p w14:paraId="00D9ED9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100-110</w:t>
            </w:r>
          </w:p>
        </w:tc>
      </w:tr>
      <w:tr w14:paraId="49D49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restart"/>
            <w:tcBorders>
              <w:left w:val="single" w:color="auto" w:sz="12" w:space="0"/>
            </w:tcBorders>
            <w:noWrap w:val="0"/>
            <w:vAlign w:val="center"/>
          </w:tcPr>
          <w:p w14:paraId="4BE6163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装修、安装阶段</w:t>
            </w:r>
          </w:p>
        </w:tc>
        <w:tc>
          <w:tcPr>
            <w:tcW w:w="833" w:type="pct"/>
            <w:noWrap w:val="0"/>
            <w:vAlign w:val="center"/>
          </w:tcPr>
          <w:p w14:paraId="374697B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电钻</w:t>
            </w:r>
          </w:p>
        </w:tc>
        <w:tc>
          <w:tcPr>
            <w:tcW w:w="833" w:type="pct"/>
            <w:noWrap w:val="0"/>
            <w:vAlign w:val="center"/>
          </w:tcPr>
          <w:p w14:paraId="2C25E97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100-115</w:t>
            </w:r>
          </w:p>
        </w:tc>
        <w:tc>
          <w:tcPr>
            <w:tcW w:w="735" w:type="pct"/>
            <w:vMerge w:val="continue"/>
            <w:noWrap w:val="0"/>
            <w:vAlign w:val="center"/>
          </w:tcPr>
          <w:p w14:paraId="557CCCE6">
            <w:pPr>
              <w:pStyle w:val="42"/>
              <w:keepNext w:val="0"/>
              <w:keepLines w:val="0"/>
              <w:suppressLineNumbers w:val="0"/>
              <w:bidi w:val="0"/>
              <w:spacing w:before="0" w:beforeAutospacing="0" w:after="0" w:afterAutospacing="0"/>
              <w:rPr>
                <w:rFonts w:hint="default"/>
              </w:rPr>
            </w:pPr>
          </w:p>
        </w:tc>
        <w:tc>
          <w:tcPr>
            <w:tcW w:w="931" w:type="pct"/>
            <w:noWrap w:val="0"/>
            <w:vAlign w:val="center"/>
          </w:tcPr>
          <w:p w14:paraId="45A0438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电焊机</w:t>
            </w:r>
          </w:p>
        </w:tc>
        <w:tc>
          <w:tcPr>
            <w:tcW w:w="834" w:type="pct"/>
            <w:tcBorders>
              <w:right w:val="single" w:color="auto" w:sz="12" w:space="0"/>
            </w:tcBorders>
            <w:noWrap w:val="0"/>
            <w:vAlign w:val="center"/>
          </w:tcPr>
          <w:p w14:paraId="1D3F299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90-95</w:t>
            </w:r>
          </w:p>
        </w:tc>
      </w:tr>
      <w:tr w14:paraId="2CA04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left w:val="single" w:color="auto" w:sz="12" w:space="0"/>
            </w:tcBorders>
            <w:noWrap w:val="0"/>
            <w:vAlign w:val="center"/>
          </w:tcPr>
          <w:p w14:paraId="33E338BC">
            <w:pPr>
              <w:pStyle w:val="42"/>
              <w:keepNext w:val="0"/>
              <w:keepLines w:val="0"/>
              <w:suppressLineNumbers w:val="0"/>
              <w:bidi w:val="0"/>
              <w:spacing w:before="0" w:beforeAutospacing="0" w:after="0" w:afterAutospacing="0"/>
              <w:rPr>
                <w:rFonts w:hint="default"/>
              </w:rPr>
            </w:pPr>
          </w:p>
        </w:tc>
        <w:tc>
          <w:tcPr>
            <w:tcW w:w="833" w:type="pct"/>
            <w:noWrap w:val="0"/>
            <w:vAlign w:val="center"/>
          </w:tcPr>
          <w:p w14:paraId="450AD4D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电锤</w:t>
            </w:r>
          </w:p>
        </w:tc>
        <w:tc>
          <w:tcPr>
            <w:tcW w:w="833" w:type="pct"/>
            <w:noWrap w:val="0"/>
            <w:vAlign w:val="center"/>
          </w:tcPr>
          <w:p w14:paraId="2DC9CA6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100-105</w:t>
            </w:r>
          </w:p>
        </w:tc>
        <w:tc>
          <w:tcPr>
            <w:tcW w:w="735" w:type="pct"/>
            <w:vMerge w:val="continue"/>
            <w:noWrap w:val="0"/>
            <w:vAlign w:val="center"/>
          </w:tcPr>
          <w:p w14:paraId="189DAF33">
            <w:pPr>
              <w:pStyle w:val="42"/>
              <w:keepNext w:val="0"/>
              <w:keepLines w:val="0"/>
              <w:suppressLineNumbers w:val="0"/>
              <w:bidi w:val="0"/>
              <w:spacing w:before="0" w:beforeAutospacing="0" w:after="0" w:afterAutospacing="0"/>
              <w:rPr>
                <w:rFonts w:hint="default"/>
              </w:rPr>
            </w:pPr>
          </w:p>
        </w:tc>
        <w:tc>
          <w:tcPr>
            <w:tcW w:w="931" w:type="pct"/>
            <w:noWrap w:val="0"/>
            <w:vAlign w:val="center"/>
          </w:tcPr>
          <w:p w14:paraId="4A2D034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空压机</w:t>
            </w:r>
          </w:p>
        </w:tc>
        <w:tc>
          <w:tcPr>
            <w:tcW w:w="834" w:type="pct"/>
            <w:tcBorders>
              <w:right w:val="single" w:color="auto" w:sz="12" w:space="0"/>
            </w:tcBorders>
            <w:noWrap w:val="0"/>
            <w:vAlign w:val="center"/>
          </w:tcPr>
          <w:p w14:paraId="0E77FF4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75-85</w:t>
            </w:r>
          </w:p>
        </w:tc>
      </w:tr>
      <w:tr w14:paraId="5CAAA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tcBorders>
              <w:left w:val="single" w:color="auto" w:sz="12" w:space="0"/>
              <w:bottom w:val="single" w:color="auto" w:sz="12" w:space="0"/>
            </w:tcBorders>
            <w:noWrap w:val="0"/>
            <w:vAlign w:val="center"/>
          </w:tcPr>
          <w:p w14:paraId="40748B9D">
            <w:pPr>
              <w:pStyle w:val="42"/>
              <w:keepNext w:val="0"/>
              <w:keepLines w:val="0"/>
              <w:suppressLineNumbers w:val="0"/>
              <w:bidi w:val="0"/>
              <w:spacing w:before="0" w:beforeAutospacing="0" w:after="0" w:afterAutospacing="0"/>
              <w:rPr>
                <w:rFonts w:hint="default"/>
              </w:rPr>
            </w:pPr>
          </w:p>
        </w:tc>
        <w:tc>
          <w:tcPr>
            <w:tcW w:w="833" w:type="pct"/>
            <w:tcBorders>
              <w:bottom w:val="single" w:color="auto" w:sz="12" w:space="0"/>
            </w:tcBorders>
            <w:noWrap w:val="0"/>
            <w:vAlign w:val="center"/>
          </w:tcPr>
          <w:p w14:paraId="7C39448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无齿锯</w:t>
            </w:r>
          </w:p>
        </w:tc>
        <w:tc>
          <w:tcPr>
            <w:tcW w:w="833" w:type="pct"/>
            <w:tcBorders>
              <w:bottom w:val="single" w:color="auto" w:sz="12" w:space="0"/>
            </w:tcBorders>
            <w:noWrap w:val="0"/>
            <w:vAlign w:val="center"/>
          </w:tcPr>
          <w:p w14:paraId="00BD621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105</w:t>
            </w:r>
          </w:p>
        </w:tc>
        <w:tc>
          <w:tcPr>
            <w:tcW w:w="735" w:type="pct"/>
            <w:vMerge w:val="continue"/>
            <w:tcBorders>
              <w:bottom w:val="single" w:color="auto" w:sz="12" w:space="0"/>
            </w:tcBorders>
            <w:noWrap w:val="0"/>
            <w:vAlign w:val="center"/>
          </w:tcPr>
          <w:p w14:paraId="06902B49">
            <w:pPr>
              <w:pStyle w:val="42"/>
              <w:keepNext w:val="0"/>
              <w:keepLines w:val="0"/>
              <w:suppressLineNumbers w:val="0"/>
              <w:bidi w:val="0"/>
              <w:spacing w:before="0" w:beforeAutospacing="0" w:after="0" w:afterAutospacing="0"/>
              <w:rPr>
                <w:rFonts w:hint="default"/>
              </w:rPr>
            </w:pPr>
          </w:p>
        </w:tc>
        <w:tc>
          <w:tcPr>
            <w:tcW w:w="931" w:type="pct"/>
            <w:tcBorders>
              <w:bottom w:val="single" w:color="auto" w:sz="12" w:space="0"/>
            </w:tcBorders>
            <w:noWrap w:val="0"/>
            <w:vAlign w:val="center"/>
          </w:tcPr>
          <w:p w14:paraId="631ADAAB">
            <w:pPr>
              <w:pStyle w:val="42"/>
              <w:keepNext w:val="0"/>
              <w:keepLines w:val="0"/>
              <w:suppressLineNumbers w:val="0"/>
              <w:bidi w:val="0"/>
              <w:spacing w:before="0" w:beforeAutospacing="0" w:after="0" w:afterAutospacing="0"/>
              <w:rPr>
                <w:rFonts w:hint="default"/>
              </w:rPr>
            </w:pPr>
          </w:p>
        </w:tc>
        <w:tc>
          <w:tcPr>
            <w:tcW w:w="834" w:type="pct"/>
            <w:tcBorders>
              <w:bottom w:val="single" w:color="auto" w:sz="12" w:space="0"/>
              <w:right w:val="single" w:color="auto" w:sz="12" w:space="0"/>
            </w:tcBorders>
            <w:noWrap w:val="0"/>
            <w:vAlign w:val="center"/>
          </w:tcPr>
          <w:p w14:paraId="47681516">
            <w:pPr>
              <w:pStyle w:val="42"/>
              <w:keepNext w:val="0"/>
              <w:keepLines w:val="0"/>
              <w:suppressLineNumbers w:val="0"/>
              <w:bidi w:val="0"/>
              <w:spacing w:before="0" w:beforeAutospacing="0" w:after="0" w:afterAutospacing="0"/>
              <w:rPr>
                <w:rFonts w:hint="default"/>
              </w:rPr>
            </w:pPr>
          </w:p>
        </w:tc>
      </w:tr>
    </w:tbl>
    <w:p w14:paraId="25DC754D">
      <w:pPr>
        <w:bidi w:val="0"/>
        <w:rPr>
          <w:rFonts w:hint="default"/>
        </w:rPr>
      </w:pPr>
      <w:r>
        <w:rPr>
          <w:rFonts w:hint="default"/>
        </w:rPr>
        <w:t>类比同类企业项目建设，昼间施工距声源50m范围内、夜间施工距声源150m范围内将受到不同程度的影响。</w:t>
      </w:r>
    </w:p>
    <w:p w14:paraId="00DC7112">
      <w:pPr>
        <w:bidi w:val="0"/>
        <w:rPr>
          <w:rFonts w:hint="default"/>
        </w:rPr>
      </w:pPr>
      <w:r>
        <w:rPr>
          <w:rFonts w:hint="default"/>
        </w:rPr>
        <w:t>（4）施工期固体废物</w:t>
      </w:r>
    </w:p>
    <w:p w14:paraId="39FBFBBF">
      <w:pPr>
        <w:bidi w:val="0"/>
        <w:rPr>
          <w:rFonts w:hint="default"/>
        </w:rPr>
      </w:pPr>
      <w:r>
        <w:rPr>
          <w:rFonts w:hint="default"/>
        </w:rPr>
        <w:t>施工期固体废弃物主要是施工产生的建筑垃圾、弃土及施工人员生活垃圾。污水处理站建设产生的土方量主要为表层土以及污水处理站建设过程中产生少量建筑垃圾。</w:t>
      </w:r>
    </w:p>
    <w:p w14:paraId="10453EFE">
      <w:pPr>
        <w:bidi w:val="0"/>
        <w:rPr>
          <w:rFonts w:hint="default"/>
        </w:rPr>
      </w:pPr>
      <w:r>
        <w:rPr>
          <w:rFonts w:hint="default"/>
        </w:rPr>
        <w:t>项目施工期间，施工人员基本住在施工现场。施工人员的日常生产和生活活动产生一定量的生活垃圾。</w:t>
      </w:r>
    </w:p>
    <w:p w14:paraId="02B8D3D7">
      <w:pPr>
        <w:bidi w:val="0"/>
        <w:rPr>
          <w:rFonts w:hint="default"/>
        </w:rPr>
      </w:pPr>
      <w:r>
        <w:rPr>
          <w:rFonts w:hint="default"/>
        </w:rPr>
        <w:t>（5）施工期引起水土流失</w:t>
      </w:r>
    </w:p>
    <w:p w14:paraId="201F3BBF">
      <w:pPr>
        <w:bidi w:val="0"/>
        <w:rPr>
          <w:rFonts w:hint="default"/>
        </w:rPr>
      </w:pPr>
      <w:r>
        <w:rPr>
          <w:rFonts w:hint="default"/>
        </w:rPr>
        <w:t>本项目占地为</w:t>
      </w:r>
      <w:r>
        <w:rPr>
          <w:rFonts w:hint="eastAsia"/>
          <w:lang w:val="en-US" w:eastAsia="zh-CN"/>
        </w:rPr>
        <w:t>湘阴</w:t>
      </w:r>
      <w:r>
        <w:rPr>
          <w:rFonts w:hint="default"/>
        </w:rPr>
        <w:t>佳海食品产业园建设预留用地，占地范围内为</w:t>
      </w:r>
      <w:r>
        <w:rPr>
          <w:rFonts w:hint="eastAsia"/>
          <w:lang w:val="en-US" w:eastAsia="zh-CN"/>
        </w:rPr>
        <w:t>已平整</w:t>
      </w:r>
      <w:r>
        <w:rPr>
          <w:rFonts w:hint="default"/>
        </w:rPr>
        <w:t>荒地，不涉及原有植被，但在工程建设过程中，由于土方开挖使得原有的土地结构受到破坏和改变，造成原土移位、松散，其土壤的抗蚀性、抗雨水冲刷性降低，同时，土方开挖产生的临时土方，在雨季或大风天气情况下，会产生一定量的水土流失。</w:t>
      </w:r>
    </w:p>
    <w:p w14:paraId="410762D2">
      <w:pPr>
        <w:pStyle w:val="5"/>
        <w:rPr>
          <w:rFonts w:hint="default" w:ascii="Times New Roman" w:hAnsi="Times New Roman" w:cs="Times New Roman"/>
          <w:color w:val="auto"/>
          <w:highlight w:val="none"/>
          <w:u w:val="none" w:color="auto"/>
        </w:rPr>
      </w:pPr>
      <w:bookmarkStart w:id="120" w:name="_Toc20629"/>
      <w:r>
        <w:rPr>
          <w:rFonts w:hint="default" w:ascii="Times New Roman" w:hAnsi="Times New Roman" w:cs="Times New Roman"/>
          <w:color w:val="auto"/>
          <w:highlight w:val="none"/>
          <w:u w:val="none" w:color="auto"/>
        </w:rPr>
        <w:t>营运期污染源分析</w:t>
      </w:r>
      <w:bookmarkEnd w:id="120"/>
    </w:p>
    <w:p w14:paraId="3A73645C">
      <w:pPr>
        <w:pStyle w:val="6"/>
        <w:rPr>
          <w:rFonts w:hint="default" w:ascii="Times New Roman" w:hAnsi="Times New Roman" w:cs="Times New Roman"/>
          <w:color w:val="auto"/>
          <w:highlight w:val="none"/>
          <w:u w:val="none" w:color="auto"/>
        </w:rPr>
      </w:pPr>
      <w:bookmarkStart w:id="121" w:name="_Toc10855"/>
      <w:bookmarkStart w:id="122" w:name="_Toc17962"/>
      <w:r>
        <w:rPr>
          <w:rFonts w:hint="default" w:ascii="Times New Roman" w:hAnsi="Times New Roman" w:cs="Times New Roman"/>
          <w:color w:val="auto"/>
          <w:highlight w:val="none"/>
          <w:u w:val="none" w:color="auto"/>
        </w:rPr>
        <w:t>营运期废气污染源分析</w:t>
      </w:r>
    </w:p>
    <w:p w14:paraId="4B9F621C">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（1）废气产生源</w:t>
      </w:r>
    </w:p>
    <w:p w14:paraId="085FE8A7">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污水处理厂产生恶臭物质的发生源很多，结合本项目处理工艺，对工艺产污节点分析，本项目污水处理厂产生臭气的环节分别有：</w:t>
      </w:r>
    </w:p>
    <w:p w14:paraId="716334CC">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①预处理部分（</w:t>
      </w:r>
      <w:r>
        <w:rPr>
          <w:rFonts w:hint="eastAsia" w:ascii="Times New Roman" w:hAnsi="Times New Roman" w:cs="Times New Roman"/>
          <w:color w:val="auto"/>
          <w:highlight w:val="none"/>
          <w:u w:val="none" w:color="auto"/>
          <w:lang w:val="en-US" w:eastAsia="zh-CN"/>
        </w:rPr>
        <w:t>集水池</w:t>
      </w:r>
      <w:r>
        <w:rPr>
          <w:rFonts w:hint="default" w:ascii="Times New Roman" w:hAnsi="Times New Roman" w:cs="Times New Roman"/>
          <w:color w:val="auto"/>
          <w:highlight w:val="none"/>
          <w:u w:val="none" w:color="auto"/>
          <w:lang w:val="en-US" w:eastAsia="zh-CN"/>
        </w:rPr>
        <w:t>、隔油池、调节池）管道内的污水在进入污水处理站之前处于厌氧状态，容易产生腐化臭气。</w:t>
      </w:r>
    </w:p>
    <w:p w14:paraId="5BAE1178">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②生化处理</w:t>
      </w:r>
      <w:r>
        <w:rPr>
          <w:rFonts w:hint="eastAsia" w:ascii="Times New Roman" w:hAnsi="Times New Roman" w:cs="Times New Roman"/>
          <w:color w:val="auto"/>
          <w:highlight w:val="none"/>
          <w:u w:val="none" w:color="auto"/>
          <w:lang w:val="en-US" w:eastAsia="zh-CN"/>
        </w:rPr>
        <w:t>厌氧流化床</w:t>
      </w:r>
      <w:r>
        <w:rPr>
          <w:rFonts w:hint="default" w:ascii="Times New Roman" w:hAnsi="Times New Roman" w:cs="Times New Roman"/>
          <w:color w:val="auto"/>
          <w:highlight w:val="none"/>
          <w:u w:val="none" w:color="auto"/>
          <w:lang w:val="en-US" w:eastAsia="zh-CN"/>
        </w:rPr>
        <w:t>池、缺氧池、好氧池产生的恶臭。</w:t>
      </w:r>
    </w:p>
    <w:p w14:paraId="78B5DE5A">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③污泥处理区（污泥浓缩池、污泥脱水间）污泥的收集、处理，是污水处理厂恶臭的重要来源。造成恶臭的主要原因是由于污泥吸附恶臭物质或由于污泥滞留时间过长厌氧分解硫化氢和各种烷基硫醇的缘故。</w:t>
      </w:r>
    </w:p>
    <w:p w14:paraId="0208F8B5">
      <w:pPr>
        <w:bidi w:val="0"/>
        <w:rPr>
          <w:rFonts w:hint="default"/>
        </w:rPr>
      </w:pPr>
      <w:r>
        <w:rPr>
          <w:rFonts w:hint="default"/>
        </w:rPr>
        <w:t>（2）主要污染物确定</w:t>
      </w:r>
    </w:p>
    <w:p w14:paraId="1B7C80CA">
      <w:pPr>
        <w:bidi w:val="0"/>
        <w:rPr>
          <w:rFonts w:hint="default"/>
        </w:rPr>
      </w:pPr>
      <w:r>
        <w:rPr>
          <w:rFonts w:hint="default"/>
        </w:rPr>
        <w:t>污水中恶臭的化合物种类较多，可划分为硫化物、低级脂肪胺、芳烃、羟基化合物、醇类、酚类、低级脂肪酸、吲哚八大类，目前经常提到的主要有：</w:t>
      </w:r>
      <w:r>
        <w:rPr>
          <w:rFonts w:hint="eastAsia"/>
          <w:lang w:eastAsia="zh-CN"/>
        </w:rPr>
        <w:t>H</w:t>
      </w:r>
      <w:r>
        <w:rPr>
          <w:rFonts w:hint="eastAsia"/>
          <w:vertAlign w:val="subscript"/>
          <w:lang w:eastAsia="zh-CN"/>
        </w:rPr>
        <w:t>2</w:t>
      </w:r>
      <w:r>
        <w:rPr>
          <w:rFonts w:hint="eastAsia"/>
          <w:lang w:eastAsia="zh-CN"/>
        </w:rPr>
        <w:t>S</w:t>
      </w:r>
      <w:r>
        <w:rPr>
          <w:rFonts w:hint="default"/>
        </w:rPr>
        <w:t>、</w:t>
      </w:r>
      <w:r>
        <w:rPr>
          <w:rFonts w:hint="eastAsia"/>
          <w:lang w:eastAsia="zh-CN"/>
        </w:rPr>
        <w:t>NH</w:t>
      </w:r>
      <w:r>
        <w:rPr>
          <w:rFonts w:hint="eastAsia"/>
          <w:vertAlign w:val="subscript"/>
          <w:lang w:eastAsia="zh-CN"/>
        </w:rPr>
        <w:t>3</w:t>
      </w:r>
      <w:r>
        <w:rPr>
          <w:rFonts w:hint="default"/>
        </w:rPr>
        <w:t>、（CH</w:t>
      </w:r>
      <w:r>
        <w:rPr>
          <w:rFonts w:hint="default"/>
          <w:vertAlign w:val="subscript"/>
        </w:rPr>
        <w:t>3</w:t>
      </w:r>
      <w:r>
        <w:rPr>
          <w:rFonts w:hint="default"/>
        </w:rPr>
        <w:t>）</w:t>
      </w:r>
      <w:r>
        <w:rPr>
          <w:rFonts w:hint="default"/>
          <w:vertAlign w:val="subscript"/>
        </w:rPr>
        <w:t>3</w:t>
      </w:r>
      <w:r>
        <w:rPr>
          <w:rFonts w:hint="default"/>
        </w:rPr>
        <w:t>N、CH</w:t>
      </w:r>
      <w:r>
        <w:rPr>
          <w:rFonts w:hint="default"/>
          <w:vertAlign w:val="subscript"/>
        </w:rPr>
        <w:t>3</w:t>
      </w:r>
      <w:r>
        <w:rPr>
          <w:rFonts w:hint="default"/>
        </w:rPr>
        <w:t>SH、CH</w:t>
      </w:r>
      <w:r>
        <w:rPr>
          <w:rFonts w:hint="default"/>
          <w:vertAlign w:val="subscript"/>
        </w:rPr>
        <w:t>3</w:t>
      </w:r>
      <w:r>
        <w:rPr>
          <w:rFonts w:hint="default"/>
        </w:rPr>
        <w:t>SCH</w:t>
      </w:r>
      <w:r>
        <w:rPr>
          <w:rFonts w:hint="default"/>
          <w:vertAlign w:val="subscript"/>
        </w:rPr>
        <w:t>3</w:t>
      </w:r>
      <w:r>
        <w:rPr>
          <w:rFonts w:hint="default"/>
        </w:rPr>
        <w:t>、DMS、CH</w:t>
      </w:r>
      <w:r>
        <w:rPr>
          <w:rFonts w:hint="default"/>
          <w:vertAlign w:val="subscript"/>
        </w:rPr>
        <w:t>3</w:t>
      </w:r>
      <w:r>
        <w:rPr>
          <w:rFonts w:hint="default"/>
        </w:rPr>
        <w:t>SSCH</w:t>
      </w:r>
      <w:r>
        <w:rPr>
          <w:rFonts w:hint="default"/>
          <w:vertAlign w:val="subscript"/>
        </w:rPr>
        <w:t>3</w:t>
      </w:r>
      <w:r>
        <w:rPr>
          <w:rFonts w:hint="default"/>
        </w:rPr>
        <w:t>、DMDS(二甲基二硫)、乙醛、苯乙烯等。</w:t>
      </w:r>
      <w:r>
        <w:rPr>
          <w:rFonts w:hint="eastAsia"/>
          <w:lang w:val="en-US" w:eastAsia="zh-CN"/>
        </w:rPr>
        <w:t>由于本项目处理工艺主要为生化法，与</w:t>
      </w:r>
      <w:r>
        <w:rPr>
          <w:rFonts w:hint="default"/>
        </w:rPr>
        <w:t>城镇污水处理厂</w:t>
      </w:r>
      <w:r>
        <w:rPr>
          <w:rFonts w:hint="eastAsia"/>
          <w:lang w:val="en-US" w:eastAsia="zh-CN"/>
        </w:rPr>
        <w:t>处理工艺类似，</w:t>
      </w:r>
      <w:r>
        <w:rPr>
          <w:rFonts w:hint="default"/>
        </w:rPr>
        <w:t>根据《城镇污水处理厂污染物排放标准》（GB18918-2002），城镇污水厂臭气中含有的污染物中以</w:t>
      </w:r>
      <w:r>
        <w:rPr>
          <w:rFonts w:hint="eastAsia"/>
          <w:lang w:eastAsia="zh-CN"/>
        </w:rPr>
        <w:t>H</w:t>
      </w:r>
      <w:r>
        <w:rPr>
          <w:rFonts w:hint="eastAsia"/>
          <w:vertAlign w:val="subscript"/>
          <w:lang w:eastAsia="zh-CN"/>
        </w:rPr>
        <w:t>2</w:t>
      </w:r>
      <w:r>
        <w:rPr>
          <w:rFonts w:hint="eastAsia"/>
          <w:lang w:eastAsia="zh-CN"/>
        </w:rPr>
        <w:t>S</w:t>
      </w:r>
      <w:r>
        <w:rPr>
          <w:rFonts w:hint="default"/>
        </w:rPr>
        <w:t>、</w:t>
      </w:r>
      <w:r>
        <w:rPr>
          <w:rFonts w:hint="eastAsia"/>
          <w:lang w:eastAsia="zh-CN"/>
        </w:rPr>
        <w:t>NH</w:t>
      </w:r>
      <w:r>
        <w:rPr>
          <w:rFonts w:hint="eastAsia"/>
          <w:vertAlign w:val="subscript"/>
          <w:lang w:eastAsia="zh-CN"/>
        </w:rPr>
        <w:t>3</w:t>
      </w:r>
      <w:r>
        <w:rPr>
          <w:rFonts w:hint="default"/>
        </w:rPr>
        <w:t>最为常见。</w:t>
      </w:r>
    </w:p>
    <w:p w14:paraId="5553D511">
      <w:pPr>
        <w:bidi w:val="0"/>
        <w:rPr>
          <w:rFonts w:hint="default"/>
        </w:rPr>
      </w:pPr>
      <w:r>
        <w:rPr>
          <w:rFonts w:hint="default"/>
        </w:rPr>
        <w:t>因此，本报告臭气影响评价的因子确定为</w:t>
      </w:r>
      <w:r>
        <w:rPr>
          <w:rFonts w:hint="eastAsia"/>
          <w:lang w:eastAsia="zh-CN"/>
        </w:rPr>
        <w:t>H</w:t>
      </w:r>
      <w:r>
        <w:rPr>
          <w:rFonts w:hint="eastAsia"/>
          <w:vertAlign w:val="subscript"/>
          <w:lang w:eastAsia="zh-CN"/>
        </w:rPr>
        <w:t>2</w:t>
      </w:r>
      <w:r>
        <w:rPr>
          <w:rFonts w:hint="eastAsia"/>
          <w:lang w:eastAsia="zh-CN"/>
        </w:rPr>
        <w:t>S</w:t>
      </w:r>
      <w:r>
        <w:rPr>
          <w:rFonts w:hint="default"/>
        </w:rPr>
        <w:t>、</w:t>
      </w:r>
      <w:r>
        <w:rPr>
          <w:rFonts w:hint="eastAsia"/>
          <w:lang w:eastAsia="zh-CN"/>
        </w:rPr>
        <w:t>NH</w:t>
      </w:r>
      <w:r>
        <w:rPr>
          <w:rFonts w:hint="eastAsia"/>
          <w:vertAlign w:val="subscript"/>
          <w:lang w:eastAsia="zh-CN"/>
        </w:rPr>
        <w:t>3</w:t>
      </w:r>
      <w:r>
        <w:rPr>
          <w:rFonts w:hint="default"/>
        </w:rPr>
        <w:t>以及由各恶臭污染物混合影响的臭气浓度。</w:t>
      </w:r>
    </w:p>
    <w:p w14:paraId="3992DDD2">
      <w:pPr>
        <w:bidi w:val="0"/>
        <w:rPr>
          <w:rFonts w:hint="default"/>
        </w:rPr>
      </w:pPr>
      <w:r>
        <w:rPr>
          <w:rFonts w:hint="default"/>
        </w:rPr>
        <w:t>（3）臭气源强核算</w:t>
      </w:r>
    </w:p>
    <w:p w14:paraId="48D4DBA2">
      <w:pPr>
        <w:bidi w:val="0"/>
        <w:rPr>
          <w:rFonts w:hint="default"/>
        </w:rPr>
      </w:pPr>
      <w:r>
        <w:rPr>
          <w:rFonts w:hint="default"/>
        </w:rPr>
        <w:t>根据王喜红(洛阳市环境保护设计研究院)编写的《城市污水处理厂恶臭影响及对策措施》，城市污水处理厂恶臭源强适用污水处理工艺包括：活性污泥法、氧化沟法、SBR法、AB法、水解酸化法、AB两段活性污泥法、生物滤池法等。本项目废水采用“A</w:t>
      </w:r>
      <w:r>
        <w:rPr>
          <w:rFonts w:hint="eastAsia"/>
          <w:lang w:val="en-US" w:eastAsia="zh-CN"/>
        </w:rPr>
        <w:t>B</w:t>
      </w:r>
      <w:r>
        <w:rPr>
          <w:rFonts w:hint="default"/>
        </w:rPr>
        <w:t>工艺”处理工艺，属于《城市污水处理厂恶臭影响及对策措施》中论证的多种工艺组合，与《城市污水处理厂恶臭影响及对策措施》中的工艺符合，因此恶臭源强按产生恶臭设施的构筑物尺寸进行粗算合理可行。</w:t>
      </w:r>
    </w:p>
    <w:p w14:paraId="48C472CB">
      <w:pPr>
        <w:pStyle w:val="39"/>
        <w:bidi w:val="0"/>
        <w:rPr>
          <w:rFonts w:hint="default"/>
        </w:rPr>
      </w:pPr>
      <w:r>
        <w:rPr>
          <w:rFonts w:hint="default"/>
        </w:rPr>
        <w:t>表</w:t>
      </w:r>
      <w:r>
        <w:rPr>
          <w:rFonts w:hint="eastAsia"/>
          <w:lang w:val="en-US" w:eastAsia="zh-CN"/>
        </w:rPr>
        <w:t>4.5</w:t>
      </w:r>
      <w:r>
        <w:rPr>
          <w:rFonts w:hint="default"/>
        </w:rPr>
        <w:t>-</w:t>
      </w:r>
      <w:r>
        <w:rPr>
          <w:rFonts w:hint="eastAsia"/>
          <w:lang w:val="en-US" w:eastAsia="zh-CN"/>
        </w:rPr>
        <w:t xml:space="preserve">1  </w:t>
      </w:r>
      <w:r>
        <w:rPr>
          <w:rFonts w:hint="default"/>
        </w:rPr>
        <w:t>污水厂主要处理设施产生强度见。</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818"/>
        <w:gridCol w:w="2816"/>
        <w:gridCol w:w="2699"/>
      </w:tblGrid>
      <w:tr w14:paraId="6274FC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691" w:type="pct"/>
            <w:tcBorders>
              <w:top w:val="single" w:color="000000" w:sz="12" w:space="0"/>
              <w:left w:val="single" w:color="000000" w:sz="12" w:space="0"/>
              <w:bottom w:val="single" w:color="000000" w:sz="4" w:space="0"/>
              <w:right w:val="single" w:color="000000" w:sz="4" w:space="0"/>
            </w:tcBorders>
            <w:vAlign w:val="center"/>
          </w:tcPr>
          <w:p w14:paraId="2D5D7C79">
            <w:pPr>
              <w:pStyle w:val="42"/>
              <w:bidi w:val="0"/>
              <w:jc w:val="center"/>
            </w:pPr>
            <w:r>
              <w:t>构筑物名称</w:t>
            </w:r>
          </w:p>
        </w:tc>
        <w:tc>
          <w:tcPr>
            <w:tcW w:w="1689" w:type="pct"/>
            <w:tcBorders>
              <w:top w:val="single" w:color="000000" w:sz="12" w:space="0"/>
              <w:left w:val="single" w:color="000000" w:sz="4" w:space="0"/>
              <w:bottom w:val="single" w:color="000000" w:sz="4" w:space="0"/>
              <w:right w:val="single" w:color="000000" w:sz="4" w:space="0"/>
            </w:tcBorders>
            <w:vAlign w:val="center"/>
          </w:tcPr>
          <w:p w14:paraId="3D5A9021">
            <w:pPr>
              <w:pStyle w:val="42"/>
              <w:bidi w:val="0"/>
              <w:jc w:val="center"/>
            </w:pPr>
            <w:r>
              <w:rPr>
                <w:rFonts w:hint="eastAsia"/>
                <w:lang w:eastAsia="zh-CN"/>
              </w:rPr>
              <w:t>NH</w:t>
            </w:r>
            <w:r>
              <w:rPr>
                <w:rFonts w:hint="eastAsia"/>
                <w:vertAlign w:val="subscript"/>
                <w:lang w:eastAsia="zh-CN"/>
              </w:rPr>
              <w:t>3</w:t>
            </w:r>
            <w:r>
              <w:t>（mg/s ·</w:t>
            </w:r>
            <w:r>
              <w:rPr>
                <w:rFonts w:hint="eastAsia"/>
                <w:lang w:eastAsia="zh-CN"/>
              </w:rPr>
              <w:t>m</w:t>
            </w:r>
            <w:r>
              <w:rPr>
                <w:rFonts w:hint="eastAsia"/>
                <w:vertAlign w:val="superscript"/>
                <w:lang w:eastAsia="zh-CN"/>
              </w:rPr>
              <w:t>2</w:t>
            </w:r>
            <w:r>
              <w:t>）</w:t>
            </w:r>
          </w:p>
        </w:tc>
        <w:tc>
          <w:tcPr>
            <w:tcW w:w="1619" w:type="pct"/>
            <w:tcBorders>
              <w:top w:val="single" w:color="000000" w:sz="12" w:space="0"/>
              <w:left w:val="single" w:color="000000" w:sz="4" w:space="0"/>
              <w:bottom w:val="single" w:color="000000" w:sz="4" w:space="0"/>
              <w:right w:val="single" w:color="000000" w:sz="12" w:space="0"/>
            </w:tcBorders>
            <w:vAlign w:val="center"/>
          </w:tcPr>
          <w:p w14:paraId="6E8D3436">
            <w:pPr>
              <w:pStyle w:val="42"/>
              <w:bidi w:val="0"/>
              <w:jc w:val="center"/>
            </w:pPr>
            <w:r>
              <w:rPr>
                <w:rFonts w:hint="eastAsia"/>
                <w:lang w:eastAsia="zh-CN"/>
              </w:rPr>
              <w:t>H</w:t>
            </w:r>
            <w:r>
              <w:rPr>
                <w:rFonts w:hint="eastAsia"/>
                <w:vertAlign w:val="subscript"/>
                <w:lang w:eastAsia="zh-CN"/>
              </w:rPr>
              <w:t>2</w:t>
            </w:r>
            <w:r>
              <w:rPr>
                <w:rFonts w:hint="eastAsia"/>
                <w:lang w:eastAsia="zh-CN"/>
              </w:rPr>
              <w:t>S</w:t>
            </w:r>
            <w:r>
              <w:t>（mg/s ·</w:t>
            </w:r>
            <w:r>
              <w:rPr>
                <w:rFonts w:hint="eastAsia"/>
                <w:lang w:eastAsia="zh-CN"/>
              </w:rPr>
              <w:t>m</w:t>
            </w:r>
            <w:r>
              <w:rPr>
                <w:rFonts w:hint="eastAsia"/>
                <w:vertAlign w:val="superscript"/>
                <w:lang w:eastAsia="zh-CN"/>
              </w:rPr>
              <w:t>2</w:t>
            </w:r>
            <w:r>
              <w:t>）</w:t>
            </w:r>
          </w:p>
        </w:tc>
      </w:tr>
      <w:tr w14:paraId="58F23E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691" w:type="pct"/>
            <w:tcBorders>
              <w:top w:val="single" w:color="000000" w:sz="4" w:space="0"/>
              <w:left w:val="single" w:color="000000" w:sz="12" w:space="0"/>
              <w:bottom w:val="single" w:color="000000" w:sz="4" w:space="0"/>
              <w:right w:val="single" w:color="000000" w:sz="4" w:space="0"/>
            </w:tcBorders>
            <w:vAlign w:val="center"/>
          </w:tcPr>
          <w:p w14:paraId="367B41EE">
            <w:pPr>
              <w:pStyle w:val="42"/>
              <w:bidi w:val="0"/>
              <w:jc w:val="center"/>
            </w:pPr>
            <w:r>
              <w:t>粗格栅及进水泵房</w:t>
            </w:r>
          </w:p>
        </w:tc>
        <w:tc>
          <w:tcPr>
            <w:tcW w:w="1689" w:type="pct"/>
            <w:tcBorders>
              <w:top w:val="single" w:color="000000" w:sz="4" w:space="0"/>
              <w:left w:val="single" w:color="000000" w:sz="4" w:space="0"/>
              <w:bottom w:val="single" w:color="000000" w:sz="4" w:space="0"/>
              <w:right w:val="single" w:color="000000" w:sz="4" w:space="0"/>
            </w:tcBorders>
            <w:vAlign w:val="center"/>
          </w:tcPr>
          <w:p w14:paraId="7A89F4E2">
            <w:pPr>
              <w:pStyle w:val="42"/>
              <w:bidi w:val="0"/>
              <w:jc w:val="center"/>
            </w:pPr>
            <w:r>
              <w:t>0.61</w:t>
            </w:r>
          </w:p>
        </w:tc>
        <w:tc>
          <w:tcPr>
            <w:tcW w:w="1619" w:type="pct"/>
            <w:tcBorders>
              <w:top w:val="single" w:color="000000" w:sz="4" w:space="0"/>
              <w:left w:val="single" w:color="000000" w:sz="4" w:space="0"/>
              <w:bottom w:val="single" w:color="000000" w:sz="4" w:space="0"/>
              <w:right w:val="single" w:color="000000" w:sz="12" w:space="0"/>
            </w:tcBorders>
            <w:vAlign w:val="center"/>
          </w:tcPr>
          <w:p w14:paraId="7049BA35">
            <w:pPr>
              <w:pStyle w:val="42"/>
              <w:bidi w:val="0"/>
              <w:jc w:val="center"/>
            </w:pPr>
            <w:r>
              <w:t>0.001068</w:t>
            </w:r>
          </w:p>
        </w:tc>
      </w:tr>
      <w:tr w14:paraId="4B1AA7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691" w:type="pct"/>
            <w:tcBorders>
              <w:top w:val="single" w:color="000000" w:sz="4" w:space="0"/>
              <w:left w:val="single" w:color="000000" w:sz="12" w:space="0"/>
              <w:bottom w:val="single" w:color="000000" w:sz="4" w:space="0"/>
              <w:right w:val="single" w:color="000000" w:sz="4" w:space="0"/>
            </w:tcBorders>
            <w:vAlign w:val="center"/>
          </w:tcPr>
          <w:p w14:paraId="117B6B70">
            <w:pPr>
              <w:pStyle w:val="42"/>
              <w:bidi w:val="0"/>
              <w:jc w:val="center"/>
            </w:pPr>
            <w:r>
              <w:t>细格栅及沉砂池</w:t>
            </w:r>
          </w:p>
        </w:tc>
        <w:tc>
          <w:tcPr>
            <w:tcW w:w="1689" w:type="pct"/>
            <w:tcBorders>
              <w:top w:val="single" w:color="000000" w:sz="4" w:space="0"/>
              <w:left w:val="single" w:color="000000" w:sz="4" w:space="0"/>
              <w:bottom w:val="single" w:color="000000" w:sz="4" w:space="0"/>
              <w:right w:val="single" w:color="000000" w:sz="4" w:space="0"/>
            </w:tcBorders>
            <w:vAlign w:val="center"/>
          </w:tcPr>
          <w:p w14:paraId="7F40114C">
            <w:pPr>
              <w:pStyle w:val="42"/>
              <w:bidi w:val="0"/>
              <w:jc w:val="center"/>
            </w:pPr>
            <w:r>
              <w:t>0.52</w:t>
            </w:r>
          </w:p>
        </w:tc>
        <w:tc>
          <w:tcPr>
            <w:tcW w:w="1619" w:type="pct"/>
            <w:tcBorders>
              <w:top w:val="single" w:color="000000" w:sz="4" w:space="0"/>
              <w:left w:val="single" w:color="000000" w:sz="4" w:space="0"/>
              <w:bottom w:val="single" w:color="000000" w:sz="4" w:space="0"/>
              <w:right w:val="single" w:color="000000" w:sz="12" w:space="0"/>
            </w:tcBorders>
            <w:vAlign w:val="center"/>
          </w:tcPr>
          <w:p w14:paraId="2231E2EB">
            <w:pPr>
              <w:pStyle w:val="42"/>
              <w:bidi w:val="0"/>
              <w:jc w:val="center"/>
            </w:pPr>
            <w:r>
              <w:t>0.001091</w:t>
            </w:r>
          </w:p>
        </w:tc>
      </w:tr>
      <w:tr w14:paraId="265F9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691" w:type="pct"/>
            <w:tcBorders>
              <w:top w:val="single" w:color="000000" w:sz="4" w:space="0"/>
              <w:left w:val="single" w:color="000000" w:sz="12" w:space="0"/>
              <w:bottom w:val="single" w:color="000000" w:sz="4" w:space="0"/>
              <w:right w:val="single" w:color="000000" w:sz="4" w:space="0"/>
            </w:tcBorders>
            <w:vAlign w:val="center"/>
          </w:tcPr>
          <w:p w14:paraId="4A9A8035">
            <w:pPr>
              <w:pStyle w:val="42"/>
              <w:bidi w:val="0"/>
              <w:jc w:val="center"/>
            </w:pPr>
            <w:r>
              <w:t>生化池</w:t>
            </w:r>
          </w:p>
        </w:tc>
        <w:tc>
          <w:tcPr>
            <w:tcW w:w="1689" w:type="pct"/>
            <w:tcBorders>
              <w:top w:val="single" w:color="000000" w:sz="4" w:space="0"/>
              <w:left w:val="single" w:color="000000" w:sz="4" w:space="0"/>
              <w:bottom w:val="single" w:color="000000" w:sz="4" w:space="0"/>
              <w:right w:val="single" w:color="000000" w:sz="4" w:space="0"/>
            </w:tcBorders>
            <w:vAlign w:val="center"/>
          </w:tcPr>
          <w:p w14:paraId="5805A751">
            <w:pPr>
              <w:pStyle w:val="42"/>
              <w:bidi w:val="0"/>
              <w:jc w:val="center"/>
            </w:pPr>
            <w:r>
              <w:t>0.0049</w:t>
            </w:r>
          </w:p>
        </w:tc>
        <w:tc>
          <w:tcPr>
            <w:tcW w:w="1619" w:type="pct"/>
            <w:tcBorders>
              <w:top w:val="single" w:color="000000" w:sz="4" w:space="0"/>
              <w:left w:val="single" w:color="000000" w:sz="4" w:space="0"/>
              <w:bottom w:val="single" w:color="000000" w:sz="4" w:space="0"/>
              <w:right w:val="single" w:color="000000" w:sz="12" w:space="0"/>
            </w:tcBorders>
            <w:vAlign w:val="center"/>
          </w:tcPr>
          <w:p w14:paraId="5E6178C1">
            <w:pPr>
              <w:pStyle w:val="42"/>
              <w:bidi w:val="0"/>
              <w:jc w:val="center"/>
            </w:pPr>
            <w:r>
              <w:t>0.00026</w:t>
            </w:r>
          </w:p>
        </w:tc>
      </w:tr>
      <w:tr w14:paraId="5B0303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691" w:type="pct"/>
            <w:tcBorders>
              <w:top w:val="single" w:color="000000" w:sz="4" w:space="0"/>
              <w:left w:val="single" w:color="000000" w:sz="12" w:space="0"/>
              <w:bottom w:val="single" w:color="000000" w:sz="4" w:space="0"/>
              <w:right w:val="single" w:color="000000" w:sz="4" w:space="0"/>
            </w:tcBorders>
            <w:vAlign w:val="center"/>
          </w:tcPr>
          <w:p w14:paraId="0D310CE4">
            <w:pPr>
              <w:pStyle w:val="42"/>
              <w:bidi w:val="0"/>
              <w:jc w:val="center"/>
            </w:pPr>
            <w:r>
              <w:t>二沉池</w:t>
            </w:r>
          </w:p>
        </w:tc>
        <w:tc>
          <w:tcPr>
            <w:tcW w:w="1689" w:type="pct"/>
            <w:tcBorders>
              <w:top w:val="single" w:color="000000" w:sz="4" w:space="0"/>
              <w:left w:val="single" w:color="000000" w:sz="4" w:space="0"/>
              <w:bottom w:val="single" w:color="000000" w:sz="4" w:space="0"/>
              <w:right w:val="single" w:color="000000" w:sz="4" w:space="0"/>
            </w:tcBorders>
            <w:vAlign w:val="center"/>
          </w:tcPr>
          <w:p w14:paraId="7E293EB4">
            <w:pPr>
              <w:pStyle w:val="42"/>
              <w:bidi w:val="0"/>
              <w:jc w:val="center"/>
            </w:pPr>
            <w:r>
              <w:t>0.007</w:t>
            </w:r>
          </w:p>
        </w:tc>
        <w:tc>
          <w:tcPr>
            <w:tcW w:w="1619" w:type="pct"/>
            <w:tcBorders>
              <w:top w:val="single" w:color="000000" w:sz="4" w:space="0"/>
              <w:left w:val="single" w:color="000000" w:sz="4" w:space="0"/>
              <w:bottom w:val="single" w:color="000000" w:sz="4" w:space="0"/>
              <w:right w:val="single" w:color="000000" w:sz="12" w:space="0"/>
            </w:tcBorders>
            <w:vAlign w:val="center"/>
          </w:tcPr>
          <w:p w14:paraId="45A6AB0B">
            <w:pPr>
              <w:pStyle w:val="42"/>
              <w:bidi w:val="0"/>
              <w:jc w:val="center"/>
            </w:pPr>
            <w:r>
              <w:t>0.000029</w:t>
            </w:r>
          </w:p>
        </w:tc>
      </w:tr>
      <w:tr w14:paraId="06F3C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691" w:type="pct"/>
            <w:tcBorders>
              <w:top w:val="single" w:color="000000" w:sz="4" w:space="0"/>
              <w:left w:val="single" w:color="000000" w:sz="12" w:space="0"/>
              <w:bottom w:val="single" w:color="000000" w:sz="12" w:space="0"/>
              <w:right w:val="single" w:color="000000" w:sz="4" w:space="0"/>
            </w:tcBorders>
            <w:vAlign w:val="center"/>
          </w:tcPr>
          <w:p w14:paraId="56046A16">
            <w:pPr>
              <w:pStyle w:val="42"/>
              <w:bidi w:val="0"/>
              <w:jc w:val="center"/>
            </w:pPr>
            <w:r>
              <w:t>脱水机房</w:t>
            </w:r>
          </w:p>
        </w:tc>
        <w:tc>
          <w:tcPr>
            <w:tcW w:w="1689" w:type="pct"/>
            <w:tcBorders>
              <w:top w:val="single" w:color="000000" w:sz="4" w:space="0"/>
              <w:left w:val="single" w:color="000000" w:sz="4" w:space="0"/>
              <w:bottom w:val="single" w:color="000000" w:sz="12" w:space="0"/>
              <w:right w:val="single" w:color="000000" w:sz="4" w:space="0"/>
            </w:tcBorders>
            <w:vAlign w:val="center"/>
          </w:tcPr>
          <w:p w14:paraId="4CFD688B">
            <w:pPr>
              <w:pStyle w:val="42"/>
              <w:bidi w:val="0"/>
              <w:jc w:val="center"/>
            </w:pPr>
            <w:r>
              <w:t>0.103</w:t>
            </w:r>
          </w:p>
        </w:tc>
        <w:tc>
          <w:tcPr>
            <w:tcW w:w="1619" w:type="pct"/>
            <w:tcBorders>
              <w:top w:val="single" w:color="000000" w:sz="4" w:space="0"/>
              <w:left w:val="single" w:color="000000" w:sz="4" w:space="0"/>
              <w:bottom w:val="single" w:color="000000" w:sz="12" w:space="0"/>
              <w:right w:val="single" w:color="000000" w:sz="12" w:space="0"/>
            </w:tcBorders>
            <w:vAlign w:val="center"/>
          </w:tcPr>
          <w:p w14:paraId="1AE1933D">
            <w:pPr>
              <w:pStyle w:val="42"/>
              <w:bidi w:val="0"/>
              <w:jc w:val="center"/>
            </w:pPr>
            <w:r>
              <w:t>0.00003</w:t>
            </w:r>
          </w:p>
        </w:tc>
      </w:tr>
    </w:tbl>
    <w:p w14:paraId="41E0820A">
      <w:pPr>
        <w:bidi w:val="0"/>
        <w:rPr>
          <w:rFonts w:hint="default"/>
        </w:rPr>
      </w:pPr>
      <w:r>
        <w:rPr>
          <w:rFonts w:hint="default"/>
        </w:rPr>
        <w:t>由工程的构筑物尺寸可估算出恶臭污染物排放源强，估计结果见下表。</w:t>
      </w:r>
    </w:p>
    <w:p w14:paraId="04DC771D">
      <w:pPr>
        <w:pStyle w:val="39"/>
        <w:bidi w:val="0"/>
        <w:rPr>
          <w:rFonts w:hint="default"/>
        </w:rPr>
      </w:pPr>
      <w:r>
        <w:rPr>
          <w:rFonts w:hint="default"/>
        </w:rPr>
        <w:t>表4.</w:t>
      </w:r>
      <w:r>
        <w:rPr>
          <w:rFonts w:hint="eastAsia"/>
          <w:lang w:val="en-US" w:eastAsia="zh-CN"/>
        </w:rPr>
        <w:t>5</w:t>
      </w:r>
      <w:r>
        <w:rPr>
          <w:rFonts w:hint="default"/>
        </w:rPr>
        <w:t>-</w:t>
      </w:r>
      <w:r>
        <w:rPr>
          <w:rFonts w:hint="eastAsia"/>
          <w:lang w:val="en-US" w:eastAsia="zh-CN"/>
        </w:rPr>
        <w:t>2</w:t>
      </w:r>
      <w:r>
        <w:rPr>
          <w:rFonts w:hint="default"/>
        </w:rPr>
        <w:t xml:space="preserve">  运营期恶臭污染物产生情况一览表</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4"/>
        <w:gridCol w:w="662"/>
        <w:gridCol w:w="1140"/>
        <w:gridCol w:w="1168"/>
        <w:gridCol w:w="1166"/>
        <w:gridCol w:w="1141"/>
        <w:gridCol w:w="1216"/>
        <w:gridCol w:w="1127"/>
      </w:tblGrid>
      <w:tr w14:paraId="4B454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trPr>
        <w:tc>
          <w:tcPr>
            <w:tcW w:w="429" w:type="pct"/>
            <w:vMerge w:val="restart"/>
            <w:tcBorders>
              <w:top w:val="single" w:color="000000" w:sz="12" w:space="0"/>
              <w:left w:val="single" w:color="000000" w:sz="12" w:space="0"/>
              <w:bottom w:val="single" w:color="000000" w:sz="4" w:space="0"/>
              <w:right w:val="single" w:color="000000" w:sz="4" w:space="0"/>
            </w:tcBorders>
            <w:vAlign w:val="center"/>
          </w:tcPr>
          <w:p w14:paraId="2795D0A5">
            <w:pPr>
              <w:pStyle w:val="42"/>
              <w:bidi w:val="0"/>
              <w:jc w:val="center"/>
            </w:pPr>
            <w:r>
              <w:t>构筑物名称</w:t>
            </w:r>
          </w:p>
        </w:tc>
        <w:tc>
          <w:tcPr>
            <w:tcW w:w="396" w:type="pct"/>
            <w:vMerge w:val="restart"/>
            <w:tcBorders>
              <w:top w:val="single" w:color="000000" w:sz="12" w:space="0"/>
              <w:left w:val="single" w:color="000000" w:sz="4" w:space="0"/>
              <w:bottom w:val="single" w:color="000000" w:sz="4" w:space="0"/>
              <w:right w:val="single" w:color="000000" w:sz="4" w:space="0"/>
            </w:tcBorders>
            <w:vAlign w:val="center"/>
          </w:tcPr>
          <w:p w14:paraId="38D4A0EC">
            <w:pPr>
              <w:pStyle w:val="42"/>
              <w:bidi w:val="0"/>
              <w:jc w:val="center"/>
            </w:pPr>
            <w:r>
              <w:t>面积（</w:t>
            </w:r>
            <w:r>
              <w:rPr>
                <w:rFonts w:hint="eastAsia"/>
                <w:lang w:eastAsia="zh-CN"/>
              </w:rPr>
              <w:t>m</w:t>
            </w:r>
            <w:r>
              <w:rPr>
                <w:rFonts w:hint="eastAsia"/>
                <w:vertAlign w:val="superscript"/>
                <w:lang w:eastAsia="zh-CN"/>
              </w:rPr>
              <w:t>2</w:t>
            </w:r>
            <w:r>
              <w:t>）</w:t>
            </w:r>
          </w:p>
        </w:tc>
        <w:tc>
          <w:tcPr>
            <w:tcW w:w="2084" w:type="pct"/>
            <w:gridSpan w:val="3"/>
            <w:tcBorders>
              <w:top w:val="single" w:color="000000" w:sz="12" w:space="0"/>
              <w:left w:val="single" w:color="000000" w:sz="4" w:space="0"/>
              <w:bottom w:val="single" w:color="000000" w:sz="4" w:space="0"/>
              <w:right w:val="single" w:color="000000" w:sz="4" w:space="0"/>
            </w:tcBorders>
            <w:vAlign w:val="center"/>
          </w:tcPr>
          <w:p w14:paraId="52A1BB9D">
            <w:pPr>
              <w:pStyle w:val="42"/>
              <w:bidi w:val="0"/>
              <w:jc w:val="center"/>
            </w:pPr>
            <w:r>
              <w:t>氨产生量</w:t>
            </w:r>
          </w:p>
        </w:tc>
        <w:tc>
          <w:tcPr>
            <w:tcW w:w="2088" w:type="pct"/>
            <w:gridSpan w:val="3"/>
            <w:tcBorders>
              <w:top w:val="single" w:color="000000" w:sz="12" w:space="0"/>
              <w:left w:val="single" w:color="000000" w:sz="4" w:space="0"/>
              <w:bottom w:val="single" w:color="000000" w:sz="4" w:space="0"/>
              <w:right w:val="single" w:color="000000" w:sz="12" w:space="0"/>
            </w:tcBorders>
            <w:vAlign w:val="center"/>
          </w:tcPr>
          <w:p w14:paraId="1095A1BA">
            <w:pPr>
              <w:pStyle w:val="42"/>
              <w:bidi w:val="0"/>
              <w:jc w:val="center"/>
            </w:pPr>
            <w:r>
              <w:t>硫化氢产生量</w:t>
            </w:r>
          </w:p>
        </w:tc>
      </w:tr>
      <w:tr w14:paraId="0C16AE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9" w:type="pct"/>
            <w:vMerge w:val="continue"/>
            <w:tcBorders>
              <w:top w:val="single" w:color="000000" w:sz="4" w:space="0"/>
              <w:left w:val="single" w:color="000000" w:sz="12" w:space="0"/>
              <w:bottom w:val="single" w:color="000000" w:sz="4" w:space="0"/>
              <w:right w:val="single" w:color="000000" w:sz="4" w:space="0"/>
            </w:tcBorders>
            <w:vAlign w:val="center"/>
          </w:tcPr>
          <w:p w14:paraId="1982F496">
            <w:pPr>
              <w:pStyle w:val="42"/>
              <w:bidi w:val="0"/>
              <w:jc w:val="center"/>
            </w:pPr>
          </w:p>
        </w:tc>
        <w:tc>
          <w:tcPr>
            <w:tcW w:w="396" w:type="pct"/>
            <w:vMerge w:val="continue"/>
            <w:tcBorders>
              <w:top w:val="single" w:color="000000" w:sz="4" w:space="0"/>
              <w:left w:val="single" w:color="000000" w:sz="4" w:space="0"/>
              <w:bottom w:val="single" w:color="000000" w:sz="4" w:space="0"/>
              <w:right w:val="single" w:color="000000" w:sz="4" w:space="0"/>
            </w:tcBorders>
            <w:vAlign w:val="center"/>
          </w:tcPr>
          <w:p w14:paraId="73674B29">
            <w:pPr>
              <w:pStyle w:val="42"/>
              <w:bidi w:val="0"/>
              <w:jc w:val="center"/>
            </w:pPr>
          </w:p>
        </w:tc>
        <w:tc>
          <w:tcPr>
            <w:tcW w:w="683" w:type="pct"/>
            <w:tcBorders>
              <w:top w:val="single" w:color="000000" w:sz="4" w:space="0"/>
              <w:left w:val="single" w:color="000000" w:sz="4" w:space="0"/>
              <w:bottom w:val="single" w:color="000000" w:sz="4" w:space="0"/>
              <w:right w:val="single" w:color="000000" w:sz="4" w:space="0"/>
            </w:tcBorders>
            <w:vAlign w:val="center"/>
          </w:tcPr>
          <w:p w14:paraId="60E85E8F">
            <w:pPr>
              <w:pStyle w:val="42"/>
              <w:bidi w:val="0"/>
              <w:jc w:val="center"/>
            </w:pPr>
            <w:r>
              <w:t>（mg/s·</w:t>
            </w:r>
            <w:r>
              <w:rPr>
                <w:rFonts w:hint="eastAsia"/>
                <w:lang w:eastAsia="zh-CN"/>
              </w:rPr>
              <w:t>m</w:t>
            </w:r>
            <w:r>
              <w:rPr>
                <w:rFonts w:hint="eastAsia"/>
                <w:vertAlign w:val="superscript"/>
                <w:lang w:eastAsia="zh-CN"/>
              </w:rPr>
              <w:t>2</w:t>
            </w:r>
            <w:r>
              <w:t>）</w:t>
            </w:r>
          </w:p>
        </w:tc>
        <w:tc>
          <w:tcPr>
            <w:tcW w:w="701" w:type="pct"/>
            <w:tcBorders>
              <w:top w:val="single" w:color="000000" w:sz="4" w:space="0"/>
              <w:left w:val="single" w:color="000000" w:sz="4" w:space="0"/>
              <w:bottom w:val="single" w:color="000000" w:sz="4" w:space="0"/>
              <w:right w:val="single" w:color="000000" w:sz="4" w:space="0"/>
            </w:tcBorders>
            <w:vAlign w:val="center"/>
          </w:tcPr>
          <w:p w14:paraId="7EADFFB1">
            <w:pPr>
              <w:pStyle w:val="42"/>
              <w:bidi w:val="0"/>
              <w:jc w:val="center"/>
            </w:pPr>
            <w:r>
              <w:t>kg/h</w:t>
            </w:r>
          </w:p>
        </w:tc>
        <w:tc>
          <w:tcPr>
            <w:tcW w:w="698" w:type="pct"/>
            <w:tcBorders>
              <w:top w:val="single" w:color="000000" w:sz="4" w:space="0"/>
              <w:left w:val="single" w:color="000000" w:sz="4" w:space="0"/>
              <w:bottom w:val="single" w:color="000000" w:sz="4" w:space="0"/>
              <w:right w:val="single" w:color="000000" w:sz="4" w:space="0"/>
            </w:tcBorders>
            <w:vAlign w:val="center"/>
          </w:tcPr>
          <w:p w14:paraId="75416818">
            <w:pPr>
              <w:pStyle w:val="42"/>
              <w:bidi w:val="0"/>
              <w:jc w:val="center"/>
            </w:pPr>
            <w:r>
              <w:t>t/a</w:t>
            </w:r>
          </w:p>
        </w:tc>
        <w:tc>
          <w:tcPr>
            <w:tcW w:w="683" w:type="pct"/>
            <w:tcBorders>
              <w:top w:val="single" w:color="000000" w:sz="4" w:space="0"/>
              <w:left w:val="single" w:color="000000" w:sz="4" w:space="0"/>
              <w:bottom w:val="single" w:color="000000" w:sz="4" w:space="0"/>
              <w:right w:val="single" w:color="000000" w:sz="4" w:space="0"/>
            </w:tcBorders>
            <w:vAlign w:val="center"/>
          </w:tcPr>
          <w:p w14:paraId="191DE628">
            <w:pPr>
              <w:pStyle w:val="42"/>
              <w:bidi w:val="0"/>
              <w:jc w:val="center"/>
            </w:pPr>
            <w:r>
              <w:t>（mg/s·</w:t>
            </w:r>
            <w:r>
              <w:rPr>
                <w:rFonts w:hint="eastAsia"/>
                <w:lang w:eastAsia="zh-CN"/>
              </w:rPr>
              <w:t>m</w:t>
            </w:r>
            <w:r>
              <w:rPr>
                <w:rFonts w:hint="eastAsia"/>
                <w:vertAlign w:val="superscript"/>
                <w:lang w:eastAsia="zh-CN"/>
              </w:rPr>
              <w:t>2</w:t>
            </w:r>
            <w:r>
              <w:t>）</w:t>
            </w:r>
          </w:p>
        </w:tc>
        <w:tc>
          <w:tcPr>
            <w:tcW w:w="729" w:type="pct"/>
            <w:tcBorders>
              <w:top w:val="single" w:color="000000" w:sz="4" w:space="0"/>
              <w:left w:val="single" w:color="000000" w:sz="4" w:space="0"/>
              <w:bottom w:val="single" w:color="000000" w:sz="4" w:space="0"/>
              <w:right w:val="single" w:color="000000" w:sz="4" w:space="0"/>
            </w:tcBorders>
            <w:vAlign w:val="center"/>
          </w:tcPr>
          <w:p w14:paraId="4B5B091B">
            <w:pPr>
              <w:pStyle w:val="42"/>
              <w:bidi w:val="0"/>
              <w:jc w:val="center"/>
            </w:pPr>
            <w:r>
              <w:t>kg/h</w:t>
            </w:r>
          </w:p>
        </w:tc>
        <w:tc>
          <w:tcPr>
            <w:tcW w:w="675" w:type="pct"/>
            <w:tcBorders>
              <w:top w:val="single" w:color="000000" w:sz="4" w:space="0"/>
              <w:left w:val="single" w:color="000000" w:sz="4" w:space="0"/>
              <w:bottom w:val="single" w:color="000000" w:sz="4" w:space="0"/>
              <w:right w:val="single" w:color="000000" w:sz="12" w:space="0"/>
            </w:tcBorders>
            <w:vAlign w:val="center"/>
          </w:tcPr>
          <w:p w14:paraId="4CD4EF49">
            <w:pPr>
              <w:pStyle w:val="42"/>
              <w:bidi w:val="0"/>
              <w:jc w:val="center"/>
            </w:pPr>
            <w:r>
              <w:t>t/a</w:t>
            </w:r>
          </w:p>
        </w:tc>
      </w:tr>
      <w:tr w14:paraId="6276CD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21086B3E">
            <w:pPr>
              <w:pStyle w:val="42"/>
              <w:bidi w:val="0"/>
              <w:rPr>
                <w:rFonts w:hint="eastAsia"/>
                <w:lang w:eastAsia="zh-CN"/>
              </w:rPr>
            </w:pPr>
            <w:r>
              <w:rPr>
                <w:rFonts w:hint="eastAsia"/>
                <w:lang w:val="en-US" w:eastAsia="zh-CN"/>
              </w:rPr>
              <w:t>集水池</w:t>
            </w:r>
          </w:p>
        </w:tc>
        <w:tc>
          <w:tcPr>
            <w:tcW w:w="396" w:type="pct"/>
            <w:tcBorders>
              <w:top w:val="single" w:color="000000" w:sz="4" w:space="0"/>
              <w:left w:val="single" w:color="000000" w:sz="4" w:space="0"/>
              <w:bottom w:val="single" w:color="000000" w:sz="4" w:space="0"/>
              <w:right w:val="single" w:color="000000" w:sz="4" w:space="0"/>
            </w:tcBorders>
            <w:vAlign w:val="center"/>
          </w:tcPr>
          <w:p w14:paraId="67F1905C">
            <w:pPr>
              <w:pStyle w:val="42"/>
              <w:bidi w:val="0"/>
              <w:rPr>
                <w:rFonts w:hint="default"/>
                <w:lang w:val="en-US" w:eastAsia="zh-CN"/>
              </w:rPr>
            </w:pPr>
            <w:r>
              <w:rPr>
                <w:rFonts w:hint="default"/>
                <w:lang w:val="en-US" w:eastAsia="zh-CN"/>
              </w:rPr>
              <w:t>13.25</w:t>
            </w:r>
          </w:p>
        </w:tc>
        <w:tc>
          <w:tcPr>
            <w:tcW w:w="683" w:type="pct"/>
            <w:tcBorders>
              <w:top w:val="single" w:color="000000" w:sz="4" w:space="0"/>
              <w:left w:val="single" w:color="000000" w:sz="4" w:space="0"/>
              <w:bottom w:val="single" w:color="000000" w:sz="4" w:space="0"/>
              <w:right w:val="single" w:color="000000" w:sz="4" w:space="0"/>
            </w:tcBorders>
            <w:vAlign w:val="center"/>
          </w:tcPr>
          <w:p w14:paraId="4AFB702C">
            <w:pPr>
              <w:pStyle w:val="42"/>
              <w:bidi w:val="0"/>
            </w:pPr>
            <w:r>
              <w:rPr>
                <w:rFonts w:hint="default"/>
                <w:lang w:val="en-US" w:eastAsia="zh-CN"/>
              </w:rPr>
              <w:t>0.61</w:t>
            </w:r>
          </w:p>
        </w:tc>
        <w:tc>
          <w:tcPr>
            <w:tcW w:w="701" w:type="pct"/>
            <w:tcBorders>
              <w:top w:val="single" w:color="000000" w:sz="4" w:space="0"/>
              <w:left w:val="single" w:color="000000" w:sz="4" w:space="0"/>
              <w:bottom w:val="single" w:color="000000" w:sz="4" w:space="0"/>
              <w:right w:val="single" w:color="000000" w:sz="4" w:space="0"/>
            </w:tcBorders>
            <w:vAlign w:val="center"/>
          </w:tcPr>
          <w:p w14:paraId="4D6C48CC">
            <w:pPr>
              <w:pStyle w:val="42"/>
              <w:bidi w:val="0"/>
            </w:pPr>
            <w:r>
              <w:rPr>
                <w:rFonts w:hint="default"/>
                <w:lang w:val="en-US" w:eastAsia="zh-CN"/>
              </w:rPr>
              <w:t>0.029097</w:t>
            </w:r>
          </w:p>
        </w:tc>
        <w:tc>
          <w:tcPr>
            <w:tcW w:w="698" w:type="pct"/>
            <w:tcBorders>
              <w:top w:val="single" w:color="000000" w:sz="4" w:space="0"/>
              <w:left w:val="single" w:color="000000" w:sz="4" w:space="0"/>
              <w:bottom w:val="single" w:color="000000" w:sz="4" w:space="0"/>
              <w:right w:val="single" w:color="000000" w:sz="4" w:space="0"/>
            </w:tcBorders>
            <w:vAlign w:val="center"/>
          </w:tcPr>
          <w:p w14:paraId="14483A71">
            <w:pPr>
              <w:pStyle w:val="42"/>
              <w:bidi w:val="0"/>
            </w:pPr>
            <w:r>
              <w:rPr>
                <w:rFonts w:hint="default"/>
                <w:lang w:val="en-US" w:eastAsia="zh-CN"/>
              </w:rPr>
              <w:t>0.25488972</w:t>
            </w:r>
          </w:p>
        </w:tc>
        <w:tc>
          <w:tcPr>
            <w:tcW w:w="683" w:type="pct"/>
            <w:tcBorders>
              <w:top w:val="single" w:color="000000" w:sz="4" w:space="0"/>
              <w:left w:val="single" w:color="000000" w:sz="4" w:space="0"/>
              <w:bottom w:val="single" w:color="000000" w:sz="4" w:space="0"/>
              <w:right w:val="single" w:color="000000" w:sz="4" w:space="0"/>
            </w:tcBorders>
            <w:vAlign w:val="center"/>
          </w:tcPr>
          <w:p w14:paraId="0C0C7700">
            <w:pPr>
              <w:pStyle w:val="42"/>
              <w:bidi w:val="0"/>
            </w:pPr>
            <w:r>
              <w:rPr>
                <w:rFonts w:hint="default"/>
                <w:lang w:val="en-US" w:eastAsia="zh-CN"/>
              </w:rPr>
              <w:t>0.001068</w:t>
            </w:r>
          </w:p>
        </w:tc>
        <w:tc>
          <w:tcPr>
            <w:tcW w:w="729" w:type="pct"/>
            <w:tcBorders>
              <w:top w:val="single" w:color="000000" w:sz="4" w:space="0"/>
              <w:left w:val="single" w:color="000000" w:sz="4" w:space="0"/>
              <w:bottom w:val="single" w:color="000000" w:sz="4" w:space="0"/>
              <w:right w:val="single" w:color="000000" w:sz="4" w:space="0"/>
            </w:tcBorders>
            <w:vAlign w:val="center"/>
          </w:tcPr>
          <w:p w14:paraId="183A3E58">
            <w:pPr>
              <w:pStyle w:val="42"/>
              <w:bidi w:val="0"/>
            </w:pPr>
            <w:r>
              <w:rPr>
                <w:rFonts w:hint="default"/>
                <w:lang w:val="en-US" w:eastAsia="zh-CN"/>
              </w:rPr>
              <w:t xml:space="preserve">0.000050944 </w:t>
            </w:r>
          </w:p>
        </w:tc>
        <w:tc>
          <w:tcPr>
            <w:tcW w:w="675" w:type="pct"/>
            <w:tcBorders>
              <w:top w:val="single" w:color="000000" w:sz="4" w:space="0"/>
              <w:left w:val="single" w:color="000000" w:sz="4" w:space="0"/>
              <w:bottom w:val="single" w:color="000000" w:sz="4" w:space="0"/>
              <w:right w:val="single" w:color="000000" w:sz="12" w:space="0"/>
            </w:tcBorders>
            <w:vAlign w:val="center"/>
          </w:tcPr>
          <w:p w14:paraId="5AB8F0ED">
            <w:pPr>
              <w:pStyle w:val="42"/>
              <w:bidi w:val="0"/>
            </w:pPr>
            <w:r>
              <w:rPr>
                <w:rFonts w:hint="default"/>
                <w:lang w:val="en-US" w:eastAsia="zh-CN"/>
              </w:rPr>
              <w:t>0.000446266</w:t>
            </w:r>
          </w:p>
        </w:tc>
      </w:tr>
      <w:tr w14:paraId="07E8EE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4001FA26">
            <w:pPr>
              <w:pStyle w:val="42"/>
              <w:bidi w:val="0"/>
              <w:rPr>
                <w:rFonts w:hint="default"/>
                <w:lang w:val="en-US" w:eastAsia="zh-CN"/>
              </w:rPr>
            </w:pPr>
            <w:r>
              <w:rPr>
                <w:rFonts w:hint="eastAsia"/>
                <w:lang w:val="en-US" w:eastAsia="zh-CN"/>
              </w:rPr>
              <w:t>隔油池初池</w:t>
            </w:r>
          </w:p>
        </w:tc>
        <w:tc>
          <w:tcPr>
            <w:tcW w:w="396" w:type="pct"/>
            <w:tcBorders>
              <w:top w:val="single" w:color="000000" w:sz="4" w:space="0"/>
              <w:left w:val="single" w:color="000000" w:sz="4" w:space="0"/>
              <w:bottom w:val="single" w:color="000000" w:sz="4" w:space="0"/>
              <w:right w:val="single" w:color="000000" w:sz="4" w:space="0"/>
            </w:tcBorders>
            <w:vAlign w:val="center"/>
          </w:tcPr>
          <w:p w14:paraId="73BC38AE">
            <w:pPr>
              <w:pStyle w:val="42"/>
              <w:bidi w:val="0"/>
              <w:rPr>
                <w:rFonts w:hint="default"/>
                <w:lang w:val="en-US" w:eastAsia="zh-CN"/>
              </w:rPr>
            </w:pPr>
            <w:r>
              <w:rPr>
                <w:rFonts w:hint="default"/>
                <w:lang w:val="en-US" w:eastAsia="zh-CN"/>
              </w:rPr>
              <w:t>26.355</w:t>
            </w:r>
          </w:p>
        </w:tc>
        <w:tc>
          <w:tcPr>
            <w:tcW w:w="683" w:type="pct"/>
            <w:tcBorders>
              <w:top w:val="single" w:color="000000" w:sz="4" w:space="0"/>
              <w:left w:val="single" w:color="000000" w:sz="4" w:space="0"/>
              <w:bottom w:val="single" w:color="000000" w:sz="4" w:space="0"/>
              <w:right w:val="single" w:color="000000" w:sz="4" w:space="0"/>
            </w:tcBorders>
            <w:vAlign w:val="center"/>
          </w:tcPr>
          <w:p w14:paraId="0B8938E2">
            <w:pPr>
              <w:pStyle w:val="42"/>
              <w:bidi w:val="0"/>
            </w:pPr>
            <w:r>
              <w:rPr>
                <w:rFonts w:hint="default"/>
                <w:lang w:val="en-US" w:eastAsia="zh-CN"/>
              </w:rPr>
              <w:t>0.52</w:t>
            </w:r>
          </w:p>
        </w:tc>
        <w:tc>
          <w:tcPr>
            <w:tcW w:w="701" w:type="pct"/>
            <w:tcBorders>
              <w:top w:val="single" w:color="000000" w:sz="4" w:space="0"/>
              <w:left w:val="single" w:color="000000" w:sz="4" w:space="0"/>
              <w:bottom w:val="single" w:color="000000" w:sz="4" w:space="0"/>
              <w:right w:val="single" w:color="000000" w:sz="4" w:space="0"/>
            </w:tcBorders>
            <w:vAlign w:val="center"/>
          </w:tcPr>
          <w:p w14:paraId="6CA78FC0">
            <w:pPr>
              <w:pStyle w:val="42"/>
              <w:bidi w:val="0"/>
            </w:pPr>
            <w:r>
              <w:rPr>
                <w:rFonts w:hint="default"/>
                <w:lang w:val="en-US" w:eastAsia="zh-CN"/>
              </w:rPr>
              <w:t>0.04933656</w:t>
            </w:r>
          </w:p>
        </w:tc>
        <w:tc>
          <w:tcPr>
            <w:tcW w:w="698" w:type="pct"/>
            <w:tcBorders>
              <w:top w:val="single" w:color="000000" w:sz="4" w:space="0"/>
              <w:left w:val="single" w:color="000000" w:sz="4" w:space="0"/>
              <w:bottom w:val="single" w:color="000000" w:sz="4" w:space="0"/>
              <w:right w:val="single" w:color="000000" w:sz="4" w:space="0"/>
            </w:tcBorders>
            <w:vAlign w:val="center"/>
          </w:tcPr>
          <w:p w14:paraId="47A512FC">
            <w:pPr>
              <w:pStyle w:val="42"/>
              <w:bidi w:val="0"/>
            </w:pPr>
            <w:r>
              <w:rPr>
                <w:rFonts w:hint="default"/>
                <w:lang w:val="en-US" w:eastAsia="zh-CN"/>
              </w:rPr>
              <w:t>0.432188266</w:t>
            </w:r>
          </w:p>
        </w:tc>
        <w:tc>
          <w:tcPr>
            <w:tcW w:w="683" w:type="pct"/>
            <w:tcBorders>
              <w:top w:val="single" w:color="000000" w:sz="4" w:space="0"/>
              <w:left w:val="single" w:color="000000" w:sz="4" w:space="0"/>
              <w:bottom w:val="single" w:color="000000" w:sz="4" w:space="0"/>
              <w:right w:val="single" w:color="000000" w:sz="4" w:space="0"/>
            </w:tcBorders>
            <w:vAlign w:val="center"/>
          </w:tcPr>
          <w:p w14:paraId="0476C830">
            <w:pPr>
              <w:pStyle w:val="42"/>
              <w:bidi w:val="0"/>
            </w:pPr>
            <w:r>
              <w:rPr>
                <w:rFonts w:hint="default"/>
                <w:lang w:val="en-US" w:eastAsia="zh-CN"/>
              </w:rPr>
              <w:t>0.001091</w:t>
            </w:r>
          </w:p>
        </w:tc>
        <w:tc>
          <w:tcPr>
            <w:tcW w:w="729" w:type="pct"/>
            <w:tcBorders>
              <w:top w:val="single" w:color="000000" w:sz="4" w:space="0"/>
              <w:left w:val="single" w:color="000000" w:sz="4" w:space="0"/>
              <w:bottom w:val="single" w:color="000000" w:sz="4" w:space="0"/>
              <w:right w:val="single" w:color="000000" w:sz="4" w:space="0"/>
            </w:tcBorders>
            <w:vAlign w:val="center"/>
          </w:tcPr>
          <w:p w14:paraId="2349FE2C">
            <w:pPr>
              <w:pStyle w:val="42"/>
              <w:bidi w:val="0"/>
            </w:pPr>
            <w:r>
              <w:rPr>
                <w:rFonts w:hint="default"/>
                <w:lang w:val="en-US" w:eastAsia="zh-CN"/>
              </w:rPr>
              <w:t xml:space="preserve">0.000103512 </w:t>
            </w:r>
          </w:p>
        </w:tc>
        <w:tc>
          <w:tcPr>
            <w:tcW w:w="675" w:type="pct"/>
            <w:tcBorders>
              <w:top w:val="single" w:color="000000" w:sz="4" w:space="0"/>
              <w:left w:val="single" w:color="000000" w:sz="4" w:space="0"/>
              <w:bottom w:val="single" w:color="000000" w:sz="4" w:space="0"/>
              <w:right w:val="single" w:color="000000" w:sz="12" w:space="0"/>
            </w:tcBorders>
            <w:vAlign w:val="center"/>
          </w:tcPr>
          <w:p w14:paraId="107A3829">
            <w:pPr>
              <w:pStyle w:val="42"/>
              <w:bidi w:val="0"/>
            </w:pPr>
            <w:r>
              <w:rPr>
                <w:rFonts w:hint="default"/>
                <w:lang w:val="en-US" w:eastAsia="zh-CN"/>
              </w:rPr>
              <w:t>0.000906764</w:t>
            </w:r>
          </w:p>
        </w:tc>
      </w:tr>
      <w:tr w14:paraId="029C38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3DE084A9">
            <w:pPr>
              <w:pStyle w:val="42"/>
              <w:bidi w:val="0"/>
              <w:rPr>
                <w:rFonts w:hint="default"/>
                <w:lang w:val="en-US" w:eastAsia="zh-CN"/>
              </w:rPr>
            </w:pPr>
            <w:r>
              <w:rPr>
                <w:rFonts w:hint="eastAsia"/>
                <w:lang w:val="en-US" w:eastAsia="zh-CN"/>
              </w:rPr>
              <w:t>储油池</w:t>
            </w:r>
          </w:p>
        </w:tc>
        <w:tc>
          <w:tcPr>
            <w:tcW w:w="396" w:type="pct"/>
            <w:tcBorders>
              <w:top w:val="single" w:color="000000" w:sz="4" w:space="0"/>
              <w:left w:val="single" w:color="000000" w:sz="4" w:space="0"/>
              <w:bottom w:val="single" w:color="000000" w:sz="4" w:space="0"/>
              <w:right w:val="single" w:color="000000" w:sz="4" w:space="0"/>
            </w:tcBorders>
            <w:vAlign w:val="center"/>
          </w:tcPr>
          <w:p w14:paraId="4DB3AEE7">
            <w:pPr>
              <w:pStyle w:val="42"/>
              <w:bidi w:val="0"/>
              <w:rPr>
                <w:rFonts w:hint="default"/>
                <w:lang w:val="en-US" w:eastAsia="zh-CN"/>
              </w:rPr>
            </w:pPr>
            <w:r>
              <w:rPr>
                <w:rFonts w:hint="default"/>
                <w:lang w:val="en-US" w:eastAsia="zh-CN"/>
              </w:rPr>
              <w:t>11.2</w:t>
            </w:r>
          </w:p>
        </w:tc>
        <w:tc>
          <w:tcPr>
            <w:tcW w:w="683" w:type="pct"/>
            <w:tcBorders>
              <w:top w:val="single" w:color="000000" w:sz="4" w:space="0"/>
              <w:left w:val="single" w:color="000000" w:sz="4" w:space="0"/>
              <w:bottom w:val="single" w:color="000000" w:sz="4" w:space="0"/>
              <w:right w:val="single" w:color="000000" w:sz="4" w:space="0"/>
            </w:tcBorders>
            <w:vAlign w:val="center"/>
          </w:tcPr>
          <w:p w14:paraId="4C514356">
            <w:pPr>
              <w:pStyle w:val="42"/>
              <w:bidi w:val="0"/>
            </w:pPr>
            <w:r>
              <w:rPr>
                <w:rFonts w:hint="default"/>
                <w:lang w:val="en-US" w:eastAsia="zh-CN"/>
              </w:rPr>
              <w:t>0.52</w:t>
            </w:r>
          </w:p>
        </w:tc>
        <w:tc>
          <w:tcPr>
            <w:tcW w:w="701" w:type="pct"/>
            <w:tcBorders>
              <w:top w:val="single" w:color="000000" w:sz="4" w:space="0"/>
              <w:left w:val="single" w:color="000000" w:sz="4" w:space="0"/>
              <w:bottom w:val="single" w:color="000000" w:sz="4" w:space="0"/>
              <w:right w:val="single" w:color="000000" w:sz="4" w:space="0"/>
            </w:tcBorders>
            <w:vAlign w:val="center"/>
          </w:tcPr>
          <w:p w14:paraId="57ABEA94">
            <w:pPr>
              <w:pStyle w:val="42"/>
              <w:bidi w:val="0"/>
            </w:pPr>
            <w:r>
              <w:rPr>
                <w:rFonts w:hint="default"/>
                <w:lang w:val="en-US" w:eastAsia="zh-CN"/>
              </w:rPr>
              <w:t>0.0209664</w:t>
            </w:r>
          </w:p>
        </w:tc>
        <w:tc>
          <w:tcPr>
            <w:tcW w:w="698" w:type="pct"/>
            <w:tcBorders>
              <w:top w:val="single" w:color="000000" w:sz="4" w:space="0"/>
              <w:left w:val="single" w:color="000000" w:sz="4" w:space="0"/>
              <w:bottom w:val="single" w:color="000000" w:sz="4" w:space="0"/>
              <w:right w:val="single" w:color="000000" w:sz="4" w:space="0"/>
            </w:tcBorders>
            <w:vAlign w:val="center"/>
          </w:tcPr>
          <w:p w14:paraId="6F62BC60">
            <w:pPr>
              <w:pStyle w:val="42"/>
              <w:bidi w:val="0"/>
            </w:pPr>
            <w:r>
              <w:rPr>
                <w:rFonts w:hint="default"/>
                <w:lang w:val="en-US" w:eastAsia="zh-CN"/>
              </w:rPr>
              <w:t>0.183665664</w:t>
            </w:r>
          </w:p>
        </w:tc>
        <w:tc>
          <w:tcPr>
            <w:tcW w:w="683" w:type="pct"/>
            <w:tcBorders>
              <w:top w:val="single" w:color="000000" w:sz="4" w:space="0"/>
              <w:left w:val="single" w:color="000000" w:sz="4" w:space="0"/>
              <w:bottom w:val="single" w:color="000000" w:sz="4" w:space="0"/>
              <w:right w:val="single" w:color="000000" w:sz="4" w:space="0"/>
            </w:tcBorders>
            <w:vAlign w:val="center"/>
          </w:tcPr>
          <w:p w14:paraId="0037AF7D">
            <w:pPr>
              <w:pStyle w:val="42"/>
              <w:bidi w:val="0"/>
            </w:pPr>
            <w:r>
              <w:rPr>
                <w:rFonts w:hint="default"/>
                <w:lang w:val="en-US" w:eastAsia="zh-CN"/>
              </w:rPr>
              <w:t>0.001091</w:t>
            </w:r>
          </w:p>
        </w:tc>
        <w:tc>
          <w:tcPr>
            <w:tcW w:w="729" w:type="pct"/>
            <w:tcBorders>
              <w:top w:val="single" w:color="000000" w:sz="4" w:space="0"/>
              <w:left w:val="single" w:color="000000" w:sz="4" w:space="0"/>
              <w:bottom w:val="single" w:color="000000" w:sz="4" w:space="0"/>
              <w:right w:val="single" w:color="000000" w:sz="4" w:space="0"/>
            </w:tcBorders>
            <w:vAlign w:val="center"/>
          </w:tcPr>
          <w:p w14:paraId="2C7E05C9">
            <w:pPr>
              <w:pStyle w:val="42"/>
              <w:bidi w:val="0"/>
            </w:pPr>
            <w:r>
              <w:rPr>
                <w:rFonts w:hint="default"/>
                <w:lang w:val="en-US" w:eastAsia="zh-CN"/>
              </w:rPr>
              <w:t xml:space="preserve">0.000043989 </w:t>
            </w:r>
          </w:p>
        </w:tc>
        <w:tc>
          <w:tcPr>
            <w:tcW w:w="675" w:type="pct"/>
            <w:tcBorders>
              <w:top w:val="single" w:color="000000" w:sz="4" w:space="0"/>
              <w:left w:val="single" w:color="000000" w:sz="4" w:space="0"/>
              <w:bottom w:val="single" w:color="000000" w:sz="4" w:space="0"/>
              <w:right w:val="single" w:color="000000" w:sz="12" w:space="0"/>
            </w:tcBorders>
            <w:vAlign w:val="center"/>
          </w:tcPr>
          <w:p w14:paraId="3038D59D">
            <w:pPr>
              <w:pStyle w:val="42"/>
              <w:bidi w:val="0"/>
            </w:pPr>
            <w:r>
              <w:rPr>
                <w:rFonts w:hint="default"/>
                <w:lang w:val="en-US" w:eastAsia="zh-CN"/>
              </w:rPr>
              <w:t>0.000385345</w:t>
            </w:r>
          </w:p>
        </w:tc>
      </w:tr>
      <w:tr w14:paraId="7293E7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0BC4534B">
            <w:pPr>
              <w:pStyle w:val="42"/>
              <w:bidi w:val="0"/>
            </w:pPr>
            <w:r>
              <w:rPr>
                <w:rFonts w:hint="eastAsia"/>
                <w:lang w:val="en-US" w:eastAsia="zh-CN"/>
              </w:rPr>
              <w:t>调节池</w:t>
            </w:r>
          </w:p>
        </w:tc>
        <w:tc>
          <w:tcPr>
            <w:tcW w:w="396" w:type="pct"/>
            <w:tcBorders>
              <w:top w:val="single" w:color="000000" w:sz="4" w:space="0"/>
              <w:left w:val="single" w:color="000000" w:sz="4" w:space="0"/>
              <w:bottom w:val="single" w:color="000000" w:sz="4" w:space="0"/>
              <w:right w:val="single" w:color="000000" w:sz="4" w:space="0"/>
            </w:tcBorders>
            <w:vAlign w:val="center"/>
          </w:tcPr>
          <w:p w14:paraId="06AF4301">
            <w:pPr>
              <w:pStyle w:val="42"/>
              <w:bidi w:val="0"/>
              <w:rPr>
                <w:rFonts w:hint="default"/>
                <w:lang w:val="en-US" w:eastAsia="zh-CN"/>
              </w:rPr>
            </w:pPr>
            <w:r>
              <w:rPr>
                <w:rFonts w:hint="default"/>
                <w:lang w:val="en-US" w:eastAsia="zh-CN"/>
              </w:rPr>
              <w:t>98.56</w:t>
            </w:r>
          </w:p>
        </w:tc>
        <w:tc>
          <w:tcPr>
            <w:tcW w:w="683" w:type="pct"/>
            <w:tcBorders>
              <w:top w:val="single" w:color="000000" w:sz="4" w:space="0"/>
              <w:left w:val="single" w:color="000000" w:sz="4" w:space="0"/>
              <w:bottom w:val="single" w:color="000000" w:sz="4" w:space="0"/>
              <w:right w:val="single" w:color="000000" w:sz="4" w:space="0"/>
            </w:tcBorders>
            <w:vAlign w:val="center"/>
          </w:tcPr>
          <w:p w14:paraId="495E7FF0">
            <w:pPr>
              <w:pStyle w:val="42"/>
              <w:bidi w:val="0"/>
            </w:pPr>
            <w:r>
              <w:rPr>
                <w:rFonts w:hint="default"/>
                <w:lang w:val="en-US" w:eastAsia="zh-CN"/>
              </w:rPr>
              <w:t>0.52</w:t>
            </w:r>
          </w:p>
        </w:tc>
        <w:tc>
          <w:tcPr>
            <w:tcW w:w="701" w:type="pct"/>
            <w:tcBorders>
              <w:top w:val="single" w:color="000000" w:sz="4" w:space="0"/>
              <w:left w:val="single" w:color="000000" w:sz="4" w:space="0"/>
              <w:bottom w:val="single" w:color="000000" w:sz="4" w:space="0"/>
              <w:right w:val="single" w:color="000000" w:sz="4" w:space="0"/>
            </w:tcBorders>
            <w:vAlign w:val="center"/>
          </w:tcPr>
          <w:p w14:paraId="28A8952A">
            <w:pPr>
              <w:pStyle w:val="42"/>
              <w:bidi w:val="0"/>
            </w:pPr>
            <w:r>
              <w:rPr>
                <w:rFonts w:hint="default"/>
                <w:lang w:val="en-US" w:eastAsia="zh-CN"/>
              </w:rPr>
              <w:t>0.18450432</w:t>
            </w:r>
          </w:p>
        </w:tc>
        <w:tc>
          <w:tcPr>
            <w:tcW w:w="698" w:type="pct"/>
            <w:tcBorders>
              <w:top w:val="single" w:color="000000" w:sz="4" w:space="0"/>
              <w:left w:val="single" w:color="000000" w:sz="4" w:space="0"/>
              <w:bottom w:val="single" w:color="000000" w:sz="4" w:space="0"/>
              <w:right w:val="single" w:color="000000" w:sz="4" w:space="0"/>
            </w:tcBorders>
            <w:vAlign w:val="center"/>
          </w:tcPr>
          <w:p w14:paraId="6F038863">
            <w:pPr>
              <w:pStyle w:val="42"/>
              <w:bidi w:val="0"/>
            </w:pPr>
            <w:r>
              <w:rPr>
                <w:rFonts w:hint="default"/>
                <w:lang w:val="en-US" w:eastAsia="zh-CN"/>
              </w:rPr>
              <w:t>1.616257843</w:t>
            </w:r>
          </w:p>
        </w:tc>
        <w:tc>
          <w:tcPr>
            <w:tcW w:w="683" w:type="pct"/>
            <w:tcBorders>
              <w:top w:val="single" w:color="000000" w:sz="4" w:space="0"/>
              <w:left w:val="single" w:color="000000" w:sz="4" w:space="0"/>
              <w:bottom w:val="single" w:color="000000" w:sz="4" w:space="0"/>
              <w:right w:val="single" w:color="000000" w:sz="4" w:space="0"/>
            </w:tcBorders>
            <w:vAlign w:val="center"/>
          </w:tcPr>
          <w:p w14:paraId="4F7B6B50">
            <w:pPr>
              <w:pStyle w:val="42"/>
              <w:bidi w:val="0"/>
            </w:pPr>
            <w:r>
              <w:rPr>
                <w:rFonts w:hint="default"/>
                <w:lang w:val="en-US" w:eastAsia="zh-CN"/>
              </w:rPr>
              <w:t>0.001091</w:t>
            </w:r>
          </w:p>
        </w:tc>
        <w:tc>
          <w:tcPr>
            <w:tcW w:w="729" w:type="pct"/>
            <w:tcBorders>
              <w:top w:val="single" w:color="000000" w:sz="4" w:space="0"/>
              <w:left w:val="single" w:color="000000" w:sz="4" w:space="0"/>
              <w:bottom w:val="single" w:color="000000" w:sz="4" w:space="0"/>
              <w:right w:val="single" w:color="000000" w:sz="4" w:space="0"/>
            </w:tcBorders>
            <w:vAlign w:val="center"/>
          </w:tcPr>
          <w:p w14:paraId="500AD7D4">
            <w:pPr>
              <w:pStyle w:val="42"/>
              <w:bidi w:val="0"/>
            </w:pPr>
            <w:r>
              <w:rPr>
                <w:rFonts w:hint="default"/>
                <w:lang w:val="en-US" w:eastAsia="zh-CN"/>
              </w:rPr>
              <w:t xml:space="preserve">0.000387104 </w:t>
            </w:r>
          </w:p>
        </w:tc>
        <w:tc>
          <w:tcPr>
            <w:tcW w:w="675" w:type="pct"/>
            <w:tcBorders>
              <w:top w:val="single" w:color="000000" w:sz="4" w:space="0"/>
              <w:left w:val="single" w:color="000000" w:sz="4" w:space="0"/>
              <w:bottom w:val="single" w:color="000000" w:sz="4" w:space="0"/>
              <w:right w:val="single" w:color="000000" w:sz="12" w:space="0"/>
            </w:tcBorders>
            <w:vAlign w:val="center"/>
          </w:tcPr>
          <w:p w14:paraId="1775CC93">
            <w:pPr>
              <w:pStyle w:val="42"/>
              <w:bidi w:val="0"/>
            </w:pPr>
            <w:r>
              <w:rPr>
                <w:rFonts w:hint="default"/>
                <w:lang w:val="en-US" w:eastAsia="zh-CN"/>
              </w:rPr>
              <w:t>0.003391033</w:t>
            </w:r>
          </w:p>
        </w:tc>
      </w:tr>
      <w:tr w14:paraId="035FE2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68F3A1EC">
            <w:pPr>
              <w:pStyle w:val="42"/>
              <w:bidi w:val="0"/>
              <w:rPr>
                <w:rFonts w:hint="default"/>
                <w:lang w:val="en-US" w:eastAsia="zh-CN"/>
              </w:rPr>
            </w:pPr>
            <w:r>
              <w:rPr>
                <w:rFonts w:hint="eastAsia"/>
                <w:lang w:val="en-US" w:eastAsia="zh-CN"/>
              </w:rPr>
              <w:t>应急池</w:t>
            </w:r>
          </w:p>
        </w:tc>
        <w:tc>
          <w:tcPr>
            <w:tcW w:w="396" w:type="pct"/>
            <w:tcBorders>
              <w:top w:val="single" w:color="000000" w:sz="4" w:space="0"/>
              <w:left w:val="single" w:color="000000" w:sz="4" w:space="0"/>
              <w:bottom w:val="single" w:color="000000" w:sz="4" w:space="0"/>
              <w:right w:val="single" w:color="000000" w:sz="4" w:space="0"/>
            </w:tcBorders>
            <w:vAlign w:val="center"/>
          </w:tcPr>
          <w:p w14:paraId="56FFC22D">
            <w:pPr>
              <w:pStyle w:val="42"/>
              <w:bidi w:val="0"/>
              <w:rPr>
                <w:rFonts w:hint="default"/>
                <w:lang w:val="en-US" w:eastAsia="zh-CN"/>
              </w:rPr>
            </w:pPr>
            <w:r>
              <w:rPr>
                <w:rFonts w:hint="default"/>
                <w:lang w:val="en-US" w:eastAsia="zh-CN"/>
              </w:rPr>
              <w:t>50.28</w:t>
            </w:r>
          </w:p>
        </w:tc>
        <w:tc>
          <w:tcPr>
            <w:tcW w:w="683" w:type="pct"/>
            <w:tcBorders>
              <w:top w:val="single" w:color="000000" w:sz="4" w:space="0"/>
              <w:left w:val="single" w:color="000000" w:sz="4" w:space="0"/>
              <w:bottom w:val="single" w:color="000000" w:sz="4" w:space="0"/>
              <w:right w:val="single" w:color="000000" w:sz="4" w:space="0"/>
            </w:tcBorders>
            <w:vAlign w:val="center"/>
          </w:tcPr>
          <w:p w14:paraId="718721E1">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5F532D89">
            <w:pPr>
              <w:pStyle w:val="42"/>
              <w:bidi w:val="0"/>
            </w:pPr>
            <w:r>
              <w:rPr>
                <w:rFonts w:hint="default"/>
                <w:lang w:val="en-US" w:eastAsia="zh-CN"/>
              </w:rPr>
              <w:t>0.000886939</w:t>
            </w:r>
          </w:p>
        </w:tc>
        <w:tc>
          <w:tcPr>
            <w:tcW w:w="698" w:type="pct"/>
            <w:tcBorders>
              <w:top w:val="single" w:color="000000" w:sz="4" w:space="0"/>
              <w:left w:val="single" w:color="000000" w:sz="4" w:space="0"/>
              <w:bottom w:val="single" w:color="000000" w:sz="4" w:space="0"/>
              <w:right w:val="single" w:color="000000" w:sz="4" w:space="0"/>
            </w:tcBorders>
            <w:vAlign w:val="center"/>
          </w:tcPr>
          <w:p w14:paraId="4B0BF7D8">
            <w:pPr>
              <w:pStyle w:val="42"/>
              <w:bidi w:val="0"/>
            </w:pPr>
            <w:r>
              <w:rPr>
                <w:rFonts w:hint="default"/>
                <w:lang w:val="en-US" w:eastAsia="zh-CN"/>
              </w:rPr>
              <w:t>0.007769587</w:t>
            </w:r>
          </w:p>
        </w:tc>
        <w:tc>
          <w:tcPr>
            <w:tcW w:w="683" w:type="pct"/>
            <w:tcBorders>
              <w:top w:val="single" w:color="000000" w:sz="4" w:space="0"/>
              <w:left w:val="single" w:color="000000" w:sz="4" w:space="0"/>
              <w:bottom w:val="single" w:color="000000" w:sz="4" w:space="0"/>
              <w:right w:val="single" w:color="000000" w:sz="4" w:space="0"/>
            </w:tcBorders>
            <w:vAlign w:val="center"/>
          </w:tcPr>
          <w:p w14:paraId="077D2A50">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08570276">
            <w:pPr>
              <w:pStyle w:val="42"/>
              <w:bidi w:val="0"/>
            </w:pPr>
            <w:r>
              <w:rPr>
                <w:rFonts w:hint="default"/>
                <w:lang w:val="en-US" w:eastAsia="zh-CN"/>
              </w:rPr>
              <w:t xml:space="preserve">0.000047062 </w:t>
            </w:r>
          </w:p>
        </w:tc>
        <w:tc>
          <w:tcPr>
            <w:tcW w:w="675" w:type="pct"/>
            <w:tcBorders>
              <w:top w:val="single" w:color="000000" w:sz="4" w:space="0"/>
              <w:left w:val="single" w:color="000000" w:sz="4" w:space="0"/>
              <w:bottom w:val="single" w:color="000000" w:sz="4" w:space="0"/>
              <w:right w:val="single" w:color="000000" w:sz="12" w:space="0"/>
            </w:tcBorders>
            <w:vAlign w:val="center"/>
          </w:tcPr>
          <w:p w14:paraId="5578FDCA">
            <w:pPr>
              <w:pStyle w:val="42"/>
              <w:bidi w:val="0"/>
            </w:pPr>
            <w:r>
              <w:rPr>
                <w:rFonts w:hint="default"/>
                <w:lang w:val="en-US" w:eastAsia="zh-CN"/>
              </w:rPr>
              <w:t>0.000412264</w:t>
            </w:r>
          </w:p>
        </w:tc>
      </w:tr>
      <w:tr w14:paraId="5D814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291D5612">
            <w:pPr>
              <w:pStyle w:val="42"/>
              <w:bidi w:val="0"/>
              <w:rPr>
                <w:rFonts w:hint="default"/>
                <w:lang w:val="en-US" w:eastAsia="zh-CN"/>
              </w:rPr>
            </w:pPr>
            <w:r>
              <w:rPr>
                <w:rFonts w:hint="eastAsia"/>
                <w:lang w:val="en-US" w:eastAsia="zh-CN"/>
              </w:rPr>
              <w:t>厌氧流化床</w:t>
            </w:r>
          </w:p>
        </w:tc>
        <w:tc>
          <w:tcPr>
            <w:tcW w:w="396" w:type="pct"/>
            <w:tcBorders>
              <w:top w:val="single" w:color="000000" w:sz="4" w:space="0"/>
              <w:left w:val="single" w:color="000000" w:sz="4" w:space="0"/>
              <w:bottom w:val="single" w:color="000000" w:sz="4" w:space="0"/>
              <w:right w:val="single" w:color="000000" w:sz="4" w:space="0"/>
            </w:tcBorders>
            <w:vAlign w:val="center"/>
          </w:tcPr>
          <w:p w14:paraId="4A7802A9">
            <w:pPr>
              <w:pStyle w:val="42"/>
              <w:bidi w:val="0"/>
              <w:rPr>
                <w:rFonts w:hint="default"/>
                <w:lang w:val="en-US" w:eastAsia="zh-CN"/>
              </w:rPr>
            </w:pPr>
            <w:r>
              <w:rPr>
                <w:rFonts w:hint="default"/>
                <w:lang w:val="en-US" w:eastAsia="zh-CN"/>
              </w:rPr>
              <w:t>359.6</w:t>
            </w:r>
          </w:p>
        </w:tc>
        <w:tc>
          <w:tcPr>
            <w:tcW w:w="683" w:type="pct"/>
            <w:tcBorders>
              <w:top w:val="single" w:color="000000" w:sz="4" w:space="0"/>
              <w:left w:val="single" w:color="000000" w:sz="4" w:space="0"/>
              <w:bottom w:val="single" w:color="000000" w:sz="4" w:space="0"/>
              <w:right w:val="single" w:color="000000" w:sz="4" w:space="0"/>
            </w:tcBorders>
            <w:vAlign w:val="center"/>
          </w:tcPr>
          <w:p w14:paraId="6D7B0769">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0BCAC8C9">
            <w:pPr>
              <w:pStyle w:val="42"/>
              <w:bidi w:val="0"/>
            </w:pPr>
            <w:r>
              <w:rPr>
                <w:rFonts w:hint="default"/>
                <w:lang w:val="en-US" w:eastAsia="zh-CN"/>
              </w:rPr>
              <w:t>0.006343344</w:t>
            </w:r>
          </w:p>
        </w:tc>
        <w:tc>
          <w:tcPr>
            <w:tcW w:w="698" w:type="pct"/>
            <w:tcBorders>
              <w:top w:val="single" w:color="000000" w:sz="4" w:space="0"/>
              <w:left w:val="single" w:color="000000" w:sz="4" w:space="0"/>
              <w:bottom w:val="single" w:color="000000" w:sz="4" w:space="0"/>
              <w:right w:val="single" w:color="000000" w:sz="4" w:space="0"/>
            </w:tcBorders>
            <w:vAlign w:val="center"/>
          </w:tcPr>
          <w:p w14:paraId="3465BDD0">
            <w:pPr>
              <w:pStyle w:val="42"/>
              <w:bidi w:val="0"/>
            </w:pPr>
            <w:r>
              <w:rPr>
                <w:rFonts w:hint="default"/>
                <w:lang w:val="en-US" w:eastAsia="zh-CN"/>
              </w:rPr>
              <w:t>0.055567693</w:t>
            </w:r>
          </w:p>
        </w:tc>
        <w:tc>
          <w:tcPr>
            <w:tcW w:w="683" w:type="pct"/>
            <w:tcBorders>
              <w:top w:val="single" w:color="000000" w:sz="4" w:space="0"/>
              <w:left w:val="single" w:color="000000" w:sz="4" w:space="0"/>
              <w:bottom w:val="single" w:color="000000" w:sz="4" w:space="0"/>
              <w:right w:val="single" w:color="000000" w:sz="4" w:space="0"/>
            </w:tcBorders>
            <w:vAlign w:val="center"/>
          </w:tcPr>
          <w:p w14:paraId="502AA39A">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11784B2A">
            <w:pPr>
              <w:pStyle w:val="42"/>
              <w:bidi w:val="0"/>
            </w:pPr>
            <w:r>
              <w:rPr>
                <w:rFonts w:hint="default"/>
                <w:lang w:val="en-US" w:eastAsia="zh-CN"/>
              </w:rPr>
              <w:t xml:space="preserve">0.000336586 </w:t>
            </w:r>
          </w:p>
        </w:tc>
        <w:tc>
          <w:tcPr>
            <w:tcW w:w="675" w:type="pct"/>
            <w:tcBorders>
              <w:top w:val="single" w:color="000000" w:sz="4" w:space="0"/>
              <w:left w:val="single" w:color="000000" w:sz="4" w:space="0"/>
              <w:bottom w:val="single" w:color="000000" w:sz="4" w:space="0"/>
              <w:right w:val="single" w:color="000000" w:sz="12" w:space="0"/>
            </w:tcBorders>
            <w:vAlign w:val="center"/>
          </w:tcPr>
          <w:p w14:paraId="5E79244C">
            <w:pPr>
              <w:pStyle w:val="42"/>
              <w:bidi w:val="0"/>
            </w:pPr>
            <w:r>
              <w:rPr>
                <w:rFonts w:hint="default"/>
                <w:lang w:val="en-US" w:eastAsia="zh-CN"/>
              </w:rPr>
              <w:t>0.00294849</w:t>
            </w:r>
          </w:p>
        </w:tc>
      </w:tr>
      <w:tr w14:paraId="0C9A95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552493ED">
            <w:pPr>
              <w:pStyle w:val="42"/>
              <w:bidi w:val="0"/>
              <w:rPr>
                <w:rFonts w:hint="eastAsia"/>
                <w:lang w:eastAsia="zh-CN"/>
              </w:rPr>
            </w:pPr>
            <w:r>
              <w:rPr>
                <w:rFonts w:hint="eastAsia"/>
                <w:lang w:val="en-US" w:eastAsia="zh-CN"/>
              </w:rPr>
              <w:t>好氧池</w:t>
            </w:r>
          </w:p>
        </w:tc>
        <w:tc>
          <w:tcPr>
            <w:tcW w:w="396" w:type="pct"/>
            <w:tcBorders>
              <w:top w:val="single" w:color="000000" w:sz="4" w:space="0"/>
              <w:left w:val="single" w:color="000000" w:sz="4" w:space="0"/>
              <w:bottom w:val="single" w:color="000000" w:sz="4" w:space="0"/>
              <w:right w:val="single" w:color="000000" w:sz="4" w:space="0"/>
            </w:tcBorders>
            <w:vAlign w:val="center"/>
          </w:tcPr>
          <w:p w14:paraId="1D34FCD3">
            <w:pPr>
              <w:pStyle w:val="42"/>
              <w:bidi w:val="0"/>
              <w:rPr>
                <w:rFonts w:hint="default"/>
                <w:lang w:val="en-US" w:eastAsia="zh-CN"/>
              </w:rPr>
            </w:pPr>
            <w:r>
              <w:rPr>
                <w:rFonts w:hint="default"/>
                <w:lang w:val="en-US" w:eastAsia="zh-CN"/>
              </w:rPr>
              <w:t>21.13</w:t>
            </w:r>
          </w:p>
        </w:tc>
        <w:tc>
          <w:tcPr>
            <w:tcW w:w="683" w:type="pct"/>
            <w:tcBorders>
              <w:top w:val="single" w:color="000000" w:sz="4" w:space="0"/>
              <w:left w:val="single" w:color="000000" w:sz="4" w:space="0"/>
              <w:bottom w:val="single" w:color="000000" w:sz="4" w:space="0"/>
              <w:right w:val="single" w:color="000000" w:sz="4" w:space="0"/>
            </w:tcBorders>
            <w:vAlign w:val="center"/>
          </w:tcPr>
          <w:p w14:paraId="3F28758D">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4EDA4651">
            <w:pPr>
              <w:pStyle w:val="42"/>
              <w:bidi w:val="0"/>
            </w:pPr>
            <w:r>
              <w:rPr>
                <w:rFonts w:hint="default"/>
                <w:lang w:val="en-US" w:eastAsia="zh-CN"/>
              </w:rPr>
              <w:t>0.000372733</w:t>
            </w:r>
          </w:p>
        </w:tc>
        <w:tc>
          <w:tcPr>
            <w:tcW w:w="698" w:type="pct"/>
            <w:tcBorders>
              <w:top w:val="single" w:color="000000" w:sz="4" w:space="0"/>
              <w:left w:val="single" w:color="000000" w:sz="4" w:space="0"/>
              <w:bottom w:val="single" w:color="000000" w:sz="4" w:space="0"/>
              <w:right w:val="single" w:color="000000" w:sz="4" w:space="0"/>
            </w:tcBorders>
            <w:vAlign w:val="center"/>
          </w:tcPr>
          <w:p w14:paraId="3222EEBF">
            <w:pPr>
              <w:pStyle w:val="42"/>
              <w:bidi w:val="0"/>
            </w:pPr>
            <w:r>
              <w:rPr>
                <w:rFonts w:hint="default"/>
                <w:lang w:val="en-US" w:eastAsia="zh-CN"/>
              </w:rPr>
              <w:t>0.003265143</w:t>
            </w:r>
          </w:p>
        </w:tc>
        <w:tc>
          <w:tcPr>
            <w:tcW w:w="683" w:type="pct"/>
            <w:tcBorders>
              <w:top w:val="single" w:color="000000" w:sz="4" w:space="0"/>
              <w:left w:val="single" w:color="000000" w:sz="4" w:space="0"/>
              <w:bottom w:val="single" w:color="000000" w:sz="4" w:space="0"/>
              <w:right w:val="single" w:color="000000" w:sz="4" w:space="0"/>
            </w:tcBorders>
            <w:vAlign w:val="center"/>
          </w:tcPr>
          <w:p w14:paraId="54A8764A">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56A720E9">
            <w:pPr>
              <w:pStyle w:val="42"/>
              <w:bidi w:val="0"/>
            </w:pPr>
            <w:r>
              <w:rPr>
                <w:rFonts w:hint="default"/>
                <w:lang w:val="en-US" w:eastAsia="zh-CN"/>
              </w:rPr>
              <w:t xml:space="preserve">0.000019778 </w:t>
            </w:r>
          </w:p>
        </w:tc>
        <w:tc>
          <w:tcPr>
            <w:tcW w:w="675" w:type="pct"/>
            <w:tcBorders>
              <w:top w:val="single" w:color="000000" w:sz="4" w:space="0"/>
              <w:left w:val="single" w:color="000000" w:sz="4" w:space="0"/>
              <w:bottom w:val="single" w:color="000000" w:sz="4" w:space="0"/>
              <w:right w:val="single" w:color="000000" w:sz="12" w:space="0"/>
            </w:tcBorders>
            <w:vAlign w:val="center"/>
          </w:tcPr>
          <w:p w14:paraId="1551FB11">
            <w:pPr>
              <w:pStyle w:val="42"/>
              <w:bidi w:val="0"/>
            </w:pPr>
            <w:r>
              <w:rPr>
                <w:rFonts w:hint="default"/>
                <w:lang w:val="en-US" w:eastAsia="zh-CN"/>
              </w:rPr>
              <w:t>0.000173252</w:t>
            </w:r>
          </w:p>
        </w:tc>
      </w:tr>
      <w:tr w14:paraId="6F71E3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5C9B00C3">
            <w:pPr>
              <w:pStyle w:val="42"/>
              <w:bidi w:val="0"/>
              <w:rPr>
                <w:rFonts w:hint="eastAsia"/>
                <w:lang w:val="en-US" w:eastAsia="zh-CN"/>
              </w:rPr>
            </w:pPr>
            <w:r>
              <w:rPr>
                <w:rFonts w:hint="eastAsia"/>
                <w:lang w:val="en-US" w:eastAsia="zh-CN"/>
              </w:rPr>
              <w:t>缺氧池</w:t>
            </w:r>
          </w:p>
        </w:tc>
        <w:tc>
          <w:tcPr>
            <w:tcW w:w="396" w:type="pct"/>
            <w:tcBorders>
              <w:top w:val="single" w:color="000000" w:sz="4" w:space="0"/>
              <w:left w:val="single" w:color="000000" w:sz="4" w:space="0"/>
              <w:bottom w:val="single" w:color="000000" w:sz="4" w:space="0"/>
              <w:right w:val="single" w:color="000000" w:sz="4" w:space="0"/>
            </w:tcBorders>
            <w:vAlign w:val="center"/>
          </w:tcPr>
          <w:p w14:paraId="6FFE75CE">
            <w:pPr>
              <w:pStyle w:val="42"/>
              <w:bidi w:val="0"/>
              <w:rPr>
                <w:rFonts w:hint="default"/>
                <w:lang w:val="en-US" w:eastAsia="zh-CN"/>
              </w:rPr>
            </w:pPr>
            <w:r>
              <w:rPr>
                <w:rFonts w:hint="default"/>
                <w:lang w:val="en-US" w:eastAsia="zh-CN"/>
              </w:rPr>
              <w:t>33.38</w:t>
            </w:r>
          </w:p>
        </w:tc>
        <w:tc>
          <w:tcPr>
            <w:tcW w:w="683" w:type="pct"/>
            <w:tcBorders>
              <w:top w:val="single" w:color="000000" w:sz="4" w:space="0"/>
              <w:left w:val="single" w:color="000000" w:sz="4" w:space="0"/>
              <w:bottom w:val="single" w:color="000000" w:sz="4" w:space="0"/>
              <w:right w:val="single" w:color="000000" w:sz="4" w:space="0"/>
            </w:tcBorders>
            <w:vAlign w:val="center"/>
          </w:tcPr>
          <w:p w14:paraId="661E2D0D">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2D9CAC35">
            <w:pPr>
              <w:pStyle w:val="42"/>
              <w:bidi w:val="0"/>
            </w:pPr>
            <w:r>
              <w:rPr>
                <w:rFonts w:hint="default"/>
                <w:lang w:val="en-US" w:eastAsia="zh-CN"/>
              </w:rPr>
              <w:t>0.000588823</w:t>
            </w:r>
          </w:p>
        </w:tc>
        <w:tc>
          <w:tcPr>
            <w:tcW w:w="698" w:type="pct"/>
            <w:tcBorders>
              <w:top w:val="single" w:color="000000" w:sz="4" w:space="0"/>
              <w:left w:val="single" w:color="000000" w:sz="4" w:space="0"/>
              <w:bottom w:val="single" w:color="000000" w:sz="4" w:space="0"/>
              <w:right w:val="single" w:color="000000" w:sz="4" w:space="0"/>
            </w:tcBorders>
            <w:vAlign w:val="center"/>
          </w:tcPr>
          <w:p w14:paraId="0551B121">
            <w:pPr>
              <w:pStyle w:val="42"/>
              <w:bidi w:val="0"/>
            </w:pPr>
            <w:r>
              <w:rPr>
                <w:rFonts w:hint="default"/>
                <w:lang w:val="en-US" w:eastAsia="zh-CN"/>
              </w:rPr>
              <w:t>0.005158091</w:t>
            </w:r>
          </w:p>
        </w:tc>
        <w:tc>
          <w:tcPr>
            <w:tcW w:w="683" w:type="pct"/>
            <w:tcBorders>
              <w:top w:val="single" w:color="000000" w:sz="4" w:space="0"/>
              <w:left w:val="single" w:color="000000" w:sz="4" w:space="0"/>
              <w:bottom w:val="single" w:color="000000" w:sz="4" w:space="0"/>
              <w:right w:val="single" w:color="000000" w:sz="4" w:space="0"/>
            </w:tcBorders>
            <w:vAlign w:val="center"/>
          </w:tcPr>
          <w:p w14:paraId="51E4EAA9">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2FEAD2F3">
            <w:pPr>
              <w:pStyle w:val="42"/>
              <w:bidi w:val="0"/>
            </w:pPr>
            <w:r>
              <w:rPr>
                <w:rFonts w:hint="default"/>
                <w:lang w:val="en-US" w:eastAsia="zh-CN"/>
              </w:rPr>
              <w:t xml:space="preserve">0.000031244 </w:t>
            </w:r>
          </w:p>
        </w:tc>
        <w:tc>
          <w:tcPr>
            <w:tcW w:w="675" w:type="pct"/>
            <w:tcBorders>
              <w:top w:val="single" w:color="000000" w:sz="4" w:space="0"/>
              <w:left w:val="single" w:color="000000" w:sz="4" w:space="0"/>
              <w:bottom w:val="single" w:color="000000" w:sz="4" w:space="0"/>
              <w:right w:val="single" w:color="000000" w:sz="12" w:space="0"/>
            </w:tcBorders>
            <w:vAlign w:val="center"/>
          </w:tcPr>
          <w:p w14:paraId="3DC0D5E0">
            <w:pPr>
              <w:pStyle w:val="42"/>
              <w:bidi w:val="0"/>
            </w:pPr>
            <w:r>
              <w:rPr>
                <w:rFonts w:hint="default"/>
                <w:lang w:val="en-US" w:eastAsia="zh-CN"/>
              </w:rPr>
              <w:t>0.000273695</w:t>
            </w:r>
          </w:p>
        </w:tc>
      </w:tr>
      <w:tr w14:paraId="542811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01F33C39">
            <w:pPr>
              <w:pStyle w:val="42"/>
              <w:bidi w:val="0"/>
              <w:rPr>
                <w:rFonts w:hint="default"/>
                <w:lang w:val="en-US" w:eastAsia="zh-CN"/>
              </w:rPr>
            </w:pPr>
            <w:r>
              <w:rPr>
                <w:rFonts w:hint="eastAsia"/>
                <w:lang w:val="en-US" w:eastAsia="zh-CN"/>
              </w:rPr>
              <w:t>消化池</w:t>
            </w:r>
          </w:p>
        </w:tc>
        <w:tc>
          <w:tcPr>
            <w:tcW w:w="396" w:type="pct"/>
            <w:tcBorders>
              <w:top w:val="single" w:color="000000" w:sz="4" w:space="0"/>
              <w:left w:val="single" w:color="000000" w:sz="4" w:space="0"/>
              <w:bottom w:val="single" w:color="000000" w:sz="4" w:space="0"/>
              <w:right w:val="single" w:color="000000" w:sz="4" w:space="0"/>
            </w:tcBorders>
            <w:vAlign w:val="center"/>
          </w:tcPr>
          <w:p w14:paraId="4A7512F8">
            <w:pPr>
              <w:pStyle w:val="42"/>
              <w:bidi w:val="0"/>
              <w:rPr>
                <w:rFonts w:hint="default"/>
                <w:lang w:val="en-US" w:eastAsia="zh-CN"/>
              </w:rPr>
            </w:pPr>
            <w:r>
              <w:rPr>
                <w:rFonts w:hint="default"/>
                <w:lang w:val="en-US" w:eastAsia="zh-CN"/>
              </w:rPr>
              <w:t>21.13</w:t>
            </w:r>
          </w:p>
        </w:tc>
        <w:tc>
          <w:tcPr>
            <w:tcW w:w="683" w:type="pct"/>
            <w:tcBorders>
              <w:top w:val="single" w:color="000000" w:sz="4" w:space="0"/>
              <w:left w:val="single" w:color="000000" w:sz="4" w:space="0"/>
              <w:bottom w:val="single" w:color="000000" w:sz="4" w:space="0"/>
              <w:right w:val="single" w:color="000000" w:sz="4" w:space="0"/>
            </w:tcBorders>
            <w:vAlign w:val="center"/>
          </w:tcPr>
          <w:p w14:paraId="341D97B1">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313431FE">
            <w:pPr>
              <w:pStyle w:val="42"/>
              <w:bidi w:val="0"/>
            </w:pPr>
            <w:r>
              <w:rPr>
                <w:rFonts w:hint="default"/>
                <w:lang w:val="en-US" w:eastAsia="zh-CN"/>
              </w:rPr>
              <w:t>0.000372733</w:t>
            </w:r>
          </w:p>
        </w:tc>
        <w:tc>
          <w:tcPr>
            <w:tcW w:w="698" w:type="pct"/>
            <w:tcBorders>
              <w:top w:val="single" w:color="000000" w:sz="4" w:space="0"/>
              <w:left w:val="single" w:color="000000" w:sz="4" w:space="0"/>
              <w:bottom w:val="single" w:color="000000" w:sz="4" w:space="0"/>
              <w:right w:val="single" w:color="000000" w:sz="4" w:space="0"/>
            </w:tcBorders>
            <w:vAlign w:val="center"/>
          </w:tcPr>
          <w:p w14:paraId="133ABD13">
            <w:pPr>
              <w:pStyle w:val="42"/>
              <w:bidi w:val="0"/>
            </w:pPr>
            <w:r>
              <w:rPr>
                <w:rFonts w:hint="default"/>
                <w:lang w:val="en-US" w:eastAsia="zh-CN"/>
              </w:rPr>
              <w:t>0.003265143</w:t>
            </w:r>
          </w:p>
        </w:tc>
        <w:tc>
          <w:tcPr>
            <w:tcW w:w="683" w:type="pct"/>
            <w:tcBorders>
              <w:top w:val="single" w:color="000000" w:sz="4" w:space="0"/>
              <w:left w:val="single" w:color="000000" w:sz="4" w:space="0"/>
              <w:bottom w:val="single" w:color="000000" w:sz="4" w:space="0"/>
              <w:right w:val="single" w:color="000000" w:sz="4" w:space="0"/>
            </w:tcBorders>
            <w:vAlign w:val="center"/>
          </w:tcPr>
          <w:p w14:paraId="0D363683">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5234A262">
            <w:pPr>
              <w:pStyle w:val="42"/>
              <w:bidi w:val="0"/>
            </w:pPr>
            <w:r>
              <w:rPr>
                <w:rFonts w:hint="default"/>
                <w:lang w:val="en-US" w:eastAsia="zh-CN"/>
              </w:rPr>
              <w:t xml:space="preserve">0.000019778 </w:t>
            </w:r>
          </w:p>
        </w:tc>
        <w:tc>
          <w:tcPr>
            <w:tcW w:w="675" w:type="pct"/>
            <w:tcBorders>
              <w:top w:val="single" w:color="000000" w:sz="4" w:space="0"/>
              <w:left w:val="single" w:color="000000" w:sz="4" w:space="0"/>
              <w:bottom w:val="single" w:color="000000" w:sz="4" w:space="0"/>
              <w:right w:val="single" w:color="000000" w:sz="12" w:space="0"/>
            </w:tcBorders>
            <w:vAlign w:val="center"/>
          </w:tcPr>
          <w:p w14:paraId="36094CCA">
            <w:pPr>
              <w:pStyle w:val="42"/>
              <w:bidi w:val="0"/>
            </w:pPr>
            <w:r>
              <w:rPr>
                <w:rFonts w:hint="default"/>
                <w:lang w:val="en-US" w:eastAsia="zh-CN"/>
              </w:rPr>
              <w:t>0.000173252</w:t>
            </w:r>
          </w:p>
        </w:tc>
      </w:tr>
      <w:tr w14:paraId="67C0D6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0A0A48E6">
            <w:pPr>
              <w:pStyle w:val="42"/>
              <w:bidi w:val="0"/>
              <w:rPr>
                <w:rFonts w:hint="default"/>
                <w:lang w:val="en-US" w:eastAsia="zh-CN"/>
              </w:rPr>
            </w:pPr>
            <w:r>
              <w:rPr>
                <w:rFonts w:hint="eastAsia"/>
                <w:lang w:val="en-US" w:eastAsia="zh-CN"/>
              </w:rPr>
              <w:t>好氧流化床</w:t>
            </w:r>
          </w:p>
        </w:tc>
        <w:tc>
          <w:tcPr>
            <w:tcW w:w="396" w:type="pct"/>
            <w:tcBorders>
              <w:top w:val="single" w:color="000000" w:sz="4" w:space="0"/>
              <w:left w:val="single" w:color="000000" w:sz="4" w:space="0"/>
              <w:bottom w:val="single" w:color="000000" w:sz="4" w:space="0"/>
              <w:right w:val="single" w:color="000000" w:sz="4" w:space="0"/>
            </w:tcBorders>
            <w:vAlign w:val="center"/>
          </w:tcPr>
          <w:p w14:paraId="65D3DEE2">
            <w:pPr>
              <w:pStyle w:val="42"/>
              <w:bidi w:val="0"/>
              <w:rPr>
                <w:rFonts w:hint="default"/>
                <w:lang w:val="en-US" w:eastAsia="zh-CN"/>
              </w:rPr>
            </w:pPr>
            <w:r>
              <w:rPr>
                <w:rFonts w:hint="default"/>
                <w:lang w:val="en-US" w:eastAsia="zh-CN"/>
              </w:rPr>
              <w:t>82.81</w:t>
            </w:r>
          </w:p>
        </w:tc>
        <w:tc>
          <w:tcPr>
            <w:tcW w:w="683" w:type="pct"/>
            <w:tcBorders>
              <w:top w:val="single" w:color="000000" w:sz="4" w:space="0"/>
              <w:left w:val="single" w:color="000000" w:sz="4" w:space="0"/>
              <w:bottom w:val="single" w:color="000000" w:sz="4" w:space="0"/>
              <w:right w:val="single" w:color="000000" w:sz="4" w:space="0"/>
            </w:tcBorders>
            <w:vAlign w:val="center"/>
          </w:tcPr>
          <w:p w14:paraId="5808AF15">
            <w:pPr>
              <w:pStyle w:val="42"/>
              <w:bidi w:val="0"/>
            </w:pPr>
            <w:r>
              <w:rPr>
                <w:rFonts w:hint="default"/>
                <w:lang w:val="en-US" w:eastAsia="zh-CN"/>
              </w:rPr>
              <w:t>0.0049</w:t>
            </w:r>
          </w:p>
        </w:tc>
        <w:tc>
          <w:tcPr>
            <w:tcW w:w="701" w:type="pct"/>
            <w:tcBorders>
              <w:top w:val="single" w:color="000000" w:sz="4" w:space="0"/>
              <w:left w:val="single" w:color="000000" w:sz="4" w:space="0"/>
              <w:bottom w:val="single" w:color="000000" w:sz="4" w:space="0"/>
              <w:right w:val="single" w:color="000000" w:sz="4" w:space="0"/>
            </w:tcBorders>
            <w:vAlign w:val="center"/>
          </w:tcPr>
          <w:p w14:paraId="395E3EFE">
            <w:pPr>
              <w:pStyle w:val="42"/>
              <w:bidi w:val="0"/>
            </w:pPr>
            <w:r>
              <w:rPr>
                <w:rFonts w:hint="default"/>
                <w:lang w:val="en-US" w:eastAsia="zh-CN"/>
              </w:rPr>
              <w:t>0.001460768</w:t>
            </w:r>
          </w:p>
        </w:tc>
        <w:tc>
          <w:tcPr>
            <w:tcW w:w="698" w:type="pct"/>
            <w:tcBorders>
              <w:top w:val="single" w:color="000000" w:sz="4" w:space="0"/>
              <w:left w:val="single" w:color="000000" w:sz="4" w:space="0"/>
              <w:bottom w:val="single" w:color="000000" w:sz="4" w:space="0"/>
              <w:right w:val="single" w:color="000000" w:sz="4" w:space="0"/>
            </w:tcBorders>
            <w:vAlign w:val="center"/>
          </w:tcPr>
          <w:p w14:paraId="606C2E3E">
            <w:pPr>
              <w:pStyle w:val="42"/>
              <w:bidi w:val="0"/>
            </w:pPr>
            <w:r>
              <w:rPr>
                <w:rFonts w:hint="default"/>
                <w:lang w:val="en-US" w:eastAsia="zh-CN"/>
              </w:rPr>
              <w:t>0.012796331</w:t>
            </w:r>
          </w:p>
        </w:tc>
        <w:tc>
          <w:tcPr>
            <w:tcW w:w="683" w:type="pct"/>
            <w:tcBorders>
              <w:top w:val="single" w:color="000000" w:sz="4" w:space="0"/>
              <w:left w:val="single" w:color="000000" w:sz="4" w:space="0"/>
              <w:bottom w:val="single" w:color="000000" w:sz="4" w:space="0"/>
              <w:right w:val="single" w:color="000000" w:sz="4" w:space="0"/>
            </w:tcBorders>
            <w:vAlign w:val="center"/>
          </w:tcPr>
          <w:p w14:paraId="5DFC69A8">
            <w:pPr>
              <w:pStyle w:val="42"/>
              <w:bidi w:val="0"/>
            </w:pPr>
            <w:r>
              <w:rPr>
                <w:rFonts w:hint="default"/>
                <w:lang w:val="en-US" w:eastAsia="zh-CN"/>
              </w:rPr>
              <w:t>0.00026</w:t>
            </w:r>
          </w:p>
        </w:tc>
        <w:tc>
          <w:tcPr>
            <w:tcW w:w="729" w:type="pct"/>
            <w:tcBorders>
              <w:top w:val="single" w:color="000000" w:sz="4" w:space="0"/>
              <w:left w:val="single" w:color="000000" w:sz="4" w:space="0"/>
              <w:bottom w:val="single" w:color="000000" w:sz="4" w:space="0"/>
              <w:right w:val="single" w:color="000000" w:sz="4" w:space="0"/>
            </w:tcBorders>
            <w:vAlign w:val="center"/>
          </w:tcPr>
          <w:p w14:paraId="6F49CDD5">
            <w:pPr>
              <w:pStyle w:val="42"/>
              <w:bidi w:val="0"/>
            </w:pPr>
            <w:r>
              <w:rPr>
                <w:rFonts w:hint="default"/>
                <w:lang w:val="en-US" w:eastAsia="zh-CN"/>
              </w:rPr>
              <w:t xml:space="preserve">0.000077510 </w:t>
            </w:r>
          </w:p>
        </w:tc>
        <w:tc>
          <w:tcPr>
            <w:tcW w:w="675" w:type="pct"/>
            <w:tcBorders>
              <w:top w:val="single" w:color="000000" w:sz="4" w:space="0"/>
              <w:left w:val="single" w:color="000000" w:sz="4" w:space="0"/>
              <w:bottom w:val="single" w:color="000000" w:sz="4" w:space="0"/>
              <w:right w:val="single" w:color="000000" w:sz="12" w:space="0"/>
            </w:tcBorders>
            <w:vAlign w:val="center"/>
          </w:tcPr>
          <w:p w14:paraId="72501201">
            <w:pPr>
              <w:pStyle w:val="42"/>
              <w:bidi w:val="0"/>
            </w:pPr>
            <w:r>
              <w:rPr>
                <w:rFonts w:hint="default"/>
                <w:lang w:val="en-US" w:eastAsia="zh-CN"/>
              </w:rPr>
              <w:t>0.000678989</w:t>
            </w:r>
          </w:p>
        </w:tc>
      </w:tr>
      <w:tr w14:paraId="47F69D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1D4A380F">
            <w:pPr>
              <w:pStyle w:val="42"/>
              <w:bidi w:val="0"/>
              <w:rPr>
                <w:rFonts w:hint="default"/>
                <w:lang w:val="en-US" w:eastAsia="zh-CN"/>
              </w:rPr>
            </w:pPr>
            <w:r>
              <w:rPr>
                <w:rFonts w:hint="eastAsia"/>
                <w:lang w:val="en-US" w:eastAsia="zh-CN"/>
              </w:rPr>
              <w:t>去磷池</w:t>
            </w:r>
          </w:p>
        </w:tc>
        <w:tc>
          <w:tcPr>
            <w:tcW w:w="396" w:type="pct"/>
            <w:tcBorders>
              <w:top w:val="single" w:color="000000" w:sz="4" w:space="0"/>
              <w:left w:val="single" w:color="000000" w:sz="4" w:space="0"/>
              <w:bottom w:val="single" w:color="000000" w:sz="4" w:space="0"/>
              <w:right w:val="single" w:color="000000" w:sz="4" w:space="0"/>
            </w:tcBorders>
            <w:vAlign w:val="center"/>
          </w:tcPr>
          <w:p w14:paraId="4322E7DB">
            <w:pPr>
              <w:pStyle w:val="42"/>
              <w:bidi w:val="0"/>
              <w:rPr>
                <w:rFonts w:hint="default"/>
                <w:lang w:val="en-US" w:eastAsia="zh-CN"/>
              </w:rPr>
            </w:pPr>
            <w:r>
              <w:rPr>
                <w:rFonts w:hint="default"/>
                <w:lang w:val="en-US" w:eastAsia="zh-CN"/>
              </w:rPr>
              <w:t>50.03</w:t>
            </w:r>
          </w:p>
        </w:tc>
        <w:tc>
          <w:tcPr>
            <w:tcW w:w="683" w:type="pct"/>
            <w:tcBorders>
              <w:top w:val="single" w:color="000000" w:sz="4" w:space="0"/>
              <w:left w:val="single" w:color="000000" w:sz="4" w:space="0"/>
              <w:bottom w:val="single" w:color="000000" w:sz="4" w:space="0"/>
              <w:right w:val="single" w:color="000000" w:sz="4" w:space="0"/>
            </w:tcBorders>
            <w:vAlign w:val="center"/>
          </w:tcPr>
          <w:p w14:paraId="2A462ACD">
            <w:pPr>
              <w:pStyle w:val="42"/>
              <w:bidi w:val="0"/>
            </w:pPr>
            <w:r>
              <w:rPr>
                <w:rFonts w:hint="default"/>
                <w:lang w:val="en-US" w:eastAsia="zh-CN"/>
              </w:rPr>
              <w:t>0.007</w:t>
            </w:r>
          </w:p>
        </w:tc>
        <w:tc>
          <w:tcPr>
            <w:tcW w:w="701" w:type="pct"/>
            <w:tcBorders>
              <w:top w:val="single" w:color="000000" w:sz="4" w:space="0"/>
              <w:left w:val="single" w:color="000000" w:sz="4" w:space="0"/>
              <w:bottom w:val="single" w:color="000000" w:sz="4" w:space="0"/>
              <w:right w:val="single" w:color="000000" w:sz="4" w:space="0"/>
            </w:tcBorders>
            <w:vAlign w:val="center"/>
          </w:tcPr>
          <w:p w14:paraId="747480A0">
            <w:pPr>
              <w:pStyle w:val="42"/>
              <w:bidi w:val="0"/>
            </w:pPr>
            <w:r>
              <w:rPr>
                <w:rFonts w:hint="default"/>
                <w:lang w:val="en-US" w:eastAsia="zh-CN"/>
              </w:rPr>
              <w:t>0.001260756</w:t>
            </w:r>
          </w:p>
        </w:tc>
        <w:tc>
          <w:tcPr>
            <w:tcW w:w="698" w:type="pct"/>
            <w:tcBorders>
              <w:top w:val="single" w:color="000000" w:sz="4" w:space="0"/>
              <w:left w:val="single" w:color="000000" w:sz="4" w:space="0"/>
              <w:bottom w:val="single" w:color="000000" w:sz="4" w:space="0"/>
              <w:right w:val="single" w:color="000000" w:sz="4" w:space="0"/>
            </w:tcBorders>
            <w:vAlign w:val="center"/>
          </w:tcPr>
          <w:p w14:paraId="6DA56F5F">
            <w:pPr>
              <w:pStyle w:val="42"/>
              <w:bidi w:val="0"/>
            </w:pPr>
            <w:r>
              <w:rPr>
                <w:rFonts w:hint="default"/>
                <w:lang w:val="en-US" w:eastAsia="zh-CN"/>
              </w:rPr>
              <w:t>0.011044223</w:t>
            </w:r>
          </w:p>
        </w:tc>
        <w:tc>
          <w:tcPr>
            <w:tcW w:w="683" w:type="pct"/>
            <w:tcBorders>
              <w:top w:val="single" w:color="000000" w:sz="4" w:space="0"/>
              <w:left w:val="single" w:color="000000" w:sz="4" w:space="0"/>
              <w:bottom w:val="single" w:color="000000" w:sz="4" w:space="0"/>
              <w:right w:val="single" w:color="000000" w:sz="4" w:space="0"/>
            </w:tcBorders>
            <w:vAlign w:val="center"/>
          </w:tcPr>
          <w:p w14:paraId="724EB35F">
            <w:pPr>
              <w:pStyle w:val="42"/>
              <w:bidi w:val="0"/>
            </w:pPr>
            <w:r>
              <w:rPr>
                <w:rFonts w:hint="default"/>
                <w:lang w:val="en-US" w:eastAsia="zh-CN"/>
              </w:rPr>
              <w:t>0.000029</w:t>
            </w:r>
          </w:p>
        </w:tc>
        <w:tc>
          <w:tcPr>
            <w:tcW w:w="729" w:type="pct"/>
            <w:tcBorders>
              <w:top w:val="single" w:color="000000" w:sz="4" w:space="0"/>
              <w:left w:val="single" w:color="000000" w:sz="4" w:space="0"/>
              <w:bottom w:val="single" w:color="000000" w:sz="4" w:space="0"/>
              <w:right w:val="single" w:color="000000" w:sz="4" w:space="0"/>
            </w:tcBorders>
            <w:vAlign w:val="center"/>
          </w:tcPr>
          <w:p w14:paraId="170D9D39">
            <w:pPr>
              <w:pStyle w:val="42"/>
              <w:bidi w:val="0"/>
            </w:pPr>
            <w:r>
              <w:rPr>
                <w:rFonts w:hint="default"/>
                <w:lang w:val="en-US" w:eastAsia="zh-CN"/>
              </w:rPr>
              <w:t xml:space="preserve">0.000005223 </w:t>
            </w:r>
          </w:p>
        </w:tc>
        <w:tc>
          <w:tcPr>
            <w:tcW w:w="675" w:type="pct"/>
            <w:tcBorders>
              <w:top w:val="single" w:color="000000" w:sz="4" w:space="0"/>
              <w:left w:val="single" w:color="000000" w:sz="4" w:space="0"/>
              <w:bottom w:val="single" w:color="000000" w:sz="4" w:space="0"/>
              <w:right w:val="single" w:color="000000" w:sz="12" w:space="0"/>
            </w:tcBorders>
            <w:vAlign w:val="center"/>
          </w:tcPr>
          <w:p w14:paraId="37DFFC88">
            <w:pPr>
              <w:pStyle w:val="42"/>
              <w:bidi w:val="0"/>
            </w:pPr>
            <w:r>
              <w:rPr>
                <w:rFonts w:hint="default"/>
                <w:lang w:val="en-US" w:eastAsia="zh-CN"/>
              </w:rPr>
              <w:t xml:space="preserve">0.000045755 </w:t>
            </w:r>
          </w:p>
        </w:tc>
      </w:tr>
      <w:tr w14:paraId="14EB08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58F17638">
            <w:pPr>
              <w:pStyle w:val="42"/>
              <w:bidi w:val="0"/>
            </w:pPr>
            <w:r>
              <w:rPr>
                <w:rFonts w:hint="eastAsia"/>
                <w:lang w:val="en-US" w:eastAsia="zh-CN"/>
              </w:rPr>
              <w:t>污泥池</w:t>
            </w:r>
          </w:p>
        </w:tc>
        <w:tc>
          <w:tcPr>
            <w:tcW w:w="396" w:type="pct"/>
            <w:tcBorders>
              <w:top w:val="single" w:color="000000" w:sz="4" w:space="0"/>
              <w:left w:val="single" w:color="000000" w:sz="4" w:space="0"/>
              <w:bottom w:val="single" w:color="000000" w:sz="4" w:space="0"/>
              <w:right w:val="single" w:color="000000" w:sz="4" w:space="0"/>
            </w:tcBorders>
            <w:vAlign w:val="center"/>
          </w:tcPr>
          <w:p w14:paraId="4166A365">
            <w:pPr>
              <w:pStyle w:val="42"/>
              <w:bidi w:val="0"/>
              <w:rPr>
                <w:rFonts w:hint="default"/>
                <w:lang w:val="en-US" w:eastAsia="zh-CN"/>
              </w:rPr>
            </w:pPr>
            <w:r>
              <w:rPr>
                <w:rFonts w:hint="default"/>
                <w:lang w:val="en-US" w:eastAsia="zh-CN"/>
              </w:rPr>
              <w:t>50.28</w:t>
            </w:r>
          </w:p>
        </w:tc>
        <w:tc>
          <w:tcPr>
            <w:tcW w:w="683" w:type="pct"/>
            <w:tcBorders>
              <w:top w:val="single" w:color="000000" w:sz="4" w:space="0"/>
              <w:left w:val="single" w:color="000000" w:sz="4" w:space="0"/>
              <w:bottom w:val="single" w:color="000000" w:sz="4" w:space="0"/>
              <w:right w:val="single" w:color="000000" w:sz="4" w:space="0"/>
            </w:tcBorders>
            <w:vAlign w:val="center"/>
          </w:tcPr>
          <w:p w14:paraId="443BC59C">
            <w:pPr>
              <w:pStyle w:val="42"/>
              <w:bidi w:val="0"/>
              <w:rPr>
                <w:rFonts w:hint="default"/>
                <w:lang w:val="en-US" w:eastAsia="zh-CN"/>
              </w:rPr>
            </w:pPr>
            <w:r>
              <w:rPr>
                <w:rFonts w:hint="default"/>
                <w:lang w:val="en-US" w:eastAsia="zh-CN"/>
              </w:rPr>
              <w:t>0.103</w:t>
            </w:r>
          </w:p>
        </w:tc>
        <w:tc>
          <w:tcPr>
            <w:tcW w:w="701" w:type="pct"/>
            <w:tcBorders>
              <w:top w:val="single" w:color="000000" w:sz="4" w:space="0"/>
              <w:left w:val="single" w:color="000000" w:sz="4" w:space="0"/>
              <w:bottom w:val="single" w:color="000000" w:sz="4" w:space="0"/>
              <w:right w:val="single" w:color="000000" w:sz="4" w:space="0"/>
            </w:tcBorders>
            <w:vAlign w:val="center"/>
          </w:tcPr>
          <w:p w14:paraId="647339FA">
            <w:pPr>
              <w:pStyle w:val="42"/>
              <w:bidi w:val="0"/>
            </w:pPr>
            <w:r>
              <w:rPr>
                <w:rFonts w:hint="default"/>
                <w:lang w:val="en-US" w:eastAsia="zh-CN"/>
              </w:rPr>
              <w:t>0.018643824</w:t>
            </w:r>
          </w:p>
        </w:tc>
        <w:tc>
          <w:tcPr>
            <w:tcW w:w="698" w:type="pct"/>
            <w:tcBorders>
              <w:top w:val="single" w:color="000000" w:sz="4" w:space="0"/>
              <w:left w:val="single" w:color="000000" w:sz="4" w:space="0"/>
              <w:bottom w:val="single" w:color="000000" w:sz="4" w:space="0"/>
              <w:right w:val="single" w:color="000000" w:sz="4" w:space="0"/>
            </w:tcBorders>
            <w:vAlign w:val="center"/>
          </w:tcPr>
          <w:p w14:paraId="4A17BE97">
            <w:pPr>
              <w:pStyle w:val="42"/>
              <w:bidi w:val="0"/>
            </w:pPr>
            <w:r>
              <w:rPr>
                <w:rFonts w:hint="default"/>
                <w:lang w:val="en-US" w:eastAsia="zh-CN"/>
              </w:rPr>
              <w:t>0.163319898</w:t>
            </w:r>
          </w:p>
        </w:tc>
        <w:tc>
          <w:tcPr>
            <w:tcW w:w="683" w:type="pct"/>
            <w:tcBorders>
              <w:top w:val="single" w:color="000000" w:sz="4" w:space="0"/>
              <w:left w:val="single" w:color="000000" w:sz="4" w:space="0"/>
              <w:bottom w:val="single" w:color="000000" w:sz="4" w:space="0"/>
              <w:right w:val="single" w:color="000000" w:sz="4" w:space="0"/>
            </w:tcBorders>
            <w:vAlign w:val="center"/>
          </w:tcPr>
          <w:p w14:paraId="54D4A768">
            <w:pPr>
              <w:pStyle w:val="42"/>
              <w:bidi w:val="0"/>
              <w:rPr>
                <w:rFonts w:hint="eastAsia"/>
                <w:lang w:eastAsia="zh-CN"/>
              </w:rPr>
            </w:pPr>
            <w:r>
              <w:rPr>
                <w:rFonts w:hint="default"/>
                <w:lang w:val="en-US" w:eastAsia="zh-CN"/>
              </w:rPr>
              <w:t>0.00003</w:t>
            </w:r>
          </w:p>
        </w:tc>
        <w:tc>
          <w:tcPr>
            <w:tcW w:w="729" w:type="pct"/>
            <w:tcBorders>
              <w:top w:val="single" w:color="000000" w:sz="4" w:space="0"/>
              <w:left w:val="single" w:color="000000" w:sz="4" w:space="0"/>
              <w:bottom w:val="single" w:color="000000" w:sz="4" w:space="0"/>
              <w:right w:val="single" w:color="000000" w:sz="4" w:space="0"/>
            </w:tcBorders>
            <w:vAlign w:val="center"/>
          </w:tcPr>
          <w:p w14:paraId="0C12240E">
            <w:pPr>
              <w:pStyle w:val="42"/>
              <w:bidi w:val="0"/>
            </w:pPr>
            <w:r>
              <w:rPr>
                <w:rFonts w:hint="default"/>
                <w:lang w:val="en-US" w:eastAsia="zh-CN"/>
              </w:rPr>
              <w:t xml:space="preserve">0.000005430 </w:t>
            </w:r>
          </w:p>
        </w:tc>
        <w:tc>
          <w:tcPr>
            <w:tcW w:w="675" w:type="pct"/>
            <w:tcBorders>
              <w:top w:val="single" w:color="000000" w:sz="4" w:space="0"/>
              <w:left w:val="single" w:color="000000" w:sz="4" w:space="0"/>
              <w:bottom w:val="single" w:color="000000" w:sz="4" w:space="0"/>
              <w:right w:val="single" w:color="000000" w:sz="12" w:space="0"/>
            </w:tcBorders>
            <w:vAlign w:val="center"/>
          </w:tcPr>
          <w:p w14:paraId="73259F6D">
            <w:pPr>
              <w:pStyle w:val="42"/>
              <w:bidi w:val="0"/>
            </w:pPr>
            <w:r>
              <w:rPr>
                <w:rFonts w:hint="default"/>
                <w:lang w:val="en-US" w:eastAsia="zh-CN"/>
              </w:rPr>
              <w:t xml:space="preserve">0.000047569 </w:t>
            </w:r>
          </w:p>
        </w:tc>
      </w:tr>
      <w:tr w14:paraId="744C49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429" w:type="pct"/>
            <w:tcBorders>
              <w:top w:val="single" w:color="000000" w:sz="4" w:space="0"/>
              <w:left w:val="single" w:color="000000" w:sz="12" w:space="0"/>
              <w:bottom w:val="single" w:color="000000" w:sz="4" w:space="0"/>
              <w:right w:val="single" w:color="000000" w:sz="4" w:space="0"/>
            </w:tcBorders>
            <w:vAlign w:val="center"/>
          </w:tcPr>
          <w:p w14:paraId="44729EA4">
            <w:pPr>
              <w:pStyle w:val="42"/>
              <w:bidi w:val="0"/>
            </w:pPr>
            <w:r>
              <w:rPr>
                <w:rFonts w:hint="eastAsia"/>
                <w:lang w:val="en-US" w:eastAsia="zh-CN"/>
              </w:rPr>
              <w:t>脱水间</w:t>
            </w:r>
          </w:p>
        </w:tc>
        <w:tc>
          <w:tcPr>
            <w:tcW w:w="396" w:type="pct"/>
            <w:tcBorders>
              <w:top w:val="single" w:color="000000" w:sz="4" w:space="0"/>
              <w:left w:val="single" w:color="000000" w:sz="4" w:space="0"/>
              <w:bottom w:val="single" w:color="000000" w:sz="4" w:space="0"/>
              <w:right w:val="single" w:color="000000" w:sz="4" w:space="0"/>
            </w:tcBorders>
            <w:vAlign w:val="center"/>
          </w:tcPr>
          <w:p w14:paraId="7D0F2749">
            <w:pPr>
              <w:pStyle w:val="42"/>
              <w:bidi w:val="0"/>
              <w:rPr>
                <w:rFonts w:hint="default"/>
                <w:lang w:val="en-US" w:eastAsia="zh-CN"/>
              </w:rPr>
            </w:pPr>
            <w:r>
              <w:rPr>
                <w:rFonts w:hint="default"/>
                <w:lang w:val="en-US" w:eastAsia="zh-CN"/>
              </w:rPr>
              <w:t>20</w:t>
            </w:r>
          </w:p>
        </w:tc>
        <w:tc>
          <w:tcPr>
            <w:tcW w:w="683" w:type="pct"/>
            <w:tcBorders>
              <w:top w:val="single" w:color="000000" w:sz="4" w:space="0"/>
              <w:left w:val="single" w:color="000000" w:sz="4" w:space="0"/>
              <w:bottom w:val="single" w:color="000000" w:sz="4" w:space="0"/>
              <w:right w:val="single" w:color="000000" w:sz="4" w:space="0"/>
            </w:tcBorders>
            <w:vAlign w:val="center"/>
          </w:tcPr>
          <w:p w14:paraId="3D65314C">
            <w:pPr>
              <w:pStyle w:val="42"/>
              <w:bidi w:val="0"/>
            </w:pPr>
            <w:r>
              <w:rPr>
                <w:rFonts w:hint="default"/>
                <w:lang w:val="en-US" w:eastAsia="zh-CN"/>
              </w:rPr>
              <w:t>0.103</w:t>
            </w:r>
          </w:p>
        </w:tc>
        <w:tc>
          <w:tcPr>
            <w:tcW w:w="701" w:type="pct"/>
            <w:tcBorders>
              <w:top w:val="single" w:color="000000" w:sz="4" w:space="0"/>
              <w:left w:val="single" w:color="000000" w:sz="4" w:space="0"/>
              <w:bottom w:val="single" w:color="000000" w:sz="4" w:space="0"/>
              <w:right w:val="single" w:color="000000" w:sz="4" w:space="0"/>
            </w:tcBorders>
            <w:vAlign w:val="center"/>
          </w:tcPr>
          <w:p w14:paraId="2C011020">
            <w:pPr>
              <w:pStyle w:val="42"/>
              <w:bidi w:val="0"/>
            </w:pPr>
            <w:r>
              <w:rPr>
                <w:rFonts w:hint="default"/>
                <w:lang w:val="en-US" w:eastAsia="zh-CN"/>
              </w:rPr>
              <w:t>0.007416</w:t>
            </w:r>
          </w:p>
        </w:tc>
        <w:tc>
          <w:tcPr>
            <w:tcW w:w="698" w:type="pct"/>
            <w:tcBorders>
              <w:top w:val="single" w:color="000000" w:sz="4" w:space="0"/>
              <w:left w:val="single" w:color="000000" w:sz="4" w:space="0"/>
              <w:bottom w:val="single" w:color="000000" w:sz="4" w:space="0"/>
              <w:right w:val="single" w:color="000000" w:sz="4" w:space="0"/>
            </w:tcBorders>
            <w:vAlign w:val="center"/>
          </w:tcPr>
          <w:p w14:paraId="182E41B5">
            <w:pPr>
              <w:pStyle w:val="42"/>
              <w:bidi w:val="0"/>
            </w:pPr>
            <w:r>
              <w:rPr>
                <w:rFonts w:hint="default"/>
                <w:lang w:val="en-US" w:eastAsia="zh-CN"/>
              </w:rPr>
              <w:t>0.06496416</w:t>
            </w:r>
          </w:p>
        </w:tc>
        <w:tc>
          <w:tcPr>
            <w:tcW w:w="683" w:type="pct"/>
            <w:tcBorders>
              <w:top w:val="single" w:color="000000" w:sz="4" w:space="0"/>
              <w:left w:val="single" w:color="000000" w:sz="4" w:space="0"/>
              <w:bottom w:val="single" w:color="000000" w:sz="4" w:space="0"/>
              <w:right w:val="single" w:color="000000" w:sz="4" w:space="0"/>
            </w:tcBorders>
            <w:vAlign w:val="center"/>
          </w:tcPr>
          <w:p w14:paraId="6BDAA103">
            <w:pPr>
              <w:pStyle w:val="42"/>
              <w:bidi w:val="0"/>
            </w:pPr>
            <w:r>
              <w:rPr>
                <w:rFonts w:hint="default"/>
                <w:lang w:val="en-US" w:eastAsia="zh-CN"/>
              </w:rPr>
              <w:t>0.00003</w:t>
            </w:r>
          </w:p>
        </w:tc>
        <w:tc>
          <w:tcPr>
            <w:tcW w:w="729" w:type="pct"/>
            <w:tcBorders>
              <w:top w:val="single" w:color="000000" w:sz="4" w:space="0"/>
              <w:left w:val="single" w:color="000000" w:sz="4" w:space="0"/>
              <w:bottom w:val="single" w:color="000000" w:sz="4" w:space="0"/>
              <w:right w:val="single" w:color="000000" w:sz="4" w:space="0"/>
            </w:tcBorders>
            <w:vAlign w:val="center"/>
          </w:tcPr>
          <w:p w14:paraId="722618E8">
            <w:pPr>
              <w:pStyle w:val="42"/>
              <w:bidi w:val="0"/>
            </w:pPr>
            <w:r>
              <w:rPr>
                <w:rFonts w:hint="default"/>
                <w:lang w:val="en-US" w:eastAsia="zh-CN"/>
              </w:rPr>
              <w:t xml:space="preserve">0.000002160 </w:t>
            </w:r>
          </w:p>
        </w:tc>
        <w:tc>
          <w:tcPr>
            <w:tcW w:w="675" w:type="pct"/>
            <w:tcBorders>
              <w:top w:val="single" w:color="000000" w:sz="4" w:space="0"/>
              <w:left w:val="single" w:color="000000" w:sz="4" w:space="0"/>
              <w:bottom w:val="single" w:color="000000" w:sz="4" w:space="0"/>
              <w:right w:val="single" w:color="000000" w:sz="12" w:space="0"/>
            </w:tcBorders>
            <w:vAlign w:val="center"/>
          </w:tcPr>
          <w:p w14:paraId="522AEF17">
            <w:pPr>
              <w:pStyle w:val="42"/>
              <w:bidi w:val="0"/>
            </w:pPr>
            <w:r>
              <w:rPr>
                <w:rFonts w:hint="default"/>
                <w:lang w:val="en-US" w:eastAsia="zh-CN"/>
              </w:rPr>
              <w:t xml:space="preserve">0.000018922 </w:t>
            </w:r>
          </w:p>
        </w:tc>
      </w:tr>
      <w:tr w14:paraId="5BAB2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429" w:type="pct"/>
            <w:tcBorders>
              <w:top w:val="single" w:color="000000" w:sz="4" w:space="0"/>
              <w:left w:val="single" w:color="000000" w:sz="12" w:space="0"/>
              <w:bottom w:val="single" w:color="000000" w:sz="12" w:space="0"/>
              <w:right w:val="single" w:color="000000" w:sz="4" w:space="0"/>
            </w:tcBorders>
            <w:vAlign w:val="center"/>
          </w:tcPr>
          <w:p w14:paraId="2A7FBEE6">
            <w:pPr>
              <w:pStyle w:val="42"/>
              <w:bidi w:val="0"/>
            </w:pPr>
            <w:r>
              <w:rPr>
                <w:rFonts w:hint="eastAsia"/>
                <w:lang w:val="en-US" w:eastAsia="zh-CN"/>
              </w:rPr>
              <w:t>合计</w:t>
            </w:r>
          </w:p>
        </w:tc>
        <w:tc>
          <w:tcPr>
            <w:tcW w:w="396" w:type="pct"/>
            <w:tcBorders>
              <w:top w:val="single" w:color="000000" w:sz="4" w:space="0"/>
              <w:left w:val="single" w:color="000000" w:sz="4" w:space="0"/>
              <w:bottom w:val="single" w:color="000000" w:sz="12" w:space="0"/>
              <w:right w:val="single" w:color="000000" w:sz="4" w:space="0"/>
            </w:tcBorders>
            <w:vAlign w:val="center"/>
          </w:tcPr>
          <w:p w14:paraId="3212A32A">
            <w:pPr>
              <w:pStyle w:val="42"/>
              <w:bidi w:val="0"/>
              <w:rPr>
                <w:rFonts w:hint="eastAsia"/>
                <w:lang w:val="en-US" w:eastAsia="zh-CN"/>
              </w:rPr>
            </w:pPr>
            <w:r>
              <w:rPr>
                <w:rFonts w:hint="default"/>
                <w:lang w:val="en-US" w:eastAsia="zh-CN"/>
              </w:rPr>
              <w:t>/</w:t>
            </w:r>
          </w:p>
        </w:tc>
        <w:tc>
          <w:tcPr>
            <w:tcW w:w="683" w:type="pct"/>
            <w:tcBorders>
              <w:top w:val="single" w:color="000000" w:sz="4" w:space="0"/>
              <w:left w:val="single" w:color="000000" w:sz="4" w:space="0"/>
              <w:bottom w:val="single" w:color="000000" w:sz="12" w:space="0"/>
              <w:right w:val="single" w:color="000000" w:sz="4" w:space="0"/>
            </w:tcBorders>
            <w:vAlign w:val="center"/>
          </w:tcPr>
          <w:p w14:paraId="5E9F335D">
            <w:pPr>
              <w:pStyle w:val="42"/>
              <w:bidi w:val="0"/>
            </w:pPr>
            <w:r>
              <w:rPr>
                <w:rFonts w:hint="default"/>
                <w:lang w:val="en-US" w:eastAsia="zh-CN"/>
              </w:rPr>
              <w:t>/</w:t>
            </w:r>
          </w:p>
        </w:tc>
        <w:tc>
          <w:tcPr>
            <w:tcW w:w="701" w:type="pct"/>
            <w:tcBorders>
              <w:top w:val="single" w:color="000000" w:sz="4" w:space="0"/>
              <w:left w:val="single" w:color="000000" w:sz="4" w:space="0"/>
              <w:bottom w:val="single" w:color="000000" w:sz="12" w:space="0"/>
              <w:right w:val="single" w:color="000000" w:sz="4" w:space="0"/>
            </w:tcBorders>
            <w:vAlign w:val="center"/>
          </w:tcPr>
          <w:p w14:paraId="25B2D6A7">
            <w:pPr>
              <w:pStyle w:val="42"/>
              <w:bidi w:val="0"/>
            </w:pPr>
            <w:r>
              <w:rPr>
                <w:rFonts w:hint="default"/>
                <w:lang w:val="en-US" w:eastAsia="zh-CN"/>
              </w:rPr>
              <w:t>0.321250201</w:t>
            </w:r>
          </w:p>
        </w:tc>
        <w:tc>
          <w:tcPr>
            <w:tcW w:w="698" w:type="pct"/>
            <w:tcBorders>
              <w:top w:val="single" w:color="000000" w:sz="4" w:space="0"/>
              <w:left w:val="single" w:color="000000" w:sz="4" w:space="0"/>
              <w:bottom w:val="single" w:color="000000" w:sz="12" w:space="0"/>
              <w:right w:val="single" w:color="000000" w:sz="4" w:space="0"/>
            </w:tcBorders>
            <w:vAlign w:val="center"/>
          </w:tcPr>
          <w:p w14:paraId="1A772907">
            <w:pPr>
              <w:pStyle w:val="42"/>
              <w:bidi w:val="0"/>
            </w:pPr>
            <w:r>
              <w:rPr>
                <w:rFonts w:hint="default"/>
                <w:lang w:val="en-US" w:eastAsia="zh-CN"/>
              </w:rPr>
              <w:t>2.814151763</w:t>
            </w:r>
          </w:p>
        </w:tc>
        <w:tc>
          <w:tcPr>
            <w:tcW w:w="683" w:type="pct"/>
            <w:tcBorders>
              <w:top w:val="single" w:color="000000" w:sz="4" w:space="0"/>
              <w:left w:val="single" w:color="000000" w:sz="4" w:space="0"/>
              <w:bottom w:val="single" w:color="000000" w:sz="12" w:space="0"/>
              <w:right w:val="single" w:color="000000" w:sz="4" w:space="0"/>
            </w:tcBorders>
            <w:vAlign w:val="center"/>
          </w:tcPr>
          <w:p w14:paraId="7F11752A">
            <w:pPr>
              <w:pStyle w:val="42"/>
              <w:bidi w:val="0"/>
            </w:pPr>
            <w:r>
              <w:rPr>
                <w:rFonts w:hint="default"/>
                <w:lang w:val="en-US" w:eastAsia="zh-CN"/>
              </w:rPr>
              <w:t>/</w:t>
            </w:r>
          </w:p>
        </w:tc>
        <w:tc>
          <w:tcPr>
            <w:tcW w:w="729" w:type="pct"/>
            <w:tcBorders>
              <w:top w:val="single" w:color="000000" w:sz="4" w:space="0"/>
              <w:left w:val="single" w:color="000000" w:sz="4" w:space="0"/>
              <w:bottom w:val="single" w:color="000000" w:sz="12" w:space="0"/>
              <w:right w:val="single" w:color="000000" w:sz="4" w:space="0"/>
            </w:tcBorders>
            <w:vAlign w:val="center"/>
          </w:tcPr>
          <w:p w14:paraId="06A81A13">
            <w:pPr>
              <w:pStyle w:val="42"/>
              <w:bidi w:val="0"/>
            </w:pPr>
            <w:r>
              <w:rPr>
                <w:rFonts w:hint="default"/>
                <w:lang w:val="en-US" w:eastAsia="zh-CN"/>
              </w:rPr>
              <w:t xml:space="preserve">0.001130319 </w:t>
            </w:r>
          </w:p>
        </w:tc>
        <w:tc>
          <w:tcPr>
            <w:tcW w:w="675" w:type="pct"/>
            <w:tcBorders>
              <w:top w:val="single" w:color="000000" w:sz="4" w:space="0"/>
              <w:left w:val="single" w:color="000000" w:sz="4" w:space="0"/>
              <w:bottom w:val="single" w:color="000000" w:sz="12" w:space="0"/>
              <w:right w:val="single" w:color="000000" w:sz="12" w:space="0"/>
            </w:tcBorders>
            <w:vAlign w:val="center"/>
          </w:tcPr>
          <w:p w14:paraId="17F372A3">
            <w:pPr>
              <w:pStyle w:val="42"/>
              <w:bidi w:val="0"/>
            </w:pPr>
            <w:r>
              <w:rPr>
                <w:rFonts w:hint="default"/>
                <w:lang w:val="en-US" w:eastAsia="zh-CN"/>
              </w:rPr>
              <w:t xml:space="preserve">0.009901596 </w:t>
            </w:r>
          </w:p>
        </w:tc>
      </w:tr>
    </w:tbl>
    <w:p w14:paraId="3106BAA4">
      <w:pPr>
        <w:bidi w:val="0"/>
        <w:rPr>
          <w:rFonts w:hint="default" w:ascii="Times New Roman" w:hAnsi="Times New Roman" w:cs="Times New Roman"/>
        </w:rPr>
      </w:pPr>
      <w:r>
        <w:rPr>
          <w:rFonts w:hint="default" w:ascii="Times New Roman" w:hAnsi="Times New Roman" w:cs="Times New Roman"/>
        </w:rPr>
        <w:t>根据上表，本项目氨产生量为</w:t>
      </w:r>
      <w:r>
        <w:rPr>
          <w:rFonts w:hint="default" w:ascii="Times New Roman" w:hAnsi="Times New Roman" w:cs="Times New Roman"/>
          <w:lang w:val="en-US" w:eastAsia="zh-CN"/>
        </w:rPr>
        <w:t>5.111</w:t>
      </w:r>
      <w:r>
        <w:rPr>
          <w:rFonts w:hint="default" w:ascii="Times New Roman" w:hAnsi="Times New Roman" w:cs="Times New Roman"/>
        </w:rPr>
        <w:t>t/a，硫化氢产生量为</w:t>
      </w:r>
      <w:r>
        <w:rPr>
          <w:rFonts w:hint="default" w:ascii="Times New Roman" w:hAnsi="Times New Roman" w:cs="Times New Roman"/>
          <w:lang w:val="en-US" w:eastAsia="zh-CN"/>
        </w:rPr>
        <w:t>0.0799</w:t>
      </w:r>
      <w:r>
        <w:rPr>
          <w:rFonts w:hint="default" w:ascii="Times New Roman" w:hAnsi="Times New Roman" w:cs="Times New Roman"/>
        </w:rPr>
        <w:t>t/a。</w:t>
      </w:r>
    </w:p>
    <w:p w14:paraId="3DE38855">
      <w:pPr>
        <w:bidi w:val="0"/>
        <w:rPr>
          <w:rFonts w:hint="default"/>
        </w:rPr>
      </w:pPr>
      <w:r>
        <w:rPr>
          <w:rFonts w:hint="default"/>
        </w:rPr>
        <w:t>（4）臭气处理措施</w:t>
      </w:r>
    </w:p>
    <w:p w14:paraId="789CEE2B">
      <w:pPr>
        <w:bidi w:val="0"/>
        <w:rPr>
          <w:rFonts w:hint="default"/>
        </w:rPr>
      </w:pPr>
      <w:r>
        <w:rPr>
          <w:rFonts w:hint="default"/>
        </w:rPr>
        <w:t>本项目</w:t>
      </w:r>
      <w:r>
        <w:rPr>
          <w:rFonts w:hint="eastAsia"/>
          <w:lang w:val="en-US" w:eastAsia="zh-CN"/>
        </w:rPr>
        <w:t>集水池、调节池、厌氧流化床、缺氧池、消化池、污泥池均</w:t>
      </w:r>
      <w:r>
        <w:rPr>
          <w:rFonts w:hint="default"/>
        </w:rPr>
        <w:t>设置为</w:t>
      </w:r>
      <w:r>
        <w:rPr>
          <w:rFonts w:hint="eastAsia"/>
          <w:lang w:val="en-US" w:eastAsia="zh-CN"/>
        </w:rPr>
        <w:t>密闭式池体</w:t>
      </w:r>
      <w:r>
        <w:rPr>
          <w:rFonts w:hint="default"/>
        </w:rPr>
        <w:t>，然后废气采用密闭管道进行收集</w:t>
      </w:r>
      <w:r>
        <w:rPr>
          <w:rFonts w:hint="eastAsia"/>
          <w:lang w:eastAsia="zh-CN"/>
        </w:rPr>
        <w:t>，</w:t>
      </w:r>
      <w:r>
        <w:rPr>
          <w:rFonts w:hint="eastAsia"/>
          <w:lang w:val="en-US" w:eastAsia="zh-CN"/>
        </w:rPr>
        <w:t>根据根据《主要污染物总量减排核算技术指南》采取管道</w:t>
      </w:r>
      <w:r>
        <w:rPr>
          <w:rFonts w:hint="default"/>
        </w:rPr>
        <w:t>收集效率取95%</w:t>
      </w:r>
      <w:r>
        <w:rPr>
          <w:rFonts w:hint="eastAsia"/>
          <w:lang w:eastAsia="zh-CN"/>
        </w:rPr>
        <w:t>；</w:t>
      </w:r>
      <w:r>
        <w:rPr>
          <w:rFonts w:hint="eastAsia"/>
          <w:lang w:val="en-US" w:eastAsia="zh-CN"/>
        </w:rPr>
        <w:t>隔油初沉池对池体加盖抽风，参考《主要污染物总量减排核算技术指南》中半密闭集气罩的收集效率，</w:t>
      </w:r>
      <w:r>
        <w:rPr>
          <w:rFonts w:hint="default"/>
        </w:rPr>
        <w:t>取65%</w:t>
      </w:r>
      <w:r>
        <w:rPr>
          <w:rFonts w:hint="eastAsia"/>
          <w:lang w:eastAsia="zh-CN"/>
        </w:rPr>
        <w:t>；</w:t>
      </w:r>
      <w:r>
        <w:rPr>
          <w:rFonts w:hint="default"/>
        </w:rPr>
        <w:t>污泥脱水</w:t>
      </w:r>
      <w:r>
        <w:rPr>
          <w:rFonts w:hint="eastAsia"/>
          <w:lang w:val="en-US" w:eastAsia="zh-CN"/>
        </w:rPr>
        <w:t>区域</w:t>
      </w:r>
      <w:r>
        <w:rPr>
          <w:rFonts w:hint="default"/>
        </w:rPr>
        <w:t>采用集气罩进行收集，</w:t>
      </w:r>
      <w:r>
        <w:rPr>
          <w:rFonts w:hint="eastAsia"/>
          <w:lang w:val="en-US" w:eastAsia="zh-CN"/>
        </w:rPr>
        <w:t>根据《主要污染物总量减排核算技术指南》中</w:t>
      </w:r>
      <w:r>
        <w:rPr>
          <w:rFonts w:hint="default"/>
        </w:rPr>
        <w:t>收集效率取</w:t>
      </w:r>
      <w:r>
        <w:rPr>
          <w:rFonts w:hint="eastAsia"/>
          <w:lang w:val="en-US" w:eastAsia="zh-CN"/>
        </w:rPr>
        <w:t>50</w:t>
      </w:r>
      <w:r>
        <w:rPr>
          <w:rFonts w:hint="default"/>
        </w:rPr>
        <w:t>%，收集后的臭气</w:t>
      </w:r>
      <w:r>
        <w:rPr>
          <w:rFonts w:hint="default"/>
          <w:shd w:val="clear"/>
        </w:rPr>
        <w:t>经一套“二级喷淋塔+</w:t>
      </w:r>
      <w:r>
        <w:rPr>
          <w:rFonts w:hint="eastAsia"/>
          <w:shd w:val="clear"/>
          <w:lang w:val="en-US" w:eastAsia="zh-CN"/>
        </w:rPr>
        <w:t>生物滤池</w:t>
      </w:r>
      <w:r>
        <w:rPr>
          <w:rFonts w:hint="default"/>
          <w:shd w:val="clear"/>
        </w:rPr>
        <w:t>”除臭</w:t>
      </w:r>
      <w:r>
        <w:rPr>
          <w:rFonts w:hint="default"/>
        </w:rPr>
        <w:t>系统处理后通过一根15m高排气筒(</w:t>
      </w:r>
      <w:r>
        <w:rPr>
          <w:rFonts w:hint="eastAsia"/>
          <w:lang w:eastAsia="zh-CN"/>
        </w:rPr>
        <w:t>DA001</w:t>
      </w:r>
      <w:r>
        <w:rPr>
          <w:rFonts w:hint="default"/>
        </w:rPr>
        <w:t>)排放，其他池体为无组织排放。</w:t>
      </w:r>
    </w:p>
    <w:p w14:paraId="2A281BD8">
      <w:pPr>
        <w:bidi w:val="0"/>
        <w:rPr>
          <w:rFonts w:hint="default"/>
        </w:rPr>
      </w:pPr>
      <w:r>
        <w:rPr>
          <w:rFonts w:hint="default"/>
        </w:rPr>
        <w:t>则臭气有组织和无组织排放情况如下：</w:t>
      </w:r>
    </w:p>
    <w:p w14:paraId="4160CD9C">
      <w:pPr>
        <w:pStyle w:val="39"/>
        <w:bidi w:val="0"/>
        <w:rPr>
          <w:rFonts w:hint="default"/>
        </w:rPr>
      </w:pPr>
      <w:r>
        <w:rPr>
          <w:rFonts w:hint="default"/>
        </w:rPr>
        <w:t>表4.</w:t>
      </w:r>
      <w:r>
        <w:rPr>
          <w:rFonts w:hint="eastAsia"/>
          <w:lang w:val="en-US" w:eastAsia="zh-CN"/>
        </w:rPr>
        <w:t>5</w:t>
      </w:r>
      <w:r>
        <w:rPr>
          <w:rFonts w:hint="default"/>
        </w:rPr>
        <w:t>-</w:t>
      </w:r>
      <w:r>
        <w:rPr>
          <w:rFonts w:hint="eastAsia"/>
          <w:lang w:val="en-US" w:eastAsia="zh-CN"/>
        </w:rPr>
        <w:t>3</w:t>
      </w:r>
      <w:r>
        <w:rPr>
          <w:rFonts w:hint="default"/>
        </w:rPr>
        <w:t xml:space="preserve">    运营期恶臭污染物</w:t>
      </w:r>
      <w:r>
        <w:rPr>
          <w:rFonts w:hint="eastAsia"/>
          <w:lang w:val="en-US" w:eastAsia="zh-CN"/>
        </w:rPr>
        <w:t>产生</w:t>
      </w:r>
      <w:r>
        <w:rPr>
          <w:rFonts w:hint="default"/>
        </w:rPr>
        <w:t>情况一览表</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99"/>
        <w:gridCol w:w="860"/>
        <w:gridCol w:w="855"/>
        <w:gridCol w:w="937"/>
        <w:gridCol w:w="942"/>
        <w:gridCol w:w="817"/>
        <w:gridCol w:w="829"/>
        <w:gridCol w:w="897"/>
        <w:gridCol w:w="1097"/>
      </w:tblGrid>
      <w:tr w14:paraId="01C586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659" w:type="pct"/>
            <w:vMerge w:val="restart"/>
            <w:tcBorders>
              <w:tl2br w:val="nil"/>
              <w:tr2bl w:val="nil"/>
            </w:tcBorders>
            <w:vAlign w:val="center"/>
          </w:tcPr>
          <w:p w14:paraId="50FB4FB9">
            <w:pPr>
              <w:pStyle w:val="42"/>
              <w:bidi w:val="0"/>
            </w:pPr>
            <w:r>
              <w:rPr>
                <w:rFonts w:hint="eastAsia"/>
                <w:lang w:val="en-US" w:eastAsia="zh-CN"/>
              </w:rPr>
              <w:t>构筑物名称</w:t>
            </w:r>
          </w:p>
        </w:tc>
        <w:tc>
          <w:tcPr>
            <w:tcW w:w="2156" w:type="pct"/>
            <w:gridSpan w:val="4"/>
            <w:tcBorders>
              <w:tl2br w:val="nil"/>
              <w:tr2bl w:val="nil"/>
            </w:tcBorders>
            <w:vAlign w:val="center"/>
          </w:tcPr>
          <w:p w14:paraId="565EABDA">
            <w:pPr>
              <w:pStyle w:val="42"/>
              <w:bidi w:val="0"/>
            </w:pPr>
            <w:r>
              <w:rPr>
                <w:rFonts w:hint="eastAsia"/>
                <w:lang w:val="en-US" w:eastAsia="zh-CN"/>
              </w:rPr>
              <w:t>氨排放形式（</w:t>
            </w:r>
            <w:r>
              <w:rPr>
                <w:lang w:val="en-US" w:eastAsia="zh-CN"/>
              </w:rPr>
              <w:t>t/a）</w:t>
            </w:r>
          </w:p>
        </w:tc>
        <w:tc>
          <w:tcPr>
            <w:tcW w:w="2183" w:type="pct"/>
            <w:gridSpan w:val="4"/>
            <w:tcBorders>
              <w:tl2br w:val="nil"/>
              <w:tr2bl w:val="nil"/>
            </w:tcBorders>
            <w:vAlign w:val="center"/>
          </w:tcPr>
          <w:p w14:paraId="51AB88EC">
            <w:pPr>
              <w:pStyle w:val="42"/>
              <w:bidi w:val="0"/>
            </w:pPr>
            <w:r>
              <w:rPr>
                <w:rFonts w:hint="eastAsia"/>
                <w:lang w:val="en-US" w:eastAsia="zh-CN"/>
              </w:rPr>
              <w:t>硫化氢排放形式（</w:t>
            </w:r>
            <w:r>
              <w:rPr>
                <w:lang w:val="en-US" w:eastAsia="zh-CN"/>
              </w:rPr>
              <w:t>t/a）</w:t>
            </w:r>
          </w:p>
        </w:tc>
      </w:tr>
      <w:tr w14:paraId="39F8C2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59" w:type="pct"/>
            <w:vMerge w:val="continue"/>
            <w:tcBorders>
              <w:tl2br w:val="nil"/>
              <w:tr2bl w:val="nil"/>
            </w:tcBorders>
            <w:vAlign w:val="center"/>
          </w:tcPr>
          <w:p w14:paraId="3555B177">
            <w:pPr>
              <w:pStyle w:val="42"/>
              <w:bidi w:val="0"/>
            </w:pPr>
          </w:p>
        </w:tc>
        <w:tc>
          <w:tcPr>
            <w:tcW w:w="1029" w:type="pct"/>
            <w:gridSpan w:val="2"/>
            <w:tcBorders>
              <w:tl2br w:val="nil"/>
              <w:tr2bl w:val="nil"/>
            </w:tcBorders>
            <w:vAlign w:val="center"/>
          </w:tcPr>
          <w:p w14:paraId="446C178B">
            <w:pPr>
              <w:pStyle w:val="42"/>
              <w:bidi w:val="0"/>
            </w:pPr>
            <w:r>
              <w:rPr>
                <w:rFonts w:hint="eastAsia"/>
                <w:lang w:val="en-US" w:eastAsia="zh-CN"/>
              </w:rPr>
              <w:t>产生量</w:t>
            </w:r>
          </w:p>
        </w:tc>
        <w:tc>
          <w:tcPr>
            <w:tcW w:w="562" w:type="pct"/>
            <w:tcBorders>
              <w:tl2br w:val="nil"/>
              <w:tr2bl w:val="nil"/>
            </w:tcBorders>
            <w:vAlign w:val="center"/>
          </w:tcPr>
          <w:p w14:paraId="78C7DC65">
            <w:pPr>
              <w:pStyle w:val="42"/>
              <w:bidi w:val="0"/>
            </w:pPr>
            <w:r>
              <w:rPr>
                <w:rFonts w:hint="eastAsia"/>
                <w:lang w:val="en-US" w:eastAsia="zh-CN"/>
              </w:rPr>
              <w:t>有组织</w:t>
            </w:r>
          </w:p>
        </w:tc>
        <w:tc>
          <w:tcPr>
            <w:tcW w:w="564" w:type="pct"/>
            <w:tcBorders>
              <w:tl2br w:val="nil"/>
              <w:tr2bl w:val="nil"/>
            </w:tcBorders>
            <w:vAlign w:val="center"/>
          </w:tcPr>
          <w:p w14:paraId="74D6C3C7">
            <w:pPr>
              <w:pStyle w:val="42"/>
              <w:bidi w:val="0"/>
            </w:pPr>
            <w:r>
              <w:rPr>
                <w:rFonts w:hint="eastAsia"/>
                <w:lang w:val="en-US" w:eastAsia="zh-CN"/>
              </w:rPr>
              <w:t>无组织</w:t>
            </w:r>
          </w:p>
        </w:tc>
        <w:tc>
          <w:tcPr>
            <w:tcW w:w="987" w:type="pct"/>
            <w:gridSpan w:val="2"/>
            <w:tcBorders>
              <w:tl2br w:val="nil"/>
              <w:tr2bl w:val="nil"/>
            </w:tcBorders>
            <w:vAlign w:val="center"/>
          </w:tcPr>
          <w:p w14:paraId="08E4EDA3">
            <w:pPr>
              <w:pStyle w:val="42"/>
              <w:bidi w:val="0"/>
            </w:pPr>
            <w:r>
              <w:rPr>
                <w:rFonts w:hint="eastAsia"/>
                <w:lang w:val="en-US" w:eastAsia="zh-CN"/>
              </w:rPr>
              <w:t>产生量</w:t>
            </w:r>
          </w:p>
        </w:tc>
        <w:tc>
          <w:tcPr>
            <w:tcW w:w="538" w:type="pct"/>
            <w:tcBorders>
              <w:tl2br w:val="nil"/>
              <w:tr2bl w:val="nil"/>
            </w:tcBorders>
            <w:vAlign w:val="center"/>
          </w:tcPr>
          <w:p w14:paraId="01BF7463">
            <w:pPr>
              <w:pStyle w:val="42"/>
              <w:bidi w:val="0"/>
            </w:pPr>
            <w:r>
              <w:rPr>
                <w:rFonts w:hint="eastAsia"/>
                <w:lang w:val="en-US" w:eastAsia="zh-CN"/>
              </w:rPr>
              <w:t>有组织</w:t>
            </w:r>
          </w:p>
        </w:tc>
        <w:tc>
          <w:tcPr>
            <w:tcW w:w="657" w:type="pct"/>
            <w:tcBorders>
              <w:tl2br w:val="nil"/>
              <w:tr2bl w:val="nil"/>
            </w:tcBorders>
            <w:vAlign w:val="center"/>
          </w:tcPr>
          <w:p w14:paraId="23B56D31">
            <w:pPr>
              <w:pStyle w:val="42"/>
              <w:bidi w:val="0"/>
            </w:pPr>
            <w:r>
              <w:rPr>
                <w:rFonts w:hint="eastAsia"/>
                <w:lang w:val="en-US" w:eastAsia="zh-CN"/>
              </w:rPr>
              <w:t>无组织</w:t>
            </w:r>
          </w:p>
        </w:tc>
      </w:tr>
      <w:tr w14:paraId="243EE8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59" w:type="pct"/>
            <w:tcBorders>
              <w:tl2br w:val="nil"/>
              <w:tr2bl w:val="nil"/>
            </w:tcBorders>
            <w:shd w:val="clear" w:color="auto" w:fill="auto"/>
            <w:vAlign w:val="center"/>
          </w:tcPr>
          <w:p w14:paraId="2CB81BF3">
            <w:pPr>
              <w:pStyle w:val="42"/>
              <w:bidi w:val="0"/>
              <w:rPr>
                <w:rFonts w:hint="eastAsia"/>
                <w:lang w:val="en-US" w:eastAsia="zh-CN"/>
              </w:rPr>
            </w:pPr>
            <w:r>
              <w:rPr>
                <w:rFonts w:hint="eastAsia"/>
                <w:lang w:val="en-US" w:eastAsia="zh-CN"/>
              </w:rPr>
              <w:t>集水池</w:t>
            </w:r>
          </w:p>
        </w:tc>
        <w:tc>
          <w:tcPr>
            <w:tcW w:w="516" w:type="pct"/>
            <w:tcBorders>
              <w:tl2br w:val="nil"/>
              <w:tr2bl w:val="nil"/>
            </w:tcBorders>
            <w:vAlign w:val="center"/>
          </w:tcPr>
          <w:p w14:paraId="00DC7A8E">
            <w:pPr>
              <w:pStyle w:val="42"/>
              <w:bidi w:val="0"/>
              <w:rPr>
                <w:rFonts w:hint="default"/>
                <w:lang w:val="en-US" w:eastAsia="zh-CN"/>
              </w:rPr>
            </w:pPr>
            <w:r>
              <w:rPr>
                <w:rFonts w:hint="default"/>
                <w:lang w:val="en-US" w:eastAsia="zh-CN"/>
              </w:rPr>
              <w:t>0.2549</w:t>
            </w:r>
          </w:p>
        </w:tc>
        <w:tc>
          <w:tcPr>
            <w:tcW w:w="513" w:type="pct"/>
            <w:vMerge w:val="restart"/>
            <w:tcBorders>
              <w:tl2br w:val="nil"/>
              <w:tr2bl w:val="nil"/>
            </w:tcBorders>
            <w:vAlign w:val="center"/>
          </w:tcPr>
          <w:p w14:paraId="625D4FFA">
            <w:pPr>
              <w:pStyle w:val="42"/>
              <w:bidi w:val="0"/>
            </w:pPr>
            <w:r>
              <w:rPr>
                <w:rFonts w:hint="default"/>
                <w:lang w:val="en-US" w:eastAsia="zh-CN"/>
              </w:rPr>
              <w:t>2.2899</w:t>
            </w:r>
          </w:p>
        </w:tc>
        <w:tc>
          <w:tcPr>
            <w:tcW w:w="562" w:type="pct"/>
            <w:vMerge w:val="restart"/>
            <w:tcBorders>
              <w:tl2br w:val="nil"/>
              <w:tr2bl w:val="nil"/>
            </w:tcBorders>
            <w:vAlign w:val="center"/>
          </w:tcPr>
          <w:p w14:paraId="4FED9F01">
            <w:pPr>
              <w:pStyle w:val="42"/>
              <w:bidi w:val="0"/>
            </w:pPr>
            <w:r>
              <w:rPr>
                <w:rFonts w:hint="default"/>
                <w:lang w:val="en-US" w:eastAsia="zh-CN"/>
              </w:rPr>
              <w:t>2.1754</w:t>
            </w:r>
          </w:p>
        </w:tc>
        <w:tc>
          <w:tcPr>
            <w:tcW w:w="564" w:type="pct"/>
            <w:vMerge w:val="restart"/>
            <w:tcBorders>
              <w:tl2br w:val="nil"/>
              <w:tr2bl w:val="nil"/>
            </w:tcBorders>
            <w:vAlign w:val="center"/>
          </w:tcPr>
          <w:p w14:paraId="76F524C3">
            <w:pPr>
              <w:pStyle w:val="42"/>
              <w:bidi w:val="0"/>
            </w:pPr>
            <w:r>
              <w:rPr>
                <w:rFonts w:hint="default"/>
                <w:lang w:val="en-US" w:eastAsia="zh-CN"/>
              </w:rPr>
              <w:t>0.1145</w:t>
            </w:r>
          </w:p>
        </w:tc>
        <w:tc>
          <w:tcPr>
            <w:tcW w:w="490" w:type="pct"/>
            <w:tcBorders>
              <w:tl2br w:val="nil"/>
              <w:tr2bl w:val="nil"/>
            </w:tcBorders>
            <w:vAlign w:val="center"/>
          </w:tcPr>
          <w:p w14:paraId="39D19484">
            <w:pPr>
              <w:pStyle w:val="42"/>
              <w:bidi w:val="0"/>
            </w:pPr>
            <w:r>
              <w:rPr>
                <w:rFonts w:hint="default"/>
                <w:lang w:val="en-US" w:eastAsia="zh-CN"/>
              </w:rPr>
              <w:t>0.00045</w:t>
            </w:r>
          </w:p>
        </w:tc>
        <w:tc>
          <w:tcPr>
            <w:tcW w:w="497" w:type="pct"/>
            <w:vMerge w:val="restart"/>
            <w:tcBorders>
              <w:tl2br w:val="nil"/>
              <w:tr2bl w:val="nil"/>
            </w:tcBorders>
            <w:vAlign w:val="center"/>
          </w:tcPr>
          <w:p w14:paraId="44328763">
            <w:pPr>
              <w:pStyle w:val="42"/>
              <w:bidi w:val="0"/>
            </w:pPr>
            <w:r>
              <w:rPr>
                <w:rFonts w:hint="default"/>
                <w:lang w:val="en-US" w:eastAsia="zh-CN"/>
              </w:rPr>
              <w:t>0.00808</w:t>
            </w:r>
          </w:p>
        </w:tc>
        <w:tc>
          <w:tcPr>
            <w:tcW w:w="538" w:type="pct"/>
            <w:vMerge w:val="restart"/>
            <w:tcBorders>
              <w:tl2br w:val="nil"/>
              <w:tr2bl w:val="nil"/>
            </w:tcBorders>
            <w:vAlign w:val="center"/>
          </w:tcPr>
          <w:p w14:paraId="605C8D53">
            <w:pPr>
              <w:pStyle w:val="42"/>
              <w:bidi w:val="0"/>
            </w:pPr>
            <w:r>
              <w:rPr>
                <w:rFonts w:hint="default"/>
                <w:lang w:val="en-US" w:eastAsia="zh-CN"/>
              </w:rPr>
              <w:t>0.00767</w:t>
            </w:r>
          </w:p>
        </w:tc>
        <w:tc>
          <w:tcPr>
            <w:tcW w:w="657" w:type="pct"/>
            <w:vMerge w:val="restart"/>
            <w:tcBorders>
              <w:tl2br w:val="nil"/>
              <w:tr2bl w:val="nil"/>
            </w:tcBorders>
            <w:vAlign w:val="center"/>
          </w:tcPr>
          <w:p w14:paraId="4B94A304">
            <w:pPr>
              <w:pStyle w:val="42"/>
              <w:bidi w:val="0"/>
            </w:pPr>
            <w:r>
              <w:rPr>
                <w:rFonts w:hint="default"/>
                <w:lang w:val="en-US" w:eastAsia="zh-CN"/>
              </w:rPr>
              <w:t>0.00040</w:t>
            </w:r>
          </w:p>
        </w:tc>
      </w:tr>
      <w:tr w14:paraId="75A04D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720069FA">
            <w:pPr>
              <w:pStyle w:val="42"/>
              <w:bidi w:val="0"/>
              <w:rPr>
                <w:rFonts w:hint="default"/>
                <w:lang w:val="en-US" w:eastAsia="zh-CN"/>
              </w:rPr>
            </w:pPr>
            <w:r>
              <w:rPr>
                <w:rFonts w:hint="eastAsia"/>
                <w:lang w:val="en-US" w:eastAsia="zh-CN"/>
              </w:rPr>
              <w:t>储油池</w:t>
            </w:r>
          </w:p>
        </w:tc>
        <w:tc>
          <w:tcPr>
            <w:tcW w:w="516" w:type="pct"/>
            <w:tcBorders>
              <w:tl2br w:val="nil"/>
              <w:tr2bl w:val="nil"/>
            </w:tcBorders>
            <w:vAlign w:val="center"/>
          </w:tcPr>
          <w:p w14:paraId="3ECDF3A2">
            <w:pPr>
              <w:pStyle w:val="42"/>
              <w:bidi w:val="0"/>
              <w:rPr>
                <w:rFonts w:hint="default"/>
                <w:lang w:val="en-US" w:eastAsia="zh-CN"/>
              </w:rPr>
            </w:pPr>
            <w:r>
              <w:rPr>
                <w:rFonts w:hint="default"/>
                <w:lang w:val="en-US" w:eastAsia="zh-CN"/>
              </w:rPr>
              <w:t>0.1837</w:t>
            </w:r>
          </w:p>
        </w:tc>
        <w:tc>
          <w:tcPr>
            <w:tcW w:w="513" w:type="pct"/>
            <w:vMerge w:val="continue"/>
            <w:tcBorders>
              <w:tl2br w:val="nil"/>
              <w:tr2bl w:val="nil"/>
            </w:tcBorders>
            <w:vAlign w:val="center"/>
          </w:tcPr>
          <w:p w14:paraId="106582B2">
            <w:pPr>
              <w:pStyle w:val="42"/>
              <w:bidi w:val="0"/>
            </w:pPr>
          </w:p>
        </w:tc>
        <w:tc>
          <w:tcPr>
            <w:tcW w:w="562" w:type="pct"/>
            <w:vMerge w:val="continue"/>
            <w:tcBorders>
              <w:tl2br w:val="nil"/>
              <w:tr2bl w:val="nil"/>
            </w:tcBorders>
            <w:vAlign w:val="center"/>
          </w:tcPr>
          <w:p w14:paraId="31E9F4D9">
            <w:pPr>
              <w:pStyle w:val="42"/>
              <w:bidi w:val="0"/>
            </w:pPr>
          </w:p>
        </w:tc>
        <w:tc>
          <w:tcPr>
            <w:tcW w:w="564" w:type="pct"/>
            <w:vMerge w:val="continue"/>
            <w:tcBorders>
              <w:tl2br w:val="nil"/>
              <w:tr2bl w:val="nil"/>
            </w:tcBorders>
            <w:vAlign w:val="center"/>
          </w:tcPr>
          <w:p w14:paraId="1BDF3736">
            <w:pPr>
              <w:pStyle w:val="42"/>
              <w:bidi w:val="0"/>
            </w:pPr>
          </w:p>
        </w:tc>
        <w:tc>
          <w:tcPr>
            <w:tcW w:w="490" w:type="pct"/>
            <w:tcBorders>
              <w:tl2br w:val="nil"/>
              <w:tr2bl w:val="nil"/>
            </w:tcBorders>
            <w:vAlign w:val="center"/>
          </w:tcPr>
          <w:p w14:paraId="41ACB605">
            <w:pPr>
              <w:pStyle w:val="42"/>
              <w:bidi w:val="0"/>
            </w:pPr>
            <w:r>
              <w:rPr>
                <w:rFonts w:hint="default"/>
                <w:lang w:val="en-US" w:eastAsia="zh-CN"/>
              </w:rPr>
              <w:t>0.00039</w:t>
            </w:r>
          </w:p>
        </w:tc>
        <w:tc>
          <w:tcPr>
            <w:tcW w:w="497" w:type="pct"/>
            <w:vMerge w:val="continue"/>
            <w:tcBorders>
              <w:tl2br w:val="nil"/>
              <w:tr2bl w:val="nil"/>
            </w:tcBorders>
            <w:vAlign w:val="center"/>
          </w:tcPr>
          <w:p w14:paraId="631E32EB">
            <w:pPr>
              <w:pStyle w:val="42"/>
              <w:bidi w:val="0"/>
            </w:pPr>
          </w:p>
        </w:tc>
        <w:tc>
          <w:tcPr>
            <w:tcW w:w="538" w:type="pct"/>
            <w:vMerge w:val="continue"/>
            <w:tcBorders>
              <w:tl2br w:val="nil"/>
              <w:tr2bl w:val="nil"/>
            </w:tcBorders>
            <w:vAlign w:val="center"/>
          </w:tcPr>
          <w:p w14:paraId="0A6E0197">
            <w:pPr>
              <w:pStyle w:val="42"/>
              <w:bidi w:val="0"/>
            </w:pPr>
          </w:p>
        </w:tc>
        <w:tc>
          <w:tcPr>
            <w:tcW w:w="657" w:type="pct"/>
            <w:vMerge w:val="continue"/>
            <w:tcBorders>
              <w:tl2br w:val="nil"/>
              <w:tr2bl w:val="nil"/>
            </w:tcBorders>
            <w:vAlign w:val="center"/>
          </w:tcPr>
          <w:p w14:paraId="6F2E143A">
            <w:pPr>
              <w:pStyle w:val="42"/>
              <w:bidi w:val="0"/>
            </w:pPr>
          </w:p>
        </w:tc>
      </w:tr>
      <w:tr w14:paraId="27B3F1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18E17971">
            <w:pPr>
              <w:pStyle w:val="42"/>
              <w:bidi w:val="0"/>
              <w:rPr>
                <w:rFonts w:hint="default"/>
                <w:lang w:val="en-US" w:eastAsia="zh-CN"/>
              </w:rPr>
            </w:pPr>
            <w:r>
              <w:rPr>
                <w:rFonts w:hint="eastAsia"/>
                <w:lang w:val="en-US" w:eastAsia="zh-CN"/>
              </w:rPr>
              <w:t>调节池</w:t>
            </w:r>
          </w:p>
        </w:tc>
        <w:tc>
          <w:tcPr>
            <w:tcW w:w="516" w:type="pct"/>
            <w:tcBorders>
              <w:tl2br w:val="nil"/>
              <w:tr2bl w:val="nil"/>
            </w:tcBorders>
            <w:vAlign w:val="center"/>
          </w:tcPr>
          <w:p w14:paraId="609E7C0B">
            <w:pPr>
              <w:pStyle w:val="42"/>
              <w:bidi w:val="0"/>
              <w:rPr>
                <w:rFonts w:hint="default"/>
                <w:lang w:val="en-US" w:eastAsia="zh-CN"/>
              </w:rPr>
            </w:pPr>
            <w:r>
              <w:rPr>
                <w:rFonts w:hint="default"/>
                <w:lang w:val="en-US" w:eastAsia="zh-CN"/>
              </w:rPr>
              <w:t>1.6163</w:t>
            </w:r>
          </w:p>
        </w:tc>
        <w:tc>
          <w:tcPr>
            <w:tcW w:w="513" w:type="pct"/>
            <w:vMerge w:val="continue"/>
            <w:tcBorders>
              <w:tl2br w:val="nil"/>
              <w:tr2bl w:val="nil"/>
            </w:tcBorders>
            <w:vAlign w:val="center"/>
          </w:tcPr>
          <w:p w14:paraId="5FE15B96">
            <w:pPr>
              <w:pStyle w:val="42"/>
              <w:bidi w:val="0"/>
            </w:pPr>
          </w:p>
        </w:tc>
        <w:tc>
          <w:tcPr>
            <w:tcW w:w="562" w:type="pct"/>
            <w:vMerge w:val="continue"/>
            <w:tcBorders>
              <w:tl2br w:val="nil"/>
              <w:tr2bl w:val="nil"/>
            </w:tcBorders>
            <w:vAlign w:val="center"/>
          </w:tcPr>
          <w:p w14:paraId="305FDD5B">
            <w:pPr>
              <w:pStyle w:val="42"/>
              <w:bidi w:val="0"/>
            </w:pPr>
          </w:p>
        </w:tc>
        <w:tc>
          <w:tcPr>
            <w:tcW w:w="564" w:type="pct"/>
            <w:vMerge w:val="continue"/>
            <w:tcBorders>
              <w:tl2br w:val="nil"/>
              <w:tr2bl w:val="nil"/>
            </w:tcBorders>
            <w:vAlign w:val="center"/>
          </w:tcPr>
          <w:p w14:paraId="4E111FB9">
            <w:pPr>
              <w:pStyle w:val="42"/>
              <w:bidi w:val="0"/>
            </w:pPr>
          </w:p>
        </w:tc>
        <w:tc>
          <w:tcPr>
            <w:tcW w:w="490" w:type="pct"/>
            <w:tcBorders>
              <w:tl2br w:val="nil"/>
              <w:tr2bl w:val="nil"/>
            </w:tcBorders>
            <w:vAlign w:val="center"/>
          </w:tcPr>
          <w:p w14:paraId="2A7393E3">
            <w:pPr>
              <w:pStyle w:val="42"/>
              <w:bidi w:val="0"/>
            </w:pPr>
            <w:r>
              <w:rPr>
                <w:rFonts w:hint="default"/>
                <w:lang w:val="en-US" w:eastAsia="zh-CN"/>
              </w:rPr>
              <w:t>0.00339</w:t>
            </w:r>
          </w:p>
        </w:tc>
        <w:tc>
          <w:tcPr>
            <w:tcW w:w="497" w:type="pct"/>
            <w:vMerge w:val="continue"/>
            <w:tcBorders>
              <w:tl2br w:val="nil"/>
              <w:tr2bl w:val="nil"/>
            </w:tcBorders>
            <w:vAlign w:val="center"/>
          </w:tcPr>
          <w:p w14:paraId="12535EFC">
            <w:pPr>
              <w:pStyle w:val="42"/>
              <w:bidi w:val="0"/>
            </w:pPr>
          </w:p>
        </w:tc>
        <w:tc>
          <w:tcPr>
            <w:tcW w:w="538" w:type="pct"/>
            <w:vMerge w:val="continue"/>
            <w:tcBorders>
              <w:tl2br w:val="nil"/>
              <w:tr2bl w:val="nil"/>
            </w:tcBorders>
            <w:vAlign w:val="center"/>
          </w:tcPr>
          <w:p w14:paraId="25C39C5C">
            <w:pPr>
              <w:pStyle w:val="42"/>
              <w:bidi w:val="0"/>
            </w:pPr>
          </w:p>
        </w:tc>
        <w:tc>
          <w:tcPr>
            <w:tcW w:w="657" w:type="pct"/>
            <w:vMerge w:val="continue"/>
            <w:tcBorders>
              <w:tl2br w:val="nil"/>
              <w:tr2bl w:val="nil"/>
            </w:tcBorders>
            <w:vAlign w:val="center"/>
          </w:tcPr>
          <w:p w14:paraId="3E50A6D2">
            <w:pPr>
              <w:pStyle w:val="42"/>
              <w:bidi w:val="0"/>
            </w:pPr>
          </w:p>
        </w:tc>
      </w:tr>
      <w:tr w14:paraId="4F61B6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1D7C89CA">
            <w:pPr>
              <w:pStyle w:val="42"/>
              <w:bidi w:val="0"/>
              <w:rPr>
                <w:rFonts w:hint="default"/>
                <w:lang w:val="en-US" w:eastAsia="zh-CN"/>
              </w:rPr>
            </w:pPr>
            <w:r>
              <w:rPr>
                <w:rFonts w:hint="eastAsia"/>
                <w:lang w:val="en-US" w:eastAsia="zh-CN"/>
              </w:rPr>
              <w:t>应急池</w:t>
            </w:r>
          </w:p>
        </w:tc>
        <w:tc>
          <w:tcPr>
            <w:tcW w:w="516" w:type="pct"/>
            <w:tcBorders>
              <w:tl2br w:val="nil"/>
              <w:tr2bl w:val="nil"/>
            </w:tcBorders>
            <w:vAlign w:val="center"/>
          </w:tcPr>
          <w:p w14:paraId="5C57AD7A">
            <w:pPr>
              <w:pStyle w:val="42"/>
              <w:bidi w:val="0"/>
              <w:rPr>
                <w:rFonts w:hint="default"/>
                <w:lang w:val="en-US" w:eastAsia="zh-CN"/>
              </w:rPr>
            </w:pPr>
            <w:r>
              <w:rPr>
                <w:rFonts w:hint="default"/>
                <w:lang w:val="en-US" w:eastAsia="zh-CN"/>
              </w:rPr>
              <w:t>0.0078</w:t>
            </w:r>
          </w:p>
        </w:tc>
        <w:tc>
          <w:tcPr>
            <w:tcW w:w="513" w:type="pct"/>
            <w:vMerge w:val="continue"/>
            <w:tcBorders>
              <w:tl2br w:val="nil"/>
              <w:tr2bl w:val="nil"/>
            </w:tcBorders>
            <w:vAlign w:val="center"/>
          </w:tcPr>
          <w:p w14:paraId="0629AC89">
            <w:pPr>
              <w:pStyle w:val="42"/>
              <w:bidi w:val="0"/>
            </w:pPr>
          </w:p>
        </w:tc>
        <w:tc>
          <w:tcPr>
            <w:tcW w:w="562" w:type="pct"/>
            <w:vMerge w:val="continue"/>
            <w:tcBorders>
              <w:tl2br w:val="nil"/>
              <w:tr2bl w:val="nil"/>
            </w:tcBorders>
            <w:vAlign w:val="center"/>
          </w:tcPr>
          <w:p w14:paraId="418F5C17">
            <w:pPr>
              <w:pStyle w:val="42"/>
              <w:bidi w:val="0"/>
            </w:pPr>
          </w:p>
        </w:tc>
        <w:tc>
          <w:tcPr>
            <w:tcW w:w="564" w:type="pct"/>
            <w:vMerge w:val="continue"/>
            <w:tcBorders>
              <w:tl2br w:val="nil"/>
              <w:tr2bl w:val="nil"/>
            </w:tcBorders>
            <w:vAlign w:val="center"/>
          </w:tcPr>
          <w:p w14:paraId="617286D2">
            <w:pPr>
              <w:pStyle w:val="42"/>
              <w:bidi w:val="0"/>
            </w:pPr>
          </w:p>
        </w:tc>
        <w:tc>
          <w:tcPr>
            <w:tcW w:w="490" w:type="pct"/>
            <w:tcBorders>
              <w:tl2br w:val="nil"/>
              <w:tr2bl w:val="nil"/>
            </w:tcBorders>
            <w:vAlign w:val="center"/>
          </w:tcPr>
          <w:p w14:paraId="687400A6">
            <w:pPr>
              <w:pStyle w:val="42"/>
              <w:bidi w:val="0"/>
            </w:pPr>
            <w:r>
              <w:rPr>
                <w:rFonts w:hint="default"/>
                <w:lang w:val="en-US" w:eastAsia="zh-CN"/>
              </w:rPr>
              <w:t>0.00041</w:t>
            </w:r>
          </w:p>
        </w:tc>
        <w:tc>
          <w:tcPr>
            <w:tcW w:w="497" w:type="pct"/>
            <w:vMerge w:val="continue"/>
            <w:tcBorders>
              <w:tl2br w:val="nil"/>
              <w:tr2bl w:val="nil"/>
            </w:tcBorders>
            <w:vAlign w:val="center"/>
          </w:tcPr>
          <w:p w14:paraId="65D32D7D">
            <w:pPr>
              <w:pStyle w:val="42"/>
              <w:bidi w:val="0"/>
            </w:pPr>
          </w:p>
        </w:tc>
        <w:tc>
          <w:tcPr>
            <w:tcW w:w="538" w:type="pct"/>
            <w:vMerge w:val="continue"/>
            <w:tcBorders>
              <w:tl2br w:val="nil"/>
              <w:tr2bl w:val="nil"/>
            </w:tcBorders>
            <w:vAlign w:val="center"/>
          </w:tcPr>
          <w:p w14:paraId="5866D4D1">
            <w:pPr>
              <w:pStyle w:val="42"/>
              <w:bidi w:val="0"/>
            </w:pPr>
          </w:p>
        </w:tc>
        <w:tc>
          <w:tcPr>
            <w:tcW w:w="657" w:type="pct"/>
            <w:vMerge w:val="continue"/>
            <w:tcBorders>
              <w:tl2br w:val="nil"/>
              <w:tr2bl w:val="nil"/>
            </w:tcBorders>
            <w:vAlign w:val="center"/>
          </w:tcPr>
          <w:p w14:paraId="756DC9D5">
            <w:pPr>
              <w:pStyle w:val="42"/>
              <w:bidi w:val="0"/>
            </w:pPr>
          </w:p>
        </w:tc>
      </w:tr>
      <w:tr w14:paraId="0ACA6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07AE79E0">
            <w:pPr>
              <w:pStyle w:val="42"/>
              <w:bidi w:val="0"/>
              <w:rPr>
                <w:rFonts w:hint="eastAsia"/>
                <w:lang w:val="en-US" w:eastAsia="zh-CN"/>
              </w:rPr>
            </w:pPr>
            <w:r>
              <w:rPr>
                <w:rFonts w:hint="eastAsia"/>
                <w:lang w:val="en-US" w:eastAsia="zh-CN"/>
              </w:rPr>
              <w:t>厌氧流化床</w:t>
            </w:r>
          </w:p>
        </w:tc>
        <w:tc>
          <w:tcPr>
            <w:tcW w:w="516" w:type="pct"/>
            <w:tcBorders>
              <w:tl2br w:val="nil"/>
              <w:tr2bl w:val="nil"/>
            </w:tcBorders>
            <w:vAlign w:val="center"/>
          </w:tcPr>
          <w:p w14:paraId="2946B360">
            <w:pPr>
              <w:pStyle w:val="42"/>
              <w:bidi w:val="0"/>
              <w:rPr>
                <w:rFonts w:hint="default"/>
                <w:lang w:val="en-US" w:eastAsia="zh-CN"/>
              </w:rPr>
            </w:pPr>
            <w:r>
              <w:rPr>
                <w:rFonts w:hint="default"/>
                <w:lang w:val="en-US" w:eastAsia="zh-CN"/>
              </w:rPr>
              <w:t>0.0556</w:t>
            </w:r>
          </w:p>
        </w:tc>
        <w:tc>
          <w:tcPr>
            <w:tcW w:w="513" w:type="pct"/>
            <w:vMerge w:val="continue"/>
            <w:tcBorders>
              <w:tl2br w:val="nil"/>
              <w:tr2bl w:val="nil"/>
            </w:tcBorders>
            <w:vAlign w:val="center"/>
          </w:tcPr>
          <w:p w14:paraId="61128A1F">
            <w:pPr>
              <w:pStyle w:val="42"/>
              <w:bidi w:val="0"/>
            </w:pPr>
          </w:p>
        </w:tc>
        <w:tc>
          <w:tcPr>
            <w:tcW w:w="562" w:type="pct"/>
            <w:vMerge w:val="continue"/>
            <w:tcBorders>
              <w:tl2br w:val="nil"/>
              <w:tr2bl w:val="nil"/>
            </w:tcBorders>
            <w:vAlign w:val="center"/>
          </w:tcPr>
          <w:p w14:paraId="2F1A5275">
            <w:pPr>
              <w:pStyle w:val="42"/>
              <w:bidi w:val="0"/>
            </w:pPr>
          </w:p>
        </w:tc>
        <w:tc>
          <w:tcPr>
            <w:tcW w:w="564" w:type="pct"/>
            <w:vMerge w:val="continue"/>
            <w:tcBorders>
              <w:tl2br w:val="nil"/>
              <w:tr2bl w:val="nil"/>
            </w:tcBorders>
            <w:vAlign w:val="center"/>
          </w:tcPr>
          <w:p w14:paraId="73602368">
            <w:pPr>
              <w:pStyle w:val="42"/>
              <w:bidi w:val="0"/>
            </w:pPr>
          </w:p>
        </w:tc>
        <w:tc>
          <w:tcPr>
            <w:tcW w:w="490" w:type="pct"/>
            <w:tcBorders>
              <w:tl2br w:val="nil"/>
              <w:tr2bl w:val="nil"/>
            </w:tcBorders>
            <w:vAlign w:val="center"/>
          </w:tcPr>
          <w:p w14:paraId="2D42FF74">
            <w:pPr>
              <w:pStyle w:val="42"/>
              <w:bidi w:val="0"/>
            </w:pPr>
            <w:r>
              <w:rPr>
                <w:rFonts w:hint="default"/>
                <w:lang w:val="en-US" w:eastAsia="zh-CN"/>
              </w:rPr>
              <w:t>0.00295</w:t>
            </w:r>
          </w:p>
        </w:tc>
        <w:tc>
          <w:tcPr>
            <w:tcW w:w="497" w:type="pct"/>
            <w:vMerge w:val="continue"/>
            <w:tcBorders>
              <w:tl2br w:val="nil"/>
              <w:tr2bl w:val="nil"/>
            </w:tcBorders>
            <w:vAlign w:val="center"/>
          </w:tcPr>
          <w:p w14:paraId="4F0D57E6">
            <w:pPr>
              <w:pStyle w:val="42"/>
              <w:bidi w:val="0"/>
            </w:pPr>
          </w:p>
        </w:tc>
        <w:tc>
          <w:tcPr>
            <w:tcW w:w="538" w:type="pct"/>
            <w:vMerge w:val="continue"/>
            <w:tcBorders>
              <w:tl2br w:val="nil"/>
              <w:tr2bl w:val="nil"/>
            </w:tcBorders>
            <w:vAlign w:val="center"/>
          </w:tcPr>
          <w:p w14:paraId="51BC5B0A">
            <w:pPr>
              <w:pStyle w:val="42"/>
              <w:bidi w:val="0"/>
            </w:pPr>
          </w:p>
        </w:tc>
        <w:tc>
          <w:tcPr>
            <w:tcW w:w="657" w:type="pct"/>
            <w:vMerge w:val="continue"/>
            <w:tcBorders>
              <w:tl2br w:val="nil"/>
              <w:tr2bl w:val="nil"/>
            </w:tcBorders>
            <w:vAlign w:val="center"/>
          </w:tcPr>
          <w:p w14:paraId="60863EAE">
            <w:pPr>
              <w:pStyle w:val="42"/>
              <w:bidi w:val="0"/>
            </w:pPr>
          </w:p>
        </w:tc>
      </w:tr>
      <w:tr w14:paraId="7B326A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6AD67C27">
            <w:pPr>
              <w:pStyle w:val="42"/>
              <w:bidi w:val="0"/>
              <w:rPr>
                <w:rFonts w:hint="default"/>
                <w:lang w:val="en-US" w:eastAsia="zh-CN"/>
              </w:rPr>
            </w:pPr>
            <w:r>
              <w:rPr>
                <w:rFonts w:hint="eastAsia"/>
                <w:lang w:val="en-US" w:eastAsia="zh-CN"/>
              </w:rPr>
              <w:t>缺氧池</w:t>
            </w:r>
          </w:p>
        </w:tc>
        <w:tc>
          <w:tcPr>
            <w:tcW w:w="516" w:type="pct"/>
            <w:tcBorders>
              <w:tl2br w:val="nil"/>
              <w:tr2bl w:val="nil"/>
            </w:tcBorders>
            <w:vAlign w:val="center"/>
          </w:tcPr>
          <w:p w14:paraId="48B97A55">
            <w:pPr>
              <w:pStyle w:val="42"/>
              <w:bidi w:val="0"/>
              <w:rPr>
                <w:rFonts w:hint="default"/>
                <w:lang w:val="en-US" w:eastAsia="zh-CN"/>
              </w:rPr>
            </w:pPr>
            <w:r>
              <w:rPr>
                <w:rFonts w:hint="default"/>
                <w:lang w:val="en-US" w:eastAsia="zh-CN"/>
              </w:rPr>
              <w:t>0.0052</w:t>
            </w:r>
          </w:p>
        </w:tc>
        <w:tc>
          <w:tcPr>
            <w:tcW w:w="513" w:type="pct"/>
            <w:vMerge w:val="continue"/>
            <w:tcBorders>
              <w:tl2br w:val="nil"/>
              <w:tr2bl w:val="nil"/>
            </w:tcBorders>
            <w:vAlign w:val="center"/>
          </w:tcPr>
          <w:p w14:paraId="36B3716E">
            <w:pPr>
              <w:pStyle w:val="42"/>
              <w:bidi w:val="0"/>
            </w:pPr>
          </w:p>
        </w:tc>
        <w:tc>
          <w:tcPr>
            <w:tcW w:w="562" w:type="pct"/>
            <w:vMerge w:val="continue"/>
            <w:tcBorders>
              <w:tl2br w:val="nil"/>
              <w:tr2bl w:val="nil"/>
            </w:tcBorders>
            <w:vAlign w:val="center"/>
          </w:tcPr>
          <w:p w14:paraId="24A5A33E">
            <w:pPr>
              <w:pStyle w:val="42"/>
              <w:bidi w:val="0"/>
            </w:pPr>
          </w:p>
        </w:tc>
        <w:tc>
          <w:tcPr>
            <w:tcW w:w="564" w:type="pct"/>
            <w:vMerge w:val="continue"/>
            <w:tcBorders>
              <w:tl2br w:val="nil"/>
              <w:tr2bl w:val="nil"/>
            </w:tcBorders>
            <w:vAlign w:val="center"/>
          </w:tcPr>
          <w:p w14:paraId="613B72D5">
            <w:pPr>
              <w:pStyle w:val="42"/>
              <w:bidi w:val="0"/>
            </w:pPr>
          </w:p>
        </w:tc>
        <w:tc>
          <w:tcPr>
            <w:tcW w:w="490" w:type="pct"/>
            <w:tcBorders>
              <w:tl2br w:val="nil"/>
              <w:tr2bl w:val="nil"/>
            </w:tcBorders>
            <w:vAlign w:val="center"/>
          </w:tcPr>
          <w:p w14:paraId="1BCC4DA2">
            <w:pPr>
              <w:pStyle w:val="42"/>
              <w:bidi w:val="0"/>
            </w:pPr>
            <w:r>
              <w:rPr>
                <w:rFonts w:hint="default"/>
                <w:lang w:val="en-US" w:eastAsia="zh-CN"/>
              </w:rPr>
              <w:t>0.00027</w:t>
            </w:r>
          </w:p>
        </w:tc>
        <w:tc>
          <w:tcPr>
            <w:tcW w:w="497" w:type="pct"/>
            <w:vMerge w:val="continue"/>
            <w:tcBorders>
              <w:tl2br w:val="nil"/>
              <w:tr2bl w:val="nil"/>
            </w:tcBorders>
            <w:vAlign w:val="center"/>
          </w:tcPr>
          <w:p w14:paraId="50A9A2FA">
            <w:pPr>
              <w:pStyle w:val="42"/>
              <w:bidi w:val="0"/>
            </w:pPr>
          </w:p>
        </w:tc>
        <w:tc>
          <w:tcPr>
            <w:tcW w:w="538" w:type="pct"/>
            <w:vMerge w:val="continue"/>
            <w:tcBorders>
              <w:tl2br w:val="nil"/>
              <w:tr2bl w:val="nil"/>
            </w:tcBorders>
            <w:vAlign w:val="center"/>
          </w:tcPr>
          <w:p w14:paraId="794726D6">
            <w:pPr>
              <w:pStyle w:val="42"/>
              <w:bidi w:val="0"/>
            </w:pPr>
          </w:p>
        </w:tc>
        <w:tc>
          <w:tcPr>
            <w:tcW w:w="657" w:type="pct"/>
            <w:vMerge w:val="continue"/>
            <w:tcBorders>
              <w:tl2br w:val="nil"/>
              <w:tr2bl w:val="nil"/>
            </w:tcBorders>
            <w:vAlign w:val="center"/>
          </w:tcPr>
          <w:p w14:paraId="10672F16">
            <w:pPr>
              <w:pStyle w:val="42"/>
              <w:bidi w:val="0"/>
            </w:pPr>
          </w:p>
        </w:tc>
      </w:tr>
      <w:tr w14:paraId="2F7E62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24693F64">
            <w:pPr>
              <w:pStyle w:val="42"/>
              <w:bidi w:val="0"/>
              <w:rPr>
                <w:rFonts w:hint="eastAsia"/>
                <w:lang w:val="en-US" w:eastAsia="zh-CN"/>
              </w:rPr>
            </w:pPr>
            <w:r>
              <w:rPr>
                <w:rFonts w:hint="eastAsia"/>
                <w:lang w:val="en-US" w:eastAsia="zh-CN"/>
              </w:rPr>
              <w:t>消化池</w:t>
            </w:r>
          </w:p>
        </w:tc>
        <w:tc>
          <w:tcPr>
            <w:tcW w:w="516" w:type="pct"/>
            <w:tcBorders>
              <w:tl2br w:val="nil"/>
              <w:tr2bl w:val="nil"/>
            </w:tcBorders>
            <w:vAlign w:val="center"/>
          </w:tcPr>
          <w:p w14:paraId="244A2238">
            <w:pPr>
              <w:pStyle w:val="42"/>
              <w:bidi w:val="0"/>
              <w:rPr>
                <w:rFonts w:hint="default"/>
                <w:lang w:val="en-US" w:eastAsia="zh-CN"/>
              </w:rPr>
            </w:pPr>
            <w:r>
              <w:rPr>
                <w:rFonts w:hint="default"/>
                <w:lang w:val="en-US" w:eastAsia="zh-CN"/>
              </w:rPr>
              <w:t>0.0033</w:t>
            </w:r>
          </w:p>
        </w:tc>
        <w:tc>
          <w:tcPr>
            <w:tcW w:w="513" w:type="pct"/>
            <w:vMerge w:val="continue"/>
            <w:tcBorders>
              <w:tl2br w:val="nil"/>
              <w:tr2bl w:val="nil"/>
            </w:tcBorders>
            <w:vAlign w:val="center"/>
          </w:tcPr>
          <w:p w14:paraId="2228E6CF">
            <w:pPr>
              <w:pStyle w:val="42"/>
              <w:bidi w:val="0"/>
            </w:pPr>
          </w:p>
        </w:tc>
        <w:tc>
          <w:tcPr>
            <w:tcW w:w="562" w:type="pct"/>
            <w:vMerge w:val="continue"/>
            <w:tcBorders>
              <w:tl2br w:val="nil"/>
              <w:tr2bl w:val="nil"/>
            </w:tcBorders>
            <w:vAlign w:val="center"/>
          </w:tcPr>
          <w:p w14:paraId="6AE7062B">
            <w:pPr>
              <w:pStyle w:val="42"/>
              <w:bidi w:val="0"/>
            </w:pPr>
          </w:p>
        </w:tc>
        <w:tc>
          <w:tcPr>
            <w:tcW w:w="564" w:type="pct"/>
            <w:vMerge w:val="continue"/>
            <w:tcBorders>
              <w:tl2br w:val="nil"/>
              <w:tr2bl w:val="nil"/>
            </w:tcBorders>
            <w:vAlign w:val="center"/>
          </w:tcPr>
          <w:p w14:paraId="7704DFC8">
            <w:pPr>
              <w:pStyle w:val="42"/>
              <w:bidi w:val="0"/>
            </w:pPr>
          </w:p>
        </w:tc>
        <w:tc>
          <w:tcPr>
            <w:tcW w:w="490" w:type="pct"/>
            <w:tcBorders>
              <w:tl2br w:val="nil"/>
              <w:tr2bl w:val="nil"/>
            </w:tcBorders>
            <w:vAlign w:val="center"/>
          </w:tcPr>
          <w:p w14:paraId="03A3FB1B">
            <w:pPr>
              <w:pStyle w:val="42"/>
              <w:bidi w:val="0"/>
            </w:pPr>
            <w:r>
              <w:rPr>
                <w:rFonts w:hint="default"/>
                <w:lang w:val="en-US" w:eastAsia="zh-CN"/>
              </w:rPr>
              <w:t>0.00017</w:t>
            </w:r>
          </w:p>
        </w:tc>
        <w:tc>
          <w:tcPr>
            <w:tcW w:w="497" w:type="pct"/>
            <w:vMerge w:val="continue"/>
            <w:tcBorders>
              <w:tl2br w:val="nil"/>
              <w:tr2bl w:val="nil"/>
            </w:tcBorders>
            <w:vAlign w:val="center"/>
          </w:tcPr>
          <w:p w14:paraId="4F48DAD3">
            <w:pPr>
              <w:pStyle w:val="42"/>
              <w:bidi w:val="0"/>
            </w:pPr>
          </w:p>
        </w:tc>
        <w:tc>
          <w:tcPr>
            <w:tcW w:w="538" w:type="pct"/>
            <w:vMerge w:val="continue"/>
            <w:tcBorders>
              <w:tl2br w:val="nil"/>
              <w:tr2bl w:val="nil"/>
            </w:tcBorders>
            <w:vAlign w:val="center"/>
          </w:tcPr>
          <w:p w14:paraId="261CE0FB">
            <w:pPr>
              <w:pStyle w:val="42"/>
              <w:bidi w:val="0"/>
            </w:pPr>
          </w:p>
        </w:tc>
        <w:tc>
          <w:tcPr>
            <w:tcW w:w="657" w:type="pct"/>
            <w:vMerge w:val="continue"/>
            <w:tcBorders>
              <w:tl2br w:val="nil"/>
              <w:tr2bl w:val="nil"/>
            </w:tcBorders>
            <w:vAlign w:val="center"/>
          </w:tcPr>
          <w:p w14:paraId="11E43662">
            <w:pPr>
              <w:pStyle w:val="42"/>
              <w:bidi w:val="0"/>
            </w:pPr>
          </w:p>
        </w:tc>
      </w:tr>
      <w:tr w14:paraId="5237F8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5F16412A">
            <w:pPr>
              <w:pStyle w:val="42"/>
              <w:bidi w:val="0"/>
              <w:rPr>
                <w:rFonts w:hint="eastAsia"/>
                <w:lang w:val="en-US" w:eastAsia="zh-CN"/>
              </w:rPr>
            </w:pPr>
            <w:r>
              <w:rPr>
                <w:rFonts w:hint="eastAsia"/>
                <w:lang w:val="en-US" w:eastAsia="zh-CN"/>
              </w:rPr>
              <w:t>污泥池</w:t>
            </w:r>
          </w:p>
        </w:tc>
        <w:tc>
          <w:tcPr>
            <w:tcW w:w="516" w:type="pct"/>
            <w:tcBorders>
              <w:tl2br w:val="nil"/>
              <w:tr2bl w:val="nil"/>
            </w:tcBorders>
            <w:vAlign w:val="center"/>
          </w:tcPr>
          <w:p w14:paraId="49DEB700">
            <w:pPr>
              <w:pStyle w:val="42"/>
              <w:bidi w:val="0"/>
              <w:rPr>
                <w:rFonts w:hint="default"/>
                <w:lang w:val="en-US" w:eastAsia="zh-CN"/>
              </w:rPr>
            </w:pPr>
            <w:r>
              <w:rPr>
                <w:rFonts w:hint="default"/>
                <w:lang w:val="en-US" w:eastAsia="zh-CN"/>
              </w:rPr>
              <w:t>0.1633</w:t>
            </w:r>
          </w:p>
        </w:tc>
        <w:tc>
          <w:tcPr>
            <w:tcW w:w="513" w:type="pct"/>
            <w:vMerge w:val="continue"/>
            <w:tcBorders>
              <w:bottom w:val="single" w:color="auto" w:sz="4" w:space="0"/>
              <w:tl2br w:val="nil"/>
              <w:tr2bl w:val="nil"/>
            </w:tcBorders>
            <w:vAlign w:val="center"/>
          </w:tcPr>
          <w:p w14:paraId="41EB6FA0">
            <w:pPr>
              <w:pStyle w:val="42"/>
              <w:bidi w:val="0"/>
            </w:pPr>
          </w:p>
        </w:tc>
        <w:tc>
          <w:tcPr>
            <w:tcW w:w="562" w:type="pct"/>
            <w:vMerge w:val="continue"/>
            <w:tcBorders>
              <w:bottom w:val="single" w:color="auto" w:sz="4" w:space="0"/>
              <w:tl2br w:val="nil"/>
              <w:tr2bl w:val="nil"/>
            </w:tcBorders>
            <w:vAlign w:val="center"/>
          </w:tcPr>
          <w:p w14:paraId="1EC2C5D6">
            <w:pPr>
              <w:pStyle w:val="42"/>
              <w:bidi w:val="0"/>
            </w:pPr>
          </w:p>
        </w:tc>
        <w:tc>
          <w:tcPr>
            <w:tcW w:w="564" w:type="pct"/>
            <w:vMerge w:val="continue"/>
            <w:tcBorders>
              <w:bottom w:val="single" w:color="auto" w:sz="4" w:space="0"/>
              <w:tl2br w:val="nil"/>
              <w:tr2bl w:val="nil"/>
            </w:tcBorders>
            <w:vAlign w:val="center"/>
          </w:tcPr>
          <w:p w14:paraId="38E6ABB3">
            <w:pPr>
              <w:pStyle w:val="42"/>
              <w:bidi w:val="0"/>
            </w:pPr>
          </w:p>
        </w:tc>
        <w:tc>
          <w:tcPr>
            <w:tcW w:w="490" w:type="pct"/>
            <w:tcBorders>
              <w:tl2br w:val="nil"/>
              <w:tr2bl w:val="nil"/>
            </w:tcBorders>
            <w:vAlign w:val="center"/>
          </w:tcPr>
          <w:p w14:paraId="206B927A">
            <w:pPr>
              <w:pStyle w:val="42"/>
              <w:bidi w:val="0"/>
            </w:pPr>
            <w:r>
              <w:rPr>
                <w:rFonts w:hint="default"/>
                <w:lang w:val="en-US" w:eastAsia="zh-CN"/>
              </w:rPr>
              <w:t>0.00005</w:t>
            </w:r>
          </w:p>
        </w:tc>
        <w:tc>
          <w:tcPr>
            <w:tcW w:w="497" w:type="pct"/>
            <w:vMerge w:val="continue"/>
            <w:tcBorders>
              <w:bottom w:val="single" w:color="auto" w:sz="4" w:space="0"/>
              <w:tl2br w:val="nil"/>
              <w:tr2bl w:val="nil"/>
            </w:tcBorders>
            <w:vAlign w:val="center"/>
          </w:tcPr>
          <w:p w14:paraId="03C8BA2B">
            <w:pPr>
              <w:pStyle w:val="42"/>
              <w:bidi w:val="0"/>
            </w:pPr>
          </w:p>
        </w:tc>
        <w:tc>
          <w:tcPr>
            <w:tcW w:w="538" w:type="pct"/>
            <w:vMerge w:val="continue"/>
            <w:tcBorders>
              <w:bottom w:val="single" w:color="auto" w:sz="4" w:space="0"/>
              <w:tl2br w:val="nil"/>
              <w:tr2bl w:val="nil"/>
            </w:tcBorders>
            <w:vAlign w:val="center"/>
          </w:tcPr>
          <w:p w14:paraId="797199D9">
            <w:pPr>
              <w:pStyle w:val="42"/>
              <w:bidi w:val="0"/>
            </w:pPr>
          </w:p>
        </w:tc>
        <w:tc>
          <w:tcPr>
            <w:tcW w:w="657" w:type="pct"/>
            <w:vMerge w:val="continue"/>
            <w:tcBorders>
              <w:bottom w:val="single" w:color="auto" w:sz="4" w:space="0"/>
              <w:tl2br w:val="nil"/>
              <w:tr2bl w:val="nil"/>
            </w:tcBorders>
            <w:vAlign w:val="center"/>
          </w:tcPr>
          <w:p w14:paraId="0E7D75F3">
            <w:pPr>
              <w:pStyle w:val="42"/>
              <w:bidi w:val="0"/>
            </w:pPr>
          </w:p>
        </w:tc>
      </w:tr>
      <w:tr w14:paraId="629F73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07EF63C1">
            <w:pPr>
              <w:pStyle w:val="42"/>
              <w:bidi w:val="0"/>
              <w:rPr>
                <w:rFonts w:hint="eastAsia"/>
                <w:lang w:val="en-US" w:eastAsia="zh-CN"/>
              </w:rPr>
            </w:pPr>
            <w:r>
              <w:rPr>
                <w:rFonts w:hint="eastAsia"/>
                <w:lang w:val="en-US" w:eastAsia="zh-CN"/>
              </w:rPr>
              <w:t>隔油初沉池</w:t>
            </w:r>
          </w:p>
        </w:tc>
        <w:tc>
          <w:tcPr>
            <w:tcW w:w="1029" w:type="pct"/>
            <w:gridSpan w:val="2"/>
            <w:tcBorders>
              <w:tl2br w:val="nil"/>
              <w:tr2bl w:val="nil"/>
            </w:tcBorders>
            <w:shd w:val="clear" w:color="auto" w:fill="auto"/>
            <w:vAlign w:val="center"/>
          </w:tcPr>
          <w:p w14:paraId="3BAFB8B6">
            <w:pPr>
              <w:pStyle w:val="42"/>
              <w:bidi w:val="0"/>
            </w:pPr>
            <w:r>
              <w:rPr>
                <w:rFonts w:hint="default"/>
                <w:lang w:val="en-US" w:eastAsia="zh-CN"/>
              </w:rPr>
              <w:t>0.4322</w:t>
            </w:r>
          </w:p>
        </w:tc>
        <w:tc>
          <w:tcPr>
            <w:tcW w:w="562" w:type="pct"/>
            <w:tcBorders>
              <w:top w:val="single" w:color="auto" w:sz="4" w:space="0"/>
              <w:bottom w:val="single" w:color="auto" w:sz="4" w:space="0"/>
              <w:tl2br w:val="nil"/>
              <w:tr2bl w:val="nil"/>
            </w:tcBorders>
            <w:vAlign w:val="center"/>
          </w:tcPr>
          <w:p w14:paraId="04594C5A">
            <w:pPr>
              <w:pStyle w:val="42"/>
              <w:bidi w:val="0"/>
            </w:pPr>
            <w:r>
              <w:rPr>
                <w:rFonts w:hint="default"/>
                <w:lang w:val="en-US" w:eastAsia="zh-CN"/>
              </w:rPr>
              <w:t>0.2809</w:t>
            </w:r>
          </w:p>
        </w:tc>
        <w:tc>
          <w:tcPr>
            <w:tcW w:w="564" w:type="pct"/>
            <w:tcBorders>
              <w:top w:val="single" w:color="auto" w:sz="4" w:space="0"/>
              <w:bottom w:val="single" w:color="auto" w:sz="4" w:space="0"/>
              <w:tl2br w:val="nil"/>
              <w:tr2bl w:val="nil"/>
            </w:tcBorders>
            <w:vAlign w:val="center"/>
          </w:tcPr>
          <w:p w14:paraId="68BFB050">
            <w:pPr>
              <w:pStyle w:val="42"/>
              <w:bidi w:val="0"/>
            </w:pPr>
            <w:r>
              <w:rPr>
                <w:rFonts w:hint="default"/>
                <w:lang w:val="en-US" w:eastAsia="zh-CN"/>
              </w:rPr>
              <w:t>0.1513</w:t>
            </w:r>
          </w:p>
        </w:tc>
        <w:tc>
          <w:tcPr>
            <w:tcW w:w="987" w:type="pct"/>
            <w:gridSpan w:val="2"/>
            <w:tcBorders>
              <w:tl2br w:val="nil"/>
              <w:tr2bl w:val="nil"/>
            </w:tcBorders>
            <w:vAlign w:val="center"/>
          </w:tcPr>
          <w:p w14:paraId="38DCFA98">
            <w:pPr>
              <w:pStyle w:val="42"/>
              <w:bidi w:val="0"/>
            </w:pPr>
            <w:r>
              <w:rPr>
                <w:rFonts w:hint="default"/>
                <w:lang w:val="en-US" w:eastAsia="zh-CN"/>
              </w:rPr>
              <w:t>0.00091</w:t>
            </w:r>
          </w:p>
        </w:tc>
        <w:tc>
          <w:tcPr>
            <w:tcW w:w="538" w:type="pct"/>
            <w:tcBorders>
              <w:top w:val="single" w:color="auto" w:sz="4" w:space="0"/>
              <w:bottom w:val="single" w:color="auto" w:sz="4" w:space="0"/>
              <w:tl2br w:val="nil"/>
              <w:tr2bl w:val="nil"/>
            </w:tcBorders>
            <w:vAlign w:val="center"/>
          </w:tcPr>
          <w:p w14:paraId="51CC6902">
            <w:pPr>
              <w:pStyle w:val="42"/>
              <w:bidi w:val="0"/>
            </w:pPr>
            <w:r>
              <w:rPr>
                <w:rFonts w:hint="default"/>
                <w:lang w:val="en-US" w:eastAsia="zh-CN"/>
              </w:rPr>
              <w:t>0.00059</w:t>
            </w:r>
          </w:p>
        </w:tc>
        <w:tc>
          <w:tcPr>
            <w:tcW w:w="657" w:type="pct"/>
            <w:tcBorders>
              <w:top w:val="single" w:color="auto" w:sz="4" w:space="0"/>
              <w:bottom w:val="single" w:color="auto" w:sz="4" w:space="0"/>
              <w:tl2br w:val="nil"/>
              <w:tr2bl w:val="nil"/>
            </w:tcBorders>
            <w:vAlign w:val="center"/>
          </w:tcPr>
          <w:p w14:paraId="0A30CC4B">
            <w:pPr>
              <w:pStyle w:val="42"/>
              <w:bidi w:val="0"/>
            </w:pPr>
            <w:r>
              <w:rPr>
                <w:rFonts w:hint="default"/>
                <w:lang w:val="en-US" w:eastAsia="zh-CN"/>
              </w:rPr>
              <w:t>0.00032</w:t>
            </w:r>
          </w:p>
        </w:tc>
      </w:tr>
      <w:tr w14:paraId="644E02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659" w:type="pct"/>
            <w:tcBorders>
              <w:tl2br w:val="nil"/>
              <w:tr2bl w:val="nil"/>
            </w:tcBorders>
            <w:shd w:val="clear" w:color="auto" w:fill="auto"/>
            <w:vAlign w:val="center"/>
          </w:tcPr>
          <w:p w14:paraId="3E0ABB42">
            <w:pPr>
              <w:pStyle w:val="42"/>
              <w:bidi w:val="0"/>
              <w:rPr>
                <w:rFonts w:hint="eastAsia"/>
                <w:lang w:val="en-US" w:eastAsia="zh-CN"/>
              </w:rPr>
            </w:pPr>
            <w:r>
              <w:rPr>
                <w:rFonts w:hint="eastAsia"/>
                <w:lang w:val="en-US" w:eastAsia="zh-CN"/>
              </w:rPr>
              <w:t>污泥脱水间</w:t>
            </w:r>
          </w:p>
        </w:tc>
        <w:tc>
          <w:tcPr>
            <w:tcW w:w="1029" w:type="pct"/>
            <w:gridSpan w:val="2"/>
            <w:tcBorders>
              <w:tl2br w:val="nil"/>
              <w:tr2bl w:val="nil"/>
            </w:tcBorders>
            <w:shd w:val="clear" w:color="auto" w:fill="auto"/>
            <w:vAlign w:val="center"/>
          </w:tcPr>
          <w:p w14:paraId="3DB726B4">
            <w:pPr>
              <w:pStyle w:val="42"/>
              <w:bidi w:val="0"/>
            </w:pPr>
            <w:r>
              <w:rPr>
                <w:rFonts w:hint="default"/>
                <w:lang w:val="en-US" w:eastAsia="zh-CN"/>
              </w:rPr>
              <w:t>0.0650</w:t>
            </w:r>
          </w:p>
        </w:tc>
        <w:tc>
          <w:tcPr>
            <w:tcW w:w="562" w:type="pct"/>
            <w:tcBorders>
              <w:top w:val="single" w:color="auto" w:sz="4" w:space="0"/>
              <w:bottom w:val="single" w:color="auto" w:sz="4" w:space="0"/>
              <w:tl2br w:val="nil"/>
              <w:tr2bl w:val="nil"/>
            </w:tcBorders>
            <w:vAlign w:val="center"/>
          </w:tcPr>
          <w:p w14:paraId="78E06413">
            <w:pPr>
              <w:pStyle w:val="42"/>
              <w:bidi w:val="0"/>
            </w:pPr>
            <w:r>
              <w:rPr>
                <w:rFonts w:hint="default"/>
                <w:lang w:val="en-US" w:eastAsia="zh-CN"/>
              </w:rPr>
              <w:t>0.0325</w:t>
            </w:r>
          </w:p>
        </w:tc>
        <w:tc>
          <w:tcPr>
            <w:tcW w:w="564" w:type="pct"/>
            <w:tcBorders>
              <w:top w:val="single" w:color="auto" w:sz="4" w:space="0"/>
              <w:bottom w:val="single" w:color="auto" w:sz="4" w:space="0"/>
              <w:tl2br w:val="nil"/>
              <w:tr2bl w:val="nil"/>
            </w:tcBorders>
            <w:vAlign w:val="center"/>
          </w:tcPr>
          <w:p w14:paraId="665AC2FB">
            <w:pPr>
              <w:pStyle w:val="42"/>
              <w:bidi w:val="0"/>
            </w:pPr>
            <w:r>
              <w:rPr>
                <w:rFonts w:hint="default"/>
                <w:lang w:val="en-US" w:eastAsia="zh-CN"/>
              </w:rPr>
              <w:t>0.0325</w:t>
            </w:r>
          </w:p>
        </w:tc>
        <w:tc>
          <w:tcPr>
            <w:tcW w:w="987" w:type="pct"/>
            <w:gridSpan w:val="2"/>
            <w:tcBorders>
              <w:tl2br w:val="nil"/>
              <w:tr2bl w:val="nil"/>
            </w:tcBorders>
            <w:vAlign w:val="center"/>
          </w:tcPr>
          <w:p w14:paraId="39952452">
            <w:pPr>
              <w:pStyle w:val="42"/>
              <w:bidi w:val="0"/>
            </w:pPr>
            <w:r>
              <w:rPr>
                <w:rFonts w:hint="default"/>
                <w:lang w:val="en-US" w:eastAsia="zh-CN"/>
              </w:rPr>
              <w:t>0.00002</w:t>
            </w:r>
          </w:p>
        </w:tc>
        <w:tc>
          <w:tcPr>
            <w:tcW w:w="538" w:type="pct"/>
            <w:tcBorders>
              <w:top w:val="single" w:color="auto" w:sz="4" w:space="0"/>
              <w:tl2br w:val="nil"/>
              <w:tr2bl w:val="nil"/>
            </w:tcBorders>
            <w:vAlign w:val="center"/>
          </w:tcPr>
          <w:p w14:paraId="1D7007A2">
            <w:pPr>
              <w:pStyle w:val="42"/>
              <w:bidi w:val="0"/>
            </w:pPr>
            <w:r>
              <w:rPr>
                <w:rFonts w:hint="default"/>
                <w:lang w:val="en-US" w:eastAsia="zh-CN"/>
              </w:rPr>
              <w:t>0.00001</w:t>
            </w:r>
          </w:p>
        </w:tc>
        <w:tc>
          <w:tcPr>
            <w:tcW w:w="657" w:type="pct"/>
            <w:tcBorders>
              <w:top w:val="single" w:color="auto" w:sz="4" w:space="0"/>
              <w:tl2br w:val="nil"/>
              <w:tr2bl w:val="nil"/>
            </w:tcBorders>
            <w:vAlign w:val="center"/>
          </w:tcPr>
          <w:p w14:paraId="449D31A7">
            <w:pPr>
              <w:pStyle w:val="42"/>
              <w:bidi w:val="0"/>
            </w:pPr>
            <w:r>
              <w:rPr>
                <w:rFonts w:hint="default"/>
                <w:lang w:val="en-US" w:eastAsia="zh-CN"/>
              </w:rPr>
              <w:t>0.00001</w:t>
            </w:r>
          </w:p>
        </w:tc>
      </w:tr>
      <w:tr w14:paraId="5F25E0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59" w:type="pct"/>
            <w:tcBorders>
              <w:tl2br w:val="nil"/>
              <w:tr2bl w:val="nil"/>
            </w:tcBorders>
            <w:shd w:val="clear" w:color="auto" w:fill="auto"/>
            <w:vAlign w:val="center"/>
          </w:tcPr>
          <w:p w14:paraId="2FC11644">
            <w:pPr>
              <w:pStyle w:val="42"/>
              <w:bidi w:val="0"/>
              <w:rPr>
                <w:rFonts w:hint="eastAsia"/>
                <w:lang w:val="en-US" w:eastAsia="zh-CN"/>
              </w:rPr>
            </w:pPr>
            <w:r>
              <w:rPr>
                <w:rFonts w:hint="eastAsia"/>
                <w:lang w:val="en-US" w:eastAsia="zh-CN"/>
              </w:rPr>
              <w:t>好氧池</w:t>
            </w:r>
          </w:p>
        </w:tc>
        <w:tc>
          <w:tcPr>
            <w:tcW w:w="1029" w:type="pct"/>
            <w:gridSpan w:val="2"/>
            <w:tcBorders>
              <w:tl2br w:val="nil"/>
              <w:tr2bl w:val="nil"/>
            </w:tcBorders>
            <w:vAlign w:val="center"/>
          </w:tcPr>
          <w:p w14:paraId="1D051352">
            <w:pPr>
              <w:pStyle w:val="42"/>
              <w:bidi w:val="0"/>
              <w:rPr>
                <w:rFonts w:hint="default"/>
                <w:lang w:val="en-US" w:eastAsia="zh-CN"/>
              </w:rPr>
            </w:pPr>
            <w:r>
              <w:rPr>
                <w:rFonts w:hint="default"/>
                <w:lang w:val="en-US" w:eastAsia="zh-CN"/>
              </w:rPr>
              <w:t>0.0033</w:t>
            </w:r>
          </w:p>
        </w:tc>
        <w:tc>
          <w:tcPr>
            <w:tcW w:w="562" w:type="pct"/>
            <w:tcBorders>
              <w:tl2br w:val="nil"/>
              <w:tr2bl w:val="nil"/>
            </w:tcBorders>
            <w:vAlign w:val="center"/>
          </w:tcPr>
          <w:p w14:paraId="402885EC">
            <w:pPr>
              <w:pStyle w:val="42"/>
              <w:bidi w:val="0"/>
            </w:pPr>
            <w:r>
              <w:rPr>
                <w:rFonts w:hint="default"/>
                <w:lang w:val="en-US" w:eastAsia="zh-CN"/>
              </w:rPr>
              <w:t>0.0000</w:t>
            </w:r>
          </w:p>
        </w:tc>
        <w:tc>
          <w:tcPr>
            <w:tcW w:w="564" w:type="pct"/>
            <w:tcBorders>
              <w:tl2br w:val="nil"/>
              <w:tr2bl w:val="nil"/>
            </w:tcBorders>
            <w:vAlign w:val="center"/>
          </w:tcPr>
          <w:p w14:paraId="5B4E8A23">
            <w:pPr>
              <w:pStyle w:val="42"/>
              <w:bidi w:val="0"/>
            </w:pPr>
            <w:r>
              <w:rPr>
                <w:rFonts w:hint="default"/>
                <w:lang w:val="en-US" w:eastAsia="zh-CN"/>
              </w:rPr>
              <w:t>0.0033</w:t>
            </w:r>
          </w:p>
        </w:tc>
        <w:tc>
          <w:tcPr>
            <w:tcW w:w="987" w:type="pct"/>
            <w:gridSpan w:val="2"/>
            <w:tcBorders>
              <w:tl2br w:val="nil"/>
              <w:tr2bl w:val="nil"/>
            </w:tcBorders>
            <w:vAlign w:val="center"/>
          </w:tcPr>
          <w:p w14:paraId="34395E3E">
            <w:pPr>
              <w:pStyle w:val="42"/>
              <w:bidi w:val="0"/>
            </w:pPr>
            <w:r>
              <w:rPr>
                <w:rFonts w:hint="default"/>
                <w:lang w:val="en-US" w:eastAsia="zh-CN"/>
              </w:rPr>
              <w:t>0.00017</w:t>
            </w:r>
          </w:p>
        </w:tc>
        <w:tc>
          <w:tcPr>
            <w:tcW w:w="538" w:type="pct"/>
            <w:tcBorders>
              <w:tl2br w:val="nil"/>
              <w:tr2bl w:val="nil"/>
            </w:tcBorders>
            <w:vAlign w:val="center"/>
          </w:tcPr>
          <w:p w14:paraId="66811219">
            <w:pPr>
              <w:pStyle w:val="42"/>
              <w:bidi w:val="0"/>
            </w:pPr>
            <w:r>
              <w:rPr>
                <w:rFonts w:hint="default"/>
                <w:lang w:val="en-US" w:eastAsia="zh-CN"/>
              </w:rPr>
              <w:t>0.00000</w:t>
            </w:r>
          </w:p>
        </w:tc>
        <w:tc>
          <w:tcPr>
            <w:tcW w:w="657" w:type="pct"/>
            <w:tcBorders>
              <w:tl2br w:val="nil"/>
              <w:tr2bl w:val="nil"/>
            </w:tcBorders>
            <w:vAlign w:val="center"/>
          </w:tcPr>
          <w:p w14:paraId="2BC0FCBA">
            <w:pPr>
              <w:pStyle w:val="42"/>
              <w:bidi w:val="0"/>
            </w:pPr>
            <w:r>
              <w:rPr>
                <w:rFonts w:hint="default"/>
                <w:lang w:val="en-US" w:eastAsia="zh-CN"/>
              </w:rPr>
              <w:t>0.00017</w:t>
            </w:r>
          </w:p>
        </w:tc>
      </w:tr>
      <w:tr w14:paraId="6F7F93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59" w:type="pct"/>
            <w:tcBorders>
              <w:tl2br w:val="nil"/>
              <w:tr2bl w:val="nil"/>
            </w:tcBorders>
            <w:shd w:val="clear" w:color="auto" w:fill="auto"/>
            <w:vAlign w:val="center"/>
          </w:tcPr>
          <w:p w14:paraId="347C363A">
            <w:pPr>
              <w:pStyle w:val="42"/>
              <w:bidi w:val="0"/>
              <w:rPr>
                <w:rFonts w:hint="eastAsia"/>
                <w:lang w:val="en-US" w:eastAsia="zh-CN"/>
              </w:rPr>
            </w:pPr>
            <w:r>
              <w:rPr>
                <w:rFonts w:hint="eastAsia"/>
                <w:lang w:val="en-US" w:eastAsia="zh-CN"/>
              </w:rPr>
              <w:t>好氧流化床</w:t>
            </w:r>
          </w:p>
        </w:tc>
        <w:tc>
          <w:tcPr>
            <w:tcW w:w="1029" w:type="pct"/>
            <w:gridSpan w:val="2"/>
            <w:tcBorders>
              <w:tl2br w:val="nil"/>
              <w:tr2bl w:val="nil"/>
            </w:tcBorders>
            <w:vAlign w:val="center"/>
          </w:tcPr>
          <w:p w14:paraId="2782F3C4">
            <w:pPr>
              <w:pStyle w:val="42"/>
              <w:bidi w:val="0"/>
            </w:pPr>
            <w:r>
              <w:rPr>
                <w:rFonts w:hint="default"/>
                <w:lang w:val="en-US" w:eastAsia="zh-CN"/>
              </w:rPr>
              <w:t>0.0128</w:t>
            </w:r>
          </w:p>
        </w:tc>
        <w:tc>
          <w:tcPr>
            <w:tcW w:w="562" w:type="pct"/>
            <w:tcBorders>
              <w:tl2br w:val="nil"/>
              <w:tr2bl w:val="nil"/>
            </w:tcBorders>
            <w:vAlign w:val="center"/>
          </w:tcPr>
          <w:p w14:paraId="2388CBC3">
            <w:pPr>
              <w:pStyle w:val="42"/>
              <w:bidi w:val="0"/>
            </w:pPr>
            <w:r>
              <w:rPr>
                <w:rFonts w:hint="default"/>
                <w:lang w:val="en-US" w:eastAsia="zh-CN"/>
              </w:rPr>
              <w:t>0.0000</w:t>
            </w:r>
          </w:p>
        </w:tc>
        <w:tc>
          <w:tcPr>
            <w:tcW w:w="564" w:type="pct"/>
            <w:tcBorders>
              <w:tl2br w:val="nil"/>
              <w:tr2bl w:val="nil"/>
            </w:tcBorders>
            <w:vAlign w:val="center"/>
          </w:tcPr>
          <w:p w14:paraId="36DCAF3A">
            <w:pPr>
              <w:pStyle w:val="42"/>
              <w:bidi w:val="0"/>
            </w:pPr>
            <w:r>
              <w:rPr>
                <w:rFonts w:hint="default"/>
                <w:lang w:val="en-US" w:eastAsia="zh-CN"/>
              </w:rPr>
              <w:t>0.0128</w:t>
            </w:r>
          </w:p>
        </w:tc>
        <w:tc>
          <w:tcPr>
            <w:tcW w:w="987" w:type="pct"/>
            <w:gridSpan w:val="2"/>
            <w:tcBorders>
              <w:tl2br w:val="nil"/>
              <w:tr2bl w:val="nil"/>
            </w:tcBorders>
            <w:vAlign w:val="center"/>
          </w:tcPr>
          <w:p w14:paraId="237D41C9">
            <w:pPr>
              <w:pStyle w:val="42"/>
              <w:bidi w:val="0"/>
            </w:pPr>
            <w:r>
              <w:rPr>
                <w:rFonts w:hint="default"/>
                <w:lang w:val="en-US" w:eastAsia="zh-CN"/>
              </w:rPr>
              <w:t>0.00068</w:t>
            </w:r>
          </w:p>
        </w:tc>
        <w:tc>
          <w:tcPr>
            <w:tcW w:w="538" w:type="pct"/>
            <w:tcBorders>
              <w:tl2br w:val="nil"/>
              <w:tr2bl w:val="nil"/>
            </w:tcBorders>
            <w:vAlign w:val="center"/>
          </w:tcPr>
          <w:p w14:paraId="3686DD26">
            <w:pPr>
              <w:pStyle w:val="42"/>
              <w:bidi w:val="0"/>
            </w:pPr>
            <w:r>
              <w:rPr>
                <w:rFonts w:hint="default"/>
                <w:lang w:val="en-US" w:eastAsia="zh-CN"/>
              </w:rPr>
              <w:t>0.00000</w:t>
            </w:r>
          </w:p>
        </w:tc>
        <w:tc>
          <w:tcPr>
            <w:tcW w:w="657" w:type="pct"/>
            <w:tcBorders>
              <w:tl2br w:val="nil"/>
              <w:tr2bl w:val="nil"/>
            </w:tcBorders>
            <w:vAlign w:val="center"/>
          </w:tcPr>
          <w:p w14:paraId="5218F22A">
            <w:pPr>
              <w:pStyle w:val="42"/>
              <w:bidi w:val="0"/>
            </w:pPr>
            <w:r>
              <w:rPr>
                <w:rFonts w:hint="default"/>
                <w:lang w:val="en-US" w:eastAsia="zh-CN"/>
              </w:rPr>
              <w:t>0.00068</w:t>
            </w:r>
          </w:p>
        </w:tc>
      </w:tr>
      <w:tr w14:paraId="0DE8CD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59" w:type="pct"/>
            <w:tcBorders>
              <w:tl2br w:val="nil"/>
              <w:tr2bl w:val="nil"/>
            </w:tcBorders>
            <w:shd w:val="clear" w:color="auto" w:fill="auto"/>
            <w:vAlign w:val="center"/>
          </w:tcPr>
          <w:p w14:paraId="75BDB1B2">
            <w:pPr>
              <w:pStyle w:val="42"/>
              <w:bidi w:val="0"/>
              <w:rPr>
                <w:rFonts w:hint="default"/>
                <w:lang w:val="en-US" w:eastAsia="zh-CN"/>
              </w:rPr>
            </w:pPr>
            <w:r>
              <w:rPr>
                <w:rFonts w:hint="eastAsia"/>
                <w:lang w:val="en-US" w:eastAsia="zh-CN"/>
              </w:rPr>
              <w:t>去磷池</w:t>
            </w:r>
          </w:p>
        </w:tc>
        <w:tc>
          <w:tcPr>
            <w:tcW w:w="1029" w:type="pct"/>
            <w:gridSpan w:val="2"/>
            <w:tcBorders>
              <w:tl2br w:val="nil"/>
              <w:tr2bl w:val="nil"/>
            </w:tcBorders>
            <w:vAlign w:val="center"/>
          </w:tcPr>
          <w:p w14:paraId="4A7E5491">
            <w:pPr>
              <w:pStyle w:val="42"/>
              <w:bidi w:val="0"/>
              <w:rPr>
                <w:rFonts w:hint="default"/>
                <w:lang w:val="en-US" w:eastAsia="zh-CN"/>
              </w:rPr>
            </w:pPr>
            <w:r>
              <w:rPr>
                <w:rFonts w:hint="default"/>
                <w:lang w:val="en-US" w:eastAsia="zh-CN"/>
              </w:rPr>
              <w:t>0.0110</w:t>
            </w:r>
          </w:p>
        </w:tc>
        <w:tc>
          <w:tcPr>
            <w:tcW w:w="562" w:type="pct"/>
            <w:tcBorders>
              <w:tl2br w:val="nil"/>
              <w:tr2bl w:val="nil"/>
            </w:tcBorders>
            <w:vAlign w:val="center"/>
          </w:tcPr>
          <w:p w14:paraId="7B3B7297">
            <w:pPr>
              <w:pStyle w:val="42"/>
              <w:bidi w:val="0"/>
            </w:pPr>
            <w:r>
              <w:rPr>
                <w:rFonts w:hint="default"/>
                <w:lang w:val="en-US" w:eastAsia="zh-CN"/>
              </w:rPr>
              <w:t>0.0000</w:t>
            </w:r>
          </w:p>
        </w:tc>
        <w:tc>
          <w:tcPr>
            <w:tcW w:w="564" w:type="pct"/>
            <w:tcBorders>
              <w:tl2br w:val="nil"/>
              <w:tr2bl w:val="nil"/>
            </w:tcBorders>
            <w:vAlign w:val="center"/>
          </w:tcPr>
          <w:p w14:paraId="0ED84FDF">
            <w:pPr>
              <w:pStyle w:val="42"/>
              <w:bidi w:val="0"/>
            </w:pPr>
            <w:r>
              <w:rPr>
                <w:rFonts w:hint="default"/>
                <w:lang w:val="en-US" w:eastAsia="zh-CN"/>
              </w:rPr>
              <w:t>0.0110</w:t>
            </w:r>
          </w:p>
        </w:tc>
        <w:tc>
          <w:tcPr>
            <w:tcW w:w="987" w:type="pct"/>
            <w:gridSpan w:val="2"/>
            <w:tcBorders>
              <w:tl2br w:val="nil"/>
              <w:tr2bl w:val="nil"/>
            </w:tcBorders>
            <w:vAlign w:val="center"/>
          </w:tcPr>
          <w:p w14:paraId="152C2AB7">
            <w:pPr>
              <w:pStyle w:val="42"/>
              <w:bidi w:val="0"/>
            </w:pPr>
            <w:r>
              <w:rPr>
                <w:rFonts w:hint="default"/>
                <w:lang w:val="en-US" w:eastAsia="zh-CN"/>
              </w:rPr>
              <w:t>0.00005</w:t>
            </w:r>
          </w:p>
        </w:tc>
        <w:tc>
          <w:tcPr>
            <w:tcW w:w="538" w:type="pct"/>
            <w:tcBorders>
              <w:tl2br w:val="nil"/>
              <w:tr2bl w:val="nil"/>
            </w:tcBorders>
            <w:vAlign w:val="center"/>
          </w:tcPr>
          <w:p w14:paraId="4E28BEDF">
            <w:pPr>
              <w:pStyle w:val="42"/>
              <w:bidi w:val="0"/>
            </w:pPr>
            <w:r>
              <w:rPr>
                <w:rFonts w:hint="default"/>
                <w:lang w:val="en-US" w:eastAsia="zh-CN"/>
              </w:rPr>
              <w:t>0.00000</w:t>
            </w:r>
          </w:p>
        </w:tc>
        <w:tc>
          <w:tcPr>
            <w:tcW w:w="657" w:type="pct"/>
            <w:tcBorders>
              <w:tl2br w:val="nil"/>
              <w:tr2bl w:val="nil"/>
            </w:tcBorders>
            <w:vAlign w:val="center"/>
          </w:tcPr>
          <w:p w14:paraId="3D734FC8">
            <w:pPr>
              <w:pStyle w:val="42"/>
              <w:bidi w:val="0"/>
            </w:pPr>
            <w:r>
              <w:rPr>
                <w:rFonts w:hint="default"/>
                <w:lang w:val="en-US" w:eastAsia="zh-CN"/>
              </w:rPr>
              <w:t>0.00005</w:t>
            </w:r>
          </w:p>
        </w:tc>
      </w:tr>
      <w:tr w14:paraId="691F69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659" w:type="pct"/>
            <w:tcBorders>
              <w:tl2br w:val="nil"/>
              <w:tr2bl w:val="nil"/>
            </w:tcBorders>
            <w:vAlign w:val="center"/>
          </w:tcPr>
          <w:p w14:paraId="57973836">
            <w:pPr>
              <w:pStyle w:val="42"/>
              <w:bidi w:val="0"/>
            </w:pPr>
            <w:r>
              <w:rPr>
                <w:rFonts w:hint="eastAsia"/>
                <w:lang w:val="en-US" w:eastAsia="zh-CN"/>
              </w:rPr>
              <w:t>合计</w:t>
            </w:r>
          </w:p>
        </w:tc>
        <w:tc>
          <w:tcPr>
            <w:tcW w:w="1029" w:type="pct"/>
            <w:gridSpan w:val="2"/>
            <w:tcBorders>
              <w:tl2br w:val="nil"/>
              <w:tr2bl w:val="nil"/>
            </w:tcBorders>
            <w:vAlign w:val="center"/>
          </w:tcPr>
          <w:p w14:paraId="04F3ED46">
            <w:pPr>
              <w:pStyle w:val="42"/>
              <w:bidi w:val="0"/>
            </w:pPr>
            <w:r>
              <w:rPr>
                <w:rFonts w:hint="default"/>
                <w:lang w:val="en-US" w:eastAsia="zh-CN"/>
              </w:rPr>
              <w:t>2.8142</w:t>
            </w:r>
          </w:p>
        </w:tc>
        <w:tc>
          <w:tcPr>
            <w:tcW w:w="562" w:type="pct"/>
            <w:tcBorders>
              <w:tl2br w:val="nil"/>
              <w:tr2bl w:val="nil"/>
            </w:tcBorders>
            <w:vAlign w:val="center"/>
          </w:tcPr>
          <w:p w14:paraId="0BB399B3">
            <w:pPr>
              <w:pStyle w:val="42"/>
              <w:bidi w:val="0"/>
            </w:pPr>
            <w:r>
              <w:rPr>
                <w:rFonts w:hint="default"/>
                <w:lang w:val="en-US" w:eastAsia="zh-CN"/>
              </w:rPr>
              <w:t>2.4888</w:t>
            </w:r>
          </w:p>
        </w:tc>
        <w:tc>
          <w:tcPr>
            <w:tcW w:w="564" w:type="pct"/>
            <w:tcBorders>
              <w:tl2br w:val="nil"/>
              <w:tr2bl w:val="nil"/>
            </w:tcBorders>
            <w:vAlign w:val="center"/>
          </w:tcPr>
          <w:p w14:paraId="4A6BB549">
            <w:pPr>
              <w:pStyle w:val="42"/>
              <w:bidi w:val="0"/>
            </w:pPr>
            <w:r>
              <w:rPr>
                <w:rFonts w:hint="default"/>
                <w:lang w:val="en-US" w:eastAsia="zh-CN"/>
              </w:rPr>
              <w:t>0.3253</w:t>
            </w:r>
          </w:p>
        </w:tc>
        <w:tc>
          <w:tcPr>
            <w:tcW w:w="987" w:type="pct"/>
            <w:gridSpan w:val="2"/>
            <w:tcBorders>
              <w:tl2br w:val="nil"/>
              <w:tr2bl w:val="nil"/>
            </w:tcBorders>
            <w:vAlign w:val="center"/>
          </w:tcPr>
          <w:p w14:paraId="0EF879E9">
            <w:pPr>
              <w:pStyle w:val="42"/>
              <w:bidi w:val="0"/>
            </w:pPr>
            <w:r>
              <w:rPr>
                <w:rFonts w:hint="default"/>
                <w:lang w:val="en-US" w:eastAsia="zh-CN"/>
              </w:rPr>
              <w:t>0.00990</w:t>
            </w:r>
          </w:p>
        </w:tc>
        <w:tc>
          <w:tcPr>
            <w:tcW w:w="538" w:type="pct"/>
            <w:tcBorders>
              <w:tl2br w:val="nil"/>
              <w:tr2bl w:val="nil"/>
            </w:tcBorders>
            <w:vAlign w:val="center"/>
          </w:tcPr>
          <w:p w14:paraId="51DFCE08">
            <w:pPr>
              <w:pStyle w:val="42"/>
              <w:bidi w:val="0"/>
            </w:pPr>
            <w:r>
              <w:rPr>
                <w:rFonts w:hint="default"/>
                <w:lang w:val="en-US" w:eastAsia="zh-CN"/>
              </w:rPr>
              <w:t>0.00827</w:t>
            </w:r>
          </w:p>
        </w:tc>
        <w:tc>
          <w:tcPr>
            <w:tcW w:w="657" w:type="pct"/>
            <w:tcBorders>
              <w:tl2br w:val="nil"/>
              <w:tr2bl w:val="nil"/>
            </w:tcBorders>
            <w:vAlign w:val="center"/>
          </w:tcPr>
          <w:p w14:paraId="149B5635">
            <w:pPr>
              <w:pStyle w:val="42"/>
              <w:bidi w:val="0"/>
            </w:pPr>
            <w:r>
              <w:rPr>
                <w:rFonts w:hint="eastAsia"/>
                <w:lang w:val="en-US" w:eastAsia="zh-CN"/>
              </w:rPr>
              <w:t>0.00163</w:t>
            </w:r>
          </w:p>
        </w:tc>
      </w:tr>
    </w:tbl>
    <w:p w14:paraId="3FFAFD9A">
      <w:pPr>
        <w:bidi w:val="0"/>
        <w:rPr>
          <w:rFonts w:hint="default"/>
          <w:highlight w:val="none"/>
        </w:rPr>
      </w:pPr>
      <w:r>
        <w:rPr>
          <w:rFonts w:hint="default"/>
          <w:highlight w:val="none"/>
        </w:rPr>
        <w:t>根据《城镇污水处理厂臭气处理技术规程》（CJJ/T243-2016），项目风机风量设计核算如下表。核算结果为</w:t>
      </w:r>
      <w:r>
        <w:rPr>
          <w:rFonts w:hint="eastAsia"/>
          <w:highlight w:val="none"/>
          <w:lang w:val="en-US" w:eastAsia="zh-CN"/>
        </w:rPr>
        <w:t>6182.8875</w:t>
      </w:r>
      <w:r>
        <w:rPr>
          <w:rFonts w:hint="default"/>
          <w:highlight w:val="none"/>
        </w:rPr>
        <w:t>m³/h，项目风机风量设计为</w:t>
      </w:r>
      <w:r>
        <w:rPr>
          <w:rFonts w:hint="eastAsia"/>
          <w:highlight w:val="none"/>
          <w:lang w:val="en-US" w:eastAsia="zh-CN"/>
        </w:rPr>
        <w:t>10000</w:t>
      </w:r>
      <w:r>
        <w:rPr>
          <w:rFonts w:hint="default"/>
          <w:highlight w:val="none"/>
        </w:rPr>
        <w:t>m³/h，满足《城镇污水处理厂臭气处理技术规程》（CJJ/T243-2016）要求。</w:t>
      </w:r>
    </w:p>
    <w:p w14:paraId="6462EA7B">
      <w:pPr>
        <w:pStyle w:val="39"/>
        <w:bidi w:val="0"/>
        <w:rPr>
          <w:rFonts w:hint="default"/>
        </w:rPr>
      </w:pPr>
      <w:r>
        <w:rPr>
          <w:rFonts w:hint="default"/>
        </w:rPr>
        <w:t>表 4.</w:t>
      </w:r>
      <w:r>
        <w:rPr>
          <w:rFonts w:hint="eastAsia"/>
          <w:lang w:val="en-US" w:eastAsia="zh-CN"/>
        </w:rPr>
        <w:t>5</w:t>
      </w:r>
      <w:r>
        <w:rPr>
          <w:rFonts w:hint="default"/>
        </w:rPr>
        <w:t>-</w:t>
      </w:r>
      <w:r>
        <w:rPr>
          <w:rFonts w:hint="eastAsia"/>
          <w:lang w:val="en-US" w:eastAsia="zh-CN"/>
        </w:rPr>
        <w:t>4</w:t>
      </w:r>
      <w:r>
        <w:rPr>
          <w:rFonts w:hint="default"/>
        </w:rPr>
        <w:t xml:space="preserve"> 本项目废气收集措施风量核算表</w:t>
      </w:r>
    </w:p>
    <w:tbl>
      <w:tblPr>
        <w:tblStyle w:val="3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52"/>
        <w:gridCol w:w="907"/>
        <w:gridCol w:w="1404"/>
        <w:gridCol w:w="1019"/>
        <w:gridCol w:w="1413"/>
        <w:gridCol w:w="1079"/>
        <w:gridCol w:w="1004"/>
        <w:gridCol w:w="1141"/>
      </w:tblGrid>
      <w:tr w14:paraId="283088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36" w:type="pct"/>
            <w:vMerge w:val="restart"/>
            <w:tcBorders>
              <w:top w:val="single" w:color="000000" w:sz="12" w:space="0"/>
              <w:left w:val="single" w:color="000000" w:sz="12" w:space="0"/>
              <w:bottom w:val="single" w:color="000000" w:sz="8" w:space="0"/>
              <w:right w:val="single" w:color="000000" w:sz="8" w:space="0"/>
            </w:tcBorders>
            <w:shd w:val="clear" w:color="auto" w:fill="auto"/>
            <w:vAlign w:val="center"/>
          </w:tcPr>
          <w:p w14:paraId="2350BB8D">
            <w:pPr>
              <w:pStyle w:val="42"/>
              <w:keepNext w:val="0"/>
              <w:keepLines w:val="0"/>
              <w:suppressLineNumbers w:val="0"/>
              <w:bidi w:val="0"/>
              <w:spacing w:before="0" w:beforeAutospacing="0" w:after="0" w:afterAutospacing="0"/>
              <w:rPr>
                <w:rFonts w:hint="eastAsia"/>
              </w:rPr>
            </w:pPr>
            <w:r>
              <w:rPr>
                <w:rFonts w:hint="eastAsia"/>
                <w:lang w:val="en-US" w:eastAsia="zh-CN"/>
              </w:rPr>
              <w:t>序号</w:t>
            </w:r>
          </w:p>
        </w:tc>
        <w:tc>
          <w:tcPr>
            <w:tcW w:w="1990" w:type="pct"/>
            <w:gridSpan w:val="3"/>
            <w:vMerge w:val="restart"/>
            <w:tcBorders>
              <w:top w:val="single" w:color="000000" w:sz="12" w:space="0"/>
              <w:left w:val="nil"/>
              <w:bottom w:val="single" w:color="000000" w:sz="8" w:space="0"/>
              <w:right w:val="single" w:color="000000" w:sz="8" w:space="0"/>
            </w:tcBorders>
            <w:shd w:val="clear" w:color="auto" w:fill="auto"/>
            <w:vAlign w:val="center"/>
          </w:tcPr>
          <w:p w14:paraId="1B012F15">
            <w:pPr>
              <w:pStyle w:val="42"/>
              <w:keepNext w:val="0"/>
              <w:keepLines w:val="0"/>
              <w:suppressLineNumbers w:val="0"/>
              <w:bidi w:val="0"/>
              <w:spacing w:before="0" w:beforeAutospacing="0" w:after="0" w:afterAutospacing="0"/>
              <w:rPr>
                <w:rFonts w:hint="eastAsia"/>
              </w:rPr>
            </w:pPr>
            <w:r>
              <w:rPr>
                <w:rFonts w:hint="eastAsia"/>
                <w:lang w:val="en-US" w:eastAsia="zh-CN"/>
              </w:rPr>
              <w:t>构筑物</w:t>
            </w:r>
          </w:p>
        </w:tc>
        <w:tc>
          <w:tcPr>
            <w:tcW w:w="841" w:type="pct"/>
            <w:vMerge w:val="restart"/>
            <w:tcBorders>
              <w:top w:val="single" w:color="000000" w:sz="12" w:space="0"/>
              <w:left w:val="nil"/>
              <w:bottom w:val="single" w:color="000000" w:sz="8" w:space="0"/>
              <w:right w:val="single" w:color="000000" w:sz="8" w:space="0"/>
            </w:tcBorders>
            <w:shd w:val="clear" w:color="auto" w:fill="auto"/>
            <w:vAlign w:val="center"/>
          </w:tcPr>
          <w:p w14:paraId="6AB0173A">
            <w:pPr>
              <w:pStyle w:val="42"/>
              <w:keepNext w:val="0"/>
              <w:keepLines w:val="0"/>
              <w:suppressLineNumbers w:val="0"/>
              <w:bidi w:val="0"/>
              <w:spacing w:before="0" w:beforeAutospacing="0" w:after="0" w:afterAutospacing="0"/>
              <w:rPr>
                <w:rFonts w:hint="eastAsia"/>
              </w:rPr>
            </w:pPr>
            <w:r>
              <w:rPr>
                <w:rFonts w:hint="eastAsia"/>
                <w:lang w:val="en-US" w:eastAsia="zh-CN"/>
              </w:rPr>
              <w:t>风量指标（m³/（m</w:t>
            </w:r>
            <w:r>
              <w:rPr>
                <w:rFonts w:hint="eastAsia"/>
                <w:vertAlign w:val="superscript"/>
                <w:lang w:val="en-US" w:eastAsia="zh-CN"/>
              </w:rPr>
              <w:t>2</w:t>
            </w:r>
            <w:r>
              <w:rPr>
                <w:rFonts w:hint="eastAsia"/>
                <w:lang w:val="en-US" w:eastAsia="zh-CN"/>
              </w:rPr>
              <w:t>·h）</w:t>
            </w:r>
          </w:p>
        </w:tc>
        <w:tc>
          <w:tcPr>
            <w:tcW w:w="645" w:type="pct"/>
            <w:vMerge w:val="restart"/>
            <w:tcBorders>
              <w:top w:val="single" w:color="000000" w:sz="12" w:space="0"/>
              <w:left w:val="nil"/>
              <w:bottom w:val="single" w:color="000000" w:sz="8" w:space="0"/>
              <w:right w:val="single" w:color="000000" w:sz="8" w:space="0"/>
            </w:tcBorders>
            <w:shd w:val="clear" w:color="auto" w:fill="auto"/>
            <w:vAlign w:val="center"/>
          </w:tcPr>
          <w:p w14:paraId="2F95EBF1">
            <w:pPr>
              <w:pStyle w:val="42"/>
              <w:keepNext w:val="0"/>
              <w:keepLines w:val="0"/>
              <w:suppressLineNumbers w:val="0"/>
              <w:bidi w:val="0"/>
              <w:spacing w:before="0" w:beforeAutospacing="0" w:after="0" w:afterAutospacing="0"/>
              <w:rPr>
                <w:rFonts w:hint="eastAsia"/>
              </w:rPr>
            </w:pPr>
            <w:r>
              <w:rPr>
                <w:rFonts w:hint="eastAsia"/>
                <w:lang w:val="en-US" w:eastAsia="zh-CN"/>
              </w:rPr>
              <w:t>换气次数（次</w:t>
            </w:r>
            <w:r>
              <w:rPr>
                <w:rFonts w:hint="default"/>
                <w:lang w:val="en-US" w:eastAsia="zh-CN"/>
              </w:rPr>
              <w:t>/h</w:t>
            </w:r>
            <w:r>
              <w:rPr>
                <w:rFonts w:hint="eastAsia"/>
                <w:lang w:val="en-US" w:eastAsia="zh-CN"/>
              </w:rPr>
              <w:t>）</w:t>
            </w:r>
          </w:p>
        </w:tc>
        <w:tc>
          <w:tcPr>
            <w:tcW w:w="1185" w:type="pct"/>
            <w:gridSpan w:val="2"/>
            <w:tcBorders>
              <w:top w:val="single" w:color="000000" w:sz="12" w:space="0"/>
              <w:left w:val="nil"/>
              <w:bottom w:val="single" w:color="000000" w:sz="8" w:space="0"/>
              <w:right w:val="single" w:color="000000" w:sz="12" w:space="0"/>
            </w:tcBorders>
            <w:shd w:val="clear" w:color="auto" w:fill="auto"/>
            <w:vAlign w:val="center"/>
          </w:tcPr>
          <w:p w14:paraId="7448AE19">
            <w:pPr>
              <w:pStyle w:val="42"/>
              <w:keepNext w:val="0"/>
              <w:keepLines w:val="0"/>
              <w:suppressLineNumbers w:val="0"/>
              <w:bidi w:val="0"/>
              <w:spacing w:before="0" w:beforeAutospacing="0" w:after="0" w:afterAutospacing="0"/>
              <w:rPr>
                <w:rFonts w:hint="eastAsia"/>
              </w:rPr>
            </w:pPr>
            <w:r>
              <w:rPr>
                <w:rFonts w:hint="eastAsia"/>
                <w:lang w:val="en-US" w:eastAsia="zh-CN"/>
              </w:rPr>
              <w:t>计算风量（m</w:t>
            </w:r>
            <w:r>
              <w:rPr>
                <w:rFonts w:hint="eastAsia"/>
                <w:vertAlign w:val="superscript"/>
                <w:lang w:val="en-US" w:eastAsia="zh-CN"/>
              </w:rPr>
              <w:t>3</w:t>
            </w:r>
            <w:r>
              <w:rPr>
                <w:rFonts w:hint="default"/>
                <w:lang w:val="en-US" w:eastAsia="zh-CN"/>
              </w:rPr>
              <w:t>/h</w:t>
            </w:r>
            <w:r>
              <w:rPr>
                <w:rFonts w:hint="eastAsia"/>
                <w:lang w:val="en-US" w:eastAsia="zh-CN"/>
              </w:rPr>
              <w:t>）</w:t>
            </w:r>
          </w:p>
        </w:tc>
      </w:tr>
      <w:tr w14:paraId="2D07C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36" w:type="pct"/>
            <w:vMerge w:val="continue"/>
            <w:tcBorders>
              <w:top w:val="single" w:color="000000" w:sz="12" w:space="0"/>
              <w:left w:val="single" w:color="000000" w:sz="12" w:space="0"/>
              <w:bottom w:val="single" w:color="000000" w:sz="8" w:space="0"/>
              <w:right w:val="single" w:color="000000" w:sz="8" w:space="0"/>
            </w:tcBorders>
            <w:shd w:val="clear" w:color="auto" w:fill="auto"/>
            <w:vAlign w:val="center"/>
          </w:tcPr>
          <w:p w14:paraId="3A71467F">
            <w:pPr>
              <w:pStyle w:val="42"/>
              <w:keepNext w:val="0"/>
              <w:keepLines w:val="0"/>
              <w:suppressLineNumbers w:val="0"/>
              <w:bidi w:val="0"/>
              <w:spacing w:before="0" w:beforeAutospacing="0" w:after="0" w:afterAutospacing="0"/>
              <w:rPr>
                <w:rFonts w:hint="eastAsia"/>
              </w:rPr>
            </w:pPr>
          </w:p>
        </w:tc>
        <w:tc>
          <w:tcPr>
            <w:tcW w:w="1990" w:type="pct"/>
            <w:gridSpan w:val="3"/>
            <w:vMerge w:val="continue"/>
            <w:tcBorders>
              <w:top w:val="single" w:color="000000" w:sz="12" w:space="0"/>
              <w:left w:val="nil"/>
              <w:bottom w:val="single" w:color="000000" w:sz="8" w:space="0"/>
              <w:right w:val="single" w:color="000000" w:sz="8" w:space="0"/>
            </w:tcBorders>
            <w:shd w:val="clear" w:color="auto" w:fill="auto"/>
            <w:vAlign w:val="center"/>
          </w:tcPr>
          <w:p w14:paraId="492B7401">
            <w:pPr>
              <w:pStyle w:val="42"/>
              <w:keepNext w:val="0"/>
              <w:keepLines w:val="0"/>
              <w:suppressLineNumbers w:val="0"/>
              <w:bidi w:val="0"/>
              <w:spacing w:before="0" w:beforeAutospacing="0" w:after="0" w:afterAutospacing="0"/>
              <w:rPr>
                <w:rFonts w:hint="eastAsia"/>
              </w:rPr>
            </w:pPr>
          </w:p>
        </w:tc>
        <w:tc>
          <w:tcPr>
            <w:tcW w:w="841" w:type="pct"/>
            <w:vMerge w:val="continue"/>
            <w:tcBorders>
              <w:top w:val="single" w:color="000000" w:sz="12" w:space="0"/>
              <w:left w:val="nil"/>
              <w:bottom w:val="single" w:color="000000" w:sz="8" w:space="0"/>
              <w:right w:val="single" w:color="000000" w:sz="8" w:space="0"/>
            </w:tcBorders>
            <w:shd w:val="clear" w:color="auto" w:fill="auto"/>
            <w:vAlign w:val="center"/>
          </w:tcPr>
          <w:p w14:paraId="39496DB2">
            <w:pPr>
              <w:pStyle w:val="42"/>
              <w:keepNext w:val="0"/>
              <w:keepLines w:val="0"/>
              <w:suppressLineNumbers w:val="0"/>
              <w:bidi w:val="0"/>
              <w:spacing w:before="0" w:beforeAutospacing="0" w:after="0" w:afterAutospacing="0"/>
              <w:rPr>
                <w:rFonts w:hint="eastAsia"/>
              </w:rPr>
            </w:pPr>
          </w:p>
        </w:tc>
        <w:tc>
          <w:tcPr>
            <w:tcW w:w="645" w:type="pct"/>
            <w:vMerge w:val="continue"/>
            <w:tcBorders>
              <w:top w:val="single" w:color="000000" w:sz="12" w:space="0"/>
              <w:left w:val="nil"/>
              <w:bottom w:val="single" w:color="000000" w:sz="8" w:space="0"/>
              <w:right w:val="single" w:color="000000" w:sz="8" w:space="0"/>
            </w:tcBorders>
            <w:shd w:val="clear" w:color="auto" w:fill="auto"/>
            <w:vAlign w:val="center"/>
          </w:tcPr>
          <w:p w14:paraId="726E14DB">
            <w:pPr>
              <w:pStyle w:val="42"/>
              <w:keepNext w:val="0"/>
              <w:keepLines w:val="0"/>
              <w:suppressLineNumbers w:val="0"/>
              <w:bidi w:val="0"/>
              <w:spacing w:before="0" w:beforeAutospacing="0" w:after="0" w:afterAutospacing="0"/>
              <w:rPr>
                <w:rFonts w:hint="eastAsia"/>
              </w:rPr>
            </w:pPr>
          </w:p>
        </w:tc>
        <w:tc>
          <w:tcPr>
            <w:tcW w:w="507" w:type="pct"/>
            <w:tcBorders>
              <w:top w:val="nil"/>
              <w:left w:val="nil"/>
              <w:bottom w:val="single" w:color="000000" w:sz="8" w:space="0"/>
              <w:right w:val="single" w:color="000000" w:sz="8" w:space="0"/>
            </w:tcBorders>
            <w:shd w:val="clear" w:color="auto" w:fill="auto"/>
            <w:vAlign w:val="center"/>
          </w:tcPr>
          <w:p w14:paraId="3D13DE02">
            <w:pPr>
              <w:pStyle w:val="42"/>
              <w:keepNext w:val="0"/>
              <w:keepLines w:val="0"/>
              <w:suppressLineNumbers w:val="0"/>
              <w:bidi w:val="0"/>
              <w:spacing w:before="0" w:beforeAutospacing="0" w:after="0" w:afterAutospacing="0"/>
              <w:rPr>
                <w:rFonts w:hint="eastAsia"/>
              </w:rPr>
            </w:pPr>
            <w:r>
              <w:rPr>
                <w:rFonts w:hint="eastAsia"/>
                <w:lang w:val="en-US" w:eastAsia="zh-CN"/>
              </w:rPr>
              <w:t>单体</w:t>
            </w:r>
          </w:p>
        </w:tc>
        <w:tc>
          <w:tcPr>
            <w:tcW w:w="677" w:type="pct"/>
            <w:tcBorders>
              <w:top w:val="single" w:color="000000" w:sz="8" w:space="0"/>
              <w:left w:val="nil"/>
              <w:bottom w:val="single" w:color="000000" w:sz="8" w:space="0"/>
              <w:right w:val="single" w:color="000000" w:sz="12" w:space="0"/>
            </w:tcBorders>
            <w:shd w:val="clear" w:color="auto" w:fill="auto"/>
            <w:vAlign w:val="center"/>
          </w:tcPr>
          <w:p w14:paraId="4BC8CA9C">
            <w:pPr>
              <w:pStyle w:val="42"/>
              <w:keepNext w:val="0"/>
              <w:keepLines w:val="0"/>
              <w:suppressLineNumbers w:val="0"/>
              <w:bidi w:val="0"/>
              <w:spacing w:before="0" w:beforeAutospacing="0" w:after="0" w:afterAutospacing="0"/>
              <w:rPr>
                <w:rFonts w:hint="eastAsia"/>
              </w:rPr>
            </w:pPr>
            <w:r>
              <w:rPr>
                <w:rFonts w:hint="eastAsia"/>
                <w:lang w:val="en-US" w:eastAsia="zh-CN"/>
              </w:rPr>
              <w:t>合计</w:t>
            </w:r>
          </w:p>
        </w:tc>
      </w:tr>
      <w:tr w14:paraId="59941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restart"/>
            <w:tcBorders>
              <w:top w:val="nil"/>
              <w:left w:val="single" w:color="000000" w:sz="12" w:space="0"/>
              <w:bottom w:val="single" w:color="000000" w:sz="8" w:space="0"/>
              <w:right w:val="single" w:color="000000" w:sz="8" w:space="0"/>
            </w:tcBorders>
            <w:shd w:val="clear" w:color="auto" w:fill="auto"/>
            <w:vAlign w:val="center"/>
          </w:tcPr>
          <w:p w14:paraId="4EE477CF">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544" w:type="pct"/>
            <w:vMerge w:val="restart"/>
            <w:tcBorders>
              <w:top w:val="nil"/>
              <w:left w:val="nil"/>
              <w:bottom w:val="single" w:color="000000" w:sz="8" w:space="0"/>
              <w:right w:val="single" w:color="000000" w:sz="8" w:space="0"/>
            </w:tcBorders>
            <w:shd w:val="clear" w:color="auto" w:fill="auto"/>
            <w:vAlign w:val="center"/>
          </w:tcPr>
          <w:p w14:paraId="1B8C1BE4">
            <w:pPr>
              <w:pStyle w:val="42"/>
              <w:keepNext w:val="0"/>
              <w:keepLines w:val="0"/>
              <w:suppressLineNumbers w:val="0"/>
              <w:bidi w:val="0"/>
              <w:spacing w:before="0" w:beforeAutospacing="0" w:after="0" w:afterAutospacing="0"/>
              <w:rPr>
                <w:rFonts w:hint="eastAsia"/>
              </w:rPr>
            </w:pPr>
            <w:r>
              <w:rPr>
                <w:rFonts w:hint="eastAsia"/>
                <w:lang w:val="en-US" w:eastAsia="zh-CN"/>
              </w:rPr>
              <w:t>集水池</w:t>
            </w:r>
          </w:p>
        </w:tc>
        <w:tc>
          <w:tcPr>
            <w:tcW w:w="836" w:type="pct"/>
            <w:tcBorders>
              <w:top w:val="nil"/>
              <w:left w:val="nil"/>
              <w:bottom w:val="single" w:color="000000" w:sz="8" w:space="0"/>
              <w:right w:val="single" w:color="000000" w:sz="8" w:space="0"/>
            </w:tcBorders>
            <w:shd w:val="clear" w:color="auto" w:fill="auto"/>
            <w:vAlign w:val="center"/>
          </w:tcPr>
          <w:p w14:paraId="05EA93CA">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56A2CB60">
            <w:pPr>
              <w:pStyle w:val="42"/>
              <w:keepNext w:val="0"/>
              <w:keepLines w:val="0"/>
              <w:suppressLineNumbers w:val="0"/>
              <w:bidi w:val="0"/>
              <w:spacing w:before="0" w:beforeAutospacing="0" w:after="0" w:afterAutospacing="0"/>
              <w:rPr>
                <w:rFonts w:hint="default"/>
              </w:rPr>
            </w:pPr>
            <w:r>
              <w:rPr>
                <w:rFonts w:hint="default"/>
                <w:lang w:val="en-US" w:eastAsia="zh-CN"/>
              </w:rPr>
              <w:t>13.25</w:t>
            </w:r>
          </w:p>
        </w:tc>
        <w:tc>
          <w:tcPr>
            <w:tcW w:w="841" w:type="pct"/>
            <w:tcBorders>
              <w:top w:val="nil"/>
              <w:left w:val="nil"/>
              <w:bottom w:val="single" w:color="000000" w:sz="8" w:space="0"/>
              <w:right w:val="single" w:color="000000" w:sz="8" w:space="0"/>
            </w:tcBorders>
            <w:shd w:val="clear" w:color="auto" w:fill="auto"/>
            <w:vAlign w:val="center"/>
          </w:tcPr>
          <w:p w14:paraId="6738A393">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645" w:type="pct"/>
            <w:tcBorders>
              <w:top w:val="nil"/>
              <w:left w:val="nil"/>
              <w:bottom w:val="single" w:color="000000" w:sz="8" w:space="0"/>
              <w:right w:val="single" w:color="000000" w:sz="8" w:space="0"/>
            </w:tcBorders>
            <w:shd w:val="clear" w:color="auto" w:fill="auto"/>
            <w:vAlign w:val="center"/>
          </w:tcPr>
          <w:p w14:paraId="3D45CB5E">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vMerge w:val="restart"/>
            <w:tcBorders>
              <w:top w:val="single" w:color="000000" w:sz="8" w:space="0"/>
              <w:left w:val="nil"/>
              <w:bottom w:val="single" w:color="000000" w:sz="8" w:space="0"/>
              <w:right w:val="single" w:color="000000" w:sz="8" w:space="0"/>
            </w:tcBorders>
            <w:shd w:val="clear" w:color="auto" w:fill="auto"/>
            <w:vAlign w:val="center"/>
          </w:tcPr>
          <w:p w14:paraId="3866B87B">
            <w:pPr>
              <w:pStyle w:val="42"/>
              <w:keepNext w:val="0"/>
              <w:keepLines w:val="0"/>
              <w:suppressLineNumbers w:val="0"/>
              <w:bidi w:val="0"/>
              <w:spacing w:before="0" w:beforeAutospacing="0" w:after="0" w:afterAutospacing="0"/>
              <w:rPr>
                <w:rFonts w:hint="default"/>
              </w:rPr>
            </w:pPr>
            <w:r>
              <w:rPr>
                <w:rFonts w:hint="default"/>
                <w:lang w:val="en-US" w:eastAsia="zh-CN"/>
              </w:rPr>
              <w:t>145.75</w:t>
            </w:r>
          </w:p>
        </w:tc>
        <w:tc>
          <w:tcPr>
            <w:tcW w:w="677" w:type="pct"/>
            <w:vMerge w:val="restart"/>
            <w:tcBorders>
              <w:top w:val="single" w:color="000000" w:sz="8" w:space="0"/>
              <w:left w:val="nil"/>
              <w:bottom w:val="single" w:color="000000" w:sz="8" w:space="0"/>
              <w:right w:val="single" w:color="000000" w:sz="12" w:space="0"/>
            </w:tcBorders>
            <w:shd w:val="clear" w:color="auto" w:fill="auto"/>
            <w:vAlign w:val="center"/>
          </w:tcPr>
          <w:p w14:paraId="5677D204">
            <w:pPr>
              <w:pStyle w:val="42"/>
              <w:keepNext w:val="0"/>
              <w:keepLines w:val="0"/>
              <w:suppressLineNumbers w:val="0"/>
              <w:bidi w:val="0"/>
              <w:spacing w:before="0" w:beforeAutospacing="0" w:after="0" w:afterAutospacing="0"/>
              <w:rPr>
                <w:rFonts w:hint="default"/>
              </w:rPr>
            </w:pPr>
            <w:r>
              <w:rPr>
                <w:rFonts w:hint="default"/>
                <w:lang w:val="en-US" w:eastAsia="zh-CN"/>
              </w:rPr>
              <w:t>6182.8875</w:t>
            </w:r>
          </w:p>
        </w:tc>
      </w:tr>
      <w:tr w14:paraId="167B6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continue"/>
            <w:tcBorders>
              <w:top w:val="nil"/>
              <w:left w:val="single" w:color="000000" w:sz="12" w:space="0"/>
              <w:bottom w:val="single" w:color="000000" w:sz="8" w:space="0"/>
              <w:right w:val="single" w:color="000000" w:sz="8" w:space="0"/>
            </w:tcBorders>
            <w:shd w:val="clear" w:color="auto" w:fill="auto"/>
            <w:vAlign w:val="center"/>
          </w:tcPr>
          <w:p w14:paraId="15C764CE">
            <w:pPr>
              <w:pStyle w:val="42"/>
              <w:keepNext w:val="0"/>
              <w:keepLines w:val="0"/>
              <w:suppressLineNumbers w:val="0"/>
              <w:bidi w:val="0"/>
              <w:spacing w:before="0" w:beforeAutospacing="0" w:after="0" w:afterAutospacing="0"/>
              <w:rPr>
                <w:rFonts w:hint="default"/>
              </w:rPr>
            </w:pPr>
          </w:p>
        </w:tc>
        <w:tc>
          <w:tcPr>
            <w:tcW w:w="544" w:type="pct"/>
            <w:vMerge w:val="continue"/>
            <w:tcBorders>
              <w:top w:val="nil"/>
              <w:left w:val="nil"/>
              <w:bottom w:val="single" w:color="000000" w:sz="8" w:space="0"/>
              <w:right w:val="single" w:color="000000" w:sz="8" w:space="0"/>
            </w:tcBorders>
            <w:shd w:val="clear" w:color="auto" w:fill="auto"/>
            <w:vAlign w:val="center"/>
          </w:tcPr>
          <w:p w14:paraId="59E35E55">
            <w:pPr>
              <w:pStyle w:val="42"/>
              <w:keepNext w:val="0"/>
              <w:keepLines w:val="0"/>
              <w:suppressLineNumbers w:val="0"/>
              <w:bidi w:val="0"/>
              <w:spacing w:before="0" w:beforeAutospacing="0" w:after="0" w:afterAutospacing="0"/>
              <w:rPr>
                <w:rFonts w:hint="eastAsia"/>
              </w:rPr>
            </w:pPr>
          </w:p>
        </w:tc>
        <w:tc>
          <w:tcPr>
            <w:tcW w:w="836" w:type="pct"/>
            <w:tcBorders>
              <w:top w:val="nil"/>
              <w:left w:val="nil"/>
              <w:bottom w:val="single" w:color="000000" w:sz="8" w:space="0"/>
              <w:right w:val="single" w:color="000000" w:sz="8" w:space="0"/>
            </w:tcBorders>
            <w:shd w:val="clear" w:color="auto" w:fill="auto"/>
            <w:vAlign w:val="center"/>
          </w:tcPr>
          <w:p w14:paraId="3F818A23">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505B65E8">
            <w:pPr>
              <w:pStyle w:val="42"/>
              <w:keepNext w:val="0"/>
              <w:keepLines w:val="0"/>
              <w:suppressLineNumbers w:val="0"/>
              <w:bidi w:val="0"/>
              <w:spacing w:before="0" w:beforeAutospacing="0" w:after="0" w:afterAutospacing="0"/>
              <w:rPr>
                <w:rFonts w:hint="default"/>
              </w:rPr>
            </w:pPr>
            <w:r>
              <w:rPr>
                <w:rFonts w:hint="default"/>
                <w:lang w:val="en-US" w:eastAsia="zh-CN"/>
              </w:rPr>
              <w:t>6.625</w:t>
            </w:r>
          </w:p>
        </w:tc>
        <w:tc>
          <w:tcPr>
            <w:tcW w:w="841" w:type="pct"/>
            <w:tcBorders>
              <w:top w:val="nil"/>
              <w:left w:val="nil"/>
              <w:bottom w:val="single" w:color="000000" w:sz="8" w:space="0"/>
              <w:right w:val="single" w:color="000000" w:sz="8" w:space="0"/>
            </w:tcBorders>
            <w:shd w:val="clear" w:color="auto" w:fill="auto"/>
            <w:vAlign w:val="center"/>
          </w:tcPr>
          <w:p w14:paraId="6120E6A9">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37AB000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07" w:type="pct"/>
            <w:vMerge w:val="continue"/>
            <w:tcBorders>
              <w:top w:val="single" w:color="000000" w:sz="8" w:space="0"/>
              <w:left w:val="nil"/>
              <w:bottom w:val="single" w:color="000000" w:sz="8" w:space="0"/>
              <w:right w:val="single" w:color="000000" w:sz="8" w:space="0"/>
            </w:tcBorders>
            <w:shd w:val="clear" w:color="auto" w:fill="auto"/>
            <w:vAlign w:val="center"/>
          </w:tcPr>
          <w:p w14:paraId="5CD90FA6">
            <w:pPr>
              <w:pStyle w:val="42"/>
              <w:keepNext w:val="0"/>
              <w:keepLines w:val="0"/>
              <w:suppressLineNumbers w:val="0"/>
              <w:bidi w:val="0"/>
              <w:spacing w:before="0" w:beforeAutospacing="0" w:after="0" w:afterAutospacing="0"/>
              <w:rPr>
                <w:rFonts w:hint="default"/>
              </w:rPr>
            </w:pP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3E68C4A0">
            <w:pPr>
              <w:pStyle w:val="42"/>
              <w:keepNext w:val="0"/>
              <w:keepLines w:val="0"/>
              <w:suppressLineNumbers w:val="0"/>
              <w:bidi w:val="0"/>
              <w:spacing w:before="0" w:beforeAutospacing="0" w:after="0" w:afterAutospacing="0"/>
              <w:rPr>
                <w:rFonts w:hint="default"/>
              </w:rPr>
            </w:pPr>
          </w:p>
        </w:tc>
      </w:tr>
      <w:tr w14:paraId="7F27B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tcBorders>
              <w:top w:val="nil"/>
              <w:left w:val="single" w:color="000000" w:sz="12" w:space="0"/>
              <w:bottom w:val="single" w:color="000000" w:sz="8" w:space="0"/>
              <w:right w:val="single" w:color="000000" w:sz="8" w:space="0"/>
            </w:tcBorders>
            <w:shd w:val="clear" w:color="auto" w:fill="auto"/>
            <w:vAlign w:val="center"/>
          </w:tcPr>
          <w:p w14:paraId="475763D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44" w:type="pct"/>
            <w:tcBorders>
              <w:top w:val="nil"/>
              <w:left w:val="nil"/>
              <w:bottom w:val="single" w:color="000000" w:sz="8" w:space="0"/>
              <w:right w:val="single" w:color="000000" w:sz="8" w:space="0"/>
            </w:tcBorders>
            <w:shd w:val="clear" w:color="auto" w:fill="auto"/>
            <w:vAlign w:val="center"/>
          </w:tcPr>
          <w:p w14:paraId="6687EB30">
            <w:pPr>
              <w:pStyle w:val="42"/>
              <w:keepNext w:val="0"/>
              <w:keepLines w:val="0"/>
              <w:suppressLineNumbers w:val="0"/>
              <w:bidi w:val="0"/>
              <w:spacing w:before="0" w:beforeAutospacing="0" w:after="0" w:afterAutospacing="0"/>
              <w:rPr>
                <w:rFonts w:hint="eastAsia"/>
              </w:rPr>
            </w:pPr>
            <w:r>
              <w:rPr>
                <w:rFonts w:hint="eastAsia"/>
                <w:lang w:val="en-US" w:eastAsia="zh-CN"/>
              </w:rPr>
              <w:t>隔油初沉池</w:t>
            </w:r>
          </w:p>
        </w:tc>
        <w:tc>
          <w:tcPr>
            <w:tcW w:w="836" w:type="pct"/>
            <w:tcBorders>
              <w:top w:val="nil"/>
              <w:left w:val="nil"/>
              <w:bottom w:val="single" w:color="000000" w:sz="8" w:space="0"/>
              <w:right w:val="single" w:color="000000" w:sz="8" w:space="0"/>
            </w:tcBorders>
            <w:shd w:val="clear" w:color="auto" w:fill="auto"/>
            <w:vAlign w:val="center"/>
          </w:tcPr>
          <w:p w14:paraId="0906BE4B">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0E986D5A">
            <w:pPr>
              <w:pStyle w:val="42"/>
              <w:keepNext w:val="0"/>
              <w:keepLines w:val="0"/>
              <w:suppressLineNumbers w:val="0"/>
              <w:bidi w:val="0"/>
              <w:spacing w:before="0" w:beforeAutospacing="0" w:after="0" w:afterAutospacing="0"/>
              <w:rPr>
                <w:rFonts w:hint="default"/>
              </w:rPr>
            </w:pPr>
            <w:r>
              <w:rPr>
                <w:rFonts w:hint="default"/>
                <w:lang w:val="en-US" w:eastAsia="zh-CN"/>
              </w:rPr>
              <w:t>262.5</w:t>
            </w:r>
          </w:p>
        </w:tc>
        <w:tc>
          <w:tcPr>
            <w:tcW w:w="841" w:type="pct"/>
            <w:tcBorders>
              <w:top w:val="nil"/>
              <w:left w:val="nil"/>
              <w:bottom w:val="single" w:color="000000" w:sz="8" w:space="0"/>
              <w:right w:val="single" w:color="000000" w:sz="8" w:space="0"/>
            </w:tcBorders>
            <w:shd w:val="clear" w:color="auto" w:fill="auto"/>
            <w:vAlign w:val="center"/>
          </w:tcPr>
          <w:p w14:paraId="492ADAF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645" w:type="pct"/>
            <w:tcBorders>
              <w:top w:val="nil"/>
              <w:left w:val="nil"/>
              <w:bottom w:val="single" w:color="000000" w:sz="8" w:space="0"/>
              <w:right w:val="single" w:color="000000" w:sz="8" w:space="0"/>
            </w:tcBorders>
            <w:shd w:val="clear" w:color="auto" w:fill="auto"/>
            <w:vAlign w:val="center"/>
          </w:tcPr>
          <w:p w14:paraId="210BFFCB">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tcBorders>
              <w:top w:val="nil"/>
              <w:left w:val="nil"/>
              <w:bottom w:val="single" w:color="000000" w:sz="8" w:space="0"/>
              <w:right w:val="single" w:color="000000" w:sz="8" w:space="0"/>
            </w:tcBorders>
            <w:shd w:val="clear" w:color="auto" w:fill="auto"/>
            <w:vAlign w:val="center"/>
          </w:tcPr>
          <w:p w14:paraId="100DCA3C">
            <w:pPr>
              <w:pStyle w:val="42"/>
              <w:keepNext w:val="0"/>
              <w:keepLines w:val="0"/>
              <w:suppressLineNumbers w:val="0"/>
              <w:bidi w:val="0"/>
              <w:spacing w:before="0" w:beforeAutospacing="0" w:after="0" w:afterAutospacing="0"/>
              <w:rPr>
                <w:rFonts w:hint="default"/>
              </w:rPr>
            </w:pPr>
            <w:r>
              <w:rPr>
                <w:rFonts w:hint="default"/>
                <w:lang w:val="en-US" w:eastAsia="zh-CN"/>
              </w:rPr>
              <w:t>787.5</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38690643">
            <w:pPr>
              <w:pStyle w:val="42"/>
              <w:keepNext w:val="0"/>
              <w:keepLines w:val="0"/>
              <w:suppressLineNumbers w:val="0"/>
              <w:bidi w:val="0"/>
              <w:spacing w:before="0" w:beforeAutospacing="0" w:after="0" w:afterAutospacing="0"/>
              <w:rPr>
                <w:rFonts w:hint="default"/>
              </w:rPr>
            </w:pPr>
          </w:p>
        </w:tc>
      </w:tr>
      <w:tr w14:paraId="53842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40" w:hRule="atLeast"/>
        </w:trPr>
        <w:tc>
          <w:tcPr>
            <w:tcW w:w="336" w:type="pct"/>
            <w:vMerge w:val="restart"/>
            <w:tcBorders>
              <w:top w:val="nil"/>
              <w:left w:val="single" w:color="000000" w:sz="12" w:space="0"/>
              <w:bottom w:val="single" w:color="000000" w:sz="8" w:space="0"/>
              <w:right w:val="single" w:color="000000" w:sz="8" w:space="0"/>
            </w:tcBorders>
            <w:shd w:val="clear" w:color="auto" w:fill="auto"/>
            <w:vAlign w:val="center"/>
          </w:tcPr>
          <w:p w14:paraId="2D348778">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44" w:type="pct"/>
            <w:vMerge w:val="restart"/>
            <w:tcBorders>
              <w:top w:val="nil"/>
              <w:left w:val="nil"/>
              <w:bottom w:val="single" w:color="000000" w:sz="8" w:space="0"/>
              <w:right w:val="single" w:color="000000" w:sz="8" w:space="0"/>
            </w:tcBorders>
            <w:shd w:val="clear" w:color="auto" w:fill="auto"/>
            <w:vAlign w:val="center"/>
          </w:tcPr>
          <w:p w14:paraId="78BFCBD5">
            <w:pPr>
              <w:pStyle w:val="42"/>
              <w:keepNext w:val="0"/>
              <w:keepLines w:val="0"/>
              <w:suppressLineNumbers w:val="0"/>
              <w:bidi w:val="0"/>
              <w:spacing w:before="0" w:beforeAutospacing="0" w:after="0" w:afterAutospacing="0"/>
              <w:rPr>
                <w:rFonts w:hint="eastAsia"/>
              </w:rPr>
            </w:pPr>
            <w:r>
              <w:rPr>
                <w:rFonts w:hint="eastAsia"/>
                <w:lang w:val="en-US" w:eastAsia="zh-CN"/>
              </w:rPr>
              <w:t>调节池/应急池</w:t>
            </w:r>
          </w:p>
        </w:tc>
        <w:tc>
          <w:tcPr>
            <w:tcW w:w="836" w:type="pct"/>
            <w:tcBorders>
              <w:top w:val="nil"/>
              <w:left w:val="nil"/>
              <w:bottom w:val="single" w:color="000000" w:sz="8" w:space="0"/>
              <w:right w:val="single" w:color="000000" w:sz="8" w:space="0"/>
            </w:tcBorders>
            <w:shd w:val="clear" w:color="auto" w:fill="auto"/>
            <w:vAlign w:val="center"/>
          </w:tcPr>
          <w:p w14:paraId="1DE0BC59">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72902AF3">
            <w:pPr>
              <w:pStyle w:val="42"/>
              <w:keepNext w:val="0"/>
              <w:keepLines w:val="0"/>
              <w:suppressLineNumbers w:val="0"/>
              <w:bidi w:val="0"/>
              <w:spacing w:before="0" w:beforeAutospacing="0" w:after="0" w:afterAutospacing="0"/>
              <w:rPr>
                <w:rFonts w:hint="default"/>
              </w:rPr>
            </w:pPr>
            <w:r>
              <w:rPr>
                <w:rFonts w:hint="default"/>
                <w:lang w:val="en-US" w:eastAsia="zh-CN"/>
              </w:rPr>
              <w:t>288.475</w:t>
            </w:r>
          </w:p>
        </w:tc>
        <w:tc>
          <w:tcPr>
            <w:tcW w:w="841" w:type="pct"/>
            <w:tcBorders>
              <w:top w:val="nil"/>
              <w:left w:val="nil"/>
              <w:bottom w:val="single" w:color="000000" w:sz="8" w:space="0"/>
              <w:right w:val="single" w:color="000000" w:sz="8" w:space="0"/>
            </w:tcBorders>
            <w:shd w:val="clear" w:color="auto" w:fill="auto"/>
            <w:vAlign w:val="center"/>
          </w:tcPr>
          <w:p w14:paraId="20A4384D">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645" w:type="pct"/>
            <w:tcBorders>
              <w:top w:val="nil"/>
              <w:left w:val="nil"/>
              <w:bottom w:val="single" w:color="000000" w:sz="8" w:space="0"/>
              <w:right w:val="single" w:color="000000" w:sz="8" w:space="0"/>
            </w:tcBorders>
            <w:shd w:val="clear" w:color="auto" w:fill="auto"/>
            <w:vAlign w:val="center"/>
          </w:tcPr>
          <w:p w14:paraId="45F8A8BC">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vMerge w:val="restart"/>
            <w:tcBorders>
              <w:top w:val="nil"/>
              <w:left w:val="nil"/>
              <w:bottom w:val="single" w:color="000000" w:sz="8" w:space="0"/>
              <w:right w:val="single" w:color="000000" w:sz="8" w:space="0"/>
            </w:tcBorders>
            <w:shd w:val="clear" w:color="auto" w:fill="auto"/>
            <w:vAlign w:val="center"/>
          </w:tcPr>
          <w:p w14:paraId="09313472">
            <w:pPr>
              <w:pStyle w:val="42"/>
              <w:keepNext w:val="0"/>
              <w:keepLines w:val="0"/>
              <w:suppressLineNumbers w:val="0"/>
              <w:bidi w:val="0"/>
              <w:spacing w:before="0" w:beforeAutospacing="0" w:after="0" w:afterAutospacing="0"/>
              <w:rPr>
                <w:rFonts w:hint="default"/>
              </w:rPr>
            </w:pPr>
            <w:r>
              <w:rPr>
                <w:rFonts w:hint="default"/>
                <w:lang w:val="en-US" w:eastAsia="zh-CN"/>
              </w:rPr>
              <w:t>3173.225</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6CB2061F">
            <w:pPr>
              <w:pStyle w:val="42"/>
              <w:keepNext w:val="0"/>
              <w:keepLines w:val="0"/>
              <w:suppressLineNumbers w:val="0"/>
              <w:bidi w:val="0"/>
              <w:spacing w:before="0" w:beforeAutospacing="0" w:after="0" w:afterAutospacing="0"/>
              <w:rPr>
                <w:rFonts w:hint="default"/>
              </w:rPr>
            </w:pPr>
          </w:p>
        </w:tc>
      </w:tr>
      <w:tr w14:paraId="2E00B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continue"/>
            <w:tcBorders>
              <w:top w:val="nil"/>
              <w:left w:val="single" w:color="000000" w:sz="12" w:space="0"/>
              <w:bottom w:val="single" w:color="000000" w:sz="8" w:space="0"/>
              <w:right w:val="single" w:color="000000" w:sz="8" w:space="0"/>
            </w:tcBorders>
            <w:shd w:val="clear" w:color="auto" w:fill="auto"/>
            <w:vAlign w:val="center"/>
          </w:tcPr>
          <w:p w14:paraId="1B692848">
            <w:pPr>
              <w:pStyle w:val="42"/>
              <w:keepNext w:val="0"/>
              <w:keepLines w:val="0"/>
              <w:suppressLineNumbers w:val="0"/>
              <w:bidi w:val="0"/>
              <w:spacing w:before="0" w:beforeAutospacing="0" w:after="0" w:afterAutospacing="0"/>
              <w:rPr>
                <w:rFonts w:hint="default"/>
              </w:rPr>
            </w:pPr>
          </w:p>
        </w:tc>
        <w:tc>
          <w:tcPr>
            <w:tcW w:w="544" w:type="pct"/>
            <w:vMerge w:val="continue"/>
            <w:tcBorders>
              <w:top w:val="nil"/>
              <w:left w:val="nil"/>
              <w:bottom w:val="single" w:color="000000" w:sz="8" w:space="0"/>
              <w:right w:val="single" w:color="000000" w:sz="8" w:space="0"/>
            </w:tcBorders>
            <w:shd w:val="clear" w:color="auto" w:fill="auto"/>
            <w:vAlign w:val="center"/>
          </w:tcPr>
          <w:p w14:paraId="0E81005A">
            <w:pPr>
              <w:pStyle w:val="42"/>
              <w:keepNext w:val="0"/>
              <w:keepLines w:val="0"/>
              <w:suppressLineNumbers w:val="0"/>
              <w:bidi w:val="0"/>
              <w:spacing w:before="0" w:beforeAutospacing="0" w:after="0" w:afterAutospacing="0"/>
              <w:rPr>
                <w:rFonts w:hint="eastAsia"/>
              </w:rPr>
            </w:pPr>
          </w:p>
        </w:tc>
        <w:tc>
          <w:tcPr>
            <w:tcW w:w="836" w:type="pct"/>
            <w:tcBorders>
              <w:top w:val="nil"/>
              <w:left w:val="nil"/>
              <w:bottom w:val="single" w:color="000000" w:sz="8" w:space="0"/>
              <w:right w:val="single" w:color="000000" w:sz="8" w:space="0"/>
            </w:tcBorders>
            <w:shd w:val="clear" w:color="auto" w:fill="auto"/>
            <w:vAlign w:val="center"/>
          </w:tcPr>
          <w:p w14:paraId="44CE9B9A">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45DCB659">
            <w:pPr>
              <w:pStyle w:val="42"/>
              <w:keepNext w:val="0"/>
              <w:keepLines w:val="0"/>
              <w:suppressLineNumbers w:val="0"/>
              <w:bidi w:val="0"/>
              <w:spacing w:before="0" w:beforeAutospacing="0" w:after="0" w:afterAutospacing="0"/>
              <w:rPr>
                <w:rFonts w:hint="default"/>
              </w:rPr>
            </w:pPr>
            <w:r>
              <w:rPr>
                <w:rFonts w:hint="default"/>
                <w:lang w:val="en-US" w:eastAsia="zh-CN"/>
              </w:rPr>
              <w:t>144.2375</w:t>
            </w:r>
          </w:p>
        </w:tc>
        <w:tc>
          <w:tcPr>
            <w:tcW w:w="841" w:type="pct"/>
            <w:tcBorders>
              <w:top w:val="nil"/>
              <w:left w:val="nil"/>
              <w:bottom w:val="single" w:color="000000" w:sz="8" w:space="0"/>
              <w:right w:val="single" w:color="000000" w:sz="8" w:space="0"/>
            </w:tcBorders>
            <w:shd w:val="clear" w:color="auto" w:fill="auto"/>
            <w:vAlign w:val="center"/>
          </w:tcPr>
          <w:p w14:paraId="0629F17E">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051BC8B5">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07" w:type="pct"/>
            <w:vMerge w:val="continue"/>
            <w:tcBorders>
              <w:top w:val="nil"/>
              <w:left w:val="nil"/>
              <w:bottom w:val="single" w:color="000000" w:sz="8" w:space="0"/>
              <w:right w:val="single" w:color="000000" w:sz="8" w:space="0"/>
            </w:tcBorders>
            <w:shd w:val="clear" w:color="auto" w:fill="auto"/>
            <w:vAlign w:val="center"/>
          </w:tcPr>
          <w:p w14:paraId="4FEB73D8">
            <w:pPr>
              <w:pStyle w:val="42"/>
              <w:keepNext w:val="0"/>
              <w:keepLines w:val="0"/>
              <w:suppressLineNumbers w:val="0"/>
              <w:bidi w:val="0"/>
              <w:spacing w:before="0" w:beforeAutospacing="0" w:after="0" w:afterAutospacing="0"/>
              <w:rPr>
                <w:rFonts w:hint="default"/>
              </w:rPr>
            </w:pP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1D629F77">
            <w:pPr>
              <w:pStyle w:val="42"/>
              <w:keepNext w:val="0"/>
              <w:keepLines w:val="0"/>
              <w:suppressLineNumbers w:val="0"/>
              <w:bidi w:val="0"/>
              <w:spacing w:before="0" w:beforeAutospacing="0" w:after="0" w:afterAutospacing="0"/>
              <w:rPr>
                <w:rFonts w:hint="default"/>
              </w:rPr>
            </w:pPr>
          </w:p>
        </w:tc>
      </w:tr>
      <w:tr w14:paraId="206C7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restart"/>
            <w:tcBorders>
              <w:top w:val="nil"/>
              <w:left w:val="single" w:color="000000" w:sz="12" w:space="0"/>
              <w:bottom w:val="single" w:color="000000" w:sz="8" w:space="0"/>
              <w:right w:val="single" w:color="000000" w:sz="8" w:space="0"/>
            </w:tcBorders>
            <w:shd w:val="clear" w:color="auto" w:fill="auto"/>
            <w:vAlign w:val="center"/>
          </w:tcPr>
          <w:p w14:paraId="20E4BD0B">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44" w:type="pct"/>
            <w:vMerge w:val="restart"/>
            <w:tcBorders>
              <w:top w:val="nil"/>
              <w:left w:val="nil"/>
              <w:bottom w:val="single" w:color="000000" w:sz="8" w:space="0"/>
              <w:right w:val="single" w:color="000000" w:sz="8" w:space="0"/>
            </w:tcBorders>
            <w:shd w:val="clear" w:color="auto" w:fill="auto"/>
            <w:vAlign w:val="center"/>
          </w:tcPr>
          <w:p w14:paraId="16408D46">
            <w:pPr>
              <w:pStyle w:val="42"/>
              <w:keepNext w:val="0"/>
              <w:keepLines w:val="0"/>
              <w:suppressLineNumbers w:val="0"/>
              <w:bidi w:val="0"/>
              <w:spacing w:before="0" w:beforeAutospacing="0" w:after="0" w:afterAutospacing="0"/>
              <w:rPr>
                <w:rFonts w:hint="eastAsia"/>
              </w:rPr>
            </w:pPr>
            <w:r>
              <w:rPr>
                <w:rFonts w:hint="eastAsia"/>
                <w:lang w:val="en-US" w:eastAsia="zh-CN"/>
              </w:rPr>
              <w:t>缺氧池</w:t>
            </w:r>
          </w:p>
        </w:tc>
        <w:tc>
          <w:tcPr>
            <w:tcW w:w="836" w:type="pct"/>
            <w:tcBorders>
              <w:top w:val="nil"/>
              <w:left w:val="nil"/>
              <w:bottom w:val="single" w:color="000000" w:sz="8" w:space="0"/>
              <w:right w:val="single" w:color="000000" w:sz="8" w:space="0"/>
            </w:tcBorders>
            <w:shd w:val="clear" w:color="auto" w:fill="auto"/>
            <w:vAlign w:val="center"/>
          </w:tcPr>
          <w:p w14:paraId="0C1D2E7F">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1C829DF0">
            <w:pPr>
              <w:pStyle w:val="42"/>
              <w:keepNext w:val="0"/>
              <w:keepLines w:val="0"/>
              <w:suppressLineNumbers w:val="0"/>
              <w:bidi w:val="0"/>
              <w:spacing w:before="0" w:beforeAutospacing="0" w:after="0" w:afterAutospacing="0"/>
              <w:rPr>
                <w:rFonts w:hint="default"/>
              </w:rPr>
            </w:pPr>
            <w:r>
              <w:rPr>
                <w:rFonts w:hint="default"/>
                <w:lang w:val="en-US" w:eastAsia="zh-CN"/>
              </w:rPr>
              <w:t>33.3775</w:t>
            </w:r>
          </w:p>
        </w:tc>
        <w:tc>
          <w:tcPr>
            <w:tcW w:w="841" w:type="pct"/>
            <w:tcBorders>
              <w:top w:val="nil"/>
              <w:left w:val="nil"/>
              <w:bottom w:val="single" w:color="000000" w:sz="8" w:space="0"/>
              <w:right w:val="single" w:color="000000" w:sz="8" w:space="0"/>
            </w:tcBorders>
            <w:shd w:val="clear" w:color="auto" w:fill="auto"/>
            <w:vAlign w:val="center"/>
          </w:tcPr>
          <w:p w14:paraId="1F3E28B6">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645" w:type="pct"/>
            <w:tcBorders>
              <w:top w:val="nil"/>
              <w:left w:val="nil"/>
              <w:bottom w:val="single" w:color="000000" w:sz="8" w:space="0"/>
              <w:right w:val="single" w:color="000000" w:sz="8" w:space="0"/>
            </w:tcBorders>
            <w:shd w:val="clear" w:color="auto" w:fill="auto"/>
            <w:vAlign w:val="center"/>
          </w:tcPr>
          <w:p w14:paraId="0297F223">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vMerge w:val="restart"/>
            <w:tcBorders>
              <w:top w:val="nil"/>
              <w:left w:val="nil"/>
              <w:bottom w:val="single" w:color="000000" w:sz="8" w:space="0"/>
              <w:right w:val="single" w:color="000000" w:sz="8" w:space="0"/>
            </w:tcBorders>
            <w:shd w:val="clear" w:color="auto" w:fill="auto"/>
            <w:vAlign w:val="center"/>
          </w:tcPr>
          <w:p w14:paraId="747E4961">
            <w:pPr>
              <w:pStyle w:val="42"/>
              <w:keepNext w:val="0"/>
              <w:keepLines w:val="0"/>
              <w:suppressLineNumbers w:val="0"/>
              <w:bidi w:val="0"/>
              <w:spacing w:before="0" w:beforeAutospacing="0" w:after="0" w:afterAutospacing="0"/>
              <w:rPr>
                <w:rFonts w:hint="default"/>
              </w:rPr>
            </w:pPr>
            <w:r>
              <w:rPr>
                <w:rFonts w:hint="default"/>
                <w:lang w:val="en-US" w:eastAsia="zh-CN"/>
              </w:rPr>
              <w:t>367.1525</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2BF8163C">
            <w:pPr>
              <w:pStyle w:val="42"/>
              <w:keepNext w:val="0"/>
              <w:keepLines w:val="0"/>
              <w:suppressLineNumbers w:val="0"/>
              <w:bidi w:val="0"/>
              <w:spacing w:before="0" w:beforeAutospacing="0" w:after="0" w:afterAutospacing="0"/>
              <w:rPr>
                <w:rFonts w:hint="default"/>
              </w:rPr>
            </w:pPr>
          </w:p>
        </w:tc>
      </w:tr>
      <w:tr w14:paraId="5C4E9C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continue"/>
            <w:tcBorders>
              <w:top w:val="nil"/>
              <w:left w:val="single" w:color="000000" w:sz="12" w:space="0"/>
              <w:bottom w:val="single" w:color="000000" w:sz="8" w:space="0"/>
              <w:right w:val="single" w:color="000000" w:sz="8" w:space="0"/>
            </w:tcBorders>
            <w:shd w:val="clear" w:color="auto" w:fill="auto"/>
            <w:vAlign w:val="center"/>
          </w:tcPr>
          <w:p w14:paraId="0D87482F">
            <w:pPr>
              <w:pStyle w:val="42"/>
              <w:keepNext w:val="0"/>
              <w:keepLines w:val="0"/>
              <w:suppressLineNumbers w:val="0"/>
              <w:bidi w:val="0"/>
              <w:spacing w:before="0" w:beforeAutospacing="0" w:after="0" w:afterAutospacing="0"/>
              <w:rPr>
                <w:rFonts w:hint="default"/>
              </w:rPr>
            </w:pPr>
          </w:p>
        </w:tc>
        <w:tc>
          <w:tcPr>
            <w:tcW w:w="544" w:type="pct"/>
            <w:vMerge w:val="continue"/>
            <w:tcBorders>
              <w:top w:val="nil"/>
              <w:left w:val="nil"/>
              <w:bottom w:val="single" w:color="000000" w:sz="8" w:space="0"/>
              <w:right w:val="single" w:color="000000" w:sz="8" w:space="0"/>
            </w:tcBorders>
            <w:shd w:val="clear" w:color="auto" w:fill="auto"/>
            <w:vAlign w:val="center"/>
          </w:tcPr>
          <w:p w14:paraId="24F845AB">
            <w:pPr>
              <w:pStyle w:val="42"/>
              <w:keepNext w:val="0"/>
              <w:keepLines w:val="0"/>
              <w:suppressLineNumbers w:val="0"/>
              <w:bidi w:val="0"/>
              <w:spacing w:before="0" w:beforeAutospacing="0" w:after="0" w:afterAutospacing="0"/>
              <w:rPr>
                <w:rFonts w:hint="eastAsia"/>
              </w:rPr>
            </w:pPr>
          </w:p>
        </w:tc>
        <w:tc>
          <w:tcPr>
            <w:tcW w:w="836" w:type="pct"/>
            <w:tcBorders>
              <w:top w:val="nil"/>
              <w:left w:val="nil"/>
              <w:bottom w:val="single" w:color="000000" w:sz="8" w:space="0"/>
              <w:right w:val="single" w:color="000000" w:sz="8" w:space="0"/>
            </w:tcBorders>
            <w:shd w:val="clear" w:color="auto" w:fill="auto"/>
            <w:vAlign w:val="center"/>
          </w:tcPr>
          <w:p w14:paraId="66526489">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5E210A0E">
            <w:pPr>
              <w:pStyle w:val="42"/>
              <w:keepNext w:val="0"/>
              <w:keepLines w:val="0"/>
              <w:suppressLineNumbers w:val="0"/>
              <w:bidi w:val="0"/>
              <w:spacing w:before="0" w:beforeAutospacing="0" w:after="0" w:afterAutospacing="0"/>
              <w:rPr>
                <w:rFonts w:hint="default"/>
              </w:rPr>
            </w:pPr>
            <w:r>
              <w:rPr>
                <w:rFonts w:hint="default"/>
                <w:lang w:val="en-US" w:eastAsia="zh-CN"/>
              </w:rPr>
              <w:t>16.68875</w:t>
            </w:r>
          </w:p>
        </w:tc>
        <w:tc>
          <w:tcPr>
            <w:tcW w:w="841" w:type="pct"/>
            <w:tcBorders>
              <w:top w:val="nil"/>
              <w:left w:val="nil"/>
              <w:bottom w:val="single" w:color="000000" w:sz="8" w:space="0"/>
              <w:right w:val="single" w:color="000000" w:sz="8" w:space="0"/>
            </w:tcBorders>
            <w:shd w:val="clear" w:color="auto" w:fill="auto"/>
            <w:vAlign w:val="center"/>
          </w:tcPr>
          <w:p w14:paraId="4E6A4273">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3B70F95F">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07" w:type="pct"/>
            <w:vMerge w:val="continue"/>
            <w:tcBorders>
              <w:top w:val="nil"/>
              <w:left w:val="nil"/>
              <w:bottom w:val="single" w:color="000000" w:sz="8" w:space="0"/>
              <w:right w:val="single" w:color="000000" w:sz="8" w:space="0"/>
            </w:tcBorders>
            <w:shd w:val="clear" w:color="auto" w:fill="auto"/>
            <w:vAlign w:val="center"/>
          </w:tcPr>
          <w:p w14:paraId="01D02115">
            <w:pPr>
              <w:pStyle w:val="42"/>
              <w:keepNext w:val="0"/>
              <w:keepLines w:val="0"/>
              <w:suppressLineNumbers w:val="0"/>
              <w:bidi w:val="0"/>
              <w:spacing w:before="0" w:beforeAutospacing="0" w:after="0" w:afterAutospacing="0"/>
              <w:rPr>
                <w:rFonts w:hint="default"/>
              </w:rPr>
            </w:pP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46F557FB">
            <w:pPr>
              <w:pStyle w:val="42"/>
              <w:keepNext w:val="0"/>
              <w:keepLines w:val="0"/>
              <w:suppressLineNumbers w:val="0"/>
              <w:bidi w:val="0"/>
              <w:spacing w:before="0" w:beforeAutospacing="0" w:after="0" w:afterAutospacing="0"/>
              <w:rPr>
                <w:rFonts w:hint="default"/>
              </w:rPr>
            </w:pPr>
          </w:p>
        </w:tc>
      </w:tr>
      <w:tr w14:paraId="4903E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restart"/>
            <w:tcBorders>
              <w:top w:val="nil"/>
              <w:left w:val="single" w:color="000000" w:sz="12" w:space="0"/>
              <w:bottom w:val="single" w:color="000000" w:sz="8" w:space="0"/>
              <w:right w:val="single" w:color="000000" w:sz="8" w:space="0"/>
            </w:tcBorders>
            <w:shd w:val="clear" w:color="auto" w:fill="auto"/>
            <w:vAlign w:val="center"/>
          </w:tcPr>
          <w:p w14:paraId="3990C91F">
            <w:pPr>
              <w:pStyle w:val="42"/>
              <w:keepNext w:val="0"/>
              <w:keepLines w:val="0"/>
              <w:suppressLineNumbers w:val="0"/>
              <w:bidi w:val="0"/>
              <w:spacing w:before="0" w:beforeAutospacing="0" w:after="0" w:afterAutospacing="0"/>
              <w:rPr>
                <w:rFonts w:hint="eastAsia"/>
              </w:rPr>
            </w:pPr>
            <w:r>
              <w:rPr>
                <w:rFonts w:hint="eastAsia"/>
                <w:lang w:val="en-US" w:eastAsia="zh-CN"/>
              </w:rPr>
              <w:t>6</w:t>
            </w:r>
          </w:p>
        </w:tc>
        <w:tc>
          <w:tcPr>
            <w:tcW w:w="544" w:type="pct"/>
            <w:vMerge w:val="restart"/>
            <w:tcBorders>
              <w:top w:val="nil"/>
              <w:left w:val="nil"/>
              <w:bottom w:val="single" w:color="000000" w:sz="8" w:space="0"/>
              <w:right w:val="single" w:color="000000" w:sz="8" w:space="0"/>
            </w:tcBorders>
            <w:shd w:val="clear" w:color="auto" w:fill="auto"/>
            <w:vAlign w:val="center"/>
          </w:tcPr>
          <w:p w14:paraId="3AFB590A">
            <w:pPr>
              <w:pStyle w:val="42"/>
              <w:keepNext w:val="0"/>
              <w:keepLines w:val="0"/>
              <w:suppressLineNumbers w:val="0"/>
              <w:bidi w:val="0"/>
              <w:spacing w:before="0" w:beforeAutospacing="0" w:after="0" w:afterAutospacing="0"/>
              <w:rPr>
                <w:rFonts w:hint="eastAsia"/>
              </w:rPr>
            </w:pPr>
            <w:r>
              <w:rPr>
                <w:rFonts w:hint="eastAsia"/>
                <w:lang w:val="en-US" w:eastAsia="zh-CN"/>
              </w:rPr>
              <w:t>消化池</w:t>
            </w:r>
          </w:p>
        </w:tc>
        <w:tc>
          <w:tcPr>
            <w:tcW w:w="836" w:type="pct"/>
            <w:tcBorders>
              <w:top w:val="nil"/>
              <w:left w:val="nil"/>
              <w:bottom w:val="single" w:color="000000" w:sz="8" w:space="0"/>
              <w:right w:val="single" w:color="000000" w:sz="8" w:space="0"/>
            </w:tcBorders>
            <w:shd w:val="clear" w:color="auto" w:fill="auto"/>
            <w:vAlign w:val="center"/>
          </w:tcPr>
          <w:p w14:paraId="232C2658">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0E8ABDB7">
            <w:pPr>
              <w:pStyle w:val="42"/>
              <w:keepNext w:val="0"/>
              <w:keepLines w:val="0"/>
              <w:suppressLineNumbers w:val="0"/>
              <w:bidi w:val="0"/>
              <w:spacing w:before="0" w:beforeAutospacing="0" w:after="0" w:afterAutospacing="0"/>
              <w:rPr>
                <w:rFonts w:hint="default"/>
              </w:rPr>
            </w:pPr>
            <w:r>
              <w:rPr>
                <w:rFonts w:hint="default"/>
                <w:lang w:val="en-US" w:eastAsia="zh-CN"/>
              </w:rPr>
              <w:t>21.125</w:t>
            </w:r>
          </w:p>
        </w:tc>
        <w:tc>
          <w:tcPr>
            <w:tcW w:w="841" w:type="pct"/>
            <w:tcBorders>
              <w:top w:val="nil"/>
              <w:left w:val="nil"/>
              <w:bottom w:val="single" w:color="000000" w:sz="8" w:space="0"/>
              <w:right w:val="single" w:color="000000" w:sz="8" w:space="0"/>
            </w:tcBorders>
            <w:shd w:val="clear" w:color="auto" w:fill="auto"/>
            <w:vAlign w:val="center"/>
          </w:tcPr>
          <w:p w14:paraId="5BC360CC">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645" w:type="pct"/>
            <w:tcBorders>
              <w:top w:val="nil"/>
              <w:left w:val="nil"/>
              <w:bottom w:val="single" w:color="000000" w:sz="8" w:space="0"/>
              <w:right w:val="single" w:color="000000" w:sz="8" w:space="0"/>
            </w:tcBorders>
            <w:shd w:val="clear" w:color="auto" w:fill="auto"/>
            <w:vAlign w:val="center"/>
          </w:tcPr>
          <w:p w14:paraId="51E9F94A">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vMerge w:val="restart"/>
            <w:tcBorders>
              <w:top w:val="nil"/>
              <w:left w:val="nil"/>
              <w:bottom w:val="single" w:color="000000" w:sz="8" w:space="0"/>
              <w:right w:val="single" w:color="000000" w:sz="8" w:space="0"/>
            </w:tcBorders>
            <w:shd w:val="clear" w:color="auto" w:fill="auto"/>
            <w:vAlign w:val="center"/>
          </w:tcPr>
          <w:p w14:paraId="270B0A3C">
            <w:pPr>
              <w:pStyle w:val="42"/>
              <w:keepNext w:val="0"/>
              <w:keepLines w:val="0"/>
              <w:suppressLineNumbers w:val="0"/>
              <w:bidi w:val="0"/>
              <w:spacing w:before="0" w:beforeAutospacing="0" w:after="0" w:afterAutospacing="0"/>
              <w:rPr>
                <w:rFonts w:hint="default"/>
              </w:rPr>
            </w:pPr>
            <w:r>
              <w:rPr>
                <w:rFonts w:hint="default"/>
                <w:lang w:val="en-US" w:eastAsia="zh-CN"/>
              </w:rPr>
              <w:t>228.15</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27459728">
            <w:pPr>
              <w:pStyle w:val="42"/>
              <w:keepNext w:val="0"/>
              <w:keepLines w:val="0"/>
              <w:suppressLineNumbers w:val="0"/>
              <w:bidi w:val="0"/>
              <w:spacing w:before="0" w:beforeAutospacing="0" w:after="0" w:afterAutospacing="0"/>
              <w:rPr>
                <w:rFonts w:hint="default"/>
              </w:rPr>
            </w:pPr>
          </w:p>
        </w:tc>
      </w:tr>
      <w:tr w14:paraId="2488C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40" w:hRule="atLeast"/>
        </w:trPr>
        <w:tc>
          <w:tcPr>
            <w:tcW w:w="336" w:type="pct"/>
            <w:vMerge w:val="continue"/>
            <w:tcBorders>
              <w:top w:val="nil"/>
              <w:left w:val="single" w:color="000000" w:sz="12" w:space="0"/>
              <w:bottom w:val="single" w:color="000000" w:sz="8" w:space="0"/>
              <w:right w:val="single" w:color="000000" w:sz="8" w:space="0"/>
            </w:tcBorders>
            <w:shd w:val="clear" w:color="auto" w:fill="auto"/>
            <w:vAlign w:val="center"/>
          </w:tcPr>
          <w:p w14:paraId="34EEF947">
            <w:pPr>
              <w:pStyle w:val="42"/>
              <w:keepNext w:val="0"/>
              <w:keepLines w:val="0"/>
              <w:suppressLineNumbers w:val="0"/>
              <w:bidi w:val="0"/>
              <w:spacing w:before="0" w:beforeAutospacing="0" w:after="0" w:afterAutospacing="0"/>
              <w:rPr>
                <w:rFonts w:hint="eastAsia"/>
              </w:rPr>
            </w:pPr>
          </w:p>
        </w:tc>
        <w:tc>
          <w:tcPr>
            <w:tcW w:w="544" w:type="pct"/>
            <w:vMerge w:val="continue"/>
            <w:tcBorders>
              <w:top w:val="nil"/>
              <w:left w:val="nil"/>
              <w:bottom w:val="single" w:color="000000" w:sz="8" w:space="0"/>
              <w:right w:val="single" w:color="000000" w:sz="8" w:space="0"/>
            </w:tcBorders>
            <w:shd w:val="clear" w:color="auto" w:fill="auto"/>
            <w:vAlign w:val="center"/>
          </w:tcPr>
          <w:p w14:paraId="7B5616DF">
            <w:pPr>
              <w:pStyle w:val="42"/>
              <w:keepNext w:val="0"/>
              <w:keepLines w:val="0"/>
              <w:suppressLineNumbers w:val="0"/>
              <w:bidi w:val="0"/>
              <w:spacing w:before="0" w:beforeAutospacing="0" w:after="0" w:afterAutospacing="0"/>
              <w:rPr>
                <w:rFonts w:hint="eastAsia"/>
              </w:rPr>
            </w:pPr>
          </w:p>
        </w:tc>
        <w:tc>
          <w:tcPr>
            <w:tcW w:w="836" w:type="pct"/>
            <w:tcBorders>
              <w:top w:val="nil"/>
              <w:left w:val="nil"/>
              <w:bottom w:val="single" w:color="000000" w:sz="8" w:space="0"/>
              <w:right w:val="single" w:color="000000" w:sz="8" w:space="0"/>
            </w:tcBorders>
            <w:shd w:val="clear" w:color="auto" w:fill="auto"/>
            <w:vAlign w:val="center"/>
          </w:tcPr>
          <w:p w14:paraId="561DE555">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208943DD">
            <w:pPr>
              <w:pStyle w:val="42"/>
              <w:keepNext w:val="0"/>
              <w:keepLines w:val="0"/>
              <w:suppressLineNumbers w:val="0"/>
              <w:bidi w:val="0"/>
              <w:spacing w:before="0" w:beforeAutospacing="0" w:after="0" w:afterAutospacing="0"/>
              <w:rPr>
                <w:rFonts w:hint="default"/>
              </w:rPr>
            </w:pPr>
            <w:r>
              <w:rPr>
                <w:rFonts w:hint="default"/>
                <w:lang w:val="en-US" w:eastAsia="zh-CN"/>
              </w:rPr>
              <w:t>8.45</w:t>
            </w:r>
          </w:p>
        </w:tc>
        <w:tc>
          <w:tcPr>
            <w:tcW w:w="841" w:type="pct"/>
            <w:tcBorders>
              <w:top w:val="nil"/>
              <w:left w:val="nil"/>
              <w:bottom w:val="single" w:color="000000" w:sz="8" w:space="0"/>
              <w:right w:val="single" w:color="000000" w:sz="8" w:space="0"/>
            </w:tcBorders>
            <w:shd w:val="clear" w:color="auto" w:fill="auto"/>
            <w:vAlign w:val="center"/>
          </w:tcPr>
          <w:p w14:paraId="4DB7DF98">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6D2F9342">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07" w:type="pct"/>
            <w:vMerge w:val="continue"/>
            <w:tcBorders>
              <w:top w:val="nil"/>
              <w:left w:val="nil"/>
              <w:bottom w:val="single" w:color="000000" w:sz="8" w:space="0"/>
              <w:right w:val="single" w:color="000000" w:sz="8" w:space="0"/>
            </w:tcBorders>
            <w:shd w:val="clear" w:color="auto" w:fill="auto"/>
            <w:vAlign w:val="center"/>
          </w:tcPr>
          <w:p w14:paraId="525C910A">
            <w:pPr>
              <w:pStyle w:val="42"/>
              <w:keepNext w:val="0"/>
              <w:keepLines w:val="0"/>
              <w:suppressLineNumbers w:val="0"/>
              <w:bidi w:val="0"/>
              <w:spacing w:before="0" w:beforeAutospacing="0" w:after="0" w:afterAutospacing="0"/>
              <w:rPr>
                <w:rFonts w:hint="default"/>
              </w:rPr>
            </w:pP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3743D5C5">
            <w:pPr>
              <w:pStyle w:val="42"/>
              <w:keepNext w:val="0"/>
              <w:keepLines w:val="0"/>
              <w:suppressLineNumbers w:val="0"/>
              <w:bidi w:val="0"/>
              <w:spacing w:before="0" w:beforeAutospacing="0" w:after="0" w:afterAutospacing="0"/>
              <w:rPr>
                <w:rFonts w:hint="default"/>
              </w:rPr>
            </w:pPr>
          </w:p>
        </w:tc>
      </w:tr>
      <w:tr w14:paraId="65D29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restart"/>
            <w:tcBorders>
              <w:top w:val="nil"/>
              <w:left w:val="single" w:color="000000" w:sz="12" w:space="0"/>
              <w:bottom w:val="single" w:color="000000" w:sz="8" w:space="0"/>
              <w:right w:val="single" w:color="000000" w:sz="8" w:space="0"/>
            </w:tcBorders>
            <w:shd w:val="clear" w:color="auto" w:fill="auto"/>
            <w:vAlign w:val="center"/>
          </w:tcPr>
          <w:p w14:paraId="0BC22D83">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44" w:type="pct"/>
            <w:vMerge w:val="restart"/>
            <w:tcBorders>
              <w:top w:val="nil"/>
              <w:left w:val="nil"/>
              <w:bottom w:val="single" w:color="000000" w:sz="8" w:space="0"/>
              <w:right w:val="single" w:color="000000" w:sz="8" w:space="0"/>
            </w:tcBorders>
            <w:shd w:val="clear" w:color="auto" w:fill="auto"/>
            <w:vAlign w:val="center"/>
          </w:tcPr>
          <w:p w14:paraId="3589DEF6">
            <w:pPr>
              <w:pStyle w:val="42"/>
              <w:keepNext w:val="0"/>
              <w:keepLines w:val="0"/>
              <w:suppressLineNumbers w:val="0"/>
              <w:bidi w:val="0"/>
              <w:spacing w:before="0" w:beforeAutospacing="0" w:after="0" w:afterAutospacing="0"/>
              <w:rPr>
                <w:rFonts w:hint="eastAsia"/>
              </w:rPr>
            </w:pPr>
            <w:r>
              <w:rPr>
                <w:rFonts w:hint="eastAsia"/>
                <w:lang w:val="en-US" w:eastAsia="zh-CN"/>
              </w:rPr>
              <w:t>污泥池</w:t>
            </w:r>
          </w:p>
        </w:tc>
        <w:tc>
          <w:tcPr>
            <w:tcW w:w="836" w:type="pct"/>
            <w:tcBorders>
              <w:top w:val="nil"/>
              <w:left w:val="nil"/>
              <w:bottom w:val="single" w:color="000000" w:sz="8" w:space="0"/>
              <w:right w:val="single" w:color="000000" w:sz="8" w:space="0"/>
            </w:tcBorders>
            <w:shd w:val="clear" w:color="auto" w:fill="auto"/>
            <w:vAlign w:val="center"/>
          </w:tcPr>
          <w:p w14:paraId="51AB2106">
            <w:pPr>
              <w:pStyle w:val="42"/>
              <w:keepNext w:val="0"/>
              <w:keepLines w:val="0"/>
              <w:suppressLineNumbers w:val="0"/>
              <w:bidi w:val="0"/>
              <w:spacing w:before="0" w:beforeAutospacing="0" w:after="0" w:afterAutospacing="0"/>
              <w:rPr>
                <w:rFonts w:hint="eastAsia"/>
              </w:rPr>
            </w:pPr>
            <w:r>
              <w:rPr>
                <w:rFonts w:hint="eastAsia"/>
                <w:lang w:val="en-US" w:eastAsia="zh-CN"/>
              </w:rPr>
              <w:t>水面积（m</w:t>
            </w:r>
            <w:r>
              <w:rPr>
                <w:rFonts w:hint="eastAsia"/>
                <w:vertAlign w:val="superscript"/>
                <w:lang w:val="en-US" w:eastAsia="zh-CN"/>
              </w:rPr>
              <w:t>2</w:t>
            </w:r>
            <w:r>
              <w:rPr>
                <w:rFonts w:hint="eastAsia"/>
                <w:lang w:val="en-US" w:eastAsia="zh-CN"/>
              </w:rPr>
              <w:t>）</w:t>
            </w:r>
          </w:p>
        </w:tc>
        <w:tc>
          <w:tcPr>
            <w:tcW w:w="609" w:type="pct"/>
            <w:tcBorders>
              <w:top w:val="nil"/>
              <w:left w:val="nil"/>
              <w:bottom w:val="single" w:color="000000" w:sz="8" w:space="0"/>
              <w:right w:val="single" w:color="000000" w:sz="8" w:space="0"/>
            </w:tcBorders>
            <w:shd w:val="clear" w:color="auto" w:fill="auto"/>
            <w:vAlign w:val="center"/>
          </w:tcPr>
          <w:p w14:paraId="2A4F0799">
            <w:pPr>
              <w:pStyle w:val="42"/>
              <w:keepNext w:val="0"/>
              <w:keepLines w:val="0"/>
              <w:suppressLineNumbers w:val="0"/>
              <w:bidi w:val="0"/>
              <w:spacing w:before="0" w:beforeAutospacing="0" w:after="0" w:afterAutospacing="0"/>
              <w:rPr>
                <w:rFonts w:hint="default"/>
              </w:rPr>
            </w:pPr>
            <w:r>
              <w:rPr>
                <w:rFonts w:hint="default"/>
                <w:lang w:val="en-US" w:eastAsia="zh-CN"/>
              </w:rPr>
              <w:t>50.2775</w:t>
            </w:r>
          </w:p>
        </w:tc>
        <w:tc>
          <w:tcPr>
            <w:tcW w:w="841" w:type="pct"/>
            <w:tcBorders>
              <w:top w:val="nil"/>
              <w:left w:val="nil"/>
              <w:bottom w:val="single" w:color="000000" w:sz="8" w:space="0"/>
              <w:right w:val="single" w:color="000000" w:sz="8" w:space="0"/>
            </w:tcBorders>
            <w:shd w:val="clear" w:color="auto" w:fill="auto"/>
            <w:vAlign w:val="center"/>
          </w:tcPr>
          <w:p w14:paraId="0456B5C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645" w:type="pct"/>
            <w:tcBorders>
              <w:top w:val="nil"/>
              <w:left w:val="nil"/>
              <w:bottom w:val="single" w:color="000000" w:sz="8" w:space="0"/>
              <w:right w:val="single" w:color="000000" w:sz="8" w:space="0"/>
            </w:tcBorders>
            <w:shd w:val="clear" w:color="auto" w:fill="auto"/>
            <w:vAlign w:val="center"/>
          </w:tcPr>
          <w:p w14:paraId="584F0062">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507" w:type="pct"/>
            <w:vMerge w:val="restart"/>
            <w:tcBorders>
              <w:top w:val="nil"/>
              <w:left w:val="nil"/>
              <w:bottom w:val="single" w:color="000000" w:sz="8" w:space="0"/>
              <w:right w:val="single" w:color="000000" w:sz="8" w:space="0"/>
            </w:tcBorders>
            <w:shd w:val="clear" w:color="auto" w:fill="auto"/>
            <w:vAlign w:val="center"/>
          </w:tcPr>
          <w:p w14:paraId="1D744AB1">
            <w:pPr>
              <w:pStyle w:val="42"/>
              <w:keepNext w:val="0"/>
              <w:keepLines w:val="0"/>
              <w:suppressLineNumbers w:val="0"/>
              <w:bidi w:val="0"/>
              <w:spacing w:before="0" w:beforeAutospacing="0" w:after="0" w:afterAutospacing="0"/>
              <w:rPr>
                <w:rFonts w:hint="default"/>
              </w:rPr>
            </w:pPr>
            <w:r>
              <w:rPr>
                <w:rFonts w:hint="default"/>
                <w:lang w:val="en-US" w:eastAsia="zh-CN"/>
              </w:rPr>
              <w:t>201.11</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1AC9B075">
            <w:pPr>
              <w:pStyle w:val="42"/>
              <w:keepNext w:val="0"/>
              <w:keepLines w:val="0"/>
              <w:suppressLineNumbers w:val="0"/>
              <w:bidi w:val="0"/>
              <w:spacing w:before="0" w:beforeAutospacing="0" w:after="0" w:afterAutospacing="0"/>
              <w:rPr>
                <w:rFonts w:hint="default"/>
              </w:rPr>
            </w:pPr>
          </w:p>
        </w:tc>
      </w:tr>
      <w:tr w14:paraId="5336D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36" w:type="pct"/>
            <w:vMerge w:val="continue"/>
            <w:tcBorders>
              <w:top w:val="nil"/>
              <w:left w:val="single" w:color="000000" w:sz="12" w:space="0"/>
              <w:bottom w:val="single" w:color="000000" w:sz="8" w:space="0"/>
              <w:right w:val="single" w:color="000000" w:sz="8" w:space="0"/>
            </w:tcBorders>
            <w:shd w:val="clear" w:color="auto" w:fill="auto"/>
            <w:vAlign w:val="center"/>
          </w:tcPr>
          <w:p w14:paraId="72FA683D">
            <w:pPr>
              <w:pStyle w:val="42"/>
              <w:keepNext w:val="0"/>
              <w:keepLines w:val="0"/>
              <w:suppressLineNumbers w:val="0"/>
              <w:bidi w:val="0"/>
              <w:spacing w:before="0" w:beforeAutospacing="0" w:after="0" w:afterAutospacing="0"/>
              <w:rPr>
                <w:rFonts w:hint="default"/>
              </w:rPr>
            </w:pPr>
          </w:p>
        </w:tc>
        <w:tc>
          <w:tcPr>
            <w:tcW w:w="544" w:type="pct"/>
            <w:vMerge w:val="continue"/>
            <w:tcBorders>
              <w:top w:val="nil"/>
              <w:left w:val="nil"/>
              <w:bottom w:val="single" w:color="000000" w:sz="8" w:space="0"/>
              <w:right w:val="single" w:color="000000" w:sz="8" w:space="0"/>
            </w:tcBorders>
            <w:shd w:val="clear" w:color="auto" w:fill="auto"/>
            <w:vAlign w:val="center"/>
          </w:tcPr>
          <w:p w14:paraId="2382CE06">
            <w:pPr>
              <w:pStyle w:val="42"/>
              <w:keepNext w:val="0"/>
              <w:keepLines w:val="0"/>
              <w:suppressLineNumbers w:val="0"/>
              <w:bidi w:val="0"/>
              <w:spacing w:before="0" w:beforeAutospacing="0" w:after="0" w:afterAutospacing="0"/>
              <w:rPr>
                <w:rFonts w:hint="eastAsia"/>
              </w:rPr>
            </w:pPr>
          </w:p>
        </w:tc>
        <w:tc>
          <w:tcPr>
            <w:tcW w:w="836" w:type="pct"/>
            <w:tcBorders>
              <w:top w:val="nil"/>
              <w:left w:val="nil"/>
              <w:bottom w:val="single" w:color="000000" w:sz="8" w:space="0"/>
              <w:right w:val="single" w:color="000000" w:sz="8" w:space="0"/>
            </w:tcBorders>
            <w:shd w:val="clear" w:color="auto" w:fill="auto"/>
            <w:vAlign w:val="center"/>
          </w:tcPr>
          <w:p w14:paraId="769BD15F">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308D5F4D">
            <w:pPr>
              <w:pStyle w:val="42"/>
              <w:keepNext w:val="0"/>
              <w:keepLines w:val="0"/>
              <w:suppressLineNumbers w:val="0"/>
              <w:bidi w:val="0"/>
              <w:spacing w:before="0" w:beforeAutospacing="0" w:after="0" w:afterAutospacing="0"/>
              <w:rPr>
                <w:rFonts w:hint="default"/>
              </w:rPr>
            </w:pPr>
            <w:r>
              <w:rPr>
                <w:rFonts w:hint="default"/>
                <w:lang w:val="en-US" w:eastAsia="zh-CN"/>
              </w:rPr>
              <w:t>25.13875</w:t>
            </w:r>
          </w:p>
        </w:tc>
        <w:tc>
          <w:tcPr>
            <w:tcW w:w="841" w:type="pct"/>
            <w:tcBorders>
              <w:top w:val="nil"/>
              <w:left w:val="nil"/>
              <w:bottom w:val="single" w:color="000000" w:sz="8" w:space="0"/>
              <w:right w:val="single" w:color="000000" w:sz="8" w:space="0"/>
            </w:tcBorders>
            <w:shd w:val="clear" w:color="auto" w:fill="auto"/>
            <w:vAlign w:val="center"/>
          </w:tcPr>
          <w:p w14:paraId="3F4E5058">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66A4BDF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07" w:type="pct"/>
            <w:vMerge w:val="continue"/>
            <w:tcBorders>
              <w:top w:val="nil"/>
              <w:left w:val="nil"/>
              <w:bottom w:val="single" w:color="000000" w:sz="8" w:space="0"/>
              <w:right w:val="single" w:color="000000" w:sz="8" w:space="0"/>
            </w:tcBorders>
            <w:shd w:val="clear" w:color="auto" w:fill="auto"/>
            <w:vAlign w:val="center"/>
          </w:tcPr>
          <w:p w14:paraId="387E3E6B">
            <w:pPr>
              <w:pStyle w:val="42"/>
              <w:keepNext w:val="0"/>
              <w:keepLines w:val="0"/>
              <w:suppressLineNumbers w:val="0"/>
              <w:bidi w:val="0"/>
              <w:spacing w:before="0" w:beforeAutospacing="0" w:after="0" w:afterAutospacing="0"/>
              <w:rPr>
                <w:rFonts w:hint="default"/>
              </w:rPr>
            </w:pP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677320D2">
            <w:pPr>
              <w:pStyle w:val="42"/>
              <w:keepNext w:val="0"/>
              <w:keepLines w:val="0"/>
              <w:suppressLineNumbers w:val="0"/>
              <w:bidi w:val="0"/>
              <w:spacing w:before="0" w:beforeAutospacing="0" w:after="0" w:afterAutospacing="0"/>
              <w:rPr>
                <w:rFonts w:hint="default"/>
              </w:rPr>
            </w:pPr>
          </w:p>
        </w:tc>
      </w:tr>
      <w:tr w14:paraId="31DB2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40" w:hRule="atLeast"/>
        </w:trPr>
        <w:tc>
          <w:tcPr>
            <w:tcW w:w="336" w:type="pct"/>
            <w:tcBorders>
              <w:top w:val="nil"/>
              <w:left w:val="single" w:color="000000" w:sz="12" w:space="0"/>
              <w:bottom w:val="single" w:color="000000" w:sz="8" w:space="0"/>
              <w:right w:val="single" w:color="000000" w:sz="8" w:space="0"/>
            </w:tcBorders>
            <w:shd w:val="clear" w:color="auto" w:fill="auto"/>
            <w:vAlign w:val="center"/>
          </w:tcPr>
          <w:p w14:paraId="2FF10171">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44" w:type="pct"/>
            <w:tcBorders>
              <w:top w:val="nil"/>
              <w:left w:val="nil"/>
              <w:bottom w:val="single" w:color="000000" w:sz="8" w:space="0"/>
              <w:right w:val="single" w:color="000000" w:sz="8" w:space="0"/>
            </w:tcBorders>
            <w:shd w:val="clear" w:color="auto" w:fill="auto"/>
            <w:vAlign w:val="center"/>
          </w:tcPr>
          <w:p w14:paraId="449D387B">
            <w:pPr>
              <w:pStyle w:val="42"/>
              <w:keepNext w:val="0"/>
              <w:keepLines w:val="0"/>
              <w:suppressLineNumbers w:val="0"/>
              <w:bidi w:val="0"/>
              <w:spacing w:before="0" w:beforeAutospacing="0" w:after="0" w:afterAutospacing="0"/>
              <w:rPr>
                <w:rFonts w:hint="eastAsia"/>
              </w:rPr>
            </w:pPr>
            <w:r>
              <w:rPr>
                <w:rFonts w:hint="eastAsia"/>
                <w:lang w:val="en-US" w:eastAsia="zh-CN"/>
              </w:rPr>
              <w:t>污泥脱水间</w:t>
            </w:r>
          </w:p>
        </w:tc>
        <w:tc>
          <w:tcPr>
            <w:tcW w:w="836" w:type="pct"/>
            <w:tcBorders>
              <w:top w:val="nil"/>
              <w:left w:val="nil"/>
              <w:bottom w:val="single" w:color="000000" w:sz="8" w:space="0"/>
              <w:right w:val="single" w:color="000000" w:sz="8" w:space="0"/>
            </w:tcBorders>
            <w:shd w:val="clear" w:color="auto" w:fill="auto"/>
            <w:vAlign w:val="center"/>
          </w:tcPr>
          <w:p w14:paraId="733D1582">
            <w:pPr>
              <w:pStyle w:val="42"/>
              <w:keepNext w:val="0"/>
              <w:keepLines w:val="0"/>
              <w:suppressLineNumbers w:val="0"/>
              <w:bidi w:val="0"/>
              <w:spacing w:before="0" w:beforeAutospacing="0" w:after="0" w:afterAutospacing="0"/>
              <w:rPr>
                <w:rFonts w:hint="eastAsia"/>
              </w:rPr>
            </w:pPr>
            <w:r>
              <w:rPr>
                <w:rFonts w:hint="eastAsia"/>
                <w:lang w:val="en-US" w:eastAsia="zh-CN"/>
              </w:rPr>
              <w:t>盖内容积（</w:t>
            </w:r>
            <w:r>
              <w:rPr>
                <w:rFonts w:hint="default"/>
                <w:lang w:val="en-US" w:eastAsia="zh-CN"/>
              </w:rPr>
              <w:t>m³)</w:t>
            </w:r>
          </w:p>
        </w:tc>
        <w:tc>
          <w:tcPr>
            <w:tcW w:w="609" w:type="pct"/>
            <w:tcBorders>
              <w:top w:val="nil"/>
              <w:left w:val="nil"/>
              <w:bottom w:val="single" w:color="000000" w:sz="8" w:space="0"/>
              <w:right w:val="single" w:color="000000" w:sz="8" w:space="0"/>
            </w:tcBorders>
            <w:shd w:val="clear" w:color="auto" w:fill="auto"/>
            <w:vAlign w:val="center"/>
          </w:tcPr>
          <w:p w14:paraId="670F5EDE">
            <w:pPr>
              <w:pStyle w:val="42"/>
              <w:keepNext w:val="0"/>
              <w:keepLines w:val="0"/>
              <w:suppressLineNumbers w:val="0"/>
              <w:bidi w:val="0"/>
              <w:spacing w:before="0" w:beforeAutospacing="0" w:after="0" w:afterAutospacing="0"/>
              <w:rPr>
                <w:rFonts w:hint="default"/>
              </w:rPr>
            </w:pPr>
            <w:r>
              <w:rPr>
                <w:rFonts w:hint="default"/>
                <w:lang w:val="en-US" w:eastAsia="zh-CN"/>
              </w:rPr>
              <w:t>160</w:t>
            </w:r>
          </w:p>
        </w:tc>
        <w:tc>
          <w:tcPr>
            <w:tcW w:w="841" w:type="pct"/>
            <w:tcBorders>
              <w:top w:val="nil"/>
              <w:left w:val="nil"/>
              <w:bottom w:val="single" w:color="000000" w:sz="8" w:space="0"/>
              <w:right w:val="single" w:color="000000" w:sz="8" w:space="0"/>
            </w:tcBorders>
            <w:shd w:val="clear" w:color="auto" w:fill="auto"/>
            <w:vAlign w:val="center"/>
          </w:tcPr>
          <w:p w14:paraId="04E0002D">
            <w:pPr>
              <w:pStyle w:val="42"/>
              <w:keepNext w:val="0"/>
              <w:keepLines w:val="0"/>
              <w:suppressLineNumbers w:val="0"/>
              <w:bidi w:val="0"/>
              <w:spacing w:before="0" w:beforeAutospacing="0" w:after="0" w:afterAutospacing="0"/>
              <w:rPr>
                <w:rFonts w:hint="default"/>
              </w:rPr>
            </w:pPr>
            <w:r>
              <w:rPr>
                <w:rFonts w:hint="default"/>
                <w:lang w:val="en-US" w:eastAsia="zh-CN"/>
              </w:rPr>
              <w:t>/</w:t>
            </w:r>
          </w:p>
        </w:tc>
        <w:tc>
          <w:tcPr>
            <w:tcW w:w="645" w:type="pct"/>
            <w:tcBorders>
              <w:top w:val="nil"/>
              <w:left w:val="nil"/>
              <w:bottom w:val="single" w:color="000000" w:sz="8" w:space="0"/>
              <w:right w:val="single" w:color="000000" w:sz="8" w:space="0"/>
            </w:tcBorders>
            <w:shd w:val="clear" w:color="auto" w:fill="auto"/>
            <w:vAlign w:val="center"/>
          </w:tcPr>
          <w:p w14:paraId="21BAB69C">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07" w:type="pct"/>
            <w:tcBorders>
              <w:top w:val="nil"/>
              <w:left w:val="nil"/>
              <w:bottom w:val="single" w:color="000000" w:sz="8" w:space="0"/>
              <w:right w:val="single" w:color="000000" w:sz="8" w:space="0"/>
            </w:tcBorders>
            <w:shd w:val="clear" w:color="auto" w:fill="auto"/>
            <w:vAlign w:val="center"/>
          </w:tcPr>
          <w:p w14:paraId="53F91509">
            <w:pPr>
              <w:pStyle w:val="42"/>
              <w:keepNext w:val="0"/>
              <w:keepLines w:val="0"/>
              <w:suppressLineNumbers w:val="0"/>
              <w:bidi w:val="0"/>
              <w:spacing w:before="0" w:beforeAutospacing="0" w:after="0" w:afterAutospacing="0"/>
              <w:rPr>
                <w:rFonts w:hint="default"/>
              </w:rPr>
            </w:pPr>
            <w:r>
              <w:rPr>
                <w:rFonts w:hint="default"/>
                <w:lang w:val="en-US" w:eastAsia="zh-CN"/>
              </w:rPr>
              <w:t>1280</w:t>
            </w:r>
          </w:p>
        </w:tc>
        <w:tc>
          <w:tcPr>
            <w:tcW w:w="677" w:type="pct"/>
            <w:vMerge w:val="continue"/>
            <w:tcBorders>
              <w:top w:val="single" w:color="000000" w:sz="8" w:space="0"/>
              <w:left w:val="nil"/>
              <w:bottom w:val="single" w:color="000000" w:sz="8" w:space="0"/>
              <w:right w:val="single" w:color="000000" w:sz="12" w:space="0"/>
            </w:tcBorders>
            <w:shd w:val="clear" w:color="auto" w:fill="auto"/>
            <w:vAlign w:val="center"/>
          </w:tcPr>
          <w:p w14:paraId="1CEACE56">
            <w:pPr>
              <w:pStyle w:val="42"/>
              <w:keepNext w:val="0"/>
              <w:keepLines w:val="0"/>
              <w:suppressLineNumbers w:val="0"/>
              <w:bidi w:val="0"/>
              <w:spacing w:before="0" w:beforeAutospacing="0" w:after="0" w:afterAutospacing="0"/>
              <w:rPr>
                <w:rFonts w:hint="default"/>
              </w:rPr>
            </w:pPr>
          </w:p>
        </w:tc>
      </w:tr>
      <w:tr w14:paraId="201A9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0" w:type="pct"/>
            <w:gridSpan w:val="8"/>
            <w:tcBorders>
              <w:top w:val="nil"/>
              <w:left w:val="single" w:color="000000" w:sz="12" w:space="0"/>
              <w:bottom w:val="single" w:color="000000" w:sz="12" w:space="0"/>
              <w:right w:val="single" w:color="000000" w:sz="12" w:space="0"/>
            </w:tcBorders>
            <w:shd w:val="clear" w:color="auto" w:fill="auto"/>
            <w:vAlign w:val="center"/>
          </w:tcPr>
          <w:p w14:paraId="7D037E84">
            <w:pPr>
              <w:pStyle w:val="42"/>
              <w:keepNext w:val="0"/>
              <w:keepLines w:val="0"/>
              <w:suppressLineNumbers w:val="0"/>
              <w:bidi w:val="0"/>
              <w:spacing w:before="0" w:beforeAutospacing="0" w:after="0" w:afterAutospacing="0"/>
              <w:rPr>
                <w:rFonts w:hint="eastAsia"/>
              </w:rPr>
            </w:pPr>
            <w:r>
              <w:rPr>
                <w:rFonts w:hint="default"/>
                <w:lang w:val="en-US" w:eastAsia="zh-CN"/>
              </w:rPr>
              <w:t>注：加盖高度平均按0.5m计。</w:t>
            </w:r>
          </w:p>
        </w:tc>
      </w:tr>
    </w:tbl>
    <w:p w14:paraId="49D33F16">
      <w:pPr>
        <w:bidi w:val="0"/>
        <w:rPr>
          <w:rFonts w:hint="default"/>
          <w:highlight w:val="none"/>
        </w:rPr>
      </w:pPr>
      <w:r>
        <w:rPr>
          <w:rFonts w:hint="default"/>
          <w:highlight w:val="none"/>
        </w:rPr>
        <w:t>项目风机风量为1</w:t>
      </w:r>
      <w:r>
        <w:rPr>
          <w:rFonts w:hint="eastAsia"/>
          <w:highlight w:val="none"/>
          <w:lang w:val="en-US" w:eastAsia="zh-CN"/>
        </w:rPr>
        <w:t>0</w:t>
      </w:r>
      <w:r>
        <w:rPr>
          <w:rFonts w:hint="default"/>
          <w:highlight w:val="none"/>
        </w:rPr>
        <w:t>000</w:t>
      </w:r>
      <w:r>
        <w:rPr>
          <w:rFonts w:hint="eastAsia"/>
          <w:highlight w:val="none"/>
          <w:lang w:eastAsia="zh-CN"/>
        </w:rPr>
        <w:t>m</w:t>
      </w:r>
      <w:r>
        <w:rPr>
          <w:rFonts w:hint="eastAsia"/>
          <w:highlight w:val="none"/>
          <w:vertAlign w:val="superscript"/>
          <w:lang w:eastAsia="zh-CN"/>
        </w:rPr>
        <w:t>3</w:t>
      </w:r>
      <w:r>
        <w:rPr>
          <w:rFonts w:hint="default"/>
          <w:highlight w:val="none"/>
        </w:rPr>
        <w:t>/h，年工作时间为8760h，臭气处理效率为90%。则经过处理后项目有组织、无组织臭气污染产生及排放情况见下表：</w:t>
      </w:r>
    </w:p>
    <w:p w14:paraId="6B6853D7">
      <w:pPr>
        <w:pStyle w:val="39"/>
        <w:bidi w:val="0"/>
        <w:rPr>
          <w:rFonts w:hint="default"/>
        </w:rPr>
      </w:pPr>
      <w:r>
        <w:rPr>
          <w:rFonts w:hint="default"/>
        </w:rPr>
        <w:t>表 4.</w:t>
      </w:r>
      <w:r>
        <w:rPr>
          <w:rFonts w:hint="eastAsia"/>
          <w:lang w:val="en-US" w:eastAsia="zh-CN"/>
        </w:rPr>
        <w:t>5</w:t>
      </w:r>
      <w:r>
        <w:rPr>
          <w:rFonts w:hint="default"/>
        </w:rPr>
        <w:t>-</w:t>
      </w:r>
      <w:r>
        <w:rPr>
          <w:rFonts w:hint="eastAsia"/>
          <w:lang w:val="en-US" w:eastAsia="zh-CN"/>
        </w:rPr>
        <w:t>5</w:t>
      </w:r>
      <w:r>
        <w:rPr>
          <w:rFonts w:hint="default"/>
        </w:rPr>
        <w:t xml:space="preserve">  本项目有组织臭气污染产生及治理后排放情况</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38"/>
        <w:gridCol w:w="631"/>
        <w:gridCol w:w="1089"/>
        <w:gridCol w:w="949"/>
        <w:gridCol w:w="804"/>
        <w:gridCol w:w="1221"/>
        <w:gridCol w:w="976"/>
        <w:gridCol w:w="1089"/>
        <w:gridCol w:w="1036"/>
      </w:tblGrid>
      <w:tr w14:paraId="3CDF70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23" w:type="pct"/>
            <w:vMerge w:val="restart"/>
            <w:tcBorders>
              <w:top w:val="single" w:color="000000" w:sz="12" w:space="0"/>
              <w:left w:val="single" w:color="000000" w:sz="12" w:space="0"/>
              <w:bottom w:val="single" w:color="000000" w:sz="4" w:space="0"/>
              <w:right w:val="single" w:color="000000" w:sz="4" w:space="0"/>
            </w:tcBorders>
            <w:vAlign w:val="center"/>
          </w:tcPr>
          <w:p w14:paraId="56E29732">
            <w:pPr>
              <w:pStyle w:val="42"/>
              <w:bidi w:val="0"/>
              <w:jc w:val="center"/>
            </w:pPr>
            <w:r>
              <w:t>产污 环节</w:t>
            </w:r>
          </w:p>
        </w:tc>
        <w:tc>
          <w:tcPr>
            <w:tcW w:w="379" w:type="pct"/>
            <w:vMerge w:val="restart"/>
            <w:tcBorders>
              <w:top w:val="single" w:color="000000" w:sz="12" w:space="0"/>
              <w:left w:val="single" w:color="000000" w:sz="4" w:space="0"/>
              <w:bottom w:val="single" w:color="000000" w:sz="4" w:space="0"/>
              <w:right w:val="single" w:color="000000" w:sz="4" w:space="0"/>
            </w:tcBorders>
            <w:vAlign w:val="center"/>
          </w:tcPr>
          <w:p w14:paraId="4F1E78D5">
            <w:pPr>
              <w:pStyle w:val="42"/>
              <w:bidi w:val="0"/>
              <w:jc w:val="center"/>
            </w:pPr>
            <w:r>
              <w:t>污染物种类</w:t>
            </w:r>
          </w:p>
        </w:tc>
        <w:tc>
          <w:tcPr>
            <w:tcW w:w="1704" w:type="pct"/>
            <w:gridSpan w:val="3"/>
            <w:tcBorders>
              <w:top w:val="single" w:color="000000" w:sz="12" w:space="0"/>
              <w:left w:val="single" w:color="000000" w:sz="4" w:space="0"/>
              <w:bottom w:val="single" w:color="000000" w:sz="4" w:space="0"/>
              <w:right w:val="single" w:color="000000" w:sz="4" w:space="0"/>
            </w:tcBorders>
            <w:vAlign w:val="center"/>
          </w:tcPr>
          <w:p w14:paraId="40773CAA">
            <w:pPr>
              <w:pStyle w:val="42"/>
              <w:bidi w:val="0"/>
              <w:jc w:val="center"/>
            </w:pPr>
            <w:r>
              <w:t>产生情况</w:t>
            </w:r>
          </w:p>
        </w:tc>
        <w:tc>
          <w:tcPr>
            <w:tcW w:w="732" w:type="pct"/>
            <w:tcBorders>
              <w:top w:val="single" w:color="000000" w:sz="12" w:space="0"/>
              <w:left w:val="single" w:color="000000" w:sz="4" w:space="0"/>
              <w:bottom w:val="single" w:color="000000" w:sz="4" w:space="0"/>
              <w:right w:val="single" w:color="000000" w:sz="4" w:space="0"/>
            </w:tcBorders>
            <w:vAlign w:val="center"/>
          </w:tcPr>
          <w:p w14:paraId="78461376">
            <w:pPr>
              <w:pStyle w:val="42"/>
              <w:bidi w:val="0"/>
              <w:jc w:val="center"/>
            </w:pPr>
            <w:r>
              <w:t>治理设施</w:t>
            </w:r>
          </w:p>
        </w:tc>
        <w:tc>
          <w:tcPr>
            <w:tcW w:w="1859" w:type="pct"/>
            <w:gridSpan w:val="3"/>
            <w:tcBorders>
              <w:top w:val="single" w:color="000000" w:sz="12" w:space="0"/>
              <w:left w:val="single" w:color="000000" w:sz="4" w:space="0"/>
              <w:bottom w:val="single" w:color="000000" w:sz="4" w:space="0"/>
              <w:right w:val="single" w:color="000000" w:sz="12" w:space="0"/>
            </w:tcBorders>
            <w:vAlign w:val="center"/>
          </w:tcPr>
          <w:p w14:paraId="60AC4C59">
            <w:pPr>
              <w:pStyle w:val="42"/>
              <w:bidi w:val="0"/>
              <w:jc w:val="center"/>
            </w:pPr>
            <w:r>
              <w:t>排放情况</w:t>
            </w:r>
          </w:p>
        </w:tc>
      </w:tr>
      <w:tr w14:paraId="03AD28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23" w:type="pct"/>
            <w:vMerge w:val="continue"/>
            <w:tcBorders>
              <w:top w:val="single" w:color="000000" w:sz="4" w:space="0"/>
              <w:left w:val="single" w:color="000000" w:sz="12" w:space="0"/>
              <w:bottom w:val="single" w:color="000000" w:sz="4" w:space="0"/>
              <w:right w:val="single" w:color="000000" w:sz="4" w:space="0"/>
            </w:tcBorders>
            <w:vAlign w:val="center"/>
          </w:tcPr>
          <w:p w14:paraId="6997AEAF">
            <w:pPr>
              <w:pStyle w:val="42"/>
              <w:bidi w:val="0"/>
              <w:jc w:val="center"/>
            </w:pPr>
          </w:p>
        </w:tc>
        <w:tc>
          <w:tcPr>
            <w:tcW w:w="379" w:type="pct"/>
            <w:vMerge w:val="continue"/>
            <w:tcBorders>
              <w:top w:val="single" w:color="000000" w:sz="4" w:space="0"/>
              <w:left w:val="single" w:color="000000" w:sz="4" w:space="0"/>
              <w:bottom w:val="single" w:color="000000" w:sz="4" w:space="0"/>
              <w:right w:val="single" w:color="000000" w:sz="4" w:space="0"/>
            </w:tcBorders>
            <w:vAlign w:val="center"/>
          </w:tcPr>
          <w:p w14:paraId="4EEE720E">
            <w:pPr>
              <w:pStyle w:val="42"/>
              <w:bidi w:val="0"/>
              <w:jc w:val="center"/>
            </w:pPr>
          </w:p>
        </w:tc>
        <w:tc>
          <w:tcPr>
            <w:tcW w:w="653" w:type="pct"/>
            <w:tcBorders>
              <w:top w:val="single" w:color="000000" w:sz="4" w:space="0"/>
              <w:left w:val="single" w:color="000000" w:sz="4" w:space="0"/>
              <w:bottom w:val="single" w:color="000000" w:sz="4" w:space="0"/>
              <w:right w:val="single" w:color="000000" w:sz="4" w:space="0"/>
            </w:tcBorders>
            <w:vAlign w:val="center"/>
          </w:tcPr>
          <w:p w14:paraId="3D7F7D6D">
            <w:pPr>
              <w:pStyle w:val="42"/>
              <w:bidi w:val="0"/>
              <w:jc w:val="center"/>
            </w:pPr>
            <w:r>
              <w:t>产生量(t/a)</w:t>
            </w:r>
          </w:p>
        </w:tc>
        <w:tc>
          <w:tcPr>
            <w:tcW w:w="569" w:type="pct"/>
            <w:tcBorders>
              <w:top w:val="single" w:color="000000" w:sz="4" w:space="0"/>
              <w:left w:val="single" w:color="000000" w:sz="4" w:space="0"/>
              <w:bottom w:val="single" w:color="000000" w:sz="4" w:space="0"/>
              <w:right w:val="single" w:color="000000" w:sz="4" w:space="0"/>
            </w:tcBorders>
            <w:vAlign w:val="center"/>
          </w:tcPr>
          <w:p w14:paraId="71F978C5">
            <w:pPr>
              <w:pStyle w:val="42"/>
              <w:bidi w:val="0"/>
              <w:jc w:val="center"/>
            </w:pPr>
            <w:r>
              <w:t>速率(kg/h)</w:t>
            </w:r>
          </w:p>
        </w:tc>
        <w:tc>
          <w:tcPr>
            <w:tcW w:w="481" w:type="pct"/>
            <w:tcBorders>
              <w:top w:val="single" w:color="000000" w:sz="4" w:space="0"/>
              <w:left w:val="single" w:color="000000" w:sz="4" w:space="0"/>
              <w:bottom w:val="single" w:color="000000" w:sz="4" w:space="0"/>
              <w:right w:val="single" w:color="000000" w:sz="4" w:space="0"/>
            </w:tcBorders>
            <w:vAlign w:val="center"/>
          </w:tcPr>
          <w:p w14:paraId="547CAC78">
            <w:pPr>
              <w:pStyle w:val="42"/>
              <w:bidi w:val="0"/>
              <w:jc w:val="center"/>
            </w:pPr>
            <w:r>
              <w:t>浓度(mg/</w:t>
            </w:r>
            <w:r>
              <w:rPr>
                <w:rFonts w:hint="eastAsia"/>
                <w:lang w:eastAsia="zh-CN"/>
              </w:rPr>
              <w:t>m</w:t>
            </w:r>
            <w:r>
              <w:rPr>
                <w:rFonts w:hint="eastAsia"/>
                <w:vertAlign w:val="superscript"/>
                <w:lang w:eastAsia="zh-CN"/>
              </w:rPr>
              <w:t>3</w:t>
            </w:r>
            <w:r>
              <w:t>)</w:t>
            </w:r>
          </w:p>
        </w:tc>
        <w:tc>
          <w:tcPr>
            <w:tcW w:w="732" w:type="pct"/>
            <w:tcBorders>
              <w:top w:val="single" w:color="000000" w:sz="4" w:space="0"/>
              <w:left w:val="single" w:color="000000" w:sz="4" w:space="0"/>
              <w:bottom w:val="single" w:color="000000" w:sz="4" w:space="0"/>
              <w:right w:val="single" w:color="000000" w:sz="4" w:space="0"/>
            </w:tcBorders>
            <w:vAlign w:val="center"/>
          </w:tcPr>
          <w:p w14:paraId="139F3998">
            <w:pPr>
              <w:pStyle w:val="42"/>
              <w:bidi w:val="0"/>
              <w:jc w:val="center"/>
            </w:pPr>
            <w:r>
              <w:t>处理措施</w:t>
            </w:r>
          </w:p>
        </w:tc>
        <w:tc>
          <w:tcPr>
            <w:tcW w:w="585" w:type="pct"/>
            <w:tcBorders>
              <w:top w:val="single" w:color="000000" w:sz="4" w:space="0"/>
              <w:left w:val="single" w:color="000000" w:sz="4" w:space="0"/>
              <w:bottom w:val="single" w:color="000000" w:sz="4" w:space="0"/>
              <w:right w:val="single" w:color="000000" w:sz="4" w:space="0"/>
            </w:tcBorders>
            <w:vAlign w:val="center"/>
          </w:tcPr>
          <w:p w14:paraId="743341CE">
            <w:pPr>
              <w:pStyle w:val="42"/>
              <w:bidi w:val="0"/>
              <w:jc w:val="center"/>
            </w:pPr>
            <w:r>
              <w:t>排放量(t/a)</w:t>
            </w:r>
          </w:p>
        </w:tc>
        <w:tc>
          <w:tcPr>
            <w:tcW w:w="653" w:type="pct"/>
            <w:tcBorders>
              <w:top w:val="single" w:color="000000" w:sz="4" w:space="0"/>
              <w:left w:val="single" w:color="000000" w:sz="4" w:space="0"/>
              <w:bottom w:val="single" w:color="000000" w:sz="4" w:space="0"/>
              <w:right w:val="single" w:color="000000" w:sz="4" w:space="0"/>
            </w:tcBorders>
            <w:vAlign w:val="center"/>
          </w:tcPr>
          <w:p w14:paraId="2B754B78">
            <w:pPr>
              <w:pStyle w:val="42"/>
              <w:bidi w:val="0"/>
              <w:jc w:val="center"/>
            </w:pPr>
            <w:r>
              <w:t>速率(kg/h)</w:t>
            </w:r>
          </w:p>
        </w:tc>
        <w:tc>
          <w:tcPr>
            <w:tcW w:w="620" w:type="pct"/>
            <w:tcBorders>
              <w:top w:val="single" w:color="000000" w:sz="4" w:space="0"/>
              <w:left w:val="single" w:color="000000" w:sz="4" w:space="0"/>
              <w:bottom w:val="single" w:color="000000" w:sz="4" w:space="0"/>
              <w:right w:val="single" w:color="000000" w:sz="12" w:space="0"/>
            </w:tcBorders>
            <w:vAlign w:val="center"/>
          </w:tcPr>
          <w:p w14:paraId="227A5B14">
            <w:pPr>
              <w:pStyle w:val="42"/>
              <w:bidi w:val="0"/>
              <w:jc w:val="center"/>
            </w:pPr>
            <w:r>
              <w:t>浓度(mg/</w:t>
            </w:r>
            <w:r>
              <w:rPr>
                <w:rFonts w:hint="eastAsia"/>
                <w:lang w:eastAsia="zh-CN"/>
              </w:rPr>
              <w:t>m</w:t>
            </w:r>
            <w:r>
              <w:rPr>
                <w:rFonts w:hint="eastAsia"/>
                <w:vertAlign w:val="superscript"/>
                <w:lang w:eastAsia="zh-CN"/>
              </w:rPr>
              <w:t>3</w:t>
            </w:r>
            <w:r>
              <w:t>)</w:t>
            </w:r>
          </w:p>
        </w:tc>
      </w:tr>
      <w:tr w14:paraId="7A585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23" w:type="pct"/>
            <w:vMerge w:val="restart"/>
            <w:tcBorders>
              <w:top w:val="single" w:color="000000" w:sz="4" w:space="0"/>
              <w:left w:val="single" w:color="000000" w:sz="12" w:space="0"/>
              <w:bottom w:val="single" w:color="000000" w:sz="4" w:space="0"/>
              <w:right w:val="single" w:color="000000" w:sz="4" w:space="0"/>
            </w:tcBorders>
            <w:vAlign w:val="center"/>
          </w:tcPr>
          <w:p w14:paraId="301F1855">
            <w:pPr>
              <w:pStyle w:val="42"/>
              <w:bidi w:val="0"/>
              <w:jc w:val="center"/>
              <w:rPr>
                <w:rFonts w:hint="default" w:eastAsia="宋体"/>
                <w:lang w:val="en-US" w:eastAsia="zh-CN"/>
              </w:rPr>
            </w:pPr>
            <w:r>
              <w:rPr>
                <w:rFonts w:hint="eastAsia"/>
                <w:lang w:val="en-US" w:eastAsia="zh-CN"/>
              </w:rPr>
              <w:t>污水处理站</w:t>
            </w:r>
          </w:p>
        </w:tc>
        <w:tc>
          <w:tcPr>
            <w:tcW w:w="379" w:type="pct"/>
            <w:tcBorders>
              <w:top w:val="single" w:color="000000" w:sz="4" w:space="0"/>
              <w:left w:val="single" w:color="000000" w:sz="4" w:space="0"/>
              <w:bottom w:val="single" w:color="000000" w:sz="4" w:space="0"/>
              <w:right w:val="single" w:color="000000" w:sz="4" w:space="0"/>
            </w:tcBorders>
            <w:vAlign w:val="center"/>
          </w:tcPr>
          <w:p w14:paraId="2E0475E7">
            <w:pPr>
              <w:pStyle w:val="42"/>
              <w:bidi w:val="0"/>
            </w:pPr>
            <w:r>
              <w:rPr>
                <w:rFonts w:hint="eastAsia"/>
                <w:lang w:val="en-US" w:eastAsia="zh-CN"/>
              </w:rPr>
              <w:t>NH</w:t>
            </w:r>
            <w:r>
              <w:rPr>
                <w:rFonts w:hint="eastAsia"/>
                <w:vertAlign w:val="subscript"/>
                <w:lang w:val="en-US" w:eastAsia="zh-CN"/>
              </w:rPr>
              <w:t>3</w:t>
            </w:r>
          </w:p>
        </w:tc>
        <w:tc>
          <w:tcPr>
            <w:tcW w:w="653" w:type="pct"/>
            <w:tcBorders>
              <w:top w:val="single" w:color="000000" w:sz="4" w:space="0"/>
              <w:left w:val="single" w:color="000000" w:sz="4" w:space="0"/>
              <w:bottom w:val="single" w:color="000000" w:sz="4" w:space="0"/>
              <w:right w:val="single" w:color="000000" w:sz="4" w:space="0"/>
            </w:tcBorders>
            <w:vAlign w:val="center"/>
          </w:tcPr>
          <w:p w14:paraId="4FA33064">
            <w:pPr>
              <w:pStyle w:val="42"/>
              <w:bidi w:val="0"/>
              <w:rPr>
                <w:rFonts w:hint="default"/>
                <w:lang w:val="en-US" w:eastAsia="zh-CN"/>
              </w:rPr>
            </w:pPr>
            <w:r>
              <w:rPr>
                <w:rFonts w:hint="default"/>
                <w:lang w:val="en-US" w:eastAsia="zh-CN"/>
              </w:rPr>
              <w:t>2.48880</w:t>
            </w:r>
          </w:p>
        </w:tc>
        <w:tc>
          <w:tcPr>
            <w:tcW w:w="569" w:type="pct"/>
            <w:tcBorders>
              <w:top w:val="single" w:color="000000" w:sz="4" w:space="0"/>
              <w:left w:val="single" w:color="000000" w:sz="4" w:space="0"/>
              <w:bottom w:val="single" w:color="000000" w:sz="4" w:space="0"/>
              <w:right w:val="single" w:color="000000" w:sz="4" w:space="0"/>
            </w:tcBorders>
            <w:vAlign w:val="center"/>
          </w:tcPr>
          <w:p w14:paraId="4976E049">
            <w:pPr>
              <w:pStyle w:val="42"/>
              <w:bidi w:val="0"/>
            </w:pPr>
            <w:r>
              <w:rPr>
                <w:rFonts w:hint="default"/>
                <w:lang w:val="en-US" w:eastAsia="zh-CN"/>
              </w:rPr>
              <w:t>0.2841</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3EE7C">
            <w:pPr>
              <w:pStyle w:val="42"/>
              <w:bidi w:val="0"/>
              <w:rPr>
                <w:rFonts w:hint="default"/>
                <w:lang w:val="en-US" w:eastAsia="zh-CN"/>
              </w:rPr>
            </w:pPr>
            <w:r>
              <w:rPr>
                <w:rFonts w:hint="default"/>
                <w:lang w:val="en-US" w:eastAsia="zh-CN"/>
              </w:rPr>
              <w:t>28.41</w:t>
            </w:r>
          </w:p>
        </w:tc>
        <w:tc>
          <w:tcPr>
            <w:tcW w:w="732" w:type="pct"/>
            <w:vMerge w:val="restart"/>
            <w:tcBorders>
              <w:top w:val="single" w:color="000000" w:sz="4" w:space="0"/>
              <w:left w:val="single" w:color="000000" w:sz="4" w:space="0"/>
              <w:right w:val="single" w:color="000000" w:sz="4" w:space="0"/>
            </w:tcBorders>
            <w:shd w:val="clear" w:color="auto" w:fill="auto"/>
            <w:vAlign w:val="center"/>
          </w:tcPr>
          <w:p w14:paraId="292D9DC9">
            <w:pPr>
              <w:pStyle w:val="42"/>
              <w:bidi w:val="0"/>
              <w:rPr>
                <w:rFonts w:hint="default"/>
                <w:lang w:val="en-US" w:eastAsia="zh-CN"/>
              </w:rPr>
            </w:pPr>
            <w:r>
              <w:rPr>
                <w:rFonts w:hint="eastAsia"/>
                <w:lang w:val="en-US" w:eastAsia="zh-CN"/>
              </w:rPr>
              <w:t>二级喷淋塔</w:t>
            </w:r>
            <w:r>
              <w:rPr>
                <w:rFonts w:hint="default"/>
                <w:lang w:val="en-US" w:eastAsia="zh-CN"/>
              </w:rPr>
              <w:t>+</w:t>
            </w:r>
            <w:r>
              <w:rPr>
                <w:rFonts w:hint="eastAsia"/>
                <w:lang w:val="en-US" w:eastAsia="zh-CN"/>
              </w:rPr>
              <w:t>生物滤池处理+15m排气筒DA001，</w:t>
            </w:r>
            <w:r>
              <w:rPr>
                <w:rFonts w:hint="default"/>
                <w:lang w:val="en-US" w:eastAsia="zh-CN"/>
              </w:rPr>
              <w:t>90%</w:t>
            </w:r>
          </w:p>
        </w:tc>
        <w:tc>
          <w:tcPr>
            <w:tcW w:w="585" w:type="pct"/>
            <w:tcBorders>
              <w:top w:val="single" w:color="000000" w:sz="4" w:space="0"/>
              <w:left w:val="single" w:color="000000" w:sz="4" w:space="0"/>
              <w:bottom w:val="single" w:color="000000" w:sz="4" w:space="0"/>
              <w:right w:val="single" w:color="000000" w:sz="4" w:space="0"/>
            </w:tcBorders>
            <w:vAlign w:val="center"/>
          </w:tcPr>
          <w:p w14:paraId="3E73015F">
            <w:pPr>
              <w:pStyle w:val="42"/>
              <w:bidi w:val="0"/>
            </w:pPr>
            <w:r>
              <w:rPr>
                <w:rFonts w:hint="default"/>
                <w:lang w:val="en-US" w:eastAsia="zh-CN"/>
              </w:rPr>
              <w:t>0.2489</w:t>
            </w:r>
          </w:p>
        </w:tc>
        <w:tc>
          <w:tcPr>
            <w:tcW w:w="653" w:type="pct"/>
            <w:tcBorders>
              <w:top w:val="single" w:color="000000" w:sz="4" w:space="0"/>
              <w:left w:val="single" w:color="000000" w:sz="4" w:space="0"/>
              <w:bottom w:val="single" w:color="000000" w:sz="4" w:space="0"/>
              <w:right w:val="single" w:color="000000" w:sz="4" w:space="0"/>
            </w:tcBorders>
            <w:vAlign w:val="center"/>
          </w:tcPr>
          <w:p w14:paraId="52F36144">
            <w:pPr>
              <w:pStyle w:val="42"/>
              <w:bidi w:val="0"/>
            </w:pPr>
            <w:r>
              <w:rPr>
                <w:rFonts w:hint="default"/>
                <w:lang w:val="en-US" w:eastAsia="zh-CN"/>
              </w:rPr>
              <w:t>0.0284</w:t>
            </w:r>
          </w:p>
        </w:tc>
        <w:tc>
          <w:tcPr>
            <w:tcW w:w="620" w:type="pct"/>
            <w:tcBorders>
              <w:top w:val="single" w:color="000000" w:sz="4" w:space="0"/>
              <w:left w:val="single" w:color="000000" w:sz="4" w:space="0"/>
              <w:bottom w:val="single" w:color="000000" w:sz="4" w:space="0"/>
              <w:right w:val="single" w:color="000000" w:sz="12" w:space="0"/>
            </w:tcBorders>
            <w:vAlign w:val="center"/>
          </w:tcPr>
          <w:p w14:paraId="0B304D5C">
            <w:pPr>
              <w:pStyle w:val="42"/>
              <w:bidi w:val="0"/>
            </w:pPr>
            <w:r>
              <w:rPr>
                <w:rFonts w:hint="default"/>
                <w:lang w:val="en-US" w:eastAsia="zh-CN"/>
              </w:rPr>
              <w:t>2.8411</w:t>
            </w:r>
          </w:p>
        </w:tc>
      </w:tr>
      <w:tr w14:paraId="4E3AC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323" w:type="pct"/>
            <w:vMerge w:val="continue"/>
            <w:tcBorders>
              <w:top w:val="single" w:color="000000" w:sz="4" w:space="0"/>
              <w:left w:val="single" w:color="000000" w:sz="12" w:space="0"/>
              <w:bottom w:val="single" w:color="000000" w:sz="12" w:space="0"/>
              <w:right w:val="single" w:color="000000" w:sz="4" w:space="0"/>
            </w:tcBorders>
            <w:vAlign w:val="center"/>
          </w:tcPr>
          <w:p w14:paraId="3757C8E8">
            <w:pPr>
              <w:pStyle w:val="42"/>
              <w:bidi w:val="0"/>
              <w:jc w:val="center"/>
            </w:pPr>
          </w:p>
        </w:tc>
        <w:tc>
          <w:tcPr>
            <w:tcW w:w="379" w:type="pct"/>
            <w:tcBorders>
              <w:top w:val="single" w:color="000000" w:sz="4" w:space="0"/>
              <w:left w:val="single" w:color="000000" w:sz="4" w:space="0"/>
              <w:bottom w:val="single" w:color="000000" w:sz="12" w:space="0"/>
              <w:right w:val="single" w:color="000000" w:sz="4" w:space="0"/>
            </w:tcBorders>
            <w:vAlign w:val="center"/>
          </w:tcPr>
          <w:p w14:paraId="124D3E57">
            <w:pPr>
              <w:pStyle w:val="42"/>
              <w:bidi w:val="0"/>
            </w:pPr>
            <w:r>
              <w:rPr>
                <w:rFonts w:hint="eastAsia"/>
                <w:lang w:val="en-US" w:eastAsia="zh-CN"/>
              </w:rPr>
              <w:t>H</w:t>
            </w:r>
            <w:r>
              <w:rPr>
                <w:rFonts w:hint="eastAsia"/>
                <w:vertAlign w:val="subscript"/>
                <w:lang w:val="en-US" w:eastAsia="zh-CN"/>
              </w:rPr>
              <w:t>2</w:t>
            </w:r>
            <w:r>
              <w:rPr>
                <w:rFonts w:hint="eastAsia"/>
                <w:lang w:val="en-US" w:eastAsia="zh-CN"/>
              </w:rPr>
              <w:t>S</w:t>
            </w:r>
          </w:p>
        </w:tc>
        <w:tc>
          <w:tcPr>
            <w:tcW w:w="653" w:type="pct"/>
            <w:tcBorders>
              <w:top w:val="single" w:color="000000" w:sz="4" w:space="0"/>
              <w:left w:val="single" w:color="000000" w:sz="4" w:space="0"/>
              <w:bottom w:val="single" w:color="000000" w:sz="12" w:space="0"/>
              <w:right w:val="single" w:color="000000" w:sz="4" w:space="0"/>
            </w:tcBorders>
            <w:vAlign w:val="center"/>
          </w:tcPr>
          <w:p w14:paraId="59E119E8">
            <w:pPr>
              <w:pStyle w:val="42"/>
              <w:bidi w:val="0"/>
              <w:rPr>
                <w:rFonts w:hint="default"/>
                <w:lang w:val="en-US" w:eastAsia="zh-CN"/>
              </w:rPr>
            </w:pPr>
            <w:r>
              <w:rPr>
                <w:rFonts w:hint="default"/>
                <w:lang w:val="en-US" w:eastAsia="zh-CN"/>
              </w:rPr>
              <w:t>0.00990</w:t>
            </w:r>
          </w:p>
        </w:tc>
        <w:tc>
          <w:tcPr>
            <w:tcW w:w="569" w:type="pct"/>
            <w:tcBorders>
              <w:top w:val="single" w:color="000000" w:sz="4" w:space="0"/>
              <w:left w:val="single" w:color="000000" w:sz="4" w:space="0"/>
              <w:bottom w:val="single" w:color="000000" w:sz="12" w:space="0"/>
              <w:right w:val="single" w:color="000000" w:sz="4" w:space="0"/>
            </w:tcBorders>
            <w:vAlign w:val="center"/>
          </w:tcPr>
          <w:p w14:paraId="509BC27A">
            <w:pPr>
              <w:pStyle w:val="42"/>
              <w:bidi w:val="0"/>
            </w:pPr>
            <w:r>
              <w:rPr>
                <w:rFonts w:hint="default"/>
                <w:lang w:val="en-US" w:eastAsia="zh-CN"/>
              </w:rPr>
              <w:t>0.0011</w:t>
            </w:r>
          </w:p>
        </w:tc>
        <w:tc>
          <w:tcPr>
            <w:tcW w:w="481" w:type="pct"/>
            <w:tcBorders>
              <w:top w:val="single" w:color="000000" w:sz="4" w:space="0"/>
              <w:left w:val="single" w:color="000000" w:sz="4" w:space="0"/>
              <w:bottom w:val="single" w:color="000000" w:sz="12" w:space="0"/>
              <w:right w:val="single" w:color="000000" w:sz="4" w:space="0"/>
            </w:tcBorders>
            <w:vAlign w:val="center"/>
          </w:tcPr>
          <w:p w14:paraId="248528CC">
            <w:pPr>
              <w:pStyle w:val="42"/>
              <w:bidi w:val="0"/>
            </w:pPr>
            <w:r>
              <w:rPr>
                <w:rFonts w:hint="default"/>
                <w:lang w:val="en-US" w:eastAsia="zh-CN"/>
              </w:rPr>
              <w:t>0.1130</w:t>
            </w:r>
          </w:p>
        </w:tc>
        <w:tc>
          <w:tcPr>
            <w:tcW w:w="732" w:type="pct"/>
            <w:vMerge w:val="continue"/>
            <w:tcBorders>
              <w:left w:val="single" w:color="000000" w:sz="4" w:space="0"/>
              <w:bottom w:val="single" w:color="000000" w:sz="12" w:space="0"/>
              <w:right w:val="single" w:color="000000" w:sz="4" w:space="0"/>
            </w:tcBorders>
            <w:vAlign w:val="center"/>
          </w:tcPr>
          <w:p w14:paraId="60C72229">
            <w:pPr>
              <w:pStyle w:val="42"/>
              <w:bidi w:val="0"/>
            </w:pPr>
          </w:p>
        </w:tc>
        <w:tc>
          <w:tcPr>
            <w:tcW w:w="585" w:type="pct"/>
            <w:tcBorders>
              <w:top w:val="single" w:color="000000" w:sz="4" w:space="0"/>
              <w:left w:val="single" w:color="000000" w:sz="4" w:space="0"/>
              <w:bottom w:val="single" w:color="000000" w:sz="12" w:space="0"/>
              <w:right w:val="single" w:color="000000" w:sz="4" w:space="0"/>
            </w:tcBorders>
            <w:vAlign w:val="center"/>
          </w:tcPr>
          <w:p w14:paraId="65F61F70">
            <w:pPr>
              <w:pStyle w:val="42"/>
              <w:bidi w:val="0"/>
            </w:pPr>
            <w:r>
              <w:rPr>
                <w:rFonts w:hint="default"/>
                <w:lang w:val="en-US" w:eastAsia="zh-CN"/>
              </w:rPr>
              <w:t>0.00099</w:t>
            </w:r>
          </w:p>
        </w:tc>
        <w:tc>
          <w:tcPr>
            <w:tcW w:w="653" w:type="pct"/>
            <w:tcBorders>
              <w:top w:val="single" w:color="000000" w:sz="4" w:space="0"/>
              <w:left w:val="single" w:color="000000" w:sz="4" w:space="0"/>
              <w:bottom w:val="single" w:color="000000" w:sz="12" w:space="0"/>
              <w:right w:val="single" w:color="000000" w:sz="4" w:space="0"/>
            </w:tcBorders>
            <w:vAlign w:val="center"/>
          </w:tcPr>
          <w:p w14:paraId="0A547B3C">
            <w:pPr>
              <w:pStyle w:val="42"/>
              <w:bidi w:val="0"/>
            </w:pPr>
            <w:r>
              <w:rPr>
                <w:rFonts w:hint="default"/>
                <w:lang w:val="en-US" w:eastAsia="zh-CN"/>
              </w:rPr>
              <w:t>0.00011</w:t>
            </w:r>
          </w:p>
        </w:tc>
        <w:tc>
          <w:tcPr>
            <w:tcW w:w="620" w:type="pct"/>
            <w:tcBorders>
              <w:top w:val="single" w:color="000000" w:sz="4" w:space="0"/>
              <w:left w:val="single" w:color="000000" w:sz="4" w:space="0"/>
              <w:bottom w:val="single" w:color="000000" w:sz="12" w:space="0"/>
              <w:right w:val="single" w:color="000000" w:sz="12" w:space="0"/>
            </w:tcBorders>
            <w:vAlign w:val="center"/>
          </w:tcPr>
          <w:p w14:paraId="2BB4D869">
            <w:pPr>
              <w:pStyle w:val="42"/>
              <w:bidi w:val="0"/>
            </w:pPr>
            <w:r>
              <w:rPr>
                <w:rFonts w:hint="default"/>
                <w:lang w:val="en-US" w:eastAsia="zh-CN"/>
              </w:rPr>
              <w:t>0.0113</w:t>
            </w:r>
          </w:p>
        </w:tc>
      </w:tr>
    </w:tbl>
    <w:p w14:paraId="1AAACDE0">
      <w:pPr>
        <w:pStyle w:val="39"/>
        <w:bidi w:val="0"/>
        <w:rPr>
          <w:rFonts w:hint="default"/>
          <w:lang w:val="en-US" w:eastAsia="zh-CN"/>
        </w:rPr>
      </w:pPr>
      <w:r>
        <w:rPr>
          <w:rFonts w:hint="default"/>
          <w:lang w:val="en-US" w:eastAsia="zh-CN"/>
        </w:rPr>
        <w:t>表 4.</w:t>
      </w:r>
      <w:r>
        <w:rPr>
          <w:rFonts w:hint="eastAsia"/>
          <w:lang w:val="en-US" w:eastAsia="zh-CN"/>
        </w:rPr>
        <w:t>5</w:t>
      </w:r>
      <w:r>
        <w:rPr>
          <w:rFonts w:hint="default"/>
          <w:lang w:val="en-US" w:eastAsia="zh-CN"/>
        </w:rPr>
        <w:t>-</w:t>
      </w:r>
      <w:r>
        <w:rPr>
          <w:rFonts w:hint="eastAsia"/>
          <w:lang w:val="en-US" w:eastAsia="zh-CN"/>
        </w:rPr>
        <w:t>6</w:t>
      </w:r>
      <w:r>
        <w:rPr>
          <w:rFonts w:hint="default"/>
          <w:lang w:val="en-US" w:eastAsia="zh-CN"/>
        </w:rPr>
        <w:t xml:space="preserve">  本项目无组织臭气污染产生及排放情况</w:t>
      </w:r>
    </w:p>
    <w:tbl>
      <w:tblPr>
        <w:tblStyle w:val="51"/>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962"/>
        <w:gridCol w:w="1145"/>
        <w:gridCol w:w="1240"/>
        <w:gridCol w:w="1162"/>
        <w:gridCol w:w="959"/>
        <w:gridCol w:w="1132"/>
        <w:gridCol w:w="1252"/>
      </w:tblGrid>
      <w:tr w14:paraId="383A80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86" w:type="pct"/>
            <w:tcBorders>
              <w:tl2br w:val="nil"/>
              <w:tr2bl w:val="nil"/>
            </w:tcBorders>
            <w:vAlign w:val="center"/>
          </w:tcPr>
          <w:p w14:paraId="6A24B4CD">
            <w:pPr>
              <w:pStyle w:val="42"/>
              <w:bidi w:val="0"/>
              <w:jc w:val="center"/>
            </w:pPr>
            <w:r>
              <w:t>序号</w:t>
            </w:r>
          </w:p>
        </w:tc>
        <w:tc>
          <w:tcPr>
            <w:tcW w:w="577" w:type="pct"/>
            <w:tcBorders>
              <w:tl2br w:val="nil"/>
              <w:tr2bl w:val="nil"/>
            </w:tcBorders>
            <w:vAlign w:val="center"/>
          </w:tcPr>
          <w:p w14:paraId="2BD71D48">
            <w:pPr>
              <w:pStyle w:val="42"/>
              <w:bidi w:val="0"/>
              <w:jc w:val="center"/>
            </w:pPr>
            <w:r>
              <w:t>污染源</w:t>
            </w:r>
          </w:p>
        </w:tc>
        <w:tc>
          <w:tcPr>
            <w:tcW w:w="687" w:type="pct"/>
            <w:tcBorders>
              <w:tl2br w:val="nil"/>
              <w:tr2bl w:val="nil"/>
            </w:tcBorders>
            <w:vAlign w:val="center"/>
          </w:tcPr>
          <w:p w14:paraId="279B2E18">
            <w:pPr>
              <w:pStyle w:val="42"/>
              <w:bidi w:val="0"/>
              <w:jc w:val="center"/>
            </w:pPr>
            <w:r>
              <w:t>污染物</w:t>
            </w:r>
          </w:p>
        </w:tc>
        <w:tc>
          <w:tcPr>
            <w:tcW w:w="744" w:type="pct"/>
            <w:tcBorders>
              <w:tl2br w:val="nil"/>
              <w:tr2bl w:val="nil"/>
            </w:tcBorders>
            <w:vAlign w:val="center"/>
          </w:tcPr>
          <w:p w14:paraId="3193108B">
            <w:pPr>
              <w:pStyle w:val="42"/>
              <w:bidi w:val="0"/>
              <w:jc w:val="center"/>
            </w:pPr>
            <w:r>
              <w:t>产生量(t/a)</w:t>
            </w:r>
          </w:p>
        </w:tc>
        <w:tc>
          <w:tcPr>
            <w:tcW w:w="697" w:type="pct"/>
            <w:tcBorders>
              <w:tl2br w:val="nil"/>
              <w:tr2bl w:val="nil"/>
            </w:tcBorders>
            <w:vAlign w:val="center"/>
          </w:tcPr>
          <w:p w14:paraId="609786E1">
            <w:pPr>
              <w:pStyle w:val="42"/>
              <w:bidi w:val="0"/>
              <w:jc w:val="center"/>
            </w:pPr>
            <w:r>
              <w:t>产生速率（kg/h）</w:t>
            </w:r>
          </w:p>
        </w:tc>
        <w:tc>
          <w:tcPr>
            <w:tcW w:w="575" w:type="pct"/>
            <w:tcBorders>
              <w:tl2br w:val="nil"/>
              <w:tr2bl w:val="nil"/>
            </w:tcBorders>
            <w:vAlign w:val="center"/>
          </w:tcPr>
          <w:p w14:paraId="1FB4FF24">
            <w:pPr>
              <w:pStyle w:val="42"/>
              <w:bidi w:val="0"/>
              <w:jc w:val="center"/>
            </w:pPr>
            <w:r>
              <w:t>排放量(t/a)</w:t>
            </w:r>
          </w:p>
        </w:tc>
        <w:tc>
          <w:tcPr>
            <w:tcW w:w="679" w:type="pct"/>
            <w:tcBorders>
              <w:tl2br w:val="nil"/>
              <w:tr2bl w:val="nil"/>
            </w:tcBorders>
            <w:vAlign w:val="center"/>
          </w:tcPr>
          <w:p w14:paraId="03AB1B80">
            <w:pPr>
              <w:pStyle w:val="42"/>
              <w:bidi w:val="0"/>
              <w:jc w:val="center"/>
            </w:pPr>
            <w:r>
              <w:t>排放速率（kg/h）</w:t>
            </w:r>
          </w:p>
        </w:tc>
        <w:tc>
          <w:tcPr>
            <w:tcW w:w="751" w:type="pct"/>
            <w:tcBorders>
              <w:tl2br w:val="nil"/>
              <w:tr2bl w:val="nil"/>
            </w:tcBorders>
            <w:vAlign w:val="center"/>
          </w:tcPr>
          <w:p w14:paraId="6002519C">
            <w:pPr>
              <w:pStyle w:val="42"/>
              <w:bidi w:val="0"/>
              <w:jc w:val="center"/>
            </w:pPr>
            <w:r>
              <w:t>排放源参数</w:t>
            </w:r>
          </w:p>
          <w:p w14:paraId="551B0AA3">
            <w:pPr>
              <w:pStyle w:val="42"/>
              <w:bidi w:val="0"/>
              <w:jc w:val="center"/>
              <w:rPr>
                <w:rFonts w:hint="default" w:eastAsia="宋体"/>
                <w:lang w:val="en-US" w:eastAsia="zh-CN"/>
              </w:rPr>
            </w:pPr>
            <w:r>
              <w:t>（m）</w:t>
            </w:r>
            <w:r>
              <w:rPr>
                <w:rFonts w:hint="eastAsia"/>
                <w:lang w:val="en-US" w:eastAsia="zh-CN"/>
              </w:rPr>
              <w:t>长宽</w:t>
            </w:r>
          </w:p>
        </w:tc>
      </w:tr>
      <w:tr w14:paraId="046880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86" w:type="pct"/>
            <w:tcBorders>
              <w:tl2br w:val="nil"/>
              <w:tr2bl w:val="nil"/>
            </w:tcBorders>
            <w:vAlign w:val="center"/>
          </w:tcPr>
          <w:p w14:paraId="5B1A853B">
            <w:pPr>
              <w:pStyle w:val="42"/>
              <w:bidi w:val="0"/>
              <w:jc w:val="center"/>
            </w:pPr>
            <w:r>
              <w:t>1</w:t>
            </w:r>
          </w:p>
        </w:tc>
        <w:tc>
          <w:tcPr>
            <w:tcW w:w="577" w:type="pct"/>
            <w:vMerge w:val="restart"/>
            <w:tcBorders>
              <w:tl2br w:val="nil"/>
              <w:tr2bl w:val="nil"/>
            </w:tcBorders>
            <w:vAlign w:val="center"/>
          </w:tcPr>
          <w:p w14:paraId="53824809">
            <w:pPr>
              <w:pStyle w:val="42"/>
              <w:bidi w:val="0"/>
              <w:jc w:val="center"/>
            </w:pPr>
            <w:r>
              <w:t>污水处理站</w:t>
            </w:r>
          </w:p>
        </w:tc>
        <w:tc>
          <w:tcPr>
            <w:tcW w:w="687" w:type="pct"/>
            <w:tcBorders>
              <w:tl2br w:val="nil"/>
              <w:tr2bl w:val="nil"/>
            </w:tcBorders>
            <w:vAlign w:val="center"/>
          </w:tcPr>
          <w:p w14:paraId="3DEA89AD">
            <w:pPr>
              <w:pStyle w:val="42"/>
              <w:bidi w:val="0"/>
              <w:jc w:val="center"/>
              <w:rPr>
                <w:rFonts w:hint="eastAsia" w:eastAsia="宋体"/>
                <w:lang w:eastAsia="zh-CN"/>
              </w:rPr>
            </w:pPr>
            <w:r>
              <w:rPr>
                <w:rFonts w:hint="eastAsia"/>
                <w:lang w:eastAsia="zh-CN"/>
              </w:rPr>
              <w:t>NH</w:t>
            </w:r>
            <w:r>
              <w:rPr>
                <w:rFonts w:hint="eastAsia"/>
                <w:vertAlign w:val="subscript"/>
                <w:lang w:eastAsia="zh-CN"/>
              </w:rPr>
              <w:t>3</w:t>
            </w:r>
          </w:p>
        </w:tc>
        <w:tc>
          <w:tcPr>
            <w:tcW w:w="744" w:type="pct"/>
            <w:tcBorders>
              <w:tl2br w:val="nil"/>
              <w:tr2bl w:val="nil"/>
            </w:tcBorders>
            <w:vAlign w:val="center"/>
          </w:tcPr>
          <w:p w14:paraId="3B95EEFD">
            <w:pPr>
              <w:pStyle w:val="42"/>
              <w:bidi w:val="0"/>
            </w:pPr>
            <w:r>
              <w:rPr>
                <w:rFonts w:hint="default"/>
                <w:lang w:val="en-US" w:eastAsia="zh-CN"/>
              </w:rPr>
              <w:t>0.3253</w:t>
            </w:r>
          </w:p>
        </w:tc>
        <w:tc>
          <w:tcPr>
            <w:tcW w:w="697" w:type="pct"/>
            <w:tcBorders>
              <w:tl2br w:val="nil"/>
              <w:tr2bl w:val="nil"/>
            </w:tcBorders>
            <w:vAlign w:val="center"/>
          </w:tcPr>
          <w:p w14:paraId="75E5713B">
            <w:pPr>
              <w:pStyle w:val="42"/>
              <w:bidi w:val="0"/>
            </w:pPr>
            <w:r>
              <w:rPr>
                <w:rFonts w:hint="default"/>
                <w:lang w:val="en-US" w:eastAsia="zh-CN"/>
              </w:rPr>
              <w:t>0.03714</w:t>
            </w:r>
          </w:p>
        </w:tc>
        <w:tc>
          <w:tcPr>
            <w:tcW w:w="575" w:type="pct"/>
            <w:tcBorders>
              <w:tl2br w:val="nil"/>
              <w:tr2bl w:val="nil"/>
            </w:tcBorders>
            <w:vAlign w:val="center"/>
          </w:tcPr>
          <w:p w14:paraId="11D026B3">
            <w:pPr>
              <w:pStyle w:val="42"/>
              <w:bidi w:val="0"/>
            </w:pPr>
            <w:r>
              <w:rPr>
                <w:rFonts w:hint="default"/>
                <w:lang w:val="en-US" w:eastAsia="zh-CN"/>
              </w:rPr>
              <w:t>0.3253</w:t>
            </w:r>
          </w:p>
        </w:tc>
        <w:tc>
          <w:tcPr>
            <w:tcW w:w="679" w:type="pct"/>
            <w:tcBorders>
              <w:tl2br w:val="nil"/>
              <w:tr2bl w:val="nil"/>
            </w:tcBorders>
            <w:vAlign w:val="center"/>
          </w:tcPr>
          <w:p w14:paraId="3AC4AABE">
            <w:pPr>
              <w:pStyle w:val="42"/>
              <w:bidi w:val="0"/>
            </w:pPr>
            <w:r>
              <w:rPr>
                <w:rFonts w:hint="default"/>
                <w:lang w:val="en-US" w:eastAsia="zh-CN"/>
              </w:rPr>
              <w:t>0.03714</w:t>
            </w:r>
          </w:p>
        </w:tc>
        <w:tc>
          <w:tcPr>
            <w:tcW w:w="751" w:type="pct"/>
            <w:vMerge w:val="restart"/>
            <w:tcBorders>
              <w:tl2br w:val="nil"/>
              <w:tr2bl w:val="nil"/>
            </w:tcBorders>
            <w:vAlign w:val="center"/>
          </w:tcPr>
          <w:p w14:paraId="437467C1">
            <w:pPr>
              <w:pStyle w:val="42"/>
              <w:bidi w:val="0"/>
              <w:jc w:val="center"/>
            </w:pPr>
            <w:r>
              <w:t>26*</w:t>
            </w:r>
            <w:r>
              <w:rPr>
                <w:rFonts w:hint="eastAsia"/>
                <w:lang w:val="en-US" w:eastAsia="zh-CN"/>
              </w:rPr>
              <w:t>38</w:t>
            </w:r>
          </w:p>
        </w:tc>
      </w:tr>
      <w:tr w14:paraId="4A52CB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86" w:type="pct"/>
            <w:tcBorders>
              <w:tl2br w:val="nil"/>
              <w:tr2bl w:val="nil"/>
            </w:tcBorders>
            <w:vAlign w:val="center"/>
          </w:tcPr>
          <w:p w14:paraId="7B8EF4A0">
            <w:pPr>
              <w:pStyle w:val="42"/>
              <w:bidi w:val="0"/>
              <w:jc w:val="center"/>
            </w:pPr>
            <w:r>
              <w:t>2</w:t>
            </w:r>
          </w:p>
        </w:tc>
        <w:tc>
          <w:tcPr>
            <w:tcW w:w="577" w:type="pct"/>
            <w:vMerge w:val="continue"/>
            <w:tcBorders>
              <w:tl2br w:val="nil"/>
              <w:tr2bl w:val="nil"/>
            </w:tcBorders>
            <w:vAlign w:val="center"/>
          </w:tcPr>
          <w:p w14:paraId="01327E03">
            <w:pPr>
              <w:pStyle w:val="42"/>
              <w:bidi w:val="0"/>
              <w:jc w:val="center"/>
            </w:pPr>
          </w:p>
        </w:tc>
        <w:tc>
          <w:tcPr>
            <w:tcW w:w="687" w:type="pct"/>
            <w:tcBorders>
              <w:tl2br w:val="nil"/>
              <w:tr2bl w:val="nil"/>
            </w:tcBorders>
            <w:vAlign w:val="center"/>
          </w:tcPr>
          <w:p w14:paraId="75733494">
            <w:pPr>
              <w:pStyle w:val="42"/>
              <w:bidi w:val="0"/>
              <w:jc w:val="center"/>
              <w:rPr>
                <w:rFonts w:hint="eastAsia" w:eastAsia="宋体"/>
                <w:lang w:eastAsia="zh-CN"/>
              </w:rPr>
            </w:pPr>
            <w:r>
              <w:rPr>
                <w:rFonts w:hint="eastAsia"/>
                <w:lang w:eastAsia="zh-CN"/>
              </w:rPr>
              <w:t>H</w:t>
            </w:r>
            <w:r>
              <w:rPr>
                <w:rFonts w:hint="eastAsia"/>
                <w:vertAlign w:val="subscript"/>
                <w:lang w:eastAsia="zh-CN"/>
              </w:rPr>
              <w:t>2</w:t>
            </w:r>
            <w:r>
              <w:rPr>
                <w:rFonts w:hint="eastAsia"/>
                <w:lang w:eastAsia="zh-CN"/>
              </w:rPr>
              <w:t>S</w:t>
            </w:r>
          </w:p>
        </w:tc>
        <w:tc>
          <w:tcPr>
            <w:tcW w:w="744" w:type="pct"/>
            <w:tcBorders>
              <w:tl2br w:val="nil"/>
              <w:tr2bl w:val="nil"/>
            </w:tcBorders>
            <w:vAlign w:val="center"/>
          </w:tcPr>
          <w:p w14:paraId="36C5AA22">
            <w:pPr>
              <w:pStyle w:val="42"/>
              <w:bidi w:val="0"/>
            </w:pPr>
            <w:r>
              <w:rPr>
                <w:rFonts w:hint="default"/>
                <w:lang w:val="en-US" w:eastAsia="zh-CN"/>
              </w:rPr>
              <w:t>0.00163</w:t>
            </w:r>
          </w:p>
        </w:tc>
        <w:tc>
          <w:tcPr>
            <w:tcW w:w="697" w:type="pct"/>
            <w:tcBorders>
              <w:tl2br w:val="nil"/>
              <w:tr2bl w:val="nil"/>
            </w:tcBorders>
            <w:vAlign w:val="center"/>
          </w:tcPr>
          <w:p w14:paraId="6242F863">
            <w:pPr>
              <w:pStyle w:val="42"/>
              <w:bidi w:val="0"/>
            </w:pPr>
            <w:r>
              <w:rPr>
                <w:rFonts w:hint="default"/>
                <w:lang w:val="en-US" w:eastAsia="zh-CN"/>
              </w:rPr>
              <w:t>0.00019</w:t>
            </w:r>
          </w:p>
        </w:tc>
        <w:tc>
          <w:tcPr>
            <w:tcW w:w="575" w:type="pct"/>
            <w:tcBorders>
              <w:tl2br w:val="nil"/>
              <w:tr2bl w:val="nil"/>
            </w:tcBorders>
            <w:vAlign w:val="center"/>
          </w:tcPr>
          <w:p w14:paraId="0464A655">
            <w:pPr>
              <w:pStyle w:val="42"/>
              <w:bidi w:val="0"/>
            </w:pPr>
            <w:r>
              <w:rPr>
                <w:rFonts w:hint="default"/>
                <w:lang w:val="en-US" w:eastAsia="zh-CN"/>
              </w:rPr>
              <w:t>0.00163</w:t>
            </w:r>
          </w:p>
        </w:tc>
        <w:tc>
          <w:tcPr>
            <w:tcW w:w="679" w:type="pct"/>
            <w:tcBorders>
              <w:tl2br w:val="nil"/>
              <w:tr2bl w:val="nil"/>
            </w:tcBorders>
            <w:vAlign w:val="center"/>
          </w:tcPr>
          <w:p w14:paraId="65A78DC2">
            <w:pPr>
              <w:pStyle w:val="42"/>
              <w:bidi w:val="0"/>
              <w:rPr>
                <w:rFonts w:hint="default"/>
                <w:lang w:val="en-US"/>
              </w:rPr>
            </w:pPr>
            <w:r>
              <w:rPr>
                <w:rFonts w:hint="default"/>
                <w:lang w:val="en-US" w:eastAsia="zh-CN"/>
              </w:rPr>
              <w:t>0.000186</w:t>
            </w:r>
          </w:p>
        </w:tc>
        <w:tc>
          <w:tcPr>
            <w:tcW w:w="751" w:type="pct"/>
            <w:vMerge w:val="continue"/>
            <w:tcBorders>
              <w:tl2br w:val="nil"/>
              <w:tr2bl w:val="nil"/>
            </w:tcBorders>
            <w:vAlign w:val="center"/>
          </w:tcPr>
          <w:p w14:paraId="70E0A1B9">
            <w:pPr>
              <w:pStyle w:val="42"/>
              <w:bidi w:val="0"/>
              <w:jc w:val="center"/>
            </w:pPr>
          </w:p>
        </w:tc>
      </w:tr>
    </w:tbl>
    <w:p w14:paraId="2A2D0CD9">
      <w:pPr>
        <w:pStyle w:val="39"/>
        <w:bidi w:val="0"/>
        <w:rPr>
          <w:rFonts w:hint="default" w:ascii="Times New Roman" w:hAnsi="Times New Roman" w:eastAsia="黑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表</w:t>
      </w: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eastAsia" w:cs="Times New Roman"/>
          <w:color w:val="auto"/>
          <w:highlight w:val="none"/>
          <w:u w:val="none" w:color="auto"/>
          <w:lang w:val="en-US" w:eastAsia="zh-CN"/>
        </w:rPr>
        <w:t>5</w:t>
      </w:r>
      <w:r>
        <w:rPr>
          <w:rFonts w:hint="default" w:ascii="Times New Roman" w:hAnsi="Times New Roman" w:cs="Times New Roman"/>
          <w:color w:val="auto"/>
          <w:highlight w:val="none"/>
          <w:u w:val="none" w:color="auto"/>
          <w:lang w:val="en-US" w:eastAsia="zh-CN"/>
        </w:rPr>
        <w:t>-</w:t>
      </w:r>
      <w:r>
        <w:rPr>
          <w:rFonts w:hint="eastAsia" w:cs="Times New Roman"/>
          <w:color w:val="auto"/>
          <w:highlight w:val="none"/>
          <w:u w:val="none" w:color="auto"/>
          <w:lang w:val="en-US" w:eastAsia="zh-CN"/>
        </w:rPr>
        <w:t>7</w:t>
      </w:r>
      <w:r>
        <w:rPr>
          <w:rFonts w:hint="default" w:ascii="Times New Roman" w:hAnsi="Times New Roman" w:cs="Times New Roman"/>
          <w:color w:val="auto"/>
          <w:highlight w:val="none"/>
          <w:u w:val="none" w:color="auto"/>
          <w:lang w:val="en-US" w:eastAsia="zh-CN"/>
        </w:rPr>
        <w:t xml:space="preserve">  排气筒设计参数</w:t>
      </w:r>
    </w:p>
    <w:tbl>
      <w:tblPr>
        <w:tblStyle w:val="30"/>
        <w:tblW w:w="491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07"/>
        <w:gridCol w:w="1104"/>
        <w:gridCol w:w="1392"/>
        <w:gridCol w:w="1251"/>
        <w:gridCol w:w="1140"/>
        <w:gridCol w:w="728"/>
        <w:gridCol w:w="728"/>
        <w:gridCol w:w="748"/>
      </w:tblGrid>
      <w:tr w14:paraId="25BF91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5" w:type="pct"/>
            <w:vMerge w:val="restart"/>
            <w:tcBorders>
              <w:tl2br w:val="nil"/>
              <w:tr2bl w:val="nil"/>
            </w:tcBorders>
            <w:noWrap w:val="0"/>
            <w:vAlign w:val="center"/>
          </w:tcPr>
          <w:p w14:paraId="2B0771B5">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排气筒编号</w:t>
            </w:r>
          </w:p>
        </w:tc>
        <w:tc>
          <w:tcPr>
            <w:tcW w:w="673" w:type="pct"/>
            <w:vMerge w:val="restart"/>
            <w:tcBorders>
              <w:tl2br w:val="nil"/>
              <w:tr2bl w:val="nil"/>
            </w:tcBorders>
            <w:noWrap w:val="0"/>
            <w:vAlign w:val="center"/>
          </w:tcPr>
          <w:p w14:paraId="33C384CF">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产污环节</w:t>
            </w:r>
          </w:p>
        </w:tc>
        <w:tc>
          <w:tcPr>
            <w:tcW w:w="849" w:type="pct"/>
            <w:vMerge w:val="restart"/>
            <w:tcBorders>
              <w:tl2br w:val="nil"/>
              <w:tr2bl w:val="nil"/>
            </w:tcBorders>
            <w:noWrap w:val="0"/>
            <w:vAlign w:val="center"/>
          </w:tcPr>
          <w:p w14:paraId="3C4EE767">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污染物</w:t>
            </w:r>
          </w:p>
        </w:tc>
        <w:tc>
          <w:tcPr>
            <w:tcW w:w="763" w:type="pct"/>
            <w:vMerge w:val="restart"/>
            <w:tcBorders>
              <w:tl2br w:val="nil"/>
              <w:tr2bl w:val="nil"/>
            </w:tcBorders>
            <w:noWrap w:val="0"/>
            <w:vAlign w:val="center"/>
          </w:tcPr>
          <w:p w14:paraId="33CDAE59">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废气量</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/h</w:t>
            </w:r>
          </w:p>
        </w:tc>
        <w:tc>
          <w:tcPr>
            <w:tcW w:w="2039" w:type="pct"/>
            <w:gridSpan w:val="4"/>
            <w:tcBorders>
              <w:tl2br w:val="nil"/>
              <w:tr2bl w:val="nil"/>
            </w:tcBorders>
            <w:noWrap w:val="0"/>
            <w:vAlign w:val="center"/>
          </w:tcPr>
          <w:p w14:paraId="0C4F4DA5">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排气筒情况</w:t>
            </w:r>
          </w:p>
        </w:tc>
      </w:tr>
      <w:tr w14:paraId="5AB8CA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5" w:type="pct"/>
            <w:vMerge w:val="continue"/>
            <w:tcBorders>
              <w:tl2br w:val="nil"/>
              <w:tr2bl w:val="nil"/>
            </w:tcBorders>
            <w:noWrap w:val="0"/>
            <w:vAlign w:val="center"/>
          </w:tcPr>
          <w:p w14:paraId="06984A11">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p>
        </w:tc>
        <w:tc>
          <w:tcPr>
            <w:tcW w:w="673" w:type="pct"/>
            <w:vMerge w:val="continue"/>
            <w:tcBorders>
              <w:tl2br w:val="nil"/>
              <w:tr2bl w:val="nil"/>
            </w:tcBorders>
            <w:noWrap w:val="0"/>
            <w:vAlign w:val="center"/>
          </w:tcPr>
          <w:p w14:paraId="73CF6983">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p>
        </w:tc>
        <w:tc>
          <w:tcPr>
            <w:tcW w:w="849" w:type="pct"/>
            <w:vMerge w:val="continue"/>
            <w:tcBorders>
              <w:tl2br w:val="nil"/>
              <w:tr2bl w:val="nil"/>
            </w:tcBorders>
            <w:noWrap w:val="0"/>
            <w:vAlign w:val="center"/>
          </w:tcPr>
          <w:p w14:paraId="09101EEB">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p>
        </w:tc>
        <w:tc>
          <w:tcPr>
            <w:tcW w:w="763" w:type="pct"/>
            <w:vMerge w:val="continue"/>
            <w:tcBorders>
              <w:tl2br w:val="nil"/>
              <w:tr2bl w:val="nil"/>
            </w:tcBorders>
            <w:noWrap w:val="0"/>
            <w:vAlign w:val="center"/>
          </w:tcPr>
          <w:p w14:paraId="5902AE7D">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p>
        </w:tc>
        <w:tc>
          <w:tcPr>
            <w:tcW w:w="695" w:type="pct"/>
            <w:tcBorders>
              <w:tl2br w:val="nil"/>
              <w:tr2bl w:val="nil"/>
            </w:tcBorders>
            <w:noWrap w:val="0"/>
            <w:vAlign w:val="center"/>
          </w:tcPr>
          <w:p w14:paraId="22269666">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数量</w:t>
            </w:r>
          </w:p>
          <w:p w14:paraId="6CE8DED5">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(个)</w:t>
            </w:r>
          </w:p>
        </w:tc>
        <w:tc>
          <w:tcPr>
            <w:tcW w:w="444" w:type="pct"/>
            <w:tcBorders>
              <w:tl2br w:val="nil"/>
              <w:tr2bl w:val="nil"/>
            </w:tcBorders>
            <w:noWrap w:val="0"/>
            <w:vAlign w:val="center"/>
          </w:tcPr>
          <w:p w14:paraId="416CE2D7">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高度(m)</w:t>
            </w:r>
          </w:p>
        </w:tc>
        <w:tc>
          <w:tcPr>
            <w:tcW w:w="444" w:type="pct"/>
            <w:tcBorders>
              <w:tl2br w:val="nil"/>
              <w:tr2bl w:val="nil"/>
            </w:tcBorders>
            <w:noWrap w:val="0"/>
            <w:vAlign w:val="center"/>
          </w:tcPr>
          <w:p w14:paraId="72E20DFE">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内径</w:t>
            </w:r>
          </w:p>
          <w:p w14:paraId="3A43BB2B">
            <w:pPr>
              <w:pStyle w:val="43"/>
              <w:keepNext w:val="0"/>
              <w:keepLines w:val="0"/>
              <w:widowControl/>
              <w:suppressLineNumbers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(m)</w:t>
            </w:r>
          </w:p>
        </w:tc>
        <w:tc>
          <w:tcPr>
            <w:tcW w:w="455" w:type="pct"/>
            <w:tcBorders>
              <w:tl2br w:val="nil"/>
              <w:tr2bl w:val="nil"/>
            </w:tcBorders>
            <w:noWrap w:val="0"/>
            <w:vAlign w:val="center"/>
          </w:tcPr>
          <w:p w14:paraId="3B69F9CC">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烟气速率（m/s）</w:t>
            </w:r>
          </w:p>
        </w:tc>
      </w:tr>
      <w:tr w14:paraId="62169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5" w:type="pct"/>
            <w:tcBorders>
              <w:tl2br w:val="nil"/>
              <w:tr2bl w:val="nil"/>
            </w:tcBorders>
            <w:noWrap w:val="0"/>
            <w:vAlign w:val="center"/>
          </w:tcPr>
          <w:p w14:paraId="080F8E59">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cs="Times New Roman"/>
                <w:color w:val="auto"/>
                <w:highlight w:val="none"/>
                <w:u w:val="none" w:color="auto"/>
                <w:lang w:val="en-US" w:eastAsia="zh-CN"/>
              </w:rPr>
              <w:t>DA00</w:t>
            </w:r>
            <w:r>
              <w:rPr>
                <w:rFonts w:hint="eastAsia" w:cs="Times New Roman"/>
                <w:color w:val="auto"/>
                <w:highlight w:val="none"/>
                <w:u w:val="none" w:color="auto"/>
                <w:lang w:val="en-US" w:eastAsia="zh-CN"/>
              </w:rPr>
              <w:t>1</w:t>
            </w:r>
          </w:p>
        </w:tc>
        <w:tc>
          <w:tcPr>
            <w:tcW w:w="673" w:type="pct"/>
            <w:tcBorders>
              <w:tl2br w:val="nil"/>
              <w:tr2bl w:val="nil"/>
            </w:tcBorders>
            <w:noWrap w:val="0"/>
            <w:vAlign w:val="center"/>
          </w:tcPr>
          <w:p w14:paraId="45AE9B5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废水处理过程</w:t>
            </w:r>
          </w:p>
        </w:tc>
        <w:tc>
          <w:tcPr>
            <w:tcW w:w="849" w:type="pct"/>
            <w:tcBorders>
              <w:tl2br w:val="nil"/>
              <w:tr2bl w:val="nil"/>
            </w:tcBorders>
            <w:noWrap w:val="0"/>
            <w:vAlign w:val="center"/>
          </w:tcPr>
          <w:p w14:paraId="0619F0D8">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highlight w:val="none"/>
                <w:lang w:val="en-US" w:eastAsia="zh-CN"/>
              </w:rPr>
              <w:t>硫化氢、氨气</w:t>
            </w:r>
          </w:p>
        </w:tc>
        <w:tc>
          <w:tcPr>
            <w:tcW w:w="763" w:type="pct"/>
            <w:tcBorders>
              <w:tl2br w:val="nil"/>
              <w:tr2bl w:val="nil"/>
            </w:tcBorders>
            <w:noWrap w:val="0"/>
            <w:vAlign w:val="center"/>
          </w:tcPr>
          <w:p w14:paraId="45DBC6A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10</w:t>
            </w:r>
            <w:r>
              <w:rPr>
                <w:rFonts w:hint="default" w:ascii="Times New Roman" w:hAnsi="Times New Roman" w:cs="Times New Roman"/>
                <w:color w:val="auto"/>
                <w:sz w:val="21"/>
                <w:szCs w:val="21"/>
                <w:highlight w:val="none"/>
                <w:u w:val="none" w:color="auto"/>
                <w:lang w:val="en-US" w:eastAsia="zh-CN"/>
              </w:rPr>
              <w:t>000</w:t>
            </w:r>
          </w:p>
        </w:tc>
        <w:tc>
          <w:tcPr>
            <w:tcW w:w="695" w:type="pct"/>
            <w:tcBorders>
              <w:tl2br w:val="nil"/>
              <w:tr2bl w:val="nil"/>
            </w:tcBorders>
            <w:noWrap w:val="0"/>
            <w:vAlign w:val="center"/>
          </w:tcPr>
          <w:p w14:paraId="3DF3E66F">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cs="Times New Roman"/>
                <w:color w:val="auto"/>
                <w:highlight w:val="none"/>
                <w:u w:val="none" w:color="auto"/>
              </w:rPr>
              <w:t>1</w:t>
            </w:r>
          </w:p>
        </w:tc>
        <w:tc>
          <w:tcPr>
            <w:tcW w:w="444" w:type="pct"/>
            <w:tcBorders>
              <w:tl2br w:val="nil"/>
              <w:tr2bl w:val="nil"/>
            </w:tcBorders>
            <w:noWrap w:val="0"/>
            <w:vAlign w:val="center"/>
          </w:tcPr>
          <w:p w14:paraId="1384BE2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15</w:t>
            </w:r>
          </w:p>
        </w:tc>
        <w:tc>
          <w:tcPr>
            <w:tcW w:w="444" w:type="pct"/>
            <w:tcBorders>
              <w:tl2br w:val="nil"/>
              <w:tr2bl w:val="nil"/>
            </w:tcBorders>
            <w:noWrap w:val="0"/>
            <w:vAlign w:val="center"/>
          </w:tcPr>
          <w:p w14:paraId="7F37F84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0.6</w:t>
            </w:r>
          </w:p>
        </w:tc>
        <w:tc>
          <w:tcPr>
            <w:tcW w:w="455" w:type="pct"/>
            <w:tcBorders>
              <w:tl2br w:val="nil"/>
              <w:tr2bl w:val="nil"/>
            </w:tcBorders>
            <w:noWrap w:val="0"/>
            <w:vAlign w:val="center"/>
          </w:tcPr>
          <w:p w14:paraId="5C067008">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16.27</w:t>
            </w:r>
          </w:p>
        </w:tc>
      </w:tr>
    </w:tbl>
    <w:p w14:paraId="2206C5A1">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营运期水污染源分析</w:t>
      </w:r>
      <w:bookmarkEnd w:id="121"/>
    </w:p>
    <w:p w14:paraId="79BD9AD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本项目产生的废水为</w:t>
      </w:r>
      <w:r>
        <w:rPr>
          <w:rFonts w:hint="eastAsia" w:ascii="Times New Roman" w:hAnsi="Times New Roman" w:cs="Times New Roman"/>
          <w:color w:val="auto"/>
          <w:highlight w:val="none"/>
          <w:u w:val="none" w:color="auto"/>
          <w:lang w:val="en-US" w:eastAsia="zh-CN"/>
        </w:rPr>
        <w:t>污泥脱水间</w:t>
      </w:r>
      <w:r>
        <w:rPr>
          <w:rFonts w:hint="default" w:ascii="Times New Roman" w:hAnsi="Times New Roman" w:cs="Times New Roman"/>
          <w:color w:val="auto"/>
          <w:highlight w:val="none"/>
          <w:u w:val="none" w:color="auto"/>
          <w:lang w:val="en-US" w:eastAsia="zh-CN"/>
        </w:rPr>
        <w:t>冲洗废水、喷淋塔循环废</w:t>
      </w:r>
      <w:r>
        <w:rPr>
          <w:rFonts w:hint="eastAsia" w:ascii="Times New Roman" w:hAnsi="Times New Roman" w:cs="Times New Roman"/>
          <w:color w:val="auto"/>
          <w:highlight w:val="none"/>
          <w:u w:val="none" w:color="auto"/>
          <w:lang w:val="en-US" w:eastAsia="zh-CN"/>
        </w:rPr>
        <w:t>水、污泥脱水废水</w:t>
      </w:r>
      <w:r>
        <w:rPr>
          <w:rFonts w:hint="default" w:ascii="Times New Roman" w:hAnsi="Times New Roman" w:cs="Times New Roman"/>
          <w:color w:val="auto"/>
          <w:highlight w:val="none"/>
          <w:u w:val="none" w:color="auto"/>
          <w:lang w:eastAsia="zh-CN"/>
        </w:rPr>
        <w:t>。</w:t>
      </w:r>
    </w:p>
    <w:p w14:paraId="11C7993F">
      <w:pPr>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1）冲洗废水</w:t>
      </w:r>
    </w:p>
    <w:p w14:paraId="298CB2F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项目污泥脱水间内压滤机等设备平均2天清洗1次，每次清洗用水约3m³,则污泥脱水间冲洗用水为547.5m³/a，废水排放以98%计算，则项目冲洗废水产生量为536.55m³/a，全部进入自身污水处理系统，与进站废水一并处理。</w:t>
      </w:r>
    </w:p>
    <w:p w14:paraId="08A62769">
      <w:pPr>
        <w:bidi w:val="0"/>
        <w:rPr>
          <w:rFonts w:hint="default"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2）喷淋塔废水</w:t>
      </w:r>
    </w:p>
    <w:p w14:paraId="730E73A0">
      <w:pPr>
        <w:bidi w:val="0"/>
        <w:rPr>
          <w:rFonts w:hint="default"/>
          <w:lang w:eastAsia="zh-CN"/>
        </w:rPr>
      </w:pPr>
      <w:r>
        <w:rPr>
          <w:rFonts w:hint="default"/>
          <w:highlight w:val="none"/>
          <w:lang w:eastAsia="zh-CN"/>
        </w:rPr>
        <w:t>项目臭气处理</w:t>
      </w:r>
      <w:r>
        <w:rPr>
          <w:rFonts w:hint="default"/>
          <w:color w:val="auto"/>
          <w:highlight w:val="none"/>
          <w:shd w:val="clear"/>
          <w:lang w:eastAsia="zh-CN"/>
        </w:rPr>
        <w:t>采用“二级喷淋塔+</w:t>
      </w:r>
      <w:r>
        <w:rPr>
          <w:rFonts w:hint="eastAsia"/>
          <w:color w:val="auto"/>
          <w:highlight w:val="none"/>
          <w:shd w:val="clear"/>
          <w:lang w:val="en-US" w:eastAsia="zh-CN"/>
        </w:rPr>
        <w:t>生物滤池</w:t>
      </w:r>
      <w:r>
        <w:rPr>
          <w:rFonts w:hint="default"/>
          <w:color w:val="auto"/>
          <w:highlight w:val="none"/>
          <w:shd w:val="clear"/>
          <w:lang w:eastAsia="zh-CN"/>
        </w:rPr>
        <w:t>”设</w:t>
      </w:r>
      <w:r>
        <w:rPr>
          <w:rFonts w:hint="default"/>
          <w:highlight w:val="none"/>
          <w:lang w:eastAsia="zh-CN"/>
        </w:rPr>
        <w:t>备进行处理，二级喷淋塔内循环水量约4m³</w:t>
      </w:r>
      <w:r>
        <w:rPr>
          <w:rFonts w:hint="eastAsia"/>
          <w:highlight w:val="none"/>
          <w:lang w:eastAsia="zh-CN"/>
        </w:rPr>
        <w:t>，</w:t>
      </w:r>
      <w:r>
        <w:rPr>
          <w:rFonts w:hint="default"/>
          <w:highlight w:val="none"/>
          <w:lang w:eastAsia="zh-CN"/>
        </w:rPr>
        <w:t>循环液定期更换，更</w:t>
      </w:r>
      <w:r>
        <w:rPr>
          <w:rFonts w:hint="default"/>
          <w:lang w:eastAsia="zh-CN"/>
        </w:rPr>
        <w:t>换周期约1月1次，平时补充水量约0.1m³/d，则年补充水量为130.1t，废水产生量为48t/a，全部进入自身污水处理系统，与进站废水一并处理。</w:t>
      </w:r>
    </w:p>
    <w:p w14:paraId="63F76046">
      <w:pPr>
        <w:bidi w:val="0"/>
        <w:rPr>
          <w:rFonts w:hint="eastAsia"/>
          <w:lang w:val="en-US" w:eastAsia="zh-CN"/>
        </w:rPr>
      </w:pPr>
      <w:r>
        <w:rPr>
          <w:rFonts w:hint="eastAsia"/>
          <w:lang w:eastAsia="zh-CN"/>
        </w:rPr>
        <w:t>（</w:t>
      </w:r>
      <w:r>
        <w:rPr>
          <w:rFonts w:hint="eastAsia"/>
          <w:lang w:val="en-US" w:eastAsia="zh-CN"/>
        </w:rPr>
        <w:t>3）污泥脱水废水</w:t>
      </w:r>
    </w:p>
    <w:p w14:paraId="73CF2B4F">
      <w:pPr>
        <w:bidi w:val="0"/>
        <w:rPr>
          <w:rFonts w:hint="default"/>
          <w:lang w:val="en-US" w:eastAsia="zh-CN"/>
        </w:rPr>
      </w:pPr>
      <w:r>
        <w:rPr>
          <w:rFonts w:hint="eastAsia"/>
          <w:lang w:val="en-US" w:eastAsia="zh-CN"/>
        </w:rPr>
        <w:t>污泥脱水废水直接进入本污水处理站调节池进行处理，产生频率为两天一次。</w:t>
      </w:r>
    </w:p>
    <w:p w14:paraId="616E9CDF">
      <w:pPr>
        <w:bidi w:val="0"/>
        <w:rPr>
          <w:rFonts w:hint="default"/>
          <w:lang w:eastAsia="zh-CN"/>
        </w:rPr>
      </w:pPr>
      <w:r>
        <w:rPr>
          <w:rFonts w:hint="default"/>
          <w:lang w:eastAsia="zh-CN"/>
        </w:rPr>
        <w:t>本项目污水处理站设计处理规模为1200m³/d（43.8万t/a），采用</w:t>
      </w:r>
      <w:r>
        <w:rPr>
          <w:rFonts w:hint="eastAsia"/>
          <w:lang w:eastAsia="zh-CN"/>
        </w:rPr>
        <w:t>“</w:t>
      </w:r>
      <w:r>
        <w:rPr>
          <w:rFonts w:hint="default"/>
          <w:lang w:eastAsia="zh-CN"/>
        </w:rPr>
        <w:t>集水池+隔油预沉池+调节池+厌氧流化床+好氧池+缺氧池+消化池+好氧流化床+去磷池+清水池</w:t>
      </w:r>
      <w:r>
        <w:rPr>
          <w:rFonts w:hint="eastAsia"/>
          <w:lang w:eastAsia="zh-CN"/>
        </w:rPr>
        <w:t>”</w:t>
      </w:r>
      <w:r>
        <w:rPr>
          <w:rFonts w:hint="default"/>
          <w:lang w:eastAsia="zh-CN"/>
        </w:rPr>
        <w:t>处理工艺，废水处理达到《污水综合排放标准》（GB8978-1996）表4中的三级标准和</w:t>
      </w:r>
      <w:r>
        <w:rPr>
          <w:rFonts w:hint="eastAsia"/>
          <w:lang w:val="en-US" w:eastAsia="zh-CN"/>
        </w:rPr>
        <w:t>湘阴</w:t>
      </w:r>
      <w:r>
        <w:rPr>
          <w:rFonts w:hint="default"/>
          <w:lang w:eastAsia="zh-CN"/>
        </w:rPr>
        <w:t>县第二污水处理厂进水水质接纳标准后经城市污水管网进入</w:t>
      </w:r>
      <w:r>
        <w:rPr>
          <w:rFonts w:hint="eastAsia"/>
          <w:lang w:val="en-US" w:eastAsia="zh-CN"/>
        </w:rPr>
        <w:t>湘阴县</w:t>
      </w:r>
      <w:r>
        <w:rPr>
          <w:rFonts w:hint="default"/>
          <w:lang w:eastAsia="zh-CN"/>
        </w:rPr>
        <w:t>第二污水处理厂集中处理后达《城镇污水处理厂污染物排放标准》（GB18918-2002）一级A标准后排入</w:t>
      </w:r>
      <w:r>
        <w:rPr>
          <w:rFonts w:hint="eastAsia"/>
          <w:lang w:val="en-US" w:eastAsia="zh-CN"/>
        </w:rPr>
        <w:t>湘江</w:t>
      </w:r>
      <w:r>
        <w:rPr>
          <w:rFonts w:hint="default"/>
          <w:lang w:eastAsia="zh-CN"/>
        </w:rPr>
        <w:t>。</w:t>
      </w:r>
    </w:p>
    <w:p w14:paraId="75CFB28E">
      <w:pPr>
        <w:bidi w:val="0"/>
        <w:rPr>
          <w:rFonts w:hint="default"/>
          <w:lang w:eastAsia="zh-CN"/>
        </w:rPr>
      </w:pPr>
      <w:r>
        <w:rPr>
          <w:rFonts w:hint="default"/>
          <w:lang w:eastAsia="zh-CN"/>
        </w:rPr>
        <w:t>本项目污染物产生、排放量按照污水处理厂的进、出水水质进行计算，项目建成后废水污染物产生及排放情况见下表。</w:t>
      </w:r>
    </w:p>
    <w:p w14:paraId="08B6F28E">
      <w:pPr>
        <w:pStyle w:val="39"/>
        <w:bidi w:val="0"/>
        <w:rPr>
          <w:rFonts w:hint="default"/>
          <w:highlight w:val="none"/>
          <w:lang w:eastAsia="zh-CN"/>
        </w:rPr>
      </w:pPr>
      <w:r>
        <w:rPr>
          <w:rFonts w:hint="default"/>
          <w:highlight w:val="none"/>
          <w:lang w:eastAsia="zh-CN"/>
        </w:rPr>
        <w:t>表 4.</w:t>
      </w:r>
      <w:r>
        <w:rPr>
          <w:rFonts w:hint="eastAsia"/>
          <w:highlight w:val="none"/>
          <w:lang w:val="en-US" w:eastAsia="zh-CN"/>
        </w:rPr>
        <w:t>5</w:t>
      </w:r>
      <w:r>
        <w:rPr>
          <w:rFonts w:hint="default"/>
          <w:highlight w:val="none"/>
          <w:lang w:eastAsia="zh-CN"/>
        </w:rPr>
        <w:t>-8   项目废水污染物产生、排放情况一览表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644"/>
        <w:gridCol w:w="1259"/>
        <w:gridCol w:w="935"/>
        <w:gridCol w:w="936"/>
        <w:gridCol w:w="936"/>
        <w:gridCol w:w="936"/>
        <w:gridCol w:w="852"/>
        <w:gridCol w:w="1021"/>
      </w:tblGrid>
      <w:tr w14:paraId="251C94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3" w:type="pct"/>
            <w:gridSpan w:val="2"/>
            <w:tcBorders>
              <w:tl2br w:val="nil"/>
              <w:tr2bl w:val="nil"/>
            </w:tcBorders>
            <w:noWrap w:val="0"/>
            <w:vAlign w:val="center"/>
          </w:tcPr>
          <w:p w14:paraId="399880A5">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污染因子</w:t>
            </w:r>
          </w:p>
        </w:tc>
        <w:tc>
          <w:tcPr>
            <w:tcW w:w="549" w:type="pct"/>
            <w:tcBorders>
              <w:tl2br w:val="nil"/>
              <w:tr2bl w:val="nil"/>
            </w:tcBorders>
            <w:noWrap w:val="0"/>
            <w:vAlign w:val="center"/>
          </w:tcPr>
          <w:p w14:paraId="0789F9CF">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COD</w:t>
            </w:r>
          </w:p>
        </w:tc>
        <w:tc>
          <w:tcPr>
            <w:tcW w:w="549" w:type="pct"/>
            <w:tcBorders>
              <w:tl2br w:val="nil"/>
              <w:tr2bl w:val="nil"/>
            </w:tcBorders>
            <w:noWrap w:val="0"/>
            <w:vAlign w:val="center"/>
          </w:tcPr>
          <w:p w14:paraId="66C18DEA">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氨氮</w:t>
            </w:r>
          </w:p>
        </w:tc>
        <w:tc>
          <w:tcPr>
            <w:tcW w:w="549" w:type="pct"/>
            <w:tcBorders>
              <w:tl2br w:val="nil"/>
              <w:tr2bl w:val="nil"/>
            </w:tcBorders>
            <w:noWrap w:val="0"/>
            <w:vAlign w:val="center"/>
          </w:tcPr>
          <w:p w14:paraId="3254CB72">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lang w:eastAsia="zh-CN"/>
              </w:rPr>
            </w:pPr>
            <w:r>
              <w:rPr>
                <w:rFonts w:hint="eastAsia" w:cs="Times New Roman"/>
                <w:highlight w:val="none"/>
                <w:lang w:eastAsia="zh-CN"/>
              </w:rPr>
              <w:t>BOD</w:t>
            </w:r>
            <w:r>
              <w:rPr>
                <w:rFonts w:hint="eastAsia" w:cs="Times New Roman"/>
                <w:highlight w:val="none"/>
                <w:vertAlign w:val="subscript"/>
                <w:lang w:eastAsia="zh-CN"/>
              </w:rPr>
              <w:t>5</w:t>
            </w:r>
          </w:p>
        </w:tc>
        <w:tc>
          <w:tcPr>
            <w:tcW w:w="549" w:type="pct"/>
            <w:tcBorders>
              <w:tl2br w:val="nil"/>
              <w:tr2bl w:val="nil"/>
            </w:tcBorders>
            <w:noWrap w:val="0"/>
            <w:vAlign w:val="center"/>
          </w:tcPr>
          <w:p w14:paraId="48609B70">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SS</w:t>
            </w:r>
          </w:p>
        </w:tc>
        <w:tc>
          <w:tcPr>
            <w:tcW w:w="500" w:type="pct"/>
            <w:tcBorders>
              <w:tl2br w:val="nil"/>
              <w:tr2bl w:val="nil"/>
            </w:tcBorders>
            <w:noWrap w:val="0"/>
            <w:vAlign w:val="center"/>
          </w:tcPr>
          <w:p w14:paraId="5E463FDB">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TP</w:t>
            </w:r>
          </w:p>
        </w:tc>
        <w:tc>
          <w:tcPr>
            <w:tcW w:w="599" w:type="pct"/>
            <w:tcBorders>
              <w:tl2br w:val="nil"/>
              <w:tr2bl w:val="nil"/>
            </w:tcBorders>
            <w:noWrap w:val="0"/>
            <w:vAlign w:val="center"/>
          </w:tcPr>
          <w:p w14:paraId="43332B18">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动植物油</w:t>
            </w:r>
          </w:p>
        </w:tc>
      </w:tr>
      <w:tr w14:paraId="242EB8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964" w:type="pct"/>
            <w:vMerge w:val="restart"/>
            <w:tcBorders>
              <w:tl2br w:val="nil"/>
              <w:tr2bl w:val="nil"/>
            </w:tcBorders>
            <w:noWrap w:val="0"/>
            <w:vAlign w:val="center"/>
          </w:tcPr>
          <w:p w14:paraId="48FC0305">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eastAsia" w:cs="Times New Roman"/>
                <w:highlight w:val="none"/>
                <w:lang w:val="en-US" w:eastAsia="zh-CN"/>
              </w:rPr>
              <w:t>进水</w:t>
            </w:r>
            <w:r>
              <w:rPr>
                <w:rFonts w:hint="default" w:ascii="Times New Roman" w:hAnsi="Times New Roman" w:cs="Times New Roman"/>
                <w:highlight w:val="none"/>
              </w:rPr>
              <w:t>（</w:t>
            </w:r>
            <w:r>
              <w:rPr>
                <w:rFonts w:hint="eastAsia" w:cs="Times New Roman"/>
                <w:highlight w:val="none"/>
                <w:lang w:val="en-US" w:eastAsia="zh-CN"/>
              </w:rPr>
              <w:t>438000</w:t>
            </w:r>
            <w:r>
              <w:rPr>
                <w:rFonts w:hint="default" w:ascii="Times New Roman" w:hAnsi="Times New Roman" w:cs="Times New Roman"/>
                <w:highlight w:val="none"/>
              </w:rPr>
              <w:t>m³/a）</w:t>
            </w:r>
          </w:p>
        </w:tc>
        <w:tc>
          <w:tcPr>
            <w:tcW w:w="738" w:type="pct"/>
            <w:tcBorders>
              <w:tl2br w:val="nil"/>
              <w:tr2bl w:val="nil"/>
            </w:tcBorders>
            <w:noWrap w:val="0"/>
            <w:vAlign w:val="center"/>
          </w:tcPr>
          <w:p w14:paraId="77BA2948">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浓度（mg/L）</w:t>
            </w:r>
          </w:p>
        </w:tc>
        <w:tc>
          <w:tcPr>
            <w:tcW w:w="549" w:type="pct"/>
            <w:tcBorders>
              <w:tl2br w:val="nil"/>
              <w:tr2bl w:val="nil"/>
            </w:tcBorders>
            <w:noWrap w:val="0"/>
            <w:vAlign w:val="center"/>
          </w:tcPr>
          <w:p w14:paraId="0DB1A6F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6000</w:t>
            </w:r>
          </w:p>
        </w:tc>
        <w:tc>
          <w:tcPr>
            <w:tcW w:w="549" w:type="pct"/>
            <w:tcBorders>
              <w:tl2br w:val="nil"/>
              <w:tr2bl w:val="nil"/>
            </w:tcBorders>
            <w:noWrap w:val="0"/>
            <w:vAlign w:val="center"/>
          </w:tcPr>
          <w:p w14:paraId="2BCDF1C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w:t>
            </w:r>
          </w:p>
        </w:tc>
        <w:tc>
          <w:tcPr>
            <w:tcW w:w="549" w:type="pct"/>
            <w:tcBorders>
              <w:tl2br w:val="nil"/>
              <w:tr2bl w:val="nil"/>
            </w:tcBorders>
            <w:noWrap w:val="0"/>
            <w:vAlign w:val="center"/>
          </w:tcPr>
          <w:p w14:paraId="5DD03C5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2500</w:t>
            </w:r>
          </w:p>
        </w:tc>
        <w:tc>
          <w:tcPr>
            <w:tcW w:w="549" w:type="pct"/>
            <w:tcBorders>
              <w:tl2br w:val="nil"/>
              <w:tr2bl w:val="nil"/>
            </w:tcBorders>
            <w:noWrap w:val="0"/>
            <w:vAlign w:val="center"/>
          </w:tcPr>
          <w:p w14:paraId="0157D30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500</w:t>
            </w:r>
          </w:p>
        </w:tc>
        <w:tc>
          <w:tcPr>
            <w:tcW w:w="500" w:type="pct"/>
            <w:tcBorders>
              <w:tl2br w:val="nil"/>
              <w:tr2bl w:val="nil"/>
            </w:tcBorders>
            <w:noWrap w:val="0"/>
            <w:vAlign w:val="center"/>
          </w:tcPr>
          <w:p w14:paraId="0C145C5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w:t>
            </w:r>
          </w:p>
        </w:tc>
        <w:tc>
          <w:tcPr>
            <w:tcW w:w="599" w:type="pct"/>
            <w:tcBorders>
              <w:tl2br w:val="nil"/>
              <w:tr2bl w:val="nil"/>
            </w:tcBorders>
            <w:noWrap w:val="0"/>
            <w:vAlign w:val="center"/>
          </w:tcPr>
          <w:p w14:paraId="6185A24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800</w:t>
            </w:r>
          </w:p>
        </w:tc>
      </w:tr>
      <w:tr w14:paraId="4C85CE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64" w:type="pct"/>
            <w:vMerge w:val="continue"/>
            <w:tcBorders>
              <w:tl2br w:val="nil"/>
              <w:tr2bl w:val="nil"/>
            </w:tcBorders>
            <w:noWrap w:val="0"/>
            <w:vAlign w:val="center"/>
          </w:tcPr>
          <w:p w14:paraId="0E624B36">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p>
        </w:tc>
        <w:tc>
          <w:tcPr>
            <w:tcW w:w="738" w:type="pct"/>
            <w:tcBorders>
              <w:tl2br w:val="nil"/>
              <w:tr2bl w:val="nil"/>
            </w:tcBorders>
            <w:noWrap w:val="0"/>
            <w:vAlign w:val="center"/>
          </w:tcPr>
          <w:p w14:paraId="0EB970FF">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产生量（t/a）</w:t>
            </w:r>
          </w:p>
        </w:tc>
        <w:tc>
          <w:tcPr>
            <w:tcW w:w="549" w:type="pct"/>
            <w:tcBorders>
              <w:tl2br w:val="nil"/>
              <w:tr2bl w:val="nil"/>
            </w:tcBorders>
            <w:noWrap w:val="0"/>
            <w:vAlign w:val="center"/>
          </w:tcPr>
          <w:p w14:paraId="3286783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2628</w:t>
            </w:r>
          </w:p>
        </w:tc>
        <w:tc>
          <w:tcPr>
            <w:tcW w:w="549" w:type="pct"/>
            <w:tcBorders>
              <w:tl2br w:val="nil"/>
              <w:tr2bl w:val="nil"/>
            </w:tcBorders>
            <w:noWrap w:val="0"/>
            <w:vAlign w:val="center"/>
          </w:tcPr>
          <w:p w14:paraId="45C199D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43.8</w:t>
            </w:r>
          </w:p>
        </w:tc>
        <w:tc>
          <w:tcPr>
            <w:tcW w:w="549" w:type="pct"/>
            <w:tcBorders>
              <w:tl2br w:val="nil"/>
              <w:tr2bl w:val="nil"/>
            </w:tcBorders>
            <w:noWrap w:val="0"/>
            <w:vAlign w:val="center"/>
          </w:tcPr>
          <w:p w14:paraId="2904638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1095</w:t>
            </w:r>
          </w:p>
        </w:tc>
        <w:tc>
          <w:tcPr>
            <w:tcW w:w="549" w:type="pct"/>
            <w:tcBorders>
              <w:tl2br w:val="nil"/>
              <w:tr2bl w:val="nil"/>
            </w:tcBorders>
            <w:noWrap w:val="0"/>
            <w:vAlign w:val="center"/>
          </w:tcPr>
          <w:p w14:paraId="47E3EF4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219</w:t>
            </w:r>
          </w:p>
        </w:tc>
        <w:tc>
          <w:tcPr>
            <w:tcW w:w="500" w:type="pct"/>
            <w:tcBorders>
              <w:tl2br w:val="nil"/>
              <w:tr2bl w:val="nil"/>
            </w:tcBorders>
            <w:noWrap w:val="0"/>
            <w:vAlign w:val="center"/>
          </w:tcPr>
          <w:p w14:paraId="5358DF8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17.52</w:t>
            </w:r>
          </w:p>
        </w:tc>
        <w:tc>
          <w:tcPr>
            <w:tcW w:w="599" w:type="pct"/>
            <w:tcBorders>
              <w:tl2br w:val="nil"/>
              <w:tr2bl w:val="nil"/>
            </w:tcBorders>
            <w:noWrap w:val="0"/>
            <w:vAlign w:val="center"/>
          </w:tcPr>
          <w:p w14:paraId="1205E1F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350.4</w:t>
            </w:r>
          </w:p>
        </w:tc>
      </w:tr>
      <w:tr w14:paraId="1B3827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64" w:type="pct"/>
            <w:vMerge w:val="restart"/>
            <w:tcBorders>
              <w:tl2br w:val="nil"/>
              <w:tr2bl w:val="nil"/>
            </w:tcBorders>
            <w:noWrap w:val="0"/>
            <w:vAlign w:val="center"/>
          </w:tcPr>
          <w:p w14:paraId="101F8A8D">
            <w:pPr>
              <w:pStyle w:val="42"/>
              <w:keepNext w:val="0"/>
              <w:keepLines w:val="0"/>
              <w:widowControl/>
              <w:suppressLineNumbers w:val="0"/>
              <w:bidi w:val="0"/>
              <w:spacing w:before="0" w:beforeAutospacing="0" w:after="0" w:afterAutospacing="0"/>
              <w:rPr>
                <w:rFonts w:hint="default" w:ascii="Times New Roman" w:hAnsi="Times New Roman" w:eastAsia="宋体" w:cs="Times New Roman"/>
                <w:highlight w:val="none"/>
                <w:lang w:val="en-US" w:eastAsia="zh-CN"/>
              </w:rPr>
            </w:pPr>
            <w:r>
              <w:rPr>
                <w:rFonts w:hint="eastAsia" w:cs="Times New Roman"/>
                <w:highlight w:val="none"/>
                <w:lang w:val="en-US" w:eastAsia="zh-CN"/>
              </w:rPr>
              <w:t>本项目尾水出口</w:t>
            </w:r>
          </w:p>
        </w:tc>
        <w:tc>
          <w:tcPr>
            <w:tcW w:w="738" w:type="pct"/>
            <w:tcBorders>
              <w:tl2br w:val="nil"/>
              <w:tr2bl w:val="nil"/>
            </w:tcBorders>
            <w:noWrap w:val="0"/>
            <w:vAlign w:val="center"/>
          </w:tcPr>
          <w:p w14:paraId="121D1BE8">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浓度（mg/L）</w:t>
            </w:r>
          </w:p>
        </w:tc>
        <w:tc>
          <w:tcPr>
            <w:tcW w:w="549" w:type="pct"/>
            <w:tcBorders>
              <w:tl2br w:val="nil"/>
              <w:tr2bl w:val="nil"/>
            </w:tcBorders>
            <w:noWrap w:val="0"/>
            <w:vAlign w:val="center"/>
          </w:tcPr>
          <w:p w14:paraId="1102B8D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500</w:t>
            </w:r>
          </w:p>
        </w:tc>
        <w:tc>
          <w:tcPr>
            <w:tcW w:w="549" w:type="pct"/>
            <w:tcBorders>
              <w:tl2br w:val="nil"/>
              <w:tr2bl w:val="nil"/>
            </w:tcBorders>
            <w:noWrap w:val="0"/>
            <w:vAlign w:val="center"/>
          </w:tcPr>
          <w:p w14:paraId="12DB001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45</w:t>
            </w:r>
          </w:p>
        </w:tc>
        <w:tc>
          <w:tcPr>
            <w:tcW w:w="549" w:type="pct"/>
            <w:tcBorders>
              <w:tl2br w:val="nil"/>
              <w:tr2bl w:val="nil"/>
            </w:tcBorders>
            <w:noWrap w:val="0"/>
            <w:vAlign w:val="center"/>
          </w:tcPr>
          <w:p w14:paraId="69AE6A6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300</w:t>
            </w:r>
          </w:p>
        </w:tc>
        <w:tc>
          <w:tcPr>
            <w:tcW w:w="549" w:type="pct"/>
            <w:tcBorders>
              <w:tl2br w:val="nil"/>
              <w:tr2bl w:val="nil"/>
            </w:tcBorders>
            <w:noWrap w:val="0"/>
            <w:vAlign w:val="center"/>
          </w:tcPr>
          <w:p w14:paraId="257E20C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400</w:t>
            </w:r>
          </w:p>
        </w:tc>
        <w:tc>
          <w:tcPr>
            <w:tcW w:w="500" w:type="pct"/>
            <w:tcBorders>
              <w:tl2br w:val="nil"/>
              <w:tr2bl w:val="nil"/>
            </w:tcBorders>
            <w:noWrap w:val="0"/>
            <w:vAlign w:val="center"/>
          </w:tcPr>
          <w:p w14:paraId="5C232857">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99" w:type="pct"/>
            <w:tcBorders>
              <w:tl2br w:val="nil"/>
              <w:tr2bl w:val="nil"/>
            </w:tcBorders>
            <w:noWrap w:val="0"/>
            <w:vAlign w:val="center"/>
          </w:tcPr>
          <w:p w14:paraId="3587B2E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100</w:t>
            </w:r>
          </w:p>
        </w:tc>
      </w:tr>
      <w:tr w14:paraId="007AE3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64" w:type="pct"/>
            <w:vMerge w:val="continue"/>
            <w:tcBorders>
              <w:tl2br w:val="nil"/>
              <w:tr2bl w:val="nil"/>
            </w:tcBorders>
            <w:noWrap w:val="0"/>
            <w:vAlign w:val="center"/>
          </w:tcPr>
          <w:p w14:paraId="1DFC4BC0">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p>
        </w:tc>
        <w:tc>
          <w:tcPr>
            <w:tcW w:w="738" w:type="pct"/>
            <w:tcBorders>
              <w:tl2br w:val="nil"/>
              <w:tr2bl w:val="nil"/>
            </w:tcBorders>
            <w:noWrap w:val="0"/>
            <w:vAlign w:val="center"/>
          </w:tcPr>
          <w:p w14:paraId="58C4B0E3">
            <w:pPr>
              <w:pStyle w:val="42"/>
              <w:keepNext w:val="0"/>
              <w:keepLines w:val="0"/>
              <w:widowControl/>
              <w:suppressLineNumbers w:val="0"/>
              <w:bidi w:val="0"/>
              <w:spacing w:before="0" w:beforeAutospacing="0" w:after="0" w:afterAutospacing="0"/>
              <w:rPr>
                <w:rFonts w:hint="default" w:ascii="Times New Roman" w:hAnsi="Times New Roman" w:cs="Times New Roman"/>
                <w:highlight w:val="none"/>
              </w:rPr>
            </w:pPr>
            <w:r>
              <w:rPr>
                <w:rFonts w:hint="default" w:ascii="Times New Roman" w:hAnsi="Times New Roman" w:cs="Times New Roman"/>
                <w:highlight w:val="none"/>
              </w:rPr>
              <w:t>排放量（t/a）</w:t>
            </w:r>
          </w:p>
        </w:tc>
        <w:tc>
          <w:tcPr>
            <w:tcW w:w="549" w:type="pct"/>
            <w:tcBorders>
              <w:tl2br w:val="nil"/>
              <w:tr2bl w:val="nil"/>
            </w:tcBorders>
            <w:noWrap w:val="0"/>
            <w:vAlign w:val="center"/>
          </w:tcPr>
          <w:p w14:paraId="47E715A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219</w:t>
            </w:r>
          </w:p>
        </w:tc>
        <w:tc>
          <w:tcPr>
            <w:tcW w:w="549" w:type="pct"/>
            <w:tcBorders>
              <w:tl2br w:val="nil"/>
              <w:tr2bl w:val="nil"/>
            </w:tcBorders>
            <w:noWrap w:val="0"/>
            <w:vAlign w:val="center"/>
          </w:tcPr>
          <w:p w14:paraId="671164B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19.71</w:t>
            </w:r>
          </w:p>
        </w:tc>
        <w:tc>
          <w:tcPr>
            <w:tcW w:w="549" w:type="pct"/>
            <w:tcBorders>
              <w:tl2br w:val="nil"/>
              <w:tr2bl w:val="nil"/>
            </w:tcBorders>
            <w:noWrap w:val="0"/>
            <w:vAlign w:val="center"/>
          </w:tcPr>
          <w:p w14:paraId="1267647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131.4</w:t>
            </w:r>
          </w:p>
        </w:tc>
        <w:tc>
          <w:tcPr>
            <w:tcW w:w="549" w:type="pct"/>
            <w:tcBorders>
              <w:tl2br w:val="nil"/>
              <w:tr2bl w:val="nil"/>
            </w:tcBorders>
            <w:noWrap w:val="0"/>
            <w:vAlign w:val="center"/>
          </w:tcPr>
          <w:p w14:paraId="76A278B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175.2</w:t>
            </w:r>
          </w:p>
        </w:tc>
        <w:tc>
          <w:tcPr>
            <w:tcW w:w="500" w:type="pct"/>
            <w:tcBorders>
              <w:tl2br w:val="nil"/>
              <w:tr2bl w:val="nil"/>
            </w:tcBorders>
            <w:noWrap w:val="0"/>
            <w:vAlign w:val="center"/>
          </w:tcPr>
          <w:p w14:paraId="181D30E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3.504</w:t>
            </w:r>
          </w:p>
        </w:tc>
        <w:tc>
          <w:tcPr>
            <w:tcW w:w="599" w:type="pct"/>
            <w:tcBorders>
              <w:tl2br w:val="nil"/>
              <w:tr2bl w:val="nil"/>
            </w:tcBorders>
            <w:noWrap w:val="0"/>
            <w:vAlign w:val="center"/>
          </w:tcPr>
          <w:p w14:paraId="49E45CB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43.8</w:t>
            </w:r>
          </w:p>
        </w:tc>
      </w:tr>
    </w:tbl>
    <w:p w14:paraId="5357D62C">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营运期噪声分析</w:t>
      </w:r>
      <w:bookmarkEnd w:id="122"/>
    </w:p>
    <w:p w14:paraId="1D5A6F0D">
      <w:pPr>
        <w:shd w:val="clear"/>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污水处理厂噪声主要来自风机房的鼓风机、污水站的各类水泵、污泥泵及脱水机等设备运行时产生的机械噪声，声源强度在70-85dB（A）之间。设计中尽量选用技术先进、低噪声的设备；风机采用消声器消声，并布置在厂房内，采用建筑隔声，参考经验系数，隔声减震可降低</w:t>
      </w:r>
      <w:r>
        <w:rPr>
          <w:rFonts w:hint="eastAsia" w:ascii="Times New Roman" w:hAnsi="Times New Roman" w:cs="Times New Roman"/>
          <w:color w:val="auto"/>
          <w:highlight w:val="none"/>
          <w:u w:val="none" w:color="auto"/>
          <w:lang w:val="en-US" w:eastAsia="zh-CN"/>
        </w:rPr>
        <w:t>15</w:t>
      </w:r>
      <w:r>
        <w:rPr>
          <w:rFonts w:hint="default" w:ascii="Times New Roman" w:hAnsi="Times New Roman" w:cs="Times New Roman"/>
          <w:color w:val="auto"/>
          <w:highlight w:val="none"/>
          <w:u w:val="none" w:color="auto"/>
          <w:lang w:val="en-US" w:eastAsia="zh-CN"/>
        </w:rPr>
        <w:t>-</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val="en-US" w:eastAsia="zh-CN"/>
        </w:rPr>
        <w:t>0dB（A）的噪声，经过隔声和防振以后传播到外界的噪声已非常微弱。同时，加强厂界及厂区的绿化也有一定的降噪作用。本项目主要设备噪声源强见下表。</w:t>
      </w:r>
    </w:p>
    <w:p w14:paraId="5A619B3D">
      <w:pPr>
        <w:pStyle w:val="39"/>
        <w:bidi w:val="0"/>
        <w:rPr>
          <w:rFonts w:hint="default"/>
          <w:lang w:val="en-US" w:eastAsia="zh-CN"/>
        </w:rPr>
      </w:pPr>
      <w:r>
        <w:rPr>
          <w:rFonts w:hint="default"/>
          <w:lang w:val="en-US" w:eastAsia="zh-CN"/>
        </w:rPr>
        <w:t>表4.</w:t>
      </w:r>
      <w:r>
        <w:rPr>
          <w:rFonts w:hint="eastAsia"/>
          <w:lang w:val="en-US" w:eastAsia="zh-CN"/>
        </w:rPr>
        <w:t>5</w:t>
      </w:r>
      <w:r>
        <w:rPr>
          <w:rFonts w:hint="default"/>
          <w:lang w:val="en-US" w:eastAsia="zh-CN"/>
        </w:rPr>
        <w:t>-9  噪声源强及降噪措施一览表 dB（A）</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7"/>
        <w:gridCol w:w="1602"/>
        <w:gridCol w:w="1340"/>
        <w:gridCol w:w="1337"/>
        <w:gridCol w:w="1072"/>
        <w:gridCol w:w="2295"/>
      </w:tblGrid>
      <w:tr w14:paraId="098551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1" w:hRule="atLeast"/>
        </w:trPr>
        <w:tc>
          <w:tcPr>
            <w:tcW w:w="412" w:type="pct"/>
            <w:tcBorders>
              <w:tl2br w:val="nil"/>
              <w:tr2bl w:val="nil"/>
            </w:tcBorders>
            <w:vAlign w:val="center"/>
          </w:tcPr>
          <w:p w14:paraId="5A86180C">
            <w:pPr>
              <w:pStyle w:val="42"/>
              <w:bidi w:val="0"/>
              <w:jc w:val="center"/>
              <w:rPr>
                <w:highlight w:val="none"/>
              </w:rPr>
            </w:pPr>
            <w:r>
              <w:rPr>
                <w:highlight w:val="none"/>
              </w:rPr>
              <w:t>序 号</w:t>
            </w:r>
          </w:p>
        </w:tc>
        <w:tc>
          <w:tcPr>
            <w:tcW w:w="1765" w:type="pct"/>
            <w:gridSpan w:val="2"/>
            <w:tcBorders>
              <w:tl2br w:val="nil"/>
              <w:tr2bl w:val="nil"/>
            </w:tcBorders>
            <w:vAlign w:val="center"/>
          </w:tcPr>
          <w:p w14:paraId="4602A22D">
            <w:pPr>
              <w:pStyle w:val="42"/>
              <w:bidi w:val="0"/>
              <w:jc w:val="center"/>
              <w:rPr>
                <w:highlight w:val="none"/>
              </w:rPr>
            </w:pPr>
            <w:r>
              <w:rPr>
                <w:highlight w:val="none"/>
              </w:rPr>
              <w:t>设备名称</w:t>
            </w:r>
          </w:p>
        </w:tc>
        <w:tc>
          <w:tcPr>
            <w:tcW w:w="802" w:type="pct"/>
            <w:tcBorders>
              <w:tl2br w:val="nil"/>
              <w:tr2bl w:val="nil"/>
            </w:tcBorders>
            <w:vAlign w:val="center"/>
          </w:tcPr>
          <w:p w14:paraId="6850AA13">
            <w:pPr>
              <w:pStyle w:val="42"/>
              <w:bidi w:val="0"/>
              <w:jc w:val="center"/>
              <w:rPr>
                <w:highlight w:val="none"/>
              </w:rPr>
            </w:pPr>
            <w:r>
              <w:rPr>
                <w:highlight w:val="none"/>
              </w:rPr>
              <w:t>数量（台）</w:t>
            </w:r>
          </w:p>
        </w:tc>
        <w:tc>
          <w:tcPr>
            <w:tcW w:w="643" w:type="pct"/>
            <w:tcBorders>
              <w:tl2br w:val="nil"/>
              <w:tr2bl w:val="nil"/>
            </w:tcBorders>
            <w:vAlign w:val="center"/>
          </w:tcPr>
          <w:p w14:paraId="456BA69E">
            <w:pPr>
              <w:pStyle w:val="42"/>
              <w:bidi w:val="0"/>
              <w:jc w:val="center"/>
              <w:rPr>
                <w:highlight w:val="none"/>
              </w:rPr>
            </w:pPr>
            <w:r>
              <w:rPr>
                <w:highlight w:val="none"/>
              </w:rPr>
              <w:t>噪声源强</w:t>
            </w:r>
          </w:p>
        </w:tc>
        <w:tc>
          <w:tcPr>
            <w:tcW w:w="1376" w:type="pct"/>
            <w:tcBorders>
              <w:tl2br w:val="nil"/>
              <w:tr2bl w:val="nil"/>
            </w:tcBorders>
            <w:vAlign w:val="center"/>
          </w:tcPr>
          <w:p w14:paraId="19DFECC6">
            <w:pPr>
              <w:pStyle w:val="42"/>
              <w:bidi w:val="0"/>
              <w:jc w:val="center"/>
              <w:rPr>
                <w:highlight w:val="none"/>
              </w:rPr>
            </w:pPr>
            <w:r>
              <w:rPr>
                <w:highlight w:val="none"/>
              </w:rPr>
              <w:t>降噪措施</w:t>
            </w:r>
          </w:p>
        </w:tc>
      </w:tr>
      <w:tr w14:paraId="3896F5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vAlign w:val="center"/>
          </w:tcPr>
          <w:p w14:paraId="07C519FA">
            <w:pPr>
              <w:pStyle w:val="42"/>
              <w:bidi w:val="0"/>
              <w:jc w:val="center"/>
              <w:rPr>
                <w:highlight w:val="none"/>
              </w:rPr>
            </w:pPr>
            <w:r>
              <w:rPr>
                <w:highlight w:val="none"/>
              </w:rPr>
              <w:t>1</w:t>
            </w:r>
          </w:p>
        </w:tc>
        <w:tc>
          <w:tcPr>
            <w:tcW w:w="961" w:type="pct"/>
            <w:tcBorders>
              <w:tl2br w:val="nil"/>
              <w:tr2bl w:val="nil"/>
            </w:tcBorders>
            <w:vAlign w:val="center"/>
          </w:tcPr>
          <w:p w14:paraId="67F9081C">
            <w:pPr>
              <w:pStyle w:val="42"/>
              <w:bidi w:val="0"/>
              <w:jc w:val="center"/>
              <w:rPr>
                <w:highlight w:val="none"/>
              </w:rPr>
            </w:pPr>
            <w:r>
              <w:rPr>
                <w:highlight w:val="none"/>
              </w:rPr>
              <w:t>风机房</w:t>
            </w:r>
          </w:p>
        </w:tc>
        <w:tc>
          <w:tcPr>
            <w:tcW w:w="803" w:type="pct"/>
            <w:tcBorders>
              <w:tl2br w:val="nil"/>
              <w:tr2bl w:val="nil"/>
            </w:tcBorders>
            <w:vAlign w:val="center"/>
          </w:tcPr>
          <w:p w14:paraId="453A90AA">
            <w:pPr>
              <w:pStyle w:val="42"/>
              <w:bidi w:val="0"/>
              <w:jc w:val="center"/>
              <w:rPr>
                <w:highlight w:val="none"/>
              </w:rPr>
            </w:pPr>
            <w:r>
              <w:rPr>
                <w:highlight w:val="none"/>
              </w:rPr>
              <w:t>鼓风机</w:t>
            </w:r>
          </w:p>
        </w:tc>
        <w:tc>
          <w:tcPr>
            <w:tcW w:w="802" w:type="pct"/>
            <w:tcBorders>
              <w:tl2br w:val="nil"/>
              <w:tr2bl w:val="nil"/>
            </w:tcBorders>
            <w:vAlign w:val="center"/>
          </w:tcPr>
          <w:p w14:paraId="778FB902">
            <w:pPr>
              <w:pStyle w:val="42"/>
              <w:bidi w:val="0"/>
              <w:jc w:val="center"/>
              <w:rPr>
                <w:rFonts w:hint="eastAsia" w:eastAsia="宋体"/>
                <w:highlight w:val="none"/>
                <w:lang w:eastAsia="zh-CN"/>
              </w:rPr>
            </w:pPr>
            <w:r>
              <w:rPr>
                <w:rFonts w:hint="eastAsia"/>
                <w:highlight w:val="none"/>
                <w:lang w:val="en-US" w:eastAsia="zh-CN"/>
              </w:rPr>
              <w:t>3</w:t>
            </w:r>
          </w:p>
        </w:tc>
        <w:tc>
          <w:tcPr>
            <w:tcW w:w="643" w:type="pct"/>
            <w:tcBorders>
              <w:tl2br w:val="nil"/>
              <w:tr2bl w:val="nil"/>
            </w:tcBorders>
            <w:vAlign w:val="center"/>
          </w:tcPr>
          <w:p w14:paraId="786454E3">
            <w:pPr>
              <w:pStyle w:val="42"/>
              <w:bidi w:val="0"/>
              <w:jc w:val="center"/>
              <w:rPr>
                <w:highlight w:val="none"/>
              </w:rPr>
            </w:pPr>
            <w:r>
              <w:rPr>
                <w:highlight w:val="none"/>
              </w:rPr>
              <w:t>85</w:t>
            </w:r>
          </w:p>
        </w:tc>
        <w:tc>
          <w:tcPr>
            <w:tcW w:w="1376" w:type="pct"/>
            <w:tcBorders>
              <w:tl2br w:val="nil"/>
              <w:tr2bl w:val="nil"/>
            </w:tcBorders>
            <w:vAlign w:val="center"/>
          </w:tcPr>
          <w:p w14:paraId="036E9381">
            <w:pPr>
              <w:pStyle w:val="42"/>
              <w:bidi w:val="0"/>
              <w:jc w:val="center"/>
              <w:rPr>
                <w:highlight w:val="none"/>
              </w:rPr>
            </w:pPr>
            <w:r>
              <w:rPr>
                <w:highlight w:val="none"/>
              </w:rPr>
              <w:t>基础减震/隔声/消声</w:t>
            </w:r>
          </w:p>
        </w:tc>
      </w:tr>
      <w:tr w14:paraId="5BDBF6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0" w:hRule="atLeast"/>
        </w:trPr>
        <w:tc>
          <w:tcPr>
            <w:tcW w:w="412" w:type="pct"/>
            <w:tcBorders>
              <w:tl2br w:val="nil"/>
              <w:tr2bl w:val="nil"/>
            </w:tcBorders>
            <w:vAlign w:val="center"/>
          </w:tcPr>
          <w:p w14:paraId="7B95ECC7">
            <w:pPr>
              <w:pStyle w:val="42"/>
              <w:bidi w:val="0"/>
              <w:jc w:val="center"/>
              <w:rPr>
                <w:rFonts w:hint="eastAsia" w:eastAsia="宋体"/>
                <w:highlight w:val="none"/>
                <w:lang w:val="en-US" w:eastAsia="zh-CN"/>
              </w:rPr>
            </w:pPr>
            <w:r>
              <w:rPr>
                <w:rFonts w:hint="eastAsia"/>
                <w:highlight w:val="none"/>
                <w:lang w:val="en-US" w:eastAsia="zh-CN"/>
              </w:rPr>
              <w:t>2</w:t>
            </w:r>
          </w:p>
        </w:tc>
        <w:tc>
          <w:tcPr>
            <w:tcW w:w="961" w:type="pct"/>
            <w:vMerge w:val="restart"/>
            <w:tcBorders>
              <w:tl2br w:val="nil"/>
              <w:tr2bl w:val="nil"/>
            </w:tcBorders>
            <w:vAlign w:val="center"/>
          </w:tcPr>
          <w:p w14:paraId="0EF9EDE7">
            <w:pPr>
              <w:pStyle w:val="42"/>
              <w:bidi w:val="0"/>
              <w:jc w:val="center"/>
              <w:rPr>
                <w:rFonts w:hint="default" w:eastAsia="宋体"/>
                <w:highlight w:val="none"/>
                <w:lang w:val="en-US" w:eastAsia="zh-CN"/>
              </w:rPr>
            </w:pPr>
            <w:r>
              <w:rPr>
                <w:rFonts w:hint="eastAsia"/>
                <w:highlight w:val="none"/>
                <w:lang w:val="en-US" w:eastAsia="zh-CN"/>
              </w:rPr>
              <w:t>加药间</w:t>
            </w:r>
          </w:p>
        </w:tc>
        <w:tc>
          <w:tcPr>
            <w:tcW w:w="803" w:type="pct"/>
            <w:tcBorders>
              <w:tl2br w:val="nil"/>
              <w:tr2bl w:val="nil"/>
            </w:tcBorders>
            <w:shd w:val="clear" w:color="auto" w:fill="auto"/>
            <w:vAlign w:val="center"/>
          </w:tcPr>
          <w:p w14:paraId="16FCD866">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highlight w:val="none"/>
                <w:lang w:val="en-US" w:eastAsia="zh-CN" w:bidi="ar-SA"/>
              </w:rPr>
            </w:pPr>
            <w:r>
              <w:rPr>
                <w:highlight w:val="none"/>
              </w:rPr>
              <w:t>加药泵</w:t>
            </w:r>
          </w:p>
        </w:tc>
        <w:tc>
          <w:tcPr>
            <w:tcW w:w="802" w:type="pct"/>
            <w:tcBorders>
              <w:tl2br w:val="nil"/>
              <w:tr2bl w:val="nil"/>
            </w:tcBorders>
            <w:shd w:val="clear" w:color="auto" w:fill="auto"/>
            <w:vAlign w:val="center"/>
          </w:tcPr>
          <w:p w14:paraId="433D866F">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w:t>
            </w:r>
            <w:r>
              <w:rPr>
                <w:highlight w:val="none"/>
              </w:rPr>
              <w:t>2</w:t>
            </w:r>
          </w:p>
        </w:tc>
        <w:tc>
          <w:tcPr>
            <w:tcW w:w="643" w:type="pct"/>
            <w:tcBorders>
              <w:tl2br w:val="nil"/>
              <w:tr2bl w:val="nil"/>
            </w:tcBorders>
            <w:shd w:val="clear" w:color="auto" w:fill="auto"/>
            <w:vAlign w:val="center"/>
          </w:tcPr>
          <w:p w14:paraId="358614E5">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highlight w:val="none"/>
                <w:lang w:val="en-US" w:eastAsia="zh-CN" w:bidi="ar-SA"/>
              </w:rPr>
            </w:pPr>
            <w:r>
              <w:rPr>
                <w:highlight w:val="none"/>
              </w:rPr>
              <w:t>75</w:t>
            </w:r>
          </w:p>
        </w:tc>
        <w:tc>
          <w:tcPr>
            <w:tcW w:w="1376" w:type="pct"/>
            <w:tcBorders>
              <w:tl2br w:val="nil"/>
              <w:tr2bl w:val="nil"/>
            </w:tcBorders>
            <w:vAlign w:val="center"/>
          </w:tcPr>
          <w:p w14:paraId="1C77E439">
            <w:pPr>
              <w:pStyle w:val="42"/>
              <w:bidi w:val="0"/>
              <w:jc w:val="center"/>
              <w:rPr>
                <w:highlight w:val="none"/>
              </w:rPr>
            </w:pPr>
            <w:r>
              <w:rPr>
                <w:highlight w:val="none"/>
              </w:rPr>
              <w:t>基础减震/墙体隔声</w:t>
            </w:r>
          </w:p>
        </w:tc>
      </w:tr>
      <w:tr w14:paraId="749744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412" w:type="pct"/>
            <w:tcBorders>
              <w:tl2br w:val="nil"/>
              <w:tr2bl w:val="nil"/>
            </w:tcBorders>
            <w:vAlign w:val="center"/>
          </w:tcPr>
          <w:p w14:paraId="75D9A299">
            <w:pPr>
              <w:pStyle w:val="42"/>
              <w:bidi w:val="0"/>
              <w:jc w:val="center"/>
              <w:rPr>
                <w:rFonts w:hint="default" w:eastAsia="宋体"/>
                <w:highlight w:val="none"/>
                <w:lang w:val="en-US" w:eastAsia="zh-CN"/>
              </w:rPr>
            </w:pPr>
            <w:r>
              <w:rPr>
                <w:rFonts w:hint="eastAsia"/>
                <w:highlight w:val="none"/>
                <w:lang w:val="en-US" w:eastAsia="zh-CN"/>
              </w:rPr>
              <w:t>3</w:t>
            </w:r>
          </w:p>
        </w:tc>
        <w:tc>
          <w:tcPr>
            <w:tcW w:w="961" w:type="pct"/>
            <w:vMerge w:val="continue"/>
            <w:tcBorders>
              <w:tl2br w:val="nil"/>
              <w:tr2bl w:val="nil"/>
            </w:tcBorders>
            <w:vAlign w:val="center"/>
          </w:tcPr>
          <w:p w14:paraId="2B10F10D">
            <w:pPr>
              <w:pStyle w:val="42"/>
              <w:bidi w:val="0"/>
              <w:jc w:val="center"/>
              <w:rPr>
                <w:highlight w:val="none"/>
              </w:rPr>
            </w:pPr>
          </w:p>
        </w:tc>
        <w:tc>
          <w:tcPr>
            <w:tcW w:w="803" w:type="pct"/>
            <w:tcBorders>
              <w:tl2br w:val="nil"/>
              <w:tr2bl w:val="nil"/>
            </w:tcBorders>
            <w:vAlign w:val="center"/>
          </w:tcPr>
          <w:p w14:paraId="2B8A5238">
            <w:pPr>
              <w:pStyle w:val="42"/>
              <w:bidi w:val="0"/>
              <w:jc w:val="center"/>
              <w:rPr>
                <w:rFonts w:hint="eastAsia" w:eastAsia="宋体"/>
                <w:highlight w:val="none"/>
                <w:lang w:eastAsia="zh-CN"/>
              </w:rPr>
            </w:pPr>
            <w:r>
              <w:rPr>
                <w:highlight w:val="none"/>
              </w:rPr>
              <w:t>搅拌</w:t>
            </w:r>
            <w:r>
              <w:rPr>
                <w:rFonts w:hint="eastAsia"/>
                <w:highlight w:val="none"/>
                <w:lang w:val="en-US" w:eastAsia="zh-CN"/>
              </w:rPr>
              <w:t>系统</w:t>
            </w:r>
          </w:p>
        </w:tc>
        <w:tc>
          <w:tcPr>
            <w:tcW w:w="802" w:type="pct"/>
            <w:tcBorders>
              <w:tl2br w:val="nil"/>
              <w:tr2bl w:val="nil"/>
            </w:tcBorders>
            <w:vAlign w:val="center"/>
          </w:tcPr>
          <w:p w14:paraId="39680C5B">
            <w:pPr>
              <w:pStyle w:val="42"/>
              <w:bidi w:val="0"/>
              <w:jc w:val="center"/>
              <w:rPr>
                <w:rFonts w:hint="eastAsia" w:eastAsia="宋体"/>
                <w:highlight w:val="none"/>
                <w:lang w:val="en-US" w:eastAsia="zh-CN"/>
              </w:rPr>
            </w:pPr>
            <w:r>
              <w:rPr>
                <w:rFonts w:hint="eastAsia"/>
                <w:highlight w:val="none"/>
                <w:lang w:val="en-US" w:eastAsia="zh-CN"/>
              </w:rPr>
              <w:t>6</w:t>
            </w:r>
          </w:p>
        </w:tc>
        <w:tc>
          <w:tcPr>
            <w:tcW w:w="643" w:type="pct"/>
            <w:tcBorders>
              <w:tl2br w:val="nil"/>
              <w:tr2bl w:val="nil"/>
            </w:tcBorders>
            <w:vAlign w:val="center"/>
          </w:tcPr>
          <w:p w14:paraId="7DF8B8EC">
            <w:pPr>
              <w:pStyle w:val="42"/>
              <w:bidi w:val="0"/>
              <w:jc w:val="center"/>
              <w:rPr>
                <w:highlight w:val="none"/>
              </w:rPr>
            </w:pPr>
            <w:r>
              <w:rPr>
                <w:highlight w:val="none"/>
              </w:rPr>
              <w:t>70</w:t>
            </w:r>
          </w:p>
        </w:tc>
        <w:tc>
          <w:tcPr>
            <w:tcW w:w="1376" w:type="pct"/>
            <w:tcBorders>
              <w:tl2br w:val="nil"/>
              <w:tr2bl w:val="nil"/>
            </w:tcBorders>
            <w:vAlign w:val="center"/>
          </w:tcPr>
          <w:p w14:paraId="237E9DA8">
            <w:pPr>
              <w:pStyle w:val="42"/>
              <w:bidi w:val="0"/>
              <w:jc w:val="center"/>
              <w:rPr>
                <w:highlight w:val="none"/>
              </w:rPr>
            </w:pPr>
            <w:r>
              <w:rPr>
                <w:highlight w:val="none"/>
              </w:rPr>
              <w:t>基础减震/墙体隔声</w:t>
            </w:r>
          </w:p>
        </w:tc>
      </w:tr>
      <w:tr w14:paraId="5E5E1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444EEE47">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4</w:t>
            </w:r>
          </w:p>
        </w:tc>
        <w:tc>
          <w:tcPr>
            <w:tcW w:w="961" w:type="pct"/>
            <w:vMerge w:val="restart"/>
            <w:tcBorders>
              <w:tl2br w:val="nil"/>
              <w:tr2bl w:val="nil"/>
            </w:tcBorders>
            <w:vAlign w:val="center"/>
          </w:tcPr>
          <w:p w14:paraId="2B1C6569">
            <w:pPr>
              <w:pStyle w:val="42"/>
              <w:bidi w:val="0"/>
              <w:jc w:val="center"/>
              <w:rPr>
                <w:highlight w:val="none"/>
              </w:rPr>
            </w:pPr>
            <w:r>
              <w:rPr>
                <w:highlight w:val="none"/>
              </w:rPr>
              <w:t>污泥脱水间</w:t>
            </w:r>
          </w:p>
        </w:tc>
        <w:tc>
          <w:tcPr>
            <w:tcW w:w="803" w:type="pct"/>
            <w:tcBorders>
              <w:tl2br w:val="nil"/>
              <w:tr2bl w:val="nil"/>
            </w:tcBorders>
            <w:vAlign w:val="center"/>
          </w:tcPr>
          <w:p w14:paraId="19C89F84">
            <w:pPr>
              <w:pStyle w:val="42"/>
              <w:bidi w:val="0"/>
              <w:jc w:val="center"/>
              <w:rPr>
                <w:rFonts w:hint="default" w:eastAsia="宋体"/>
                <w:highlight w:val="none"/>
                <w:lang w:val="en-US" w:eastAsia="zh-CN"/>
              </w:rPr>
            </w:pPr>
            <w:r>
              <w:rPr>
                <w:rFonts w:hint="eastAsia"/>
                <w:highlight w:val="none"/>
                <w:lang w:val="en-US" w:eastAsia="zh-CN"/>
              </w:rPr>
              <w:t>板框压榨机</w:t>
            </w:r>
          </w:p>
        </w:tc>
        <w:tc>
          <w:tcPr>
            <w:tcW w:w="802" w:type="pct"/>
            <w:tcBorders>
              <w:tl2br w:val="nil"/>
              <w:tr2bl w:val="nil"/>
            </w:tcBorders>
            <w:vAlign w:val="center"/>
          </w:tcPr>
          <w:p w14:paraId="17132704">
            <w:pPr>
              <w:pStyle w:val="42"/>
              <w:bidi w:val="0"/>
              <w:jc w:val="center"/>
              <w:rPr>
                <w:rFonts w:hint="eastAsia" w:eastAsia="宋体"/>
                <w:highlight w:val="none"/>
                <w:lang w:eastAsia="zh-CN"/>
              </w:rPr>
            </w:pPr>
            <w:r>
              <w:rPr>
                <w:rFonts w:hint="eastAsia"/>
                <w:highlight w:val="none"/>
                <w:lang w:val="en-US" w:eastAsia="zh-CN"/>
              </w:rPr>
              <w:t>2</w:t>
            </w:r>
          </w:p>
        </w:tc>
        <w:tc>
          <w:tcPr>
            <w:tcW w:w="643" w:type="pct"/>
            <w:tcBorders>
              <w:tl2br w:val="nil"/>
              <w:tr2bl w:val="nil"/>
            </w:tcBorders>
            <w:vAlign w:val="center"/>
          </w:tcPr>
          <w:p w14:paraId="763D1F2B">
            <w:pPr>
              <w:pStyle w:val="42"/>
              <w:bidi w:val="0"/>
              <w:jc w:val="center"/>
              <w:rPr>
                <w:highlight w:val="none"/>
              </w:rPr>
            </w:pPr>
            <w:r>
              <w:rPr>
                <w:highlight w:val="none"/>
              </w:rPr>
              <w:t>80</w:t>
            </w:r>
          </w:p>
        </w:tc>
        <w:tc>
          <w:tcPr>
            <w:tcW w:w="1376" w:type="pct"/>
            <w:tcBorders>
              <w:tl2br w:val="nil"/>
              <w:tr2bl w:val="nil"/>
            </w:tcBorders>
            <w:vAlign w:val="center"/>
          </w:tcPr>
          <w:p w14:paraId="08CD3554">
            <w:pPr>
              <w:pStyle w:val="42"/>
              <w:bidi w:val="0"/>
              <w:jc w:val="center"/>
              <w:rPr>
                <w:highlight w:val="none"/>
              </w:rPr>
            </w:pPr>
            <w:r>
              <w:rPr>
                <w:highlight w:val="none"/>
              </w:rPr>
              <w:t>基础减震/墙体隔声</w:t>
            </w:r>
          </w:p>
        </w:tc>
      </w:tr>
      <w:tr w14:paraId="51A680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6C93C2AF">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5</w:t>
            </w:r>
          </w:p>
        </w:tc>
        <w:tc>
          <w:tcPr>
            <w:tcW w:w="961" w:type="pct"/>
            <w:vMerge w:val="continue"/>
            <w:tcBorders>
              <w:tl2br w:val="nil"/>
              <w:tr2bl w:val="nil"/>
            </w:tcBorders>
            <w:vAlign w:val="center"/>
          </w:tcPr>
          <w:p w14:paraId="5173D409">
            <w:pPr>
              <w:pStyle w:val="42"/>
              <w:bidi w:val="0"/>
              <w:jc w:val="center"/>
              <w:rPr>
                <w:highlight w:val="none"/>
              </w:rPr>
            </w:pPr>
          </w:p>
        </w:tc>
        <w:tc>
          <w:tcPr>
            <w:tcW w:w="803" w:type="pct"/>
            <w:tcBorders>
              <w:tl2br w:val="nil"/>
              <w:tr2bl w:val="nil"/>
            </w:tcBorders>
            <w:vAlign w:val="center"/>
          </w:tcPr>
          <w:p w14:paraId="4D7862D0">
            <w:pPr>
              <w:pStyle w:val="42"/>
              <w:bidi w:val="0"/>
              <w:jc w:val="center"/>
              <w:rPr>
                <w:rFonts w:hint="default" w:eastAsia="宋体"/>
                <w:highlight w:val="none"/>
                <w:lang w:val="en-US" w:eastAsia="zh-CN"/>
              </w:rPr>
            </w:pPr>
            <w:r>
              <w:rPr>
                <w:rFonts w:hint="eastAsia"/>
                <w:highlight w:val="none"/>
                <w:lang w:val="en-US" w:eastAsia="zh-CN"/>
              </w:rPr>
              <w:t>空压机</w:t>
            </w:r>
          </w:p>
        </w:tc>
        <w:tc>
          <w:tcPr>
            <w:tcW w:w="802" w:type="pct"/>
            <w:tcBorders>
              <w:tl2br w:val="nil"/>
              <w:tr2bl w:val="nil"/>
            </w:tcBorders>
            <w:vAlign w:val="center"/>
          </w:tcPr>
          <w:p w14:paraId="22077F5C">
            <w:pPr>
              <w:pStyle w:val="42"/>
              <w:bidi w:val="0"/>
              <w:jc w:val="center"/>
              <w:rPr>
                <w:highlight w:val="none"/>
              </w:rPr>
            </w:pPr>
            <w:r>
              <w:rPr>
                <w:highlight w:val="none"/>
              </w:rPr>
              <w:t>1</w:t>
            </w:r>
          </w:p>
        </w:tc>
        <w:tc>
          <w:tcPr>
            <w:tcW w:w="643" w:type="pct"/>
            <w:tcBorders>
              <w:tl2br w:val="nil"/>
              <w:tr2bl w:val="nil"/>
            </w:tcBorders>
            <w:vAlign w:val="center"/>
          </w:tcPr>
          <w:p w14:paraId="0E865A07">
            <w:pPr>
              <w:pStyle w:val="42"/>
              <w:bidi w:val="0"/>
              <w:jc w:val="center"/>
              <w:rPr>
                <w:highlight w:val="none"/>
              </w:rPr>
            </w:pPr>
            <w:r>
              <w:rPr>
                <w:highlight w:val="none"/>
              </w:rPr>
              <w:t>80</w:t>
            </w:r>
          </w:p>
        </w:tc>
        <w:tc>
          <w:tcPr>
            <w:tcW w:w="1376" w:type="pct"/>
            <w:tcBorders>
              <w:tl2br w:val="nil"/>
              <w:tr2bl w:val="nil"/>
            </w:tcBorders>
            <w:vAlign w:val="center"/>
          </w:tcPr>
          <w:p w14:paraId="0CE1B45E">
            <w:pPr>
              <w:pStyle w:val="42"/>
              <w:bidi w:val="0"/>
              <w:jc w:val="center"/>
              <w:rPr>
                <w:highlight w:val="none"/>
              </w:rPr>
            </w:pPr>
            <w:r>
              <w:rPr>
                <w:highlight w:val="none"/>
              </w:rPr>
              <w:t>基础减震/墙体隔声</w:t>
            </w:r>
          </w:p>
        </w:tc>
      </w:tr>
      <w:tr w14:paraId="102790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2974BB47">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6</w:t>
            </w:r>
          </w:p>
        </w:tc>
        <w:tc>
          <w:tcPr>
            <w:tcW w:w="961" w:type="pct"/>
            <w:tcBorders>
              <w:tl2br w:val="nil"/>
              <w:tr2bl w:val="nil"/>
            </w:tcBorders>
            <w:vAlign w:val="center"/>
          </w:tcPr>
          <w:p w14:paraId="6CBE90B9">
            <w:pPr>
              <w:pStyle w:val="42"/>
              <w:bidi w:val="0"/>
              <w:jc w:val="center"/>
              <w:rPr>
                <w:highlight w:val="none"/>
              </w:rPr>
            </w:pPr>
            <w:r>
              <w:rPr>
                <w:highlight w:val="none"/>
              </w:rPr>
              <w:t>臭气处理设备</w:t>
            </w:r>
          </w:p>
        </w:tc>
        <w:tc>
          <w:tcPr>
            <w:tcW w:w="803" w:type="pct"/>
            <w:tcBorders>
              <w:tl2br w:val="nil"/>
              <w:tr2bl w:val="nil"/>
            </w:tcBorders>
            <w:vAlign w:val="center"/>
          </w:tcPr>
          <w:p w14:paraId="45095EBC">
            <w:pPr>
              <w:pStyle w:val="42"/>
              <w:bidi w:val="0"/>
              <w:jc w:val="center"/>
              <w:rPr>
                <w:highlight w:val="none"/>
              </w:rPr>
            </w:pPr>
            <w:r>
              <w:rPr>
                <w:highlight w:val="none"/>
              </w:rPr>
              <w:t>离心风机</w:t>
            </w:r>
          </w:p>
        </w:tc>
        <w:tc>
          <w:tcPr>
            <w:tcW w:w="802" w:type="pct"/>
            <w:tcBorders>
              <w:tl2br w:val="nil"/>
              <w:tr2bl w:val="nil"/>
            </w:tcBorders>
            <w:vAlign w:val="center"/>
          </w:tcPr>
          <w:p w14:paraId="67CC4444">
            <w:pPr>
              <w:pStyle w:val="42"/>
              <w:bidi w:val="0"/>
              <w:jc w:val="center"/>
              <w:rPr>
                <w:rFonts w:hint="eastAsia" w:eastAsia="宋体"/>
                <w:highlight w:val="none"/>
                <w:lang w:eastAsia="zh-CN"/>
              </w:rPr>
            </w:pPr>
            <w:r>
              <w:rPr>
                <w:rFonts w:hint="eastAsia"/>
                <w:highlight w:val="none"/>
                <w:lang w:val="en-US" w:eastAsia="zh-CN"/>
              </w:rPr>
              <w:t>2</w:t>
            </w:r>
          </w:p>
        </w:tc>
        <w:tc>
          <w:tcPr>
            <w:tcW w:w="643" w:type="pct"/>
            <w:tcBorders>
              <w:tl2br w:val="nil"/>
              <w:tr2bl w:val="nil"/>
            </w:tcBorders>
            <w:vAlign w:val="center"/>
          </w:tcPr>
          <w:p w14:paraId="7EEC8F49">
            <w:pPr>
              <w:pStyle w:val="42"/>
              <w:bidi w:val="0"/>
              <w:jc w:val="center"/>
              <w:rPr>
                <w:highlight w:val="none"/>
              </w:rPr>
            </w:pPr>
            <w:r>
              <w:rPr>
                <w:highlight w:val="none"/>
              </w:rPr>
              <w:t>85</w:t>
            </w:r>
          </w:p>
        </w:tc>
        <w:tc>
          <w:tcPr>
            <w:tcW w:w="1376" w:type="pct"/>
            <w:tcBorders>
              <w:tl2br w:val="nil"/>
              <w:tr2bl w:val="nil"/>
            </w:tcBorders>
            <w:vAlign w:val="center"/>
          </w:tcPr>
          <w:p w14:paraId="11456DFF">
            <w:pPr>
              <w:pStyle w:val="42"/>
              <w:bidi w:val="0"/>
              <w:jc w:val="center"/>
              <w:rPr>
                <w:highlight w:val="none"/>
              </w:rPr>
            </w:pPr>
            <w:r>
              <w:rPr>
                <w:highlight w:val="none"/>
              </w:rPr>
              <w:t>基础减震/消声</w:t>
            </w:r>
          </w:p>
        </w:tc>
      </w:tr>
      <w:tr w14:paraId="12ED3A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69CCD555">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7</w:t>
            </w:r>
          </w:p>
        </w:tc>
        <w:tc>
          <w:tcPr>
            <w:tcW w:w="961" w:type="pct"/>
            <w:vMerge w:val="restart"/>
            <w:tcBorders>
              <w:tl2br w:val="nil"/>
              <w:tr2bl w:val="nil"/>
            </w:tcBorders>
            <w:vAlign w:val="center"/>
          </w:tcPr>
          <w:p w14:paraId="7707ED88">
            <w:pPr>
              <w:pStyle w:val="42"/>
              <w:bidi w:val="0"/>
              <w:jc w:val="center"/>
              <w:rPr>
                <w:highlight w:val="none"/>
              </w:rPr>
            </w:pPr>
            <w:r>
              <w:rPr>
                <w:highlight w:val="none"/>
              </w:rPr>
              <w:t>各池体内</w:t>
            </w:r>
          </w:p>
        </w:tc>
        <w:tc>
          <w:tcPr>
            <w:tcW w:w="803" w:type="pct"/>
            <w:tcBorders>
              <w:tl2br w:val="nil"/>
              <w:tr2bl w:val="nil"/>
            </w:tcBorders>
            <w:vAlign w:val="center"/>
          </w:tcPr>
          <w:p w14:paraId="2B515791">
            <w:pPr>
              <w:pStyle w:val="42"/>
              <w:bidi w:val="0"/>
              <w:jc w:val="center"/>
              <w:rPr>
                <w:highlight w:val="none"/>
              </w:rPr>
            </w:pPr>
            <w:r>
              <w:rPr>
                <w:rFonts w:hint="eastAsia"/>
                <w:highlight w:val="none"/>
              </w:rPr>
              <w:t>潜污泵</w:t>
            </w:r>
          </w:p>
        </w:tc>
        <w:tc>
          <w:tcPr>
            <w:tcW w:w="802" w:type="pct"/>
            <w:tcBorders>
              <w:tl2br w:val="nil"/>
              <w:tr2bl w:val="nil"/>
            </w:tcBorders>
            <w:vAlign w:val="center"/>
          </w:tcPr>
          <w:p w14:paraId="5913A786">
            <w:pPr>
              <w:pStyle w:val="42"/>
              <w:bidi w:val="0"/>
              <w:jc w:val="center"/>
              <w:rPr>
                <w:rFonts w:hint="default" w:eastAsia="宋体"/>
                <w:highlight w:val="none"/>
                <w:lang w:val="en-US" w:eastAsia="zh-CN"/>
              </w:rPr>
            </w:pPr>
            <w:r>
              <w:rPr>
                <w:rFonts w:hint="eastAsia"/>
                <w:highlight w:val="none"/>
                <w:lang w:val="en-US" w:eastAsia="zh-CN"/>
              </w:rPr>
              <w:t>12</w:t>
            </w:r>
          </w:p>
        </w:tc>
        <w:tc>
          <w:tcPr>
            <w:tcW w:w="643" w:type="pct"/>
            <w:tcBorders>
              <w:tl2br w:val="nil"/>
              <w:tr2bl w:val="nil"/>
            </w:tcBorders>
            <w:vAlign w:val="center"/>
          </w:tcPr>
          <w:p w14:paraId="4444AF47">
            <w:pPr>
              <w:pStyle w:val="42"/>
              <w:bidi w:val="0"/>
              <w:jc w:val="center"/>
              <w:rPr>
                <w:highlight w:val="none"/>
              </w:rPr>
            </w:pPr>
            <w:r>
              <w:rPr>
                <w:highlight w:val="none"/>
              </w:rPr>
              <w:t>80</w:t>
            </w:r>
          </w:p>
        </w:tc>
        <w:tc>
          <w:tcPr>
            <w:tcW w:w="1376" w:type="pct"/>
            <w:vMerge w:val="restart"/>
            <w:tcBorders>
              <w:tl2br w:val="nil"/>
              <w:tr2bl w:val="nil"/>
            </w:tcBorders>
            <w:vAlign w:val="center"/>
          </w:tcPr>
          <w:p w14:paraId="412DC041">
            <w:pPr>
              <w:pStyle w:val="42"/>
              <w:bidi w:val="0"/>
              <w:jc w:val="center"/>
              <w:rPr>
                <w:highlight w:val="none"/>
              </w:rPr>
            </w:pPr>
            <w:r>
              <w:rPr>
                <w:highlight w:val="none"/>
              </w:rPr>
              <w:t>基础减震/水下隔声</w:t>
            </w:r>
          </w:p>
        </w:tc>
      </w:tr>
      <w:tr w14:paraId="3194D4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683ED0AF">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w:t>
            </w:r>
          </w:p>
        </w:tc>
        <w:tc>
          <w:tcPr>
            <w:tcW w:w="961" w:type="pct"/>
            <w:vMerge w:val="continue"/>
            <w:tcBorders>
              <w:tl2br w:val="nil"/>
              <w:tr2bl w:val="nil"/>
            </w:tcBorders>
            <w:vAlign w:val="center"/>
          </w:tcPr>
          <w:p w14:paraId="65CBA7EE">
            <w:pPr>
              <w:pStyle w:val="42"/>
              <w:bidi w:val="0"/>
              <w:jc w:val="center"/>
              <w:rPr>
                <w:highlight w:val="none"/>
              </w:rPr>
            </w:pPr>
          </w:p>
        </w:tc>
        <w:tc>
          <w:tcPr>
            <w:tcW w:w="803" w:type="pct"/>
            <w:tcBorders>
              <w:tl2br w:val="nil"/>
              <w:tr2bl w:val="nil"/>
            </w:tcBorders>
            <w:vAlign w:val="center"/>
          </w:tcPr>
          <w:p w14:paraId="400639C0">
            <w:pPr>
              <w:pStyle w:val="42"/>
              <w:bidi w:val="0"/>
              <w:jc w:val="center"/>
              <w:rPr>
                <w:rFonts w:hint="eastAsia" w:eastAsia="宋体"/>
                <w:highlight w:val="none"/>
                <w:lang w:val="en-US" w:eastAsia="zh-CN"/>
              </w:rPr>
            </w:pPr>
            <w:r>
              <w:rPr>
                <w:rFonts w:hint="eastAsia"/>
                <w:highlight w:val="none"/>
                <w:lang w:val="en-US" w:eastAsia="zh-CN"/>
              </w:rPr>
              <w:t>微滤机</w:t>
            </w:r>
          </w:p>
        </w:tc>
        <w:tc>
          <w:tcPr>
            <w:tcW w:w="802" w:type="pct"/>
            <w:tcBorders>
              <w:tl2br w:val="nil"/>
              <w:tr2bl w:val="nil"/>
            </w:tcBorders>
            <w:vAlign w:val="center"/>
          </w:tcPr>
          <w:p w14:paraId="36A4D391">
            <w:pPr>
              <w:pStyle w:val="42"/>
              <w:bidi w:val="0"/>
              <w:jc w:val="center"/>
              <w:rPr>
                <w:rFonts w:hint="default"/>
                <w:highlight w:val="none"/>
                <w:lang w:val="en-US" w:eastAsia="zh-CN"/>
              </w:rPr>
            </w:pPr>
            <w:r>
              <w:rPr>
                <w:rFonts w:hint="eastAsia"/>
                <w:highlight w:val="none"/>
                <w:lang w:val="en-US" w:eastAsia="zh-CN"/>
              </w:rPr>
              <w:t>1</w:t>
            </w:r>
          </w:p>
        </w:tc>
        <w:tc>
          <w:tcPr>
            <w:tcW w:w="643" w:type="pct"/>
            <w:tcBorders>
              <w:tl2br w:val="nil"/>
              <w:tr2bl w:val="nil"/>
            </w:tcBorders>
            <w:vAlign w:val="center"/>
          </w:tcPr>
          <w:p w14:paraId="3EB933F7">
            <w:pPr>
              <w:pStyle w:val="42"/>
              <w:bidi w:val="0"/>
              <w:jc w:val="center"/>
              <w:rPr>
                <w:rFonts w:hint="default" w:eastAsia="宋体"/>
                <w:highlight w:val="none"/>
                <w:lang w:val="en-US" w:eastAsia="zh-CN"/>
              </w:rPr>
            </w:pPr>
            <w:r>
              <w:rPr>
                <w:rFonts w:hint="eastAsia"/>
                <w:highlight w:val="none"/>
                <w:lang w:val="en-US" w:eastAsia="zh-CN"/>
              </w:rPr>
              <w:t>75</w:t>
            </w:r>
          </w:p>
        </w:tc>
        <w:tc>
          <w:tcPr>
            <w:tcW w:w="1376" w:type="pct"/>
            <w:vMerge w:val="continue"/>
            <w:tcBorders>
              <w:tl2br w:val="nil"/>
              <w:tr2bl w:val="nil"/>
            </w:tcBorders>
            <w:vAlign w:val="center"/>
          </w:tcPr>
          <w:p w14:paraId="719887A6">
            <w:pPr>
              <w:pStyle w:val="42"/>
              <w:bidi w:val="0"/>
              <w:jc w:val="center"/>
              <w:rPr>
                <w:highlight w:val="none"/>
              </w:rPr>
            </w:pPr>
          </w:p>
        </w:tc>
      </w:tr>
      <w:tr w14:paraId="2045DA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0B656AF9">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9</w:t>
            </w:r>
          </w:p>
        </w:tc>
        <w:tc>
          <w:tcPr>
            <w:tcW w:w="961" w:type="pct"/>
            <w:vMerge w:val="continue"/>
            <w:tcBorders>
              <w:tl2br w:val="nil"/>
              <w:tr2bl w:val="nil"/>
            </w:tcBorders>
            <w:vAlign w:val="center"/>
          </w:tcPr>
          <w:p w14:paraId="0F5D6EC8">
            <w:pPr>
              <w:pStyle w:val="42"/>
              <w:bidi w:val="0"/>
              <w:jc w:val="center"/>
              <w:rPr>
                <w:highlight w:val="none"/>
              </w:rPr>
            </w:pPr>
          </w:p>
        </w:tc>
        <w:tc>
          <w:tcPr>
            <w:tcW w:w="803" w:type="pct"/>
            <w:tcBorders>
              <w:tl2br w:val="nil"/>
              <w:tr2bl w:val="nil"/>
            </w:tcBorders>
            <w:vAlign w:val="center"/>
          </w:tcPr>
          <w:p w14:paraId="7A0E6DC6">
            <w:pPr>
              <w:pStyle w:val="42"/>
              <w:bidi w:val="0"/>
              <w:jc w:val="center"/>
              <w:rPr>
                <w:rFonts w:hint="default"/>
                <w:highlight w:val="none"/>
                <w:lang w:val="en-US" w:eastAsia="zh-CN"/>
              </w:rPr>
            </w:pPr>
            <w:r>
              <w:rPr>
                <w:rFonts w:hint="eastAsia"/>
                <w:highlight w:val="none"/>
                <w:lang w:val="en-US" w:eastAsia="zh-CN"/>
              </w:rPr>
              <w:t>刮渣机</w:t>
            </w:r>
          </w:p>
        </w:tc>
        <w:tc>
          <w:tcPr>
            <w:tcW w:w="802" w:type="pct"/>
            <w:tcBorders>
              <w:tl2br w:val="nil"/>
              <w:tr2bl w:val="nil"/>
            </w:tcBorders>
            <w:vAlign w:val="center"/>
          </w:tcPr>
          <w:p w14:paraId="55346248">
            <w:pPr>
              <w:pStyle w:val="42"/>
              <w:bidi w:val="0"/>
              <w:jc w:val="center"/>
              <w:rPr>
                <w:rFonts w:hint="default"/>
                <w:highlight w:val="none"/>
                <w:lang w:val="en-US" w:eastAsia="zh-CN"/>
              </w:rPr>
            </w:pPr>
            <w:r>
              <w:rPr>
                <w:rFonts w:hint="eastAsia"/>
                <w:highlight w:val="none"/>
                <w:lang w:val="en-US" w:eastAsia="zh-CN"/>
              </w:rPr>
              <w:t>2</w:t>
            </w:r>
          </w:p>
        </w:tc>
        <w:tc>
          <w:tcPr>
            <w:tcW w:w="643" w:type="pct"/>
            <w:tcBorders>
              <w:tl2br w:val="nil"/>
              <w:tr2bl w:val="nil"/>
            </w:tcBorders>
            <w:vAlign w:val="center"/>
          </w:tcPr>
          <w:p w14:paraId="605F3967">
            <w:pPr>
              <w:pStyle w:val="42"/>
              <w:bidi w:val="0"/>
              <w:jc w:val="center"/>
              <w:rPr>
                <w:rFonts w:hint="default"/>
                <w:highlight w:val="none"/>
                <w:lang w:val="en-US" w:eastAsia="zh-CN"/>
              </w:rPr>
            </w:pPr>
            <w:r>
              <w:rPr>
                <w:rFonts w:hint="eastAsia"/>
                <w:highlight w:val="none"/>
                <w:lang w:val="en-US" w:eastAsia="zh-CN"/>
              </w:rPr>
              <w:t>70</w:t>
            </w:r>
          </w:p>
        </w:tc>
        <w:tc>
          <w:tcPr>
            <w:tcW w:w="1376" w:type="pct"/>
            <w:vMerge w:val="continue"/>
            <w:tcBorders>
              <w:tl2br w:val="nil"/>
              <w:tr2bl w:val="nil"/>
            </w:tcBorders>
            <w:vAlign w:val="center"/>
          </w:tcPr>
          <w:p w14:paraId="2EB97C72">
            <w:pPr>
              <w:pStyle w:val="42"/>
              <w:bidi w:val="0"/>
              <w:jc w:val="center"/>
              <w:rPr>
                <w:highlight w:val="none"/>
              </w:rPr>
            </w:pPr>
          </w:p>
        </w:tc>
      </w:tr>
      <w:tr w14:paraId="0ACE87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61CE250A">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c>
          <w:tcPr>
            <w:tcW w:w="961" w:type="pct"/>
            <w:vMerge w:val="continue"/>
            <w:tcBorders>
              <w:tl2br w:val="nil"/>
              <w:tr2bl w:val="nil"/>
            </w:tcBorders>
            <w:vAlign w:val="center"/>
          </w:tcPr>
          <w:p w14:paraId="63F607F7">
            <w:pPr>
              <w:pStyle w:val="42"/>
              <w:bidi w:val="0"/>
              <w:jc w:val="center"/>
              <w:rPr>
                <w:highlight w:val="none"/>
              </w:rPr>
            </w:pPr>
          </w:p>
        </w:tc>
        <w:tc>
          <w:tcPr>
            <w:tcW w:w="803" w:type="pct"/>
            <w:tcBorders>
              <w:tl2br w:val="nil"/>
              <w:tr2bl w:val="nil"/>
            </w:tcBorders>
            <w:vAlign w:val="center"/>
          </w:tcPr>
          <w:p w14:paraId="32AFD6DC">
            <w:pPr>
              <w:pStyle w:val="42"/>
              <w:bidi w:val="0"/>
              <w:jc w:val="center"/>
              <w:rPr>
                <w:rFonts w:hint="default"/>
                <w:highlight w:val="none"/>
                <w:lang w:val="en-US" w:eastAsia="zh-CN"/>
              </w:rPr>
            </w:pPr>
            <w:r>
              <w:rPr>
                <w:rFonts w:hint="eastAsia"/>
                <w:highlight w:val="none"/>
                <w:lang w:val="en-US" w:eastAsia="zh-CN"/>
              </w:rPr>
              <w:t>回流泵</w:t>
            </w:r>
          </w:p>
        </w:tc>
        <w:tc>
          <w:tcPr>
            <w:tcW w:w="802" w:type="pct"/>
            <w:tcBorders>
              <w:tl2br w:val="nil"/>
              <w:tr2bl w:val="nil"/>
            </w:tcBorders>
            <w:vAlign w:val="center"/>
          </w:tcPr>
          <w:p w14:paraId="50FC8E6D">
            <w:pPr>
              <w:pStyle w:val="42"/>
              <w:bidi w:val="0"/>
              <w:jc w:val="center"/>
              <w:rPr>
                <w:rFonts w:hint="default"/>
                <w:highlight w:val="none"/>
                <w:lang w:val="en-US" w:eastAsia="zh-CN"/>
              </w:rPr>
            </w:pPr>
            <w:r>
              <w:rPr>
                <w:rFonts w:hint="eastAsia"/>
                <w:highlight w:val="none"/>
                <w:lang w:val="en-US" w:eastAsia="zh-CN"/>
              </w:rPr>
              <w:t>8</w:t>
            </w:r>
          </w:p>
        </w:tc>
        <w:tc>
          <w:tcPr>
            <w:tcW w:w="643" w:type="pct"/>
            <w:tcBorders>
              <w:tl2br w:val="nil"/>
              <w:tr2bl w:val="nil"/>
            </w:tcBorders>
            <w:vAlign w:val="center"/>
          </w:tcPr>
          <w:p w14:paraId="1BF19F68">
            <w:pPr>
              <w:pStyle w:val="42"/>
              <w:bidi w:val="0"/>
              <w:jc w:val="center"/>
              <w:rPr>
                <w:rFonts w:hint="default"/>
                <w:highlight w:val="none"/>
                <w:lang w:val="en-US" w:eastAsia="zh-CN"/>
              </w:rPr>
            </w:pPr>
            <w:r>
              <w:rPr>
                <w:rFonts w:hint="eastAsia"/>
                <w:highlight w:val="none"/>
                <w:lang w:val="en-US" w:eastAsia="zh-CN"/>
              </w:rPr>
              <w:t>80</w:t>
            </w:r>
          </w:p>
        </w:tc>
        <w:tc>
          <w:tcPr>
            <w:tcW w:w="1376" w:type="pct"/>
            <w:vMerge w:val="continue"/>
            <w:tcBorders>
              <w:tl2br w:val="nil"/>
              <w:tr2bl w:val="nil"/>
            </w:tcBorders>
            <w:vAlign w:val="center"/>
          </w:tcPr>
          <w:p w14:paraId="50B8F13F">
            <w:pPr>
              <w:pStyle w:val="42"/>
              <w:bidi w:val="0"/>
              <w:jc w:val="center"/>
              <w:rPr>
                <w:highlight w:val="none"/>
              </w:rPr>
            </w:pPr>
          </w:p>
        </w:tc>
      </w:tr>
      <w:tr w14:paraId="0BF486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1B2D969A">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11</w:t>
            </w:r>
          </w:p>
        </w:tc>
        <w:tc>
          <w:tcPr>
            <w:tcW w:w="961" w:type="pct"/>
            <w:vMerge w:val="continue"/>
            <w:tcBorders>
              <w:tl2br w:val="nil"/>
              <w:tr2bl w:val="nil"/>
            </w:tcBorders>
            <w:vAlign w:val="center"/>
          </w:tcPr>
          <w:p w14:paraId="4FE09A1D">
            <w:pPr>
              <w:pStyle w:val="42"/>
              <w:bidi w:val="0"/>
              <w:jc w:val="center"/>
              <w:rPr>
                <w:highlight w:val="none"/>
              </w:rPr>
            </w:pPr>
          </w:p>
        </w:tc>
        <w:tc>
          <w:tcPr>
            <w:tcW w:w="803" w:type="pct"/>
            <w:tcBorders>
              <w:tl2br w:val="nil"/>
              <w:tr2bl w:val="nil"/>
            </w:tcBorders>
            <w:vAlign w:val="center"/>
          </w:tcPr>
          <w:p w14:paraId="11E98B6E">
            <w:pPr>
              <w:pStyle w:val="42"/>
              <w:bidi w:val="0"/>
              <w:jc w:val="center"/>
              <w:rPr>
                <w:highlight w:val="none"/>
              </w:rPr>
            </w:pPr>
            <w:r>
              <w:rPr>
                <w:highlight w:val="none"/>
              </w:rPr>
              <w:t>搅拌机</w:t>
            </w:r>
          </w:p>
        </w:tc>
        <w:tc>
          <w:tcPr>
            <w:tcW w:w="802" w:type="pct"/>
            <w:tcBorders>
              <w:tl2br w:val="nil"/>
              <w:tr2bl w:val="nil"/>
            </w:tcBorders>
            <w:vAlign w:val="center"/>
          </w:tcPr>
          <w:p w14:paraId="43F3D2C1">
            <w:pPr>
              <w:pStyle w:val="42"/>
              <w:bidi w:val="0"/>
              <w:jc w:val="center"/>
              <w:rPr>
                <w:rFonts w:hint="eastAsia" w:eastAsia="宋体"/>
                <w:highlight w:val="none"/>
                <w:lang w:eastAsia="zh-CN"/>
              </w:rPr>
            </w:pPr>
            <w:r>
              <w:rPr>
                <w:rFonts w:hint="eastAsia"/>
                <w:highlight w:val="none"/>
                <w:lang w:val="en-US" w:eastAsia="zh-CN"/>
              </w:rPr>
              <w:t>7</w:t>
            </w:r>
          </w:p>
        </w:tc>
        <w:tc>
          <w:tcPr>
            <w:tcW w:w="643" w:type="pct"/>
            <w:tcBorders>
              <w:tl2br w:val="nil"/>
              <w:tr2bl w:val="nil"/>
            </w:tcBorders>
            <w:vAlign w:val="center"/>
          </w:tcPr>
          <w:p w14:paraId="04E874BF">
            <w:pPr>
              <w:pStyle w:val="42"/>
              <w:bidi w:val="0"/>
              <w:jc w:val="center"/>
              <w:rPr>
                <w:highlight w:val="none"/>
              </w:rPr>
            </w:pPr>
            <w:r>
              <w:rPr>
                <w:highlight w:val="none"/>
              </w:rPr>
              <w:t>70</w:t>
            </w:r>
          </w:p>
        </w:tc>
        <w:tc>
          <w:tcPr>
            <w:tcW w:w="1376" w:type="pct"/>
            <w:vMerge w:val="continue"/>
            <w:tcBorders>
              <w:tl2br w:val="nil"/>
              <w:tr2bl w:val="nil"/>
            </w:tcBorders>
            <w:vAlign w:val="center"/>
          </w:tcPr>
          <w:p w14:paraId="6714CA8B">
            <w:pPr>
              <w:pStyle w:val="42"/>
              <w:bidi w:val="0"/>
              <w:jc w:val="center"/>
              <w:rPr>
                <w:highlight w:val="none"/>
              </w:rPr>
            </w:pPr>
          </w:p>
        </w:tc>
      </w:tr>
      <w:tr w14:paraId="192BA5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412" w:type="pct"/>
            <w:tcBorders>
              <w:tl2br w:val="nil"/>
              <w:tr2bl w:val="nil"/>
            </w:tcBorders>
            <w:shd w:val="clear" w:color="auto" w:fill="auto"/>
            <w:vAlign w:val="center"/>
          </w:tcPr>
          <w:p w14:paraId="57E4F25B">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12</w:t>
            </w:r>
          </w:p>
        </w:tc>
        <w:tc>
          <w:tcPr>
            <w:tcW w:w="961" w:type="pct"/>
            <w:vMerge w:val="continue"/>
            <w:tcBorders>
              <w:tl2br w:val="nil"/>
              <w:tr2bl w:val="nil"/>
            </w:tcBorders>
            <w:vAlign w:val="center"/>
          </w:tcPr>
          <w:p w14:paraId="5602E130">
            <w:pPr>
              <w:pStyle w:val="42"/>
              <w:bidi w:val="0"/>
              <w:jc w:val="center"/>
              <w:rPr>
                <w:highlight w:val="none"/>
              </w:rPr>
            </w:pPr>
          </w:p>
        </w:tc>
        <w:tc>
          <w:tcPr>
            <w:tcW w:w="803" w:type="pct"/>
            <w:tcBorders>
              <w:tl2br w:val="nil"/>
              <w:tr2bl w:val="nil"/>
            </w:tcBorders>
            <w:vAlign w:val="center"/>
          </w:tcPr>
          <w:p w14:paraId="66A6DA98">
            <w:pPr>
              <w:pStyle w:val="42"/>
              <w:bidi w:val="0"/>
              <w:jc w:val="center"/>
              <w:rPr>
                <w:rFonts w:hint="default" w:eastAsia="宋体"/>
                <w:highlight w:val="none"/>
                <w:lang w:val="en-US" w:eastAsia="zh-CN"/>
              </w:rPr>
            </w:pPr>
            <w:r>
              <w:rPr>
                <w:rFonts w:hint="eastAsia"/>
                <w:highlight w:val="none"/>
                <w:lang w:val="en-US" w:eastAsia="zh-CN"/>
              </w:rPr>
              <w:t>离心泵</w:t>
            </w:r>
          </w:p>
        </w:tc>
        <w:tc>
          <w:tcPr>
            <w:tcW w:w="802" w:type="pct"/>
            <w:tcBorders>
              <w:tl2br w:val="nil"/>
              <w:tr2bl w:val="nil"/>
            </w:tcBorders>
            <w:vAlign w:val="center"/>
          </w:tcPr>
          <w:p w14:paraId="07EBACD0">
            <w:pPr>
              <w:pStyle w:val="42"/>
              <w:bidi w:val="0"/>
              <w:jc w:val="center"/>
              <w:rPr>
                <w:rFonts w:hint="default"/>
                <w:highlight w:val="none"/>
                <w:lang w:val="en-US" w:eastAsia="zh-CN"/>
              </w:rPr>
            </w:pPr>
            <w:r>
              <w:rPr>
                <w:rFonts w:hint="eastAsia"/>
                <w:highlight w:val="none"/>
                <w:lang w:val="en-US" w:eastAsia="zh-CN"/>
              </w:rPr>
              <w:t>2</w:t>
            </w:r>
          </w:p>
        </w:tc>
        <w:tc>
          <w:tcPr>
            <w:tcW w:w="643" w:type="pct"/>
            <w:tcBorders>
              <w:tl2br w:val="nil"/>
              <w:tr2bl w:val="nil"/>
            </w:tcBorders>
            <w:vAlign w:val="center"/>
          </w:tcPr>
          <w:p w14:paraId="475501F2">
            <w:pPr>
              <w:pStyle w:val="42"/>
              <w:bidi w:val="0"/>
              <w:jc w:val="center"/>
              <w:rPr>
                <w:rFonts w:hint="default" w:eastAsia="宋体"/>
                <w:highlight w:val="none"/>
                <w:lang w:val="en-US" w:eastAsia="zh-CN"/>
              </w:rPr>
            </w:pPr>
            <w:r>
              <w:rPr>
                <w:rFonts w:hint="eastAsia"/>
                <w:highlight w:val="none"/>
                <w:lang w:val="en-US" w:eastAsia="zh-CN"/>
              </w:rPr>
              <w:t>80</w:t>
            </w:r>
          </w:p>
        </w:tc>
        <w:tc>
          <w:tcPr>
            <w:tcW w:w="1376" w:type="pct"/>
            <w:vMerge w:val="continue"/>
            <w:tcBorders>
              <w:tl2br w:val="nil"/>
              <w:tr2bl w:val="nil"/>
            </w:tcBorders>
            <w:vAlign w:val="center"/>
          </w:tcPr>
          <w:p w14:paraId="105F5452">
            <w:pPr>
              <w:pStyle w:val="42"/>
              <w:bidi w:val="0"/>
              <w:jc w:val="center"/>
              <w:rPr>
                <w:highlight w:val="none"/>
              </w:rPr>
            </w:pPr>
          </w:p>
        </w:tc>
      </w:tr>
      <w:tr w14:paraId="1D40EE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412" w:type="pct"/>
            <w:tcBorders>
              <w:tl2br w:val="nil"/>
              <w:tr2bl w:val="nil"/>
            </w:tcBorders>
            <w:shd w:val="clear" w:color="auto" w:fill="auto"/>
            <w:vAlign w:val="center"/>
          </w:tcPr>
          <w:p w14:paraId="55DE4A72">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13</w:t>
            </w:r>
          </w:p>
        </w:tc>
        <w:tc>
          <w:tcPr>
            <w:tcW w:w="961" w:type="pct"/>
            <w:vMerge w:val="continue"/>
            <w:tcBorders>
              <w:tl2br w:val="nil"/>
              <w:tr2bl w:val="nil"/>
            </w:tcBorders>
            <w:vAlign w:val="center"/>
          </w:tcPr>
          <w:p w14:paraId="5975D814">
            <w:pPr>
              <w:pStyle w:val="42"/>
              <w:bidi w:val="0"/>
              <w:jc w:val="center"/>
              <w:rPr>
                <w:highlight w:val="none"/>
              </w:rPr>
            </w:pPr>
          </w:p>
        </w:tc>
        <w:tc>
          <w:tcPr>
            <w:tcW w:w="803" w:type="pct"/>
            <w:tcBorders>
              <w:tl2br w:val="nil"/>
              <w:tr2bl w:val="nil"/>
            </w:tcBorders>
            <w:vAlign w:val="center"/>
          </w:tcPr>
          <w:p w14:paraId="6563FD09">
            <w:pPr>
              <w:pStyle w:val="42"/>
              <w:bidi w:val="0"/>
              <w:jc w:val="center"/>
              <w:rPr>
                <w:highlight w:val="none"/>
              </w:rPr>
            </w:pPr>
            <w:r>
              <w:rPr>
                <w:rFonts w:hint="eastAsia"/>
                <w:highlight w:val="none"/>
                <w:lang w:val="en-US" w:eastAsia="zh-CN"/>
              </w:rPr>
              <w:t>污泥调理</w:t>
            </w:r>
            <w:r>
              <w:rPr>
                <w:highlight w:val="none"/>
              </w:rPr>
              <w:t>泵</w:t>
            </w:r>
          </w:p>
        </w:tc>
        <w:tc>
          <w:tcPr>
            <w:tcW w:w="802" w:type="pct"/>
            <w:tcBorders>
              <w:tl2br w:val="nil"/>
              <w:tr2bl w:val="nil"/>
            </w:tcBorders>
            <w:vAlign w:val="center"/>
          </w:tcPr>
          <w:p w14:paraId="3D7D85FF">
            <w:pPr>
              <w:pStyle w:val="42"/>
              <w:bidi w:val="0"/>
              <w:jc w:val="center"/>
              <w:rPr>
                <w:rFonts w:hint="eastAsia" w:eastAsia="宋体"/>
                <w:highlight w:val="none"/>
                <w:lang w:eastAsia="zh-CN"/>
              </w:rPr>
            </w:pPr>
            <w:r>
              <w:rPr>
                <w:rFonts w:hint="eastAsia"/>
                <w:highlight w:val="none"/>
                <w:lang w:val="en-US" w:eastAsia="zh-CN"/>
              </w:rPr>
              <w:t>4</w:t>
            </w:r>
          </w:p>
        </w:tc>
        <w:tc>
          <w:tcPr>
            <w:tcW w:w="643" w:type="pct"/>
            <w:tcBorders>
              <w:tl2br w:val="nil"/>
              <w:tr2bl w:val="nil"/>
            </w:tcBorders>
            <w:vAlign w:val="center"/>
          </w:tcPr>
          <w:p w14:paraId="0F49D142">
            <w:pPr>
              <w:pStyle w:val="42"/>
              <w:bidi w:val="0"/>
              <w:jc w:val="center"/>
              <w:rPr>
                <w:highlight w:val="none"/>
              </w:rPr>
            </w:pPr>
            <w:r>
              <w:rPr>
                <w:highlight w:val="none"/>
              </w:rPr>
              <w:t>80</w:t>
            </w:r>
          </w:p>
        </w:tc>
        <w:tc>
          <w:tcPr>
            <w:tcW w:w="1376" w:type="pct"/>
            <w:vMerge w:val="continue"/>
            <w:tcBorders>
              <w:tl2br w:val="nil"/>
              <w:tr2bl w:val="nil"/>
            </w:tcBorders>
            <w:vAlign w:val="center"/>
          </w:tcPr>
          <w:p w14:paraId="278A752A">
            <w:pPr>
              <w:pStyle w:val="42"/>
              <w:bidi w:val="0"/>
              <w:jc w:val="center"/>
              <w:rPr>
                <w:highlight w:val="none"/>
              </w:rPr>
            </w:pPr>
          </w:p>
        </w:tc>
      </w:tr>
    </w:tbl>
    <w:p w14:paraId="6A0EA163">
      <w:pPr>
        <w:pStyle w:val="39"/>
        <w:bidi w:val="0"/>
        <w:rPr>
          <w:rFonts w:hint="default"/>
          <w:lang w:val="en-US" w:eastAsia="zh-CN"/>
        </w:rPr>
      </w:pPr>
    </w:p>
    <w:p w14:paraId="0C6204C3">
      <w:pPr>
        <w:bidi w:val="0"/>
        <w:rPr>
          <w:rFonts w:hint="default" w:ascii="Times New Roman" w:hAnsi="Times New Roman" w:cs="Times New Roman"/>
          <w:color w:val="auto"/>
          <w:highlight w:val="yellow"/>
          <w:u w:val="none" w:color="auto"/>
          <w:lang w:val="en-US" w:eastAsia="zh-CN"/>
        </w:rPr>
        <w:sectPr>
          <w:footerReference r:id="rId11" w:type="default"/>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linePitch="312" w:charSpace="0"/>
        </w:sectPr>
      </w:pPr>
    </w:p>
    <w:p w14:paraId="736BFB9C">
      <w:pPr>
        <w:pStyle w:val="6"/>
        <w:rPr>
          <w:rFonts w:hint="default" w:ascii="Times New Roman" w:hAnsi="Times New Roman" w:cs="Times New Roman"/>
          <w:color w:val="auto"/>
          <w:highlight w:val="none"/>
          <w:u w:val="none" w:color="auto"/>
        </w:rPr>
      </w:pPr>
      <w:bookmarkStart w:id="123" w:name="_Toc288"/>
      <w:r>
        <w:rPr>
          <w:rFonts w:hint="default" w:ascii="Times New Roman" w:hAnsi="Times New Roman" w:cs="Times New Roman"/>
          <w:color w:val="auto"/>
          <w:highlight w:val="none"/>
          <w:u w:val="none" w:color="auto"/>
        </w:rPr>
        <w:t>营运期固体废弃物分析</w:t>
      </w:r>
      <w:bookmarkEnd w:id="123"/>
    </w:p>
    <w:p w14:paraId="270495B2">
      <w:pPr>
        <w:shd w:val="clear"/>
        <w:bidi w:val="0"/>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本项目产生的固体</w:t>
      </w:r>
      <w:r>
        <w:rPr>
          <w:rFonts w:hint="default" w:ascii="Times New Roman" w:hAnsi="Times New Roman" w:eastAsia="宋体" w:cs="Times New Roman"/>
          <w:color w:val="auto"/>
          <w:highlight w:val="none"/>
          <w:u w:val="none" w:color="auto"/>
        </w:rPr>
        <w:t>废弃物主要是污水处理过程中产生的栅渣、废油、污泥、废包装袋、生活垃圾以及</w:t>
      </w:r>
      <w:r>
        <w:rPr>
          <w:rFonts w:hint="eastAsia" w:ascii="Times New Roman" w:hAnsi="Times New Roman" w:eastAsia="宋体" w:cs="Times New Roman"/>
          <w:color w:val="auto"/>
          <w:highlight w:val="none"/>
          <w:u w:val="none" w:color="auto"/>
          <w:lang w:val="en-US" w:eastAsia="zh-CN"/>
        </w:rPr>
        <w:t>生物填料、废机油及废机油桶、含油抹布、手套、劳保用品</w:t>
      </w:r>
      <w:r>
        <w:rPr>
          <w:rFonts w:hint="default" w:ascii="Times New Roman" w:hAnsi="Times New Roman" w:eastAsia="宋体" w:cs="Times New Roman"/>
          <w:color w:val="auto"/>
          <w:highlight w:val="none"/>
          <w:u w:val="none" w:color="auto"/>
        </w:rPr>
        <w:t>等。</w:t>
      </w:r>
    </w:p>
    <w:p w14:paraId="0617D833">
      <w:pPr>
        <w:shd w:val="clear"/>
        <w:bidi w:val="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（1）栅渣</w:t>
      </w:r>
    </w:p>
    <w:p w14:paraId="5FBE9979">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项目污水预处理阶段由分离出一定的栅渣，主要是食物残渣、软塑料及其他悬浮或漂浮状态的杂物。参考同类型项目，单位水量产渣量按0.01t/10</w:t>
      </w:r>
      <w:r>
        <w:rPr>
          <w:rFonts w:hint="default" w:ascii="Times New Roman" w:hAnsi="Times New Roman" w:cs="Times New Roman"/>
          <w:color w:val="auto"/>
          <w:highlight w:val="none"/>
          <w:u w:val="none" w:color="auto"/>
          <w:vertAlign w:val="superscript"/>
        </w:rPr>
        <w:t>3</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污水计，则栅渣量为4.38t/a（栅渣容重960kg/</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），栅渣为一般固体废物，收集后委托环卫部门外运、处置。</w:t>
      </w:r>
    </w:p>
    <w:p w14:paraId="5212E31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（2）废油</w:t>
      </w:r>
    </w:p>
    <w:p w14:paraId="6C118887">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项目隔油池会分离出一定的废油，参考同类型项目，其产生的废油按0.002%/</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污水计，则废油量为0.024t/d，8.76t/a，约3个月清理一次，拟委托</w:t>
      </w:r>
      <w:r>
        <w:rPr>
          <w:rFonts w:hint="eastAsia" w:ascii="Times New Roman" w:hAnsi="Times New Roman" w:cs="Times New Roman"/>
          <w:color w:val="auto"/>
          <w:highlight w:val="none"/>
          <w:u w:val="none" w:color="auto"/>
          <w:lang w:val="en-US" w:eastAsia="zh-CN"/>
        </w:rPr>
        <w:t>相关公司</w:t>
      </w:r>
      <w:r>
        <w:rPr>
          <w:rFonts w:hint="default" w:ascii="Times New Roman" w:hAnsi="Times New Roman" w:cs="Times New Roman"/>
          <w:color w:val="auto"/>
          <w:highlight w:val="none"/>
          <w:u w:val="none" w:color="auto"/>
        </w:rPr>
        <w:t>进行清掏清运处理。</w:t>
      </w:r>
    </w:p>
    <w:p w14:paraId="78B82C07">
      <w:pPr>
        <w:bidi w:val="0"/>
        <w:rPr>
          <w:rFonts w:hint="default" w:ascii="Times New Roman" w:hAnsi="Times New Roman" w:cs="Times New Roman"/>
          <w:b w:val="0"/>
          <w:bCs w:val="0"/>
          <w:color w:val="auto"/>
          <w:highlight w:val="none"/>
          <w:u w:val="none" w:color="auto"/>
        </w:rPr>
      </w:pPr>
      <w:r>
        <w:rPr>
          <w:rFonts w:hint="default" w:ascii="Times New Roman" w:hAnsi="Times New Roman" w:cs="Times New Roman"/>
          <w:color w:val="auto"/>
          <w:highlight w:val="none"/>
          <w:u w:val="none" w:color="auto"/>
        </w:rPr>
        <w:t>（</w:t>
      </w:r>
      <w:r>
        <w:rPr>
          <w:rFonts w:hint="default" w:ascii="Times New Roman" w:hAnsi="Times New Roman" w:cs="Times New Roman"/>
          <w:b w:val="0"/>
          <w:bCs w:val="0"/>
          <w:color w:val="auto"/>
          <w:highlight w:val="none"/>
          <w:u w:val="none" w:color="auto"/>
        </w:rPr>
        <w:t>3）</w:t>
      </w:r>
      <w:r>
        <w:rPr>
          <w:rStyle w:val="40"/>
          <w:rFonts w:hint="default"/>
          <w:b w:val="0"/>
          <w:bCs w:val="0"/>
        </w:rPr>
        <w:t>污泥</w:t>
      </w:r>
    </w:p>
    <w:p w14:paraId="6EC640B7">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本项目为工业废水集中处理设施，废水主要以食品行业废水为主，污泥产生量核算公式为：</w:t>
      </w:r>
    </w:p>
    <w:p w14:paraId="30A5DB6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S=K</w:t>
      </w:r>
      <w:r>
        <w:rPr>
          <w:rFonts w:hint="default" w:ascii="Times New Roman" w:hAnsi="Times New Roman" w:cs="Times New Roman"/>
          <w:color w:val="auto"/>
          <w:highlight w:val="none"/>
          <w:u w:val="none" w:color="auto"/>
          <w:vertAlign w:val="subscript"/>
        </w:rPr>
        <w:t>4</w:t>
      </w:r>
      <w:r>
        <w:rPr>
          <w:rFonts w:hint="default" w:ascii="Times New Roman" w:hAnsi="Times New Roman" w:cs="Times New Roman"/>
          <w:color w:val="auto"/>
          <w:highlight w:val="none"/>
          <w:u w:val="none" w:color="auto"/>
        </w:rPr>
        <w:t>Q+K</w:t>
      </w:r>
      <w:r>
        <w:rPr>
          <w:rFonts w:hint="default" w:ascii="Times New Roman" w:hAnsi="Times New Roman" w:cs="Times New Roman"/>
          <w:color w:val="auto"/>
          <w:highlight w:val="none"/>
          <w:u w:val="none" w:color="auto"/>
          <w:vertAlign w:val="subscript"/>
        </w:rPr>
        <w:t>3</w:t>
      </w:r>
      <w:r>
        <w:rPr>
          <w:rFonts w:hint="default" w:ascii="Times New Roman" w:hAnsi="Times New Roman" w:cs="Times New Roman"/>
          <w:color w:val="auto"/>
          <w:highlight w:val="none"/>
          <w:u w:val="none" w:color="auto"/>
        </w:rPr>
        <w:t>C。</w:t>
      </w:r>
    </w:p>
    <w:p w14:paraId="7271D80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其中S：污水处理厂含水率80%的污泥产生量，吨/年；</w:t>
      </w:r>
    </w:p>
    <w:p w14:paraId="4CDB63B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K</w:t>
      </w:r>
      <w:r>
        <w:rPr>
          <w:rFonts w:hint="default" w:ascii="Times New Roman" w:hAnsi="Times New Roman" w:cs="Times New Roman"/>
          <w:color w:val="auto"/>
          <w:highlight w:val="none"/>
          <w:u w:val="none" w:color="auto"/>
          <w:vertAlign w:val="subscript"/>
        </w:rPr>
        <w:t>3</w:t>
      </w:r>
      <w:r>
        <w:rPr>
          <w:rFonts w:hint="default" w:ascii="Times New Roman" w:hAnsi="Times New Roman" w:cs="Times New Roman"/>
          <w:color w:val="auto"/>
          <w:highlight w:val="none"/>
          <w:u w:val="none" w:color="auto"/>
        </w:rPr>
        <w:t>：城镇污水处理厂或工业废水集中处理设施的化学污泥产生系数，吨/吨-絮凝剂使用量；</w:t>
      </w:r>
    </w:p>
    <w:p w14:paraId="6642DD3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K</w:t>
      </w:r>
      <w:r>
        <w:rPr>
          <w:rFonts w:hint="default" w:ascii="Times New Roman" w:hAnsi="Times New Roman" w:cs="Times New Roman"/>
          <w:color w:val="auto"/>
          <w:highlight w:val="none"/>
          <w:u w:val="none" w:color="auto"/>
          <w:vertAlign w:val="subscript"/>
        </w:rPr>
        <w:t>4</w:t>
      </w:r>
      <w:r>
        <w:rPr>
          <w:rFonts w:hint="default" w:ascii="Times New Roman" w:hAnsi="Times New Roman" w:cs="Times New Roman"/>
          <w:color w:val="auto"/>
          <w:highlight w:val="none"/>
          <w:u w:val="none" w:color="auto"/>
        </w:rPr>
        <w:t>：工业废水集中处理设施的物理与生化污泥综合产生系数，吨/万吨-废水处理量；</w:t>
      </w:r>
    </w:p>
    <w:p w14:paraId="26D4778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Q：污水处理厂的实际废水处理量，万吨/年；C：污水处理厂的无机絮凝剂使用总量，吨/年。</w:t>
      </w:r>
    </w:p>
    <w:p w14:paraId="78F6A37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根据系数表查得K</w:t>
      </w:r>
      <w:r>
        <w:rPr>
          <w:rFonts w:hint="default" w:ascii="Times New Roman" w:hAnsi="Times New Roman" w:cs="Times New Roman"/>
          <w:color w:val="auto"/>
          <w:highlight w:val="none"/>
          <w:u w:val="none" w:color="auto"/>
          <w:vertAlign w:val="subscript"/>
        </w:rPr>
        <w:t>3</w:t>
      </w:r>
      <w:r>
        <w:rPr>
          <w:rFonts w:hint="default" w:ascii="Times New Roman" w:hAnsi="Times New Roman" w:cs="Times New Roman"/>
          <w:color w:val="auto"/>
          <w:highlight w:val="none"/>
          <w:u w:val="none" w:color="auto"/>
        </w:rPr>
        <w:t>=4.53，K</w:t>
      </w:r>
      <w:r>
        <w:rPr>
          <w:rFonts w:hint="default" w:ascii="Times New Roman" w:hAnsi="Times New Roman" w:cs="Times New Roman"/>
          <w:color w:val="auto"/>
          <w:highlight w:val="none"/>
          <w:u w:val="none" w:color="auto"/>
          <w:vertAlign w:val="subscript"/>
        </w:rPr>
        <w:t>4</w:t>
      </w:r>
      <w:r>
        <w:rPr>
          <w:rFonts w:hint="default" w:ascii="Times New Roman" w:hAnsi="Times New Roman" w:cs="Times New Roman"/>
          <w:color w:val="auto"/>
          <w:highlight w:val="none"/>
          <w:u w:val="none" w:color="auto"/>
        </w:rPr>
        <w:t>=6.7，项目污水处理站日处理规模为1200m³/d（43.8万m³/a）即Q=43.8，项目使用无机絮凝剂总量为11.4t/a，即C=11.4，算得项目污泥产生量S=345t/a。根据与业主核实，污泥平均两天压缩一次，压缩脱水后拟直接清运</w:t>
      </w:r>
      <w:r>
        <w:rPr>
          <w:rFonts w:hint="eastAsia" w:ascii="Times New Roman" w:hAnsi="Times New Roman" w:cs="Times New Roman"/>
          <w:color w:val="auto"/>
          <w:highlight w:val="none"/>
          <w:u w:val="none" w:color="auto"/>
          <w:lang w:val="en-US" w:eastAsia="zh-CN"/>
        </w:rPr>
        <w:t>交由相关公司进行资源化利用</w:t>
      </w:r>
      <w:r>
        <w:rPr>
          <w:rFonts w:hint="default" w:ascii="Times New Roman" w:hAnsi="Times New Roman" w:cs="Times New Roman"/>
          <w:color w:val="auto"/>
          <w:highlight w:val="none"/>
          <w:u w:val="none" w:color="auto"/>
        </w:rPr>
        <w:t>，不在厂内进行</w:t>
      </w:r>
      <w:r>
        <w:rPr>
          <w:rFonts w:hint="eastAsia" w:ascii="Times New Roman" w:hAnsi="Times New Roman" w:cs="Times New Roman"/>
          <w:color w:val="auto"/>
          <w:highlight w:val="none"/>
          <w:u w:val="none" w:color="auto"/>
          <w:lang w:val="en-US" w:eastAsia="zh-CN"/>
        </w:rPr>
        <w:t>长期</w:t>
      </w:r>
      <w:r>
        <w:rPr>
          <w:rFonts w:hint="default" w:ascii="Times New Roman" w:hAnsi="Times New Roman" w:cs="Times New Roman"/>
          <w:color w:val="auto"/>
          <w:highlight w:val="none"/>
          <w:u w:val="none" w:color="auto"/>
        </w:rPr>
        <w:t>储存。</w:t>
      </w:r>
    </w:p>
    <w:p w14:paraId="239AE00E">
      <w:pPr>
        <w:bidi w:val="0"/>
        <w:rPr>
          <w:rFonts w:hint="default" w:ascii="Times New Roman" w:hAnsi="Times New Roman" w:cs="Times New Roman"/>
          <w:color w:val="auto"/>
          <w:highlight w:val="none"/>
          <w:u w:val="none" w:color="auto"/>
        </w:rPr>
      </w:pPr>
      <w:bookmarkStart w:id="124" w:name="OLE_LINK21"/>
      <w:r>
        <w:rPr>
          <w:rFonts w:hint="default" w:ascii="Times New Roman" w:hAnsi="Times New Roman" w:cs="Times New Roman"/>
          <w:color w:val="auto"/>
          <w:highlight w:val="none"/>
          <w:u w:val="none" w:color="auto"/>
        </w:rPr>
        <w:t>（4）废包装袋</w:t>
      </w:r>
    </w:p>
    <w:p w14:paraId="77ED012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项目污水在处理过程中需使用袋装PAM、PAC等药剂，废化学品包装物产生量为0.</w:t>
      </w:r>
      <w:r>
        <w:rPr>
          <w:rFonts w:hint="eastAsia" w:ascii="Times New Roman" w:hAnsi="Times New Roman" w:cs="Times New Roman"/>
          <w:color w:val="auto"/>
          <w:highlight w:val="none"/>
          <w:u w:val="none" w:color="auto"/>
          <w:lang w:val="en-US" w:eastAsia="zh-CN"/>
        </w:rPr>
        <w:t>0</w:t>
      </w:r>
      <w:r>
        <w:rPr>
          <w:rFonts w:hint="default" w:ascii="Times New Roman" w:hAnsi="Times New Roman" w:cs="Times New Roman"/>
          <w:color w:val="auto"/>
          <w:highlight w:val="none"/>
          <w:u w:val="none" w:color="auto"/>
        </w:rPr>
        <w:t>1t/a，拟收集后交由原料供应厂家回收利用。</w:t>
      </w:r>
    </w:p>
    <w:bookmarkEnd w:id="124"/>
    <w:p w14:paraId="20899CC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）生物填料</w:t>
      </w:r>
    </w:p>
    <w:p w14:paraId="1D9D8A22">
      <w:pPr>
        <w:bidi w:val="0"/>
        <w:rPr>
          <w:rFonts w:hint="eastAsia"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根据设备方提供资料，生物</w:t>
      </w:r>
      <w:r>
        <w:rPr>
          <w:rFonts w:hint="eastAsia" w:ascii="Times New Roman" w:hAnsi="Times New Roman" w:cs="Times New Roman"/>
          <w:color w:val="auto"/>
          <w:highlight w:val="none"/>
          <w:u w:val="none" w:color="auto"/>
          <w:lang w:val="en-US" w:eastAsia="zh-CN"/>
        </w:rPr>
        <w:t>滤池</w:t>
      </w:r>
      <w:r>
        <w:rPr>
          <w:rFonts w:hint="default" w:ascii="Times New Roman" w:hAnsi="Times New Roman" w:cs="Times New Roman"/>
          <w:color w:val="auto"/>
          <w:highlight w:val="none"/>
          <w:u w:val="none" w:color="auto"/>
        </w:rPr>
        <w:t>每年需更换两次填料，每年更换的滤料约</w:t>
      </w:r>
      <w:r>
        <w:rPr>
          <w:rFonts w:hint="eastAsia" w:ascii="Times New Roman" w:hAnsi="Times New Roman" w:cs="Times New Roman"/>
          <w:color w:val="auto"/>
          <w:highlight w:val="none"/>
          <w:u w:val="none" w:color="auto"/>
          <w:lang w:val="en-US" w:eastAsia="zh-CN"/>
        </w:rPr>
        <w:t>1.5</w:t>
      </w:r>
      <w:r>
        <w:rPr>
          <w:rFonts w:hint="default" w:ascii="Times New Roman" w:hAnsi="Times New Roman" w:cs="Times New Roman"/>
          <w:color w:val="auto"/>
          <w:highlight w:val="none"/>
          <w:u w:val="none" w:color="auto"/>
        </w:rPr>
        <w:t>t/a，废弃填料由生产厂家回收处置。</w:t>
      </w:r>
    </w:p>
    <w:p w14:paraId="079EFDB3">
      <w:pPr>
        <w:bidi w:val="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w:t>
      </w:r>
      <w:bookmarkStart w:id="125" w:name="OLE_LINK23"/>
      <w:r>
        <w:rPr>
          <w:rFonts w:hint="default" w:ascii="Times New Roman" w:hAnsi="Times New Roman" w:cs="Times New Roman"/>
          <w:color w:val="auto"/>
          <w:highlight w:val="none"/>
          <w:u w:val="none" w:color="auto"/>
        </w:rPr>
        <w:t>废机油</w:t>
      </w:r>
      <w:r>
        <w:rPr>
          <w:rFonts w:hint="eastAsia" w:ascii="Times New Roman" w:hAnsi="Times New Roman" w:cs="Times New Roman"/>
          <w:color w:val="auto"/>
          <w:highlight w:val="none"/>
          <w:u w:val="none" w:color="auto"/>
          <w:lang w:val="en-US" w:eastAsia="zh-CN"/>
        </w:rPr>
        <w:t>及废机油桶</w:t>
      </w:r>
      <w:bookmarkEnd w:id="125"/>
    </w:p>
    <w:p w14:paraId="700BBD9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项目机械设备需定期检修，检修过程中产生的废机油</w:t>
      </w:r>
      <w:r>
        <w:rPr>
          <w:rFonts w:hint="eastAsia" w:ascii="Times New Roman" w:hAnsi="Times New Roman" w:cs="Times New Roman"/>
          <w:color w:val="auto"/>
          <w:highlight w:val="none"/>
          <w:u w:val="none" w:color="auto"/>
          <w:lang w:val="en-US" w:eastAsia="zh-CN"/>
        </w:rPr>
        <w:t>及废机油桶约</w:t>
      </w:r>
      <w:r>
        <w:rPr>
          <w:rFonts w:hint="default" w:ascii="Times New Roman" w:hAnsi="Times New Roman" w:cs="Times New Roman"/>
          <w:color w:val="auto"/>
          <w:highlight w:val="none"/>
          <w:u w:val="none" w:color="auto"/>
        </w:rPr>
        <w:t>为0.1t/a，废机油</w:t>
      </w:r>
      <w:r>
        <w:rPr>
          <w:rFonts w:hint="eastAsia" w:ascii="Times New Roman" w:hAnsi="Times New Roman" w:cs="Times New Roman"/>
          <w:color w:val="auto"/>
          <w:highlight w:val="none"/>
          <w:u w:val="none" w:color="auto"/>
          <w:lang w:val="en-US" w:eastAsia="zh-CN"/>
        </w:rPr>
        <w:t>桶0.01t/a，</w:t>
      </w:r>
      <w:bookmarkStart w:id="126" w:name="OLE_LINK22"/>
      <w:r>
        <w:rPr>
          <w:rFonts w:hint="default" w:ascii="Times New Roman" w:hAnsi="Times New Roman" w:cs="Times New Roman"/>
          <w:color w:val="auto"/>
          <w:highlight w:val="none"/>
          <w:u w:val="none" w:color="auto"/>
        </w:rPr>
        <w:t>废物类别为HW08</w:t>
      </w:r>
      <w:bookmarkStart w:id="127" w:name="OLE_LINK19"/>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废物代码为</w:t>
      </w:r>
      <w:bookmarkStart w:id="128" w:name="OLE_LINK20"/>
      <w:r>
        <w:rPr>
          <w:rFonts w:hint="default" w:ascii="Times New Roman" w:hAnsi="Times New Roman" w:cs="Times New Roman"/>
          <w:color w:val="auto"/>
          <w:highlight w:val="none"/>
          <w:u w:val="none" w:color="auto"/>
        </w:rPr>
        <w:t>900-2</w:t>
      </w:r>
      <w:r>
        <w:rPr>
          <w:rFonts w:hint="eastAsia" w:ascii="Times New Roman" w:hAnsi="Times New Roman" w:cs="Times New Roman"/>
          <w:color w:val="auto"/>
          <w:highlight w:val="none"/>
          <w:u w:val="none" w:color="auto"/>
          <w:lang w:val="en-US" w:eastAsia="zh-CN"/>
        </w:rPr>
        <w:t>49</w:t>
      </w:r>
      <w:r>
        <w:rPr>
          <w:rFonts w:hint="default" w:ascii="Times New Roman" w:hAnsi="Times New Roman" w:cs="Times New Roman"/>
          <w:color w:val="auto"/>
          <w:highlight w:val="none"/>
          <w:u w:val="none" w:color="auto"/>
        </w:rPr>
        <w:t>-08</w:t>
      </w:r>
      <w:bookmarkEnd w:id="127"/>
      <w:bookmarkEnd w:id="128"/>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其他生产、销售、使用过程中产生的废矿物油及沾染废矿物油的废弃包装物</w:t>
      </w:r>
      <w:r>
        <w:rPr>
          <w:rFonts w:hint="default" w:ascii="Times New Roman" w:hAnsi="Times New Roman" w:cs="Times New Roman"/>
          <w:color w:val="auto"/>
          <w:highlight w:val="none"/>
          <w:u w:val="none" w:color="auto"/>
        </w:rPr>
        <w:t>）收集暂存于危废暂存间，再委托有资质的单位处理。</w:t>
      </w:r>
      <w:bookmarkEnd w:id="126"/>
    </w:p>
    <w:p w14:paraId="70C4EA8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rPr>
        <w:t>）含油抹布、手套、劳保用品</w:t>
      </w:r>
    </w:p>
    <w:p w14:paraId="3861BF9B">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对设备进行维修保养时会产生含油废抹布、手套、劳保用品，产生量约0.01t/a，类别为HW49其他废物，废物代码为</w:t>
      </w:r>
      <w:r>
        <w:rPr>
          <w:rFonts w:hint="eastAsia" w:ascii="Times New Roman" w:hAnsi="Times New Roman" w:cs="Times New Roman"/>
          <w:color w:val="auto"/>
          <w:highlight w:val="none"/>
          <w:u w:val="none" w:color="auto"/>
          <w:lang w:eastAsia="zh-CN"/>
        </w:rPr>
        <w:t>900-041-49</w:t>
      </w:r>
      <w:r>
        <w:rPr>
          <w:rFonts w:hint="default" w:ascii="Times New Roman" w:hAnsi="Times New Roman" w:cs="Times New Roman"/>
          <w:color w:val="auto"/>
          <w:highlight w:val="none"/>
          <w:u w:val="none" w:color="auto"/>
        </w:rPr>
        <w:t>（含有或沾染毒性、感染性危险废物的废弃包装物、容器、过滤吸附介质），应定期委托有资质的单位安全处置，并执行联单制度。</w:t>
      </w:r>
    </w:p>
    <w:p w14:paraId="75F08BC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r>
        <w:rPr>
          <w:rFonts w:hint="eastAsia" w:ascii="Times New Roman" w:hAnsi="Times New Roman" w:cs="Times New Roman"/>
          <w:color w:val="auto"/>
          <w:highlight w:val="none"/>
          <w:u w:val="none" w:color="auto"/>
          <w:lang w:val="en-US" w:eastAsia="zh-CN"/>
        </w:rPr>
        <w:t>8</w:t>
      </w:r>
      <w:r>
        <w:rPr>
          <w:rFonts w:hint="default" w:ascii="Times New Roman" w:hAnsi="Times New Roman" w:cs="Times New Roman"/>
          <w:color w:val="auto"/>
          <w:highlight w:val="none"/>
          <w:u w:val="none" w:color="auto"/>
        </w:rPr>
        <w:t>）生活垃圾</w:t>
      </w:r>
    </w:p>
    <w:p w14:paraId="4318102B">
      <w:pPr>
        <w:bidi w:val="0"/>
        <w:rPr>
          <w:rFonts w:hint="default" w:ascii="Times New Roman" w:hAnsi="Times New Roman" w:cs="Times New Roman"/>
          <w:highlight w:val="none"/>
          <w:u w:val="none" w:color="auto"/>
          <w:lang w:val="en-US" w:eastAsia="zh-CN"/>
        </w:rPr>
      </w:pPr>
      <w:r>
        <w:rPr>
          <w:rFonts w:hint="default" w:ascii="Times New Roman" w:hAnsi="Times New Roman" w:cs="Times New Roman"/>
          <w:color w:val="auto"/>
          <w:highlight w:val="none"/>
          <w:u w:val="none" w:color="auto"/>
        </w:rPr>
        <w:t>本次项目</w:t>
      </w:r>
      <w:r>
        <w:rPr>
          <w:rFonts w:hint="eastAsia" w:ascii="Times New Roman" w:hAnsi="Times New Roman" w:cs="Times New Roman"/>
          <w:color w:val="auto"/>
          <w:highlight w:val="none"/>
          <w:u w:val="none" w:color="auto"/>
          <w:lang w:val="en-US" w:eastAsia="zh-CN"/>
        </w:rPr>
        <w:t>需值班人员2</w:t>
      </w:r>
      <w:r>
        <w:rPr>
          <w:rFonts w:hint="default" w:ascii="Times New Roman" w:hAnsi="Times New Roman" w:cs="Times New Roman"/>
          <w:color w:val="auto"/>
          <w:highlight w:val="none"/>
          <w:u w:val="none" w:color="auto"/>
        </w:rPr>
        <w:t>人，年工作</w:t>
      </w:r>
      <w:r>
        <w:rPr>
          <w:rFonts w:hint="eastAsia" w:ascii="Times New Roman" w:hAnsi="Times New Roman" w:cs="Times New Roman"/>
          <w:color w:val="auto"/>
          <w:highlight w:val="none"/>
          <w:u w:val="none" w:color="auto"/>
          <w:lang w:val="en-US" w:eastAsia="zh-CN"/>
        </w:rPr>
        <w:t>365</w:t>
      </w:r>
      <w:r>
        <w:rPr>
          <w:rFonts w:hint="default" w:ascii="Times New Roman" w:hAnsi="Times New Roman" w:cs="Times New Roman"/>
          <w:color w:val="auto"/>
          <w:highlight w:val="none"/>
          <w:u w:val="none" w:color="auto"/>
        </w:rPr>
        <w:t>天，每天垃圾产生量按0.5kg/人·d计算，则年产量为</w:t>
      </w:r>
      <w:r>
        <w:rPr>
          <w:rFonts w:hint="eastAsia" w:ascii="Times New Roman" w:hAnsi="Times New Roman" w:cs="Times New Roman"/>
          <w:color w:val="auto"/>
          <w:highlight w:val="none"/>
          <w:u w:val="none" w:color="auto"/>
          <w:lang w:val="en-US" w:eastAsia="zh-CN"/>
        </w:rPr>
        <w:t>0.365</w:t>
      </w:r>
      <w:r>
        <w:rPr>
          <w:rFonts w:hint="default" w:ascii="Times New Roman" w:hAnsi="Times New Roman" w:cs="Times New Roman"/>
          <w:color w:val="auto"/>
          <w:highlight w:val="none"/>
          <w:u w:val="none" w:color="auto"/>
        </w:rPr>
        <w:t>t/a，由生活垃圾桶收集后，交由环卫部分清运处理。</w:t>
      </w:r>
    </w:p>
    <w:p w14:paraId="070900FB">
      <w:pPr>
        <w:pStyle w:val="39"/>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eastAsia"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10</w:t>
      </w:r>
      <w:r>
        <w:rPr>
          <w:rFonts w:hint="default" w:ascii="Times New Roman" w:hAnsi="Times New Roman" w:cs="Times New Roman"/>
          <w:color w:val="auto"/>
          <w:highlight w:val="none"/>
          <w:u w:val="none" w:color="auto"/>
        </w:rPr>
        <w:t xml:space="preserve">  工程分析中</w:t>
      </w:r>
      <w:r>
        <w:rPr>
          <w:rFonts w:hint="eastAsia" w:cs="Times New Roman"/>
          <w:color w:val="auto"/>
          <w:highlight w:val="none"/>
          <w:u w:val="none" w:color="auto"/>
          <w:lang w:val="en-US" w:eastAsia="zh-CN"/>
        </w:rPr>
        <w:t>工业固体</w:t>
      </w:r>
      <w:r>
        <w:rPr>
          <w:rFonts w:hint="default" w:ascii="Times New Roman" w:hAnsi="Times New Roman" w:cs="Times New Roman"/>
          <w:color w:val="auto"/>
          <w:highlight w:val="none"/>
          <w:u w:val="none" w:color="auto"/>
        </w:rPr>
        <w:t>废物汇总表</w:t>
      </w:r>
    </w:p>
    <w:tbl>
      <w:tblPr>
        <w:tblStyle w:val="51"/>
        <w:tblW w:w="475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414"/>
        <w:gridCol w:w="863"/>
        <w:gridCol w:w="809"/>
        <w:gridCol w:w="690"/>
        <w:gridCol w:w="1025"/>
        <w:gridCol w:w="700"/>
        <w:gridCol w:w="570"/>
        <w:gridCol w:w="513"/>
        <w:gridCol w:w="665"/>
        <w:gridCol w:w="493"/>
        <w:gridCol w:w="1182"/>
      </w:tblGrid>
      <w:tr w14:paraId="78F201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837" w:hRule="atLeast"/>
        </w:trPr>
        <w:tc>
          <w:tcPr>
            <w:tcW w:w="261" w:type="pct"/>
            <w:tcBorders>
              <w:tl2br w:val="nil"/>
              <w:tr2bl w:val="nil"/>
            </w:tcBorders>
            <w:shd w:val="clear" w:color="auto" w:fill="auto"/>
            <w:vAlign w:val="center"/>
          </w:tcPr>
          <w:p w14:paraId="65328776">
            <w:pPr>
              <w:pStyle w:val="42"/>
              <w:bidi w:val="0"/>
              <w:jc w:val="center"/>
            </w:pPr>
            <w:r>
              <w:t>序号</w:t>
            </w:r>
          </w:p>
        </w:tc>
        <w:tc>
          <w:tcPr>
            <w:tcW w:w="544" w:type="pct"/>
            <w:tcBorders>
              <w:tl2br w:val="nil"/>
              <w:tr2bl w:val="nil"/>
            </w:tcBorders>
            <w:shd w:val="clear" w:color="auto" w:fill="auto"/>
            <w:vAlign w:val="center"/>
          </w:tcPr>
          <w:p w14:paraId="3B81D393">
            <w:pPr>
              <w:pStyle w:val="42"/>
              <w:bidi w:val="0"/>
              <w:jc w:val="center"/>
            </w:pPr>
            <w:r>
              <w:t>产生环节</w:t>
            </w:r>
          </w:p>
        </w:tc>
        <w:tc>
          <w:tcPr>
            <w:tcW w:w="510" w:type="pct"/>
            <w:tcBorders>
              <w:tl2br w:val="nil"/>
              <w:tr2bl w:val="nil"/>
            </w:tcBorders>
            <w:shd w:val="clear" w:color="auto" w:fill="auto"/>
            <w:vAlign w:val="center"/>
          </w:tcPr>
          <w:p w14:paraId="2E9C9E95">
            <w:pPr>
              <w:pStyle w:val="42"/>
              <w:bidi w:val="0"/>
              <w:jc w:val="center"/>
            </w:pPr>
            <w:r>
              <w:t>固体废物名称</w:t>
            </w:r>
          </w:p>
        </w:tc>
        <w:tc>
          <w:tcPr>
            <w:tcW w:w="435" w:type="pct"/>
            <w:tcBorders>
              <w:tl2br w:val="nil"/>
              <w:tr2bl w:val="nil"/>
            </w:tcBorders>
            <w:shd w:val="clear" w:color="auto" w:fill="auto"/>
            <w:vAlign w:val="center"/>
          </w:tcPr>
          <w:p w14:paraId="74B58455">
            <w:pPr>
              <w:pStyle w:val="42"/>
              <w:bidi w:val="0"/>
              <w:jc w:val="center"/>
            </w:pPr>
            <w:r>
              <w:t>固体废物属性</w:t>
            </w:r>
          </w:p>
        </w:tc>
        <w:tc>
          <w:tcPr>
            <w:tcW w:w="646" w:type="pct"/>
            <w:tcBorders>
              <w:tl2br w:val="nil"/>
              <w:tr2bl w:val="nil"/>
            </w:tcBorders>
            <w:shd w:val="clear" w:color="auto" w:fill="auto"/>
            <w:vAlign w:val="center"/>
          </w:tcPr>
          <w:p w14:paraId="0F3849A2">
            <w:pPr>
              <w:pStyle w:val="42"/>
              <w:bidi w:val="0"/>
              <w:jc w:val="center"/>
            </w:pPr>
            <w:r>
              <w:t>危废代码</w:t>
            </w:r>
          </w:p>
        </w:tc>
        <w:tc>
          <w:tcPr>
            <w:tcW w:w="441" w:type="pct"/>
            <w:tcBorders>
              <w:tl2br w:val="nil"/>
              <w:tr2bl w:val="nil"/>
            </w:tcBorders>
            <w:shd w:val="clear" w:color="auto" w:fill="auto"/>
            <w:vAlign w:val="center"/>
          </w:tcPr>
          <w:p w14:paraId="1E00594B">
            <w:pPr>
              <w:pStyle w:val="42"/>
              <w:bidi w:val="0"/>
              <w:jc w:val="center"/>
            </w:pPr>
            <w:r>
              <w:t>主要有毒有害物质</w:t>
            </w:r>
          </w:p>
        </w:tc>
        <w:tc>
          <w:tcPr>
            <w:tcW w:w="359" w:type="pct"/>
            <w:tcBorders>
              <w:tl2br w:val="nil"/>
              <w:tr2bl w:val="nil"/>
            </w:tcBorders>
            <w:shd w:val="clear" w:color="auto" w:fill="auto"/>
            <w:vAlign w:val="center"/>
          </w:tcPr>
          <w:p w14:paraId="036132F2">
            <w:pPr>
              <w:pStyle w:val="42"/>
              <w:bidi w:val="0"/>
              <w:jc w:val="center"/>
            </w:pPr>
            <w:r>
              <w:t>物理性状</w:t>
            </w:r>
          </w:p>
        </w:tc>
        <w:tc>
          <w:tcPr>
            <w:tcW w:w="323" w:type="pct"/>
            <w:tcBorders>
              <w:tl2br w:val="nil"/>
              <w:tr2bl w:val="nil"/>
            </w:tcBorders>
            <w:shd w:val="clear" w:color="auto" w:fill="auto"/>
            <w:vAlign w:val="center"/>
          </w:tcPr>
          <w:p w14:paraId="4F7487A7">
            <w:pPr>
              <w:pStyle w:val="42"/>
              <w:bidi w:val="0"/>
              <w:jc w:val="center"/>
            </w:pPr>
            <w:r>
              <w:t>环境</w:t>
            </w:r>
          </w:p>
          <w:p w14:paraId="38852C89">
            <w:pPr>
              <w:pStyle w:val="42"/>
              <w:bidi w:val="0"/>
              <w:jc w:val="center"/>
            </w:pPr>
            <w:r>
              <w:t>危险</w:t>
            </w:r>
          </w:p>
          <w:p w14:paraId="74D83491">
            <w:pPr>
              <w:pStyle w:val="42"/>
              <w:bidi w:val="0"/>
              <w:jc w:val="center"/>
            </w:pPr>
            <w:r>
              <w:t>性</w:t>
            </w:r>
          </w:p>
        </w:tc>
        <w:tc>
          <w:tcPr>
            <w:tcW w:w="419" w:type="pct"/>
            <w:tcBorders>
              <w:tl2br w:val="nil"/>
              <w:tr2bl w:val="nil"/>
            </w:tcBorders>
            <w:shd w:val="clear" w:color="auto" w:fill="auto"/>
            <w:vAlign w:val="center"/>
          </w:tcPr>
          <w:p w14:paraId="5A6BAFA7">
            <w:pPr>
              <w:pStyle w:val="42"/>
              <w:bidi w:val="0"/>
              <w:jc w:val="center"/>
            </w:pPr>
            <w:r>
              <w:t>产生量（t/a）</w:t>
            </w:r>
          </w:p>
        </w:tc>
        <w:tc>
          <w:tcPr>
            <w:tcW w:w="311" w:type="pct"/>
            <w:tcBorders>
              <w:tl2br w:val="nil"/>
              <w:tr2bl w:val="nil"/>
            </w:tcBorders>
            <w:shd w:val="clear" w:color="auto" w:fill="auto"/>
            <w:vAlign w:val="center"/>
          </w:tcPr>
          <w:p w14:paraId="1CF30C5C">
            <w:pPr>
              <w:pStyle w:val="42"/>
              <w:bidi w:val="0"/>
              <w:jc w:val="center"/>
            </w:pPr>
            <w:r>
              <w:t>产生周期</w:t>
            </w:r>
          </w:p>
        </w:tc>
        <w:tc>
          <w:tcPr>
            <w:tcW w:w="745" w:type="pct"/>
            <w:tcBorders>
              <w:tl2br w:val="nil"/>
              <w:tr2bl w:val="nil"/>
            </w:tcBorders>
            <w:shd w:val="clear" w:color="auto" w:fill="auto"/>
            <w:vAlign w:val="center"/>
          </w:tcPr>
          <w:p w14:paraId="26E5EB20">
            <w:pPr>
              <w:pStyle w:val="42"/>
              <w:bidi w:val="0"/>
              <w:jc w:val="center"/>
            </w:pPr>
            <w:r>
              <w:t>拟处置/利用方式</w:t>
            </w:r>
          </w:p>
        </w:tc>
      </w:tr>
      <w:tr w14:paraId="16F1C9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1126C8A6">
            <w:pPr>
              <w:pStyle w:val="42"/>
              <w:bidi w:val="0"/>
              <w:jc w:val="center"/>
            </w:pPr>
            <w:r>
              <w:t>1</w:t>
            </w:r>
          </w:p>
        </w:tc>
        <w:tc>
          <w:tcPr>
            <w:tcW w:w="544" w:type="pct"/>
            <w:tcBorders>
              <w:tl2br w:val="nil"/>
              <w:tr2bl w:val="nil"/>
            </w:tcBorders>
            <w:shd w:val="clear" w:color="auto" w:fill="auto"/>
            <w:vAlign w:val="center"/>
          </w:tcPr>
          <w:p w14:paraId="7695B692">
            <w:pPr>
              <w:pStyle w:val="42"/>
              <w:bidi w:val="0"/>
              <w:jc w:val="center"/>
            </w:pPr>
            <w:r>
              <w:t>臭气处理</w:t>
            </w:r>
          </w:p>
        </w:tc>
        <w:tc>
          <w:tcPr>
            <w:tcW w:w="510" w:type="pct"/>
            <w:tcBorders>
              <w:tl2br w:val="nil"/>
              <w:tr2bl w:val="nil"/>
            </w:tcBorders>
            <w:shd w:val="clear" w:color="auto" w:fill="auto"/>
            <w:vAlign w:val="center"/>
          </w:tcPr>
          <w:p w14:paraId="71F4B39A">
            <w:pPr>
              <w:pStyle w:val="42"/>
              <w:bidi w:val="0"/>
              <w:jc w:val="center"/>
            </w:pPr>
            <w:r>
              <w:rPr>
                <w:rFonts w:hint="eastAsia" w:cs="Times New Roman"/>
                <w:color w:val="auto"/>
                <w:highlight w:val="none"/>
                <w:u w:val="none" w:color="auto"/>
                <w:lang w:val="en-US" w:eastAsia="zh-CN"/>
              </w:rPr>
              <w:t>废</w:t>
            </w:r>
            <w:r>
              <w:rPr>
                <w:rFonts w:hint="default" w:ascii="Times New Roman" w:hAnsi="Times New Roman" w:cs="Times New Roman"/>
                <w:color w:val="auto"/>
                <w:highlight w:val="none"/>
                <w:u w:val="none" w:color="auto"/>
              </w:rPr>
              <w:t>生物填料</w:t>
            </w:r>
          </w:p>
        </w:tc>
        <w:tc>
          <w:tcPr>
            <w:tcW w:w="435" w:type="pct"/>
            <w:tcBorders>
              <w:tl2br w:val="nil"/>
              <w:tr2bl w:val="nil"/>
            </w:tcBorders>
            <w:shd w:val="clear" w:color="auto" w:fill="auto"/>
            <w:vAlign w:val="center"/>
          </w:tcPr>
          <w:p w14:paraId="40C3C9B5">
            <w:pPr>
              <w:pStyle w:val="42"/>
              <w:bidi w:val="0"/>
              <w:jc w:val="center"/>
            </w:pPr>
            <w:r>
              <w:t>一般固废</w:t>
            </w:r>
          </w:p>
        </w:tc>
        <w:tc>
          <w:tcPr>
            <w:tcW w:w="646" w:type="pct"/>
            <w:tcBorders>
              <w:tl2br w:val="nil"/>
              <w:tr2bl w:val="nil"/>
            </w:tcBorders>
            <w:shd w:val="clear" w:color="auto" w:fill="auto"/>
            <w:vAlign w:val="center"/>
          </w:tcPr>
          <w:p w14:paraId="06E66B30">
            <w:pPr>
              <w:pStyle w:val="42"/>
              <w:bidi w:val="0"/>
              <w:jc w:val="center"/>
              <w:rPr>
                <w:rFonts w:hint="eastAsia" w:eastAsia="宋体"/>
                <w:lang w:eastAsia="zh-CN"/>
              </w:rPr>
            </w:pPr>
            <w:r>
              <w:rPr>
                <w:rFonts w:hint="eastAsia"/>
                <w:lang w:val="en-US" w:eastAsia="zh-CN"/>
              </w:rPr>
              <w:t>/</w:t>
            </w:r>
          </w:p>
        </w:tc>
        <w:tc>
          <w:tcPr>
            <w:tcW w:w="441" w:type="pct"/>
            <w:tcBorders>
              <w:tl2br w:val="nil"/>
              <w:tr2bl w:val="nil"/>
            </w:tcBorders>
            <w:shd w:val="clear" w:color="auto" w:fill="auto"/>
            <w:vAlign w:val="center"/>
          </w:tcPr>
          <w:p w14:paraId="73793FE6">
            <w:pPr>
              <w:pStyle w:val="42"/>
              <w:bidi w:val="0"/>
              <w:jc w:val="center"/>
              <w:rPr>
                <w:rFonts w:hint="eastAsia" w:eastAsia="宋体"/>
                <w:lang w:val="en-US" w:eastAsia="zh-CN"/>
              </w:rPr>
            </w:pPr>
            <w:r>
              <w:rPr>
                <w:rFonts w:hint="eastAsia"/>
                <w:lang w:val="en-US" w:eastAsia="zh-CN"/>
              </w:rPr>
              <w:t>/</w:t>
            </w:r>
          </w:p>
        </w:tc>
        <w:tc>
          <w:tcPr>
            <w:tcW w:w="359" w:type="pct"/>
            <w:tcBorders>
              <w:tl2br w:val="nil"/>
              <w:tr2bl w:val="nil"/>
            </w:tcBorders>
            <w:shd w:val="clear" w:color="auto" w:fill="auto"/>
            <w:vAlign w:val="center"/>
          </w:tcPr>
          <w:p w14:paraId="6D05F836">
            <w:pPr>
              <w:pStyle w:val="42"/>
              <w:bidi w:val="0"/>
              <w:jc w:val="center"/>
              <w:rPr>
                <w:rFonts w:hint="default" w:eastAsia="宋体"/>
                <w:lang w:val="en-US" w:eastAsia="zh-CN"/>
              </w:rPr>
            </w:pPr>
            <w:r>
              <w:rPr>
                <w:rFonts w:hint="eastAsia"/>
                <w:lang w:val="en-US" w:eastAsia="zh-CN"/>
              </w:rPr>
              <w:t>半液态</w:t>
            </w:r>
          </w:p>
        </w:tc>
        <w:tc>
          <w:tcPr>
            <w:tcW w:w="323" w:type="pct"/>
            <w:tcBorders>
              <w:tl2br w:val="nil"/>
              <w:tr2bl w:val="nil"/>
            </w:tcBorders>
            <w:shd w:val="clear" w:color="auto" w:fill="auto"/>
            <w:vAlign w:val="center"/>
          </w:tcPr>
          <w:p w14:paraId="1A57F796">
            <w:pPr>
              <w:pStyle w:val="42"/>
              <w:bidi w:val="0"/>
              <w:jc w:val="center"/>
              <w:rPr>
                <w:rFonts w:hint="eastAsia" w:eastAsia="宋体"/>
                <w:lang w:val="en-US" w:eastAsia="zh-CN"/>
              </w:rPr>
            </w:pPr>
            <w:r>
              <w:rPr>
                <w:rFonts w:hint="eastAsia"/>
                <w:lang w:val="en-US" w:eastAsia="zh-CN"/>
              </w:rPr>
              <w:t>/</w:t>
            </w:r>
          </w:p>
        </w:tc>
        <w:tc>
          <w:tcPr>
            <w:tcW w:w="419" w:type="pct"/>
            <w:tcBorders>
              <w:tl2br w:val="nil"/>
              <w:tr2bl w:val="nil"/>
            </w:tcBorders>
            <w:shd w:val="clear" w:color="auto" w:fill="auto"/>
            <w:vAlign w:val="center"/>
          </w:tcPr>
          <w:p w14:paraId="2B483279">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1.5</w:t>
            </w:r>
          </w:p>
        </w:tc>
        <w:tc>
          <w:tcPr>
            <w:tcW w:w="311" w:type="pct"/>
            <w:tcBorders>
              <w:tl2br w:val="nil"/>
              <w:tr2bl w:val="nil"/>
            </w:tcBorders>
            <w:shd w:val="clear" w:color="auto" w:fill="auto"/>
            <w:vAlign w:val="center"/>
          </w:tcPr>
          <w:p w14:paraId="22FEDFC2">
            <w:pPr>
              <w:pStyle w:val="42"/>
              <w:bidi w:val="0"/>
              <w:jc w:val="center"/>
              <w:rPr>
                <w:rFonts w:hint="default" w:eastAsia="宋体"/>
                <w:lang w:val="en-US" w:eastAsia="zh-CN"/>
              </w:rPr>
            </w:pPr>
            <w:r>
              <w:rPr>
                <w:rFonts w:hint="eastAsia"/>
                <w:lang w:val="en-US" w:eastAsia="zh-CN"/>
              </w:rPr>
              <w:t>半年一次</w:t>
            </w:r>
          </w:p>
        </w:tc>
        <w:tc>
          <w:tcPr>
            <w:tcW w:w="745" w:type="pct"/>
            <w:tcBorders>
              <w:tl2br w:val="nil"/>
              <w:tr2bl w:val="nil"/>
            </w:tcBorders>
            <w:shd w:val="clear" w:color="auto" w:fill="auto"/>
            <w:vAlign w:val="center"/>
          </w:tcPr>
          <w:p w14:paraId="00FF6F18">
            <w:pPr>
              <w:pStyle w:val="42"/>
              <w:bidi w:val="0"/>
              <w:jc w:val="center"/>
              <w:rPr>
                <w:rFonts w:hint="default" w:eastAsia="宋体"/>
                <w:lang w:val="en-US" w:eastAsia="zh-CN"/>
              </w:rPr>
            </w:pPr>
            <w:r>
              <w:rPr>
                <w:rFonts w:hint="eastAsia"/>
                <w:lang w:val="en-US" w:eastAsia="zh-CN"/>
              </w:rPr>
              <w:t>厂家回收</w:t>
            </w:r>
          </w:p>
        </w:tc>
      </w:tr>
      <w:tr w14:paraId="53D38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62CFC384">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zh-CN" w:bidi="ar-SA"/>
              </w:rPr>
            </w:pPr>
            <w:r>
              <w:t>2</w:t>
            </w:r>
          </w:p>
        </w:tc>
        <w:tc>
          <w:tcPr>
            <w:tcW w:w="544" w:type="pct"/>
            <w:tcBorders>
              <w:tl2br w:val="nil"/>
              <w:tr2bl w:val="nil"/>
            </w:tcBorders>
            <w:shd w:val="clear" w:color="auto" w:fill="auto"/>
            <w:vAlign w:val="center"/>
          </w:tcPr>
          <w:p w14:paraId="41DF279B">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设备维修</w:t>
            </w:r>
          </w:p>
        </w:tc>
        <w:tc>
          <w:tcPr>
            <w:tcW w:w="510" w:type="pct"/>
            <w:tcBorders>
              <w:tl2br w:val="nil"/>
              <w:tr2bl w:val="nil"/>
            </w:tcBorders>
            <w:shd w:val="clear" w:color="auto" w:fill="auto"/>
            <w:vAlign w:val="center"/>
          </w:tcPr>
          <w:p w14:paraId="42B6293A">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废机油</w:t>
            </w:r>
            <w:r>
              <w:rPr>
                <w:rFonts w:hint="eastAsia" w:cs="Times New Roman"/>
                <w:color w:val="auto"/>
                <w:highlight w:val="none"/>
                <w:u w:val="none" w:color="auto"/>
                <w:lang w:val="en-US" w:eastAsia="zh-CN"/>
              </w:rPr>
              <w:t>及废机油桶</w:t>
            </w:r>
          </w:p>
        </w:tc>
        <w:tc>
          <w:tcPr>
            <w:tcW w:w="435" w:type="pct"/>
            <w:tcBorders>
              <w:tl2br w:val="nil"/>
              <w:tr2bl w:val="nil"/>
            </w:tcBorders>
            <w:shd w:val="clear" w:color="auto" w:fill="auto"/>
            <w:vAlign w:val="center"/>
          </w:tcPr>
          <w:p w14:paraId="1CD1F0E7">
            <w:pPr>
              <w:pStyle w:val="43"/>
              <w:keepNext w:val="0"/>
              <w:keepLines w:val="0"/>
              <w:pageBreakBefore w:val="0"/>
              <w:widowControl/>
              <w:kinsoku/>
              <w:wordWrap/>
              <w:overflowPunct/>
              <w:topLinePunct w:val="0"/>
              <w:autoSpaceDE/>
              <w:autoSpaceDN/>
              <w:bidi w:val="0"/>
              <w:adjustRightInd w:val="0"/>
              <w:snapToGrid w:val="0"/>
              <w:spacing w:before="0" w:after="0"/>
              <w:textAlignment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HW08 </w:t>
            </w:r>
          </w:p>
          <w:p w14:paraId="16D2DB75">
            <w:pPr>
              <w:pStyle w:val="43"/>
              <w:keepNext w:val="0"/>
              <w:keepLines w:val="0"/>
              <w:pageBreakBefore w:val="0"/>
              <w:widowControl/>
              <w:kinsoku/>
              <w:wordWrap/>
              <w:overflowPunct/>
              <w:topLinePunct w:val="0"/>
              <w:autoSpaceDE/>
              <w:autoSpaceDN/>
              <w:bidi w:val="0"/>
              <w:adjustRightInd w:val="0"/>
              <w:snapToGrid w:val="0"/>
              <w:spacing w:before="0" w:after="0"/>
              <w:ind w:right="0" w:rightChars="0" w:firstLine="0" w:firstLineChars="0"/>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废矿物油与含矿物油废物</w:t>
            </w:r>
          </w:p>
        </w:tc>
        <w:tc>
          <w:tcPr>
            <w:tcW w:w="646" w:type="pct"/>
            <w:tcBorders>
              <w:tl2br w:val="nil"/>
              <w:tr2bl w:val="nil"/>
            </w:tcBorders>
            <w:shd w:val="clear" w:color="auto" w:fill="auto"/>
            <w:vAlign w:val="center"/>
          </w:tcPr>
          <w:p w14:paraId="59467D43">
            <w:pPr>
              <w:pStyle w:val="43"/>
              <w:bidi w:val="0"/>
              <w:ind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highlight w:val="none"/>
                <w:u w:val="none" w:color="auto"/>
                <w:lang w:eastAsia="zh-CN"/>
              </w:rPr>
              <w:t>900-249-08</w:t>
            </w:r>
          </w:p>
        </w:tc>
        <w:tc>
          <w:tcPr>
            <w:tcW w:w="441" w:type="pct"/>
            <w:tcBorders>
              <w:tl2br w:val="nil"/>
              <w:tr2bl w:val="nil"/>
            </w:tcBorders>
            <w:shd w:val="clear" w:color="auto" w:fill="auto"/>
            <w:vAlign w:val="center"/>
          </w:tcPr>
          <w:p w14:paraId="454D43B5">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油类</w:t>
            </w:r>
          </w:p>
        </w:tc>
        <w:tc>
          <w:tcPr>
            <w:tcW w:w="359" w:type="pct"/>
            <w:tcBorders>
              <w:tl2br w:val="nil"/>
              <w:tr2bl w:val="nil"/>
            </w:tcBorders>
            <w:shd w:val="clear" w:color="auto" w:fill="auto"/>
            <w:vAlign w:val="center"/>
          </w:tcPr>
          <w:p w14:paraId="6BD0E39F">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液</w:t>
            </w:r>
          </w:p>
        </w:tc>
        <w:tc>
          <w:tcPr>
            <w:tcW w:w="323" w:type="pct"/>
            <w:tcBorders>
              <w:tl2br w:val="nil"/>
              <w:tr2bl w:val="nil"/>
            </w:tcBorders>
            <w:shd w:val="clear" w:color="auto" w:fill="auto"/>
            <w:vAlign w:val="center"/>
          </w:tcPr>
          <w:p w14:paraId="4AC61723">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p>
        </w:tc>
        <w:tc>
          <w:tcPr>
            <w:tcW w:w="419" w:type="pct"/>
            <w:tcBorders>
              <w:tl2br w:val="nil"/>
              <w:tr2bl w:val="nil"/>
            </w:tcBorders>
            <w:shd w:val="clear" w:color="auto" w:fill="auto"/>
            <w:vAlign w:val="center"/>
          </w:tcPr>
          <w:p w14:paraId="56CB9967">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u w:val="none" w:color="auto"/>
                <w:lang w:val="en-US" w:eastAsia="zh-CN" w:bidi="ar-SA"/>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1</w:t>
            </w:r>
          </w:p>
        </w:tc>
        <w:tc>
          <w:tcPr>
            <w:tcW w:w="311" w:type="pct"/>
            <w:tcBorders>
              <w:tl2br w:val="nil"/>
              <w:tr2bl w:val="nil"/>
            </w:tcBorders>
            <w:shd w:val="clear" w:color="auto" w:fill="auto"/>
            <w:vAlign w:val="center"/>
          </w:tcPr>
          <w:p w14:paraId="65E36881">
            <w:pPr>
              <w:pStyle w:val="43"/>
              <w:bidi w:val="0"/>
              <w:ind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T/</w:t>
            </w:r>
            <w:r>
              <w:rPr>
                <w:rFonts w:hint="eastAsia" w:cs="Times New Roman"/>
                <w:color w:val="auto"/>
                <w:highlight w:val="none"/>
                <w:u w:val="none" w:color="auto"/>
                <w:lang w:val="en-US" w:eastAsia="zh-CN"/>
              </w:rPr>
              <w:t>I</w:t>
            </w:r>
          </w:p>
        </w:tc>
        <w:tc>
          <w:tcPr>
            <w:tcW w:w="745" w:type="pct"/>
            <w:tcBorders>
              <w:tl2br w:val="nil"/>
              <w:tr2bl w:val="nil"/>
            </w:tcBorders>
            <w:shd w:val="clear" w:color="auto" w:fill="auto"/>
            <w:vAlign w:val="center"/>
          </w:tcPr>
          <w:p w14:paraId="177DF975">
            <w:pPr>
              <w:pStyle w:val="42"/>
              <w:bidi w:val="0"/>
              <w:jc w:val="center"/>
              <w:rPr>
                <w:rFonts w:hint="default" w:eastAsia="宋体"/>
                <w:u w:val="none" w:color="auto"/>
                <w:lang w:val="en-US" w:eastAsia="zh-CN"/>
              </w:rPr>
            </w:pPr>
            <w:r>
              <w:rPr>
                <w:rFonts w:hint="eastAsia"/>
                <w:u w:val="none" w:color="auto"/>
                <w:lang w:val="en-US" w:eastAsia="zh-CN"/>
              </w:rPr>
              <w:t>资质单位处置</w:t>
            </w:r>
          </w:p>
        </w:tc>
      </w:tr>
      <w:tr w14:paraId="28E784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7A635DDB">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lang w:val="en-US" w:eastAsia="en-US" w:bidi="ar-SA"/>
              </w:rPr>
            </w:pPr>
            <w:r>
              <w:t>3</w:t>
            </w:r>
          </w:p>
        </w:tc>
        <w:tc>
          <w:tcPr>
            <w:tcW w:w="544" w:type="pct"/>
            <w:tcBorders>
              <w:tl2br w:val="nil"/>
              <w:tr2bl w:val="nil"/>
            </w:tcBorders>
            <w:shd w:val="clear" w:color="auto" w:fill="auto"/>
            <w:vAlign w:val="center"/>
          </w:tcPr>
          <w:p w14:paraId="40284CC3">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设备维修</w:t>
            </w:r>
          </w:p>
        </w:tc>
        <w:tc>
          <w:tcPr>
            <w:tcW w:w="510" w:type="pct"/>
            <w:tcBorders>
              <w:tl2br w:val="nil"/>
              <w:tr2bl w:val="nil"/>
            </w:tcBorders>
            <w:shd w:val="clear" w:color="auto" w:fill="auto"/>
            <w:vAlign w:val="center"/>
          </w:tcPr>
          <w:p w14:paraId="4FFD34CC">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含油抹布、手套、劳保用品</w:t>
            </w:r>
          </w:p>
        </w:tc>
        <w:tc>
          <w:tcPr>
            <w:tcW w:w="435" w:type="pct"/>
            <w:tcBorders>
              <w:tl2br w:val="nil"/>
              <w:tr2bl w:val="nil"/>
            </w:tcBorders>
            <w:shd w:val="clear" w:color="auto" w:fill="auto"/>
            <w:vAlign w:val="center"/>
          </w:tcPr>
          <w:p w14:paraId="42EFBC4F">
            <w:pPr>
              <w:pStyle w:val="43"/>
              <w:keepNext w:val="0"/>
              <w:keepLines w:val="0"/>
              <w:pageBreakBefore w:val="0"/>
              <w:widowControl/>
              <w:kinsoku/>
              <w:wordWrap/>
              <w:overflowPunct/>
              <w:topLinePunct w:val="0"/>
              <w:autoSpaceDE/>
              <w:autoSpaceDN/>
              <w:bidi w:val="0"/>
              <w:adjustRightInd w:val="0"/>
              <w:snapToGrid w:val="0"/>
              <w:spacing w:before="0" w:after="0"/>
              <w:ind w:right="0" w:rightChars="0" w:firstLine="0" w:firstLineChars="0"/>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HW49其他废物</w:t>
            </w:r>
          </w:p>
        </w:tc>
        <w:tc>
          <w:tcPr>
            <w:tcW w:w="646" w:type="pct"/>
            <w:tcBorders>
              <w:tl2br w:val="nil"/>
              <w:tr2bl w:val="nil"/>
            </w:tcBorders>
            <w:shd w:val="clear" w:color="auto" w:fill="auto"/>
            <w:vAlign w:val="center"/>
          </w:tcPr>
          <w:p w14:paraId="7417D2C2">
            <w:pPr>
              <w:pStyle w:val="43"/>
              <w:bidi w:val="0"/>
              <w:ind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highlight w:val="none"/>
                <w:u w:val="none" w:color="auto"/>
                <w:lang w:eastAsia="zh-CN"/>
              </w:rPr>
              <w:t>900-041-49</w:t>
            </w:r>
          </w:p>
        </w:tc>
        <w:tc>
          <w:tcPr>
            <w:tcW w:w="441" w:type="pct"/>
            <w:tcBorders>
              <w:tl2br w:val="nil"/>
              <w:tr2bl w:val="nil"/>
            </w:tcBorders>
            <w:shd w:val="clear" w:color="auto" w:fill="auto"/>
            <w:vAlign w:val="center"/>
          </w:tcPr>
          <w:p w14:paraId="43C59AF3">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油类</w:t>
            </w:r>
          </w:p>
        </w:tc>
        <w:tc>
          <w:tcPr>
            <w:tcW w:w="359" w:type="pct"/>
            <w:tcBorders>
              <w:tl2br w:val="nil"/>
              <w:tr2bl w:val="nil"/>
            </w:tcBorders>
            <w:shd w:val="clear" w:color="auto" w:fill="auto"/>
            <w:vAlign w:val="center"/>
          </w:tcPr>
          <w:p w14:paraId="03202BF8">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固</w:t>
            </w:r>
          </w:p>
        </w:tc>
        <w:tc>
          <w:tcPr>
            <w:tcW w:w="323" w:type="pct"/>
            <w:tcBorders>
              <w:tl2br w:val="nil"/>
              <w:tr2bl w:val="nil"/>
            </w:tcBorders>
            <w:shd w:val="clear" w:color="auto" w:fill="auto"/>
            <w:vAlign w:val="center"/>
          </w:tcPr>
          <w:p w14:paraId="08A40293">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p>
        </w:tc>
        <w:tc>
          <w:tcPr>
            <w:tcW w:w="419" w:type="pct"/>
            <w:tcBorders>
              <w:tl2br w:val="nil"/>
              <w:tr2bl w:val="nil"/>
            </w:tcBorders>
            <w:shd w:val="clear" w:color="auto" w:fill="auto"/>
            <w:vAlign w:val="center"/>
          </w:tcPr>
          <w:p w14:paraId="35F6754E">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u w:val="none" w:color="auto"/>
                <w:lang w:val="en-US" w:eastAsia="zh-CN" w:bidi="ar-SA"/>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01</w:t>
            </w:r>
          </w:p>
        </w:tc>
        <w:tc>
          <w:tcPr>
            <w:tcW w:w="311" w:type="pct"/>
            <w:tcBorders>
              <w:tl2br w:val="nil"/>
              <w:tr2bl w:val="nil"/>
            </w:tcBorders>
            <w:shd w:val="clear" w:color="auto" w:fill="auto"/>
            <w:vAlign w:val="center"/>
          </w:tcPr>
          <w:p w14:paraId="52004DCB">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T/In</w:t>
            </w:r>
          </w:p>
        </w:tc>
        <w:tc>
          <w:tcPr>
            <w:tcW w:w="745" w:type="pct"/>
            <w:tcBorders>
              <w:tl2br w:val="nil"/>
              <w:tr2bl w:val="nil"/>
            </w:tcBorders>
            <w:shd w:val="clear" w:color="auto" w:fill="auto"/>
            <w:vAlign w:val="center"/>
          </w:tcPr>
          <w:p w14:paraId="37201289">
            <w:pPr>
              <w:pStyle w:val="42"/>
              <w:bidi w:val="0"/>
              <w:jc w:val="center"/>
              <w:rPr>
                <w:u w:val="none" w:color="auto"/>
              </w:rPr>
            </w:pPr>
            <w:r>
              <w:rPr>
                <w:rFonts w:hint="eastAsia"/>
                <w:u w:val="none" w:color="auto"/>
                <w:lang w:val="en-US" w:eastAsia="zh-CN"/>
              </w:rPr>
              <w:t>资质单位处置</w:t>
            </w:r>
          </w:p>
        </w:tc>
      </w:tr>
      <w:tr w14:paraId="22C4BC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61" w:type="pct"/>
            <w:tcBorders>
              <w:tl2br w:val="nil"/>
              <w:tr2bl w:val="nil"/>
            </w:tcBorders>
            <w:shd w:val="clear" w:color="auto" w:fill="auto"/>
            <w:vAlign w:val="center"/>
          </w:tcPr>
          <w:p w14:paraId="49D1EAB1">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lang w:val="en-US" w:eastAsia="en-US" w:bidi="ar-SA"/>
              </w:rPr>
            </w:pPr>
            <w:r>
              <w:t>4</w:t>
            </w:r>
          </w:p>
        </w:tc>
        <w:tc>
          <w:tcPr>
            <w:tcW w:w="544" w:type="pct"/>
            <w:tcBorders>
              <w:tl2br w:val="nil"/>
              <w:tr2bl w:val="nil"/>
            </w:tcBorders>
            <w:shd w:val="clear" w:color="auto" w:fill="auto"/>
            <w:vAlign w:val="center"/>
          </w:tcPr>
          <w:p w14:paraId="22E9CBDC">
            <w:pPr>
              <w:pStyle w:val="42"/>
              <w:bidi w:val="0"/>
              <w:jc w:val="center"/>
            </w:pPr>
            <w:r>
              <w:t>污水处理</w:t>
            </w:r>
          </w:p>
        </w:tc>
        <w:tc>
          <w:tcPr>
            <w:tcW w:w="510" w:type="pct"/>
            <w:tcBorders>
              <w:tl2br w:val="nil"/>
              <w:tr2bl w:val="nil"/>
            </w:tcBorders>
            <w:shd w:val="clear" w:color="auto" w:fill="auto"/>
            <w:vAlign w:val="center"/>
          </w:tcPr>
          <w:p w14:paraId="0D2D6E2F">
            <w:pPr>
              <w:pStyle w:val="42"/>
              <w:bidi w:val="0"/>
              <w:jc w:val="center"/>
            </w:pPr>
            <w:r>
              <w:t>栅渣</w:t>
            </w:r>
          </w:p>
        </w:tc>
        <w:tc>
          <w:tcPr>
            <w:tcW w:w="435" w:type="pct"/>
            <w:tcBorders>
              <w:tl2br w:val="nil"/>
              <w:tr2bl w:val="nil"/>
            </w:tcBorders>
            <w:shd w:val="clear" w:color="auto" w:fill="auto"/>
            <w:vAlign w:val="center"/>
          </w:tcPr>
          <w:p w14:paraId="5C4E9709">
            <w:pPr>
              <w:pStyle w:val="42"/>
              <w:bidi w:val="0"/>
              <w:jc w:val="center"/>
            </w:pPr>
            <w:r>
              <w:t>一般固废</w:t>
            </w:r>
          </w:p>
        </w:tc>
        <w:tc>
          <w:tcPr>
            <w:tcW w:w="646" w:type="pct"/>
            <w:tcBorders>
              <w:tl2br w:val="nil"/>
              <w:tr2bl w:val="nil"/>
            </w:tcBorders>
            <w:shd w:val="clear" w:color="auto" w:fill="auto"/>
            <w:vAlign w:val="center"/>
          </w:tcPr>
          <w:p w14:paraId="727D6B1A">
            <w:pPr>
              <w:pStyle w:val="42"/>
              <w:bidi w:val="0"/>
              <w:jc w:val="center"/>
            </w:pPr>
            <w:r>
              <w:t>/</w:t>
            </w:r>
          </w:p>
        </w:tc>
        <w:tc>
          <w:tcPr>
            <w:tcW w:w="441" w:type="pct"/>
            <w:tcBorders>
              <w:tl2br w:val="nil"/>
              <w:tr2bl w:val="nil"/>
            </w:tcBorders>
            <w:shd w:val="clear" w:color="auto" w:fill="auto"/>
            <w:vAlign w:val="center"/>
          </w:tcPr>
          <w:p w14:paraId="33440E64">
            <w:pPr>
              <w:pStyle w:val="42"/>
              <w:bidi w:val="0"/>
              <w:jc w:val="center"/>
            </w:pPr>
            <w:r>
              <w:t>大粒径杂质</w:t>
            </w:r>
          </w:p>
        </w:tc>
        <w:tc>
          <w:tcPr>
            <w:tcW w:w="359" w:type="pct"/>
            <w:tcBorders>
              <w:tl2br w:val="nil"/>
              <w:tr2bl w:val="nil"/>
            </w:tcBorders>
            <w:shd w:val="clear" w:color="auto" w:fill="auto"/>
            <w:vAlign w:val="center"/>
          </w:tcPr>
          <w:p w14:paraId="4EE10DAB">
            <w:pPr>
              <w:pStyle w:val="42"/>
              <w:bidi w:val="0"/>
              <w:jc w:val="center"/>
            </w:pPr>
            <w:r>
              <w:t>固态</w:t>
            </w:r>
          </w:p>
        </w:tc>
        <w:tc>
          <w:tcPr>
            <w:tcW w:w="323" w:type="pct"/>
            <w:tcBorders>
              <w:tl2br w:val="nil"/>
              <w:tr2bl w:val="nil"/>
            </w:tcBorders>
            <w:shd w:val="clear" w:color="auto" w:fill="auto"/>
            <w:vAlign w:val="center"/>
          </w:tcPr>
          <w:p w14:paraId="359BCDB3">
            <w:pPr>
              <w:pStyle w:val="42"/>
              <w:bidi w:val="0"/>
              <w:jc w:val="center"/>
            </w:pPr>
            <w:r>
              <w:t>/</w:t>
            </w:r>
          </w:p>
        </w:tc>
        <w:tc>
          <w:tcPr>
            <w:tcW w:w="419" w:type="pct"/>
            <w:tcBorders>
              <w:tl2br w:val="nil"/>
              <w:tr2bl w:val="nil"/>
            </w:tcBorders>
            <w:shd w:val="clear" w:color="auto" w:fill="auto"/>
            <w:vAlign w:val="center"/>
          </w:tcPr>
          <w:p w14:paraId="7DF990F4">
            <w:pPr>
              <w:pStyle w:val="42"/>
              <w:bidi w:val="0"/>
              <w:jc w:val="center"/>
            </w:pPr>
            <w:r>
              <w:t>4.38</w:t>
            </w:r>
          </w:p>
        </w:tc>
        <w:tc>
          <w:tcPr>
            <w:tcW w:w="311" w:type="pct"/>
            <w:tcBorders>
              <w:tl2br w:val="nil"/>
              <w:tr2bl w:val="nil"/>
            </w:tcBorders>
            <w:shd w:val="clear" w:color="auto" w:fill="auto"/>
            <w:vAlign w:val="center"/>
          </w:tcPr>
          <w:p w14:paraId="7E9F0004">
            <w:pPr>
              <w:pStyle w:val="42"/>
              <w:bidi w:val="0"/>
              <w:jc w:val="center"/>
            </w:pPr>
            <w:r>
              <w:t>每天</w:t>
            </w:r>
          </w:p>
        </w:tc>
        <w:tc>
          <w:tcPr>
            <w:tcW w:w="745" w:type="pct"/>
            <w:tcBorders>
              <w:tl2br w:val="nil"/>
              <w:tr2bl w:val="nil"/>
            </w:tcBorders>
            <w:shd w:val="clear" w:color="auto" w:fill="auto"/>
            <w:vAlign w:val="center"/>
          </w:tcPr>
          <w:p w14:paraId="27E43008">
            <w:pPr>
              <w:pStyle w:val="42"/>
              <w:bidi w:val="0"/>
              <w:jc w:val="center"/>
            </w:pPr>
            <w:r>
              <w:t>委托环卫部门处理</w:t>
            </w:r>
          </w:p>
        </w:tc>
      </w:tr>
      <w:tr w14:paraId="60A2A4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261" w:type="pct"/>
            <w:tcBorders>
              <w:tl2br w:val="nil"/>
              <w:tr2bl w:val="nil"/>
            </w:tcBorders>
            <w:shd w:val="clear" w:color="auto" w:fill="auto"/>
            <w:vAlign w:val="center"/>
          </w:tcPr>
          <w:p w14:paraId="3E54A478">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en-US" w:bidi="ar-SA"/>
              </w:rPr>
            </w:pPr>
            <w:r>
              <w:rPr>
                <w:rFonts w:hint="eastAsia"/>
                <w:lang w:val="en-US" w:eastAsia="zh-CN"/>
              </w:rPr>
              <w:t>5</w:t>
            </w:r>
          </w:p>
        </w:tc>
        <w:tc>
          <w:tcPr>
            <w:tcW w:w="544" w:type="pct"/>
            <w:tcBorders>
              <w:tl2br w:val="nil"/>
              <w:tr2bl w:val="nil"/>
            </w:tcBorders>
            <w:shd w:val="clear" w:color="auto" w:fill="auto"/>
            <w:vAlign w:val="center"/>
          </w:tcPr>
          <w:p w14:paraId="3EABC43F">
            <w:pPr>
              <w:pStyle w:val="42"/>
              <w:bidi w:val="0"/>
              <w:jc w:val="center"/>
            </w:pPr>
            <w:r>
              <w:t>污水处理</w:t>
            </w:r>
          </w:p>
        </w:tc>
        <w:tc>
          <w:tcPr>
            <w:tcW w:w="510" w:type="pct"/>
            <w:tcBorders>
              <w:tl2br w:val="nil"/>
              <w:tr2bl w:val="nil"/>
            </w:tcBorders>
            <w:shd w:val="clear" w:color="auto" w:fill="auto"/>
            <w:vAlign w:val="center"/>
          </w:tcPr>
          <w:p w14:paraId="47CC3DAF">
            <w:pPr>
              <w:pStyle w:val="42"/>
              <w:bidi w:val="0"/>
              <w:jc w:val="center"/>
            </w:pPr>
            <w:r>
              <w:t>废油</w:t>
            </w:r>
          </w:p>
        </w:tc>
        <w:tc>
          <w:tcPr>
            <w:tcW w:w="435" w:type="pct"/>
            <w:tcBorders>
              <w:tl2br w:val="nil"/>
              <w:tr2bl w:val="nil"/>
            </w:tcBorders>
            <w:shd w:val="clear" w:color="auto" w:fill="auto"/>
            <w:vAlign w:val="center"/>
          </w:tcPr>
          <w:p w14:paraId="716AAE6D">
            <w:pPr>
              <w:pStyle w:val="42"/>
              <w:bidi w:val="0"/>
              <w:jc w:val="center"/>
            </w:pPr>
            <w:r>
              <w:t>一般固废</w:t>
            </w:r>
          </w:p>
        </w:tc>
        <w:tc>
          <w:tcPr>
            <w:tcW w:w="646" w:type="pct"/>
            <w:tcBorders>
              <w:tl2br w:val="nil"/>
              <w:tr2bl w:val="nil"/>
            </w:tcBorders>
            <w:shd w:val="clear" w:color="auto" w:fill="auto"/>
            <w:vAlign w:val="center"/>
          </w:tcPr>
          <w:p w14:paraId="50F2F756">
            <w:pPr>
              <w:pStyle w:val="42"/>
              <w:bidi w:val="0"/>
              <w:jc w:val="center"/>
            </w:pPr>
            <w:r>
              <w:t>/</w:t>
            </w:r>
          </w:p>
        </w:tc>
        <w:tc>
          <w:tcPr>
            <w:tcW w:w="441" w:type="pct"/>
            <w:tcBorders>
              <w:tl2br w:val="nil"/>
              <w:tr2bl w:val="nil"/>
            </w:tcBorders>
            <w:shd w:val="clear" w:color="auto" w:fill="auto"/>
            <w:vAlign w:val="center"/>
          </w:tcPr>
          <w:p w14:paraId="641B9E73">
            <w:pPr>
              <w:pStyle w:val="42"/>
              <w:bidi w:val="0"/>
              <w:jc w:val="center"/>
            </w:pPr>
            <w:r>
              <w:t>/</w:t>
            </w:r>
          </w:p>
        </w:tc>
        <w:tc>
          <w:tcPr>
            <w:tcW w:w="359" w:type="pct"/>
            <w:tcBorders>
              <w:tl2br w:val="nil"/>
              <w:tr2bl w:val="nil"/>
            </w:tcBorders>
            <w:shd w:val="clear" w:color="auto" w:fill="auto"/>
            <w:vAlign w:val="center"/>
          </w:tcPr>
          <w:p w14:paraId="42F9C83C">
            <w:pPr>
              <w:pStyle w:val="42"/>
              <w:bidi w:val="0"/>
              <w:jc w:val="center"/>
            </w:pPr>
            <w:r>
              <w:t>液态</w:t>
            </w:r>
          </w:p>
        </w:tc>
        <w:tc>
          <w:tcPr>
            <w:tcW w:w="323" w:type="pct"/>
            <w:tcBorders>
              <w:tl2br w:val="nil"/>
              <w:tr2bl w:val="nil"/>
            </w:tcBorders>
            <w:shd w:val="clear" w:color="auto" w:fill="auto"/>
            <w:vAlign w:val="center"/>
          </w:tcPr>
          <w:p w14:paraId="3E78F7F8">
            <w:pPr>
              <w:pStyle w:val="42"/>
              <w:bidi w:val="0"/>
              <w:jc w:val="center"/>
            </w:pPr>
            <w:r>
              <w:t>/</w:t>
            </w:r>
          </w:p>
        </w:tc>
        <w:tc>
          <w:tcPr>
            <w:tcW w:w="419" w:type="pct"/>
            <w:tcBorders>
              <w:tl2br w:val="nil"/>
              <w:tr2bl w:val="nil"/>
            </w:tcBorders>
            <w:shd w:val="clear" w:color="auto" w:fill="auto"/>
            <w:vAlign w:val="center"/>
          </w:tcPr>
          <w:p w14:paraId="59DC0B27">
            <w:pPr>
              <w:pStyle w:val="42"/>
              <w:bidi w:val="0"/>
              <w:jc w:val="center"/>
            </w:pPr>
            <w:r>
              <w:t>8.76</w:t>
            </w:r>
          </w:p>
        </w:tc>
        <w:tc>
          <w:tcPr>
            <w:tcW w:w="311" w:type="pct"/>
            <w:tcBorders>
              <w:tl2br w:val="nil"/>
              <w:tr2bl w:val="nil"/>
            </w:tcBorders>
            <w:shd w:val="clear" w:color="auto" w:fill="auto"/>
            <w:vAlign w:val="center"/>
          </w:tcPr>
          <w:p w14:paraId="7D04556D">
            <w:pPr>
              <w:pStyle w:val="42"/>
              <w:bidi w:val="0"/>
              <w:jc w:val="center"/>
            </w:pPr>
            <w:r>
              <w:t>每天</w:t>
            </w:r>
          </w:p>
        </w:tc>
        <w:tc>
          <w:tcPr>
            <w:tcW w:w="745" w:type="pct"/>
            <w:tcBorders>
              <w:tl2br w:val="nil"/>
              <w:tr2bl w:val="nil"/>
            </w:tcBorders>
            <w:shd w:val="clear" w:color="auto" w:fill="auto"/>
            <w:vAlign w:val="center"/>
          </w:tcPr>
          <w:p w14:paraId="5493974A">
            <w:pPr>
              <w:pStyle w:val="42"/>
              <w:bidi w:val="0"/>
              <w:jc w:val="center"/>
            </w:pPr>
            <w:r>
              <w:t>委托</w:t>
            </w:r>
            <w:r>
              <w:rPr>
                <w:rFonts w:hint="eastAsia"/>
                <w:lang w:val="en-US" w:eastAsia="zh-CN"/>
              </w:rPr>
              <w:t>资质单位</w:t>
            </w:r>
            <w:r>
              <w:t>进行清掏清运处理</w:t>
            </w:r>
          </w:p>
        </w:tc>
      </w:tr>
      <w:tr w14:paraId="5CFC53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261" w:type="pct"/>
            <w:tcBorders>
              <w:tl2br w:val="nil"/>
              <w:tr2bl w:val="nil"/>
            </w:tcBorders>
            <w:shd w:val="clear" w:color="auto" w:fill="auto"/>
            <w:vAlign w:val="center"/>
          </w:tcPr>
          <w:p w14:paraId="3C873BED">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6</w:t>
            </w:r>
          </w:p>
        </w:tc>
        <w:tc>
          <w:tcPr>
            <w:tcW w:w="544" w:type="pct"/>
            <w:tcBorders>
              <w:tl2br w:val="nil"/>
              <w:tr2bl w:val="nil"/>
            </w:tcBorders>
            <w:shd w:val="clear" w:color="auto" w:fill="auto"/>
            <w:vAlign w:val="center"/>
          </w:tcPr>
          <w:p w14:paraId="1595F971">
            <w:pPr>
              <w:pStyle w:val="42"/>
              <w:bidi w:val="0"/>
              <w:jc w:val="center"/>
            </w:pPr>
            <w:r>
              <w:t>污水处理</w:t>
            </w:r>
          </w:p>
        </w:tc>
        <w:tc>
          <w:tcPr>
            <w:tcW w:w="510" w:type="pct"/>
            <w:tcBorders>
              <w:tl2br w:val="nil"/>
              <w:tr2bl w:val="nil"/>
            </w:tcBorders>
            <w:shd w:val="clear" w:color="auto" w:fill="auto"/>
            <w:vAlign w:val="center"/>
          </w:tcPr>
          <w:p w14:paraId="61E9386E">
            <w:pPr>
              <w:pStyle w:val="42"/>
              <w:bidi w:val="0"/>
              <w:jc w:val="center"/>
            </w:pPr>
            <w:r>
              <w:t>污泥（含水率</w:t>
            </w:r>
          </w:p>
          <w:p w14:paraId="6FE4CC96">
            <w:pPr>
              <w:pStyle w:val="42"/>
              <w:bidi w:val="0"/>
              <w:jc w:val="center"/>
            </w:pPr>
            <w:r>
              <w:t>80%）</w:t>
            </w:r>
          </w:p>
        </w:tc>
        <w:tc>
          <w:tcPr>
            <w:tcW w:w="435" w:type="pct"/>
            <w:tcBorders>
              <w:tl2br w:val="nil"/>
              <w:tr2bl w:val="nil"/>
            </w:tcBorders>
            <w:shd w:val="clear" w:color="auto" w:fill="auto"/>
            <w:vAlign w:val="center"/>
          </w:tcPr>
          <w:p w14:paraId="55C8B6BD">
            <w:pPr>
              <w:pStyle w:val="42"/>
              <w:bidi w:val="0"/>
              <w:jc w:val="center"/>
            </w:pPr>
            <w:r>
              <w:t>一般固废</w:t>
            </w:r>
          </w:p>
        </w:tc>
        <w:tc>
          <w:tcPr>
            <w:tcW w:w="646" w:type="pct"/>
            <w:tcBorders>
              <w:tl2br w:val="nil"/>
              <w:tr2bl w:val="nil"/>
            </w:tcBorders>
            <w:shd w:val="clear" w:color="auto" w:fill="auto"/>
            <w:vAlign w:val="center"/>
          </w:tcPr>
          <w:p w14:paraId="79DF4A16">
            <w:pPr>
              <w:pStyle w:val="42"/>
              <w:bidi w:val="0"/>
              <w:jc w:val="center"/>
            </w:pPr>
            <w:r>
              <w:t>/</w:t>
            </w:r>
          </w:p>
        </w:tc>
        <w:tc>
          <w:tcPr>
            <w:tcW w:w="441" w:type="pct"/>
            <w:tcBorders>
              <w:tl2br w:val="nil"/>
              <w:tr2bl w:val="nil"/>
            </w:tcBorders>
            <w:shd w:val="clear" w:color="auto" w:fill="auto"/>
            <w:vAlign w:val="center"/>
          </w:tcPr>
          <w:p w14:paraId="7E0D7DEA">
            <w:pPr>
              <w:pStyle w:val="42"/>
              <w:bidi w:val="0"/>
              <w:jc w:val="center"/>
            </w:pPr>
            <w:r>
              <w:t>/</w:t>
            </w:r>
          </w:p>
        </w:tc>
        <w:tc>
          <w:tcPr>
            <w:tcW w:w="359" w:type="pct"/>
            <w:tcBorders>
              <w:tl2br w:val="nil"/>
              <w:tr2bl w:val="nil"/>
            </w:tcBorders>
            <w:shd w:val="clear" w:color="auto" w:fill="auto"/>
            <w:vAlign w:val="center"/>
          </w:tcPr>
          <w:p w14:paraId="2A1A0034">
            <w:pPr>
              <w:pStyle w:val="42"/>
              <w:bidi w:val="0"/>
              <w:jc w:val="center"/>
            </w:pPr>
            <w:r>
              <w:t>固态</w:t>
            </w:r>
          </w:p>
        </w:tc>
        <w:tc>
          <w:tcPr>
            <w:tcW w:w="323" w:type="pct"/>
            <w:tcBorders>
              <w:tl2br w:val="nil"/>
              <w:tr2bl w:val="nil"/>
            </w:tcBorders>
            <w:shd w:val="clear" w:color="auto" w:fill="auto"/>
            <w:vAlign w:val="center"/>
          </w:tcPr>
          <w:p w14:paraId="6AAC0562">
            <w:pPr>
              <w:pStyle w:val="42"/>
              <w:bidi w:val="0"/>
              <w:jc w:val="center"/>
            </w:pPr>
            <w:r>
              <w:t>/</w:t>
            </w:r>
          </w:p>
        </w:tc>
        <w:tc>
          <w:tcPr>
            <w:tcW w:w="419" w:type="pct"/>
            <w:tcBorders>
              <w:tl2br w:val="nil"/>
              <w:tr2bl w:val="nil"/>
            </w:tcBorders>
            <w:shd w:val="clear" w:color="auto" w:fill="auto"/>
            <w:vAlign w:val="center"/>
          </w:tcPr>
          <w:p w14:paraId="3BD9CB36">
            <w:pPr>
              <w:pStyle w:val="42"/>
              <w:bidi w:val="0"/>
              <w:jc w:val="center"/>
            </w:pPr>
            <w:r>
              <w:t>345</w:t>
            </w:r>
          </w:p>
        </w:tc>
        <w:tc>
          <w:tcPr>
            <w:tcW w:w="311" w:type="pct"/>
            <w:tcBorders>
              <w:tl2br w:val="nil"/>
              <w:tr2bl w:val="nil"/>
            </w:tcBorders>
            <w:shd w:val="clear" w:color="auto" w:fill="auto"/>
            <w:vAlign w:val="center"/>
          </w:tcPr>
          <w:p w14:paraId="050C7C38">
            <w:pPr>
              <w:pStyle w:val="42"/>
              <w:bidi w:val="0"/>
              <w:jc w:val="center"/>
            </w:pPr>
            <w:r>
              <w:t>每天</w:t>
            </w:r>
          </w:p>
        </w:tc>
        <w:tc>
          <w:tcPr>
            <w:tcW w:w="745" w:type="pct"/>
            <w:tcBorders>
              <w:tl2br w:val="nil"/>
              <w:tr2bl w:val="nil"/>
            </w:tcBorders>
            <w:shd w:val="clear" w:color="auto" w:fill="auto"/>
            <w:vAlign w:val="center"/>
          </w:tcPr>
          <w:p w14:paraId="30CCEF33">
            <w:pPr>
              <w:pStyle w:val="42"/>
              <w:bidi w:val="0"/>
              <w:jc w:val="center"/>
              <w:rPr>
                <w:rFonts w:hint="default" w:eastAsia="宋体"/>
                <w:lang w:val="en-US" w:eastAsia="zh-CN"/>
              </w:rPr>
            </w:pPr>
            <w:r>
              <w:rPr>
                <w:rFonts w:hint="eastAsia"/>
                <w:lang w:val="en-US" w:eastAsia="zh-CN"/>
              </w:rPr>
              <w:t>外运资源化利用</w:t>
            </w:r>
          </w:p>
        </w:tc>
      </w:tr>
      <w:tr w14:paraId="05EB61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261" w:type="pct"/>
            <w:tcBorders>
              <w:tl2br w:val="nil"/>
              <w:tr2bl w:val="nil"/>
            </w:tcBorders>
            <w:shd w:val="clear" w:color="auto" w:fill="auto"/>
            <w:vAlign w:val="center"/>
          </w:tcPr>
          <w:p w14:paraId="02965176">
            <w:pPr>
              <w:pStyle w:val="42"/>
              <w:bidi w:val="0"/>
              <w:jc w:val="center"/>
              <w:rPr>
                <w:rFonts w:hint="default" w:eastAsia="宋体"/>
                <w:lang w:val="en-US" w:eastAsia="zh-CN"/>
              </w:rPr>
            </w:pPr>
            <w:r>
              <w:rPr>
                <w:rFonts w:hint="eastAsia"/>
                <w:lang w:val="en-US" w:eastAsia="zh-CN"/>
              </w:rPr>
              <w:t>7</w:t>
            </w:r>
          </w:p>
        </w:tc>
        <w:tc>
          <w:tcPr>
            <w:tcW w:w="544" w:type="pct"/>
            <w:tcBorders>
              <w:tl2br w:val="nil"/>
              <w:tr2bl w:val="nil"/>
            </w:tcBorders>
            <w:shd w:val="clear" w:color="auto" w:fill="auto"/>
            <w:vAlign w:val="center"/>
          </w:tcPr>
          <w:p w14:paraId="3405DBF3">
            <w:pPr>
              <w:pStyle w:val="42"/>
              <w:bidi w:val="0"/>
              <w:jc w:val="center"/>
              <w:rPr>
                <w:rFonts w:hint="default" w:eastAsia="宋体"/>
                <w:lang w:val="en-US" w:eastAsia="zh-CN"/>
              </w:rPr>
            </w:pPr>
            <w:r>
              <w:rPr>
                <w:rFonts w:hint="eastAsia"/>
                <w:lang w:val="en-US" w:eastAsia="zh-CN"/>
              </w:rPr>
              <w:t>原辅料使用</w:t>
            </w:r>
          </w:p>
        </w:tc>
        <w:tc>
          <w:tcPr>
            <w:tcW w:w="510" w:type="pct"/>
            <w:tcBorders>
              <w:tl2br w:val="nil"/>
              <w:tr2bl w:val="nil"/>
            </w:tcBorders>
            <w:shd w:val="clear" w:color="auto" w:fill="auto"/>
            <w:vAlign w:val="center"/>
          </w:tcPr>
          <w:p w14:paraId="11918604">
            <w:pPr>
              <w:pStyle w:val="42"/>
              <w:bidi w:val="0"/>
              <w:jc w:val="center"/>
            </w:pPr>
            <w:r>
              <w:t>废包装袋</w:t>
            </w:r>
          </w:p>
        </w:tc>
        <w:tc>
          <w:tcPr>
            <w:tcW w:w="435" w:type="pct"/>
            <w:tcBorders>
              <w:tl2br w:val="nil"/>
              <w:tr2bl w:val="nil"/>
            </w:tcBorders>
            <w:shd w:val="clear" w:color="auto" w:fill="auto"/>
            <w:vAlign w:val="center"/>
          </w:tcPr>
          <w:p w14:paraId="6B5F78E8">
            <w:pPr>
              <w:pStyle w:val="42"/>
              <w:bidi w:val="0"/>
              <w:jc w:val="center"/>
            </w:pPr>
            <w:r>
              <w:t>一般固废</w:t>
            </w:r>
          </w:p>
        </w:tc>
        <w:tc>
          <w:tcPr>
            <w:tcW w:w="646" w:type="pct"/>
            <w:tcBorders>
              <w:tl2br w:val="nil"/>
              <w:tr2bl w:val="nil"/>
            </w:tcBorders>
            <w:shd w:val="clear" w:color="auto" w:fill="auto"/>
            <w:vAlign w:val="center"/>
          </w:tcPr>
          <w:p w14:paraId="5F9F44CF">
            <w:pPr>
              <w:pStyle w:val="42"/>
              <w:bidi w:val="0"/>
              <w:jc w:val="center"/>
            </w:pPr>
            <w:r>
              <w:t>/</w:t>
            </w:r>
          </w:p>
        </w:tc>
        <w:tc>
          <w:tcPr>
            <w:tcW w:w="441" w:type="pct"/>
            <w:tcBorders>
              <w:tl2br w:val="nil"/>
              <w:tr2bl w:val="nil"/>
            </w:tcBorders>
            <w:shd w:val="clear" w:color="auto" w:fill="auto"/>
            <w:vAlign w:val="center"/>
          </w:tcPr>
          <w:p w14:paraId="209064B5">
            <w:pPr>
              <w:pStyle w:val="42"/>
              <w:bidi w:val="0"/>
              <w:jc w:val="center"/>
            </w:pPr>
            <w:r>
              <w:t>/</w:t>
            </w:r>
          </w:p>
        </w:tc>
        <w:tc>
          <w:tcPr>
            <w:tcW w:w="359" w:type="pct"/>
            <w:tcBorders>
              <w:tl2br w:val="nil"/>
              <w:tr2bl w:val="nil"/>
            </w:tcBorders>
            <w:shd w:val="clear" w:color="auto" w:fill="auto"/>
            <w:vAlign w:val="center"/>
          </w:tcPr>
          <w:p w14:paraId="7C0A8DDC">
            <w:pPr>
              <w:pStyle w:val="42"/>
              <w:bidi w:val="0"/>
              <w:jc w:val="center"/>
            </w:pPr>
            <w:r>
              <w:t>固态</w:t>
            </w:r>
          </w:p>
        </w:tc>
        <w:tc>
          <w:tcPr>
            <w:tcW w:w="323" w:type="pct"/>
            <w:tcBorders>
              <w:tl2br w:val="nil"/>
              <w:tr2bl w:val="nil"/>
            </w:tcBorders>
            <w:shd w:val="clear" w:color="auto" w:fill="auto"/>
            <w:vAlign w:val="center"/>
          </w:tcPr>
          <w:p w14:paraId="0E817705">
            <w:pPr>
              <w:pStyle w:val="42"/>
              <w:bidi w:val="0"/>
              <w:jc w:val="center"/>
            </w:pPr>
            <w:r>
              <w:t>/</w:t>
            </w:r>
          </w:p>
        </w:tc>
        <w:tc>
          <w:tcPr>
            <w:tcW w:w="419" w:type="pct"/>
            <w:tcBorders>
              <w:tl2br w:val="nil"/>
              <w:tr2bl w:val="nil"/>
            </w:tcBorders>
            <w:shd w:val="clear" w:color="auto" w:fill="auto"/>
            <w:vAlign w:val="center"/>
          </w:tcPr>
          <w:p w14:paraId="139172B4">
            <w:pPr>
              <w:pStyle w:val="42"/>
              <w:bidi w:val="0"/>
              <w:jc w:val="center"/>
            </w:pPr>
            <w:r>
              <w:t>0.</w:t>
            </w:r>
            <w:r>
              <w:rPr>
                <w:rFonts w:hint="eastAsia"/>
                <w:lang w:val="en-US" w:eastAsia="zh-CN"/>
              </w:rPr>
              <w:t>0</w:t>
            </w:r>
            <w:r>
              <w:t>1</w:t>
            </w:r>
          </w:p>
        </w:tc>
        <w:tc>
          <w:tcPr>
            <w:tcW w:w="311" w:type="pct"/>
            <w:tcBorders>
              <w:tl2br w:val="nil"/>
              <w:tr2bl w:val="nil"/>
            </w:tcBorders>
            <w:shd w:val="clear" w:color="auto" w:fill="auto"/>
            <w:vAlign w:val="center"/>
          </w:tcPr>
          <w:p w14:paraId="411A4F02">
            <w:pPr>
              <w:pStyle w:val="42"/>
              <w:bidi w:val="0"/>
              <w:jc w:val="center"/>
            </w:pPr>
            <w:r>
              <w:t>每天</w:t>
            </w:r>
          </w:p>
        </w:tc>
        <w:tc>
          <w:tcPr>
            <w:tcW w:w="745" w:type="pct"/>
            <w:tcBorders>
              <w:tl2br w:val="nil"/>
              <w:tr2bl w:val="nil"/>
            </w:tcBorders>
            <w:shd w:val="clear" w:color="auto" w:fill="auto"/>
            <w:vAlign w:val="center"/>
          </w:tcPr>
          <w:p w14:paraId="2E439B12">
            <w:pPr>
              <w:pStyle w:val="42"/>
              <w:bidi w:val="0"/>
              <w:jc w:val="center"/>
            </w:pPr>
            <w:r>
              <w:t>交由原料厂家回收利用</w:t>
            </w:r>
          </w:p>
        </w:tc>
      </w:tr>
    </w:tbl>
    <w:p w14:paraId="2F0D47F5">
      <w:pPr>
        <w:pStyle w:val="39"/>
        <w:rPr>
          <w:rFonts w:hint="default" w:ascii="Times New Roman" w:hAnsi="Times New Roman" w:cs="Times New Roman"/>
          <w:color w:val="auto"/>
          <w:highlight w:val="yellow"/>
          <w:u w:val="none" w:color="auto"/>
        </w:rPr>
      </w:pPr>
    </w:p>
    <w:p w14:paraId="48E9B632">
      <w:pPr>
        <w:rPr>
          <w:rFonts w:hint="default" w:ascii="Times New Roman" w:hAnsi="Times New Roman" w:cs="Times New Roman"/>
          <w:color w:val="auto"/>
          <w:highlight w:val="yellow"/>
          <w:u w:val="none" w:color="auto"/>
        </w:rPr>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linePitch="312" w:charSpace="0"/>
        </w:sectPr>
      </w:pPr>
    </w:p>
    <w:p w14:paraId="00AD5B53">
      <w:pPr>
        <w:pStyle w:val="5"/>
        <w:shd w:val="clear"/>
        <w:rPr>
          <w:rFonts w:hint="default" w:ascii="Times New Roman" w:hAnsi="Times New Roman" w:cs="Times New Roman"/>
          <w:color w:val="auto"/>
          <w:highlight w:val="none"/>
          <w:u w:val="none" w:color="auto"/>
        </w:rPr>
      </w:pPr>
      <w:bookmarkStart w:id="129" w:name="_Toc1716"/>
      <w:r>
        <w:rPr>
          <w:rFonts w:hint="default" w:ascii="Times New Roman" w:hAnsi="Times New Roman" w:cs="Times New Roman"/>
          <w:color w:val="auto"/>
          <w:highlight w:val="none"/>
          <w:u w:val="none" w:color="auto"/>
        </w:rPr>
        <w:t>营运期污染源强汇总</w:t>
      </w:r>
      <w:bookmarkEnd w:id="129"/>
    </w:p>
    <w:p w14:paraId="66922E5B">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本项目营运期污染源强汇总如表</w:t>
      </w:r>
      <w:r>
        <w:rPr>
          <w:rFonts w:hint="eastAsia" w:ascii="Times New Roman" w:hAnsi="Times New Roman" w:cs="Times New Roman"/>
          <w:color w:val="auto"/>
          <w:highlight w:val="none"/>
          <w:u w:val="none" w:color="auto"/>
          <w:lang w:val="en-US" w:eastAsia="zh-CN"/>
        </w:rPr>
        <w:t>4.6</w:t>
      </w:r>
      <w:r>
        <w:rPr>
          <w:rFonts w:hint="default" w:ascii="Times New Roman" w:hAnsi="Times New Roman" w:cs="Times New Roman"/>
          <w:color w:val="auto"/>
          <w:highlight w:val="none"/>
          <w:u w:val="none" w:color="auto"/>
        </w:rPr>
        <w:t>-1。</w:t>
      </w:r>
    </w:p>
    <w:p w14:paraId="4853EB6F">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4.6</w:t>
      </w:r>
      <w:r>
        <w:rPr>
          <w:rFonts w:hint="default" w:ascii="Times New Roman" w:hAnsi="Times New Roman" w:cs="Times New Roman"/>
          <w:color w:val="auto"/>
          <w:highlight w:val="none"/>
          <w:u w:val="none" w:color="auto"/>
        </w:rPr>
        <w:t>-1    项目</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三废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污染物源强汇总表</w:t>
      </w:r>
    </w:p>
    <w:tbl>
      <w:tblPr>
        <w:tblStyle w:val="30"/>
        <w:tblW w:w="500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88"/>
        <w:gridCol w:w="729"/>
        <w:gridCol w:w="290"/>
        <w:gridCol w:w="474"/>
        <w:gridCol w:w="1135"/>
        <w:gridCol w:w="907"/>
        <w:gridCol w:w="711"/>
        <w:gridCol w:w="12"/>
        <w:gridCol w:w="819"/>
        <w:gridCol w:w="591"/>
        <w:gridCol w:w="927"/>
        <w:gridCol w:w="1208"/>
        <w:gridCol w:w="1530"/>
        <w:gridCol w:w="696"/>
        <w:gridCol w:w="580"/>
        <w:gridCol w:w="813"/>
        <w:gridCol w:w="895"/>
        <w:gridCol w:w="1621"/>
      </w:tblGrid>
      <w:tr w14:paraId="7F081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noWrap w:val="0"/>
            <w:vAlign w:val="center"/>
          </w:tcPr>
          <w:p w14:paraId="5E88CD2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项目</w:t>
            </w:r>
          </w:p>
        </w:tc>
        <w:tc>
          <w:tcPr>
            <w:tcW w:w="898" w:type="pct"/>
            <w:gridSpan w:val="4"/>
            <w:noWrap w:val="0"/>
            <w:vAlign w:val="center"/>
          </w:tcPr>
          <w:p w14:paraId="60BC2EA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污染物名称</w:t>
            </w:r>
          </w:p>
        </w:tc>
        <w:tc>
          <w:tcPr>
            <w:tcW w:w="1769" w:type="pct"/>
            <w:gridSpan w:val="7"/>
            <w:noWrap w:val="0"/>
            <w:vAlign w:val="center"/>
          </w:tcPr>
          <w:p w14:paraId="10100FE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rPr>
              <w:t>产生</w:t>
            </w:r>
            <w:r>
              <w:rPr>
                <w:rFonts w:hint="default" w:ascii="Times New Roman" w:hAnsi="Times New Roman" w:cs="Times New Roman"/>
                <w:highlight w:val="none"/>
                <w:u w:val="none" w:color="auto"/>
                <w:lang w:val="en-US" w:eastAsia="zh-CN"/>
              </w:rPr>
              <w:t>情况</w:t>
            </w:r>
          </w:p>
        </w:tc>
        <w:tc>
          <w:tcPr>
            <w:tcW w:w="2096" w:type="pct"/>
            <w:gridSpan w:val="6"/>
            <w:noWrap w:val="0"/>
            <w:vAlign w:val="center"/>
          </w:tcPr>
          <w:p w14:paraId="6F91FFA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eastAsia="zh-CN"/>
              </w:rPr>
            </w:pPr>
            <w:r>
              <w:rPr>
                <w:rFonts w:hint="default" w:ascii="Times New Roman" w:hAnsi="Times New Roman" w:cs="Times New Roman"/>
                <w:highlight w:val="none"/>
                <w:u w:val="none" w:color="auto"/>
                <w:lang w:val="en-US" w:eastAsia="zh-CN"/>
              </w:rPr>
              <w:t>排放情况</w:t>
            </w:r>
          </w:p>
        </w:tc>
      </w:tr>
      <w:tr w14:paraId="31F96A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restart"/>
            <w:tcBorders>
              <w:tl2br w:val="nil"/>
              <w:tr2bl w:val="nil"/>
            </w:tcBorders>
            <w:noWrap w:val="0"/>
            <w:vAlign w:val="center"/>
          </w:tcPr>
          <w:p w14:paraId="2C6733C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废气</w:t>
            </w:r>
          </w:p>
        </w:tc>
        <w:tc>
          <w:tcPr>
            <w:tcW w:w="249" w:type="pct"/>
            <w:vMerge w:val="restart"/>
            <w:tcBorders>
              <w:tl2br w:val="nil"/>
              <w:tr2bl w:val="nil"/>
            </w:tcBorders>
            <w:noWrap w:val="0"/>
            <w:vAlign w:val="center"/>
          </w:tcPr>
          <w:p w14:paraId="2A84501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位置</w:t>
            </w:r>
          </w:p>
        </w:tc>
        <w:tc>
          <w:tcPr>
            <w:tcW w:w="261" w:type="pct"/>
            <w:gridSpan w:val="2"/>
            <w:vMerge w:val="restart"/>
            <w:tcBorders>
              <w:tl2br w:val="nil"/>
              <w:tr2bl w:val="nil"/>
            </w:tcBorders>
            <w:noWrap w:val="0"/>
            <w:vAlign w:val="center"/>
          </w:tcPr>
          <w:p w14:paraId="28A3632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产污环节</w:t>
            </w:r>
          </w:p>
        </w:tc>
        <w:tc>
          <w:tcPr>
            <w:tcW w:w="388" w:type="pct"/>
            <w:vMerge w:val="restart"/>
            <w:tcBorders>
              <w:tl2br w:val="nil"/>
              <w:tr2bl w:val="nil"/>
            </w:tcBorders>
            <w:noWrap w:val="0"/>
            <w:vAlign w:val="center"/>
          </w:tcPr>
          <w:p w14:paraId="2BE41F8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污染物</w:t>
            </w:r>
          </w:p>
        </w:tc>
        <w:tc>
          <w:tcPr>
            <w:tcW w:w="310" w:type="pct"/>
            <w:vMerge w:val="restart"/>
            <w:tcBorders>
              <w:tl2br w:val="nil"/>
              <w:tr2bl w:val="nil"/>
            </w:tcBorders>
            <w:noWrap w:val="0"/>
            <w:vAlign w:val="center"/>
          </w:tcPr>
          <w:p w14:paraId="0F6A679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废气量</w:t>
            </w:r>
            <w:r>
              <w:rPr>
                <w:rFonts w:hint="eastAsia" w:cs="Times New Roman"/>
                <w:highlight w:val="none"/>
                <w:u w:val="none" w:color="auto"/>
                <w:lang w:eastAsia="zh-CN"/>
              </w:rPr>
              <w:t>m</w:t>
            </w:r>
            <w:r>
              <w:rPr>
                <w:rFonts w:hint="eastAsia" w:cs="Times New Roman"/>
                <w:highlight w:val="none"/>
                <w:u w:val="none" w:color="auto"/>
                <w:vertAlign w:val="superscript"/>
                <w:lang w:eastAsia="zh-CN"/>
              </w:rPr>
              <w:t>3</w:t>
            </w:r>
            <w:r>
              <w:rPr>
                <w:rFonts w:hint="default" w:ascii="Times New Roman" w:hAnsi="Times New Roman" w:cs="Times New Roman"/>
                <w:highlight w:val="none"/>
                <w:u w:val="none" w:color="auto"/>
              </w:rPr>
              <w:t>/h</w:t>
            </w:r>
          </w:p>
        </w:tc>
        <w:tc>
          <w:tcPr>
            <w:tcW w:w="729" w:type="pct"/>
            <w:gridSpan w:val="4"/>
            <w:tcBorders>
              <w:tl2br w:val="nil"/>
              <w:tr2bl w:val="nil"/>
            </w:tcBorders>
            <w:noWrap w:val="0"/>
            <w:vAlign w:val="center"/>
          </w:tcPr>
          <w:p w14:paraId="7DF4CA0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有组织</w:t>
            </w:r>
            <w:r>
              <w:rPr>
                <w:rFonts w:hint="default" w:ascii="Times New Roman" w:hAnsi="Times New Roman" w:cs="Times New Roman"/>
                <w:highlight w:val="none"/>
                <w:u w:val="none" w:color="auto"/>
              </w:rPr>
              <w:t>产生情况</w:t>
            </w:r>
          </w:p>
        </w:tc>
        <w:tc>
          <w:tcPr>
            <w:tcW w:w="728" w:type="pct"/>
            <w:gridSpan w:val="2"/>
            <w:tcBorders>
              <w:tl2br w:val="nil"/>
              <w:tr2bl w:val="nil"/>
            </w:tcBorders>
            <w:noWrap w:val="0"/>
            <w:vAlign w:val="center"/>
          </w:tcPr>
          <w:p w14:paraId="3C166E0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无组织</w:t>
            </w:r>
            <w:r>
              <w:rPr>
                <w:rFonts w:hint="default" w:ascii="Times New Roman" w:hAnsi="Times New Roman" w:cs="Times New Roman"/>
                <w:highlight w:val="none"/>
                <w:u w:val="none" w:color="auto"/>
              </w:rPr>
              <w:t>产生情况</w:t>
            </w:r>
          </w:p>
        </w:tc>
        <w:tc>
          <w:tcPr>
            <w:tcW w:w="523" w:type="pct"/>
            <w:vMerge w:val="restart"/>
            <w:tcBorders>
              <w:tl2br w:val="nil"/>
              <w:tr2bl w:val="nil"/>
            </w:tcBorders>
            <w:noWrap w:val="0"/>
            <w:vAlign w:val="center"/>
          </w:tcPr>
          <w:p w14:paraId="3F59992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治理措施及去除率(%)</w:t>
            </w:r>
          </w:p>
        </w:tc>
        <w:tc>
          <w:tcPr>
            <w:tcW w:w="713" w:type="pct"/>
            <w:gridSpan w:val="3"/>
            <w:tcBorders>
              <w:tl2br w:val="nil"/>
              <w:tr2bl w:val="nil"/>
            </w:tcBorders>
            <w:noWrap w:val="0"/>
            <w:vAlign w:val="center"/>
          </w:tcPr>
          <w:p w14:paraId="36704D6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eastAsia="zh-CN"/>
              </w:rPr>
              <w:t>有组织排放</w:t>
            </w:r>
            <w:r>
              <w:rPr>
                <w:rFonts w:hint="default" w:ascii="Times New Roman" w:hAnsi="Times New Roman" w:cs="Times New Roman"/>
                <w:highlight w:val="none"/>
                <w:u w:val="none" w:color="auto"/>
              </w:rPr>
              <w:t>情况</w:t>
            </w:r>
          </w:p>
        </w:tc>
        <w:tc>
          <w:tcPr>
            <w:tcW w:w="858" w:type="pct"/>
            <w:gridSpan w:val="2"/>
            <w:tcBorders>
              <w:tl2br w:val="nil"/>
              <w:tr2bl w:val="nil"/>
            </w:tcBorders>
            <w:noWrap w:val="0"/>
            <w:vAlign w:val="center"/>
          </w:tcPr>
          <w:p w14:paraId="2F5A9B6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无组织排放</w:t>
            </w:r>
            <w:r>
              <w:rPr>
                <w:rFonts w:hint="default" w:ascii="Times New Roman" w:hAnsi="Times New Roman" w:cs="Times New Roman"/>
                <w:highlight w:val="none"/>
                <w:u w:val="none" w:color="auto"/>
              </w:rPr>
              <w:t>情况</w:t>
            </w:r>
          </w:p>
        </w:tc>
      </w:tr>
      <w:tr w14:paraId="1DD979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continue"/>
            <w:tcBorders>
              <w:tl2br w:val="nil"/>
              <w:tr2bl w:val="nil"/>
            </w:tcBorders>
            <w:noWrap w:val="0"/>
            <w:vAlign w:val="center"/>
          </w:tcPr>
          <w:p w14:paraId="40AE73F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249" w:type="pct"/>
            <w:vMerge w:val="continue"/>
            <w:tcBorders>
              <w:tl2br w:val="nil"/>
              <w:tr2bl w:val="nil"/>
            </w:tcBorders>
            <w:noWrap w:val="0"/>
            <w:vAlign w:val="center"/>
          </w:tcPr>
          <w:p w14:paraId="00385F9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261" w:type="pct"/>
            <w:gridSpan w:val="2"/>
            <w:vMerge w:val="continue"/>
            <w:tcBorders>
              <w:tl2br w:val="nil"/>
              <w:tr2bl w:val="nil"/>
            </w:tcBorders>
            <w:noWrap w:val="0"/>
            <w:vAlign w:val="center"/>
          </w:tcPr>
          <w:p w14:paraId="48BB523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88" w:type="pct"/>
            <w:vMerge w:val="continue"/>
            <w:tcBorders>
              <w:tl2br w:val="nil"/>
              <w:tr2bl w:val="nil"/>
            </w:tcBorders>
            <w:noWrap w:val="0"/>
            <w:vAlign w:val="center"/>
          </w:tcPr>
          <w:p w14:paraId="0ED9546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10" w:type="pct"/>
            <w:vMerge w:val="continue"/>
            <w:tcBorders>
              <w:tl2br w:val="nil"/>
              <w:tr2bl w:val="nil"/>
            </w:tcBorders>
            <w:noWrap w:val="0"/>
            <w:vAlign w:val="center"/>
          </w:tcPr>
          <w:p w14:paraId="5CF14B6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243" w:type="pct"/>
            <w:tcBorders>
              <w:tl2br w:val="nil"/>
              <w:tr2bl w:val="nil"/>
            </w:tcBorders>
            <w:noWrap w:val="0"/>
            <w:vAlign w:val="center"/>
          </w:tcPr>
          <w:p w14:paraId="1F01AD4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产生量t/a</w:t>
            </w:r>
          </w:p>
        </w:tc>
        <w:tc>
          <w:tcPr>
            <w:tcW w:w="284" w:type="pct"/>
            <w:gridSpan w:val="2"/>
            <w:tcBorders>
              <w:tl2br w:val="nil"/>
              <w:tr2bl w:val="nil"/>
            </w:tcBorders>
            <w:noWrap w:val="0"/>
            <w:vAlign w:val="center"/>
          </w:tcPr>
          <w:p w14:paraId="142B47C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eastAsia="zh-CN"/>
              </w:rPr>
            </w:pPr>
            <w:r>
              <w:rPr>
                <w:rFonts w:hint="default" w:ascii="Times New Roman" w:hAnsi="Times New Roman" w:cs="Times New Roman"/>
                <w:highlight w:val="none"/>
                <w:u w:val="none" w:color="auto"/>
              </w:rPr>
              <w:t>产生浓度mg/</w:t>
            </w:r>
            <w:r>
              <w:rPr>
                <w:rFonts w:hint="eastAsia" w:cs="Times New Roman"/>
                <w:highlight w:val="none"/>
                <w:u w:val="none" w:color="auto"/>
                <w:lang w:eastAsia="zh-CN"/>
              </w:rPr>
              <w:t>m</w:t>
            </w:r>
            <w:r>
              <w:rPr>
                <w:rFonts w:hint="eastAsia" w:cs="Times New Roman"/>
                <w:highlight w:val="none"/>
                <w:u w:val="none" w:color="auto"/>
                <w:vertAlign w:val="superscript"/>
                <w:lang w:eastAsia="zh-CN"/>
              </w:rPr>
              <w:t>3</w:t>
            </w:r>
          </w:p>
        </w:tc>
        <w:tc>
          <w:tcPr>
            <w:tcW w:w="201" w:type="pct"/>
            <w:tcBorders>
              <w:tl2br w:val="nil"/>
              <w:tr2bl w:val="nil"/>
            </w:tcBorders>
            <w:noWrap w:val="0"/>
            <w:vAlign w:val="center"/>
          </w:tcPr>
          <w:p w14:paraId="092361D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rPr>
              <w:t>产生</w:t>
            </w:r>
            <w:r>
              <w:rPr>
                <w:rFonts w:hint="default" w:ascii="Times New Roman" w:hAnsi="Times New Roman" w:cs="Times New Roman"/>
                <w:highlight w:val="none"/>
                <w:u w:val="none" w:color="auto"/>
                <w:lang w:val="en-US" w:eastAsia="zh-CN"/>
              </w:rPr>
              <w:t>速率kg</w:t>
            </w:r>
            <w:r>
              <w:rPr>
                <w:rFonts w:hint="default" w:ascii="Times New Roman" w:hAnsi="Times New Roman" w:cs="Times New Roman"/>
                <w:highlight w:val="none"/>
                <w:u w:val="none" w:color="auto"/>
              </w:rPr>
              <w:t>/</w:t>
            </w:r>
            <w:r>
              <w:rPr>
                <w:rFonts w:hint="default" w:ascii="Times New Roman" w:hAnsi="Times New Roman" w:cs="Times New Roman"/>
                <w:highlight w:val="none"/>
                <w:u w:val="none" w:color="auto"/>
                <w:lang w:val="en-US" w:eastAsia="zh-CN"/>
              </w:rPr>
              <w:t>h</w:t>
            </w:r>
          </w:p>
        </w:tc>
        <w:tc>
          <w:tcPr>
            <w:tcW w:w="317" w:type="pct"/>
            <w:tcBorders>
              <w:tl2br w:val="nil"/>
              <w:tr2bl w:val="nil"/>
            </w:tcBorders>
            <w:noWrap w:val="0"/>
            <w:vAlign w:val="center"/>
          </w:tcPr>
          <w:p w14:paraId="1BD7FB6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产生量t/a</w:t>
            </w:r>
          </w:p>
        </w:tc>
        <w:tc>
          <w:tcPr>
            <w:tcW w:w="411" w:type="pct"/>
            <w:tcBorders>
              <w:tl2br w:val="nil"/>
              <w:tr2bl w:val="nil"/>
            </w:tcBorders>
            <w:noWrap w:val="0"/>
            <w:vAlign w:val="center"/>
          </w:tcPr>
          <w:p w14:paraId="034FE6B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产生</w:t>
            </w:r>
            <w:r>
              <w:rPr>
                <w:rFonts w:hint="default" w:ascii="Times New Roman" w:hAnsi="Times New Roman" w:cs="Times New Roman"/>
                <w:highlight w:val="none"/>
                <w:u w:val="none" w:color="auto"/>
                <w:lang w:val="en-US" w:eastAsia="zh-CN"/>
              </w:rPr>
              <w:t>速率kg</w:t>
            </w:r>
            <w:r>
              <w:rPr>
                <w:rFonts w:hint="default" w:ascii="Times New Roman" w:hAnsi="Times New Roman" w:cs="Times New Roman"/>
                <w:highlight w:val="none"/>
                <w:u w:val="none" w:color="auto"/>
              </w:rPr>
              <w:t>/</w:t>
            </w:r>
            <w:r>
              <w:rPr>
                <w:rFonts w:hint="default" w:ascii="Times New Roman" w:hAnsi="Times New Roman" w:cs="Times New Roman"/>
                <w:highlight w:val="none"/>
                <w:u w:val="none" w:color="auto"/>
                <w:lang w:val="en-US" w:eastAsia="zh-CN"/>
              </w:rPr>
              <w:t>h</w:t>
            </w:r>
          </w:p>
        </w:tc>
        <w:tc>
          <w:tcPr>
            <w:tcW w:w="523" w:type="pct"/>
            <w:vMerge w:val="continue"/>
            <w:tcBorders>
              <w:tl2br w:val="nil"/>
              <w:tr2bl w:val="nil"/>
            </w:tcBorders>
            <w:noWrap w:val="0"/>
            <w:vAlign w:val="center"/>
          </w:tcPr>
          <w:p w14:paraId="24B57C9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237" w:type="pct"/>
            <w:tcBorders>
              <w:tl2br w:val="nil"/>
              <w:tr2bl w:val="nil"/>
            </w:tcBorders>
            <w:noWrap w:val="0"/>
            <w:vAlign w:val="center"/>
          </w:tcPr>
          <w:p w14:paraId="684BF9E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eastAsia="zh-CN"/>
              </w:rPr>
              <w:t>排放</w:t>
            </w:r>
            <w:r>
              <w:rPr>
                <w:rFonts w:hint="default" w:ascii="Times New Roman" w:hAnsi="Times New Roman" w:cs="Times New Roman"/>
                <w:highlight w:val="none"/>
                <w:u w:val="none" w:color="auto"/>
              </w:rPr>
              <w:t>量t/a</w:t>
            </w:r>
          </w:p>
        </w:tc>
        <w:tc>
          <w:tcPr>
            <w:tcW w:w="198" w:type="pct"/>
            <w:tcBorders>
              <w:tl2br w:val="nil"/>
              <w:tr2bl w:val="nil"/>
            </w:tcBorders>
            <w:noWrap w:val="0"/>
            <w:vAlign w:val="center"/>
          </w:tcPr>
          <w:p w14:paraId="6777435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eastAsia="zh-CN"/>
              </w:rPr>
              <w:t>排放</w:t>
            </w:r>
            <w:r>
              <w:rPr>
                <w:rFonts w:hint="default" w:ascii="Times New Roman" w:hAnsi="Times New Roman" w:cs="Times New Roman"/>
                <w:highlight w:val="none"/>
                <w:u w:val="none" w:color="auto"/>
              </w:rPr>
              <w:t>浓度mg/</w:t>
            </w:r>
            <w:r>
              <w:rPr>
                <w:rFonts w:hint="eastAsia" w:cs="Times New Roman"/>
                <w:highlight w:val="none"/>
                <w:u w:val="none" w:color="auto"/>
                <w:lang w:eastAsia="zh-CN"/>
              </w:rPr>
              <w:t>m</w:t>
            </w:r>
            <w:r>
              <w:rPr>
                <w:rFonts w:hint="eastAsia" w:cs="Times New Roman"/>
                <w:highlight w:val="none"/>
                <w:u w:val="none" w:color="auto"/>
                <w:vertAlign w:val="superscript"/>
                <w:lang w:eastAsia="zh-CN"/>
              </w:rPr>
              <w:t>3</w:t>
            </w:r>
          </w:p>
        </w:tc>
        <w:tc>
          <w:tcPr>
            <w:tcW w:w="277" w:type="pct"/>
            <w:tcBorders>
              <w:tl2br w:val="nil"/>
              <w:tr2bl w:val="nil"/>
            </w:tcBorders>
            <w:noWrap w:val="0"/>
            <w:vAlign w:val="center"/>
          </w:tcPr>
          <w:p w14:paraId="25170DE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eastAsia="zh-CN"/>
              </w:rPr>
            </w:pPr>
            <w:r>
              <w:rPr>
                <w:rFonts w:hint="default" w:ascii="Times New Roman" w:hAnsi="Times New Roman" w:cs="Times New Roman"/>
                <w:highlight w:val="none"/>
                <w:u w:val="none" w:color="auto"/>
                <w:lang w:val="en-US" w:eastAsia="zh-CN"/>
              </w:rPr>
              <w:t>排放速率kg</w:t>
            </w:r>
            <w:r>
              <w:rPr>
                <w:rFonts w:hint="default" w:ascii="Times New Roman" w:hAnsi="Times New Roman" w:cs="Times New Roman"/>
                <w:highlight w:val="none"/>
                <w:u w:val="none" w:color="auto"/>
              </w:rPr>
              <w:t>/</w:t>
            </w:r>
            <w:r>
              <w:rPr>
                <w:rFonts w:hint="default" w:ascii="Times New Roman" w:hAnsi="Times New Roman" w:cs="Times New Roman"/>
                <w:highlight w:val="none"/>
                <w:u w:val="none" w:color="auto"/>
                <w:lang w:val="en-US" w:eastAsia="zh-CN"/>
              </w:rPr>
              <w:t>h</w:t>
            </w:r>
          </w:p>
        </w:tc>
        <w:tc>
          <w:tcPr>
            <w:tcW w:w="306" w:type="pct"/>
            <w:tcBorders>
              <w:tl2br w:val="nil"/>
              <w:tr2bl w:val="nil"/>
            </w:tcBorders>
            <w:noWrap w:val="0"/>
            <w:vAlign w:val="center"/>
          </w:tcPr>
          <w:p w14:paraId="2E4BAD3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排放</w:t>
            </w:r>
            <w:r>
              <w:rPr>
                <w:rFonts w:hint="default" w:ascii="Times New Roman" w:hAnsi="Times New Roman" w:cs="Times New Roman"/>
                <w:highlight w:val="none"/>
                <w:u w:val="none" w:color="auto"/>
              </w:rPr>
              <w:t>量t/a</w:t>
            </w:r>
          </w:p>
        </w:tc>
        <w:tc>
          <w:tcPr>
            <w:tcW w:w="551" w:type="pct"/>
            <w:tcBorders>
              <w:tl2br w:val="nil"/>
              <w:tr2bl w:val="nil"/>
            </w:tcBorders>
            <w:noWrap w:val="0"/>
            <w:vAlign w:val="center"/>
          </w:tcPr>
          <w:p w14:paraId="44E9181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lang w:val="en-US" w:eastAsia="zh-CN"/>
              </w:rPr>
              <w:t>排放速率kg</w:t>
            </w:r>
            <w:r>
              <w:rPr>
                <w:rFonts w:hint="default" w:ascii="Times New Roman" w:hAnsi="Times New Roman" w:cs="Times New Roman"/>
                <w:highlight w:val="none"/>
                <w:u w:val="none" w:color="auto"/>
              </w:rPr>
              <w:t>/</w:t>
            </w:r>
            <w:r>
              <w:rPr>
                <w:rFonts w:hint="default" w:ascii="Times New Roman" w:hAnsi="Times New Roman" w:cs="Times New Roman"/>
                <w:highlight w:val="none"/>
                <w:u w:val="none" w:color="auto"/>
                <w:lang w:val="en-US" w:eastAsia="zh-CN"/>
              </w:rPr>
              <w:t>h</w:t>
            </w:r>
          </w:p>
        </w:tc>
      </w:tr>
      <w:tr w14:paraId="542D57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continue"/>
            <w:tcBorders>
              <w:tl2br w:val="nil"/>
              <w:tr2bl w:val="nil"/>
            </w:tcBorders>
            <w:noWrap w:val="0"/>
            <w:vAlign w:val="center"/>
          </w:tcPr>
          <w:p w14:paraId="5E7C890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249" w:type="pct"/>
            <w:vMerge w:val="restart"/>
            <w:tcBorders>
              <w:tl2br w:val="nil"/>
              <w:tr2bl w:val="nil"/>
            </w:tcBorders>
            <w:noWrap w:val="0"/>
            <w:vAlign w:val="center"/>
          </w:tcPr>
          <w:p w14:paraId="695F5961">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DA00</w:t>
            </w:r>
            <w:r>
              <w:rPr>
                <w:rFonts w:hint="eastAsia" w:cs="Times New Roman"/>
                <w:highlight w:val="none"/>
                <w:u w:val="none" w:color="auto"/>
                <w:lang w:val="en-US" w:eastAsia="zh-CN"/>
              </w:rPr>
              <w:t>1</w:t>
            </w:r>
          </w:p>
        </w:tc>
        <w:tc>
          <w:tcPr>
            <w:tcW w:w="261" w:type="pct"/>
            <w:gridSpan w:val="2"/>
            <w:vMerge w:val="restart"/>
            <w:tcBorders>
              <w:tl2br w:val="nil"/>
              <w:tr2bl w:val="nil"/>
            </w:tcBorders>
            <w:noWrap w:val="0"/>
            <w:vAlign w:val="center"/>
          </w:tcPr>
          <w:p w14:paraId="082A1142">
            <w:pPr>
              <w:pStyle w:val="46"/>
              <w:keepNext w:val="0"/>
              <w:keepLines w:val="0"/>
              <w:widowControl/>
              <w:suppressLineNumbers w:val="0"/>
              <w:bidi w:val="0"/>
              <w:spacing w:beforeAutospacing="0" w:after="0" w:afterAutospacing="0"/>
              <w:ind w:left="0" w:leftChars="0" w:right="0" w:rightChars="0" w:firstLine="0" w:firstLineChars="0"/>
              <w:rPr>
                <w:rFonts w:hint="eastAsia" w:ascii="Times New Roman" w:hAnsi="Times New Roman" w:eastAsia="宋体" w:cs="Times New Roman"/>
                <w:highlight w:val="none"/>
                <w:u w:val="none" w:color="auto"/>
                <w:lang w:val="en-US" w:eastAsia="zh-CN"/>
              </w:rPr>
            </w:pPr>
            <w:r>
              <w:rPr>
                <w:rFonts w:hint="eastAsia"/>
                <w:highlight w:val="none"/>
                <w:u w:val="none" w:color="auto"/>
              </w:rPr>
              <w:t>集水池、调节池、厌氧流化床、缺氧池、消化池、污泥池、隔油初沉池、污泥脱</w:t>
            </w:r>
            <w:r>
              <w:rPr>
                <w:rFonts w:hint="eastAsia"/>
                <w:highlight w:val="none"/>
                <w:u w:val="none" w:color="auto"/>
                <w:lang w:val="en-US" w:eastAsia="zh-CN"/>
              </w:rPr>
              <w:t>水</w:t>
            </w:r>
          </w:p>
        </w:tc>
        <w:tc>
          <w:tcPr>
            <w:tcW w:w="388" w:type="pct"/>
            <w:tcBorders>
              <w:tl2br w:val="nil"/>
              <w:tr2bl w:val="nil"/>
            </w:tcBorders>
            <w:shd w:val="clear" w:color="auto" w:fill="auto"/>
            <w:noWrap w:val="0"/>
            <w:vAlign w:val="center"/>
          </w:tcPr>
          <w:p w14:paraId="030076FB">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硫化氢</w:t>
            </w:r>
          </w:p>
        </w:tc>
        <w:tc>
          <w:tcPr>
            <w:tcW w:w="310" w:type="pct"/>
            <w:vMerge w:val="restart"/>
            <w:tcBorders>
              <w:tl2br w:val="nil"/>
              <w:tr2bl w:val="nil"/>
            </w:tcBorders>
            <w:shd w:val="clear" w:color="auto" w:fill="auto"/>
            <w:noWrap w:val="0"/>
            <w:vAlign w:val="center"/>
          </w:tcPr>
          <w:p w14:paraId="45A706BD">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1</w:t>
            </w:r>
            <w:r>
              <w:rPr>
                <w:rFonts w:hint="eastAsia" w:cs="Times New Roman"/>
                <w:highlight w:val="none"/>
                <w:u w:val="none" w:color="auto"/>
                <w:lang w:val="en-US" w:eastAsia="zh-CN"/>
              </w:rPr>
              <w:t>0</w:t>
            </w:r>
            <w:r>
              <w:rPr>
                <w:rFonts w:hint="default" w:ascii="Times New Roman" w:hAnsi="Times New Roman" w:cs="Times New Roman"/>
                <w:highlight w:val="none"/>
                <w:u w:val="none" w:color="auto"/>
                <w:lang w:val="en-US" w:eastAsia="zh-CN"/>
              </w:rPr>
              <w:t>000</w:t>
            </w:r>
          </w:p>
        </w:tc>
        <w:tc>
          <w:tcPr>
            <w:tcW w:w="243" w:type="pct"/>
            <w:tcBorders>
              <w:tl2br w:val="nil"/>
              <w:tr2bl w:val="nil"/>
            </w:tcBorders>
            <w:shd w:val="clear" w:color="auto" w:fill="auto"/>
            <w:noWrap w:val="0"/>
            <w:vAlign w:val="center"/>
          </w:tcPr>
          <w:p w14:paraId="3D7C58CE">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2.4888</w:t>
            </w:r>
          </w:p>
        </w:tc>
        <w:tc>
          <w:tcPr>
            <w:tcW w:w="284" w:type="pct"/>
            <w:gridSpan w:val="2"/>
            <w:tcBorders>
              <w:tl2br w:val="nil"/>
              <w:tr2bl w:val="nil"/>
            </w:tcBorders>
            <w:shd w:val="clear" w:color="auto" w:fill="auto"/>
            <w:noWrap w:val="0"/>
            <w:vAlign w:val="center"/>
          </w:tcPr>
          <w:p w14:paraId="4B77796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28.41</w:t>
            </w:r>
          </w:p>
        </w:tc>
        <w:tc>
          <w:tcPr>
            <w:tcW w:w="201" w:type="pct"/>
            <w:tcBorders>
              <w:tl2br w:val="nil"/>
              <w:tr2bl w:val="nil"/>
            </w:tcBorders>
            <w:shd w:val="clear" w:color="auto" w:fill="auto"/>
            <w:noWrap w:val="0"/>
            <w:vAlign w:val="center"/>
          </w:tcPr>
          <w:p w14:paraId="689B148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0.2841</w:t>
            </w:r>
          </w:p>
        </w:tc>
        <w:tc>
          <w:tcPr>
            <w:tcW w:w="317" w:type="pct"/>
            <w:tcBorders>
              <w:tl2br w:val="nil"/>
              <w:tr2bl w:val="nil"/>
            </w:tcBorders>
            <w:shd w:val="clear" w:color="auto" w:fill="auto"/>
            <w:noWrap w:val="0"/>
            <w:vAlign w:val="center"/>
          </w:tcPr>
          <w:p w14:paraId="1C8CBECE">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0.2983</w:t>
            </w:r>
          </w:p>
        </w:tc>
        <w:tc>
          <w:tcPr>
            <w:tcW w:w="411" w:type="pct"/>
            <w:tcBorders>
              <w:tl2br w:val="nil"/>
              <w:tr2bl w:val="nil"/>
            </w:tcBorders>
            <w:shd w:val="clear" w:color="auto" w:fill="auto"/>
            <w:noWrap w:val="0"/>
            <w:vAlign w:val="center"/>
          </w:tcPr>
          <w:p w14:paraId="5029DEEE">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highlight w:val="none"/>
                <w:u w:val="none" w:color="auto"/>
                <w:lang w:val="en-US" w:eastAsia="zh-CN"/>
              </w:rPr>
            </w:pPr>
            <w:r>
              <w:rPr>
                <w:rFonts w:hint="default" w:ascii="Times New Roman" w:hAnsi="Times New Roman" w:eastAsia="宋体" w:cs="Times New Roman"/>
                <w:highlight w:val="none"/>
                <w:u w:val="none" w:color="auto"/>
                <w:lang w:val="en-US" w:eastAsia="zh-CN"/>
              </w:rPr>
              <w:t>0.03405</w:t>
            </w:r>
          </w:p>
        </w:tc>
        <w:tc>
          <w:tcPr>
            <w:tcW w:w="523" w:type="pct"/>
            <w:vMerge w:val="restart"/>
            <w:tcBorders>
              <w:tl2br w:val="nil"/>
              <w:tr2bl w:val="nil"/>
            </w:tcBorders>
            <w:shd w:val="clear" w:color="auto" w:fill="auto"/>
            <w:noWrap w:val="0"/>
            <w:vAlign w:val="center"/>
          </w:tcPr>
          <w:p w14:paraId="5BECB4A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rPr>
              <w:t>二级喷淋塔+生物滤池处理+15m排气筒DA001，90%</w:t>
            </w:r>
          </w:p>
        </w:tc>
        <w:tc>
          <w:tcPr>
            <w:tcW w:w="237" w:type="pct"/>
            <w:tcBorders>
              <w:tl2br w:val="nil"/>
              <w:tr2bl w:val="nil"/>
            </w:tcBorders>
            <w:noWrap w:val="0"/>
            <w:vAlign w:val="center"/>
          </w:tcPr>
          <w:p w14:paraId="12E8568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0.2489</w:t>
            </w:r>
          </w:p>
        </w:tc>
        <w:tc>
          <w:tcPr>
            <w:tcW w:w="198" w:type="pct"/>
            <w:tcBorders>
              <w:tl2br w:val="nil"/>
              <w:tr2bl w:val="nil"/>
            </w:tcBorders>
            <w:noWrap w:val="0"/>
            <w:vAlign w:val="center"/>
          </w:tcPr>
          <w:p w14:paraId="1156717F">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eastAsia="zh-CN"/>
              </w:rPr>
              <w:t>2.8411</w:t>
            </w:r>
          </w:p>
        </w:tc>
        <w:tc>
          <w:tcPr>
            <w:tcW w:w="277" w:type="pct"/>
            <w:tcBorders>
              <w:tl2br w:val="nil"/>
              <w:tr2bl w:val="nil"/>
            </w:tcBorders>
            <w:noWrap w:val="0"/>
            <w:vAlign w:val="center"/>
          </w:tcPr>
          <w:p w14:paraId="7EEA0ECC">
            <w:pPr>
              <w:pStyle w:val="42"/>
              <w:keepNext w:val="0"/>
              <w:keepLines w:val="0"/>
              <w:suppressLineNumbers w:val="0"/>
              <w:bidi w:val="0"/>
              <w:spacing w:before="0" w:beforeAutospacing="0" w:after="0" w:afterAutospacing="0"/>
              <w:rPr>
                <w:rFonts w:hint="default"/>
                <w:highlight w:val="none"/>
                <w:lang w:val="en-US"/>
              </w:rPr>
            </w:pPr>
            <w:r>
              <w:rPr>
                <w:rFonts w:hint="default"/>
                <w:highlight w:val="none"/>
                <w:lang w:val="en-US" w:eastAsia="zh-CN"/>
              </w:rPr>
              <w:t>0.0284</w:t>
            </w:r>
          </w:p>
        </w:tc>
        <w:tc>
          <w:tcPr>
            <w:tcW w:w="306" w:type="pct"/>
            <w:tcBorders>
              <w:tl2br w:val="nil"/>
              <w:tr2bl w:val="nil"/>
            </w:tcBorders>
            <w:shd w:val="clear" w:color="auto" w:fill="auto"/>
            <w:noWrap w:val="0"/>
            <w:vAlign w:val="center"/>
          </w:tcPr>
          <w:p w14:paraId="30901D5B">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highlight w:val="none"/>
                <w:u w:val="none" w:color="auto"/>
                <w:lang w:val="en-US" w:eastAsia="zh-CN"/>
              </w:rPr>
              <w:t>0.2983</w:t>
            </w:r>
          </w:p>
        </w:tc>
        <w:tc>
          <w:tcPr>
            <w:tcW w:w="551" w:type="pct"/>
            <w:tcBorders>
              <w:tl2br w:val="nil"/>
              <w:tr2bl w:val="nil"/>
            </w:tcBorders>
            <w:shd w:val="clear" w:color="auto" w:fill="auto"/>
            <w:noWrap w:val="0"/>
            <w:vAlign w:val="center"/>
          </w:tcPr>
          <w:p w14:paraId="43EE686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0.03405</w:t>
            </w:r>
          </w:p>
        </w:tc>
      </w:tr>
      <w:tr w14:paraId="03862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continue"/>
            <w:tcBorders>
              <w:tl2br w:val="nil"/>
              <w:tr2bl w:val="nil"/>
            </w:tcBorders>
            <w:noWrap w:val="0"/>
            <w:vAlign w:val="center"/>
          </w:tcPr>
          <w:p w14:paraId="252F139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249" w:type="pct"/>
            <w:vMerge w:val="continue"/>
            <w:tcBorders>
              <w:tl2br w:val="nil"/>
              <w:tr2bl w:val="nil"/>
            </w:tcBorders>
            <w:noWrap w:val="0"/>
            <w:vAlign w:val="center"/>
          </w:tcPr>
          <w:p w14:paraId="567E9E19">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p>
        </w:tc>
        <w:tc>
          <w:tcPr>
            <w:tcW w:w="261" w:type="pct"/>
            <w:gridSpan w:val="2"/>
            <w:vMerge w:val="continue"/>
            <w:tcBorders>
              <w:tl2br w:val="nil"/>
              <w:tr2bl w:val="nil"/>
            </w:tcBorders>
            <w:noWrap w:val="0"/>
            <w:vAlign w:val="center"/>
          </w:tcPr>
          <w:p w14:paraId="13C770BC">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p>
        </w:tc>
        <w:tc>
          <w:tcPr>
            <w:tcW w:w="388" w:type="pct"/>
            <w:tcBorders>
              <w:tl2br w:val="nil"/>
              <w:tr2bl w:val="nil"/>
            </w:tcBorders>
            <w:shd w:val="clear" w:color="auto" w:fill="auto"/>
            <w:noWrap w:val="0"/>
            <w:vAlign w:val="center"/>
          </w:tcPr>
          <w:p w14:paraId="643026A7">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氨</w:t>
            </w:r>
          </w:p>
        </w:tc>
        <w:tc>
          <w:tcPr>
            <w:tcW w:w="310" w:type="pct"/>
            <w:vMerge w:val="continue"/>
            <w:tcBorders>
              <w:tl2br w:val="nil"/>
              <w:tr2bl w:val="nil"/>
            </w:tcBorders>
            <w:shd w:val="clear" w:color="auto" w:fill="auto"/>
            <w:noWrap w:val="0"/>
            <w:vAlign w:val="center"/>
          </w:tcPr>
          <w:p w14:paraId="66E78064">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p>
        </w:tc>
        <w:tc>
          <w:tcPr>
            <w:tcW w:w="243" w:type="pct"/>
            <w:tcBorders>
              <w:tl2br w:val="nil"/>
              <w:tr2bl w:val="nil"/>
            </w:tcBorders>
            <w:shd w:val="clear" w:color="auto" w:fill="auto"/>
            <w:noWrap w:val="0"/>
            <w:vAlign w:val="center"/>
          </w:tcPr>
          <w:p w14:paraId="03AB6BAD">
            <w:pPr>
              <w:pStyle w:val="43"/>
              <w:keepNext w:val="0"/>
              <w:keepLines w:val="0"/>
              <w:widowControl/>
              <w:suppressLineNumbers w:val="0"/>
              <w:spacing w:before="0" w:beforeAutospacing="0" w:after="0" w:afterAutospacing="0"/>
              <w:ind w:left="0" w:leftChars="0" w:right="0" w:rightChars="0" w:firstLine="0" w:firstLineChars="0"/>
              <w:rPr>
                <w:rFonts w:hint="default" w:cs="Times New Roman"/>
                <w:highlight w:val="none"/>
                <w:u w:val="none" w:color="auto"/>
                <w:lang w:val="en-US" w:eastAsia="zh-CN"/>
              </w:rPr>
            </w:pPr>
            <w:r>
              <w:rPr>
                <w:rFonts w:hint="default"/>
                <w:highlight w:val="none"/>
                <w:lang w:val="en-US" w:eastAsia="zh-CN"/>
              </w:rPr>
              <w:t>0.00990</w:t>
            </w:r>
          </w:p>
        </w:tc>
        <w:tc>
          <w:tcPr>
            <w:tcW w:w="284" w:type="pct"/>
            <w:gridSpan w:val="2"/>
            <w:tcBorders>
              <w:tl2br w:val="nil"/>
              <w:tr2bl w:val="nil"/>
            </w:tcBorders>
            <w:shd w:val="clear" w:color="auto" w:fill="auto"/>
            <w:noWrap w:val="0"/>
            <w:vAlign w:val="center"/>
          </w:tcPr>
          <w:p w14:paraId="23A5DEC3">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lang w:val="en-US" w:eastAsia="zh-CN"/>
              </w:rPr>
              <w:t>0.1130</w:t>
            </w:r>
          </w:p>
        </w:tc>
        <w:tc>
          <w:tcPr>
            <w:tcW w:w="201" w:type="pct"/>
            <w:tcBorders>
              <w:tl2br w:val="nil"/>
              <w:tr2bl w:val="nil"/>
            </w:tcBorders>
            <w:shd w:val="clear" w:color="auto" w:fill="auto"/>
            <w:noWrap w:val="0"/>
            <w:vAlign w:val="center"/>
          </w:tcPr>
          <w:p w14:paraId="7F81E149">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lang w:val="en-US" w:eastAsia="zh-CN"/>
              </w:rPr>
              <w:t>0.0011</w:t>
            </w:r>
          </w:p>
        </w:tc>
        <w:tc>
          <w:tcPr>
            <w:tcW w:w="317" w:type="pct"/>
            <w:tcBorders>
              <w:tl2br w:val="nil"/>
              <w:tr2bl w:val="nil"/>
            </w:tcBorders>
            <w:shd w:val="clear" w:color="auto" w:fill="auto"/>
            <w:noWrap w:val="0"/>
            <w:vAlign w:val="center"/>
          </w:tcPr>
          <w:p w14:paraId="417A25D9">
            <w:pPr>
              <w:pStyle w:val="43"/>
              <w:keepNext w:val="0"/>
              <w:keepLines w:val="0"/>
              <w:widowControl/>
              <w:suppressLineNumbers w:val="0"/>
              <w:spacing w:before="0" w:beforeAutospacing="0" w:after="0" w:afterAutospacing="0"/>
              <w:ind w:left="0" w:leftChars="0" w:right="0" w:rightChars="0" w:firstLine="0" w:firstLineChars="0"/>
              <w:rPr>
                <w:rFonts w:hint="default" w:cs="Times New Roman"/>
                <w:highlight w:val="none"/>
                <w:u w:val="none" w:color="auto"/>
                <w:lang w:val="en-US" w:eastAsia="zh-CN"/>
              </w:rPr>
            </w:pPr>
            <w:r>
              <w:rPr>
                <w:rFonts w:hint="eastAsia" w:cs="Times New Roman"/>
                <w:highlight w:val="none"/>
                <w:u w:val="none" w:color="auto"/>
                <w:lang w:val="en-US" w:eastAsia="zh-CN"/>
              </w:rPr>
              <w:t>0.00073</w:t>
            </w:r>
          </w:p>
        </w:tc>
        <w:tc>
          <w:tcPr>
            <w:tcW w:w="411" w:type="pct"/>
            <w:tcBorders>
              <w:tl2br w:val="nil"/>
              <w:tr2bl w:val="nil"/>
            </w:tcBorders>
            <w:shd w:val="clear" w:color="auto" w:fill="auto"/>
            <w:noWrap w:val="0"/>
            <w:vAlign w:val="center"/>
          </w:tcPr>
          <w:p w14:paraId="61B280C0">
            <w:pPr>
              <w:pStyle w:val="46"/>
              <w:keepNext w:val="0"/>
              <w:keepLines w:val="0"/>
              <w:widowControl/>
              <w:suppressLineNumbers w:val="0"/>
              <w:bidi w:val="0"/>
              <w:spacing w:beforeAutospacing="0" w:after="0" w:afterAutospacing="0"/>
              <w:ind w:left="0" w:leftChars="0" w:right="0" w:rightChars="0" w:firstLine="0" w:firstLineChars="0"/>
              <w:rPr>
                <w:rFonts w:hint="eastAsia"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lang w:val="en-US" w:eastAsia="zh-CN"/>
              </w:rPr>
              <w:t>0.00008</w:t>
            </w:r>
          </w:p>
        </w:tc>
        <w:tc>
          <w:tcPr>
            <w:tcW w:w="523" w:type="pct"/>
            <w:vMerge w:val="continue"/>
            <w:tcBorders>
              <w:tl2br w:val="nil"/>
              <w:tr2bl w:val="nil"/>
            </w:tcBorders>
            <w:shd w:val="clear" w:color="auto" w:fill="auto"/>
            <w:noWrap w:val="0"/>
            <w:vAlign w:val="center"/>
          </w:tcPr>
          <w:p w14:paraId="59F5F33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highlight w:val="none"/>
                <w:u w:val="none" w:color="auto"/>
                <w:lang w:val="en-US" w:eastAsia="zh-CN"/>
              </w:rPr>
            </w:pPr>
          </w:p>
        </w:tc>
        <w:tc>
          <w:tcPr>
            <w:tcW w:w="237" w:type="pct"/>
            <w:tcBorders>
              <w:tl2br w:val="nil"/>
              <w:tr2bl w:val="nil"/>
            </w:tcBorders>
            <w:noWrap w:val="0"/>
            <w:vAlign w:val="center"/>
          </w:tcPr>
          <w:p w14:paraId="12AF0070">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lang w:val="en-US" w:eastAsia="zh-CN"/>
              </w:rPr>
              <w:t>0.00099</w:t>
            </w:r>
          </w:p>
        </w:tc>
        <w:tc>
          <w:tcPr>
            <w:tcW w:w="198" w:type="pct"/>
            <w:tcBorders>
              <w:tl2br w:val="nil"/>
              <w:tr2bl w:val="nil"/>
            </w:tcBorders>
            <w:noWrap w:val="0"/>
            <w:vAlign w:val="center"/>
          </w:tcPr>
          <w:p w14:paraId="07950786">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lang w:val="en-US" w:eastAsia="zh-CN"/>
              </w:rPr>
              <w:t>0.0113</w:t>
            </w:r>
          </w:p>
        </w:tc>
        <w:tc>
          <w:tcPr>
            <w:tcW w:w="277" w:type="pct"/>
            <w:tcBorders>
              <w:tl2br w:val="nil"/>
              <w:tr2bl w:val="nil"/>
            </w:tcBorders>
            <w:noWrap w:val="0"/>
            <w:vAlign w:val="center"/>
          </w:tcPr>
          <w:p w14:paraId="2AE4C0CD">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lang w:val="en-US" w:eastAsia="zh-CN"/>
              </w:rPr>
              <w:t>0.00011</w:t>
            </w:r>
          </w:p>
        </w:tc>
        <w:tc>
          <w:tcPr>
            <w:tcW w:w="306" w:type="pct"/>
            <w:tcBorders>
              <w:tl2br w:val="nil"/>
              <w:tr2bl w:val="nil"/>
            </w:tcBorders>
            <w:shd w:val="clear" w:color="auto" w:fill="auto"/>
            <w:noWrap w:val="0"/>
            <w:vAlign w:val="center"/>
          </w:tcPr>
          <w:p w14:paraId="14A3DB54">
            <w:pPr>
              <w:pStyle w:val="43"/>
              <w:keepNext w:val="0"/>
              <w:keepLines w:val="0"/>
              <w:widowControl/>
              <w:suppressLineNumbers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highlight w:val="none"/>
                <w:u w:val="none" w:color="auto"/>
                <w:lang w:val="en-US" w:eastAsia="zh-CN"/>
              </w:rPr>
              <w:t>0.00073</w:t>
            </w:r>
          </w:p>
        </w:tc>
        <w:tc>
          <w:tcPr>
            <w:tcW w:w="551" w:type="pct"/>
            <w:tcBorders>
              <w:tl2br w:val="nil"/>
              <w:tr2bl w:val="nil"/>
            </w:tcBorders>
            <w:shd w:val="clear" w:color="auto" w:fill="auto"/>
            <w:noWrap w:val="0"/>
            <w:vAlign w:val="center"/>
          </w:tcPr>
          <w:p w14:paraId="674AD0C4">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0.00008</w:t>
            </w:r>
          </w:p>
        </w:tc>
      </w:tr>
      <w:tr w14:paraId="71598A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continue"/>
            <w:tcBorders>
              <w:tl2br w:val="nil"/>
              <w:tr2bl w:val="nil"/>
            </w:tcBorders>
            <w:noWrap w:val="0"/>
            <w:vAlign w:val="center"/>
          </w:tcPr>
          <w:p w14:paraId="7D60E9F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249" w:type="pct"/>
            <w:vMerge w:val="restart"/>
            <w:tcBorders>
              <w:tl2br w:val="nil"/>
              <w:tr2bl w:val="nil"/>
            </w:tcBorders>
            <w:noWrap w:val="0"/>
            <w:vAlign w:val="center"/>
          </w:tcPr>
          <w:p w14:paraId="6B8B71B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无组织</w:t>
            </w:r>
          </w:p>
        </w:tc>
        <w:tc>
          <w:tcPr>
            <w:tcW w:w="261" w:type="pct"/>
            <w:gridSpan w:val="2"/>
            <w:vMerge w:val="restart"/>
            <w:tcBorders>
              <w:tl2br w:val="nil"/>
              <w:tr2bl w:val="nil"/>
            </w:tcBorders>
            <w:noWrap w:val="0"/>
            <w:vAlign w:val="center"/>
          </w:tcPr>
          <w:p w14:paraId="07BFEF0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污水处理其它池体</w:t>
            </w:r>
          </w:p>
        </w:tc>
        <w:tc>
          <w:tcPr>
            <w:tcW w:w="388" w:type="pct"/>
            <w:tcBorders>
              <w:tl2br w:val="nil"/>
              <w:tr2bl w:val="nil"/>
            </w:tcBorders>
            <w:noWrap w:val="0"/>
            <w:vAlign w:val="center"/>
          </w:tcPr>
          <w:p w14:paraId="652CC31C">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硫化氢</w:t>
            </w:r>
          </w:p>
        </w:tc>
        <w:tc>
          <w:tcPr>
            <w:tcW w:w="310" w:type="pct"/>
            <w:tcBorders>
              <w:tl2br w:val="nil"/>
              <w:tr2bl w:val="nil"/>
            </w:tcBorders>
            <w:noWrap w:val="0"/>
            <w:vAlign w:val="center"/>
          </w:tcPr>
          <w:p w14:paraId="6694002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w:t>
            </w:r>
          </w:p>
        </w:tc>
        <w:tc>
          <w:tcPr>
            <w:tcW w:w="243" w:type="pct"/>
            <w:tcBorders>
              <w:tl2br w:val="nil"/>
              <w:tr2bl w:val="nil"/>
            </w:tcBorders>
            <w:noWrap w:val="0"/>
            <w:vAlign w:val="center"/>
          </w:tcPr>
          <w:p w14:paraId="50B3BD4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w:t>
            </w:r>
          </w:p>
        </w:tc>
        <w:tc>
          <w:tcPr>
            <w:tcW w:w="284" w:type="pct"/>
            <w:gridSpan w:val="2"/>
            <w:tcBorders>
              <w:tl2br w:val="nil"/>
              <w:tr2bl w:val="nil"/>
            </w:tcBorders>
            <w:noWrap w:val="0"/>
            <w:vAlign w:val="center"/>
          </w:tcPr>
          <w:p w14:paraId="6C222F2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w:t>
            </w:r>
          </w:p>
        </w:tc>
        <w:tc>
          <w:tcPr>
            <w:tcW w:w="201" w:type="pct"/>
            <w:tcBorders>
              <w:tl2br w:val="nil"/>
              <w:tr2bl w:val="nil"/>
            </w:tcBorders>
            <w:noWrap w:val="0"/>
            <w:vAlign w:val="center"/>
          </w:tcPr>
          <w:p w14:paraId="6A33BAF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w:t>
            </w:r>
          </w:p>
        </w:tc>
        <w:tc>
          <w:tcPr>
            <w:tcW w:w="317" w:type="pct"/>
            <w:tcBorders>
              <w:tl2br w:val="nil"/>
              <w:tr2bl w:val="nil"/>
            </w:tcBorders>
            <w:noWrap w:val="0"/>
            <w:vAlign w:val="center"/>
          </w:tcPr>
          <w:p w14:paraId="0018A47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0.0271</w:t>
            </w:r>
          </w:p>
        </w:tc>
        <w:tc>
          <w:tcPr>
            <w:tcW w:w="411" w:type="pct"/>
            <w:tcBorders>
              <w:tl2br w:val="nil"/>
              <w:tr2bl w:val="nil"/>
            </w:tcBorders>
            <w:noWrap w:val="0"/>
            <w:vAlign w:val="center"/>
          </w:tcPr>
          <w:p w14:paraId="5AB56CE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0.00309</w:t>
            </w:r>
          </w:p>
        </w:tc>
        <w:tc>
          <w:tcPr>
            <w:tcW w:w="523" w:type="pct"/>
            <w:vMerge w:val="restart"/>
            <w:tcBorders>
              <w:tl2br w:val="nil"/>
              <w:tr2bl w:val="nil"/>
            </w:tcBorders>
            <w:noWrap w:val="0"/>
            <w:vAlign w:val="center"/>
          </w:tcPr>
          <w:p w14:paraId="7EAE37F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绿化，喷撒除臭剂</w:t>
            </w:r>
          </w:p>
        </w:tc>
        <w:tc>
          <w:tcPr>
            <w:tcW w:w="237" w:type="pct"/>
            <w:tcBorders>
              <w:tl2br w:val="nil"/>
              <w:tr2bl w:val="nil"/>
            </w:tcBorders>
            <w:noWrap w:val="0"/>
            <w:vAlign w:val="center"/>
          </w:tcPr>
          <w:p w14:paraId="14F70D8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198" w:type="pct"/>
            <w:tcBorders>
              <w:tl2br w:val="nil"/>
              <w:tr2bl w:val="nil"/>
            </w:tcBorders>
            <w:noWrap w:val="0"/>
            <w:vAlign w:val="center"/>
          </w:tcPr>
          <w:p w14:paraId="11FDEDFA">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277" w:type="pct"/>
            <w:tcBorders>
              <w:tl2br w:val="nil"/>
              <w:tr2bl w:val="nil"/>
            </w:tcBorders>
            <w:noWrap w:val="0"/>
            <w:vAlign w:val="center"/>
          </w:tcPr>
          <w:p w14:paraId="73E54EC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306" w:type="pct"/>
            <w:tcBorders>
              <w:tl2br w:val="nil"/>
              <w:tr2bl w:val="nil"/>
            </w:tcBorders>
            <w:noWrap w:val="0"/>
            <w:vAlign w:val="center"/>
          </w:tcPr>
          <w:p w14:paraId="791BC9F6">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0.0271</w:t>
            </w:r>
          </w:p>
        </w:tc>
        <w:tc>
          <w:tcPr>
            <w:tcW w:w="551" w:type="pct"/>
            <w:tcBorders>
              <w:tl2br w:val="nil"/>
              <w:tr2bl w:val="nil"/>
            </w:tcBorders>
            <w:noWrap w:val="0"/>
            <w:vAlign w:val="center"/>
          </w:tcPr>
          <w:p w14:paraId="340879E8">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default" w:ascii="Times New Roman" w:hAnsi="Times New Roman" w:cs="Times New Roman"/>
                <w:highlight w:val="none"/>
                <w:u w:val="none" w:color="auto"/>
                <w:lang w:val="en-US" w:eastAsia="zh-CN"/>
              </w:rPr>
              <w:t>0.00309</w:t>
            </w:r>
          </w:p>
        </w:tc>
      </w:tr>
      <w:tr w14:paraId="16E64D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 w:type="pct"/>
            <w:vMerge w:val="continue"/>
            <w:tcBorders>
              <w:tl2br w:val="nil"/>
              <w:tr2bl w:val="nil"/>
            </w:tcBorders>
            <w:noWrap w:val="0"/>
            <w:vAlign w:val="center"/>
          </w:tcPr>
          <w:p w14:paraId="4D137D0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249" w:type="pct"/>
            <w:vMerge w:val="continue"/>
            <w:tcBorders>
              <w:tl2br w:val="nil"/>
              <w:tr2bl w:val="nil"/>
            </w:tcBorders>
            <w:noWrap w:val="0"/>
            <w:vAlign w:val="center"/>
          </w:tcPr>
          <w:p w14:paraId="1B2F9E5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261" w:type="pct"/>
            <w:gridSpan w:val="2"/>
            <w:vMerge w:val="continue"/>
            <w:tcBorders>
              <w:tl2br w:val="nil"/>
              <w:tr2bl w:val="nil"/>
            </w:tcBorders>
            <w:noWrap w:val="0"/>
            <w:vAlign w:val="center"/>
          </w:tcPr>
          <w:p w14:paraId="780DDCF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388" w:type="pct"/>
            <w:tcBorders>
              <w:tl2br w:val="nil"/>
              <w:tr2bl w:val="nil"/>
            </w:tcBorders>
            <w:noWrap w:val="0"/>
            <w:vAlign w:val="center"/>
          </w:tcPr>
          <w:p w14:paraId="3E325CD5">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氨</w:t>
            </w:r>
          </w:p>
        </w:tc>
        <w:tc>
          <w:tcPr>
            <w:tcW w:w="310" w:type="pct"/>
            <w:tcBorders>
              <w:tl2br w:val="nil"/>
              <w:tr2bl w:val="nil"/>
            </w:tcBorders>
            <w:shd w:val="clear" w:color="auto" w:fill="auto"/>
            <w:noWrap w:val="0"/>
            <w:vAlign w:val="center"/>
          </w:tcPr>
          <w:p w14:paraId="533108D3">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u w:val="none" w:color="auto"/>
                <w:lang w:val="en-US" w:eastAsia="zh-CN" w:bidi="ar-SA"/>
              </w:rPr>
            </w:pPr>
            <w:r>
              <w:rPr>
                <w:rFonts w:hint="default" w:ascii="Times New Roman" w:hAnsi="Times New Roman" w:cs="Times New Roman"/>
                <w:highlight w:val="none"/>
                <w:u w:val="none" w:color="auto"/>
                <w:lang w:val="en-US" w:eastAsia="zh-CN"/>
              </w:rPr>
              <w:t>/</w:t>
            </w:r>
          </w:p>
        </w:tc>
        <w:tc>
          <w:tcPr>
            <w:tcW w:w="243" w:type="pct"/>
            <w:tcBorders>
              <w:tl2br w:val="nil"/>
              <w:tr2bl w:val="nil"/>
            </w:tcBorders>
            <w:shd w:val="clear" w:color="auto" w:fill="auto"/>
            <w:noWrap w:val="0"/>
            <w:vAlign w:val="center"/>
          </w:tcPr>
          <w:p w14:paraId="521844E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u w:val="none" w:color="auto"/>
                <w:lang w:val="en-US" w:eastAsia="zh-CN" w:bidi="ar-SA"/>
              </w:rPr>
            </w:pPr>
            <w:r>
              <w:rPr>
                <w:rFonts w:hint="default" w:ascii="Times New Roman" w:hAnsi="Times New Roman" w:cs="Times New Roman"/>
                <w:highlight w:val="none"/>
                <w:u w:val="none" w:color="auto"/>
                <w:lang w:val="en-US" w:eastAsia="zh-CN"/>
              </w:rPr>
              <w:t>/</w:t>
            </w:r>
          </w:p>
        </w:tc>
        <w:tc>
          <w:tcPr>
            <w:tcW w:w="284" w:type="pct"/>
            <w:gridSpan w:val="2"/>
            <w:tcBorders>
              <w:tl2br w:val="nil"/>
              <w:tr2bl w:val="nil"/>
            </w:tcBorders>
            <w:shd w:val="clear" w:color="auto" w:fill="auto"/>
            <w:noWrap w:val="0"/>
            <w:vAlign w:val="center"/>
          </w:tcPr>
          <w:p w14:paraId="1B714CB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u w:val="none" w:color="auto"/>
                <w:lang w:val="en-US" w:eastAsia="zh-CN" w:bidi="ar-SA"/>
              </w:rPr>
            </w:pPr>
            <w:r>
              <w:rPr>
                <w:rFonts w:hint="default" w:ascii="Times New Roman" w:hAnsi="Times New Roman" w:cs="Times New Roman"/>
                <w:highlight w:val="none"/>
                <w:u w:val="none" w:color="auto"/>
                <w:lang w:val="en-US" w:eastAsia="zh-CN"/>
              </w:rPr>
              <w:t>/</w:t>
            </w:r>
          </w:p>
        </w:tc>
        <w:tc>
          <w:tcPr>
            <w:tcW w:w="201" w:type="pct"/>
            <w:tcBorders>
              <w:tl2br w:val="nil"/>
              <w:tr2bl w:val="nil"/>
            </w:tcBorders>
            <w:shd w:val="clear" w:color="auto" w:fill="auto"/>
            <w:noWrap w:val="0"/>
            <w:vAlign w:val="center"/>
          </w:tcPr>
          <w:p w14:paraId="34AD388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u w:val="none" w:color="auto"/>
                <w:lang w:val="en-US" w:eastAsia="zh-CN" w:bidi="ar-SA"/>
              </w:rPr>
            </w:pPr>
            <w:r>
              <w:rPr>
                <w:rFonts w:hint="default" w:ascii="Times New Roman" w:hAnsi="Times New Roman" w:cs="Times New Roman"/>
                <w:highlight w:val="none"/>
                <w:u w:val="none" w:color="auto"/>
                <w:lang w:val="en-US" w:eastAsia="zh-CN"/>
              </w:rPr>
              <w:t>/</w:t>
            </w:r>
          </w:p>
        </w:tc>
        <w:tc>
          <w:tcPr>
            <w:tcW w:w="317" w:type="pct"/>
            <w:tcBorders>
              <w:tl2br w:val="nil"/>
              <w:tr2bl w:val="nil"/>
            </w:tcBorders>
            <w:noWrap w:val="0"/>
            <w:vAlign w:val="center"/>
          </w:tcPr>
          <w:p w14:paraId="30F5FAD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0.00090</w:t>
            </w:r>
          </w:p>
        </w:tc>
        <w:tc>
          <w:tcPr>
            <w:tcW w:w="411" w:type="pct"/>
            <w:tcBorders>
              <w:tl2br w:val="nil"/>
              <w:tr2bl w:val="nil"/>
            </w:tcBorders>
            <w:noWrap w:val="0"/>
            <w:vAlign w:val="center"/>
          </w:tcPr>
          <w:p w14:paraId="6895CF8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0.00010</w:t>
            </w:r>
          </w:p>
        </w:tc>
        <w:tc>
          <w:tcPr>
            <w:tcW w:w="523" w:type="pct"/>
            <w:vMerge w:val="continue"/>
            <w:tcBorders>
              <w:tl2br w:val="nil"/>
              <w:tr2bl w:val="nil"/>
            </w:tcBorders>
            <w:noWrap w:val="0"/>
            <w:vAlign w:val="center"/>
          </w:tcPr>
          <w:p w14:paraId="7D7B400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237" w:type="pct"/>
            <w:tcBorders>
              <w:tl2br w:val="nil"/>
              <w:tr2bl w:val="nil"/>
            </w:tcBorders>
            <w:shd w:val="clear" w:color="auto" w:fill="auto"/>
            <w:noWrap w:val="0"/>
            <w:vAlign w:val="center"/>
          </w:tcPr>
          <w:p w14:paraId="1151D0EC">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198" w:type="pct"/>
            <w:tcBorders>
              <w:tl2br w:val="nil"/>
              <w:tr2bl w:val="nil"/>
            </w:tcBorders>
            <w:shd w:val="clear" w:color="auto" w:fill="auto"/>
            <w:noWrap w:val="0"/>
            <w:vAlign w:val="center"/>
          </w:tcPr>
          <w:p w14:paraId="0926C7D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277" w:type="pct"/>
            <w:tcBorders>
              <w:tl2br w:val="nil"/>
              <w:tr2bl w:val="nil"/>
            </w:tcBorders>
            <w:shd w:val="clear" w:color="auto" w:fill="auto"/>
            <w:noWrap w:val="0"/>
            <w:vAlign w:val="center"/>
          </w:tcPr>
          <w:p w14:paraId="628D8AA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c>
          <w:tcPr>
            <w:tcW w:w="306" w:type="pct"/>
            <w:tcBorders>
              <w:tl2br w:val="nil"/>
              <w:tr2bl w:val="nil"/>
            </w:tcBorders>
            <w:noWrap w:val="0"/>
            <w:vAlign w:val="center"/>
          </w:tcPr>
          <w:p w14:paraId="4F806DF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0.00090</w:t>
            </w:r>
          </w:p>
        </w:tc>
        <w:tc>
          <w:tcPr>
            <w:tcW w:w="551" w:type="pct"/>
            <w:tcBorders>
              <w:tl2br w:val="nil"/>
              <w:tr2bl w:val="nil"/>
            </w:tcBorders>
            <w:noWrap w:val="0"/>
            <w:vAlign w:val="center"/>
          </w:tcPr>
          <w:p w14:paraId="11E71333">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0.00010</w:t>
            </w:r>
          </w:p>
        </w:tc>
      </w:tr>
      <w:tr w14:paraId="71B7BE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noWrap w:val="0"/>
            <w:vAlign w:val="center"/>
          </w:tcPr>
          <w:p w14:paraId="7E85B60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项目</w:t>
            </w:r>
          </w:p>
        </w:tc>
        <w:tc>
          <w:tcPr>
            <w:tcW w:w="898" w:type="pct"/>
            <w:gridSpan w:val="4"/>
            <w:noWrap w:val="0"/>
            <w:vAlign w:val="center"/>
          </w:tcPr>
          <w:p w14:paraId="3452C77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污染物名称</w:t>
            </w:r>
          </w:p>
        </w:tc>
        <w:tc>
          <w:tcPr>
            <w:tcW w:w="557" w:type="pct"/>
            <w:gridSpan w:val="3"/>
            <w:noWrap w:val="0"/>
            <w:vAlign w:val="center"/>
          </w:tcPr>
          <w:p w14:paraId="72AF340B">
            <w:pPr>
              <w:pStyle w:val="42"/>
              <w:keepNext w:val="0"/>
              <w:keepLines w:val="0"/>
              <w:suppressLineNumbers w:val="0"/>
              <w:bidi w:val="0"/>
              <w:spacing w:before="0" w:beforeAutospacing="0" w:after="0" w:afterAutospacing="0"/>
              <w:rPr>
                <w:rFonts w:hint="default"/>
                <w:highlight w:val="none"/>
              </w:rPr>
            </w:pPr>
            <w:r>
              <w:rPr>
                <w:rFonts w:hint="default"/>
                <w:highlight w:val="none"/>
              </w:rPr>
              <w:t>产生浓度</w:t>
            </w:r>
            <w:r>
              <w:rPr>
                <w:rFonts w:hint="default"/>
                <w:highlight w:val="none"/>
                <w:lang w:eastAsia="zh-CN"/>
              </w:rPr>
              <w:t>（</w:t>
            </w:r>
            <w:r>
              <w:rPr>
                <w:rFonts w:hint="default"/>
                <w:highlight w:val="none"/>
              </w:rPr>
              <w:t>mg/</w:t>
            </w:r>
            <w:r>
              <w:rPr>
                <w:rFonts w:hint="eastAsia"/>
                <w:highlight w:val="none"/>
                <w:lang w:eastAsia="zh-CN"/>
              </w:rPr>
              <w:t>m</w:t>
            </w:r>
            <w:r>
              <w:rPr>
                <w:rFonts w:hint="eastAsia"/>
                <w:highlight w:val="none"/>
                <w:vertAlign w:val="superscript"/>
                <w:lang w:eastAsia="zh-CN"/>
              </w:rPr>
              <w:t>3</w:t>
            </w:r>
            <w:r>
              <w:rPr>
                <w:rFonts w:hint="default"/>
                <w:highlight w:val="none"/>
                <w:lang w:eastAsia="zh-CN"/>
              </w:rPr>
              <w:t>）</w:t>
            </w:r>
          </w:p>
        </w:tc>
        <w:tc>
          <w:tcPr>
            <w:tcW w:w="482" w:type="pct"/>
            <w:gridSpan w:val="2"/>
            <w:noWrap w:val="0"/>
            <w:vAlign w:val="center"/>
          </w:tcPr>
          <w:p w14:paraId="583AA534">
            <w:pPr>
              <w:pStyle w:val="42"/>
              <w:keepNext w:val="0"/>
              <w:keepLines w:val="0"/>
              <w:suppressLineNumbers w:val="0"/>
              <w:bidi w:val="0"/>
              <w:spacing w:before="0" w:beforeAutospacing="0" w:after="0" w:afterAutospacing="0"/>
              <w:rPr>
                <w:rFonts w:hint="default"/>
                <w:highlight w:val="none"/>
              </w:rPr>
            </w:pPr>
            <w:r>
              <w:rPr>
                <w:rFonts w:hint="default"/>
                <w:highlight w:val="none"/>
              </w:rPr>
              <w:t>产生量（t/a</w:t>
            </w:r>
            <w:r>
              <w:rPr>
                <w:rFonts w:hint="default"/>
                <w:highlight w:val="none"/>
                <w:lang w:eastAsia="zh-CN"/>
              </w:rPr>
              <w:t>）</w:t>
            </w:r>
          </w:p>
        </w:tc>
        <w:tc>
          <w:tcPr>
            <w:tcW w:w="728" w:type="pct"/>
            <w:gridSpan w:val="2"/>
            <w:noWrap w:val="0"/>
            <w:vAlign w:val="center"/>
          </w:tcPr>
          <w:p w14:paraId="244D9D09">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处理措施</w:t>
            </w:r>
          </w:p>
        </w:tc>
        <w:tc>
          <w:tcPr>
            <w:tcW w:w="761" w:type="pct"/>
            <w:gridSpan w:val="2"/>
            <w:shd w:val="clear" w:color="auto" w:fill="auto"/>
            <w:noWrap w:val="0"/>
            <w:vAlign w:val="center"/>
          </w:tcPr>
          <w:p w14:paraId="173E662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处理后浓度（mg/</w:t>
            </w:r>
            <w:r>
              <w:rPr>
                <w:rFonts w:hint="eastAsia"/>
                <w:highlight w:val="none"/>
                <w:lang w:eastAsia="zh-CN"/>
              </w:rPr>
              <w:t>m</w:t>
            </w:r>
            <w:r>
              <w:rPr>
                <w:rFonts w:hint="eastAsia"/>
                <w:highlight w:val="none"/>
                <w:vertAlign w:val="superscript"/>
                <w:lang w:eastAsia="zh-CN"/>
              </w:rPr>
              <w:t>3</w:t>
            </w:r>
            <w:r>
              <w:rPr>
                <w:rFonts w:hint="default"/>
                <w:highlight w:val="none"/>
                <w:lang w:eastAsia="zh-CN"/>
              </w:rPr>
              <w:t>）</w:t>
            </w:r>
          </w:p>
        </w:tc>
        <w:tc>
          <w:tcPr>
            <w:tcW w:w="476" w:type="pct"/>
            <w:gridSpan w:val="2"/>
            <w:shd w:val="clear" w:color="auto" w:fill="auto"/>
            <w:noWrap w:val="0"/>
            <w:vAlign w:val="center"/>
          </w:tcPr>
          <w:p w14:paraId="0B818D3D">
            <w:pPr>
              <w:pStyle w:val="42"/>
              <w:keepNext w:val="0"/>
              <w:keepLines w:val="0"/>
              <w:suppressLineNumbers w:val="0"/>
              <w:bidi w:val="0"/>
              <w:spacing w:before="0" w:beforeAutospacing="0" w:after="0" w:afterAutospacing="0"/>
              <w:rPr>
                <w:rFonts w:hint="default"/>
                <w:highlight w:val="none"/>
              </w:rPr>
            </w:pPr>
            <w:r>
              <w:rPr>
                <w:rFonts w:hint="default"/>
                <w:highlight w:val="none"/>
              </w:rPr>
              <w:t>排放量</w:t>
            </w:r>
          </w:p>
          <w:p w14:paraId="45B43BC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（t/a</w:t>
            </w:r>
            <w:r>
              <w:rPr>
                <w:rFonts w:hint="default"/>
                <w:highlight w:val="none"/>
                <w:lang w:eastAsia="zh-CN"/>
              </w:rPr>
              <w:t>）</w:t>
            </w:r>
          </w:p>
        </w:tc>
        <w:tc>
          <w:tcPr>
            <w:tcW w:w="858" w:type="pct"/>
            <w:gridSpan w:val="2"/>
            <w:shd w:val="clear" w:color="auto" w:fill="auto"/>
            <w:noWrap w:val="0"/>
            <w:vAlign w:val="center"/>
          </w:tcPr>
          <w:p w14:paraId="6682B48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eastAsia="zh-CN"/>
              </w:rPr>
              <w:t>排放去向</w:t>
            </w:r>
          </w:p>
        </w:tc>
      </w:tr>
      <w:tr w14:paraId="4AA62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restart"/>
            <w:shd w:val="clear" w:color="auto" w:fill="auto"/>
            <w:noWrap w:val="0"/>
            <w:vAlign w:val="center"/>
          </w:tcPr>
          <w:p w14:paraId="1B4DEB3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废水</w:t>
            </w:r>
          </w:p>
        </w:tc>
        <w:tc>
          <w:tcPr>
            <w:tcW w:w="348" w:type="pct"/>
            <w:gridSpan w:val="2"/>
            <w:vMerge w:val="restart"/>
            <w:shd w:val="clear" w:color="auto" w:fill="auto"/>
            <w:noWrap w:val="0"/>
            <w:vAlign w:val="center"/>
          </w:tcPr>
          <w:p w14:paraId="53F7574B">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u w:val="none" w:color="auto"/>
                <w:lang w:val="en-US" w:eastAsia="zh-CN"/>
              </w:rPr>
            </w:pPr>
            <w:r>
              <w:rPr>
                <w:rFonts w:hint="eastAsia" w:cs="Times New Roman"/>
                <w:highlight w:val="none"/>
                <w:u w:val="none" w:color="auto"/>
                <w:lang w:val="en-US" w:eastAsia="zh-CN"/>
              </w:rPr>
              <w:t>综合废水</w:t>
            </w:r>
            <w:r>
              <w:rPr>
                <w:rFonts w:hint="eastAsia" w:cs="Times New Roman"/>
                <w:highlight w:val="none"/>
                <w:lang w:val="en-US" w:eastAsia="zh-CN"/>
              </w:rPr>
              <w:t>438000</w:t>
            </w:r>
            <w:r>
              <w:rPr>
                <w:rFonts w:hint="default" w:ascii="Times New Roman" w:hAnsi="Times New Roman" w:cs="Times New Roman"/>
                <w:highlight w:val="none"/>
              </w:rPr>
              <w:t>m³/a</w:t>
            </w:r>
          </w:p>
        </w:tc>
        <w:tc>
          <w:tcPr>
            <w:tcW w:w="550" w:type="pct"/>
            <w:gridSpan w:val="2"/>
            <w:shd w:val="clear" w:color="auto" w:fill="auto"/>
            <w:noWrap w:val="0"/>
            <w:vAlign w:val="center"/>
          </w:tcPr>
          <w:p w14:paraId="05BE5AF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COD</w:t>
            </w:r>
          </w:p>
        </w:tc>
        <w:tc>
          <w:tcPr>
            <w:tcW w:w="557" w:type="pct"/>
            <w:gridSpan w:val="3"/>
            <w:shd w:val="clear" w:color="auto" w:fill="auto"/>
            <w:noWrap w:val="0"/>
            <w:vAlign w:val="center"/>
          </w:tcPr>
          <w:p w14:paraId="623847E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6000</w:t>
            </w:r>
          </w:p>
        </w:tc>
        <w:tc>
          <w:tcPr>
            <w:tcW w:w="482" w:type="pct"/>
            <w:gridSpan w:val="2"/>
            <w:shd w:val="clear" w:color="auto" w:fill="auto"/>
            <w:noWrap w:val="0"/>
            <w:vAlign w:val="center"/>
          </w:tcPr>
          <w:p w14:paraId="2466792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highlight w:val="none"/>
                <w:lang w:val="en-US" w:eastAsia="zh-CN"/>
              </w:rPr>
              <w:t>2628</w:t>
            </w:r>
          </w:p>
        </w:tc>
        <w:tc>
          <w:tcPr>
            <w:tcW w:w="728" w:type="pct"/>
            <w:gridSpan w:val="2"/>
            <w:vMerge w:val="restart"/>
            <w:shd w:val="clear" w:color="auto" w:fill="auto"/>
            <w:noWrap w:val="0"/>
            <w:vAlign w:val="center"/>
          </w:tcPr>
          <w:p w14:paraId="68F10AC9">
            <w:pPr>
              <w:pStyle w:val="46"/>
              <w:keepNext w:val="0"/>
              <w:keepLines w:val="0"/>
              <w:widowControl/>
              <w:suppressLineNumbers w:val="0"/>
              <w:bidi w:val="0"/>
              <w:spacing w:beforeAutospacing="0" w:after="0" w:afterAutospacing="0"/>
              <w:ind w:left="0" w:right="0"/>
              <w:rPr>
                <w:rFonts w:hint="default"/>
                <w:highlight w:val="none"/>
                <w:lang w:val="en-US" w:eastAsia="zh-CN"/>
              </w:rPr>
            </w:pPr>
            <w:r>
              <w:rPr>
                <w:rFonts w:hint="eastAsia" w:ascii="Times New Roman" w:hAnsi="Times New Roman" w:cs="Times New Roman"/>
                <w:highlight w:val="none"/>
                <w:lang w:val="en-US" w:eastAsia="zh-CN"/>
              </w:rPr>
              <w:t>采用“集水池+微滤机+隔油预沉池+调节池/应急池+厌氧流化床+好氧池+缺氧池+消化池+好氧流化床+去磷池+清水池”处理工艺</w:t>
            </w:r>
          </w:p>
        </w:tc>
        <w:tc>
          <w:tcPr>
            <w:tcW w:w="761" w:type="pct"/>
            <w:gridSpan w:val="2"/>
            <w:shd w:val="clear" w:color="auto" w:fill="auto"/>
            <w:noWrap w:val="0"/>
            <w:vAlign w:val="center"/>
          </w:tcPr>
          <w:p w14:paraId="2F6DBAC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eastAsia="zh-CN"/>
              </w:rPr>
            </w:pPr>
            <w:r>
              <w:rPr>
                <w:rFonts w:hint="default"/>
                <w:highlight w:val="none"/>
                <w:lang w:val="en-US" w:eastAsia="zh-CN"/>
              </w:rPr>
              <w:t>500</w:t>
            </w:r>
          </w:p>
        </w:tc>
        <w:tc>
          <w:tcPr>
            <w:tcW w:w="476" w:type="pct"/>
            <w:gridSpan w:val="2"/>
            <w:shd w:val="clear" w:color="auto" w:fill="auto"/>
            <w:noWrap w:val="0"/>
            <w:vAlign w:val="center"/>
          </w:tcPr>
          <w:p w14:paraId="60B9189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eastAsia="zh-CN"/>
              </w:rPr>
            </w:pPr>
            <w:r>
              <w:rPr>
                <w:rFonts w:hint="default"/>
                <w:highlight w:val="none"/>
                <w:lang w:val="en-US" w:eastAsia="zh-CN"/>
              </w:rPr>
              <w:t>219</w:t>
            </w:r>
          </w:p>
        </w:tc>
        <w:tc>
          <w:tcPr>
            <w:tcW w:w="858" w:type="pct"/>
            <w:gridSpan w:val="2"/>
            <w:vMerge w:val="restart"/>
            <w:shd w:val="clear" w:color="auto" w:fill="auto"/>
            <w:noWrap w:val="0"/>
            <w:vAlign w:val="center"/>
          </w:tcPr>
          <w:p w14:paraId="757FD11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ascii="Times New Roman" w:hAnsi="Times New Roman" w:cs="Times New Roman"/>
                <w:highlight w:val="none"/>
                <w:lang w:val="en-US" w:eastAsia="zh-CN"/>
              </w:rPr>
              <w:t>处理达标后尾水进入湘阴县第二污水处理厂集中处理。由湘阴县第二污水处理厂集中处理达《城镇污水处理厂污染物排放标准》（GB18918-2002）一级A标准后排入</w:t>
            </w:r>
            <w:r>
              <w:rPr>
                <w:rFonts w:hint="eastAsia" w:cs="Times New Roman"/>
                <w:highlight w:val="none"/>
                <w:lang w:val="en-US" w:eastAsia="zh-CN"/>
              </w:rPr>
              <w:t>湘江</w:t>
            </w:r>
          </w:p>
        </w:tc>
      </w:tr>
      <w:tr w14:paraId="0F3B46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595042E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48" w:type="pct"/>
            <w:gridSpan w:val="2"/>
            <w:vMerge w:val="continue"/>
            <w:shd w:val="clear" w:color="auto" w:fill="auto"/>
            <w:noWrap w:val="0"/>
            <w:vAlign w:val="center"/>
          </w:tcPr>
          <w:p w14:paraId="0BB66CB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p>
        </w:tc>
        <w:tc>
          <w:tcPr>
            <w:tcW w:w="550" w:type="pct"/>
            <w:gridSpan w:val="2"/>
            <w:shd w:val="clear" w:color="auto" w:fill="auto"/>
            <w:noWrap w:val="0"/>
            <w:vAlign w:val="center"/>
          </w:tcPr>
          <w:p w14:paraId="22CE4CA3">
            <w:pPr>
              <w:pStyle w:val="42"/>
              <w:keepNext w:val="0"/>
              <w:keepLines w:val="0"/>
              <w:suppressLineNumbers w:val="0"/>
              <w:bidi w:val="0"/>
              <w:spacing w:before="0" w:beforeAutospacing="0" w:after="0" w:afterAutospacing="0"/>
              <w:rPr>
                <w:rFonts w:hint="eastAsia" w:eastAsia="宋体"/>
                <w:highlight w:val="none"/>
                <w:lang w:val="en-US" w:eastAsia="zh-CN"/>
              </w:rPr>
            </w:pPr>
            <w:r>
              <w:rPr>
                <w:rFonts w:hint="eastAsia"/>
                <w:highlight w:val="none"/>
                <w:lang w:eastAsia="zh-CN"/>
              </w:rPr>
              <w:t>BOD</w:t>
            </w:r>
            <w:r>
              <w:rPr>
                <w:rFonts w:hint="eastAsia"/>
                <w:highlight w:val="none"/>
                <w:vertAlign w:val="subscript"/>
                <w:lang w:eastAsia="zh-CN"/>
              </w:rPr>
              <w:t>5</w:t>
            </w:r>
          </w:p>
        </w:tc>
        <w:tc>
          <w:tcPr>
            <w:tcW w:w="557" w:type="pct"/>
            <w:gridSpan w:val="3"/>
            <w:shd w:val="clear" w:color="auto" w:fill="auto"/>
            <w:noWrap w:val="0"/>
            <w:vAlign w:val="center"/>
          </w:tcPr>
          <w:p w14:paraId="66F489F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2500</w:t>
            </w:r>
          </w:p>
        </w:tc>
        <w:tc>
          <w:tcPr>
            <w:tcW w:w="482" w:type="pct"/>
            <w:gridSpan w:val="2"/>
            <w:shd w:val="clear" w:color="auto" w:fill="auto"/>
            <w:noWrap w:val="0"/>
            <w:vAlign w:val="center"/>
          </w:tcPr>
          <w:p w14:paraId="14397F6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highlight w:val="none"/>
                <w:lang w:val="en-US" w:eastAsia="zh-CN"/>
              </w:rPr>
              <w:t>1095</w:t>
            </w:r>
          </w:p>
        </w:tc>
        <w:tc>
          <w:tcPr>
            <w:tcW w:w="728" w:type="pct"/>
            <w:gridSpan w:val="2"/>
            <w:vMerge w:val="continue"/>
            <w:shd w:val="clear" w:color="auto" w:fill="auto"/>
            <w:noWrap w:val="0"/>
            <w:vAlign w:val="center"/>
          </w:tcPr>
          <w:p w14:paraId="4CA1A98E">
            <w:pPr>
              <w:pStyle w:val="46"/>
              <w:keepNext w:val="0"/>
              <w:keepLines w:val="0"/>
              <w:widowControl/>
              <w:suppressLineNumbers w:val="0"/>
              <w:bidi w:val="0"/>
              <w:spacing w:beforeAutospacing="0" w:after="0" w:afterAutospacing="0"/>
              <w:ind w:left="0" w:right="0"/>
              <w:rPr>
                <w:rFonts w:hint="default"/>
                <w:highlight w:val="none"/>
                <w:lang w:val="en-US" w:eastAsia="zh-CN"/>
              </w:rPr>
            </w:pPr>
          </w:p>
        </w:tc>
        <w:tc>
          <w:tcPr>
            <w:tcW w:w="761" w:type="pct"/>
            <w:gridSpan w:val="2"/>
            <w:shd w:val="clear" w:color="auto" w:fill="auto"/>
            <w:noWrap w:val="0"/>
            <w:vAlign w:val="center"/>
          </w:tcPr>
          <w:p w14:paraId="1871FDD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300</w:t>
            </w:r>
          </w:p>
        </w:tc>
        <w:tc>
          <w:tcPr>
            <w:tcW w:w="476" w:type="pct"/>
            <w:gridSpan w:val="2"/>
            <w:shd w:val="clear" w:color="auto" w:fill="auto"/>
            <w:noWrap w:val="0"/>
            <w:vAlign w:val="center"/>
          </w:tcPr>
          <w:p w14:paraId="3142972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131.4</w:t>
            </w:r>
          </w:p>
        </w:tc>
        <w:tc>
          <w:tcPr>
            <w:tcW w:w="858" w:type="pct"/>
            <w:gridSpan w:val="2"/>
            <w:vMerge w:val="continue"/>
            <w:shd w:val="clear" w:color="auto" w:fill="auto"/>
            <w:noWrap w:val="0"/>
            <w:vAlign w:val="center"/>
          </w:tcPr>
          <w:p w14:paraId="3AEE2DA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r>
      <w:tr w14:paraId="76236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72D1A7D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48" w:type="pct"/>
            <w:gridSpan w:val="2"/>
            <w:vMerge w:val="continue"/>
            <w:shd w:val="clear" w:color="auto" w:fill="auto"/>
            <w:noWrap w:val="0"/>
            <w:vAlign w:val="center"/>
          </w:tcPr>
          <w:p w14:paraId="7FB8F6D5">
            <w:pPr>
              <w:pStyle w:val="46"/>
              <w:keepNext w:val="0"/>
              <w:keepLines w:val="0"/>
              <w:widowControl/>
              <w:suppressLineNumbers w:val="0"/>
              <w:bidi w:val="0"/>
              <w:spacing w:beforeAutospacing="0" w:after="0" w:afterAutospacing="0"/>
              <w:ind w:left="0" w:right="0"/>
              <w:rPr>
                <w:rFonts w:hint="eastAsia" w:cs="Times New Roman"/>
                <w:highlight w:val="none"/>
                <w:u w:val="none" w:color="auto"/>
                <w:lang w:val="en-US" w:eastAsia="zh-CN"/>
              </w:rPr>
            </w:pPr>
          </w:p>
        </w:tc>
        <w:tc>
          <w:tcPr>
            <w:tcW w:w="550" w:type="pct"/>
            <w:gridSpan w:val="2"/>
            <w:shd w:val="clear" w:color="auto" w:fill="auto"/>
            <w:noWrap w:val="0"/>
            <w:vAlign w:val="center"/>
          </w:tcPr>
          <w:p w14:paraId="60973260">
            <w:pPr>
              <w:pStyle w:val="42"/>
              <w:keepNext w:val="0"/>
              <w:keepLines w:val="0"/>
              <w:suppressLineNumbers w:val="0"/>
              <w:bidi w:val="0"/>
              <w:spacing w:before="0" w:beforeAutospacing="0" w:after="0" w:afterAutospacing="0"/>
              <w:rPr>
                <w:rFonts w:hint="eastAsia"/>
                <w:highlight w:val="none"/>
                <w:lang w:val="en-US" w:eastAsia="zh-CN"/>
              </w:rPr>
            </w:pPr>
            <w:r>
              <w:rPr>
                <w:rFonts w:hint="default"/>
                <w:highlight w:val="none"/>
              </w:rPr>
              <w:t>SS</w:t>
            </w:r>
          </w:p>
        </w:tc>
        <w:tc>
          <w:tcPr>
            <w:tcW w:w="557" w:type="pct"/>
            <w:gridSpan w:val="3"/>
            <w:shd w:val="clear" w:color="auto" w:fill="auto"/>
            <w:noWrap w:val="0"/>
            <w:vAlign w:val="center"/>
          </w:tcPr>
          <w:p w14:paraId="34C2E69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500</w:t>
            </w:r>
          </w:p>
        </w:tc>
        <w:tc>
          <w:tcPr>
            <w:tcW w:w="482" w:type="pct"/>
            <w:gridSpan w:val="2"/>
            <w:shd w:val="clear" w:color="auto" w:fill="auto"/>
            <w:noWrap w:val="0"/>
            <w:vAlign w:val="center"/>
          </w:tcPr>
          <w:p w14:paraId="456665F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highlight w:val="none"/>
                <w:lang w:val="en-US" w:eastAsia="zh-CN"/>
              </w:rPr>
              <w:t>219</w:t>
            </w:r>
          </w:p>
        </w:tc>
        <w:tc>
          <w:tcPr>
            <w:tcW w:w="728" w:type="pct"/>
            <w:gridSpan w:val="2"/>
            <w:vMerge w:val="continue"/>
            <w:shd w:val="clear" w:color="auto" w:fill="auto"/>
            <w:noWrap w:val="0"/>
            <w:vAlign w:val="center"/>
          </w:tcPr>
          <w:p w14:paraId="293DA540">
            <w:pPr>
              <w:pStyle w:val="46"/>
              <w:keepNext w:val="0"/>
              <w:keepLines w:val="0"/>
              <w:widowControl/>
              <w:suppressLineNumbers w:val="0"/>
              <w:bidi w:val="0"/>
              <w:spacing w:beforeAutospacing="0" w:after="0" w:afterAutospacing="0"/>
              <w:ind w:left="0" w:right="0"/>
              <w:rPr>
                <w:rFonts w:hint="default"/>
                <w:highlight w:val="none"/>
                <w:lang w:val="en-US" w:eastAsia="zh-CN"/>
              </w:rPr>
            </w:pPr>
          </w:p>
        </w:tc>
        <w:tc>
          <w:tcPr>
            <w:tcW w:w="761" w:type="pct"/>
            <w:gridSpan w:val="2"/>
            <w:shd w:val="clear" w:color="auto" w:fill="auto"/>
            <w:noWrap w:val="0"/>
            <w:vAlign w:val="center"/>
          </w:tcPr>
          <w:p w14:paraId="7D3FCDE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400</w:t>
            </w:r>
          </w:p>
        </w:tc>
        <w:tc>
          <w:tcPr>
            <w:tcW w:w="476" w:type="pct"/>
            <w:gridSpan w:val="2"/>
            <w:shd w:val="clear" w:color="auto" w:fill="auto"/>
            <w:noWrap w:val="0"/>
            <w:vAlign w:val="center"/>
          </w:tcPr>
          <w:p w14:paraId="324B311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175.2</w:t>
            </w:r>
          </w:p>
        </w:tc>
        <w:tc>
          <w:tcPr>
            <w:tcW w:w="858" w:type="pct"/>
            <w:gridSpan w:val="2"/>
            <w:vMerge w:val="continue"/>
            <w:shd w:val="clear" w:color="auto" w:fill="auto"/>
            <w:noWrap w:val="0"/>
            <w:vAlign w:val="center"/>
          </w:tcPr>
          <w:p w14:paraId="2B3F4B6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r>
      <w:tr w14:paraId="0DAAC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54D34E5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48" w:type="pct"/>
            <w:gridSpan w:val="2"/>
            <w:vMerge w:val="continue"/>
            <w:shd w:val="clear" w:color="auto" w:fill="auto"/>
            <w:noWrap w:val="0"/>
            <w:vAlign w:val="center"/>
          </w:tcPr>
          <w:p w14:paraId="618954D9">
            <w:pPr>
              <w:pStyle w:val="46"/>
              <w:keepNext w:val="0"/>
              <w:keepLines w:val="0"/>
              <w:widowControl/>
              <w:suppressLineNumbers w:val="0"/>
              <w:bidi w:val="0"/>
              <w:spacing w:beforeAutospacing="0" w:after="0" w:afterAutospacing="0"/>
              <w:ind w:left="0" w:right="0"/>
              <w:rPr>
                <w:rFonts w:hint="eastAsia" w:cs="Times New Roman"/>
                <w:highlight w:val="none"/>
                <w:u w:val="none" w:color="auto"/>
                <w:lang w:val="en-US" w:eastAsia="zh-CN"/>
              </w:rPr>
            </w:pPr>
          </w:p>
        </w:tc>
        <w:tc>
          <w:tcPr>
            <w:tcW w:w="550" w:type="pct"/>
            <w:gridSpan w:val="2"/>
            <w:shd w:val="clear" w:color="auto" w:fill="auto"/>
            <w:noWrap w:val="0"/>
            <w:vAlign w:val="center"/>
          </w:tcPr>
          <w:p w14:paraId="0549BF5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eastAsia="zh-CN"/>
              </w:rPr>
              <w:t>NH</w:t>
            </w:r>
            <w:r>
              <w:rPr>
                <w:rFonts w:hint="eastAsia"/>
                <w:highlight w:val="none"/>
                <w:vertAlign w:val="subscript"/>
                <w:lang w:eastAsia="zh-CN"/>
              </w:rPr>
              <w:t>3</w:t>
            </w:r>
            <w:r>
              <w:rPr>
                <w:rFonts w:hint="default"/>
                <w:highlight w:val="none"/>
              </w:rPr>
              <w:t>-N</w:t>
            </w:r>
          </w:p>
        </w:tc>
        <w:tc>
          <w:tcPr>
            <w:tcW w:w="557" w:type="pct"/>
            <w:gridSpan w:val="3"/>
            <w:shd w:val="clear" w:color="auto" w:fill="auto"/>
            <w:noWrap w:val="0"/>
            <w:vAlign w:val="center"/>
          </w:tcPr>
          <w:p w14:paraId="2DFD22E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100</w:t>
            </w:r>
          </w:p>
        </w:tc>
        <w:tc>
          <w:tcPr>
            <w:tcW w:w="482" w:type="pct"/>
            <w:gridSpan w:val="2"/>
            <w:shd w:val="clear" w:color="auto" w:fill="auto"/>
            <w:noWrap w:val="0"/>
            <w:vAlign w:val="center"/>
          </w:tcPr>
          <w:p w14:paraId="57FDEC1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highlight w:val="none"/>
                <w:lang w:val="en-US" w:eastAsia="zh-CN"/>
              </w:rPr>
              <w:t>43.8</w:t>
            </w:r>
          </w:p>
        </w:tc>
        <w:tc>
          <w:tcPr>
            <w:tcW w:w="728" w:type="pct"/>
            <w:gridSpan w:val="2"/>
            <w:vMerge w:val="continue"/>
            <w:shd w:val="clear" w:color="auto" w:fill="auto"/>
            <w:noWrap w:val="0"/>
            <w:vAlign w:val="center"/>
          </w:tcPr>
          <w:p w14:paraId="0029CFCB">
            <w:pPr>
              <w:pStyle w:val="46"/>
              <w:keepNext w:val="0"/>
              <w:keepLines w:val="0"/>
              <w:widowControl/>
              <w:suppressLineNumbers w:val="0"/>
              <w:bidi w:val="0"/>
              <w:spacing w:beforeAutospacing="0" w:after="0" w:afterAutospacing="0"/>
              <w:ind w:left="0" w:right="0"/>
              <w:rPr>
                <w:rFonts w:hint="default"/>
                <w:highlight w:val="none"/>
                <w:lang w:val="en-US" w:eastAsia="zh-CN"/>
              </w:rPr>
            </w:pPr>
          </w:p>
        </w:tc>
        <w:tc>
          <w:tcPr>
            <w:tcW w:w="761" w:type="pct"/>
            <w:gridSpan w:val="2"/>
            <w:shd w:val="clear" w:color="auto" w:fill="auto"/>
            <w:noWrap w:val="0"/>
            <w:vAlign w:val="center"/>
          </w:tcPr>
          <w:p w14:paraId="34B4622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45</w:t>
            </w:r>
          </w:p>
        </w:tc>
        <w:tc>
          <w:tcPr>
            <w:tcW w:w="476" w:type="pct"/>
            <w:gridSpan w:val="2"/>
            <w:shd w:val="clear" w:color="auto" w:fill="auto"/>
            <w:noWrap w:val="0"/>
            <w:vAlign w:val="center"/>
          </w:tcPr>
          <w:p w14:paraId="1D79305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19.71</w:t>
            </w:r>
          </w:p>
        </w:tc>
        <w:tc>
          <w:tcPr>
            <w:tcW w:w="858" w:type="pct"/>
            <w:gridSpan w:val="2"/>
            <w:vMerge w:val="continue"/>
            <w:shd w:val="clear" w:color="auto" w:fill="auto"/>
            <w:noWrap w:val="0"/>
            <w:vAlign w:val="center"/>
          </w:tcPr>
          <w:p w14:paraId="145EE2E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r>
      <w:tr w14:paraId="366DD5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465EB06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c>
          <w:tcPr>
            <w:tcW w:w="348" w:type="pct"/>
            <w:gridSpan w:val="2"/>
            <w:vMerge w:val="continue"/>
            <w:shd w:val="clear" w:color="auto" w:fill="auto"/>
            <w:noWrap w:val="0"/>
            <w:vAlign w:val="center"/>
          </w:tcPr>
          <w:p w14:paraId="2D0E0CA2">
            <w:pPr>
              <w:pStyle w:val="46"/>
              <w:keepNext w:val="0"/>
              <w:keepLines w:val="0"/>
              <w:widowControl/>
              <w:suppressLineNumbers w:val="0"/>
              <w:bidi w:val="0"/>
              <w:spacing w:beforeAutospacing="0" w:after="0" w:afterAutospacing="0"/>
              <w:ind w:left="0" w:right="0"/>
              <w:rPr>
                <w:rFonts w:hint="default" w:cs="Times New Roman"/>
                <w:highlight w:val="none"/>
                <w:u w:val="none" w:color="auto"/>
                <w:lang w:val="en-US" w:eastAsia="zh-CN"/>
              </w:rPr>
            </w:pPr>
          </w:p>
        </w:tc>
        <w:tc>
          <w:tcPr>
            <w:tcW w:w="550" w:type="pct"/>
            <w:gridSpan w:val="2"/>
            <w:shd w:val="clear" w:color="auto" w:fill="auto"/>
            <w:noWrap w:val="0"/>
            <w:vAlign w:val="center"/>
          </w:tcPr>
          <w:p w14:paraId="6C0ACEC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TP</w:t>
            </w:r>
          </w:p>
        </w:tc>
        <w:tc>
          <w:tcPr>
            <w:tcW w:w="557" w:type="pct"/>
            <w:gridSpan w:val="3"/>
            <w:shd w:val="clear" w:color="auto" w:fill="auto"/>
            <w:noWrap w:val="0"/>
            <w:vAlign w:val="center"/>
          </w:tcPr>
          <w:p w14:paraId="116BC3A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eastAsia" w:cs="Times New Roman"/>
                <w:highlight w:val="none"/>
                <w:u w:val="none" w:color="auto"/>
                <w:lang w:val="en-US" w:eastAsia="zh-CN"/>
              </w:rPr>
              <w:t>40</w:t>
            </w:r>
          </w:p>
        </w:tc>
        <w:tc>
          <w:tcPr>
            <w:tcW w:w="482" w:type="pct"/>
            <w:gridSpan w:val="2"/>
            <w:shd w:val="clear" w:color="auto" w:fill="auto"/>
            <w:noWrap w:val="0"/>
            <w:vAlign w:val="center"/>
          </w:tcPr>
          <w:p w14:paraId="3817AAB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lang w:val="en-US" w:eastAsia="zh-CN"/>
              </w:rPr>
            </w:pPr>
            <w:r>
              <w:rPr>
                <w:rFonts w:hint="default"/>
                <w:highlight w:val="none"/>
                <w:lang w:val="en-US" w:eastAsia="zh-CN"/>
              </w:rPr>
              <w:t>17.52</w:t>
            </w:r>
          </w:p>
        </w:tc>
        <w:tc>
          <w:tcPr>
            <w:tcW w:w="728" w:type="pct"/>
            <w:gridSpan w:val="2"/>
            <w:vMerge w:val="continue"/>
            <w:shd w:val="clear" w:color="auto" w:fill="auto"/>
            <w:noWrap w:val="0"/>
            <w:vAlign w:val="center"/>
          </w:tcPr>
          <w:p w14:paraId="525D6634">
            <w:pPr>
              <w:pStyle w:val="46"/>
              <w:keepNext w:val="0"/>
              <w:keepLines w:val="0"/>
              <w:widowControl/>
              <w:suppressLineNumbers w:val="0"/>
              <w:bidi w:val="0"/>
              <w:spacing w:beforeAutospacing="0" w:after="0" w:afterAutospacing="0"/>
              <w:ind w:left="0" w:right="0"/>
              <w:rPr>
                <w:rFonts w:hint="default"/>
                <w:highlight w:val="none"/>
                <w:lang w:val="en-US" w:eastAsia="zh-CN"/>
              </w:rPr>
            </w:pPr>
          </w:p>
        </w:tc>
        <w:tc>
          <w:tcPr>
            <w:tcW w:w="761" w:type="pct"/>
            <w:gridSpan w:val="2"/>
            <w:shd w:val="clear" w:color="auto" w:fill="auto"/>
            <w:noWrap w:val="0"/>
            <w:vAlign w:val="center"/>
          </w:tcPr>
          <w:p w14:paraId="3F3A55F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8</w:t>
            </w:r>
          </w:p>
        </w:tc>
        <w:tc>
          <w:tcPr>
            <w:tcW w:w="476" w:type="pct"/>
            <w:gridSpan w:val="2"/>
            <w:shd w:val="clear" w:color="auto" w:fill="auto"/>
            <w:noWrap w:val="0"/>
            <w:vAlign w:val="center"/>
          </w:tcPr>
          <w:p w14:paraId="0966900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r>
              <w:rPr>
                <w:rFonts w:hint="default"/>
                <w:highlight w:val="none"/>
                <w:lang w:val="en-US" w:eastAsia="zh-CN"/>
              </w:rPr>
              <w:t>3.504</w:t>
            </w:r>
          </w:p>
        </w:tc>
        <w:tc>
          <w:tcPr>
            <w:tcW w:w="858" w:type="pct"/>
            <w:gridSpan w:val="2"/>
            <w:vMerge w:val="continue"/>
            <w:shd w:val="clear" w:color="auto" w:fill="auto"/>
            <w:noWrap w:val="0"/>
            <w:vAlign w:val="center"/>
          </w:tcPr>
          <w:p w14:paraId="29DFE89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u w:val="none" w:color="auto"/>
              </w:rPr>
            </w:pPr>
          </w:p>
        </w:tc>
      </w:tr>
      <w:tr w14:paraId="1D54E9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restart"/>
            <w:shd w:val="clear" w:color="auto" w:fill="auto"/>
            <w:noWrap w:val="0"/>
            <w:vAlign w:val="center"/>
          </w:tcPr>
          <w:p w14:paraId="38B2FA2C">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固废</w:t>
            </w:r>
          </w:p>
        </w:tc>
        <w:tc>
          <w:tcPr>
            <w:tcW w:w="348" w:type="pct"/>
            <w:gridSpan w:val="2"/>
            <w:shd w:val="clear" w:color="auto" w:fill="auto"/>
            <w:noWrap w:val="0"/>
            <w:vAlign w:val="center"/>
          </w:tcPr>
          <w:p w14:paraId="72BF4E78">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臭气处理</w:t>
            </w:r>
          </w:p>
        </w:tc>
        <w:tc>
          <w:tcPr>
            <w:tcW w:w="550" w:type="pct"/>
            <w:gridSpan w:val="2"/>
            <w:shd w:val="clear" w:color="auto" w:fill="auto"/>
            <w:noWrap w:val="0"/>
            <w:vAlign w:val="center"/>
          </w:tcPr>
          <w:p w14:paraId="17727F1A">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废生物填料</w:t>
            </w:r>
          </w:p>
        </w:tc>
        <w:tc>
          <w:tcPr>
            <w:tcW w:w="1769" w:type="pct"/>
            <w:gridSpan w:val="7"/>
            <w:shd w:val="clear" w:color="auto" w:fill="auto"/>
            <w:noWrap w:val="0"/>
            <w:vAlign w:val="center"/>
          </w:tcPr>
          <w:p w14:paraId="0FD3AAF1">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0.15</w:t>
            </w:r>
          </w:p>
        </w:tc>
        <w:tc>
          <w:tcPr>
            <w:tcW w:w="2096" w:type="pct"/>
            <w:gridSpan w:val="6"/>
            <w:shd w:val="clear" w:color="auto" w:fill="auto"/>
            <w:noWrap w:val="0"/>
            <w:vAlign w:val="center"/>
          </w:tcPr>
          <w:p w14:paraId="42FBCD08">
            <w:pPr>
              <w:pStyle w:val="42"/>
              <w:keepNext w:val="0"/>
              <w:keepLines w:val="0"/>
              <w:suppressLineNumbers w:val="0"/>
              <w:bidi w:val="0"/>
              <w:spacing w:before="0" w:beforeAutospacing="0" w:after="0" w:afterAutospacing="0"/>
              <w:rPr>
                <w:rFonts w:hint="default"/>
                <w:highlight w:val="none"/>
                <w:lang w:val="en-US" w:eastAsia="en-US"/>
              </w:rPr>
            </w:pPr>
            <w:r>
              <w:rPr>
                <w:rFonts w:hint="eastAsia"/>
                <w:lang w:val="en-US" w:eastAsia="zh-CN"/>
              </w:rPr>
              <w:t>厂家回收</w:t>
            </w:r>
          </w:p>
        </w:tc>
      </w:tr>
      <w:tr w14:paraId="1AD3A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3BEA2F00">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775310C9">
            <w:pPr>
              <w:pStyle w:val="42"/>
              <w:keepNext w:val="0"/>
              <w:keepLines w:val="0"/>
              <w:suppressLineNumbers w:val="0"/>
              <w:bidi w:val="0"/>
              <w:spacing w:before="0" w:beforeAutospacing="0" w:after="0" w:afterAutospacing="0"/>
              <w:rPr>
                <w:rFonts w:hint="default"/>
              </w:rPr>
            </w:pPr>
            <w:r>
              <w:rPr>
                <w:rFonts w:hint="default"/>
              </w:rPr>
              <w:t>设备维修</w:t>
            </w:r>
          </w:p>
        </w:tc>
        <w:tc>
          <w:tcPr>
            <w:tcW w:w="550" w:type="pct"/>
            <w:gridSpan w:val="2"/>
            <w:shd w:val="clear" w:color="auto" w:fill="auto"/>
            <w:noWrap w:val="0"/>
            <w:vAlign w:val="center"/>
          </w:tcPr>
          <w:p w14:paraId="004CDE8B">
            <w:pPr>
              <w:pStyle w:val="42"/>
              <w:keepNext w:val="0"/>
              <w:keepLines w:val="0"/>
              <w:suppressLineNumbers w:val="0"/>
              <w:bidi w:val="0"/>
              <w:spacing w:before="0" w:beforeAutospacing="0" w:after="0" w:afterAutospacing="0"/>
              <w:rPr>
                <w:rFonts w:hint="default"/>
                <w:lang w:val="en-US" w:eastAsia="zh-CN"/>
              </w:rPr>
            </w:pPr>
            <w:r>
              <w:rPr>
                <w:rFonts w:hint="default" w:ascii="Times New Roman" w:hAnsi="Times New Roman" w:cs="Times New Roman"/>
                <w:color w:val="auto"/>
                <w:highlight w:val="none"/>
                <w:u w:val="none" w:color="auto"/>
              </w:rPr>
              <w:t>废机油</w:t>
            </w:r>
            <w:r>
              <w:rPr>
                <w:rFonts w:hint="eastAsia" w:ascii="Times New Roman" w:hAnsi="Times New Roman" w:cs="Times New Roman"/>
                <w:color w:val="auto"/>
                <w:highlight w:val="none"/>
                <w:u w:val="none" w:color="auto"/>
                <w:lang w:val="en-US" w:eastAsia="zh-CN"/>
              </w:rPr>
              <w:t>及废机油桶</w:t>
            </w:r>
          </w:p>
        </w:tc>
        <w:tc>
          <w:tcPr>
            <w:tcW w:w="1769" w:type="pct"/>
            <w:gridSpan w:val="7"/>
            <w:shd w:val="clear" w:color="auto" w:fill="auto"/>
            <w:noWrap w:val="0"/>
            <w:vAlign w:val="center"/>
          </w:tcPr>
          <w:p w14:paraId="1FAF97DE">
            <w:pPr>
              <w:pStyle w:val="42"/>
              <w:keepNext w:val="0"/>
              <w:keepLines w:val="0"/>
              <w:suppressLineNumbers w:val="0"/>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0.1</w:t>
            </w:r>
          </w:p>
        </w:tc>
        <w:tc>
          <w:tcPr>
            <w:tcW w:w="2096" w:type="pct"/>
            <w:gridSpan w:val="6"/>
            <w:shd w:val="clear" w:color="auto" w:fill="auto"/>
            <w:noWrap w:val="0"/>
            <w:vAlign w:val="center"/>
          </w:tcPr>
          <w:p w14:paraId="2B14D10A">
            <w:pPr>
              <w:pStyle w:val="42"/>
              <w:keepNext w:val="0"/>
              <w:keepLines w:val="0"/>
              <w:suppressLineNumbers w:val="0"/>
              <w:bidi w:val="0"/>
              <w:spacing w:before="0" w:beforeAutospacing="0" w:after="0" w:afterAutospacing="0"/>
              <w:rPr>
                <w:rFonts w:hint="default"/>
                <w:highlight w:val="none"/>
              </w:rPr>
            </w:pPr>
            <w:r>
              <w:rPr>
                <w:rFonts w:hint="eastAsia"/>
                <w:u w:val="none" w:color="auto"/>
                <w:lang w:val="en-US" w:eastAsia="zh-CN"/>
              </w:rPr>
              <w:t>资质单位处置</w:t>
            </w:r>
          </w:p>
        </w:tc>
      </w:tr>
      <w:tr w14:paraId="68DBE3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2793CC9F">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4A01D2C4">
            <w:pPr>
              <w:pStyle w:val="42"/>
              <w:keepNext w:val="0"/>
              <w:keepLines w:val="0"/>
              <w:suppressLineNumbers w:val="0"/>
              <w:bidi w:val="0"/>
              <w:spacing w:before="0" w:beforeAutospacing="0" w:after="0" w:afterAutospacing="0"/>
              <w:rPr>
                <w:rFonts w:hint="default"/>
              </w:rPr>
            </w:pPr>
            <w:r>
              <w:rPr>
                <w:rFonts w:hint="default"/>
              </w:rPr>
              <w:t>设备维修</w:t>
            </w:r>
          </w:p>
        </w:tc>
        <w:tc>
          <w:tcPr>
            <w:tcW w:w="550" w:type="pct"/>
            <w:gridSpan w:val="2"/>
            <w:shd w:val="clear" w:color="auto" w:fill="auto"/>
            <w:noWrap w:val="0"/>
            <w:vAlign w:val="center"/>
          </w:tcPr>
          <w:p w14:paraId="73C7B659">
            <w:pPr>
              <w:pStyle w:val="42"/>
              <w:keepNext w:val="0"/>
              <w:keepLines w:val="0"/>
              <w:suppressLineNumbers w:val="0"/>
              <w:bidi w:val="0"/>
              <w:spacing w:before="0" w:beforeAutospacing="0" w:after="0" w:afterAutospacing="0"/>
              <w:rPr>
                <w:rFonts w:hint="default"/>
                <w:lang w:val="en-US" w:eastAsia="zh-CN"/>
              </w:rPr>
            </w:pPr>
            <w:r>
              <w:rPr>
                <w:rFonts w:hint="default"/>
              </w:rPr>
              <w:t>含油抹布、手套、劳保用品</w:t>
            </w:r>
          </w:p>
        </w:tc>
        <w:tc>
          <w:tcPr>
            <w:tcW w:w="1769" w:type="pct"/>
            <w:gridSpan w:val="7"/>
            <w:shd w:val="clear" w:color="auto" w:fill="auto"/>
            <w:noWrap w:val="0"/>
            <w:vAlign w:val="center"/>
          </w:tcPr>
          <w:p w14:paraId="0100BF22">
            <w:pPr>
              <w:pStyle w:val="42"/>
              <w:keepNext w:val="0"/>
              <w:keepLines w:val="0"/>
              <w:suppressLineNumbers w:val="0"/>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0.01</w:t>
            </w:r>
          </w:p>
        </w:tc>
        <w:tc>
          <w:tcPr>
            <w:tcW w:w="2096" w:type="pct"/>
            <w:gridSpan w:val="6"/>
            <w:shd w:val="clear" w:color="auto" w:fill="auto"/>
            <w:noWrap w:val="0"/>
            <w:vAlign w:val="center"/>
          </w:tcPr>
          <w:p w14:paraId="6170FE35">
            <w:pPr>
              <w:pStyle w:val="42"/>
              <w:keepNext w:val="0"/>
              <w:keepLines w:val="0"/>
              <w:suppressLineNumbers w:val="0"/>
              <w:bidi w:val="0"/>
              <w:spacing w:before="0" w:beforeAutospacing="0" w:after="0" w:afterAutospacing="0"/>
              <w:rPr>
                <w:rFonts w:hint="default"/>
                <w:highlight w:val="none"/>
              </w:rPr>
            </w:pPr>
            <w:r>
              <w:rPr>
                <w:rFonts w:hint="eastAsia"/>
                <w:u w:val="none" w:color="auto"/>
                <w:lang w:val="en-US" w:eastAsia="zh-CN"/>
              </w:rPr>
              <w:t>资质单位处置</w:t>
            </w:r>
          </w:p>
        </w:tc>
      </w:tr>
      <w:tr w14:paraId="2368D3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700F4AFF">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4499D4CE">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污水处理</w:t>
            </w:r>
          </w:p>
        </w:tc>
        <w:tc>
          <w:tcPr>
            <w:tcW w:w="550" w:type="pct"/>
            <w:gridSpan w:val="2"/>
            <w:shd w:val="clear" w:color="auto" w:fill="auto"/>
            <w:noWrap w:val="0"/>
            <w:vAlign w:val="center"/>
          </w:tcPr>
          <w:p w14:paraId="39CD03A4">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栅渣</w:t>
            </w:r>
          </w:p>
        </w:tc>
        <w:tc>
          <w:tcPr>
            <w:tcW w:w="1769" w:type="pct"/>
            <w:gridSpan w:val="7"/>
            <w:shd w:val="clear" w:color="auto" w:fill="auto"/>
            <w:noWrap w:val="0"/>
            <w:vAlign w:val="center"/>
          </w:tcPr>
          <w:p w14:paraId="58E4865D">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4.38</w:t>
            </w:r>
          </w:p>
        </w:tc>
        <w:tc>
          <w:tcPr>
            <w:tcW w:w="2096" w:type="pct"/>
            <w:gridSpan w:val="6"/>
            <w:shd w:val="clear" w:color="auto" w:fill="auto"/>
            <w:noWrap w:val="0"/>
            <w:vAlign w:val="center"/>
          </w:tcPr>
          <w:p w14:paraId="22D70D5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委托环卫部门处理</w:t>
            </w:r>
          </w:p>
        </w:tc>
      </w:tr>
      <w:tr w14:paraId="14AB69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398FE2EE">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4010CA4F">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污水处理</w:t>
            </w:r>
          </w:p>
        </w:tc>
        <w:tc>
          <w:tcPr>
            <w:tcW w:w="550" w:type="pct"/>
            <w:gridSpan w:val="2"/>
            <w:shd w:val="clear" w:color="auto" w:fill="auto"/>
            <w:noWrap w:val="0"/>
            <w:vAlign w:val="center"/>
          </w:tcPr>
          <w:p w14:paraId="62601C3A">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废油</w:t>
            </w:r>
          </w:p>
        </w:tc>
        <w:tc>
          <w:tcPr>
            <w:tcW w:w="1769" w:type="pct"/>
            <w:gridSpan w:val="7"/>
            <w:shd w:val="clear" w:color="auto" w:fill="auto"/>
            <w:noWrap w:val="0"/>
            <w:vAlign w:val="center"/>
          </w:tcPr>
          <w:p w14:paraId="0228B4B3">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8.76</w:t>
            </w:r>
          </w:p>
        </w:tc>
        <w:tc>
          <w:tcPr>
            <w:tcW w:w="2096" w:type="pct"/>
            <w:gridSpan w:val="6"/>
            <w:shd w:val="clear" w:color="auto" w:fill="auto"/>
            <w:noWrap w:val="0"/>
            <w:vAlign w:val="center"/>
          </w:tcPr>
          <w:p w14:paraId="62AF8A3C">
            <w:pPr>
              <w:pStyle w:val="42"/>
              <w:keepNext w:val="0"/>
              <w:keepLines w:val="0"/>
              <w:suppressLineNumbers w:val="0"/>
              <w:bidi w:val="0"/>
              <w:spacing w:before="0" w:beforeAutospacing="0" w:after="0" w:afterAutospacing="0"/>
              <w:rPr>
                <w:rFonts w:hint="default"/>
                <w:highlight w:val="none"/>
                <w:lang w:val="en-US" w:eastAsia="en-US"/>
              </w:rPr>
            </w:pPr>
            <w:r>
              <w:rPr>
                <w:rFonts w:hint="default"/>
                <w:highlight w:val="none"/>
              </w:rPr>
              <w:t>委托</w:t>
            </w:r>
            <w:r>
              <w:rPr>
                <w:rFonts w:hint="eastAsia"/>
                <w:highlight w:val="none"/>
                <w:lang w:val="en-US" w:eastAsia="zh-CN"/>
              </w:rPr>
              <w:t>资质单位</w:t>
            </w:r>
            <w:r>
              <w:rPr>
                <w:rFonts w:hint="default"/>
                <w:highlight w:val="none"/>
              </w:rPr>
              <w:t>进行清掏清运处理</w:t>
            </w:r>
          </w:p>
        </w:tc>
      </w:tr>
      <w:tr w14:paraId="272EE2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shd w:val="clear" w:color="auto" w:fill="auto"/>
            <w:noWrap w:val="0"/>
            <w:vAlign w:val="center"/>
          </w:tcPr>
          <w:p w14:paraId="4EFEFF26">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219AC01C">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污水处理</w:t>
            </w:r>
          </w:p>
        </w:tc>
        <w:tc>
          <w:tcPr>
            <w:tcW w:w="550" w:type="pct"/>
            <w:gridSpan w:val="2"/>
            <w:shd w:val="clear" w:color="auto" w:fill="auto"/>
            <w:noWrap w:val="0"/>
            <w:vAlign w:val="center"/>
          </w:tcPr>
          <w:p w14:paraId="61D5BBEB">
            <w:pPr>
              <w:pStyle w:val="42"/>
              <w:keepNext w:val="0"/>
              <w:keepLines w:val="0"/>
              <w:suppressLineNumbers w:val="0"/>
              <w:bidi w:val="0"/>
              <w:spacing w:before="0" w:beforeAutospacing="0" w:after="0" w:afterAutospacing="0"/>
              <w:jc w:val="center"/>
              <w:rPr>
                <w:rFonts w:hint="default"/>
                <w:highlight w:val="none"/>
              </w:rPr>
            </w:pPr>
            <w:r>
              <w:rPr>
                <w:rFonts w:hint="default"/>
                <w:highlight w:val="none"/>
              </w:rPr>
              <w:t>污泥（含水率</w:t>
            </w:r>
          </w:p>
          <w:p w14:paraId="6662552B">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80%）</w:t>
            </w:r>
          </w:p>
        </w:tc>
        <w:tc>
          <w:tcPr>
            <w:tcW w:w="1769" w:type="pct"/>
            <w:gridSpan w:val="7"/>
            <w:shd w:val="clear" w:color="auto" w:fill="auto"/>
            <w:noWrap w:val="0"/>
            <w:vAlign w:val="center"/>
          </w:tcPr>
          <w:p w14:paraId="47685647">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345</w:t>
            </w:r>
          </w:p>
        </w:tc>
        <w:tc>
          <w:tcPr>
            <w:tcW w:w="2096" w:type="pct"/>
            <w:gridSpan w:val="6"/>
            <w:shd w:val="clear" w:color="auto" w:fill="auto"/>
            <w:noWrap w:val="0"/>
            <w:vAlign w:val="center"/>
          </w:tcPr>
          <w:p w14:paraId="6C24A9A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外运资源化利用</w:t>
            </w:r>
          </w:p>
        </w:tc>
      </w:tr>
      <w:tr w14:paraId="6039A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noWrap w:val="0"/>
            <w:vAlign w:val="center"/>
          </w:tcPr>
          <w:p w14:paraId="2D790B78">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p>
        </w:tc>
        <w:tc>
          <w:tcPr>
            <w:tcW w:w="348" w:type="pct"/>
            <w:gridSpan w:val="2"/>
            <w:shd w:val="clear" w:color="auto" w:fill="auto"/>
            <w:noWrap w:val="0"/>
            <w:vAlign w:val="center"/>
          </w:tcPr>
          <w:p w14:paraId="57E6B87E">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污水处理</w:t>
            </w:r>
          </w:p>
        </w:tc>
        <w:tc>
          <w:tcPr>
            <w:tcW w:w="550" w:type="pct"/>
            <w:gridSpan w:val="2"/>
            <w:shd w:val="clear" w:color="auto" w:fill="auto"/>
            <w:noWrap w:val="0"/>
            <w:vAlign w:val="center"/>
          </w:tcPr>
          <w:p w14:paraId="1D9C2FD0">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废包装袋</w:t>
            </w:r>
          </w:p>
        </w:tc>
        <w:tc>
          <w:tcPr>
            <w:tcW w:w="1769" w:type="pct"/>
            <w:gridSpan w:val="7"/>
            <w:shd w:val="clear" w:color="auto" w:fill="auto"/>
            <w:noWrap w:val="0"/>
            <w:vAlign w:val="center"/>
          </w:tcPr>
          <w:p w14:paraId="0013CBC7">
            <w:pPr>
              <w:pStyle w:val="42"/>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0.1</w:t>
            </w:r>
          </w:p>
        </w:tc>
        <w:tc>
          <w:tcPr>
            <w:tcW w:w="2096" w:type="pct"/>
            <w:gridSpan w:val="6"/>
            <w:shd w:val="clear" w:color="auto" w:fill="auto"/>
            <w:noWrap w:val="0"/>
            <w:vAlign w:val="center"/>
          </w:tcPr>
          <w:p w14:paraId="575958DB">
            <w:pPr>
              <w:pStyle w:val="42"/>
              <w:keepNext w:val="0"/>
              <w:keepLines w:val="0"/>
              <w:suppressLineNumbers w:val="0"/>
              <w:bidi w:val="0"/>
              <w:spacing w:before="0" w:beforeAutospacing="0" w:after="0" w:afterAutospacing="0"/>
              <w:rPr>
                <w:rFonts w:hint="default"/>
                <w:highlight w:val="none"/>
                <w:lang w:val="en-US" w:eastAsia="en-US"/>
              </w:rPr>
            </w:pPr>
            <w:r>
              <w:rPr>
                <w:rFonts w:hint="default"/>
                <w:highlight w:val="none"/>
              </w:rPr>
              <w:t>交由原料厂家回收利用</w:t>
            </w:r>
          </w:p>
        </w:tc>
      </w:tr>
      <w:tr w14:paraId="16DDF4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noWrap w:val="0"/>
            <w:vAlign w:val="center"/>
          </w:tcPr>
          <w:p w14:paraId="5272E14B">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噪声</w:t>
            </w:r>
          </w:p>
        </w:tc>
        <w:tc>
          <w:tcPr>
            <w:tcW w:w="898" w:type="pct"/>
            <w:gridSpan w:val="4"/>
            <w:shd w:val="clear" w:color="auto" w:fill="auto"/>
            <w:noWrap w:val="0"/>
            <w:vAlign w:val="center"/>
          </w:tcPr>
          <w:p w14:paraId="66B148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color w:val="auto"/>
                <w:spacing w:val="0"/>
                <w:kern w:val="2"/>
                <w:position w:val="0"/>
                <w:sz w:val="21"/>
                <w:szCs w:val="21"/>
                <w:highlight w:val="none"/>
                <w:u w:val="none"/>
                <w:lang w:val="en-US" w:eastAsia="zh-CN" w:bidi="ar-SA"/>
              </w:rPr>
            </w:pPr>
            <w:r>
              <w:rPr>
                <w:rFonts w:hint="default" w:ascii="Times New Roman" w:hAnsi="Times New Roman" w:eastAsia="宋体" w:cs="Times New Roman"/>
                <w:color w:val="auto"/>
                <w:spacing w:val="0"/>
                <w:position w:val="0"/>
                <w:sz w:val="21"/>
                <w:szCs w:val="21"/>
                <w:highlight w:val="none"/>
                <w:u w:val="none"/>
                <w:lang w:val="en-US" w:eastAsia="zh-CN"/>
              </w:rPr>
              <w:t>污水处理厂设备噪声</w:t>
            </w:r>
          </w:p>
        </w:tc>
        <w:tc>
          <w:tcPr>
            <w:tcW w:w="1769" w:type="pct"/>
            <w:gridSpan w:val="7"/>
            <w:shd w:val="clear" w:color="auto" w:fill="auto"/>
            <w:noWrap w:val="0"/>
            <w:vAlign w:val="center"/>
          </w:tcPr>
          <w:p w14:paraId="011EC1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源强为7</w:t>
            </w:r>
            <w:r>
              <w:rPr>
                <w:rFonts w:hint="eastAsia"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lang w:val="en-US" w:eastAsia="zh-CN"/>
              </w:rPr>
              <w:t>~</w:t>
            </w:r>
            <w:r>
              <w:rPr>
                <w:rFonts w:hint="eastAsia" w:ascii="Times New Roman" w:hAnsi="Times New Roman" w:eastAsia="宋体" w:cs="Times New Roman"/>
                <w:color w:val="auto"/>
                <w:spacing w:val="0"/>
                <w:position w:val="0"/>
                <w:sz w:val="21"/>
                <w:szCs w:val="21"/>
                <w:highlight w:val="none"/>
                <w:lang w:val="en-US" w:eastAsia="zh-CN"/>
              </w:rPr>
              <w:t>85</w:t>
            </w:r>
            <w:r>
              <w:rPr>
                <w:rFonts w:hint="default" w:ascii="Times New Roman" w:hAnsi="Times New Roman" w:eastAsia="宋体" w:cs="Times New Roman"/>
                <w:color w:val="auto"/>
                <w:spacing w:val="0"/>
                <w:position w:val="0"/>
                <w:sz w:val="21"/>
                <w:szCs w:val="21"/>
                <w:highlight w:val="none"/>
                <w:lang w:val="en-US" w:eastAsia="zh-CN"/>
              </w:rPr>
              <w:t>dB（A）</w:t>
            </w:r>
          </w:p>
        </w:tc>
        <w:tc>
          <w:tcPr>
            <w:tcW w:w="2096" w:type="pct"/>
            <w:gridSpan w:val="6"/>
            <w:noWrap w:val="0"/>
            <w:vAlign w:val="center"/>
          </w:tcPr>
          <w:p w14:paraId="3F36CED5">
            <w:pPr>
              <w:pStyle w:val="46"/>
              <w:keepNext w:val="0"/>
              <w:keepLines w:val="0"/>
              <w:widowControl/>
              <w:suppressLineNumbers w:val="0"/>
              <w:shd w:val="clear"/>
              <w:bidi w:val="0"/>
              <w:spacing w:beforeAutospacing="0" w:after="0" w:afterAutospacing="0"/>
              <w:ind w:left="0" w:right="0"/>
              <w:rPr>
                <w:rFonts w:hint="default" w:ascii="Times New Roman" w:hAnsi="Times New Roman" w:cs="Times New Roman"/>
                <w:color w:val="auto"/>
                <w:highlight w:val="none"/>
                <w:u w:val="none" w:color="auto"/>
              </w:rPr>
            </w:pPr>
            <w:r>
              <w:rPr>
                <w:rFonts w:hint="default" w:ascii="Times New Roman" w:hAnsi="Times New Roman" w:eastAsia="宋体" w:cs="Times New Roman"/>
                <w:color w:val="auto"/>
                <w:spacing w:val="0"/>
                <w:position w:val="0"/>
                <w:sz w:val="21"/>
                <w:szCs w:val="21"/>
                <w:highlight w:val="none"/>
                <w:lang w:val="en-US" w:eastAsia="zh-CN"/>
              </w:rPr>
              <w:t>采取隔声、减振等降噪措施后厂界可达标</w:t>
            </w:r>
          </w:p>
        </w:tc>
      </w:tr>
    </w:tbl>
    <w:p w14:paraId="4BBD7ADA">
      <w:pPr>
        <w:shd w:val="clear"/>
        <w:rPr>
          <w:rFonts w:hint="default" w:ascii="Times New Roman" w:hAnsi="Times New Roman" w:cs="Times New Roman"/>
          <w:color w:val="auto"/>
          <w:highlight w:val="yellow"/>
        </w:rPr>
      </w:pPr>
    </w:p>
    <w:p w14:paraId="4D8602D9">
      <w:pPr>
        <w:rPr>
          <w:rFonts w:hint="default" w:ascii="Times New Roman" w:hAnsi="Times New Roman" w:cs="Times New Roman"/>
          <w:highlight w:val="yellow"/>
        </w:rPr>
      </w:pPr>
    </w:p>
    <w:p w14:paraId="420E1727">
      <w:pPr>
        <w:pStyle w:val="43"/>
        <w:rPr>
          <w:rFonts w:hint="default" w:ascii="Times New Roman" w:hAnsi="Times New Roman" w:cs="Times New Roman"/>
          <w:color w:val="auto"/>
          <w:szCs w:val="24"/>
          <w:highlight w:val="yellow"/>
          <w:u w:val="none" w:color="auto"/>
        </w:rPr>
      </w:pPr>
    </w:p>
    <w:p w14:paraId="38A7C9FA">
      <w:pPr>
        <w:rPr>
          <w:rFonts w:hint="default" w:ascii="Times New Roman" w:hAnsi="Times New Roman" w:cs="Times New Roman"/>
          <w:color w:val="auto"/>
          <w:highlight w:val="yellow"/>
          <w:u w:val="none" w:color="auto"/>
        </w:rPr>
        <w:sectPr>
          <w:pgSz w:w="16838" w:h="11906" w:orient="landscape"/>
          <w:pgMar w:top="1134" w:right="1134" w:bottom="1134" w:left="1134" w:header="851" w:footer="850" w:gutter="0"/>
          <w:pgBorders>
            <w:top w:val="none" w:sz="0" w:space="0"/>
            <w:left w:val="none" w:sz="0" w:space="0"/>
            <w:bottom w:val="none" w:sz="0" w:space="0"/>
            <w:right w:val="none" w:sz="0" w:space="0"/>
          </w:pgBorders>
          <w:pgNumType w:fmt="decimal"/>
          <w:cols w:space="720" w:num="1"/>
          <w:docGrid w:linePitch="312" w:charSpace="0"/>
        </w:sectPr>
      </w:pPr>
    </w:p>
    <w:p w14:paraId="52D10BF0">
      <w:pPr>
        <w:pStyle w:val="4"/>
        <w:bidi w:val="0"/>
        <w:rPr>
          <w:rFonts w:hint="default"/>
        </w:rPr>
      </w:pPr>
      <w:bookmarkStart w:id="130" w:name="_Toc28327"/>
      <w:bookmarkStart w:id="131" w:name="_Toc26877"/>
      <w:bookmarkStart w:id="132" w:name="_Toc12913"/>
      <w:r>
        <w:rPr>
          <w:rFonts w:hint="default"/>
        </w:rPr>
        <w:t>环境现状调查与评价</w:t>
      </w:r>
      <w:bookmarkEnd w:id="130"/>
      <w:bookmarkEnd w:id="131"/>
      <w:bookmarkEnd w:id="132"/>
    </w:p>
    <w:p w14:paraId="64C86A4E">
      <w:pPr>
        <w:pStyle w:val="5"/>
        <w:bidi w:val="0"/>
        <w:rPr>
          <w:rFonts w:hint="default"/>
        </w:rPr>
      </w:pPr>
      <w:bookmarkStart w:id="133" w:name="_Toc13048"/>
      <w:bookmarkStart w:id="134" w:name="_Toc27549"/>
      <w:bookmarkStart w:id="135" w:name="_Toc14970"/>
      <w:bookmarkStart w:id="136" w:name="_Toc1568"/>
      <w:bookmarkStart w:id="137" w:name="_Toc3168"/>
      <w:r>
        <w:rPr>
          <w:rFonts w:hint="default"/>
        </w:rPr>
        <w:t>自然环境</w:t>
      </w:r>
      <w:bookmarkEnd w:id="133"/>
      <w:bookmarkEnd w:id="134"/>
      <w:bookmarkEnd w:id="135"/>
      <w:bookmarkEnd w:id="136"/>
    </w:p>
    <w:p w14:paraId="6B3F4B9F">
      <w:pPr>
        <w:pStyle w:val="6"/>
        <w:bidi w:val="0"/>
        <w:rPr>
          <w:rFonts w:hint="default"/>
        </w:rPr>
      </w:pPr>
      <w:r>
        <w:rPr>
          <w:rFonts w:hint="default"/>
        </w:rPr>
        <w:t>地理位置</w:t>
      </w:r>
    </w:p>
    <w:p w14:paraId="7BEFBEB4">
      <w:pPr>
        <w:bidi w:val="0"/>
        <w:rPr>
          <w:rFonts w:hint="default"/>
          <w:highlight w:val="none"/>
          <w:u w:val="none" w:color="auto"/>
        </w:rPr>
      </w:pPr>
      <w:r>
        <w:rPr>
          <w:rFonts w:hint="default"/>
        </w:rPr>
        <w:t>湘阴县隶属于湖南省岳阳市，处长沙、岳阳、益阳三市五县中心，居湘江、资江两水尾间；东邻汩罗市，西接益阳市，南连长沙市、望城区，北抵岳阳市、沅江区；地理坐标为东经112°30′20″-113°01′50″、北纬28°30′13-29°03′02″；南北长61公里，东西宽51.3公里。湘阴紧邻长沙市望城区，可以更加直接地接受长沙的辐射与带动作用，京珠高速复线、S308构成了两条</w:t>
      </w:r>
      <w:r>
        <w:rPr>
          <w:rFonts w:hint="default"/>
          <w:highlight w:val="none"/>
          <w:u w:val="none" w:color="auto"/>
        </w:rPr>
        <w:t>十字型交叉的主要对外通道，分别联络长沙、岳阳，益阳、修水等地。</w:t>
      </w:r>
    </w:p>
    <w:p w14:paraId="48E50D01">
      <w:pPr>
        <w:bidi w:val="0"/>
        <w:rPr>
          <w:rFonts w:hint="default" w:ascii="Times New Roman" w:hAnsi="Times New Roman" w:cs="Times New Roman"/>
          <w:color w:val="auto"/>
          <w:highlight w:val="none"/>
          <w:u w:val="none" w:color="auto"/>
        </w:rPr>
      </w:pPr>
      <w:r>
        <w:rPr>
          <w:rFonts w:hint="default"/>
          <w:highlight w:val="none"/>
          <w:u w:val="none" w:color="auto"/>
        </w:rPr>
        <w:t>湘阴高新技术产业开发区位于岳阳市湘阴县境内，湘阴高新区规划“一区三园”，项目位于湘阴高新技术开发区片区</w:t>
      </w:r>
      <w:r>
        <w:rPr>
          <w:rFonts w:hint="eastAsia"/>
          <w:highlight w:val="none"/>
          <w:u w:val="none" w:color="auto"/>
          <w:lang w:val="en-US" w:eastAsia="zh-CN"/>
        </w:rPr>
        <w:t>湘阴佳海绿色食品产业园一期内</w:t>
      </w:r>
      <w:r>
        <w:rPr>
          <w:rFonts w:hint="default"/>
          <w:highlight w:val="none"/>
          <w:u w:val="none" w:color="auto"/>
          <w:lang w:val="en-US" w:eastAsia="zh-CN"/>
        </w:rPr>
        <w:t>（</w:t>
      </w:r>
      <w:r>
        <w:rPr>
          <w:rFonts w:hint="default"/>
          <w:highlight w:val="none"/>
          <w:u w:val="none" w:color="auto"/>
        </w:rPr>
        <w:t>中心地理坐标为东经112°54'19.324"，北纬28°38'57.536"</w:t>
      </w:r>
      <w:r>
        <w:rPr>
          <w:rFonts w:hint="default"/>
          <w:highlight w:val="none"/>
          <w:u w:val="none" w:color="auto"/>
          <w:lang w:val="en-US" w:eastAsia="zh-CN"/>
        </w:rPr>
        <w:t>）</w:t>
      </w:r>
      <w:r>
        <w:rPr>
          <w:rFonts w:hint="default"/>
          <w:highlight w:val="none"/>
          <w:u w:val="none" w:color="auto"/>
        </w:rPr>
        <w:t>，</w:t>
      </w:r>
      <w:r>
        <w:rPr>
          <w:rFonts w:hint="eastAsia"/>
          <w:highlight w:val="none"/>
          <w:u w:val="none" w:color="auto"/>
          <w:lang w:val="en-US" w:eastAsia="zh-CN"/>
        </w:rPr>
        <w:t>湘阴佳海绿色食品产业园一期</w:t>
      </w:r>
      <w:r>
        <w:rPr>
          <w:rFonts w:hint="default" w:ascii="Times New Roman" w:hAnsi="Times New Roman" w:cs="Times New Roman"/>
          <w:color w:val="auto"/>
          <w:highlight w:val="none"/>
          <w:u w:val="none" w:color="auto"/>
        </w:rPr>
        <w:t>北邻大道，南邻长康大道（茉莉路），东临长康绿态粮油生物科技产业园项目</w:t>
      </w: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项目</w:t>
      </w:r>
      <w:r>
        <w:rPr>
          <w:rFonts w:hint="default" w:ascii="Times New Roman" w:hAnsi="Times New Roman" w:cs="Times New Roman"/>
          <w:color w:val="auto"/>
          <w:highlight w:val="none"/>
          <w:u w:val="none" w:color="auto"/>
        </w:rPr>
        <w:t>具体地理位置见附图。</w:t>
      </w:r>
    </w:p>
    <w:p w14:paraId="5B15770C">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地形</w:t>
      </w:r>
      <w:r>
        <w:rPr>
          <w:rFonts w:hint="default" w:ascii="Times New Roman" w:hAnsi="Times New Roman" w:cs="Times New Roman"/>
          <w:color w:val="auto"/>
          <w:highlight w:val="none"/>
          <w:u w:val="none" w:color="auto"/>
        </w:rPr>
        <w:t>地质地貌</w:t>
      </w:r>
    </w:p>
    <w:p w14:paraId="4EB2C2FB">
      <w:pPr>
        <w:keepNext w:val="0"/>
        <w:keepLines w:val="0"/>
        <w:widowControl/>
        <w:suppressLineNumbers w:val="0"/>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原。全县除去江河湖泊及其他水面，滨湖、江河、溪谷三种平原共702.11平方公里，占全县总面积的44.4%；岗地占13.59%；低山占1.51%。其三、河湖交会，水域广阔。湘江自南而北贯穿全景，自然分成东西两部，江东为东乡，为低山岗丘地，岗丘婉蜒，地形起伏；江西为西乡，属滨湖平原地，河渠纵横，湖沼塘堰星罗棋布。全县国土总面积1581.5平方公里，湖区、山丘区、湖洲分别为675.0平方公里、484.6平方公里、421.9平方公里。水域面积98.56万亩，占全县总面积的41.56%。各类地貌中的水面面积占总面积的百分比分别为：滨湖平原为89.06万亩，占53.99%；江河平原为2.37万亩，占21.68%；溪谷平原为3.82万亩，占15.54%；岗地为2.95万亩，占8.92%，低山为3600亩，占10.08%。</w:t>
      </w:r>
    </w:p>
    <w:p w14:paraId="407D3E06">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根据《建筑抗震设计规范》（GB50011-2010）附录A及相关规定，湘阴为Ⅶ度烈度区。</w:t>
      </w:r>
    </w:p>
    <w:p w14:paraId="685C0185">
      <w:pPr>
        <w:pStyle w:val="6"/>
        <w:bidi w:val="0"/>
        <w:rPr>
          <w:rFonts w:hint="default" w:ascii="Times New Roman" w:hAnsi="Times New Roman" w:cs="Times New Roman"/>
          <w:highlight w:val="none"/>
        </w:rPr>
      </w:pPr>
      <w:r>
        <w:rPr>
          <w:rFonts w:hint="default" w:ascii="Times New Roman" w:hAnsi="Times New Roman" w:cs="Times New Roman"/>
          <w:highlight w:val="none"/>
        </w:rPr>
        <w:t>气象气候</w:t>
      </w:r>
    </w:p>
    <w:p w14:paraId="5EF46B75">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14:paraId="5D612A28">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湘阴县区域主要气象数据；</w:t>
      </w:r>
    </w:p>
    <w:p w14:paraId="24109E75">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年平均</w:t>
      </w:r>
      <w:r>
        <w:rPr>
          <w:rFonts w:hint="default" w:ascii="Times New Roman" w:hAnsi="Times New Roman" w:cs="Times New Roman"/>
          <w:bCs/>
          <w:color w:val="auto"/>
          <w:u w:val="none" w:color="auto"/>
        </w:rPr>
        <w:t>气温</w:t>
      </w:r>
      <w:r>
        <w:rPr>
          <w:rFonts w:hint="default" w:ascii="Times New Roman" w:hAnsi="Times New Roman" w:cs="Times New Roman"/>
          <w:color w:val="auto"/>
          <w:szCs w:val="22"/>
          <w:u w:val="none" w:color="auto"/>
        </w:rPr>
        <w:t xml:space="preserve">                     16.9℃</w:t>
      </w:r>
    </w:p>
    <w:p w14:paraId="02179DAB">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最热</w:t>
      </w:r>
      <w:r>
        <w:rPr>
          <w:rFonts w:hint="default" w:ascii="Times New Roman" w:hAnsi="Times New Roman" w:cs="Times New Roman"/>
          <w:bCs/>
          <w:color w:val="auto"/>
          <w:u w:val="none" w:color="auto"/>
        </w:rPr>
        <w:t>月平均</w:t>
      </w:r>
      <w:r>
        <w:rPr>
          <w:rFonts w:hint="default" w:ascii="Times New Roman" w:hAnsi="Times New Roman" w:cs="Times New Roman"/>
          <w:color w:val="auto"/>
          <w:szCs w:val="22"/>
          <w:u w:val="none" w:color="auto"/>
        </w:rPr>
        <w:t>气温                 29.0℃</w:t>
      </w:r>
    </w:p>
    <w:p w14:paraId="0DF689D0">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最冷</w:t>
      </w:r>
      <w:r>
        <w:rPr>
          <w:rFonts w:hint="default" w:ascii="Times New Roman" w:hAnsi="Times New Roman" w:cs="Times New Roman"/>
          <w:bCs/>
          <w:color w:val="auto"/>
          <w:u w:val="none" w:color="auto"/>
        </w:rPr>
        <w:t>月平均</w:t>
      </w:r>
      <w:r>
        <w:rPr>
          <w:rFonts w:hint="default" w:ascii="Times New Roman" w:hAnsi="Times New Roman" w:cs="Times New Roman"/>
          <w:color w:val="auto"/>
          <w:szCs w:val="22"/>
          <w:u w:val="none" w:color="auto"/>
        </w:rPr>
        <w:t>气温                 4.4℃</w:t>
      </w:r>
    </w:p>
    <w:p w14:paraId="1E945554">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极端最高气温                   38.4℃</w:t>
      </w:r>
    </w:p>
    <w:p w14:paraId="538AB446">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极端最低气温                   -12.0℃</w:t>
      </w:r>
    </w:p>
    <w:p w14:paraId="3DE76A9A">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年总</w:t>
      </w:r>
      <w:r>
        <w:rPr>
          <w:rFonts w:hint="default" w:ascii="Times New Roman" w:hAnsi="Times New Roman" w:cs="Times New Roman"/>
          <w:bCs/>
          <w:color w:val="auto"/>
          <w:u w:val="none" w:color="auto"/>
        </w:rPr>
        <w:t>降水量</w:t>
      </w:r>
      <w:r>
        <w:rPr>
          <w:rFonts w:hint="default" w:ascii="Times New Roman" w:hAnsi="Times New Roman" w:cs="Times New Roman"/>
          <w:color w:val="auto"/>
          <w:szCs w:val="22"/>
          <w:u w:val="none" w:color="auto"/>
        </w:rPr>
        <w:t xml:space="preserve">                     1410.8mm</w:t>
      </w:r>
    </w:p>
    <w:p w14:paraId="0BCE23D5">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年总</w:t>
      </w:r>
      <w:r>
        <w:rPr>
          <w:rFonts w:hint="default" w:ascii="Times New Roman" w:hAnsi="Times New Roman" w:cs="Times New Roman"/>
          <w:bCs/>
          <w:color w:val="auto"/>
          <w:u w:val="none" w:color="auto"/>
        </w:rPr>
        <w:t>日照</w:t>
      </w:r>
      <w:r>
        <w:rPr>
          <w:rFonts w:hint="default" w:ascii="Times New Roman" w:hAnsi="Times New Roman" w:cs="Times New Roman"/>
          <w:color w:val="auto"/>
          <w:szCs w:val="22"/>
          <w:u w:val="none" w:color="auto"/>
        </w:rPr>
        <w:t xml:space="preserve">                       1610.5h</w:t>
      </w:r>
    </w:p>
    <w:p w14:paraId="3EBC4A36">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年总辐射量                     1410.4千卡/平方厘米</w:t>
      </w:r>
    </w:p>
    <w:p w14:paraId="522FD089">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w:t>
      </w:r>
      <w:r>
        <w:rPr>
          <w:rFonts w:hint="default" w:ascii="Times New Roman" w:hAnsi="Times New Roman" w:cs="Times New Roman"/>
          <w:bCs/>
          <w:color w:val="auto"/>
          <w:u w:val="none" w:color="auto"/>
        </w:rPr>
        <w:t>主导风向</w:t>
      </w:r>
      <w:r>
        <w:rPr>
          <w:rFonts w:hint="default" w:ascii="Times New Roman" w:hAnsi="Times New Roman" w:cs="Times New Roman"/>
          <w:color w:val="auto"/>
          <w:szCs w:val="22"/>
          <w:u w:val="none" w:color="auto"/>
        </w:rPr>
        <w:t xml:space="preserve">                     西北风</w:t>
      </w:r>
    </w:p>
    <w:p w14:paraId="3D99D5EF">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年平均</w:t>
      </w:r>
      <w:r>
        <w:rPr>
          <w:rFonts w:hint="default" w:ascii="Times New Roman" w:hAnsi="Times New Roman" w:cs="Times New Roman"/>
          <w:bCs/>
          <w:color w:val="auto"/>
          <w:u w:val="none" w:color="auto"/>
        </w:rPr>
        <w:t>风速</w:t>
      </w:r>
      <w:r>
        <w:rPr>
          <w:rFonts w:hint="default" w:ascii="Times New Roman" w:hAnsi="Times New Roman" w:cs="Times New Roman"/>
          <w:color w:val="auto"/>
          <w:szCs w:val="22"/>
          <w:u w:val="none" w:color="auto"/>
        </w:rPr>
        <w:t xml:space="preserve">                     2.5m/s</w:t>
      </w:r>
    </w:p>
    <w:p w14:paraId="30ACBEC8">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w:t>
      </w:r>
      <w:r>
        <w:rPr>
          <w:rFonts w:hint="default" w:ascii="Times New Roman" w:hAnsi="Times New Roman" w:cs="Times New Roman"/>
          <w:bCs/>
          <w:color w:val="auto"/>
          <w:u w:val="none" w:color="auto"/>
        </w:rPr>
        <w:t>相对湿度</w:t>
      </w:r>
      <w:r>
        <w:rPr>
          <w:rFonts w:hint="default" w:ascii="Times New Roman" w:hAnsi="Times New Roman" w:cs="Times New Roman"/>
          <w:color w:val="auto"/>
          <w:szCs w:val="22"/>
          <w:u w:val="none" w:color="auto"/>
        </w:rPr>
        <w:t xml:space="preserve">                     81%</w:t>
      </w:r>
    </w:p>
    <w:p w14:paraId="494FAB4F">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年平均</w:t>
      </w:r>
      <w:r>
        <w:rPr>
          <w:rFonts w:hint="default" w:ascii="Times New Roman" w:hAnsi="Times New Roman" w:cs="Times New Roman"/>
          <w:bCs/>
          <w:color w:val="auto"/>
          <w:u w:val="none" w:color="auto"/>
        </w:rPr>
        <w:t>降雨量</w:t>
      </w:r>
      <w:r>
        <w:rPr>
          <w:rFonts w:hint="default" w:ascii="Times New Roman" w:hAnsi="Times New Roman" w:cs="Times New Roman"/>
          <w:color w:val="auto"/>
          <w:szCs w:val="22"/>
          <w:u w:val="none" w:color="auto"/>
        </w:rPr>
        <w:t xml:space="preserve">                   1383mm</w:t>
      </w:r>
    </w:p>
    <w:p w14:paraId="246056DE">
      <w:pPr>
        <w:snapToGrid w:val="0"/>
        <w:ind w:firstLine="480" w:firstLineChars="0"/>
        <w:jc w:val="left"/>
        <w:rPr>
          <w:rFonts w:hint="default" w:ascii="Times New Roman" w:hAnsi="Times New Roman" w:cs="Times New Roman"/>
          <w:color w:val="auto"/>
          <w:szCs w:val="22"/>
          <w:u w:val="none" w:color="auto"/>
        </w:rPr>
      </w:pPr>
      <w:r>
        <w:rPr>
          <w:rFonts w:hint="default" w:ascii="Times New Roman" w:hAnsi="Times New Roman" w:cs="Times New Roman"/>
          <w:color w:val="auto"/>
          <w:szCs w:val="22"/>
          <w:u w:val="none" w:color="auto"/>
        </w:rPr>
        <w:t>年总蒸发量                     1329.4mm</w:t>
      </w:r>
    </w:p>
    <w:p w14:paraId="56B5A503">
      <w:pPr>
        <w:snapToGrid w:val="0"/>
        <w:ind w:firstLine="480" w:firstLineChars="0"/>
        <w:jc w:val="left"/>
        <w:rPr>
          <w:rFonts w:hint="default" w:ascii="Times New Roman" w:hAnsi="Times New Roman" w:cs="Times New Roman"/>
          <w:color w:val="auto"/>
          <w:szCs w:val="22"/>
          <w:highlight w:val="none"/>
          <w:u w:val="none" w:color="auto"/>
        </w:rPr>
      </w:pPr>
      <w:r>
        <w:rPr>
          <w:rFonts w:hint="default" w:ascii="Times New Roman" w:hAnsi="Times New Roman" w:cs="Times New Roman"/>
          <w:color w:val="auto"/>
          <w:szCs w:val="22"/>
          <w:u w:val="none" w:color="auto"/>
        </w:rPr>
        <w:t>全年</w:t>
      </w:r>
      <w:r>
        <w:rPr>
          <w:rFonts w:hint="default" w:ascii="Times New Roman" w:hAnsi="Times New Roman" w:cs="Times New Roman"/>
          <w:bCs/>
          <w:color w:val="auto"/>
          <w:u w:val="none" w:color="auto"/>
        </w:rPr>
        <w:t>无霜期</w:t>
      </w:r>
      <w:r>
        <w:rPr>
          <w:rFonts w:hint="default" w:ascii="Times New Roman" w:hAnsi="Times New Roman" w:cs="Times New Roman"/>
          <w:color w:val="auto"/>
          <w:szCs w:val="22"/>
          <w:u w:val="none" w:color="auto"/>
        </w:rPr>
        <w:t xml:space="preserve">         </w:t>
      </w:r>
      <w:r>
        <w:rPr>
          <w:rFonts w:hint="default" w:ascii="Times New Roman" w:hAnsi="Times New Roman" w:cs="Times New Roman"/>
          <w:color w:val="auto"/>
          <w:szCs w:val="22"/>
          <w:highlight w:val="none"/>
          <w:u w:val="none" w:color="auto"/>
        </w:rPr>
        <w:t xml:space="preserve">            274天</w:t>
      </w:r>
    </w:p>
    <w:p w14:paraId="4418DB3C">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水文</w:t>
      </w:r>
    </w:p>
    <w:p w14:paraId="7B192A48">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w:t>
      </w:r>
    </w:p>
    <w:p w14:paraId="30C84D1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范家坝、白洋湖和南湖垸哑河等。水域面积98.56万多亩，占全县总面积的41.56%以上，为养殖、捕捞、灌溉、航运、工业用水提供了十分充裕的水源。</w:t>
      </w:r>
    </w:p>
    <w:p w14:paraId="5ABD2E35">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湘阴县区域地表水发达，主要水系有、白水江、资江、湘江。项目区周边主要涉及的地表水系为湘江、、</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、周济江（劈山渠）。</w:t>
      </w:r>
    </w:p>
    <w:p w14:paraId="625FDE4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（1）湘江</w:t>
      </w:r>
    </w:p>
    <w:p w14:paraId="23EEE178">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湘江是我省的最大河流，其发源于湖南省永州市蓝山县紫良瑶族乡蓝山国家森林公园的野狗岭，流经湖南省永州市、衡阳市、岳阳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14:paraId="38757944">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湘江湘阴段主要水文参数如下：</w:t>
      </w:r>
    </w:p>
    <w:p w14:paraId="78D554E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年平均水位                    27.31m</w:t>
      </w:r>
    </w:p>
    <w:p w14:paraId="1B43A7B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平均最高水位                  36.65m</w:t>
      </w:r>
    </w:p>
    <w:p w14:paraId="47CB399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平均最低水位                  23.25m</w:t>
      </w:r>
    </w:p>
    <w:p w14:paraId="6591555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历史最高洪峰水位              37.37m</w:t>
      </w:r>
    </w:p>
    <w:p w14:paraId="47A8A193">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平均径流深                    7.76m</w:t>
      </w:r>
    </w:p>
    <w:p w14:paraId="43D4F6D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年平均流量                    2131</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/s</w:t>
      </w:r>
    </w:p>
    <w:p w14:paraId="1A492973">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平均最大流量                  12900</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/s</w:t>
      </w:r>
    </w:p>
    <w:p w14:paraId="0C21D1B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平均最小流量                  248</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/s</w:t>
      </w:r>
    </w:p>
    <w:p w14:paraId="27D4D693">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最大流速                      2.6m/s</w:t>
      </w:r>
    </w:p>
    <w:p w14:paraId="4635183B">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年平均流速                    0.45m/s</w:t>
      </w:r>
    </w:p>
    <w:p w14:paraId="22113A6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枯水期平均流速                0.18m/s</w:t>
      </w:r>
    </w:p>
    <w:p w14:paraId="064C5BD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（2）及其支流</w:t>
      </w:r>
    </w:p>
    <w:p w14:paraId="63CFCA2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为湘阴境内一天然湖泊，湘江右岸一级支流，湖面面积约5400亩，位于县城城区东南，县城以南、东南区域的降雨经支流汇入，再通过调洪闸口与湘江连通，电排设计排水流量64</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/s，总集雨面积205k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，排区耕地面积约13.6万亩。</w:t>
      </w:r>
    </w:p>
    <w:p w14:paraId="554356F2">
      <w:pPr>
        <w:bidi w:val="0"/>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主要有五条汇流河道，即</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、周济江、杉木江、回春河及跃进河，其中</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为湘江一级支流，周济江、杉木江、回春河及跃进河为</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一级支流。</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发源于湘阴县金龙镇青山村青山庵，起点位置为金龙社区燎原水库，流经金龙镇、樟树镇、静河镇、街道、文星镇，于湘阴县机瓦厂流入湘江，全长21.05km，流域面积70.04k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。周济江起点位置为金鸡山水库，流经街道，于涝溪桥村新周济桥处汇入，全长16.65km，流域面积48.11k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；杉木江起点位置为大中村黄金坝，流经玉华镇、街道，于伍桥村新团结桥流入</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，全长14.09km，杉木江支流起点位置为红旗星村红旗水库，流经玉华镇、街道，于袁家铺小山坝附近流入杉木江，全长8.82km，杉木江及支流流域面积48.31k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；回春河起点位置为鹅行山胜利村荫家坝，流经玉华镇、街道，于沙湖双门口流入</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，全长10.43km，流域面积20.32k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；跃进河起点位置为鹅行山鹅形村彭竹坝，流经玉华镇、金龙镇、街道，于罗塘八组关王段流入</w:t>
      </w:r>
      <w:r>
        <w:rPr>
          <w:rFonts w:hint="eastAsia" w:ascii="Times New Roman" w:hAnsi="Times New Roman" w:cs="Times New Roman"/>
          <w:color w:val="auto"/>
          <w:highlight w:val="none"/>
          <w:u w:val="none" w:color="auto"/>
          <w:lang w:eastAsia="zh-CN"/>
        </w:rPr>
        <w:t>洋沙湖</w:t>
      </w:r>
      <w:r>
        <w:rPr>
          <w:rFonts w:hint="default" w:ascii="Times New Roman" w:hAnsi="Times New Roman" w:cs="Times New Roman"/>
          <w:color w:val="auto"/>
          <w:highlight w:val="none"/>
          <w:u w:val="none" w:color="auto"/>
        </w:rPr>
        <w:t>，全长14.43km，流域面积26.24k</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w:t>
      </w:r>
    </w:p>
    <w:p w14:paraId="5958D050">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w:t>
      </w:r>
    </w:p>
    <w:p w14:paraId="772FA781">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地块所在区域高程由南往北逐渐降低，与地块边界处白水江的高程相差约15米，地下水类型主要为孔隙潜水，略具承压性。孔隙潜水主要分布于中砂④中，旱季水量贫乏，水位降低或消失，地下水稳定水位埋深为7.80m～8.50m，地下稳定水位高程为26.95m～28.75m。孔隙潜水主要受大气降水和湘江水侧向的补给，水量较丰富。地下水与湘江水具有连通性，丰水季节接受湘江河水补给，枯水季节向湘江排泄。受气候变化影响明显，地下水位年变化幅度为1～5m左右。区域地下水流向大致为东南向西北方向。</w:t>
      </w:r>
    </w:p>
    <w:p w14:paraId="100B06BF">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土壤</w:t>
      </w:r>
    </w:p>
    <w:p w14:paraId="585A09ED">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岳阳市总国土面积15019平方公里，耕地面积32.10千公顷，其中水田面积17.33千公顷。区域表土为受长江和洞庭湖控制的冲积土，表层以粘土为主，夹少量砂土，厚度在0.4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12.64m，呈红褐色、黄褐色、深绿色和紫红色等类型；自然土壤以湖土和红壤为主，农耕以水稻土和菜园土为主。</w:t>
      </w:r>
    </w:p>
    <w:p w14:paraId="1ADCCFD1">
      <w:pPr>
        <w:pStyle w:val="6"/>
        <w:shd w:val="clear"/>
        <w:bidi w:val="0"/>
        <w:rPr>
          <w:rFonts w:hint="default" w:ascii="Times New Roman" w:hAnsi="Times New Roman" w:cs="Times New Roman"/>
          <w:color w:val="auto"/>
          <w:highlight w:val="none"/>
          <w:u w:val="none" w:color="auto"/>
        </w:rPr>
      </w:pPr>
      <w:bookmarkStart w:id="138" w:name="_Toc85548495"/>
      <w:r>
        <w:rPr>
          <w:rFonts w:hint="default" w:ascii="Times New Roman" w:hAnsi="Times New Roman" w:cs="Times New Roman"/>
          <w:color w:val="auto"/>
          <w:highlight w:val="none"/>
          <w:u w:val="none" w:color="auto"/>
        </w:rPr>
        <w:t>生态环境现状调查</w:t>
      </w:r>
      <w:bookmarkEnd w:id="138"/>
    </w:p>
    <w:p w14:paraId="224195CD">
      <w:pPr>
        <w:shd w:val="clear"/>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14:paraId="7C1F22DE">
      <w:pPr>
        <w:shd w:val="clear"/>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w:t>
      </w:r>
    </w:p>
    <w:p w14:paraId="3884ACE1">
      <w:pPr>
        <w:shd w:val="clear"/>
        <w:ind w:firstLine="48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境内多珍奇生物，珍稀树种有银杏、枫香、杜仲等30余种，珍禽异兽有鹿、獐、獾、锦鸡、鸳鸯等。珍贵的鱼有中华鲟、白鲟、银鱼、胭脂鱼、非洲鲫等，还有特种水产甲鱼、乌龟、泥蛙、龙虾、河蟹、贝类以及世界珍稀的白鳍豚。</w:t>
      </w:r>
    </w:p>
    <w:p w14:paraId="7D5111EA">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highlight w:val="none"/>
        </w:rPr>
        <w:t>湖南湘阴-东湖国家湿地公园</w:t>
      </w:r>
    </w:p>
    <w:p w14:paraId="351F91E2">
      <w:pPr>
        <w:bidi w:val="0"/>
        <w:rPr>
          <w:rFonts w:hint="default" w:ascii="Times New Roman" w:hAnsi="Times New Roman" w:cs="Times New Roman"/>
          <w:highlight w:val="none"/>
        </w:rPr>
      </w:pPr>
      <w:r>
        <w:rPr>
          <w:rFonts w:hint="default" w:ascii="Times New Roman" w:hAnsi="Times New Roman" w:cs="Times New Roman"/>
          <w:highlight w:val="none"/>
        </w:rPr>
        <w:t>湖南湘阴-东湖国家湿地公园于2009开始试点建设，2016年8月通过验收正式成为“国家湿地公园”（《国家林业局关于2016年试点国家湿地公园验收结果的通知》，林湿发〔2016〕107号）。2021年11月1日湖南湘阴-东湖国家湿地入选湖南省第二批省级重要湿地。</w:t>
      </w:r>
    </w:p>
    <w:p w14:paraId="144184C0">
      <w:pPr>
        <w:bidi w:val="0"/>
        <w:rPr>
          <w:rFonts w:hint="default" w:ascii="Times New Roman" w:hAnsi="Times New Roman" w:cs="Times New Roman"/>
          <w:highlight w:val="none"/>
        </w:rPr>
      </w:pPr>
      <w:r>
        <w:rPr>
          <w:rFonts w:hint="default" w:ascii="Times New Roman" w:hAnsi="Times New Roman" w:cs="Times New Roman"/>
          <w:highlight w:val="none"/>
        </w:rPr>
        <w:t>湘阴-东湖国家湿地公园及其周边地形复杂、生物多样性丰富，分布的野生动物种类繁多，通过实地调查和原始资料的整理，在湘阴-东湖国家湿地公园及周边区域发现野生脊椎动物共计198种，隶属于28目73科，其种数为湖南已知脊椎动物总数的26.1%。其中鱼类有5目13科50种，种数占湖南已知鱼类的29.1%；两栖动物有2目5科10种，其种数为湖南已知两栖动物的16.1%；爬行动物有2目8科19种，其种数为湖南已知爬行动物的20.9%；鸟类有15目41科108种，其种数为湖南已知鸟类的28.2%；哺乳动物有4目6科11种，其种数为湖南已知哺乳动物的12.4%。</w:t>
      </w:r>
    </w:p>
    <w:p w14:paraId="68096C48">
      <w:pPr>
        <w:bidi w:val="0"/>
        <w:rPr>
          <w:rFonts w:hint="default" w:ascii="Times New Roman" w:hAnsi="Times New Roman" w:cs="Times New Roman"/>
          <w:highlight w:val="none"/>
        </w:rPr>
      </w:pPr>
      <w:r>
        <w:rPr>
          <w:rFonts w:hint="default" w:ascii="Times New Roman" w:hAnsi="Times New Roman" w:cs="Times New Roman"/>
          <w:highlight w:val="none"/>
        </w:rPr>
        <w:t>根据湖南湘阴-东湖国家湿地公园生态系统的重要程度和生态敏感程度，对湿地公园及其周边生态系统实施三级保护。（1）一级保护范围：湘江干流；（2）二级保护范围：东湖、西湖；（3）三级保护范围：。</w:t>
      </w:r>
    </w:p>
    <w:p w14:paraId="7EE85822">
      <w:pPr>
        <w:bidi w:val="0"/>
        <w:rPr>
          <w:rFonts w:hint="default" w:ascii="Times New Roman" w:hAnsi="Times New Roman" w:cs="Times New Roman"/>
          <w:highlight w:val="none"/>
        </w:rPr>
      </w:pPr>
      <w:r>
        <w:rPr>
          <w:rFonts w:hint="default" w:ascii="Times New Roman" w:hAnsi="Times New Roman" w:cs="Times New Roman"/>
          <w:highlight w:val="none"/>
        </w:rPr>
        <w:t>同时湖南湘阴-东湖国家湿地公园区划为6个功能区（带）：①湘江河流湿地生态保护保育区；②东湖湿地生态恢复重建区；③湘江沿岸湿地科普宣教和文化展示带；④湿地生态休闲游览区；⑤西湖湿地生态利用示范区；⑥综合管理服务区。</w:t>
      </w:r>
    </w:p>
    <w:p w14:paraId="0905EFD6">
      <w:pPr>
        <w:bidi w:val="0"/>
        <w:rPr>
          <w:rFonts w:hint="default" w:ascii="Times New Roman" w:hAnsi="Times New Roman" w:cs="Times New Roman"/>
          <w:highlight w:val="none"/>
        </w:rPr>
      </w:pPr>
      <w:r>
        <w:rPr>
          <w:rFonts w:hint="default" w:ascii="Times New Roman" w:hAnsi="Times New Roman" w:cs="Times New Roman"/>
          <w:highlight w:val="none"/>
        </w:rPr>
        <w:t>①湘江河流湿地生态保护保育区</w:t>
      </w:r>
    </w:p>
    <w:p w14:paraId="2418031A">
      <w:pPr>
        <w:bidi w:val="0"/>
        <w:rPr>
          <w:rFonts w:hint="default" w:ascii="Times New Roman" w:hAnsi="Times New Roman" w:cs="Times New Roman"/>
          <w:highlight w:val="none"/>
        </w:rPr>
      </w:pPr>
      <w:r>
        <w:rPr>
          <w:rFonts w:hint="default" w:ascii="Times New Roman" w:hAnsi="Times New Roman" w:cs="Times New Roman"/>
          <w:highlight w:val="none"/>
        </w:rPr>
        <w:t>该区受人为干扰较少，生态环境保持良好，生物多样性丰富，是湖南湘阴-东湖国家湿地公园的核心和生态基质，主要为湘江干流（湘阴县城段）。规划总面积为626.9公顷。</w:t>
      </w:r>
    </w:p>
    <w:p w14:paraId="05CC459F">
      <w:pPr>
        <w:bidi w:val="0"/>
        <w:rPr>
          <w:rFonts w:hint="default" w:ascii="Times New Roman" w:hAnsi="Times New Roman" w:cs="Times New Roman"/>
          <w:highlight w:val="none"/>
        </w:rPr>
      </w:pPr>
      <w:r>
        <w:rPr>
          <w:rFonts w:hint="default" w:ascii="Times New Roman" w:hAnsi="Times New Roman" w:cs="Times New Roman"/>
          <w:highlight w:val="none"/>
        </w:rPr>
        <w:t>该区主要以保护为主，对湿地公园的湿地生态核心之一——湘阴湘江干流下游（靠近湘阴县城湘江河流段）进行严格的保护，并在此基础上进行一定的恢复和修复。同时，开展一定的科研、监测活动。把湘阴县城湘江河流段打造成“生态的河流、健康的湿地”，以“优良水质”为主要目标，以保证作为洞庭湖四大动脉之一的湘江河流的水质安全。</w:t>
      </w:r>
    </w:p>
    <w:p w14:paraId="039F3039">
      <w:pPr>
        <w:bidi w:val="0"/>
        <w:rPr>
          <w:rFonts w:hint="default" w:ascii="Times New Roman" w:hAnsi="Times New Roman" w:cs="Times New Roman"/>
          <w:highlight w:val="none"/>
        </w:rPr>
      </w:pPr>
      <w:r>
        <w:rPr>
          <w:rFonts w:hint="default" w:ascii="Times New Roman" w:hAnsi="Times New Roman" w:cs="Times New Roman"/>
          <w:highlight w:val="none"/>
        </w:rPr>
        <w:t>②东湖湿地生态恢复重建区</w:t>
      </w:r>
    </w:p>
    <w:p w14:paraId="2255B076">
      <w:pPr>
        <w:bidi w:val="0"/>
        <w:rPr>
          <w:rFonts w:hint="default" w:ascii="Times New Roman" w:hAnsi="Times New Roman" w:cs="Times New Roman"/>
          <w:highlight w:val="none"/>
        </w:rPr>
      </w:pPr>
      <w:r>
        <w:rPr>
          <w:rFonts w:hint="default" w:ascii="Times New Roman" w:hAnsi="Times New Roman" w:cs="Times New Roman"/>
          <w:highlight w:val="none"/>
        </w:rPr>
        <w:t>该区位于紧邻湘阴县城的东湖，规划总面积为278.9公顷，主要包括东湖、西湖周边区域。近年来由于大面积的水产养殖和围垦，湿地面积不断缩小，水质不断恶化，生态环境和周边群众生命财产安全受到巨大的威胁。</w:t>
      </w:r>
    </w:p>
    <w:p w14:paraId="026776BD">
      <w:pPr>
        <w:bidi w:val="0"/>
        <w:rPr>
          <w:rFonts w:hint="default" w:ascii="Times New Roman" w:hAnsi="Times New Roman" w:cs="Times New Roman"/>
          <w:highlight w:val="none"/>
        </w:rPr>
      </w:pPr>
      <w:r>
        <w:rPr>
          <w:rFonts w:hint="default" w:ascii="Times New Roman" w:hAnsi="Times New Roman" w:cs="Times New Roman"/>
          <w:highlight w:val="none"/>
        </w:rPr>
        <w:t>该区以湿地生态恢复与重建为主。通过恢复和重建完整的环湖自然驳岸带，恢复多样的湿地植物群落，营造多样的湿地景观，为野生动物提供良好的栖息地，借助良好的区位优势，在改善生态环境的同时打造良好的“城市”湿地景观。同时，在生产生活用水排入河流的入口附近，进行以降解污染和净化水质为主导的“生态过滤型”湿地生态系统建设，减少进入东湖的污染物，提高生态缓冲带的净化能力。</w:t>
      </w:r>
    </w:p>
    <w:p w14:paraId="0D3034D8">
      <w:pPr>
        <w:bidi w:val="0"/>
        <w:rPr>
          <w:rFonts w:hint="default" w:ascii="Times New Roman" w:hAnsi="Times New Roman" w:cs="Times New Roman"/>
          <w:highlight w:val="none"/>
        </w:rPr>
      </w:pPr>
      <w:r>
        <w:rPr>
          <w:rFonts w:hint="default" w:ascii="Times New Roman" w:hAnsi="Times New Roman" w:cs="Times New Roman"/>
          <w:highlight w:val="none"/>
        </w:rPr>
        <w:t>③湘江沿岸湿地科普宣教和文化展示带</w:t>
      </w:r>
    </w:p>
    <w:p w14:paraId="4FD68015">
      <w:pPr>
        <w:bidi w:val="0"/>
        <w:rPr>
          <w:rFonts w:hint="default" w:ascii="Times New Roman" w:hAnsi="Times New Roman" w:cs="Times New Roman"/>
          <w:highlight w:val="none"/>
        </w:rPr>
      </w:pPr>
      <w:r>
        <w:rPr>
          <w:rFonts w:hint="default" w:ascii="Times New Roman" w:hAnsi="Times New Roman" w:cs="Times New Roman"/>
          <w:highlight w:val="none"/>
        </w:rPr>
        <w:t>该区位于湘江东岸县城至水闸之间，湘江滨江大道一侧。规划总面积14.2公顷。</w:t>
      </w:r>
    </w:p>
    <w:p w14:paraId="5AC70096">
      <w:pPr>
        <w:bidi w:val="0"/>
        <w:rPr>
          <w:rFonts w:hint="default" w:ascii="Times New Roman" w:hAnsi="Times New Roman" w:cs="Times New Roman"/>
          <w:highlight w:val="none"/>
        </w:rPr>
      </w:pPr>
      <w:r>
        <w:rPr>
          <w:rFonts w:hint="default" w:ascii="Times New Roman" w:hAnsi="Times New Roman" w:cs="Times New Roman"/>
          <w:highlight w:val="none"/>
        </w:rPr>
        <w:t>目前，该区道路畅通，交通状况良好。连接了湘江、东湖与，是整个湿地公园的主干道，沿途湿地类型多样。规划充分利用该区域的“中轴线”作用，以典型的湖泊湿地、河流湿地和洪泛平原湿地等为载体向游客展示湿地科普知识和湿地生态文化。通过室内和室外湿地的展示，向大众宣传湿地的有关知识，加强公众的湿地保护意识，并开展适当的科研、监测工作。</w:t>
      </w:r>
    </w:p>
    <w:p w14:paraId="00FABE91">
      <w:pPr>
        <w:bidi w:val="0"/>
        <w:rPr>
          <w:rFonts w:hint="default" w:ascii="Times New Roman" w:hAnsi="Times New Roman" w:cs="Times New Roman"/>
          <w:highlight w:val="none"/>
        </w:rPr>
      </w:pPr>
      <w:r>
        <w:rPr>
          <w:rFonts w:hint="default" w:ascii="Times New Roman" w:hAnsi="Times New Roman" w:cs="Times New Roman"/>
          <w:highlight w:val="none"/>
        </w:rPr>
        <w:t>④湿地生态休闲游览区</w:t>
      </w:r>
    </w:p>
    <w:p w14:paraId="3DEC0C27">
      <w:pPr>
        <w:bidi w:val="0"/>
        <w:rPr>
          <w:rFonts w:hint="default" w:ascii="Times New Roman" w:hAnsi="Times New Roman" w:cs="Times New Roman"/>
          <w:highlight w:val="none"/>
        </w:rPr>
      </w:pPr>
      <w:r>
        <w:rPr>
          <w:rFonts w:hint="default" w:ascii="Times New Roman" w:hAnsi="Times New Roman" w:cs="Times New Roman"/>
          <w:highlight w:val="none"/>
        </w:rPr>
        <w:t>该区主要包括及其周边部分区域，面积为560.6公顷。</w:t>
      </w:r>
    </w:p>
    <w:p w14:paraId="1E68576A">
      <w:pPr>
        <w:bidi w:val="0"/>
        <w:rPr>
          <w:rFonts w:hint="default" w:ascii="Times New Roman" w:hAnsi="Times New Roman" w:cs="Times New Roman"/>
          <w:highlight w:val="none"/>
        </w:rPr>
      </w:pPr>
      <w:r>
        <w:rPr>
          <w:rFonts w:hint="default" w:ascii="Times New Roman" w:hAnsi="Times New Roman" w:cs="Times New Roman"/>
          <w:highlight w:val="none"/>
        </w:rPr>
        <w:t>目前，该区湿地生态环境良好，湿地景观资源丰富，周边湿地人文景观资源也很丰富，是进行湿地生态休闲游览的理想场所。规划在现有旅游开发的基础上，结合湘阴湿地文化和地方历史特色文化，以湿地体验和参与项目为主体进行生态旅游建设。同时，发展相关的衍生旅游产业链，开发相关上下游旅游产品。</w:t>
      </w:r>
    </w:p>
    <w:p w14:paraId="18F7D40F">
      <w:pPr>
        <w:bidi w:val="0"/>
        <w:rPr>
          <w:rFonts w:hint="default" w:ascii="Times New Roman" w:hAnsi="Times New Roman" w:cs="Times New Roman"/>
          <w:highlight w:val="none"/>
        </w:rPr>
      </w:pPr>
      <w:r>
        <w:rPr>
          <w:rFonts w:hint="default" w:ascii="Times New Roman" w:hAnsi="Times New Roman" w:cs="Times New Roman"/>
          <w:highlight w:val="none"/>
        </w:rPr>
        <w:t>⑤西湖湿地生态利用示范区</w:t>
      </w:r>
    </w:p>
    <w:p w14:paraId="3ED3B2A5">
      <w:pPr>
        <w:bidi w:val="0"/>
        <w:rPr>
          <w:rFonts w:hint="default" w:ascii="Times New Roman" w:hAnsi="Times New Roman" w:cs="Times New Roman"/>
          <w:highlight w:val="none"/>
        </w:rPr>
      </w:pPr>
      <w:r>
        <w:rPr>
          <w:rFonts w:hint="default" w:ascii="Times New Roman" w:hAnsi="Times New Roman" w:cs="Times New Roman"/>
          <w:highlight w:val="none"/>
        </w:rPr>
        <w:t>该区主要包括西湖及其周边部分区域，面积为37.2公顷。</w:t>
      </w:r>
    </w:p>
    <w:p w14:paraId="2F88D799">
      <w:pPr>
        <w:bidi w:val="0"/>
        <w:rPr>
          <w:rFonts w:hint="default" w:ascii="Times New Roman" w:hAnsi="Times New Roman" w:cs="Times New Roman"/>
          <w:highlight w:val="none"/>
        </w:rPr>
      </w:pPr>
      <w:r>
        <w:rPr>
          <w:rFonts w:hint="default" w:ascii="Times New Roman" w:hAnsi="Times New Roman" w:cs="Times New Roman"/>
          <w:highlight w:val="none"/>
        </w:rPr>
        <w:t>该区目前以水产养殖和生态农业生产为主，但是产品附加值低、单位面积的产出收益不高。规划在该区对传统人工湿地生产模式的改造和发展，探求新形势下湿地生产的发展方向，开展湿地生态利用示范，发展产品附加值高、单位面积产出收益高、环境污染小的湿地产业，同时可开展适度的生态旅游。该区主要建设项目有：湿地花卉盆景生产示范项目、湿地蔬菜生产示范项目、休闲渔业示范项目。</w:t>
      </w:r>
    </w:p>
    <w:p w14:paraId="385B4FEE">
      <w:pPr>
        <w:bidi w:val="0"/>
        <w:rPr>
          <w:rFonts w:hint="default" w:ascii="Times New Roman" w:hAnsi="Times New Roman" w:cs="Times New Roman"/>
          <w:highlight w:val="none"/>
        </w:rPr>
      </w:pPr>
      <w:r>
        <w:rPr>
          <w:rFonts w:hint="default" w:ascii="Times New Roman" w:hAnsi="Times New Roman" w:cs="Times New Roman"/>
          <w:highlight w:val="none"/>
        </w:rPr>
        <w:t>⑥综合管理服务区</w:t>
      </w:r>
    </w:p>
    <w:p w14:paraId="54DFE31C">
      <w:pPr>
        <w:bidi w:val="0"/>
        <w:rPr>
          <w:rFonts w:hint="default" w:ascii="Times New Roman" w:hAnsi="Times New Roman" w:cs="Times New Roman"/>
          <w:highlight w:val="none"/>
        </w:rPr>
      </w:pPr>
      <w:r>
        <w:rPr>
          <w:rFonts w:hint="default" w:ascii="Times New Roman" w:hAnsi="Times New Roman" w:cs="Times New Roman"/>
          <w:highlight w:val="none"/>
        </w:rPr>
        <w:t>该区主要包括湿地公园的管理、服务机构和设施，由湿地公园管理局、湿地公园保护管理站构成。湿地公园建成后，该区主要具备管理和服务功能，使湿地公园得到科学有效的管理和保护，为游客提供优质高效的服务。规划总面积8.1公顷。</w:t>
      </w:r>
    </w:p>
    <w:p w14:paraId="7F2299CC">
      <w:pPr>
        <w:bidi w:val="0"/>
        <w:rPr>
          <w:rFonts w:hint="default" w:ascii="Times New Roman" w:hAnsi="Times New Roman" w:cs="Times New Roman"/>
          <w:highlight w:val="none"/>
        </w:rPr>
      </w:pPr>
      <w:r>
        <w:rPr>
          <w:rFonts w:hint="default" w:ascii="Times New Roman" w:hAnsi="Times New Roman" w:cs="Times New Roman"/>
          <w:highlight w:val="none"/>
        </w:rPr>
        <w:t>湘阴高新区规划范围不涉及湖南湘阴-东湖国家湿地公园，湘阴高新区临港片区紧邻湘江为湿地公园的湘江河流湿地生态保护保育区，属于一级保护区；片区临近劈山渠（周济江）为湿地公园的湿地生态休闲游览区，属于三级保护区。</w:t>
      </w:r>
    </w:p>
    <w:p w14:paraId="1EAC3ACE">
      <w:pPr>
        <w:bidi w:val="0"/>
        <w:rPr>
          <w:rFonts w:hint="default" w:ascii="Times New Roman" w:hAnsi="Times New Roman" w:cs="Times New Roman"/>
          <w:highlight w:val="none"/>
        </w:rPr>
      </w:pPr>
      <w:r>
        <w:rPr>
          <w:rFonts w:hint="default" w:ascii="Times New Roman" w:hAnsi="Times New Roman" w:cs="Times New Roman"/>
          <w:highlight w:val="none"/>
        </w:rPr>
        <w:t>本项目距离湿地公园规划边界最近距离约</w:t>
      </w:r>
      <w:r>
        <w:rPr>
          <w:rFonts w:hint="eastAsia" w:ascii="Times New Roman" w:hAnsi="Times New Roman" w:cs="Times New Roman"/>
          <w:highlight w:val="none"/>
          <w:lang w:val="en-US" w:eastAsia="zh-CN"/>
        </w:rPr>
        <w:t>2.3k</w:t>
      </w:r>
      <w:r>
        <w:rPr>
          <w:rFonts w:hint="default" w:ascii="Times New Roman" w:hAnsi="Times New Roman" w:cs="Times New Roman"/>
          <w:highlight w:val="none"/>
        </w:rPr>
        <w:t>m，项目与湖南湘阴-东湖国家湿地公园的相对位置关系见附图。</w:t>
      </w:r>
    </w:p>
    <w:p w14:paraId="168D13DE">
      <w:pPr>
        <w:pStyle w:val="5"/>
        <w:bidi w:val="0"/>
        <w:rPr>
          <w:rFonts w:hint="default"/>
        </w:rPr>
      </w:pPr>
      <w:bookmarkStart w:id="139" w:name="_Toc22243"/>
      <w:r>
        <w:rPr>
          <w:rFonts w:hint="default"/>
        </w:rPr>
        <w:t>湘阴高新技术产业开发区基本情况</w:t>
      </w:r>
      <w:bookmarkEnd w:id="139"/>
    </w:p>
    <w:p w14:paraId="120748B9">
      <w:pPr>
        <w:pStyle w:val="6"/>
        <w:bidi w:val="0"/>
        <w:rPr>
          <w:rFonts w:hint="default"/>
        </w:rPr>
      </w:pPr>
      <w:r>
        <w:rPr>
          <w:rFonts w:hint="default"/>
        </w:rPr>
        <w:t>高新区概况</w:t>
      </w:r>
    </w:p>
    <w:p w14:paraId="389C74B4">
      <w:pPr>
        <w:bidi w:val="0"/>
        <w:rPr>
          <w:rFonts w:hint="default" w:ascii="Times New Roman" w:hAnsi="Times New Roman" w:cs="Times New Roman"/>
          <w:highlight w:val="none"/>
        </w:rPr>
      </w:pPr>
      <w:r>
        <w:rPr>
          <w:rFonts w:hint="default" w:ascii="Times New Roman" w:hAnsi="Times New Roman" w:cs="Times New Roman"/>
          <w:highlight w:val="none"/>
        </w:rPr>
        <w:t>湘阴高新技术产业开发区原名为湖南湘阴工业园、湖南湘阴工业园，位于岳阳市湘阴县，成立于2003年4月。2006年4月，经湖南省人民政府（湘政函[2006]79号）批准为省级工业园区。2013年园区管委会委托编制《湖南湘阴工业园区环境影响报告书》，于2013年12月取得原湖南省环境保护厅批复（湘环评[2013]305号）。2016年7月，《湖南省人民政府关于设立湘阴高新技术产业开发区的批复》（湘政函［2016］103号），同意在湘阴工业园基础上建设湘阴高新技术产业开发区。2020年4月，湖南省发展和改革委员会《关于同意湘阴高新技术产业开发区开展调区扩区前期工作的函》（湘发改函[2020]52号）。2020年园区管委会委托湖南葆华环保有限公司编制《湘阴高新技术产业开发区调区扩区规划环境影响报告书》，2022年6月获得湖南省生态环境厅审查意见（湘环评函[2022]65号）。</w:t>
      </w:r>
    </w:p>
    <w:p w14:paraId="164B92FD">
      <w:pPr>
        <w:pStyle w:val="7"/>
        <w:bidi w:val="0"/>
        <w:rPr>
          <w:rFonts w:hint="default"/>
        </w:rPr>
      </w:pPr>
      <w:r>
        <w:rPr>
          <w:rFonts w:hint="default"/>
        </w:rPr>
        <w:t>规划范围</w:t>
      </w:r>
    </w:p>
    <w:p w14:paraId="0D18C6D7">
      <w:pPr>
        <w:bidi w:val="0"/>
        <w:rPr>
          <w:rFonts w:hint="default"/>
        </w:rPr>
      </w:pPr>
      <w:r>
        <w:rPr>
          <w:rFonts w:hint="default"/>
        </w:rPr>
        <w:t>湖南湘阴高新技术产业开发区为“一区三园”，即临港片区、片区和金龙片区，总规划面积1000.83公顷。各片区详细情况如下：</w:t>
      </w:r>
    </w:p>
    <w:p w14:paraId="7020820C">
      <w:pPr>
        <w:bidi w:val="0"/>
        <w:rPr>
          <w:rFonts w:hint="default"/>
        </w:rPr>
      </w:pPr>
      <w:r>
        <w:rPr>
          <w:rFonts w:hint="default"/>
        </w:rPr>
        <w:t>临港片区位于县城北侧，范围东至太傅路、南至纬一路、西至湘江东岸、北至漕溪港火车站，面积为152.91公顷，规划重点发展建筑建材产业；</w:t>
      </w:r>
    </w:p>
    <w:p w14:paraId="1A9BE700">
      <w:pPr>
        <w:bidi w:val="0"/>
        <w:rPr>
          <w:rFonts w:hint="default"/>
        </w:rPr>
      </w:pPr>
      <w:r>
        <w:rPr>
          <w:rFonts w:hint="default"/>
        </w:rPr>
        <w:t>片区位于县城中部与南部，范围东至芙蓉北路、南至京港澳复线互通口、西至中联大道、北至大道，面积为611.44公顷，规划重点发展装备制造（新能源）、建筑建材、食品加工、新材料、电子信息产业；</w:t>
      </w:r>
    </w:p>
    <w:p w14:paraId="15762B61">
      <w:pPr>
        <w:bidi w:val="0"/>
        <w:rPr>
          <w:rFonts w:hint="default"/>
          <w:highlight w:val="none"/>
        </w:rPr>
      </w:pPr>
      <w:r>
        <w:rPr>
          <w:rFonts w:hint="default"/>
        </w:rPr>
        <w:t>金龙片区位于金龙镇南面，范围东至安宁南路、南至燎原路、西至金华村、北至卓达金谷北边界，面积</w:t>
      </w:r>
      <w:r>
        <w:rPr>
          <w:rFonts w:hint="default"/>
          <w:highlight w:val="none"/>
        </w:rPr>
        <w:t>为236.48公顷，规划重点发展装备制造（新能源）产业。</w:t>
      </w:r>
    </w:p>
    <w:p w14:paraId="6BCFEB28">
      <w:pPr>
        <w:pStyle w:val="7"/>
        <w:bidi w:val="0"/>
        <w:rPr>
          <w:rFonts w:hint="default"/>
          <w:highlight w:val="none"/>
        </w:rPr>
      </w:pPr>
      <w:r>
        <w:rPr>
          <w:rFonts w:hint="default"/>
          <w:highlight w:val="none"/>
        </w:rPr>
        <w:t>开发现状</w:t>
      </w:r>
    </w:p>
    <w:p w14:paraId="25D618DC">
      <w:pPr>
        <w:bidi w:val="0"/>
        <w:rPr>
          <w:rFonts w:hint="default" w:ascii="Times New Roman" w:hAnsi="Times New Roman" w:cs="Times New Roman"/>
          <w:highlight w:val="none"/>
        </w:rPr>
      </w:pPr>
      <w:r>
        <w:rPr>
          <w:rFonts w:hint="default" w:ascii="Times New Roman" w:hAnsi="Times New Roman" w:cs="Times New Roman"/>
          <w:highlight w:val="none"/>
        </w:rPr>
        <w:t>片区入驻企业45家，目前已形成了食品加工、装备制造、建材、家具制造等行业；目前已引进以义丰祥实业、长康实业、海日食品为代表的食品加工企业，以信达电梯、金为新材料等为代表的装备制造企业，以凯博杭萧、蓝天豚等为代表的建筑建材业企业。</w:t>
      </w:r>
    </w:p>
    <w:p w14:paraId="6F61D0B4">
      <w:pPr>
        <w:pStyle w:val="7"/>
        <w:bidi w:val="0"/>
        <w:rPr>
          <w:rFonts w:hint="default"/>
          <w:highlight w:val="none"/>
        </w:rPr>
      </w:pPr>
      <w:r>
        <w:rPr>
          <w:rFonts w:hint="default"/>
          <w:highlight w:val="none"/>
        </w:rPr>
        <w:t>产业定位</w:t>
      </w:r>
    </w:p>
    <w:p w14:paraId="25CD3C66">
      <w:pPr>
        <w:bidi w:val="0"/>
        <w:rPr>
          <w:rFonts w:hint="default" w:ascii="Times New Roman" w:hAnsi="Times New Roman" w:cs="Times New Roman"/>
          <w:highlight w:val="none"/>
        </w:rPr>
      </w:pPr>
      <w:r>
        <w:rPr>
          <w:rFonts w:hint="default" w:ascii="Times New Roman" w:hAnsi="Times New Roman" w:cs="Times New Roman"/>
          <w:highlight w:val="none"/>
        </w:rPr>
        <w:t>临港片区规划基于现有砼结构构件制造、金属结构制造企业为产业基础发展装配式建筑建材产业、配套发展物流产业；片区规划重点发展装备制造、食品加工、新材料产业（主要包含电子专用材料制造、电池制造（不含铅酸蓄电池））、废弃资源综合利用（包括利用金属废料和碎屑加工处理和废油回收）、电子信息和建筑建材；金龙片区重点发展装备制造产业。</w:t>
      </w:r>
    </w:p>
    <w:p w14:paraId="62A0831F">
      <w:pPr>
        <w:pStyle w:val="7"/>
        <w:bidi w:val="0"/>
        <w:rPr>
          <w:rFonts w:hint="default"/>
          <w:highlight w:val="none"/>
        </w:rPr>
      </w:pPr>
      <w:r>
        <w:rPr>
          <w:rFonts w:hint="default"/>
          <w:highlight w:val="none"/>
        </w:rPr>
        <w:t>总体规划与专项建设规划方案</w:t>
      </w:r>
    </w:p>
    <w:p w14:paraId="1D4E4AEA">
      <w:pPr>
        <w:bidi w:val="0"/>
        <w:rPr>
          <w:rFonts w:hint="default" w:ascii="Times New Roman" w:hAnsi="Times New Roman" w:cs="Times New Roman"/>
          <w:highlight w:val="none"/>
        </w:rPr>
      </w:pPr>
      <w:r>
        <w:rPr>
          <w:rFonts w:hint="default" w:ascii="Times New Roman" w:hAnsi="Times New Roman" w:cs="Times New Roman"/>
          <w:highlight w:val="none"/>
        </w:rPr>
        <w:t>（1）功能分区与规划布局</w:t>
      </w:r>
    </w:p>
    <w:p w14:paraId="5378DF07">
      <w:pPr>
        <w:bidi w:val="0"/>
        <w:rPr>
          <w:rFonts w:hint="default" w:ascii="Times New Roman" w:hAnsi="Times New Roman" w:cs="Times New Roman"/>
          <w:highlight w:val="none"/>
        </w:rPr>
      </w:pPr>
      <w:r>
        <w:rPr>
          <w:rFonts w:hint="default" w:ascii="Times New Roman" w:hAnsi="Times New Roman" w:cs="Times New Roman"/>
          <w:highlight w:val="none"/>
        </w:rPr>
        <w:t>芙蓉北路作为南北向的发展轴线，串联整个湘阴高新区，根据各个区域各自的区位条件、发展定位，确定不同的空间策略，实现“港-城-区”一体化发展。</w:t>
      </w:r>
    </w:p>
    <w:p w14:paraId="7E812E59">
      <w:pPr>
        <w:bidi w:val="0"/>
        <w:rPr>
          <w:rFonts w:hint="default" w:ascii="Times New Roman" w:hAnsi="Times New Roman" w:cs="Times New Roman"/>
          <w:highlight w:val="none"/>
        </w:rPr>
      </w:pPr>
      <w:r>
        <w:rPr>
          <w:rFonts w:hint="default" w:ascii="Times New Roman" w:hAnsi="Times New Roman" w:cs="Times New Roman"/>
          <w:highlight w:val="none"/>
        </w:rPr>
        <w:t>北港：临港片区西临湘江，南部紧靠湘阴县老城区，东部为新的县城中心，交通联系极为便捷，临港片区保留现有两家企业用地规模，其紧邻湘阴县城区港口-漕溪港。特别说明临港片区不涉及港口用地、物流用地。</w:t>
      </w:r>
    </w:p>
    <w:p w14:paraId="63E4DC2D">
      <w:pPr>
        <w:bidi w:val="0"/>
        <w:rPr>
          <w:rFonts w:hint="default" w:ascii="Times New Roman" w:hAnsi="Times New Roman" w:cs="Times New Roman"/>
          <w:highlight w:val="none"/>
        </w:rPr>
      </w:pPr>
      <w:r>
        <w:rPr>
          <w:rFonts w:hint="default" w:ascii="Times New Roman" w:hAnsi="Times New Roman" w:cs="Times New Roman"/>
          <w:highlight w:val="none"/>
        </w:rPr>
        <w:t>中城，片区北部临近南岸新城，西侧为，环境优势明显，目前用地以工业为主，在未来应积极推进退二进三、退二优二，将区位优越的用地转换成城市配套用地，打造“城”的概念，因此在功能上工业、商住、产业区配套基本为均衡发展，以形成产城融合的区域。</w:t>
      </w:r>
    </w:p>
    <w:p w14:paraId="79D84E40">
      <w:pPr>
        <w:bidi w:val="0"/>
        <w:rPr>
          <w:rFonts w:hint="default" w:ascii="Times New Roman" w:hAnsi="Times New Roman" w:cs="Times New Roman"/>
          <w:highlight w:val="none"/>
        </w:rPr>
      </w:pPr>
      <w:r>
        <w:rPr>
          <w:rFonts w:hint="default" w:ascii="Times New Roman" w:hAnsi="Times New Roman" w:cs="Times New Roman"/>
          <w:highlight w:val="none"/>
        </w:rPr>
        <w:t>南区，金龙片区作为新兴的产业新区，是湘阴高新区产业发展的战略要地，又有燎原水库、青山、鹅形山等独特的自然山水资源，因此用地布局上体现复合化、多元化发展的思路，力求将其建设成为一个适宜居住、工作、休闲娱乐的生态型新区，积极对接大长沙，辐射湘阴县域，成为未来湘阴高新区发展的龙头区域。</w:t>
      </w:r>
    </w:p>
    <w:p w14:paraId="62022D8C">
      <w:pPr>
        <w:bidi w:val="0"/>
        <w:rPr>
          <w:rFonts w:hint="default" w:ascii="Times New Roman" w:hAnsi="Times New Roman" w:cs="Times New Roman"/>
          <w:highlight w:val="none"/>
        </w:rPr>
      </w:pPr>
      <w:r>
        <w:rPr>
          <w:rFonts w:hint="default" w:ascii="Times New Roman" w:hAnsi="Times New Roman" w:cs="Times New Roman"/>
          <w:highlight w:val="none"/>
        </w:rPr>
        <w:t>（2）道路交通规划</w:t>
      </w:r>
    </w:p>
    <w:p w14:paraId="574399EA">
      <w:pPr>
        <w:bidi w:val="0"/>
        <w:rPr>
          <w:rFonts w:hint="default" w:ascii="Times New Roman" w:hAnsi="Times New Roman" w:cs="Times New Roman"/>
          <w:highlight w:val="none"/>
        </w:rPr>
      </w:pPr>
      <w:r>
        <w:rPr>
          <w:rFonts w:hint="default" w:ascii="Times New Roman" w:hAnsi="Times New Roman" w:cs="Times New Roman"/>
          <w:highlight w:val="none"/>
        </w:rPr>
        <w:t>①规划临港片区形成“一横两纵”的道路骨架：</w:t>
      </w:r>
    </w:p>
    <w:p w14:paraId="73EF080B">
      <w:pPr>
        <w:bidi w:val="0"/>
        <w:rPr>
          <w:rFonts w:hint="default" w:ascii="Times New Roman" w:hAnsi="Times New Roman" w:cs="Times New Roman"/>
          <w:highlight w:val="none"/>
        </w:rPr>
      </w:pPr>
      <w:r>
        <w:rPr>
          <w:rFonts w:hint="default" w:ascii="Times New Roman" w:hAnsi="Times New Roman" w:cs="Times New Roman"/>
          <w:highlight w:val="none"/>
        </w:rPr>
        <w:t>“一横”：双桥路；“两纵”：湘杨路、太傅路。</w:t>
      </w:r>
    </w:p>
    <w:p w14:paraId="60D016DE">
      <w:pPr>
        <w:bidi w:val="0"/>
        <w:rPr>
          <w:rFonts w:hint="default" w:ascii="Times New Roman" w:hAnsi="Times New Roman" w:cs="Times New Roman"/>
          <w:highlight w:val="none"/>
        </w:rPr>
      </w:pPr>
      <w:r>
        <w:rPr>
          <w:rFonts w:hint="default" w:ascii="Times New Roman" w:hAnsi="Times New Roman" w:cs="Times New Roman"/>
          <w:highlight w:val="none"/>
        </w:rPr>
        <w:t>②规划片区形成“三横四纵”的道路骨架：</w:t>
      </w:r>
    </w:p>
    <w:p w14:paraId="7FB8B42F">
      <w:pPr>
        <w:bidi w:val="0"/>
        <w:rPr>
          <w:rFonts w:hint="default" w:ascii="Times New Roman" w:hAnsi="Times New Roman" w:cs="Times New Roman"/>
          <w:highlight w:val="none"/>
        </w:rPr>
      </w:pPr>
      <w:r>
        <w:rPr>
          <w:rFonts w:hint="default" w:ascii="Times New Roman" w:hAnsi="Times New Roman" w:cs="Times New Roman"/>
          <w:highlight w:val="none"/>
        </w:rPr>
        <w:t>“三横”：大道、健铭大道、顺天大道；“四纵”：文樟大道、中联大道、工业大道、芙蓉北路。</w:t>
      </w:r>
    </w:p>
    <w:p w14:paraId="1F21CECA">
      <w:pPr>
        <w:bidi w:val="0"/>
        <w:rPr>
          <w:rFonts w:hint="default" w:ascii="Times New Roman" w:hAnsi="Times New Roman" w:cs="Times New Roman"/>
          <w:highlight w:val="none"/>
        </w:rPr>
      </w:pPr>
      <w:r>
        <w:rPr>
          <w:rFonts w:hint="default" w:ascii="Times New Roman" w:hAnsi="Times New Roman" w:cs="Times New Roman"/>
          <w:highlight w:val="none"/>
        </w:rPr>
        <w:t>③规划金龙片区形成“两横一纵”的道路骨架：</w:t>
      </w:r>
    </w:p>
    <w:p w14:paraId="5C4FE27F">
      <w:pPr>
        <w:bidi w:val="0"/>
        <w:rPr>
          <w:rFonts w:hint="default" w:ascii="Times New Roman" w:hAnsi="Times New Roman" w:cs="Times New Roman"/>
          <w:highlight w:val="none"/>
        </w:rPr>
      </w:pPr>
      <w:r>
        <w:rPr>
          <w:rFonts w:hint="default" w:ascii="Times New Roman" w:hAnsi="Times New Roman" w:cs="Times New Roman"/>
          <w:highlight w:val="none"/>
        </w:rPr>
        <w:t>“两横”：金龙大道、机场路；“一纵”：芙蓉北路。。</w:t>
      </w:r>
    </w:p>
    <w:p w14:paraId="2F91B9DE">
      <w:pPr>
        <w:bidi w:val="0"/>
        <w:rPr>
          <w:rFonts w:hint="default" w:ascii="Times New Roman" w:hAnsi="Times New Roman" w:cs="Times New Roman"/>
          <w:highlight w:val="none"/>
        </w:rPr>
      </w:pPr>
      <w:r>
        <w:rPr>
          <w:rFonts w:hint="default" w:ascii="Times New Roman" w:hAnsi="Times New Roman" w:cs="Times New Roman"/>
          <w:highlight w:val="none"/>
        </w:rPr>
        <w:t>（3）市政工程规划</w:t>
      </w:r>
    </w:p>
    <w:p w14:paraId="66007A2A">
      <w:pPr>
        <w:bidi w:val="0"/>
        <w:rPr>
          <w:rFonts w:hint="default" w:ascii="Times New Roman" w:hAnsi="Times New Roman" w:cs="Times New Roman"/>
          <w:highlight w:val="none"/>
        </w:rPr>
      </w:pPr>
      <w:r>
        <w:rPr>
          <w:rFonts w:hint="default" w:ascii="Times New Roman" w:hAnsi="Times New Roman" w:cs="Times New Roman"/>
          <w:highlight w:val="none"/>
        </w:rPr>
        <w:t>①给水工程规划</w:t>
      </w:r>
    </w:p>
    <w:p w14:paraId="04F45F32">
      <w:pPr>
        <w:bidi w:val="0"/>
        <w:rPr>
          <w:rFonts w:hint="default" w:ascii="Times New Roman" w:hAnsi="Times New Roman" w:cs="Times New Roman"/>
          <w:highlight w:val="none"/>
        </w:rPr>
      </w:pPr>
      <w:r>
        <w:rPr>
          <w:rFonts w:hint="default" w:ascii="Times New Roman" w:hAnsi="Times New Roman" w:cs="Times New Roman"/>
          <w:highlight w:val="none"/>
        </w:rPr>
        <w:t>湘阴县城目前主要由一、二、三水厂供水，远期统一由第五水厂供水，形成联网供水格局，增强湘阴县城供水安全的可靠性，提高水能力和供水服务压力，满足临港片区和片区未来用水需求；金龙片区水源来自湘阴县城自来水厂（现状燎原水库水源地已取消，保留水厂和提升泵站），目前湘阴县已启动城乡供水一体化工程，正在建设第五水厂，水源取自湘江，后续均由第五水厂供水。</w:t>
      </w:r>
    </w:p>
    <w:p w14:paraId="763ECAFA">
      <w:pPr>
        <w:bidi w:val="0"/>
        <w:rPr>
          <w:rFonts w:hint="default" w:ascii="Times New Roman" w:hAnsi="Times New Roman" w:cs="Times New Roman"/>
          <w:highlight w:val="none"/>
        </w:rPr>
      </w:pPr>
      <w:r>
        <w:rPr>
          <w:rFonts w:hint="default" w:ascii="Times New Roman" w:hAnsi="Times New Roman" w:cs="Times New Roman"/>
          <w:highlight w:val="none"/>
        </w:rPr>
        <w:t>②排水工程规划</w:t>
      </w:r>
    </w:p>
    <w:p w14:paraId="473C68EC">
      <w:pPr>
        <w:bidi w:val="0"/>
        <w:rPr>
          <w:rFonts w:hint="default" w:ascii="Times New Roman" w:hAnsi="Times New Roman" w:cs="Times New Roman"/>
          <w:highlight w:val="none"/>
        </w:rPr>
      </w:pPr>
      <w:r>
        <w:rPr>
          <w:rFonts w:hint="default" w:ascii="Times New Roman" w:hAnsi="Times New Roman" w:cs="Times New Roman"/>
          <w:highlight w:val="none"/>
        </w:rPr>
        <w:t>园区采用雨、污分流的排水体制。片区：根据《湘阴县城排水专项规划》，片区污水经管道收集后经湘阴县第二污水处理厂集中处理达标后外排，规划规模为6.0万</w:t>
      </w:r>
      <w:r>
        <w:rPr>
          <w:rFonts w:hint="eastAsia" w:ascii="Times New Roman" w:hAnsi="Times New Roman" w:cs="Times New Roman"/>
          <w:highlight w:val="none"/>
          <w:lang w:eastAsia="zh-CN"/>
        </w:rPr>
        <w:t>m</w:t>
      </w:r>
      <w:r>
        <w:rPr>
          <w:rFonts w:hint="eastAsia" w:ascii="Times New Roman" w:hAnsi="Times New Roman" w:cs="Times New Roman"/>
          <w:highlight w:val="none"/>
          <w:vertAlign w:val="superscript"/>
          <w:lang w:eastAsia="zh-CN"/>
        </w:rPr>
        <w:t>3</w:t>
      </w:r>
      <w:r>
        <w:rPr>
          <w:rFonts w:hint="default" w:ascii="Times New Roman" w:hAnsi="Times New Roman" w:cs="Times New Roman"/>
          <w:highlight w:val="none"/>
        </w:rPr>
        <w:t>/d，现状已建成2.0万</w:t>
      </w:r>
      <w:r>
        <w:rPr>
          <w:rFonts w:hint="eastAsia" w:ascii="Times New Roman" w:hAnsi="Times New Roman" w:cs="Times New Roman"/>
          <w:highlight w:val="none"/>
          <w:lang w:eastAsia="zh-CN"/>
        </w:rPr>
        <w:t>m</w:t>
      </w:r>
      <w:r>
        <w:rPr>
          <w:rFonts w:hint="eastAsia" w:ascii="Times New Roman" w:hAnsi="Times New Roman" w:cs="Times New Roman"/>
          <w:highlight w:val="none"/>
          <w:vertAlign w:val="superscript"/>
          <w:lang w:eastAsia="zh-CN"/>
        </w:rPr>
        <w:t>3</w:t>
      </w:r>
      <w:r>
        <w:rPr>
          <w:rFonts w:hint="default" w:ascii="Times New Roman" w:hAnsi="Times New Roman" w:cs="Times New Roman"/>
          <w:highlight w:val="none"/>
        </w:rPr>
        <w:t>/d，占地9.0h</w:t>
      </w:r>
      <w:r>
        <w:rPr>
          <w:rFonts w:hint="eastAsia" w:ascii="Times New Roman" w:hAnsi="Times New Roman" w:cs="Times New Roman"/>
          <w:highlight w:val="none"/>
          <w:lang w:eastAsia="zh-CN"/>
        </w:rPr>
        <w:t>m</w:t>
      </w:r>
      <w:r>
        <w:rPr>
          <w:rFonts w:hint="eastAsia" w:ascii="Times New Roman" w:hAnsi="Times New Roman" w:cs="Times New Roman"/>
          <w:highlight w:val="none"/>
          <w:vertAlign w:val="superscript"/>
          <w:lang w:eastAsia="zh-CN"/>
        </w:rPr>
        <w:t>2</w:t>
      </w:r>
      <w:r>
        <w:rPr>
          <w:rFonts w:hint="default" w:ascii="Times New Roman" w:hAnsi="Times New Roman" w:cs="Times New Roman"/>
          <w:highlight w:val="none"/>
        </w:rPr>
        <w:t>。湘阴第二污水处理厂为工业污水处理厂，主要处理工业污水，处理范围含片区及周边居住区。</w:t>
      </w:r>
    </w:p>
    <w:p w14:paraId="2AE7E53B">
      <w:pPr>
        <w:bidi w:val="0"/>
        <w:rPr>
          <w:rFonts w:hint="default" w:ascii="Times New Roman" w:hAnsi="Times New Roman" w:cs="Times New Roman"/>
          <w:highlight w:val="none"/>
        </w:rPr>
      </w:pPr>
      <w:r>
        <w:rPr>
          <w:rFonts w:hint="default" w:ascii="Times New Roman" w:hAnsi="Times New Roman" w:cs="Times New Roman"/>
          <w:highlight w:val="none"/>
        </w:rPr>
        <w:t>污水采用重力自流方式排放，道路红线宽度超过40米时，污水管道宜双侧敷设。污水管道起点最小覆土深度为1.2米，最小设计流速不小于0.6m/s，尽量与道路坡度一致以降低埋设深度。管道管径DN300-DN1200mm。</w:t>
      </w:r>
    </w:p>
    <w:p w14:paraId="0232BFE4">
      <w:pPr>
        <w:bidi w:val="0"/>
        <w:rPr>
          <w:rFonts w:hint="default" w:ascii="Times New Roman" w:hAnsi="Times New Roman" w:cs="Times New Roman"/>
          <w:highlight w:val="none"/>
        </w:rPr>
      </w:pPr>
      <w:r>
        <w:rPr>
          <w:rFonts w:hint="default" w:ascii="Times New Roman" w:hAnsi="Times New Roman" w:cs="Times New Roman"/>
          <w:highlight w:val="none"/>
        </w:rPr>
        <w:t>雨水采用重力自流方式排放，道路红线宽度超过40m时，雨水管道宜双侧敷设。雨水管道起点最小覆土深度为1.2m，最小设计流速不小于0.75m/s，尽量与道路坡度一致以降低埋设深度。</w:t>
      </w:r>
    </w:p>
    <w:p w14:paraId="546498E8">
      <w:pPr>
        <w:bidi w:val="0"/>
        <w:rPr>
          <w:rFonts w:hint="default" w:ascii="Times New Roman" w:hAnsi="Times New Roman" w:cs="Times New Roman"/>
          <w:highlight w:val="none"/>
        </w:rPr>
      </w:pPr>
      <w:r>
        <w:rPr>
          <w:rFonts w:hint="default" w:ascii="Times New Roman" w:hAnsi="Times New Roman" w:cs="Times New Roman"/>
          <w:highlight w:val="none"/>
        </w:rPr>
        <w:t>③燃气工程规划</w:t>
      </w:r>
    </w:p>
    <w:p w14:paraId="00822DE4">
      <w:pPr>
        <w:bidi w:val="0"/>
        <w:rPr>
          <w:rFonts w:hint="default" w:ascii="Times New Roman" w:hAnsi="Times New Roman" w:cs="Times New Roman"/>
          <w:highlight w:val="none"/>
        </w:rPr>
      </w:pPr>
      <w:r>
        <w:rPr>
          <w:rFonts w:hint="default" w:ascii="Times New Roman" w:hAnsi="Times New Roman" w:cs="Times New Roman"/>
          <w:highlight w:val="none"/>
        </w:rPr>
        <w:t>规划片区主气源为管道天然气，辅助气源为液化石油气。</w:t>
      </w:r>
    </w:p>
    <w:p w14:paraId="1A168BD3">
      <w:pPr>
        <w:bidi w:val="0"/>
        <w:rPr>
          <w:rFonts w:hint="default" w:ascii="Times New Roman" w:hAnsi="Times New Roman" w:cs="Times New Roman"/>
          <w:highlight w:val="none"/>
        </w:rPr>
      </w:pPr>
      <w:r>
        <w:rPr>
          <w:rFonts w:hint="default" w:ascii="Times New Roman" w:hAnsi="Times New Roman" w:cs="Times New Roman"/>
          <w:highlight w:val="none"/>
        </w:rPr>
        <w:t>规划区范围内天然气长输管道和次高压管道，次高压燃气管道与建筑物、构筑物或相邻管道之间的水平净距应符合《城镇燃气设计规范》表6.3.3-1和表6.3.3-2的规定。地下燃气管道与电杆（塔）基础应保持一定水平净距，还应满足下表地下燃气管道与交流电力线接地体的净距规定。</w:t>
      </w:r>
    </w:p>
    <w:p w14:paraId="1206D5F6">
      <w:pPr>
        <w:bidi w:val="0"/>
        <w:rPr>
          <w:rFonts w:hint="default" w:ascii="Times New Roman" w:hAnsi="Times New Roman" w:cs="Times New Roman"/>
          <w:highlight w:val="none"/>
        </w:rPr>
      </w:pPr>
      <w:r>
        <w:rPr>
          <w:rFonts w:hint="default" w:ascii="Times New Roman" w:hAnsi="Times New Roman" w:cs="Times New Roman"/>
          <w:highlight w:val="none"/>
        </w:rPr>
        <w:t>根据资料显示，管输气源为“长沙—湘阴”支线，管径323.9mm，设计压力4.0MPa，设计输气能力13.2×108N</w:t>
      </w:r>
      <w:r>
        <w:rPr>
          <w:rFonts w:hint="eastAsia" w:ascii="Times New Roman" w:hAnsi="Times New Roman" w:cs="Times New Roman"/>
          <w:highlight w:val="none"/>
          <w:lang w:eastAsia="zh-CN"/>
        </w:rPr>
        <w:t>m</w:t>
      </w:r>
      <w:r>
        <w:rPr>
          <w:rFonts w:hint="eastAsia" w:ascii="Times New Roman" w:hAnsi="Times New Roman" w:cs="Times New Roman"/>
          <w:highlight w:val="none"/>
          <w:vertAlign w:val="superscript"/>
          <w:lang w:eastAsia="zh-CN"/>
        </w:rPr>
        <w:t>3</w:t>
      </w:r>
      <w:r>
        <w:rPr>
          <w:rFonts w:hint="default" w:ascii="Times New Roman" w:hAnsi="Times New Roman" w:cs="Times New Roman"/>
          <w:highlight w:val="none"/>
        </w:rPr>
        <w:t>/a。“长沙—湘阴”支线已通气，供气能力也可有力的保障湘阴县乡镇地区天然气需求。现状金龙、高新区已敷设中压燃气干管15.6公里：沿机场大道敷设DN300燃气管道1公里、沿安嘉路敷设DN200燃气管道1.4公里；沿大道敷设DN300燃气管道6.2公里、沿工业大道敷设DN250燃气管道3公里、沿键铭大道敷设DN200管道2公里、沿长康路敷设DN160管道1公里、沿中联大道敷设DN200管道1公里。当前管网系统可供气能力达10000方/小时，供气压力为0.2~0.3MPa。因此，高新区燃气规划是有保证，可以实现的。</w:t>
      </w:r>
    </w:p>
    <w:p w14:paraId="2E89C6A3">
      <w:pPr>
        <w:bidi w:val="0"/>
        <w:rPr>
          <w:rFonts w:hint="default" w:ascii="Times New Roman" w:hAnsi="Times New Roman" w:cs="Times New Roman"/>
          <w:highlight w:val="none"/>
        </w:rPr>
      </w:pPr>
      <w:r>
        <w:rPr>
          <w:rFonts w:hint="default" w:ascii="Times New Roman" w:hAnsi="Times New Roman" w:cs="Times New Roman"/>
          <w:highlight w:val="none"/>
        </w:rPr>
        <w:t>（4）绿地景观系统</w:t>
      </w:r>
    </w:p>
    <w:p w14:paraId="1DF4DBBD">
      <w:pPr>
        <w:bidi w:val="0"/>
        <w:rPr>
          <w:rFonts w:hint="default" w:ascii="Times New Roman" w:hAnsi="Times New Roman" w:cs="Times New Roman"/>
          <w:highlight w:val="none"/>
        </w:rPr>
      </w:pPr>
      <w:r>
        <w:rPr>
          <w:rFonts w:hint="default" w:ascii="Times New Roman" w:hAnsi="Times New Roman" w:cs="Times New Roman"/>
          <w:highlight w:val="none"/>
        </w:rPr>
        <w:t>规划绿地与广场用地面积39.89公顷，占城市建设用地的3.99%，为公园绿地和防护绿地。</w:t>
      </w:r>
    </w:p>
    <w:p w14:paraId="695E9E82">
      <w:pPr>
        <w:bidi w:val="0"/>
        <w:rPr>
          <w:rFonts w:hint="default" w:ascii="Times New Roman" w:hAnsi="Times New Roman" w:cs="Times New Roman"/>
          <w:highlight w:val="none"/>
        </w:rPr>
      </w:pPr>
      <w:r>
        <w:rPr>
          <w:rFonts w:hint="default" w:ascii="Times New Roman" w:hAnsi="Times New Roman" w:cs="Times New Roman"/>
          <w:highlight w:val="none"/>
        </w:rPr>
        <w:t>临港片区规划绿地与广场用地共1.25公顷，占片区城市建设用地的0.82%。</w:t>
      </w:r>
    </w:p>
    <w:p w14:paraId="48106F7E">
      <w:pPr>
        <w:bidi w:val="0"/>
        <w:rPr>
          <w:rFonts w:hint="default" w:ascii="Times New Roman" w:hAnsi="Times New Roman" w:cs="Times New Roman"/>
          <w:highlight w:val="none"/>
        </w:rPr>
      </w:pPr>
      <w:r>
        <w:rPr>
          <w:rFonts w:hint="default" w:ascii="Times New Roman" w:hAnsi="Times New Roman" w:cs="Times New Roman"/>
          <w:highlight w:val="none"/>
        </w:rPr>
        <w:t>片区规划绿地与广场用地共33.82公顷，占片区城市建设用地的5.53%。</w:t>
      </w:r>
    </w:p>
    <w:p w14:paraId="763DFB11">
      <w:pPr>
        <w:bidi w:val="0"/>
        <w:rPr>
          <w:rFonts w:hint="default" w:ascii="Times New Roman" w:hAnsi="Times New Roman" w:cs="Times New Roman"/>
          <w:highlight w:val="none"/>
        </w:rPr>
      </w:pPr>
      <w:r>
        <w:rPr>
          <w:rFonts w:hint="default" w:ascii="Times New Roman" w:hAnsi="Times New Roman" w:cs="Times New Roman"/>
          <w:highlight w:val="none"/>
        </w:rPr>
        <w:t>金龙片区规划绿地与广场用地共4.82公顷，占金龙片区城市建设用地的2.05%。</w:t>
      </w:r>
    </w:p>
    <w:p w14:paraId="02AC1C42">
      <w:pPr>
        <w:pStyle w:val="7"/>
        <w:bidi w:val="0"/>
        <w:rPr>
          <w:rFonts w:hint="default"/>
        </w:rPr>
      </w:pPr>
      <w:r>
        <w:rPr>
          <w:rFonts w:hint="default"/>
        </w:rPr>
        <w:t>环境保护规划</w:t>
      </w:r>
    </w:p>
    <w:p w14:paraId="14940AB4">
      <w:pPr>
        <w:bidi w:val="0"/>
        <w:rPr>
          <w:rFonts w:hint="default"/>
        </w:rPr>
      </w:pPr>
      <w:r>
        <w:rPr>
          <w:rFonts w:hint="default"/>
        </w:rPr>
        <w:t>（1）水环境保护</w:t>
      </w:r>
    </w:p>
    <w:p w14:paraId="40984748">
      <w:pPr>
        <w:bidi w:val="0"/>
        <w:rPr>
          <w:rFonts w:hint="default"/>
        </w:rPr>
      </w:pPr>
      <w:r>
        <w:rPr>
          <w:rFonts w:hint="default"/>
        </w:rPr>
        <w:t>管理措施：严格按规划确定的园区功能定位和产业定位要求，把好准入门槛；严格实行规划和环境管理严格把关，建立入园企业审批环境“一票否决”制度。</w:t>
      </w:r>
    </w:p>
    <w:p w14:paraId="4A986547">
      <w:pPr>
        <w:bidi w:val="0"/>
        <w:rPr>
          <w:rFonts w:hint="default"/>
        </w:rPr>
      </w:pPr>
      <w:r>
        <w:rPr>
          <w:rFonts w:hint="default"/>
        </w:rPr>
        <w:t>技术措施：园区排水系统实行雨污分流制，污水通过园区污水管道引入污水处理厂集中处理，严禁生活污水和生产废水直接排入地表水体；强化节约用水、提倡循环用水、循序用水，减少废水排放。</w:t>
      </w:r>
    </w:p>
    <w:p w14:paraId="39E6D981">
      <w:pPr>
        <w:bidi w:val="0"/>
        <w:rPr>
          <w:rFonts w:hint="default"/>
        </w:rPr>
      </w:pPr>
      <w:r>
        <w:rPr>
          <w:rFonts w:hint="default"/>
        </w:rPr>
        <w:t>（2）大气环境保护</w:t>
      </w:r>
    </w:p>
    <w:p w14:paraId="202A96E7">
      <w:pPr>
        <w:bidi w:val="0"/>
        <w:rPr>
          <w:rFonts w:hint="default"/>
        </w:rPr>
      </w:pPr>
      <w:r>
        <w:rPr>
          <w:rFonts w:hint="default"/>
        </w:rPr>
        <w:t>对入园企业实施污染物总量排放指标，并纳入湘阴县整体控制规划。推行清洁燃料，提高用气普及率。</w:t>
      </w:r>
    </w:p>
    <w:p w14:paraId="53F881D3">
      <w:pPr>
        <w:bidi w:val="0"/>
        <w:rPr>
          <w:rFonts w:hint="default"/>
        </w:rPr>
      </w:pPr>
      <w:r>
        <w:rPr>
          <w:rFonts w:hint="default"/>
        </w:rPr>
        <w:t>（3）固体废弃物控制</w:t>
      </w:r>
    </w:p>
    <w:p w14:paraId="60CA4DD3">
      <w:pPr>
        <w:bidi w:val="0"/>
        <w:rPr>
          <w:rFonts w:hint="default"/>
        </w:rPr>
      </w:pPr>
      <w:r>
        <w:rPr>
          <w:rFonts w:hint="default"/>
        </w:rPr>
        <w:t>建立完善的垃圾收集处理制度，并根据不同的垃圾分类，将生活垃圾运输至湘阴县垃圾焚烧发电厂焚烧发电处置。一般固体废物在处理后可直接在工业固废填埋场进行填埋，有毒有害的固体废弃物严禁直接倾倒于城市垃圾站、公共场所和排向水体，应进行无害化、减害化处理；建立、健全对有害废弃物的监督及管理系统。</w:t>
      </w:r>
    </w:p>
    <w:p w14:paraId="431169C7">
      <w:pPr>
        <w:bidi w:val="0"/>
        <w:rPr>
          <w:rFonts w:hint="default"/>
        </w:rPr>
      </w:pPr>
      <w:r>
        <w:rPr>
          <w:rFonts w:hint="default"/>
        </w:rPr>
        <w:t>（4）噪声控制</w:t>
      </w:r>
    </w:p>
    <w:p w14:paraId="67787265">
      <w:pPr>
        <w:bidi w:val="0"/>
        <w:rPr>
          <w:rFonts w:hint="default"/>
        </w:rPr>
      </w:pPr>
      <w:r>
        <w:rPr>
          <w:rFonts w:hint="default"/>
        </w:rPr>
        <w:t>控制噪声源，合理布局各功能分区；新规划交通干道两侧建立绿化林带，其余有条件的道路两侧设置绿化带以吸收交通噪声；推广柔性路面，车辆禁鸣。</w:t>
      </w:r>
    </w:p>
    <w:p w14:paraId="69808C54">
      <w:pPr>
        <w:bidi w:val="0"/>
        <w:rPr>
          <w:rFonts w:hint="default"/>
        </w:rPr>
      </w:pPr>
      <w:r>
        <w:rPr>
          <w:rFonts w:hint="default"/>
        </w:rPr>
        <w:t>（5）加强绿化建设</w:t>
      </w:r>
    </w:p>
    <w:p w14:paraId="695F99AE">
      <w:pPr>
        <w:bidi w:val="0"/>
        <w:rPr>
          <w:rFonts w:hint="default"/>
        </w:rPr>
      </w:pPr>
      <w:r>
        <w:rPr>
          <w:rFonts w:hint="default"/>
        </w:rPr>
        <w:t>严格按规划要求进行园区内的各项建设，特别是加强园区内绿地系统的建设，以绿化和水体来强化环境并保证足够的绿化面积来净化空气、美化环境、形成稳定、适宜人居的生态环境系统。</w:t>
      </w:r>
    </w:p>
    <w:p w14:paraId="65256F9E">
      <w:pPr>
        <w:pStyle w:val="6"/>
        <w:bidi w:val="0"/>
        <w:rPr>
          <w:rFonts w:hint="default"/>
        </w:rPr>
      </w:pPr>
      <w:r>
        <w:rPr>
          <w:rFonts w:hint="default"/>
        </w:rPr>
        <w:t>湘阴县第二污水处理厂</w:t>
      </w:r>
    </w:p>
    <w:p w14:paraId="40DA7735">
      <w:pPr>
        <w:bidi w:val="0"/>
        <w:rPr>
          <w:rFonts w:hint="default"/>
        </w:rPr>
      </w:pPr>
      <w:r>
        <w:rPr>
          <w:rFonts w:hint="default"/>
        </w:rPr>
        <w:t>湘阴县第二污水处理厂位于湘阴县大道南侧，北纬28°39'51"，东经112°51'51”，服务范围为湘阴高新技术产业开发区、东湖生态新城东部片区等，即南至顺天大道以南的轻工产业园，北至新白水江一烈士公园：西以湘江为界，东至规划的环城大道，总纳污面积28.10平方公里。</w:t>
      </w:r>
    </w:p>
    <w:p w14:paraId="534683DF">
      <w:pPr>
        <w:bidi w:val="0"/>
        <w:rPr>
          <w:rFonts w:hint="default"/>
        </w:rPr>
      </w:pPr>
      <w:r>
        <w:rPr>
          <w:rFonts w:hint="default"/>
        </w:rPr>
        <w:t>2012年8月获得岳阳市环境保护局对一期工程的环境批复(岳环评批2012]68号)。2012年开始建设，2016年11月投入运行，处理能力为20000t/d，实际处理规模约7000t/d，采用A/A/O工艺，出水水质为《城镇污水处理厂污染物排放标准》(GB18918-2002)一级B标准。2018年2月BOT单位湘阴首创水务有限责任公司根据相关会议要求，增加事故应急池、高效沉淀、深床滤池等处理工艺，启动提标改造，提标改造规模为10000t/d，2018年4月提标改造工程获得岳阳市环境保护局的批复(岳环评[2018]32号)，2019年4月完成了提标改造工程建设和整体工艺调试。湘阴县第二污水处理厂在废水进水口以及废水出水口均设置了标识标牌，安装了流量计和在线监测设备，废水进水口监测因子：</w:t>
      </w:r>
      <w:r>
        <w:rPr>
          <w:rFonts w:hint="eastAsia"/>
          <w:lang w:eastAsia="zh-CN"/>
        </w:rPr>
        <w:t>COD</w:t>
      </w:r>
      <w:r>
        <w:rPr>
          <w:rFonts w:hint="eastAsia"/>
          <w:vertAlign w:val="subscript"/>
          <w:lang w:eastAsia="zh-CN"/>
        </w:rPr>
        <w:t>cr</w:t>
      </w:r>
      <w:r>
        <w:rPr>
          <w:rFonts w:hint="default"/>
        </w:rPr>
        <w:t>、氨氮；废水总排口监测因子：pH、流量、</w:t>
      </w:r>
      <w:r>
        <w:rPr>
          <w:rFonts w:hint="eastAsia"/>
          <w:lang w:eastAsia="zh-CN"/>
        </w:rPr>
        <w:t>COD</w:t>
      </w:r>
      <w:r>
        <w:rPr>
          <w:rFonts w:hint="eastAsia"/>
          <w:vertAlign w:val="subscript"/>
          <w:lang w:eastAsia="zh-CN"/>
        </w:rPr>
        <w:t>cr</w:t>
      </w:r>
      <w:r>
        <w:rPr>
          <w:rFonts w:hint="default"/>
        </w:rPr>
        <w:t>、氨氮、总磷、总氮。2019年7月11日在岳阳市环境监察支队完成了污染自动监控系统验收备案，2019年7月31日与岳阳市环保局控制中心联网。</w:t>
      </w:r>
    </w:p>
    <w:p w14:paraId="62174CBE">
      <w:pPr>
        <w:bidi w:val="0"/>
        <w:rPr>
          <w:rFonts w:hint="default"/>
        </w:rPr>
      </w:pPr>
      <w:r>
        <w:rPr>
          <w:rFonts w:hint="default"/>
        </w:rPr>
        <w:t>2019年8月编制完成《湘阴县第二污水处理厂提标改造工程建设项目竣工环境保护验收监测报告》，已进行自主验收并完成备案。2019年9月1日申领排污许可证，证书编号为：91430624MA4L17P07L。2021年1月对原突发环境事件应急预案进行修编并完成备案：430624-2021-004-L。</w:t>
      </w:r>
    </w:p>
    <w:p w14:paraId="2C5BAD4E">
      <w:pPr>
        <w:bidi w:val="0"/>
        <w:rPr>
          <w:rFonts w:hint="default"/>
          <w:highlight w:val="none"/>
        </w:rPr>
      </w:pPr>
      <w:r>
        <w:rPr>
          <w:rFonts w:hint="default"/>
        </w:rPr>
        <w:t>湘阴县第二污水处理厂排污口位于闸外（湿地公园的生态休闲旅游区），流经约200m</w:t>
      </w:r>
      <w:r>
        <w:rPr>
          <w:rFonts w:hint="default"/>
          <w:highlight w:val="none"/>
        </w:rPr>
        <w:t>进入湘江（湘江河流湿地生态保护保育区）。</w:t>
      </w:r>
    </w:p>
    <w:p w14:paraId="7DE78141">
      <w:pPr>
        <w:pStyle w:val="5"/>
        <w:rPr>
          <w:rFonts w:hint="default" w:ascii="Times New Roman" w:hAnsi="Times New Roman" w:cs="Times New Roman"/>
          <w:color w:val="auto"/>
          <w:highlight w:val="none"/>
          <w:u w:val="none" w:color="auto"/>
        </w:rPr>
      </w:pPr>
      <w:bookmarkStart w:id="140" w:name="_Toc26196"/>
      <w:bookmarkStart w:id="141" w:name="_Toc2933"/>
      <w:bookmarkStart w:id="142" w:name="_Toc11294"/>
      <w:bookmarkStart w:id="143" w:name="_Toc11492"/>
      <w:bookmarkStart w:id="144" w:name="_Toc13123"/>
      <w:r>
        <w:rPr>
          <w:rFonts w:hint="default" w:ascii="Times New Roman" w:hAnsi="Times New Roman" w:cs="Times New Roman"/>
          <w:color w:val="auto"/>
          <w:highlight w:val="none"/>
          <w:u w:val="none" w:color="auto"/>
        </w:rPr>
        <w:t>环境质量现状调查与评价</w:t>
      </w:r>
      <w:bookmarkEnd w:id="140"/>
      <w:bookmarkEnd w:id="141"/>
      <w:bookmarkEnd w:id="142"/>
      <w:bookmarkEnd w:id="143"/>
    </w:p>
    <w:p w14:paraId="75246FF5">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区域环境质量达标判定</w:t>
      </w:r>
    </w:p>
    <w:p w14:paraId="1A67179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根据《环境影响评价技术导则 大气环境》（HJ 2.2-2018），判定项目所在区域达标情况，优先采用国家或地方生态环境主管部门发布的近3年中相对完整的1个日历年环境质量公告或环境质量报告中的数据或结论，评价基准年为2023年。</w:t>
      </w:r>
    </w:p>
    <w:p w14:paraId="176C1934">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项目所在区域达标判定数据来源于岳阳市生态环境局湘阴分局发布的《湘阴县环境空气质量指数统计表（2023年）》中环境质量现状数据，具体数据分析见下表：</w:t>
      </w:r>
    </w:p>
    <w:p w14:paraId="748A1216">
      <w:pPr>
        <w:spacing w:line="360" w:lineRule="auto"/>
        <w:jc w:val="center"/>
        <w:rPr>
          <w:rFonts w:hint="default" w:ascii="Times New Roman" w:hAnsi="Times New Roman" w:cs="Times New Roman"/>
          <w:b/>
          <w:color w:val="auto"/>
          <w:szCs w:val="21"/>
          <w:highlight w:val="none"/>
          <w:u w:val="none" w:color="auto"/>
        </w:rPr>
      </w:pPr>
      <w:r>
        <w:rPr>
          <w:rFonts w:hint="default" w:ascii="Times New Roman" w:hAnsi="Times New Roman" w:cs="Times New Roman"/>
          <w:b/>
          <w:color w:val="auto"/>
          <w:szCs w:val="21"/>
          <w:highlight w:val="none"/>
          <w:u w:val="none" w:color="auto"/>
        </w:rPr>
        <w:t>表</w:t>
      </w:r>
      <w:r>
        <w:rPr>
          <w:rFonts w:hint="eastAsia" w:ascii="Times New Roman" w:hAnsi="Times New Roman" w:cs="Times New Roman"/>
          <w:b/>
          <w:color w:val="auto"/>
          <w:szCs w:val="21"/>
          <w:highlight w:val="none"/>
          <w:u w:val="none" w:color="auto"/>
          <w:lang w:val="en-US" w:eastAsia="zh-CN"/>
        </w:rPr>
        <w:t>5.3</w:t>
      </w:r>
      <w:r>
        <w:rPr>
          <w:rFonts w:hint="default" w:ascii="Times New Roman" w:hAnsi="Times New Roman" w:cs="Times New Roman"/>
          <w:b/>
          <w:color w:val="auto"/>
          <w:szCs w:val="21"/>
          <w:highlight w:val="none"/>
          <w:u w:val="none" w:color="auto"/>
        </w:rPr>
        <w:t>-1</w:t>
      </w:r>
      <w:r>
        <w:rPr>
          <w:rFonts w:hint="eastAsia" w:ascii="Times New Roman" w:hAnsi="Times New Roman" w:cs="Times New Roman"/>
          <w:b/>
          <w:color w:val="auto"/>
          <w:szCs w:val="21"/>
          <w:highlight w:val="none"/>
          <w:u w:val="none" w:color="auto"/>
          <w:lang w:val="en-US" w:eastAsia="zh-CN"/>
        </w:rPr>
        <w:t>湘阴</w:t>
      </w:r>
      <w:r>
        <w:rPr>
          <w:rFonts w:hint="default" w:ascii="Times New Roman" w:hAnsi="Times New Roman" w:cs="Times New Roman"/>
          <w:b/>
          <w:color w:val="auto"/>
          <w:szCs w:val="21"/>
          <w:highlight w:val="none"/>
          <w:u w:val="none" w:color="auto"/>
          <w:lang w:val="en-US" w:eastAsia="zh-CN"/>
        </w:rPr>
        <w:t>县</w:t>
      </w:r>
      <w:r>
        <w:rPr>
          <w:rFonts w:hint="default" w:ascii="Times New Roman" w:hAnsi="Times New Roman" w:cs="Times New Roman"/>
          <w:b/>
          <w:color w:val="auto"/>
          <w:szCs w:val="21"/>
          <w:highlight w:val="none"/>
          <w:u w:val="none" w:color="auto"/>
        </w:rPr>
        <w:t>空气质量现状评价表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802"/>
        <w:gridCol w:w="2355"/>
        <w:gridCol w:w="1266"/>
        <w:gridCol w:w="1240"/>
        <w:gridCol w:w="1385"/>
        <w:gridCol w:w="737"/>
      </w:tblGrid>
      <w:tr w14:paraId="305B6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op w:val="single" w:color="auto" w:sz="12" w:space="0"/>
              <w:left w:val="single" w:color="auto" w:sz="12" w:space="0"/>
            </w:tcBorders>
            <w:noWrap w:val="0"/>
            <w:vAlign w:val="center"/>
          </w:tcPr>
          <w:p w14:paraId="629BB55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所在</w:t>
            </w:r>
          </w:p>
          <w:p w14:paraId="392F1F5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区域</w:t>
            </w:r>
          </w:p>
        </w:tc>
        <w:tc>
          <w:tcPr>
            <w:tcW w:w="470" w:type="pct"/>
            <w:tcBorders>
              <w:top w:val="single" w:color="auto" w:sz="12" w:space="0"/>
            </w:tcBorders>
            <w:noWrap w:val="0"/>
            <w:vAlign w:val="center"/>
          </w:tcPr>
          <w:p w14:paraId="4FB4731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监测项目</w:t>
            </w:r>
          </w:p>
        </w:tc>
        <w:tc>
          <w:tcPr>
            <w:tcW w:w="1381" w:type="pct"/>
            <w:tcBorders>
              <w:top w:val="single" w:color="auto" w:sz="12" w:space="0"/>
            </w:tcBorders>
            <w:noWrap w:val="0"/>
            <w:vAlign w:val="center"/>
          </w:tcPr>
          <w:p w14:paraId="747353C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年评价指标</w:t>
            </w:r>
          </w:p>
        </w:tc>
        <w:tc>
          <w:tcPr>
            <w:tcW w:w="742" w:type="pct"/>
            <w:tcBorders>
              <w:top w:val="single" w:color="auto" w:sz="12" w:space="0"/>
            </w:tcBorders>
            <w:noWrap w:val="0"/>
            <w:vAlign w:val="center"/>
          </w:tcPr>
          <w:p w14:paraId="5E410EC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标准值（ug/</w:t>
            </w:r>
            <w:r>
              <w:rPr>
                <w:rFonts w:hint="eastAsia"/>
                <w:lang w:val="en-US" w:eastAsia="zh-CN"/>
              </w:rPr>
              <w:t>m</w:t>
            </w:r>
            <w:r>
              <w:rPr>
                <w:rFonts w:hint="eastAsia"/>
                <w:vertAlign w:val="superscript"/>
                <w:lang w:val="en-US" w:eastAsia="zh-CN"/>
              </w:rPr>
              <w:t>3</w:t>
            </w:r>
            <w:r>
              <w:rPr>
                <w:rFonts w:hint="default"/>
                <w:lang w:val="en-US" w:eastAsia="zh-CN"/>
              </w:rPr>
              <w:t>）</w:t>
            </w:r>
          </w:p>
        </w:tc>
        <w:tc>
          <w:tcPr>
            <w:tcW w:w="727" w:type="pct"/>
            <w:tcBorders>
              <w:top w:val="single" w:color="auto" w:sz="12" w:space="0"/>
            </w:tcBorders>
            <w:noWrap w:val="0"/>
            <w:vAlign w:val="center"/>
          </w:tcPr>
          <w:p w14:paraId="54D8302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现状浓度（ug/</w:t>
            </w:r>
            <w:r>
              <w:rPr>
                <w:rFonts w:hint="eastAsia"/>
                <w:lang w:val="en-US" w:eastAsia="zh-CN"/>
              </w:rPr>
              <w:t>m</w:t>
            </w:r>
            <w:r>
              <w:rPr>
                <w:rFonts w:hint="eastAsia"/>
                <w:vertAlign w:val="superscript"/>
                <w:lang w:val="en-US" w:eastAsia="zh-CN"/>
              </w:rPr>
              <w:t>3</w:t>
            </w:r>
            <w:r>
              <w:rPr>
                <w:rFonts w:hint="default"/>
                <w:lang w:val="en-US" w:eastAsia="zh-CN"/>
              </w:rPr>
              <w:t>）</w:t>
            </w:r>
          </w:p>
        </w:tc>
        <w:tc>
          <w:tcPr>
            <w:tcW w:w="812" w:type="pct"/>
            <w:tcBorders>
              <w:top w:val="single" w:color="auto" w:sz="12" w:space="0"/>
            </w:tcBorders>
            <w:noWrap w:val="0"/>
            <w:vAlign w:val="center"/>
          </w:tcPr>
          <w:p w14:paraId="4025F79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占标率</w:t>
            </w:r>
            <w:r>
              <w:rPr>
                <w:rFonts w:hint="default"/>
                <w:lang w:val="en-US" w:eastAsia="zh-CN"/>
              </w:rPr>
              <w:t>%</w:t>
            </w:r>
          </w:p>
        </w:tc>
        <w:tc>
          <w:tcPr>
            <w:tcW w:w="432" w:type="pct"/>
            <w:tcBorders>
              <w:top w:val="single" w:color="auto" w:sz="12" w:space="0"/>
              <w:right w:val="single" w:color="auto" w:sz="12" w:space="0"/>
            </w:tcBorders>
            <w:noWrap w:val="0"/>
            <w:vAlign w:val="center"/>
          </w:tcPr>
          <w:p w14:paraId="5E6AA0A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是否达标</w:t>
            </w:r>
          </w:p>
        </w:tc>
      </w:tr>
      <w:tr w14:paraId="7765D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restart"/>
            <w:tcBorders>
              <w:left w:val="single" w:color="auto" w:sz="12" w:space="0"/>
            </w:tcBorders>
            <w:noWrap w:val="0"/>
            <w:vAlign w:val="center"/>
          </w:tcPr>
          <w:p w14:paraId="38D3C6A6">
            <w:pPr>
              <w:pStyle w:val="42"/>
              <w:keepNext w:val="0"/>
              <w:keepLines w:val="0"/>
              <w:suppressLineNumbers w:val="0"/>
              <w:bidi w:val="0"/>
              <w:spacing w:before="0" w:beforeAutospacing="0" w:after="0" w:afterAutospacing="0"/>
              <w:rPr>
                <w:rFonts w:hint="default"/>
                <w:lang w:eastAsia="zh-CN"/>
              </w:rPr>
            </w:pPr>
            <w:r>
              <w:rPr>
                <w:rFonts w:hint="default"/>
                <w:lang w:eastAsia="zh-CN"/>
              </w:rPr>
              <w:t>湘阴县</w:t>
            </w:r>
          </w:p>
        </w:tc>
        <w:tc>
          <w:tcPr>
            <w:tcW w:w="470" w:type="pct"/>
            <w:noWrap w:val="0"/>
            <w:vAlign w:val="center"/>
          </w:tcPr>
          <w:p w14:paraId="644751B6">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SO</w:t>
            </w:r>
            <w:r>
              <w:rPr>
                <w:rFonts w:hint="eastAsia"/>
                <w:vertAlign w:val="subscript"/>
                <w:lang w:eastAsia="zh-CN"/>
              </w:rPr>
              <w:t>2</w:t>
            </w:r>
          </w:p>
        </w:tc>
        <w:tc>
          <w:tcPr>
            <w:tcW w:w="1381" w:type="pct"/>
            <w:noWrap w:val="0"/>
            <w:vAlign w:val="center"/>
          </w:tcPr>
          <w:p w14:paraId="6AC6299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年平均</w:t>
            </w:r>
            <w:r>
              <w:rPr>
                <w:rFonts w:hint="eastAsia"/>
                <w:lang w:val="en-US" w:eastAsia="zh-CN"/>
              </w:rPr>
              <w:t>质量浓度</w:t>
            </w:r>
          </w:p>
        </w:tc>
        <w:tc>
          <w:tcPr>
            <w:tcW w:w="742" w:type="pct"/>
            <w:noWrap w:val="0"/>
            <w:vAlign w:val="center"/>
          </w:tcPr>
          <w:p w14:paraId="2FAD3DF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60</w:t>
            </w:r>
          </w:p>
        </w:tc>
        <w:tc>
          <w:tcPr>
            <w:tcW w:w="727" w:type="pct"/>
            <w:noWrap w:val="0"/>
            <w:vAlign w:val="center"/>
          </w:tcPr>
          <w:p w14:paraId="4CABE8B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w:t>
            </w:r>
          </w:p>
        </w:tc>
        <w:tc>
          <w:tcPr>
            <w:tcW w:w="812" w:type="pct"/>
            <w:noWrap w:val="0"/>
            <w:vAlign w:val="center"/>
          </w:tcPr>
          <w:p w14:paraId="764FA1A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w:t>
            </w:r>
          </w:p>
        </w:tc>
        <w:tc>
          <w:tcPr>
            <w:tcW w:w="432" w:type="pct"/>
            <w:tcBorders>
              <w:right w:val="single" w:color="auto" w:sz="12" w:space="0"/>
            </w:tcBorders>
            <w:noWrap w:val="0"/>
            <w:vAlign w:val="center"/>
          </w:tcPr>
          <w:p w14:paraId="74891DD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r w14:paraId="572A6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continue"/>
            <w:tcBorders>
              <w:left w:val="single" w:color="auto" w:sz="12" w:space="0"/>
            </w:tcBorders>
            <w:noWrap w:val="0"/>
            <w:vAlign w:val="center"/>
          </w:tcPr>
          <w:p w14:paraId="4673B04D">
            <w:pPr>
              <w:pStyle w:val="42"/>
              <w:keepNext w:val="0"/>
              <w:keepLines w:val="0"/>
              <w:suppressLineNumbers w:val="0"/>
              <w:bidi w:val="0"/>
              <w:spacing w:before="0" w:beforeAutospacing="0" w:after="0" w:afterAutospacing="0"/>
              <w:rPr>
                <w:rFonts w:hint="default"/>
              </w:rPr>
            </w:pPr>
          </w:p>
        </w:tc>
        <w:tc>
          <w:tcPr>
            <w:tcW w:w="470" w:type="pct"/>
            <w:noWrap w:val="0"/>
            <w:vAlign w:val="center"/>
          </w:tcPr>
          <w:p w14:paraId="2007B55B">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NO</w:t>
            </w:r>
            <w:r>
              <w:rPr>
                <w:rFonts w:hint="eastAsia"/>
                <w:vertAlign w:val="subscript"/>
                <w:lang w:eastAsia="zh-CN"/>
              </w:rPr>
              <w:t>2</w:t>
            </w:r>
          </w:p>
        </w:tc>
        <w:tc>
          <w:tcPr>
            <w:tcW w:w="1381" w:type="pct"/>
            <w:noWrap w:val="0"/>
            <w:vAlign w:val="center"/>
          </w:tcPr>
          <w:p w14:paraId="772BF9C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年平均</w:t>
            </w:r>
          </w:p>
        </w:tc>
        <w:tc>
          <w:tcPr>
            <w:tcW w:w="742" w:type="pct"/>
            <w:noWrap w:val="0"/>
            <w:vAlign w:val="center"/>
          </w:tcPr>
          <w:p w14:paraId="4FBB60B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w:t>
            </w:r>
          </w:p>
        </w:tc>
        <w:tc>
          <w:tcPr>
            <w:tcW w:w="727" w:type="pct"/>
            <w:noWrap w:val="0"/>
            <w:vAlign w:val="center"/>
          </w:tcPr>
          <w:p w14:paraId="70E1C2D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15.2</w:t>
            </w:r>
          </w:p>
        </w:tc>
        <w:tc>
          <w:tcPr>
            <w:tcW w:w="812" w:type="pct"/>
            <w:noWrap w:val="0"/>
            <w:vAlign w:val="center"/>
          </w:tcPr>
          <w:p w14:paraId="4560B4C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38</w:t>
            </w:r>
          </w:p>
        </w:tc>
        <w:tc>
          <w:tcPr>
            <w:tcW w:w="432" w:type="pct"/>
            <w:tcBorders>
              <w:right w:val="single" w:color="auto" w:sz="12" w:space="0"/>
            </w:tcBorders>
            <w:noWrap w:val="0"/>
            <w:vAlign w:val="center"/>
          </w:tcPr>
          <w:p w14:paraId="1115435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r w14:paraId="13444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continue"/>
            <w:tcBorders>
              <w:left w:val="single" w:color="auto" w:sz="12" w:space="0"/>
            </w:tcBorders>
            <w:noWrap w:val="0"/>
            <w:vAlign w:val="center"/>
          </w:tcPr>
          <w:p w14:paraId="71A43220">
            <w:pPr>
              <w:pStyle w:val="42"/>
              <w:keepNext w:val="0"/>
              <w:keepLines w:val="0"/>
              <w:suppressLineNumbers w:val="0"/>
              <w:bidi w:val="0"/>
              <w:spacing w:before="0" w:beforeAutospacing="0" w:after="0" w:afterAutospacing="0"/>
              <w:rPr>
                <w:rFonts w:hint="default"/>
              </w:rPr>
            </w:pPr>
          </w:p>
        </w:tc>
        <w:tc>
          <w:tcPr>
            <w:tcW w:w="470" w:type="pct"/>
            <w:noWrap w:val="0"/>
            <w:vAlign w:val="center"/>
          </w:tcPr>
          <w:p w14:paraId="0C2F8602">
            <w:pPr>
              <w:pStyle w:val="42"/>
              <w:keepNext w:val="0"/>
              <w:keepLines w:val="0"/>
              <w:suppressLineNumbers w:val="0"/>
              <w:bidi w:val="0"/>
              <w:spacing w:before="0" w:beforeAutospacing="0" w:after="0" w:afterAutospacing="0"/>
              <w:rPr>
                <w:rFonts w:hint="default"/>
              </w:rPr>
            </w:pPr>
            <w:r>
              <w:rPr>
                <w:rFonts w:hint="default"/>
                <w:lang w:val="en-US" w:eastAsia="zh-CN"/>
              </w:rPr>
              <w:t>C</w:t>
            </w:r>
            <w:r>
              <w:rPr>
                <w:rFonts w:hint="default"/>
              </w:rPr>
              <w:t>O</w:t>
            </w:r>
          </w:p>
        </w:tc>
        <w:tc>
          <w:tcPr>
            <w:tcW w:w="1381" w:type="pct"/>
            <w:noWrap w:val="0"/>
            <w:vAlign w:val="center"/>
          </w:tcPr>
          <w:p w14:paraId="042507D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95百分位数日平均质量浓度</w:t>
            </w:r>
          </w:p>
        </w:tc>
        <w:tc>
          <w:tcPr>
            <w:tcW w:w="742" w:type="pct"/>
            <w:noWrap w:val="0"/>
            <w:vAlign w:val="center"/>
          </w:tcPr>
          <w:p w14:paraId="069276A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4000</w:t>
            </w:r>
          </w:p>
        </w:tc>
        <w:tc>
          <w:tcPr>
            <w:tcW w:w="727" w:type="pct"/>
            <w:noWrap w:val="0"/>
            <w:vAlign w:val="center"/>
          </w:tcPr>
          <w:p w14:paraId="790A822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780</w:t>
            </w:r>
          </w:p>
        </w:tc>
        <w:tc>
          <w:tcPr>
            <w:tcW w:w="812" w:type="pct"/>
            <w:noWrap w:val="0"/>
            <w:vAlign w:val="center"/>
          </w:tcPr>
          <w:p w14:paraId="6EBEE95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w:t>
            </w:r>
          </w:p>
        </w:tc>
        <w:tc>
          <w:tcPr>
            <w:tcW w:w="432" w:type="pct"/>
            <w:tcBorders>
              <w:right w:val="single" w:color="auto" w:sz="12" w:space="0"/>
            </w:tcBorders>
            <w:noWrap w:val="0"/>
            <w:vAlign w:val="center"/>
          </w:tcPr>
          <w:p w14:paraId="1CF5E13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r w14:paraId="7E580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continue"/>
            <w:tcBorders>
              <w:left w:val="single" w:color="auto" w:sz="12" w:space="0"/>
            </w:tcBorders>
            <w:noWrap w:val="0"/>
            <w:vAlign w:val="center"/>
          </w:tcPr>
          <w:p w14:paraId="3039D545">
            <w:pPr>
              <w:pStyle w:val="42"/>
              <w:keepNext w:val="0"/>
              <w:keepLines w:val="0"/>
              <w:suppressLineNumbers w:val="0"/>
              <w:bidi w:val="0"/>
              <w:spacing w:before="0" w:beforeAutospacing="0" w:after="0" w:afterAutospacing="0"/>
              <w:rPr>
                <w:rFonts w:hint="default"/>
              </w:rPr>
            </w:pPr>
          </w:p>
        </w:tc>
        <w:tc>
          <w:tcPr>
            <w:tcW w:w="470" w:type="pct"/>
            <w:noWrap w:val="0"/>
            <w:vAlign w:val="center"/>
          </w:tcPr>
          <w:p w14:paraId="54ADFAEF">
            <w:pPr>
              <w:pStyle w:val="42"/>
              <w:keepNext w:val="0"/>
              <w:keepLines w:val="0"/>
              <w:suppressLineNumbers w:val="0"/>
              <w:bidi w:val="0"/>
              <w:spacing w:before="0" w:beforeAutospacing="0" w:after="0" w:afterAutospacing="0"/>
              <w:rPr>
                <w:rFonts w:hint="default"/>
                <w:lang w:val="en-US" w:eastAsia="zh-CN"/>
              </w:rPr>
            </w:pPr>
            <w:r>
              <w:rPr>
                <w:rFonts w:hint="default"/>
              </w:rPr>
              <w:t>O</w:t>
            </w:r>
            <w:r>
              <w:rPr>
                <w:rFonts w:hint="default"/>
                <w:vertAlign w:val="subscript"/>
                <w:lang w:val="en-US" w:eastAsia="zh-CN"/>
              </w:rPr>
              <w:t>3</w:t>
            </w:r>
          </w:p>
        </w:tc>
        <w:tc>
          <w:tcPr>
            <w:tcW w:w="1381" w:type="pct"/>
            <w:noWrap w:val="0"/>
            <w:vAlign w:val="center"/>
          </w:tcPr>
          <w:p w14:paraId="4DD0F4F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90百分位数8小时平均质量浓度</w:t>
            </w:r>
          </w:p>
        </w:tc>
        <w:tc>
          <w:tcPr>
            <w:tcW w:w="742" w:type="pct"/>
            <w:noWrap w:val="0"/>
            <w:vAlign w:val="center"/>
          </w:tcPr>
          <w:p w14:paraId="533C3BB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160</w:t>
            </w:r>
          </w:p>
        </w:tc>
        <w:tc>
          <w:tcPr>
            <w:tcW w:w="727" w:type="pct"/>
            <w:noWrap w:val="0"/>
            <w:vAlign w:val="center"/>
          </w:tcPr>
          <w:p w14:paraId="69DF886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154</w:t>
            </w:r>
          </w:p>
        </w:tc>
        <w:tc>
          <w:tcPr>
            <w:tcW w:w="812" w:type="pct"/>
            <w:noWrap w:val="0"/>
            <w:vAlign w:val="center"/>
          </w:tcPr>
          <w:p w14:paraId="75C05CA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96</w:t>
            </w:r>
          </w:p>
        </w:tc>
        <w:tc>
          <w:tcPr>
            <w:tcW w:w="432" w:type="pct"/>
            <w:tcBorders>
              <w:right w:val="single" w:color="auto" w:sz="12" w:space="0"/>
            </w:tcBorders>
            <w:noWrap w:val="0"/>
            <w:vAlign w:val="center"/>
          </w:tcPr>
          <w:p w14:paraId="0C8108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r w14:paraId="46C21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continue"/>
            <w:tcBorders>
              <w:left w:val="single" w:color="auto" w:sz="12" w:space="0"/>
            </w:tcBorders>
            <w:noWrap w:val="0"/>
            <w:vAlign w:val="center"/>
          </w:tcPr>
          <w:p w14:paraId="18332B7F">
            <w:pPr>
              <w:pStyle w:val="42"/>
              <w:keepNext w:val="0"/>
              <w:keepLines w:val="0"/>
              <w:suppressLineNumbers w:val="0"/>
              <w:bidi w:val="0"/>
              <w:spacing w:before="0" w:beforeAutospacing="0" w:after="0" w:afterAutospacing="0"/>
              <w:rPr>
                <w:rFonts w:hint="default"/>
              </w:rPr>
            </w:pPr>
          </w:p>
        </w:tc>
        <w:tc>
          <w:tcPr>
            <w:tcW w:w="470" w:type="pct"/>
            <w:noWrap w:val="0"/>
            <w:vAlign w:val="center"/>
          </w:tcPr>
          <w:p w14:paraId="2CC1E9EE">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PM</w:t>
            </w:r>
            <w:r>
              <w:rPr>
                <w:rFonts w:hint="eastAsia"/>
                <w:vertAlign w:val="subscript"/>
                <w:lang w:eastAsia="zh-CN"/>
              </w:rPr>
              <w:t>2.5</w:t>
            </w:r>
          </w:p>
        </w:tc>
        <w:tc>
          <w:tcPr>
            <w:tcW w:w="1381" w:type="pct"/>
            <w:noWrap w:val="0"/>
            <w:vAlign w:val="center"/>
          </w:tcPr>
          <w:p w14:paraId="23FFC26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年平均</w:t>
            </w:r>
            <w:r>
              <w:rPr>
                <w:rFonts w:hint="eastAsia"/>
                <w:lang w:val="en-US" w:eastAsia="zh-CN"/>
              </w:rPr>
              <w:t>质量浓度</w:t>
            </w:r>
          </w:p>
        </w:tc>
        <w:tc>
          <w:tcPr>
            <w:tcW w:w="742" w:type="pct"/>
            <w:noWrap w:val="0"/>
            <w:vAlign w:val="center"/>
          </w:tcPr>
          <w:p w14:paraId="6B21BAF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w:t>
            </w:r>
          </w:p>
        </w:tc>
        <w:tc>
          <w:tcPr>
            <w:tcW w:w="727" w:type="pct"/>
            <w:noWrap w:val="0"/>
            <w:vAlign w:val="center"/>
          </w:tcPr>
          <w:p w14:paraId="52DF1F9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32.7</w:t>
            </w:r>
          </w:p>
        </w:tc>
        <w:tc>
          <w:tcPr>
            <w:tcW w:w="812" w:type="pct"/>
            <w:noWrap w:val="0"/>
            <w:vAlign w:val="center"/>
          </w:tcPr>
          <w:p w14:paraId="34B895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93</w:t>
            </w:r>
          </w:p>
        </w:tc>
        <w:tc>
          <w:tcPr>
            <w:tcW w:w="432" w:type="pct"/>
            <w:tcBorders>
              <w:right w:val="single" w:color="auto" w:sz="12" w:space="0"/>
            </w:tcBorders>
            <w:noWrap w:val="0"/>
            <w:vAlign w:val="center"/>
          </w:tcPr>
          <w:p w14:paraId="289D486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r w14:paraId="0DC2B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vMerge w:val="continue"/>
            <w:tcBorders>
              <w:left w:val="single" w:color="auto" w:sz="12" w:space="0"/>
              <w:bottom w:val="single" w:color="auto" w:sz="12" w:space="0"/>
            </w:tcBorders>
            <w:noWrap w:val="0"/>
            <w:vAlign w:val="center"/>
          </w:tcPr>
          <w:p w14:paraId="24002E91">
            <w:pPr>
              <w:pStyle w:val="42"/>
              <w:keepNext w:val="0"/>
              <w:keepLines w:val="0"/>
              <w:suppressLineNumbers w:val="0"/>
              <w:bidi w:val="0"/>
              <w:spacing w:before="0" w:beforeAutospacing="0" w:after="0" w:afterAutospacing="0"/>
              <w:rPr>
                <w:rFonts w:hint="default"/>
              </w:rPr>
            </w:pPr>
          </w:p>
        </w:tc>
        <w:tc>
          <w:tcPr>
            <w:tcW w:w="470" w:type="pct"/>
            <w:tcBorders>
              <w:bottom w:val="single" w:color="auto" w:sz="12" w:space="0"/>
            </w:tcBorders>
            <w:noWrap w:val="0"/>
            <w:vAlign w:val="center"/>
          </w:tcPr>
          <w:p w14:paraId="0AF030A7">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PM</w:t>
            </w:r>
            <w:r>
              <w:rPr>
                <w:rFonts w:hint="eastAsia"/>
                <w:vertAlign w:val="subscript"/>
                <w:lang w:eastAsia="zh-CN"/>
              </w:rPr>
              <w:t>10</w:t>
            </w:r>
          </w:p>
        </w:tc>
        <w:tc>
          <w:tcPr>
            <w:tcW w:w="1381" w:type="pct"/>
            <w:tcBorders>
              <w:bottom w:val="single" w:color="auto" w:sz="12" w:space="0"/>
            </w:tcBorders>
            <w:noWrap w:val="0"/>
            <w:vAlign w:val="center"/>
          </w:tcPr>
          <w:p w14:paraId="1CB6083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年平均</w:t>
            </w:r>
            <w:r>
              <w:rPr>
                <w:rFonts w:hint="eastAsia"/>
                <w:lang w:val="en-US" w:eastAsia="zh-CN"/>
              </w:rPr>
              <w:t>质量浓度</w:t>
            </w:r>
          </w:p>
        </w:tc>
        <w:tc>
          <w:tcPr>
            <w:tcW w:w="742" w:type="pct"/>
            <w:tcBorders>
              <w:bottom w:val="single" w:color="auto" w:sz="12" w:space="0"/>
            </w:tcBorders>
            <w:noWrap w:val="0"/>
            <w:vAlign w:val="center"/>
          </w:tcPr>
          <w:p w14:paraId="3FC04D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70</w:t>
            </w:r>
          </w:p>
        </w:tc>
        <w:tc>
          <w:tcPr>
            <w:tcW w:w="727" w:type="pct"/>
            <w:tcBorders>
              <w:bottom w:val="single" w:color="auto" w:sz="12" w:space="0"/>
            </w:tcBorders>
            <w:noWrap w:val="0"/>
            <w:vAlign w:val="center"/>
          </w:tcPr>
          <w:p w14:paraId="09A6674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48.3</w:t>
            </w:r>
          </w:p>
        </w:tc>
        <w:tc>
          <w:tcPr>
            <w:tcW w:w="812" w:type="pct"/>
            <w:tcBorders>
              <w:bottom w:val="single" w:color="auto" w:sz="12" w:space="0"/>
            </w:tcBorders>
            <w:noWrap w:val="0"/>
            <w:vAlign w:val="center"/>
          </w:tcPr>
          <w:p w14:paraId="7E0C1C4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69</w:t>
            </w:r>
          </w:p>
        </w:tc>
        <w:tc>
          <w:tcPr>
            <w:tcW w:w="432" w:type="pct"/>
            <w:tcBorders>
              <w:bottom w:val="single" w:color="auto" w:sz="12" w:space="0"/>
              <w:right w:val="single" w:color="auto" w:sz="12" w:space="0"/>
            </w:tcBorders>
            <w:noWrap w:val="0"/>
            <w:vAlign w:val="center"/>
          </w:tcPr>
          <w:p w14:paraId="3533576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达标</w:t>
            </w:r>
          </w:p>
        </w:tc>
      </w:tr>
    </w:tbl>
    <w:p w14:paraId="1BB539D5">
      <w:pPr>
        <w:bidi w:val="0"/>
        <w:rPr>
          <w:rFonts w:hint="default"/>
        </w:rPr>
      </w:pPr>
      <w:r>
        <w:rPr>
          <w:rFonts w:hint="default"/>
        </w:rPr>
        <w:t>由上表可知，项目所在区域的监测因子均达到《环境空气质量标准》（GB3095-2012）二级标准要求，区域环境质量较好，属于达标区。</w:t>
      </w:r>
    </w:p>
    <w:p w14:paraId="723406CF">
      <w:pPr>
        <w:pStyle w:val="6"/>
        <w:bidi w:val="0"/>
        <w:rPr>
          <w:rFonts w:hint="default"/>
        </w:rPr>
      </w:pPr>
      <w:r>
        <w:rPr>
          <w:rFonts w:hint="default"/>
        </w:rPr>
        <w:t>环境空气质量现状监测与评价</w:t>
      </w:r>
    </w:p>
    <w:p w14:paraId="449BC2F7">
      <w:pPr>
        <w:bidi w:val="0"/>
        <w:rPr>
          <w:rFonts w:hint="default"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1）监测布点</w:t>
      </w:r>
    </w:p>
    <w:p w14:paraId="1F14CFCA">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根据第6.2.1可知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本项目大气环境影响评价等级为二级</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根据《环境影响评价技术导则 大气环境》(HJ2.2-2018)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需要对项目特征因子</w:t>
      </w:r>
      <w:r>
        <w:rPr>
          <w:rFonts w:hint="eastAsia" w:ascii="Times New Roman" w:hAnsi="Times New Roman" w:cs="Times New Roman"/>
          <w:color w:val="auto"/>
          <w:highlight w:val="none"/>
          <w:u w:val="none" w:color="auto"/>
          <w:lang w:val="en-US" w:eastAsia="zh-CN"/>
        </w:rPr>
        <w:t>氨气、硫化氢、臭气浓度</w:t>
      </w:r>
      <w:r>
        <w:rPr>
          <w:rFonts w:hint="default" w:ascii="Times New Roman" w:hAnsi="Times New Roman" w:cs="Times New Roman"/>
          <w:color w:val="auto"/>
          <w:highlight w:val="none"/>
          <w:u w:val="none" w:color="auto"/>
        </w:rPr>
        <w:t>进行现状监测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为了解项目区域特征因子大气环境现状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本次环评委托</w:t>
      </w:r>
      <w:r>
        <w:rPr>
          <w:rFonts w:hint="eastAsia" w:ascii="Times New Roman" w:hAnsi="Times New Roman" w:cs="Times New Roman"/>
          <w:color w:val="auto"/>
          <w:highlight w:val="none"/>
          <w:u w:val="none" w:color="auto"/>
          <w:lang w:eastAsia="zh-CN"/>
        </w:rPr>
        <w:t>湖南乾诚检测有限公司</w:t>
      </w:r>
      <w:r>
        <w:rPr>
          <w:rFonts w:hint="default" w:ascii="Times New Roman" w:hAnsi="Times New Roman" w:cs="Times New Roman"/>
          <w:color w:val="auto"/>
          <w:highlight w:val="none"/>
          <w:u w:val="none" w:color="auto"/>
        </w:rPr>
        <w:t>于20</w:t>
      </w:r>
      <w:r>
        <w:rPr>
          <w:rFonts w:hint="default" w:ascii="Times New Roman" w:hAnsi="Times New Roman" w:cs="Times New Roman"/>
          <w:color w:val="auto"/>
          <w:highlight w:val="none"/>
          <w:u w:val="none" w:color="auto"/>
          <w:lang w:val="en-US" w:eastAsia="zh-CN"/>
        </w:rPr>
        <w:t>2</w:t>
      </w:r>
      <w:r>
        <w:rPr>
          <w:rFonts w:hint="eastAsia"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年</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月</w:t>
      </w:r>
      <w:r>
        <w:rPr>
          <w:rFonts w:hint="default" w:ascii="Times New Roman" w:hAnsi="Times New Roman" w:cs="Times New Roman"/>
          <w:color w:val="auto"/>
          <w:highlight w:val="none"/>
          <w:u w:val="none" w:color="auto"/>
          <w:lang w:val="en-US" w:eastAsia="zh-CN"/>
        </w:rPr>
        <w:t>19</w:t>
      </w:r>
      <w:r>
        <w:rPr>
          <w:rFonts w:hint="default" w:ascii="Times New Roman" w:hAnsi="Times New Roman" w:cs="Times New Roman"/>
          <w:color w:val="auto"/>
          <w:highlight w:val="none"/>
          <w:u w:val="none" w:color="auto"/>
        </w:rPr>
        <w:t>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月</w:t>
      </w:r>
      <w:r>
        <w:rPr>
          <w:rFonts w:hint="default" w:ascii="Times New Roman" w:hAnsi="Times New Roman" w:cs="Times New Roman"/>
          <w:color w:val="auto"/>
          <w:highlight w:val="none"/>
          <w:u w:val="none" w:color="auto"/>
          <w:lang w:val="en-US" w:eastAsia="zh-CN"/>
        </w:rPr>
        <w:t>25</w:t>
      </w:r>
      <w:r>
        <w:rPr>
          <w:rFonts w:hint="default" w:ascii="Times New Roman" w:hAnsi="Times New Roman" w:cs="Times New Roman"/>
          <w:color w:val="auto"/>
          <w:highlight w:val="none"/>
          <w:u w:val="none" w:color="auto"/>
        </w:rPr>
        <w:t>日对项目区域特征因子进行监测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检测结果如下：</w:t>
      </w:r>
    </w:p>
    <w:p w14:paraId="3D3413B8">
      <w:pPr>
        <w:pStyle w:val="39"/>
        <w:shd w:val="clea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 xml:space="preserve">    其他污染物补充监测点位基本信息</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20"/>
        <w:gridCol w:w="795"/>
        <w:gridCol w:w="765"/>
        <w:gridCol w:w="1259"/>
        <w:gridCol w:w="1683"/>
        <w:gridCol w:w="1185"/>
        <w:gridCol w:w="1115"/>
      </w:tblGrid>
      <w:tr w14:paraId="4867E4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0" w:type="dxa"/>
            <w:vMerge w:val="restart"/>
            <w:noWrap w:val="0"/>
            <w:vAlign w:val="center"/>
          </w:tcPr>
          <w:p w14:paraId="0C5814BE">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监测点名称</w:t>
            </w:r>
          </w:p>
        </w:tc>
        <w:tc>
          <w:tcPr>
            <w:tcW w:w="1560" w:type="dxa"/>
            <w:gridSpan w:val="2"/>
            <w:noWrap w:val="0"/>
            <w:vAlign w:val="center"/>
          </w:tcPr>
          <w:p w14:paraId="2453CF20">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监测点坐标</w:t>
            </w:r>
          </w:p>
        </w:tc>
        <w:tc>
          <w:tcPr>
            <w:tcW w:w="1259" w:type="dxa"/>
            <w:vMerge w:val="restart"/>
            <w:noWrap w:val="0"/>
            <w:vAlign w:val="center"/>
          </w:tcPr>
          <w:p w14:paraId="2E56CAC0">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监测因子</w:t>
            </w:r>
          </w:p>
        </w:tc>
        <w:tc>
          <w:tcPr>
            <w:tcW w:w="1683" w:type="dxa"/>
            <w:vMerge w:val="restart"/>
            <w:noWrap w:val="0"/>
            <w:vAlign w:val="center"/>
          </w:tcPr>
          <w:p w14:paraId="78893D59">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监测时段</w:t>
            </w:r>
          </w:p>
        </w:tc>
        <w:tc>
          <w:tcPr>
            <w:tcW w:w="1185" w:type="dxa"/>
            <w:vMerge w:val="restart"/>
            <w:noWrap w:val="0"/>
            <w:vAlign w:val="center"/>
          </w:tcPr>
          <w:p w14:paraId="4B117448">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相对厂址方位</w:t>
            </w:r>
          </w:p>
        </w:tc>
        <w:tc>
          <w:tcPr>
            <w:tcW w:w="1115" w:type="dxa"/>
            <w:vMerge w:val="restart"/>
            <w:noWrap w:val="0"/>
            <w:vAlign w:val="center"/>
          </w:tcPr>
          <w:p w14:paraId="15D6E6E5">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相对厂界距离</w:t>
            </w:r>
          </w:p>
        </w:tc>
      </w:tr>
      <w:tr w14:paraId="619E3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0" w:type="dxa"/>
            <w:vMerge w:val="continue"/>
            <w:noWrap w:val="0"/>
            <w:vAlign w:val="center"/>
          </w:tcPr>
          <w:p w14:paraId="4E900B14">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795" w:type="dxa"/>
            <w:noWrap w:val="0"/>
            <w:vAlign w:val="center"/>
          </w:tcPr>
          <w:p w14:paraId="122D7987">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X</w:t>
            </w:r>
          </w:p>
        </w:tc>
        <w:tc>
          <w:tcPr>
            <w:tcW w:w="765" w:type="dxa"/>
            <w:noWrap w:val="0"/>
            <w:vAlign w:val="center"/>
          </w:tcPr>
          <w:p w14:paraId="64BA1BE6">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Y</w:t>
            </w:r>
          </w:p>
        </w:tc>
        <w:tc>
          <w:tcPr>
            <w:tcW w:w="1259" w:type="dxa"/>
            <w:vMerge w:val="continue"/>
            <w:noWrap w:val="0"/>
            <w:vAlign w:val="center"/>
          </w:tcPr>
          <w:p w14:paraId="4DA63E64">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1683" w:type="dxa"/>
            <w:vMerge w:val="continue"/>
            <w:noWrap w:val="0"/>
            <w:vAlign w:val="center"/>
          </w:tcPr>
          <w:p w14:paraId="4B019FF5">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1185" w:type="dxa"/>
            <w:vMerge w:val="continue"/>
            <w:noWrap w:val="0"/>
            <w:vAlign w:val="center"/>
          </w:tcPr>
          <w:p w14:paraId="1A9ACC0A">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1115" w:type="dxa"/>
            <w:vMerge w:val="continue"/>
            <w:noWrap w:val="0"/>
            <w:vAlign w:val="center"/>
          </w:tcPr>
          <w:p w14:paraId="52FD0EC1">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r>
      <w:tr w14:paraId="248DFD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0" w:type="dxa"/>
            <w:noWrap w:val="0"/>
            <w:vAlign w:val="center"/>
          </w:tcPr>
          <w:p w14:paraId="52E03AF0">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sz w:val="21"/>
                <w:szCs w:val="21"/>
                <w:highlight w:val="none"/>
                <w:u w:val="none" w:color="auto"/>
                <w:lang w:eastAsia="zh-CN"/>
              </w:rPr>
              <w:t>厂址</w:t>
            </w:r>
          </w:p>
        </w:tc>
        <w:tc>
          <w:tcPr>
            <w:tcW w:w="795" w:type="dxa"/>
            <w:noWrap w:val="0"/>
            <w:vAlign w:val="center"/>
          </w:tcPr>
          <w:p w14:paraId="06D6DE44">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765" w:type="dxa"/>
            <w:noWrap w:val="0"/>
            <w:vAlign w:val="center"/>
          </w:tcPr>
          <w:p w14:paraId="3356556F">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1259" w:type="dxa"/>
            <w:vMerge w:val="restart"/>
            <w:noWrap w:val="0"/>
            <w:vAlign w:val="center"/>
          </w:tcPr>
          <w:p w14:paraId="575EEFBF">
            <w:pPr>
              <w:pStyle w:val="43"/>
              <w:keepNext w:val="0"/>
              <w:keepLines w:val="0"/>
              <w:widowControl/>
              <w:suppressLineNumbers w:val="0"/>
              <w:shd w:val="clear"/>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eastAsia="宋体" w:cs="Times New Roman"/>
                <w:color w:val="auto"/>
                <w:kern w:val="2"/>
                <w:highlight w:val="none"/>
                <w:u w:val="none" w:color="auto"/>
                <w:lang w:val="en-US" w:eastAsia="zh-CN"/>
              </w:rPr>
              <w:t>氨气、硫化氢、臭气浓度</w:t>
            </w:r>
          </w:p>
        </w:tc>
        <w:tc>
          <w:tcPr>
            <w:tcW w:w="1683" w:type="dxa"/>
            <w:vMerge w:val="restart"/>
            <w:noWrap w:val="0"/>
            <w:vAlign w:val="center"/>
          </w:tcPr>
          <w:p w14:paraId="7FA7FE87">
            <w:pPr>
              <w:pStyle w:val="43"/>
              <w:keepNext w:val="0"/>
              <w:keepLines w:val="0"/>
              <w:widowControl/>
              <w:suppressLineNumbers w:val="0"/>
              <w:shd w:val="clear"/>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rPr>
              <w:t>202</w:t>
            </w:r>
            <w:r>
              <w:rPr>
                <w:rFonts w:hint="eastAsia" w:cs="Times New Roman"/>
                <w:color w:val="auto"/>
                <w:kern w:val="2"/>
                <w:highlight w:val="none"/>
                <w:u w:val="none" w:color="auto"/>
                <w:lang w:val="en-US" w:eastAsia="zh-CN"/>
              </w:rPr>
              <w:t>5</w:t>
            </w:r>
            <w:r>
              <w:rPr>
                <w:rFonts w:hint="default" w:ascii="Times New Roman" w:hAnsi="Times New Roman" w:cs="Times New Roman"/>
                <w:color w:val="auto"/>
                <w:kern w:val="2"/>
                <w:highlight w:val="none"/>
                <w:u w:val="none" w:color="auto"/>
              </w:rPr>
              <w:t>.2.19～202</w:t>
            </w:r>
            <w:r>
              <w:rPr>
                <w:rFonts w:hint="eastAsia" w:cs="Times New Roman"/>
                <w:color w:val="auto"/>
                <w:kern w:val="2"/>
                <w:highlight w:val="none"/>
                <w:u w:val="none" w:color="auto"/>
                <w:lang w:val="en-US" w:eastAsia="zh-CN"/>
              </w:rPr>
              <w:t>5</w:t>
            </w:r>
            <w:r>
              <w:rPr>
                <w:rFonts w:hint="default" w:ascii="Times New Roman" w:hAnsi="Times New Roman" w:cs="Times New Roman"/>
                <w:color w:val="auto"/>
                <w:kern w:val="2"/>
                <w:highlight w:val="none"/>
                <w:u w:val="none" w:color="auto"/>
              </w:rPr>
              <w:t>12.25</w:t>
            </w:r>
          </w:p>
        </w:tc>
        <w:tc>
          <w:tcPr>
            <w:tcW w:w="1185" w:type="dxa"/>
            <w:noWrap w:val="0"/>
            <w:vAlign w:val="center"/>
          </w:tcPr>
          <w:p w14:paraId="7EE78A14">
            <w:pPr>
              <w:pStyle w:val="43"/>
              <w:keepNext w:val="0"/>
              <w:keepLines w:val="0"/>
              <w:widowControl/>
              <w:suppressLineNumbers w:val="0"/>
              <w:shd w:val="clear"/>
              <w:spacing w:before="0" w:beforeAutospacing="0" w:after="0" w:afterAutospacing="0"/>
              <w:ind w:left="0"/>
              <w:rPr>
                <w:rFonts w:hint="default" w:ascii="Times New Roman" w:hAnsi="Times New Roman" w:eastAsia="Calibri" w:cs="Times New Roman"/>
                <w:color w:val="auto"/>
                <w:kern w:val="2"/>
                <w:highlight w:val="none"/>
                <w:u w:val="none" w:color="auto"/>
              </w:rPr>
            </w:pPr>
            <w:r>
              <w:rPr>
                <w:rFonts w:hint="default" w:ascii="Times New Roman" w:hAnsi="Times New Roman" w:cs="Times New Roman"/>
                <w:color w:val="auto"/>
                <w:kern w:val="2"/>
                <w:highlight w:val="none"/>
                <w:u w:val="none" w:color="auto"/>
              </w:rPr>
              <w:t>/</w:t>
            </w:r>
          </w:p>
        </w:tc>
        <w:tc>
          <w:tcPr>
            <w:tcW w:w="1115" w:type="dxa"/>
            <w:noWrap w:val="0"/>
            <w:vAlign w:val="center"/>
          </w:tcPr>
          <w:p w14:paraId="7993A0D2">
            <w:pPr>
              <w:pStyle w:val="43"/>
              <w:keepNext w:val="0"/>
              <w:keepLines w:val="0"/>
              <w:widowControl/>
              <w:suppressLineNumbers w:val="0"/>
              <w:shd w:val="clear"/>
              <w:spacing w:before="0" w:beforeAutospacing="0" w:after="0" w:afterAutospacing="0"/>
              <w:ind w:left="0"/>
              <w:rPr>
                <w:rFonts w:hint="default" w:ascii="Times New Roman" w:hAnsi="Times New Roman" w:eastAsia="Calibri" w:cs="Times New Roman"/>
                <w:color w:val="auto"/>
                <w:kern w:val="2"/>
                <w:highlight w:val="none"/>
                <w:u w:val="none" w:color="auto"/>
              </w:rPr>
            </w:pPr>
            <w:r>
              <w:rPr>
                <w:rFonts w:hint="default" w:ascii="Times New Roman" w:hAnsi="Times New Roman" w:cs="Times New Roman"/>
                <w:color w:val="auto"/>
                <w:kern w:val="2"/>
                <w:highlight w:val="none"/>
                <w:u w:val="none" w:color="auto"/>
              </w:rPr>
              <w:t>/</w:t>
            </w:r>
          </w:p>
        </w:tc>
      </w:tr>
      <w:tr w14:paraId="1E927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20" w:type="dxa"/>
            <w:noWrap w:val="0"/>
            <w:vAlign w:val="center"/>
          </w:tcPr>
          <w:p w14:paraId="60CAA74E">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石家垄</w:t>
            </w:r>
          </w:p>
        </w:tc>
        <w:tc>
          <w:tcPr>
            <w:tcW w:w="795" w:type="dxa"/>
            <w:noWrap w:val="0"/>
            <w:vAlign w:val="center"/>
          </w:tcPr>
          <w:p w14:paraId="67F1EC88">
            <w:pPr>
              <w:pStyle w:val="43"/>
              <w:keepNext w:val="0"/>
              <w:keepLines w:val="0"/>
              <w:widowControl/>
              <w:suppressLineNumbers w:val="0"/>
              <w:shd w:val="clear"/>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1230</w:t>
            </w:r>
          </w:p>
        </w:tc>
        <w:tc>
          <w:tcPr>
            <w:tcW w:w="765" w:type="dxa"/>
            <w:noWrap w:val="0"/>
            <w:vAlign w:val="center"/>
          </w:tcPr>
          <w:p w14:paraId="1105A6E1">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lang w:val="en-US"/>
              </w:rPr>
            </w:pPr>
            <w:r>
              <w:rPr>
                <w:rFonts w:hint="eastAsia" w:cs="Times New Roman"/>
                <w:color w:val="auto"/>
                <w:kern w:val="2"/>
                <w:highlight w:val="none"/>
                <w:u w:val="none" w:color="auto"/>
                <w:lang w:val="en-US" w:eastAsia="zh-CN"/>
              </w:rPr>
              <w:t>-598</w:t>
            </w:r>
          </w:p>
        </w:tc>
        <w:tc>
          <w:tcPr>
            <w:tcW w:w="1259" w:type="dxa"/>
            <w:vMerge w:val="continue"/>
            <w:noWrap w:val="0"/>
            <w:vAlign w:val="center"/>
          </w:tcPr>
          <w:p w14:paraId="31775D0B">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1683" w:type="dxa"/>
            <w:vMerge w:val="continue"/>
            <w:noWrap w:val="0"/>
            <w:vAlign w:val="center"/>
          </w:tcPr>
          <w:p w14:paraId="4ACE0159">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p>
        </w:tc>
        <w:tc>
          <w:tcPr>
            <w:tcW w:w="1185" w:type="dxa"/>
            <w:noWrap w:val="0"/>
            <w:vAlign w:val="center"/>
          </w:tcPr>
          <w:p w14:paraId="42E9F6FE">
            <w:pPr>
              <w:pStyle w:val="43"/>
              <w:keepNext w:val="0"/>
              <w:keepLines w:val="0"/>
              <w:widowControl/>
              <w:suppressLineNumbers w:val="0"/>
              <w:shd w:val="clear"/>
              <w:spacing w:before="0" w:beforeAutospacing="0" w:after="0" w:afterAutospacing="0"/>
              <w:ind w:left="0"/>
              <w:rPr>
                <w:rFonts w:hint="default" w:ascii="Times New Roman" w:hAnsi="Times New Roman" w:cs="Times New Roman"/>
                <w:color w:val="auto"/>
                <w:kern w:val="2"/>
                <w:highlight w:val="none"/>
                <w:u w:val="none" w:color="auto"/>
              </w:rPr>
            </w:pPr>
            <w:r>
              <w:rPr>
                <w:rFonts w:hint="eastAsia" w:cs="Times New Roman"/>
                <w:color w:val="auto"/>
                <w:kern w:val="2"/>
                <w:highlight w:val="none"/>
                <w:u w:val="none" w:color="auto"/>
                <w:lang w:val="en-US" w:eastAsia="zh-CN"/>
              </w:rPr>
              <w:t>东</w:t>
            </w:r>
            <w:r>
              <w:rPr>
                <w:rFonts w:hint="default" w:ascii="Times New Roman" w:hAnsi="Times New Roman" w:cs="Times New Roman"/>
                <w:color w:val="auto"/>
                <w:kern w:val="2"/>
                <w:highlight w:val="none"/>
                <w:u w:val="none" w:color="auto"/>
                <w:lang w:val="en-US" w:eastAsia="zh-CN"/>
              </w:rPr>
              <w:t>南</w:t>
            </w:r>
            <w:r>
              <w:rPr>
                <w:rFonts w:hint="default" w:ascii="Times New Roman" w:hAnsi="Times New Roman" w:cs="Times New Roman"/>
                <w:color w:val="auto"/>
                <w:kern w:val="2"/>
                <w:highlight w:val="none"/>
                <w:u w:val="none" w:color="auto"/>
              </w:rPr>
              <w:t>侧</w:t>
            </w:r>
          </w:p>
        </w:tc>
        <w:tc>
          <w:tcPr>
            <w:tcW w:w="1115" w:type="dxa"/>
            <w:noWrap w:val="0"/>
            <w:vAlign w:val="center"/>
          </w:tcPr>
          <w:p w14:paraId="678571E1">
            <w:pPr>
              <w:pStyle w:val="43"/>
              <w:keepNext w:val="0"/>
              <w:keepLines w:val="0"/>
              <w:widowControl/>
              <w:suppressLineNumbers w:val="0"/>
              <w:shd w:val="clear"/>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1</w:t>
            </w:r>
            <w:r>
              <w:rPr>
                <w:rFonts w:hint="eastAsia" w:cs="Times New Roman"/>
                <w:color w:val="auto"/>
                <w:kern w:val="2"/>
                <w:highlight w:val="none"/>
                <w:u w:val="none" w:color="auto"/>
                <w:lang w:val="en-US" w:eastAsia="zh-CN"/>
              </w:rPr>
              <w:t>5</w:t>
            </w:r>
            <w:r>
              <w:rPr>
                <w:rFonts w:hint="default" w:ascii="Times New Roman" w:hAnsi="Times New Roman" w:cs="Times New Roman"/>
                <w:color w:val="auto"/>
                <w:kern w:val="2"/>
                <w:highlight w:val="none"/>
                <w:u w:val="none" w:color="auto"/>
                <w:lang w:val="en-US" w:eastAsia="zh-CN"/>
              </w:rPr>
              <w:t>00</w:t>
            </w:r>
          </w:p>
        </w:tc>
      </w:tr>
    </w:tbl>
    <w:p w14:paraId="6B48F03F">
      <w:pPr>
        <w:shd w:val="clear"/>
        <w:bidi w:val="0"/>
        <w:rPr>
          <w:rFonts w:hint="default"/>
          <w:highlight w:val="none"/>
        </w:rPr>
      </w:pPr>
      <w:r>
        <w:rPr>
          <w:rFonts w:hint="default"/>
          <w:highlight w:val="none"/>
        </w:rPr>
        <w:t>（</w:t>
      </w:r>
      <w:r>
        <w:rPr>
          <w:rFonts w:hint="eastAsia"/>
          <w:highlight w:val="none"/>
          <w:lang w:val="en-US" w:eastAsia="zh-CN"/>
        </w:rPr>
        <w:t>2</w:t>
      </w:r>
      <w:r>
        <w:rPr>
          <w:rFonts w:hint="default"/>
          <w:highlight w:val="none"/>
        </w:rPr>
        <w:t>）监测期间气象参数</w:t>
      </w:r>
    </w:p>
    <w:p w14:paraId="7FA80ED8">
      <w:pPr>
        <w:pStyle w:val="39"/>
        <w:bidi w:val="0"/>
        <w:rPr>
          <w:rFonts w:hint="default"/>
        </w:rPr>
      </w:pPr>
      <w:r>
        <w:rPr>
          <w:rFonts w:hint="default"/>
        </w:rPr>
        <w:t>表 5.</w:t>
      </w:r>
      <w:r>
        <w:rPr>
          <w:rFonts w:hint="eastAsia"/>
          <w:lang w:val="en-US" w:eastAsia="zh-CN"/>
        </w:rPr>
        <w:t>3</w:t>
      </w:r>
      <w:r>
        <w:rPr>
          <w:rFonts w:hint="default"/>
        </w:rPr>
        <w:t>-</w:t>
      </w:r>
      <w:r>
        <w:rPr>
          <w:rFonts w:hint="eastAsia"/>
          <w:lang w:val="en-US" w:eastAsia="zh-CN"/>
        </w:rPr>
        <w:t>3</w:t>
      </w:r>
      <w:r>
        <w:rPr>
          <w:rFonts w:hint="default"/>
        </w:rPr>
        <w:t xml:space="preserve">  大气监测期间气象参数</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autofit"/>
        <w:tblCellMar>
          <w:top w:w="0" w:type="dxa"/>
          <w:left w:w="0" w:type="dxa"/>
          <w:bottom w:w="0" w:type="dxa"/>
          <w:right w:w="0" w:type="dxa"/>
        </w:tblCellMar>
      </w:tblPr>
      <w:tblGrid>
        <w:gridCol w:w="1419"/>
        <w:gridCol w:w="1069"/>
        <w:gridCol w:w="1146"/>
        <w:gridCol w:w="1124"/>
        <w:gridCol w:w="1132"/>
        <w:gridCol w:w="1212"/>
        <w:gridCol w:w="1232"/>
      </w:tblGrid>
      <w:tr w14:paraId="3BCE75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537" w:hRule="atLeast"/>
        </w:trPr>
        <w:tc>
          <w:tcPr>
            <w:tcW w:w="851" w:type="pct"/>
            <w:tcBorders>
              <w:top w:val="single" w:color="000000" w:sz="12" w:space="0"/>
              <w:left w:val="single" w:color="000000" w:sz="12" w:space="0"/>
              <w:bottom w:val="single" w:color="000000" w:sz="4" w:space="0"/>
              <w:right w:val="single" w:color="000000" w:sz="4" w:space="0"/>
            </w:tcBorders>
            <w:shd w:val="clear" w:color="auto" w:fill="auto"/>
            <w:vAlign w:val="center"/>
          </w:tcPr>
          <w:p w14:paraId="732D5D3B">
            <w:pPr>
              <w:pStyle w:val="42"/>
              <w:bidi w:val="0"/>
              <w:jc w:val="center"/>
              <w:rPr>
                <w:highlight w:val="none"/>
              </w:rPr>
            </w:pPr>
            <w:r>
              <w:rPr>
                <w:highlight w:val="none"/>
              </w:rPr>
              <w:t>监测日期</w:t>
            </w:r>
          </w:p>
        </w:tc>
        <w:tc>
          <w:tcPr>
            <w:tcW w:w="641" w:type="pct"/>
            <w:tcBorders>
              <w:top w:val="single" w:color="000000" w:sz="12" w:space="0"/>
              <w:left w:val="single" w:color="000000" w:sz="4" w:space="0"/>
              <w:bottom w:val="single" w:color="000000" w:sz="4" w:space="0"/>
              <w:right w:val="single" w:color="000000" w:sz="4" w:space="0"/>
            </w:tcBorders>
            <w:shd w:val="clear" w:color="auto" w:fill="auto"/>
            <w:vAlign w:val="center"/>
          </w:tcPr>
          <w:p w14:paraId="54707DE1">
            <w:pPr>
              <w:pStyle w:val="42"/>
              <w:bidi w:val="0"/>
              <w:jc w:val="center"/>
              <w:rPr>
                <w:highlight w:val="none"/>
              </w:rPr>
            </w:pPr>
            <w:r>
              <w:rPr>
                <w:highlight w:val="none"/>
              </w:rPr>
              <w:t>天气</w:t>
            </w:r>
          </w:p>
        </w:tc>
        <w:tc>
          <w:tcPr>
            <w:tcW w:w="687" w:type="pct"/>
            <w:tcBorders>
              <w:top w:val="single" w:color="000000" w:sz="12" w:space="0"/>
              <w:left w:val="single" w:color="000000" w:sz="4" w:space="0"/>
              <w:bottom w:val="single" w:color="000000" w:sz="4" w:space="0"/>
              <w:right w:val="single" w:color="000000" w:sz="4" w:space="0"/>
            </w:tcBorders>
            <w:shd w:val="clear" w:color="auto" w:fill="auto"/>
            <w:vAlign w:val="center"/>
          </w:tcPr>
          <w:p w14:paraId="40E64ACA">
            <w:pPr>
              <w:pStyle w:val="42"/>
              <w:bidi w:val="0"/>
              <w:jc w:val="center"/>
              <w:rPr>
                <w:highlight w:val="none"/>
              </w:rPr>
            </w:pPr>
            <w:r>
              <w:rPr>
                <w:highlight w:val="none"/>
              </w:rPr>
              <w:t>风向</w:t>
            </w:r>
          </w:p>
        </w:tc>
        <w:tc>
          <w:tcPr>
            <w:tcW w:w="674" w:type="pct"/>
            <w:tcBorders>
              <w:top w:val="single" w:color="000000" w:sz="12" w:space="0"/>
              <w:left w:val="single" w:color="000000" w:sz="4" w:space="0"/>
              <w:bottom w:val="single" w:color="000000" w:sz="4" w:space="0"/>
              <w:right w:val="single" w:color="000000" w:sz="4" w:space="0"/>
            </w:tcBorders>
            <w:shd w:val="clear" w:color="auto" w:fill="auto"/>
            <w:vAlign w:val="center"/>
          </w:tcPr>
          <w:p w14:paraId="00644BE3">
            <w:pPr>
              <w:pStyle w:val="42"/>
              <w:bidi w:val="0"/>
              <w:jc w:val="center"/>
              <w:rPr>
                <w:highlight w:val="none"/>
              </w:rPr>
            </w:pPr>
            <w:r>
              <w:rPr>
                <w:highlight w:val="none"/>
              </w:rPr>
              <w:t>风速(m/s)</w:t>
            </w:r>
          </w:p>
        </w:tc>
        <w:tc>
          <w:tcPr>
            <w:tcW w:w="679" w:type="pct"/>
            <w:tcBorders>
              <w:top w:val="single" w:color="000000" w:sz="12" w:space="0"/>
              <w:left w:val="single" w:color="000000" w:sz="4" w:space="0"/>
              <w:bottom w:val="single" w:color="000000" w:sz="4" w:space="0"/>
              <w:right w:val="single" w:color="000000" w:sz="4" w:space="0"/>
            </w:tcBorders>
            <w:shd w:val="clear" w:color="auto" w:fill="auto"/>
            <w:vAlign w:val="center"/>
          </w:tcPr>
          <w:p w14:paraId="3FFC95E5">
            <w:pPr>
              <w:pStyle w:val="42"/>
              <w:bidi w:val="0"/>
              <w:jc w:val="center"/>
              <w:rPr>
                <w:highlight w:val="none"/>
              </w:rPr>
            </w:pPr>
            <w:r>
              <w:rPr>
                <w:highlight w:val="none"/>
              </w:rPr>
              <w:t>湿度(%)</w:t>
            </w:r>
          </w:p>
        </w:tc>
        <w:tc>
          <w:tcPr>
            <w:tcW w:w="727" w:type="pct"/>
            <w:tcBorders>
              <w:top w:val="single" w:color="000000" w:sz="12" w:space="0"/>
              <w:left w:val="single" w:color="000000" w:sz="4" w:space="0"/>
              <w:bottom w:val="single" w:color="000000" w:sz="4" w:space="0"/>
              <w:right w:val="single" w:color="000000" w:sz="4" w:space="0"/>
            </w:tcBorders>
            <w:shd w:val="clear" w:color="auto" w:fill="auto"/>
            <w:vAlign w:val="center"/>
          </w:tcPr>
          <w:p w14:paraId="274F71B5">
            <w:pPr>
              <w:pStyle w:val="42"/>
              <w:bidi w:val="0"/>
              <w:jc w:val="center"/>
              <w:rPr>
                <w:highlight w:val="none"/>
              </w:rPr>
            </w:pPr>
            <w:r>
              <w:rPr>
                <w:highlight w:val="none"/>
              </w:rPr>
              <w:t>温度(℃)</w:t>
            </w:r>
          </w:p>
        </w:tc>
        <w:tc>
          <w:tcPr>
            <w:tcW w:w="739" w:type="pct"/>
            <w:tcBorders>
              <w:top w:val="single" w:color="000000" w:sz="12" w:space="0"/>
              <w:left w:val="single" w:color="000000" w:sz="4" w:space="0"/>
              <w:bottom w:val="single" w:color="000000" w:sz="4" w:space="0"/>
              <w:right w:val="single" w:color="000000" w:sz="12" w:space="0"/>
            </w:tcBorders>
            <w:shd w:val="clear" w:color="auto" w:fill="auto"/>
            <w:vAlign w:val="center"/>
          </w:tcPr>
          <w:p w14:paraId="4B4362B4">
            <w:pPr>
              <w:pStyle w:val="42"/>
              <w:bidi w:val="0"/>
              <w:jc w:val="center"/>
              <w:rPr>
                <w:highlight w:val="none"/>
              </w:rPr>
            </w:pPr>
            <w:r>
              <w:rPr>
                <w:highlight w:val="none"/>
              </w:rPr>
              <w:t>大气压 (kPa)</w:t>
            </w:r>
          </w:p>
        </w:tc>
      </w:tr>
      <w:tr w14:paraId="6A6889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4B8BCCD7">
            <w:pPr>
              <w:pStyle w:val="42"/>
              <w:bidi w:val="0"/>
              <w:jc w:val="center"/>
              <w:rPr>
                <w:rFonts w:hint="default" w:eastAsia="宋体"/>
                <w:highlight w:val="none"/>
                <w:lang w:val="en-US" w:eastAsia="zh-CN"/>
              </w:rPr>
            </w:pPr>
            <w:r>
              <w:rPr>
                <w:rFonts w:hint="eastAsia"/>
                <w:highlight w:val="none"/>
                <w:lang w:val="en-US" w:eastAsia="zh-CN"/>
              </w:rPr>
              <w:t>2025.02.19</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89C753">
            <w:pPr>
              <w:pStyle w:val="42"/>
              <w:bidi w:val="0"/>
              <w:jc w:val="center"/>
              <w:rPr>
                <w:highlight w:val="none"/>
              </w:rPr>
            </w:pPr>
            <w:r>
              <w:rPr>
                <w:highlight w:val="none"/>
              </w:rPr>
              <w:t>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E3B30">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E589B">
            <w:pPr>
              <w:pStyle w:val="42"/>
              <w:bidi w:val="0"/>
              <w:jc w:val="center"/>
              <w:rPr>
                <w:rFonts w:hint="default" w:eastAsia="宋体"/>
                <w:highlight w:val="none"/>
                <w:lang w:val="en-US" w:eastAsia="zh-CN"/>
              </w:rPr>
            </w:pPr>
            <w:r>
              <w:rPr>
                <w:rFonts w:hint="eastAsia"/>
                <w:highlight w:val="none"/>
                <w:lang w:val="en-US" w:eastAsia="zh-CN"/>
              </w:rPr>
              <w:t>2.2</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44F5FC83">
            <w:pPr>
              <w:pStyle w:val="42"/>
              <w:bidi w:val="0"/>
              <w:rPr>
                <w:rFonts w:hint="default"/>
                <w:highlight w:val="none"/>
                <w:lang w:val="en-US" w:eastAsia="zh-CN"/>
              </w:rPr>
            </w:pPr>
            <w:r>
              <w:rPr>
                <w:highlight w:val="none"/>
              </w:rPr>
              <w:t>52</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C10A5">
            <w:pPr>
              <w:pStyle w:val="42"/>
              <w:bidi w:val="0"/>
              <w:ind w:left="0" w:leftChars="0" w:right="0" w:rightChars="0" w:firstLine="0" w:firstLineChars="0"/>
              <w:jc w:val="center"/>
              <w:rPr>
                <w:highlight w:val="none"/>
              </w:rPr>
            </w:pPr>
            <w:r>
              <w:rPr>
                <w:rFonts w:hint="eastAsia"/>
                <w:highlight w:val="none"/>
                <w:lang w:val="en-US" w:eastAsia="zh-CN"/>
              </w:rPr>
              <w:t>13.1</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1EA137BC">
            <w:pPr>
              <w:pStyle w:val="42"/>
              <w:bidi w:val="0"/>
              <w:rPr>
                <w:highlight w:val="none"/>
              </w:rPr>
            </w:pPr>
            <w:r>
              <w:rPr>
                <w:highlight w:val="none"/>
              </w:rPr>
              <w:t>100.4</w:t>
            </w:r>
          </w:p>
        </w:tc>
      </w:tr>
      <w:tr w14:paraId="262E44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276"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1E924066">
            <w:pPr>
              <w:pStyle w:val="42"/>
              <w:bidi w:val="0"/>
              <w:jc w:val="center"/>
              <w:rPr>
                <w:rFonts w:hint="default"/>
                <w:highlight w:val="none"/>
                <w:lang w:val="en-US"/>
              </w:rPr>
            </w:pPr>
            <w:r>
              <w:rPr>
                <w:rFonts w:hint="eastAsia"/>
                <w:highlight w:val="none"/>
                <w:lang w:val="en-US" w:eastAsia="zh-CN"/>
              </w:rPr>
              <w:t>2025.02.20</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E4EBB">
            <w:pPr>
              <w:pStyle w:val="42"/>
              <w:bidi w:val="0"/>
              <w:jc w:val="center"/>
              <w:rPr>
                <w:highlight w:val="none"/>
              </w:rPr>
            </w:pPr>
            <w:r>
              <w:rPr>
                <w:highlight w:val="none"/>
              </w:rPr>
              <w:t>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003491">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3A4625">
            <w:pPr>
              <w:pStyle w:val="42"/>
              <w:bidi w:val="0"/>
              <w:jc w:val="center"/>
              <w:rPr>
                <w:rFonts w:hint="default" w:eastAsia="宋体"/>
                <w:highlight w:val="none"/>
                <w:lang w:val="en-US" w:eastAsia="zh-CN"/>
              </w:rPr>
            </w:pPr>
            <w:r>
              <w:rPr>
                <w:rFonts w:hint="eastAsia"/>
                <w:highlight w:val="none"/>
                <w:lang w:val="en-US" w:eastAsia="zh-CN"/>
              </w:rPr>
              <w:t>2.3</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2745A597">
            <w:pPr>
              <w:pStyle w:val="42"/>
              <w:bidi w:val="0"/>
              <w:rPr>
                <w:rFonts w:hint="default"/>
                <w:highlight w:val="none"/>
                <w:lang w:val="en-US" w:eastAsia="zh-CN"/>
              </w:rPr>
            </w:pPr>
            <w:r>
              <w:rPr>
                <w:highlight w:val="none"/>
              </w:rPr>
              <w:t>53</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C099D">
            <w:pPr>
              <w:pStyle w:val="42"/>
              <w:bidi w:val="0"/>
              <w:ind w:left="0" w:leftChars="0" w:right="0" w:rightChars="0" w:firstLine="0" w:firstLineChars="0"/>
              <w:jc w:val="center"/>
              <w:rPr>
                <w:highlight w:val="none"/>
              </w:rPr>
            </w:pPr>
            <w:r>
              <w:rPr>
                <w:rFonts w:hint="eastAsia"/>
                <w:highlight w:val="none"/>
                <w:lang w:val="en-US" w:eastAsia="zh-CN"/>
              </w:rPr>
              <w:t>14.1</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51AD8E6C">
            <w:pPr>
              <w:pStyle w:val="42"/>
              <w:bidi w:val="0"/>
              <w:rPr>
                <w:highlight w:val="none"/>
              </w:rPr>
            </w:pPr>
            <w:r>
              <w:rPr>
                <w:highlight w:val="none"/>
              </w:rPr>
              <w:t>100.3</w:t>
            </w:r>
          </w:p>
        </w:tc>
      </w:tr>
      <w:tr w14:paraId="7A24E9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276"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7F37BEB3">
            <w:pPr>
              <w:pStyle w:val="42"/>
              <w:bidi w:val="0"/>
              <w:jc w:val="center"/>
              <w:rPr>
                <w:rFonts w:hint="default"/>
                <w:highlight w:val="none"/>
                <w:lang w:val="en-US"/>
              </w:rPr>
            </w:pPr>
            <w:r>
              <w:rPr>
                <w:rFonts w:hint="eastAsia"/>
                <w:highlight w:val="none"/>
                <w:lang w:val="en-US" w:eastAsia="zh-CN"/>
              </w:rPr>
              <w:t>2025.02.21</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37009">
            <w:pPr>
              <w:pStyle w:val="42"/>
              <w:bidi w:val="0"/>
              <w:jc w:val="center"/>
              <w:rPr>
                <w:highlight w:val="none"/>
              </w:rPr>
            </w:pPr>
            <w:r>
              <w:rPr>
                <w:highlight w:val="none"/>
              </w:rPr>
              <w:t>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2F5F1">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9D17C">
            <w:pPr>
              <w:pStyle w:val="42"/>
              <w:bidi w:val="0"/>
              <w:jc w:val="center"/>
              <w:rPr>
                <w:rFonts w:hint="default" w:eastAsia="宋体"/>
                <w:highlight w:val="none"/>
                <w:lang w:val="en-US" w:eastAsia="zh-CN"/>
              </w:rPr>
            </w:pPr>
            <w:r>
              <w:rPr>
                <w:rFonts w:hint="eastAsia"/>
                <w:highlight w:val="none"/>
                <w:lang w:val="en-US" w:eastAsia="zh-CN"/>
              </w:rPr>
              <w:t>2.4</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7AE1A35F">
            <w:pPr>
              <w:pStyle w:val="42"/>
              <w:bidi w:val="0"/>
              <w:rPr>
                <w:rFonts w:hint="default"/>
                <w:highlight w:val="none"/>
                <w:lang w:val="en-US" w:eastAsia="zh-CN"/>
              </w:rPr>
            </w:pPr>
            <w:r>
              <w:rPr>
                <w:highlight w:val="none"/>
              </w:rPr>
              <w:t>51</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278AE">
            <w:pPr>
              <w:pStyle w:val="42"/>
              <w:bidi w:val="0"/>
              <w:ind w:left="0" w:leftChars="0" w:right="0" w:rightChars="0" w:firstLine="0" w:firstLineChars="0"/>
              <w:jc w:val="center"/>
              <w:rPr>
                <w:highlight w:val="none"/>
              </w:rPr>
            </w:pPr>
            <w:r>
              <w:rPr>
                <w:rFonts w:hint="eastAsia"/>
                <w:highlight w:val="none"/>
                <w:lang w:val="en-US" w:eastAsia="zh-CN"/>
              </w:rPr>
              <w:t>14.6</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5F0ED7BB">
            <w:pPr>
              <w:pStyle w:val="42"/>
              <w:bidi w:val="0"/>
              <w:rPr>
                <w:highlight w:val="none"/>
              </w:rPr>
            </w:pPr>
            <w:r>
              <w:rPr>
                <w:highlight w:val="none"/>
              </w:rPr>
              <w:t>100.3</w:t>
            </w:r>
          </w:p>
        </w:tc>
      </w:tr>
      <w:tr w14:paraId="3BEE9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275"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666E6B5E">
            <w:pPr>
              <w:pStyle w:val="42"/>
              <w:bidi w:val="0"/>
              <w:jc w:val="center"/>
              <w:rPr>
                <w:rFonts w:hint="default"/>
                <w:highlight w:val="none"/>
                <w:lang w:val="en-US"/>
              </w:rPr>
            </w:pPr>
            <w:r>
              <w:rPr>
                <w:rFonts w:hint="eastAsia"/>
                <w:highlight w:val="none"/>
                <w:lang w:val="en-US" w:eastAsia="zh-CN"/>
              </w:rPr>
              <w:t>2025.02.22</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66CB38">
            <w:pPr>
              <w:pStyle w:val="42"/>
              <w:bidi w:val="0"/>
              <w:jc w:val="center"/>
              <w:rPr>
                <w:highlight w:val="none"/>
              </w:rPr>
            </w:pPr>
            <w:r>
              <w:rPr>
                <w:highlight w:val="none"/>
              </w:rPr>
              <w:t>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69B6F">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D0792">
            <w:pPr>
              <w:pStyle w:val="42"/>
              <w:bidi w:val="0"/>
              <w:jc w:val="center"/>
              <w:rPr>
                <w:rFonts w:hint="default" w:eastAsia="宋体"/>
                <w:highlight w:val="none"/>
                <w:lang w:val="en-US" w:eastAsia="zh-CN"/>
              </w:rPr>
            </w:pPr>
            <w:r>
              <w:rPr>
                <w:rFonts w:hint="eastAsia"/>
                <w:highlight w:val="none"/>
                <w:lang w:val="en-US" w:eastAsia="zh-CN"/>
              </w:rPr>
              <w:t>2.2</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212D5241">
            <w:pPr>
              <w:pStyle w:val="42"/>
              <w:bidi w:val="0"/>
              <w:rPr>
                <w:rFonts w:hint="default"/>
                <w:highlight w:val="none"/>
                <w:lang w:val="en-US" w:eastAsia="zh-CN"/>
              </w:rPr>
            </w:pPr>
            <w:r>
              <w:rPr>
                <w:highlight w:val="none"/>
              </w:rPr>
              <w:t>52</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20203">
            <w:pPr>
              <w:pStyle w:val="42"/>
              <w:bidi w:val="0"/>
              <w:ind w:left="0" w:leftChars="0" w:right="0" w:rightChars="0" w:firstLine="0" w:firstLineChars="0"/>
              <w:jc w:val="center"/>
              <w:rPr>
                <w:highlight w:val="none"/>
              </w:rPr>
            </w:pPr>
            <w:r>
              <w:rPr>
                <w:rFonts w:hint="eastAsia"/>
                <w:highlight w:val="none"/>
                <w:lang w:val="en-US" w:eastAsia="zh-CN"/>
              </w:rPr>
              <w:t>134</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3E77FF69">
            <w:pPr>
              <w:pStyle w:val="42"/>
              <w:bidi w:val="0"/>
              <w:rPr>
                <w:highlight w:val="none"/>
              </w:rPr>
            </w:pPr>
            <w:r>
              <w:rPr>
                <w:highlight w:val="none"/>
              </w:rPr>
              <w:t>100.4</w:t>
            </w:r>
          </w:p>
        </w:tc>
      </w:tr>
      <w:tr w14:paraId="7485B7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51D252AB">
            <w:pPr>
              <w:pStyle w:val="42"/>
              <w:bidi w:val="0"/>
              <w:jc w:val="center"/>
              <w:rPr>
                <w:rFonts w:hint="default"/>
                <w:highlight w:val="none"/>
                <w:lang w:val="en-US"/>
              </w:rPr>
            </w:pPr>
            <w:r>
              <w:rPr>
                <w:rFonts w:hint="eastAsia"/>
                <w:highlight w:val="none"/>
                <w:lang w:val="en-US" w:eastAsia="zh-CN"/>
              </w:rPr>
              <w:t>2025.02.23</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92FAFA">
            <w:pPr>
              <w:pStyle w:val="42"/>
              <w:bidi w:val="0"/>
              <w:jc w:val="center"/>
              <w:rPr>
                <w:highlight w:val="none"/>
              </w:rPr>
            </w:pPr>
            <w:r>
              <w:rPr>
                <w:highlight w:val="none"/>
              </w:rPr>
              <w:t>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2CD72">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38558">
            <w:pPr>
              <w:pStyle w:val="42"/>
              <w:bidi w:val="0"/>
              <w:jc w:val="center"/>
              <w:rPr>
                <w:rFonts w:hint="default" w:eastAsia="宋体"/>
                <w:highlight w:val="none"/>
                <w:lang w:val="en-US" w:eastAsia="zh-CN"/>
              </w:rPr>
            </w:pPr>
            <w:r>
              <w:rPr>
                <w:rFonts w:hint="eastAsia"/>
                <w:highlight w:val="none"/>
                <w:lang w:val="en-US" w:eastAsia="zh-CN"/>
              </w:rPr>
              <w:t>2.3</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3B7FA868">
            <w:pPr>
              <w:pStyle w:val="42"/>
              <w:bidi w:val="0"/>
              <w:rPr>
                <w:rFonts w:hint="default"/>
                <w:highlight w:val="none"/>
                <w:lang w:val="en-US" w:eastAsia="zh-CN"/>
              </w:rPr>
            </w:pPr>
            <w:r>
              <w:rPr>
                <w:highlight w:val="none"/>
              </w:rPr>
              <w:t>53</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1DBD8">
            <w:pPr>
              <w:pStyle w:val="42"/>
              <w:bidi w:val="0"/>
              <w:ind w:left="0" w:leftChars="0" w:right="0" w:rightChars="0" w:firstLine="0" w:firstLineChars="0"/>
              <w:jc w:val="center"/>
              <w:rPr>
                <w:highlight w:val="none"/>
              </w:rPr>
            </w:pPr>
            <w:r>
              <w:rPr>
                <w:rFonts w:hint="eastAsia"/>
                <w:highlight w:val="none"/>
                <w:lang w:val="en-US" w:eastAsia="zh-CN"/>
              </w:rPr>
              <w:t>15.1</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392C1A1A">
            <w:pPr>
              <w:pStyle w:val="42"/>
              <w:bidi w:val="0"/>
              <w:rPr>
                <w:highlight w:val="none"/>
              </w:rPr>
            </w:pPr>
            <w:r>
              <w:rPr>
                <w:highlight w:val="none"/>
              </w:rPr>
              <w:t>100.2</w:t>
            </w:r>
          </w:p>
        </w:tc>
      </w:tr>
      <w:tr w14:paraId="408D5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851"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0C91CBBE">
            <w:pPr>
              <w:pStyle w:val="42"/>
              <w:bidi w:val="0"/>
              <w:jc w:val="center"/>
              <w:rPr>
                <w:rFonts w:hint="default"/>
                <w:highlight w:val="none"/>
                <w:lang w:val="en-US"/>
              </w:rPr>
            </w:pPr>
            <w:r>
              <w:rPr>
                <w:rFonts w:hint="eastAsia"/>
                <w:highlight w:val="none"/>
                <w:lang w:val="en-US" w:eastAsia="zh-CN"/>
              </w:rPr>
              <w:t>2025.02.24</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EB2678">
            <w:pPr>
              <w:pStyle w:val="42"/>
              <w:bidi w:val="0"/>
              <w:jc w:val="center"/>
              <w:rPr>
                <w:highlight w:val="none"/>
              </w:rPr>
            </w:pPr>
            <w:r>
              <w:rPr>
                <w:highlight w:val="none"/>
              </w:rPr>
              <w:t>阴</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22BA5C">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C5286">
            <w:pPr>
              <w:pStyle w:val="42"/>
              <w:bidi w:val="0"/>
              <w:jc w:val="center"/>
              <w:rPr>
                <w:rFonts w:hint="default" w:eastAsia="宋体"/>
                <w:highlight w:val="none"/>
                <w:lang w:val="en-US" w:eastAsia="zh-CN"/>
              </w:rPr>
            </w:pPr>
            <w:r>
              <w:rPr>
                <w:rFonts w:hint="eastAsia"/>
                <w:highlight w:val="none"/>
                <w:lang w:val="en-US" w:eastAsia="zh-CN"/>
              </w:rPr>
              <w:t>2.2</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top"/>
          </w:tcPr>
          <w:p w14:paraId="323EE126">
            <w:pPr>
              <w:pStyle w:val="42"/>
              <w:bidi w:val="0"/>
              <w:rPr>
                <w:rFonts w:hint="default"/>
                <w:highlight w:val="none"/>
                <w:lang w:val="en-US" w:eastAsia="zh-CN"/>
              </w:rPr>
            </w:pPr>
            <w:r>
              <w:rPr>
                <w:highlight w:val="none"/>
              </w:rPr>
              <w:t>53</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F7758">
            <w:pPr>
              <w:pStyle w:val="42"/>
              <w:bidi w:val="0"/>
              <w:ind w:left="0" w:leftChars="0" w:right="0" w:rightChars="0" w:firstLine="0" w:firstLineChars="0"/>
              <w:jc w:val="center"/>
              <w:rPr>
                <w:highlight w:val="none"/>
              </w:rPr>
            </w:pPr>
            <w:r>
              <w:rPr>
                <w:rFonts w:hint="eastAsia"/>
                <w:highlight w:val="none"/>
                <w:lang w:val="en-US" w:eastAsia="zh-CN"/>
              </w:rPr>
              <w:t>12.4</w:t>
            </w:r>
          </w:p>
        </w:tc>
        <w:tc>
          <w:tcPr>
            <w:tcW w:w="1232" w:type="dxa"/>
            <w:tcBorders>
              <w:top w:val="single" w:color="000000" w:sz="4" w:space="0"/>
              <w:left w:val="single" w:color="000000" w:sz="4" w:space="0"/>
              <w:bottom w:val="single" w:color="000000" w:sz="4" w:space="0"/>
              <w:right w:val="single" w:color="000000" w:sz="12" w:space="0"/>
            </w:tcBorders>
            <w:shd w:val="clear" w:color="auto" w:fill="auto"/>
            <w:vAlign w:val="top"/>
          </w:tcPr>
          <w:p w14:paraId="76550DCA">
            <w:pPr>
              <w:pStyle w:val="42"/>
              <w:bidi w:val="0"/>
              <w:rPr>
                <w:highlight w:val="none"/>
              </w:rPr>
            </w:pPr>
            <w:r>
              <w:rPr>
                <w:highlight w:val="none"/>
              </w:rPr>
              <w:t>100.5</w:t>
            </w:r>
          </w:p>
        </w:tc>
      </w:tr>
      <w:tr w14:paraId="3C6778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51" w:type="pct"/>
            <w:tcBorders>
              <w:top w:val="single" w:color="000000" w:sz="4" w:space="0"/>
              <w:left w:val="single" w:color="000000" w:sz="12" w:space="0"/>
              <w:bottom w:val="single" w:color="000000" w:sz="12" w:space="0"/>
              <w:right w:val="single" w:color="000000" w:sz="4" w:space="0"/>
            </w:tcBorders>
            <w:shd w:val="clear" w:color="auto" w:fill="auto"/>
            <w:vAlign w:val="center"/>
          </w:tcPr>
          <w:p w14:paraId="1B25FE25">
            <w:pPr>
              <w:pStyle w:val="42"/>
              <w:bidi w:val="0"/>
              <w:jc w:val="center"/>
              <w:rPr>
                <w:rFonts w:hint="default"/>
                <w:highlight w:val="none"/>
                <w:lang w:val="en-US"/>
              </w:rPr>
            </w:pPr>
            <w:r>
              <w:rPr>
                <w:rFonts w:hint="eastAsia"/>
                <w:highlight w:val="none"/>
                <w:lang w:val="en-US" w:eastAsia="zh-CN"/>
              </w:rPr>
              <w:t>2025.02.25</w:t>
            </w:r>
          </w:p>
        </w:tc>
        <w:tc>
          <w:tcPr>
            <w:tcW w:w="641"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597268E1">
            <w:pPr>
              <w:pStyle w:val="42"/>
              <w:bidi w:val="0"/>
              <w:jc w:val="center"/>
              <w:rPr>
                <w:highlight w:val="none"/>
              </w:rPr>
            </w:pPr>
            <w:r>
              <w:rPr>
                <w:highlight w:val="none"/>
              </w:rPr>
              <w:t>晴</w:t>
            </w:r>
          </w:p>
        </w:tc>
        <w:tc>
          <w:tcPr>
            <w:tcW w:w="687"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20194009">
            <w:pPr>
              <w:pStyle w:val="42"/>
              <w:bidi w:val="0"/>
              <w:jc w:val="center"/>
              <w:rPr>
                <w:highlight w:val="none"/>
              </w:rPr>
            </w:pPr>
            <w:r>
              <w:rPr>
                <w:highlight w:val="none"/>
              </w:rPr>
              <w:t>北</w:t>
            </w:r>
          </w:p>
        </w:tc>
        <w:tc>
          <w:tcPr>
            <w:tcW w:w="674" w:type="pct"/>
            <w:tcBorders>
              <w:top w:val="single" w:color="000000" w:sz="4" w:space="0"/>
              <w:left w:val="single" w:color="000000" w:sz="4" w:space="0"/>
              <w:bottom w:val="single" w:color="000000" w:sz="12" w:space="0"/>
              <w:right w:val="single" w:color="000000" w:sz="4" w:space="0"/>
            </w:tcBorders>
            <w:shd w:val="clear" w:color="auto" w:fill="auto"/>
            <w:vAlign w:val="center"/>
          </w:tcPr>
          <w:p w14:paraId="5C415424">
            <w:pPr>
              <w:pStyle w:val="42"/>
              <w:bidi w:val="0"/>
              <w:jc w:val="center"/>
              <w:rPr>
                <w:rFonts w:hint="default" w:eastAsia="宋体"/>
                <w:highlight w:val="none"/>
                <w:lang w:val="en-US" w:eastAsia="zh-CN"/>
              </w:rPr>
            </w:pPr>
            <w:r>
              <w:rPr>
                <w:rFonts w:hint="eastAsia"/>
                <w:highlight w:val="none"/>
                <w:lang w:val="en-US" w:eastAsia="zh-CN"/>
              </w:rPr>
              <w:t>2.4</w:t>
            </w:r>
          </w:p>
        </w:tc>
        <w:tc>
          <w:tcPr>
            <w:tcW w:w="1132" w:type="dxa"/>
            <w:tcBorders>
              <w:top w:val="single" w:color="000000" w:sz="4" w:space="0"/>
              <w:left w:val="single" w:color="000000" w:sz="4" w:space="0"/>
              <w:bottom w:val="single" w:color="000000" w:sz="12" w:space="0"/>
              <w:right w:val="single" w:color="000000" w:sz="4" w:space="0"/>
            </w:tcBorders>
            <w:shd w:val="clear" w:color="auto" w:fill="auto"/>
            <w:vAlign w:val="top"/>
          </w:tcPr>
          <w:p w14:paraId="0342C4AE">
            <w:pPr>
              <w:pStyle w:val="42"/>
              <w:bidi w:val="0"/>
              <w:rPr>
                <w:rFonts w:hint="default"/>
                <w:highlight w:val="none"/>
                <w:lang w:val="en-US" w:eastAsia="zh-CN"/>
              </w:rPr>
            </w:pPr>
            <w:r>
              <w:rPr>
                <w:highlight w:val="none"/>
              </w:rPr>
              <w:t>54</w:t>
            </w:r>
          </w:p>
        </w:tc>
        <w:tc>
          <w:tcPr>
            <w:tcW w:w="1212"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2CC1CECF">
            <w:pPr>
              <w:pStyle w:val="42"/>
              <w:bidi w:val="0"/>
              <w:ind w:left="0" w:leftChars="0" w:right="0" w:rightChars="0" w:firstLine="0" w:firstLineChars="0"/>
              <w:jc w:val="center"/>
              <w:rPr>
                <w:highlight w:val="none"/>
              </w:rPr>
            </w:pPr>
            <w:r>
              <w:rPr>
                <w:rFonts w:hint="eastAsia"/>
                <w:highlight w:val="none"/>
                <w:lang w:val="en-US" w:eastAsia="zh-CN"/>
              </w:rPr>
              <w:t>13.3</w:t>
            </w:r>
          </w:p>
        </w:tc>
        <w:tc>
          <w:tcPr>
            <w:tcW w:w="1232" w:type="dxa"/>
            <w:tcBorders>
              <w:top w:val="single" w:color="000000" w:sz="4" w:space="0"/>
              <w:left w:val="single" w:color="000000" w:sz="4" w:space="0"/>
              <w:bottom w:val="single" w:color="000000" w:sz="12" w:space="0"/>
              <w:right w:val="single" w:color="000000" w:sz="12" w:space="0"/>
            </w:tcBorders>
            <w:shd w:val="clear" w:color="auto" w:fill="auto"/>
            <w:vAlign w:val="top"/>
          </w:tcPr>
          <w:p w14:paraId="7F005359">
            <w:pPr>
              <w:pStyle w:val="42"/>
              <w:bidi w:val="0"/>
              <w:rPr>
                <w:highlight w:val="none"/>
              </w:rPr>
            </w:pPr>
            <w:r>
              <w:rPr>
                <w:highlight w:val="none"/>
              </w:rPr>
              <w:t>100.4</w:t>
            </w:r>
          </w:p>
        </w:tc>
      </w:tr>
    </w:tbl>
    <w:p w14:paraId="3C6D6C28">
      <w:pPr>
        <w:bidi w:val="0"/>
        <w:rPr>
          <w:rFonts w:hint="default"/>
        </w:rPr>
      </w:pPr>
      <w:r>
        <w:rPr>
          <w:rFonts w:hint="default"/>
        </w:rPr>
        <w:t>（4）大气环境质量监测结果</w:t>
      </w:r>
    </w:p>
    <w:p w14:paraId="160F48E1">
      <w:pPr>
        <w:bidi w:val="0"/>
        <w:rPr>
          <w:rFonts w:hint="default"/>
          <w:highlight w:val="none"/>
        </w:rPr>
      </w:pPr>
      <w:r>
        <w:rPr>
          <w:rFonts w:hint="default"/>
          <w:highlight w:val="none"/>
        </w:rPr>
        <w:t>大气环境质量监测结果统计见下表：</w:t>
      </w:r>
    </w:p>
    <w:p w14:paraId="33C8BAB4">
      <w:pPr>
        <w:pStyle w:val="39"/>
        <w:rPr>
          <w:rFonts w:hint="default" w:ascii="Times New Roman" w:hAnsi="Times New Roman" w:eastAsia="黑体" w:cs="Times New Roman"/>
          <w:color w:val="auto"/>
          <w:sz w:val="22"/>
          <w:szCs w:val="18"/>
          <w:highlight w:val="none"/>
          <w:u w:val="none" w:color="auto"/>
          <w:lang w:val="en-US" w:eastAsia="zh-CN"/>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rPr>
        <w:t xml:space="preserve">   其他污染物环境质量现状监测结果表</w:t>
      </w:r>
      <w:r>
        <w:rPr>
          <w:rFonts w:hint="eastAsia" w:cs="Times New Roman"/>
          <w:color w:val="auto"/>
          <w:highlight w:val="none"/>
          <w:u w:val="none" w:color="auto"/>
          <w:lang w:val="en-US" w:eastAsia="zh-CN"/>
        </w:rPr>
        <w:t xml:space="preserve">  </w:t>
      </w:r>
      <w:r>
        <w:rPr>
          <w:rFonts w:hint="eastAsia" w:cs="Times New Roman"/>
          <w:color w:val="auto"/>
          <w:sz w:val="21"/>
          <w:szCs w:val="21"/>
          <w:highlight w:val="none"/>
          <w:u w:val="none" w:color="auto"/>
          <w:lang w:val="en-US" w:eastAsia="zh-CN"/>
        </w:rPr>
        <w:t>臭气浓度无纲量</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738"/>
        <w:gridCol w:w="739"/>
        <w:gridCol w:w="1281"/>
        <w:gridCol w:w="1061"/>
        <w:gridCol w:w="1082"/>
        <w:gridCol w:w="1050"/>
        <w:gridCol w:w="817"/>
        <w:gridCol w:w="725"/>
      </w:tblGrid>
      <w:tr w14:paraId="56D14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restart"/>
            <w:noWrap w:val="0"/>
            <w:vAlign w:val="center"/>
          </w:tcPr>
          <w:p w14:paraId="7D7447E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点位名称</w:t>
            </w:r>
          </w:p>
        </w:tc>
        <w:tc>
          <w:tcPr>
            <w:tcW w:w="1477" w:type="dxa"/>
            <w:gridSpan w:val="2"/>
            <w:noWrap w:val="0"/>
            <w:vAlign w:val="center"/>
          </w:tcPr>
          <w:p w14:paraId="6390AF9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监测点坐标/m</w:t>
            </w:r>
          </w:p>
        </w:tc>
        <w:tc>
          <w:tcPr>
            <w:tcW w:w="1281" w:type="dxa"/>
            <w:vMerge w:val="restart"/>
            <w:noWrap w:val="0"/>
            <w:vAlign w:val="center"/>
          </w:tcPr>
          <w:p w14:paraId="7E31984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w:t>
            </w:r>
          </w:p>
        </w:tc>
        <w:tc>
          <w:tcPr>
            <w:tcW w:w="1061" w:type="dxa"/>
            <w:vMerge w:val="restart"/>
            <w:noWrap w:val="0"/>
            <w:vAlign w:val="center"/>
          </w:tcPr>
          <w:p w14:paraId="32BB961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评价标准/（</w:t>
            </w:r>
            <w:r>
              <w:rPr>
                <w:rFonts w:hint="default" w:ascii="Times New Roman" w:hAnsi="Times New Roman" w:cs="Times New Roman"/>
                <w:color w:val="auto"/>
                <w:highlight w:val="none"/>
                <w:u w:val="none" w:color="auto"/>
                <w:lang w:val="en-US" w:eastAsia="zh-CN"/>
              </w:rPr>
              <w:t>μ</w:t>
            </w:r>
            <w:r>
              <w:rPr>
                <w:rFonts w:hint="default" w:ascii="Times New Roman" w:hAnsi="Times New Roman" w:cs="Times New Roman"/>
                <w:color w:val="auto"/>
                <w:kern w:val="2"/>
                <w:highlight w:val="none"/>
                <w:u w:val="none" w:color="auto"/>
              </w:rPr>
              <w:t>g/</w:t>
            </w:r>
            <w:r>
              <w:rPr>
                <w:rFonts w:hint="eastAsia" w:cs="Times New Roman"/>
                <w:color w:val="auto"/>
                <w:kern w:val="2"/>
                <w:highlight w:val="none"/>
                <w:u w:val="none" w:color="auto"/>
                <w:lang w:eastAsia="zh-CN"/>
              </w:rPr>
              <w:t>m</w:t>
            </w:r>
            <w:r>
              <w:rPr>
                <w:rFonts w:hint="eastAsia" w:cs="Times New Roman"/>
                <w:color w:val="auto"/>
                <w:kern w:val="2"/>
                <w:highlight w:val="none"/>
                <w:u w:val="none" w:color="auto"/>
                <w:vertAlign w:val="superscript"/>
                <w:lang w:eastAsia="zh-CN"/>
              </w:rPr>
              <w:t>3</w:t>
            </w:r>
            <w:r>
              <w:rPr>
                <w:rFonts w:hint="default" w:ascii="Times New Roman" w:hAnsi="Times New Roman" w:cs="Times New Roman"/>
                <w:color w:val="auto"/>
                <w:kern w:val="2"/>
                <w:highlight w:val="none"/>
                <w:u w:val="none" w:color="auto"/>
              </w:rPr>
              <w:t>）</w:t>
            </w:r>
          </w:p>
        </w:tc>
        <w:tc>
          <w:tcPr>
            <w:tcW w:w="1082" w:type="dxa"/>
            <w:vMerge w:val="restart"/>
            <w:noWrap w:val="0"/>
            <w:vAlign w:val="center"/>
          </w:tcPr>
          <w:p w14:paraId="1DCF988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highlight w:val="none"/>
                <w:u w:val="none" w:color="auto"/>
              </w:rPr>
              <w:t>现状浓度/（</w:t>
            </w:r>
            <w:r>
              <w:rPr>
                <w:rFonts w:hint="default" w:ascii="Times New Roman" w:hAnsi="Times New Roman" w:cs="Times New Roman"/>
                <w:color w:val="auto"/>
                <w:highlight w:val="none"/>
                <w:u w:val="none" w:color="auto"/>
                <w:lang w:val="en-US" w:eastAsia="zh-CN"/>
              </w:rPr>
              <w:t>μ</w:t>
            </w:r>
            <w:r>
              <w:rPr>
                <w:rFonts w:hint="default" w:ascii="Times New Roman" w:hAnsi="Times New Roman" w:cs="Times New Roman"/>
                <w:color w:val="auto"/>
                <w:highlight w:val="none"/>
                <w:u w:val="none" w:color="auto"/>
              </w:rPr>
              <w:t>g/</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w:t>
            </w:r>
          </w:p>
        </w:tc>
        <w:tc>
          <w:tcPr>
            <w:tcW w:w="1050" w:type="dxa"/>
            <w:vMerge w:val="restart"/>
            <w:noWrap w:val="0"/>
            <w:vAlign w:val="center"/>
          </w:tcPr>
          <w:p w14:paraId="57117E8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最大超标倍数%</w:t>
            </w:r>
          </w:p>
        </w:tc>
        <w:tc>
          <w:tcPr>
            <w:tcW w:w="817" w:type="dxa"/>
            <w:vMerge w:val="restart"/>
            <w:noWrap w:val="0"/>
            <w:vAlign w:val="center"/>
          </w:tcPr>
          <w:p w14:paraId="2F53364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超标率/%</w:t>
            </w:r>
          </w:p>
        </w:tc>
        <w:tc>
          <w:tcPr>
            <w:tcW w:w="725" w:type="dxa"/>
            <w:vMerge w:val="restart"/>
            <w:noWrap w:val="0"/>
            <w:vAlign w:val="center"/>
          </w:tcPr>
          <w:p w14:paraId="435065D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达标情况</w:t>
            </w:r>
          </w:p>
        </w:tc>
      </w:tr>
      <w:tr w14:paraId="7FE24B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continue"/>
            <w:noWrap w:val="0"/>
            <w:vAlign w:val="center"/>
          </w:tcPr>
          <w:p w14:paraId="5F3E810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8" w:type="dxa"/>
            <w:noWrap w:val="0"/>
            <w:vAlign w:val="center"/>
          </w:tcPr>
          <w:p w14:paraId="3E840A5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X</w:t>
            </w:r>
          </w:p>
        </w:tc>
        <w:tc>
          <w:tcPr>
            <w:tcW w:w="739" w:type="dxa"/>
            <w:noWrap w:val="0"/>
            <w:vAlign w:val="center"/>
          </w:tcPr>
          <w:p w14:paraId="3E45C6F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Y</w:t>
            </w:r>
          </w:p>
        </w:tc>
        <w:tc>
          <w:tcPr>
            <w:tcW w:w="1281" w:type="dxa"/>
            <w:vMerge w:val="continue"/>
            <w:noWrap w:val="0"/>
            <w:vAlign w:val="center"/>
          </w:tcPr>
          <w:p w14:paraId="294C22F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061" w:type="dxa"/>
            <w:vMerge w:val="continue"/>
            <w:noWrap w:val="0"/>
            <w:vAlign w:val="center"/>
          </w:tcPr>
          <w:p w14:paraId="1DBF3AB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082" w:type="dxa"/>
            <w:vMerge w:val="continue"/>
            <w:noWrap w:val="0"/>
            <w:vAlign w:val="center"/>
          </w:tcPr>
          <w:p w14:paraId="5318C26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050" w:type="dxa"/>
            <w:vMerge w:val="continue"/>
            <w:noWrap w:val="0"/>
            <w:vAlign w:val="center"/>
          </w:tcPr>
          <w:p w14:paraId="1A2686F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817" w:type="dxa"/>
            <w:vMerge w:val="continue"/>
            <w:noWrap w:val="0"/>
            <w:vAlign w:val="center"/>
          </w:tcPr>
          <w:p w14:paraId="191296F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25" w:type="dxa"/>
            <w:vMerge w:val="continue"/>
            <w:noWrap w:val="0"/>
            <w:vAlign w:val="center"/>
          </w:tcPr>
          <w:p w14:paraId="2E6B30A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r>
      <w:tr w14:paraId="284B0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restart"/>
            <w:noWrap w:val="0"/>
            <w:vAlign w:val="center"/>
          </w:tcPr>
          <w:p w14:paraId="63200F7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lang w:val="en-US" w:eastAsia="zh-CN"/>
              </w:rPr>
              <w:t>A</w:t>
            </w:r>
            <w:r>
              <w:rPr>
                <w:rFonts w:hint="default" w:ascii="Times New Roman" w:hAnsi="Times New Roman" w:cs="Times New Roman"/>
                <w:color w:val="auto"/>
                <w:kern w:val="2"/>
                <w:highlight w:val="none"/>
                <w:u w:val="none" w:color="auto"/>
              </w:rPr>
              <w:t>1厂址</w:t>
            </w:r>
          </w:p>
        </w:tc>
        <w:tc>
          <w:tcPr>
            <w:tcW w:w="738" w:type="dxa"/>
            <w:vMerge w:val="restart"/>
            <w:noWrap w:val="0"/>
            <w:vAlign w:val="center"/>
          </w:tcPr>
          <w:p w14:paraId="415CABC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739" w:type="dxa"/>
            <w:vMerge w:val="restart"/>
            <w:noWrap w:val="0"/>
            <w:vAlign w:val="center"/>
          </w:tcPr>
          <w:p w14:paraId="10A538E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1281" w:type="dxa"/>
            <w:noWrap w:val="0"/>
            <w:vAlign w:val="center"/>
          </w:tcPr>
          <w:p w14:paraId="6635F80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eastAsia" w:cs="Times New Roman"/>
                <w:color w:val="auto"/>
                <w:kern w:val="2"/>
                <w:highlight w:val="none"/>
                <w:u w:val="none" w:color="auto"/>
                <w:lang w:val="en-US" w:eastAsia="zh-CN"/>
              </w:rPr>
              <w:t>硫化氢</w:t>
            </w:r>
            <w:r>
              <w:rPr>
                <w:rFonts w:hint="default" w:ascii="Times New Roman" w:hAnsi="Times New Roman" w:cs="Times New Roman"/>
                <w:color w:val="auto"/>
                <w:kern w:val="2"/>
                <w:highlight w:val="none"/>
                <w:u w:val="none" w:color="auto"/>
              </w:rPr>
              <w:t>（小时均值）</w:t>
            </w:r>
          </w:p>
        </w:tc>
        <w:tc>
          <w:tcPr>
            <w:tcW w:w="1061" w:type="dxa"/>
            <w:noWrap w:val="0"/>
            <w:vAlign w:val="center"/>
          </w:tcPr>
          <w:p w14:paraId="10F0F239">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200</w:t>
            </w:r>
          </w:p>
        </w:tc>
        <w:tc>
          <w:tcPr>
            <w:tcW w:w="1082" w:type="dxa"/>
            <w:noWrap w:val="0"/>
            <w:vAlign w:val="center"/>
          </w:tcPr>
          <w:p w14:paraId="4FCF7664">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spacing w:val="3"/>
                <w:position w:val="2"/>
              </w:rPr>
              <w:t>0.001L</w:t>
            </w:r>
          </w:p>
        </w:tc>
        <w:tc>
          <w:tcPr>
            <w:tcW w:w="1050" w:type="dxa"/>
            <w:noWrap w:val="0"/>
            <w:vAlign w:val="center"/>
          </w:tcPr>
          <w:p w14:paraId="5E4ABBB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817" w:type="dxa"/>
            <w:noWrap w:val="0"/>
            <w:vAlign w:val="center"/>
          </w:tcPr>
          <w:p w14:paraId="1BAABA9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725" w:type="dxa"/>
            <w:noWrap w:val="0"/>
            <w:vAlign w:val="center"/>
          </w:tcPr>
          <w:p w14:paraId="52AAA96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达标</w:t>
            </w:r>
          </w:p>
        </w:tc>
      </w:tr>
      <w:tr w14:paraId="389BE2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continue"/>
            <w:noWrap w:val="0"/>
            <w:vAlign w:val="center"/>
          </w:tcPr>
          <w:p w14:paraId="70BC4B7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8" w:type="dxa"/>
            <w:vMerge w:val="continue"/>
            <w:noWrap w:val="0"/>
            <w:vAlign w:val="center"/>
          </w:tcPr>
          <w:p w14:paraId="4547542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9" w:type="dxa"/>
            <w:vMerge w:val="continue"/>
            <w:noWrap w:val="0"/>
            <w:vAlign w:val="center"/>
          </w:tcPr>
          <w:p w14:paraId="26F91C9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1" w:type="dxa"/>
            <w:noWrap w:val="0"/>
            <w:vAlign w:val="center"/>
          </w:tcPr>
          <w:p w14:paraId="02205717">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氨</w:t>
            </w:r>
            <w:r>
              <w:rPr>
                <w:rFonts w:hint="default" w:ascii="Times New Roman" w:hAnsi="Times New Roman" w:cs="Times New Roman"/>
                <w:color w:val="auto"/>
                <w:kern w:val="2"/>
                <w:highlight w:val="none"/>
                <w:u w:val="none" w:color="auto"/>
              </w:rPr>
              <w:t>（小时均值）</w:t>
            </w:r>
          </w:p>
        </w:tc>
        <w:tc>
          <w:tcPr>
            <w:tcW w:w="1061" w:type="dxa"/>
            <w:noWrap w:val="0"/>
            <w:vAlign w:val="center"/>
          </w:tcPr>
          <w:p w14:paraId="4A637DE7">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10</w:t>
            </w:r>
          </w:p>
        </w:tc>
        <w:tc>
          <w:tcPr>
            <w:tcW w:w="1082" w:type="dxa"/>
            <w:noWrap w:val="0"/>
            <w:vAlign w:val="center"/>
          </w:tcPr>
          <w:p w14:paraId="128984B7">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spacing w:val="2"/>
                <w:position w:val="2"/>
              </w:rPr>
              <w:t>0.01L</w:t>
            </w:r>
          </w:p>
        </w:tc>
        <w:tc>
          <w:tcPr>
            <w:tcW w:w="1050" w:type="dxa"/>
            <w:noWrap w:val="0"/>
            <w:vAlign w:val="center"/>
          </w:tcPr>
          <w:p w14:paraId="270CB0FD">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817" w:type="dxa"/>
            <w:noWrap w:val="0"/>
            <w:vAlign w:val="center"/>
          </w:tcPr>
          <w:p w14:paraId="25767399">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725" w:type="dxa"/>
            <w:noWrap w:val="0"/>
            <w:vAlign w:val="center"/>
          </w:tcPr>
          <w:p w14:paraId="5A0C1917">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达标</w:t>
            </w:r>
          </w:p>
        </w:tc>
      </w:tr>
      <w:tr w14:paraId="10221F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continue"/>
            <w:noWrap w:val="0"/>
            <w:vAlign w:val="center"/>
          </w:tcPr>
          <w:p w14:paraId="475FF98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8" w:type="dxa"/>
            <w:vMerge w:val="continue"/>
            <w:noWrap w:val="0"/>
            <w:vAlign w:val="center"/>
          </w:tcPr>
          <w:p w14:paraId="11493F1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9" w:type="dxa"/>
            <w:vMerge w:val="continue"/>
            <w:noWrap w:val="0"/>
            <w:vAlign w:val="center"/>
          </w:tcPr>
          <w:p w14:paraId="371B1CB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1" w:type="dxa"/>
            <w:noWrap w:val="0"/>
            <w:vAlign w:val="center"/>
          </w:tcPr>
          <w:p w14:paraId="0F3CBE8C">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臭气浓度</w:t>
            </w:r>
          </w:p>
        </w:tc>
        <w:tc>
          <w:tcPr>
            <w:tcW w:w="1061" w:type="dxa"/>
            <w:noWrap w:val="0"/>
            <w:vAlign w:val="center"/>
          </w:tcPr>
          <w:p w14:paraId="348376B2">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w:t>
            </w:r>
          </w:p>
        </w:tc>
        <w:tc>
          <w:tcPr>
            <w:tcW w:w="1082" w:type="dxa"/>
            <w:noWrap w:val="0"/>
            <w:vAlign w:val="center"/>
          </w:tcPr>
          <w:p w14:paraId="1773C060">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＜10</w:t>
            </w:r>
          </w:p>
        </w:tc>
        <w:tc>
          <w:tcPr>
            <w:tcW w:w="1050" w:type="dxa"/>
            <w:noWrap w:val="0"/>
            <w:vAlign w:val="center"/>
          </w:tcPr>
          <w:p w14:paraId="42E877F0">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0</w:t>
            </w:r>
          </w:p>
        </w:tc>
        <w:tc>
          <w:tcPr>
            <w:tcW w:w="817" w:type="dxa"/>
            <w:noWrap w:val="0"/>
            <w:vAlign w:val="center"/>
          </w:tcPr>
          <w:p w14:paraId="0A691018">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0</w:t>
            </w:r>
          </w:p>
        </w:tc>
        <w:tc>
          <w:tcPr>
            <w:tcW w:w="725" w:type="dxa"/>
            <w:noWrap w:val="0"/>
            <w:vAlign w:val="center"/>
          </w:tcPr>
          <w:p w14:paraId="2EE9AB9D">
            <w:pPr>
              <w:pStyle w:val="43"/>
              <w:keepNext w:val="0"/>
              <w:keepLines w:val="0"/>
              <w:widowControl/>
              <w:suppressLineNumbers w:val="0"/>
              <w:spacing w:before="0" w:beforeAutospacing="0" w:after="0" w:afterAutospacing="0"/>
              <w:ind w:left="0"/>
              <w:rPr>
                <w:rFonts w:hint="eastAsia"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w:t>
            </w:r>
          </w:p>
        </w:tc>
      </w:tr>
      <w:tr w14:paraId="6B6C9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restart"/>
            <w:noWrap w:val="0"/>
            <w:vAlign w:val="center"/>
          </w:tcPr>
          <w:p w14:paraId="1048920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lang w:val="en-US" w:eastAsia="zh-CN"/>
              </w:rPr>
              <w:t>A</w:t>
            </w:r>
            <w:r>
              <w:rPr>
                <w:rFonts w:hint="default" w:ascii="Times New Roman" w:hAnsi="Times New Roman" w:cs="Times New Roman"/>
                <w:color w:val="auto"/>
                <w:kern w:val="2"/>
                <w:highlight w:val="none"/>
                <w:u w:val="none" w:color="auto"/>
              </w:rPr>
              <w:t>2</w:t>
            </w:r>
            <w:r>
              <w:rPr>
                <w:rFonts w:hint="default" w:ascii="Times New Roman" w:hAnsi="Times New Roman" w:eastAsia="宋体" w:cs="Times New Roman"/>
                <w:color w:val="auto"/>
                <w:sz w:val="21"/>
                <w:szCs w:val="21"/>
                <w:highlight w:val="none"/>
                <w:u w:val="none" w:color="auto"/>
                <w:lang w:val="en-US" w:eastAsia="zh-CN"/>
              </w:rPr>
              <w:t>石家垄</w:t>
            </w:r>
          </w:p>
        </w:tc>
        <w:tc>
          <w:tcPr>
            <w:tcW w:w="738" w:type="dxa"/>
            <w:vMerge w:val="restart"/>
            <w:noWrap w:val="0"/>
            <w:vAlign w:val="center"/>
          </w:tcPr>
          <w:p w14:paraId="7F365AA3">
            <w:pPr>
              <w:pStyle w:val="43"/>
              <w:keepNext w:val="0"/>
              <w:keepLines w:val="0"/>
              <w:widowControl/>
              <w:suppressLineNumbers w:val="0"/>
              <w:shd w:val="clear"/>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rPr>
            </w:pPr>
            <w:r>
              <w:rPr>
                <w:rFonts w:hint="eastAsia" w:cs="Times New Roman"/>
                <w:color w:val="auto"/>
                <w:kern w:val="2"/>
                <w:highlight w:val="none"/>
                <w:u w:val="none" w:color="auto"/>
                <w:lang w:val="en-US" w:eastAsia="zh-CN"/>
              </w:rPr>
              <w:t>1230</w:t>
            </w:r>
          </w:p>
        </w:tc>
        <w:tc>
          <w:tcPr>
            <w:tcW w:w="739" w:type="dxa"/>
            <w:vMerge w:val="restart"/>
            <w:noWrap w:val="0"/>
            <w:vAlign w:val="center"/>
          </w:tcPr>
          <w:p w14:paraId="20344A34">
            <w:pPr>
              <w:pStyle w:val="43"/>
              <w:keepNext w:val="0"/>
              <w:keepLines w:val="0"/>
              <w:widowControl/>
              <w:suppressLineNumbers w:val="0"/>
              <w:shd w:val="clear"/>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rPr>
            </w:pPr>
            <w:r>
              <w:rPr>
                <w:rFonts w:hint="eastAsia" w:cs="Times New Roman"/>
                <w:color w:val="auto"/>
                <w:kern w:val="2"/>
                <w:highlight w:val="none"/>
                <w:u w:val="none" w:color="auto"/>
                <w:lang w:val="en-US" w:eastAsia="zh-CN"/>
              </w:rPr>
              <w:t>-598</w:t>
            </w:r>
          </w:p>
        </w:tc>
        <w:tc>
          <w:tcPr>
            <w:tcW w:w="1281" w:type="dxa"/>
            <w:noWrap w:val="0"/>
            <w:vAlign w:val="center"/>
          </w:tcPr>
          <w:p w14:paraId="20050381">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rPr>
            </w:pPr>
            <w:r>
              <w:rPr>
                <w:rFonts w:hint="eastAsia" w:cs="Times New Roman"/>
                <w:color w:val="auto"/>
                <w:kern w:val="2"/>
                <w:highlight w:val="none"/>
                <w:u w:val="none" w:color="auto"/>
                <w:lang w:val="en-US" w:eastAsia="zh-CN"/>
              </w:rPr>
              <w:t>硫化氢</w:t>
            </w:r>
            <w:r>
              <w:rPr>
                <w:rFonts w:hint="default" w:ascii="Times New Roman" w:hAnsi="Times New Roman" w:cs="Times New Roman"/>
                <w:color w:val="auto"/>
                <w:kern w:val="2"/>
                <w:highlight w:val="none"/>
                <w:u w:val="none" w:color="auto"/>
              </w:rPr>
              <w:t>（小时均值）</w:t>
            </w:r>
          </w:p>
        </w:tc>
        <w:tc>
          <w:tcPr>
            <w:tcW w:w="1061" w:type="dxa"/>
            <w:shd w:val="clear" w:color="auto" w:fill="auto"/>
            <w:noWrap w:val="0"/>
            <w:vAlign w:val="center"/>
          </w:tcPr>
          <w:p w14:paraId="499E5F0E">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lang w:val="en-US" w:eastAsia="zh-CN"/>
              </w:rPr>
              <w:t>200</w:t>
            </w:r>
          </w:p>
        </w:tc>
        <w:tc>
          <w:tcPr>
            <w:tcW w:w="1082" w:type="dxa"/>
            <w:shd w:val="clear" w:color="auto" w:fill="auto"/>
            <w:noWrap w:val="0"/>
            <w:vAlign w:val="center"/>
          </w:tcPr>
          <w:p w14:paraId="429B00B9">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spacing w:val="3"/>
                <w:position w:val="2"/>
              </w:rPr>
              <w:t>0.001L</w:t>
            </w:r>
          </w:p>
        </w:tc>
        <w:tc>
          <w:tcPr>
            <w:tcW w:w="1050" w:type="dxa"/>
            <w:noWrap w:val="0"/>
            <w:vAlign w:val="center"/>
          </w:tcPr>
          <w:p w14:paraId="37742BA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817" w:type="dxa"/>
            <w:noWrap w:val="0"/>
            <w:vAlign w:val="center"/>
          </w:tcPr>
          <w:p w14:paraId="2B18ED5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725" w:type="dxa"/>
            <w:noWrap w:val="0"/>
            <w:vAlign w:val="center"/>
          </w:tcPr>
          <w:p w14:paraId="184BD06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达标</w:t>
            </w:r>
          </w:p>
        </w:tc>
      </w:tr>
      <w:tr w14:paraId="4BD0A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continue"/>
            <w:noWrap w:val="0"/>
            <w:vAlign w:val="center"/>
          </w:tcPr>
          <w:p w14:paraId="47FD7AF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8" w:type="dxa"/>
            <w:vMerge w:val="continue"/>
            <w:noWrap w:val="0"/>
            <w:vAlign w:val="center"/>
          </w:tcPr>
          <w:p w14:paraId="155977F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9" w:type="dxa"/>
            <w:vMerge w:val="continue"/>
            <w:noWrap w:val="0"/>
            <w:vAlign w:val="center"/>
          </w:tcPr>
          <w:p w14:paraId="2CAB92F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1" w:type="dxa"/>
            <w:noWrap w:val="0"/>
            <w:vAlign w:val="center"/>
          </w:tcPr>
          <w:p w14:paraId="4BBC1C3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氨</w:t>
            </w:r>
            <w:r>
              <w:rPr>
                <w:rFonts w:hint="default" w:ascii="Times New Roman" w:hAnsi="Times New Roman" w:cs="Times New Roman"/>
                <w:color w:val="auto"/>
                <w:kern w:val="2"/>
                <w:highlight w:val="none"/>
                <w:u w:val="none" w:color="auto"/>
              </w:rPr>
              <w:t>（小时均值）</w:t>
            </w:r>
          </w:p>
        </w:tc>
        <w:tc>
          <w:tcPr>
            <w:tcW w:w="1061" w:type="dxa"/>
            <w:shd w:val="clear" w:color="auto" w:fill="auto"/>
            <w:noWrap w:val="0"/>
            <w:vAlign w:val="center"/>
          </w:tcPr>
          <w:p w14:paraId="069C6784">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10</w:t>
            </w:r>
          </w:p>
        </w:tc>
        <w:tc>
          <w:tcPr>
            <w:tcW w:w="1082" w:type="dxa"/>
            <w:shd w:val="clear" w:color="auto" w:fill="auto"/>
            <w:noWrap w:val="0"/>
            <w:vAlign w:val="center"/>
          </w:tcPr>
          <w:p w14:paraId="2B515438">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spacing w:val="2"/>
                <w:position w:val="2"/>
              </w:rPr>
              <w:t>0.01L</w:t>
            </w:r>
          </w:p>
        </w:tc>
        <w:tc>
          <w:tcPr>
            <w:tcW w:w="1050" w:type="dxa"/>
            <w:noWrap w:val="0"/>
            <w:vAlign w:val="center"/>
          </w:tcPr>
          <w:p w14:paraId="37D505A6">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817" w:type="dxa"/>
            <w:noWrap w:val="0"/>
            <w:vAlign w:val="center"/>
          </w:tcPr>
          <w:p w14:paraId="1D69938F">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725" w:type="dxa"/>
            <w:noWrap w:val="0"/>
            <w:vAlign w:val="center"/>
          </w:tcPr>
          <w:p w14:paraId="3E5CBF66">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达标</w:t>
            </w:r>
          </w:p>
        </w:tc>
      </w:tr>
      <w:tr w14:paraId="31CA0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9" w:type="dxa"/>
            <w:vMerge w:val="continue"/>
            <w:noWrap w:val="0"/>
            <w:vAlign w:val="center"/>
          </w:tcPr>
          <w:p w14:paraId="0163275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8" w:type="dxa"/>
            <w:vMerge w:val="continue"/>
            <w:noWrap w:val="0"/>
            <w:vAlign w:val="center"/>
          </w:tcPr>
          <w:p w14:paraId="429B565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39" w:type="dxa"/>
            <w:vMerge w:val="continue"/>
            <w:noWrap w:val="0"/>
            <w:vAlign w:val="center"/>
          </w:tcPr>
          <w:p w14:paraId="63A2820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1" w:type="dxa"/>
            <w:noWrap w:val="0"/>
            <w:vAlign w:val="center"/>
          </w:tcPr>
          <w:p w14:paraId="5043F96C">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臭气浓度</w:t>
            </w:r>
          </w:p>
        </w:tc>
        <w:tc>
          <w:tcPr>
            <w:tcW w:w="1061" w:type="dxa"/>
            <w:shd w:val="clear" w:color="auto" w:fill="auto"/>
            <w:noWrap w:val="0"/>
            <w:vAlign w:val="center"/>
          </w:tcPr>
          <w:p w14:paraId="3C3B6C10">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w:t>
            </w:r>
          </w:p>
        </w:tc>
        <w:tc>
          <w:tcPr>
            <w:tcW w:w="1082" w:type="dxa"/>
            <w:shd w:val="clear" w:color="auto" w:fill="auto"/>
            <w:noWrap w:val="0"/>
            <w:vAlign w:val="center"/>
          </w:tcPr>
          <w:p w14:paraId="30F5723F">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＜10</w:t>
            </w:r>
          </w:p>
        </w:tc>
        <w:tc>
          <w:tcPr>
            <w:tcW w:w="1050" w:type="dxa"/>
            <w:noWrap w:val="0"/>
            <w:vAlign w:val="center"/>
          </w:tcPr>
          <w:p w14:paraId="08966E7C">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817" w:type="dxa"/>
            <w:noWrap w:val="0"/>
            <w:vAlign w:val="center"/>
          </w:tcPr>
          <w:p w14:paraId="2596B732">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rPr>
              <w:t>0</w:t>
            </w:r>
          </w:p>
        </w:tc>
        <w:tc>
          <w:tcPr>
            <w:tcW w:w="725" w:type="dxa"/>
            <w:noWrap w:val="0"/>
            <w:vAlign w:val="center"/>
          </w:tcPr>
          <w:p w14:paraId="1ED9C217">
            <w:pPr>
              <w:pStyle w:val="43"/>
              <w:keepNext w:val="0"/>
              <w:keepLines w:val="0"/>
              <w:widowControl/>
              <w:suppressLineNumbers w:val="0"/>
              <w:spacing w:before="0" w:beforeAutospacing="0" w:after="0" w:afterAutospacing="0"/>
              <w:ind w:left="0"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w:t>
            </w:r>
          </w:p>
        </w:tc>
      </w:tr>
    </w:tbl>
    <w:p w14:paraId="11585AE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kern w:val="0"/>
          <w:highlight w:val="none"/>
          <w:u w:val="none" w:color="auto"/>
        </w:rPr>
        <w:t>监测数据表明</w:t>
      </w:r>
      <w:r>
        <w:rPr>
          <w:rFonts w:hint="default" w:ascii="Times New Roman" w:hAnsi="Times New Roman" w:cs="Times New Roman"/>
          <w:color w:val="auto"/>
          <w:kern w:val="0"/>
          <w:highlight w:val="none"/>
          <w:u w:val="none" w:color="auto"/>
          <w:lang w:eastAsia="zh-CN"/>
        </w:rPr>
        <w:t>，</w:t>
      </w:r>
      <w:r>
        <w:rPr>
          <w:rFonts w:hint="eastAsia" w:ascii="Times New Roman" w:hAnsi="Times New Roman" w:cs="Times New Roman"/>
          <w:color w:val="auto"/>
          <w:kern w:val="0"/>
          <w:highlight w:val="none"/>
          <w:u w:val="none" w:color="auto"/>
          <w:lang w:val="en-US" w:eastAsia="zh-CN"/>
        </w:rPr>
        <w:t>硫化氢、氨</w:t>
      </w:r>
      <w:r>
        <w:rPr>
          <w:rFonts w:hint="default" w:ascii="Times New Roman" w:hAnsi="Times New Roman" w:cs="Times New Roman"/>
          <w:color w:val="auto"/>
          <w:highlight w:val="none"/>
          <w:u w:val="none" w:color="auto"/>
        </w:rPr>
        <w:t>满足《环境影响技术导则-大气环境》（TJ2.2-2018）附录D其他污染物空气质量浓度参考限值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项目所在地环境空气质量良好。</w:t>
      </w:r>
    </w:p>
    <w:p w14:paraId="742A8BB4">
      <w:pPr>
        <w:pStyle w:val="6"/>
        <w:rPr>
          <w:rFonts w:hint="default" w:ascii="Times New Roman" w:hAnsi="Times New Roman" w:cs="Times New Roman"/>
          <w:color w:val="auto"/>
          <w:highlight w:val="none"/>
          <w:u w:val="none" w:color="auto"/>
        </w:rPr>
      </w:pPr>
      <w:bookmarkStart w:id="145" w:name="_Toc25040"/>
      <w:r>
        <w:rPr>
          <w:rFonts w:hint="default" w:ascii="Times New Roman" w:hAnsi="Times New Roman" w:cs="Times New Roman"/>
          <w:color w:val="auto"/>
          <w:highlight w:val="none"/>
          <w:u w:val="none" w:color="auto"/>
        </w:rPr>
        <w:t>地表水环境质量现状调查与评价</w:t>
      </w:r>
      <w:bookmarkEnd w:id="145"/>
    </w:p>
    <w:p w14:paraId="4DF94FCB">
      <w:pPr>
        <w:pStyle w:val="7"/>
        <w:bidi w:val="0"/>
        <w:rPr>
          <w:rFonts w:hint="default"/>
          <w:lang w:val="en-US" w:eastAsia="zh-CN"/>
        </w:rPr>
      </w:pPr>
      <w:r>
        <w:rPr>
          <w:rFonts w:hint="eastAsia"/>
          <w:lang w:val="en-US" w:eastAsia="zh-CN"/>
        </w:rPr>
        <w:t>区域常规监测数据</w:t>
      </w:r>
    </w:p>
    <w:p w14:paraId="119BF7DE">
      <w:pPr>
        <w:spacing w:line="360" w:lineRule="auto"/>
        <w:ind w:firstLine="480" w:firstLineChars="200"/>
        <w:rPr>
          <w:rFonts w:hint="default" w:ascii="Times New Roman" w:hAnsi="Times New Roman" w:cs="Times New Roman"/>
          <w:color w:val="auto"/>
          <w:sz w:val="24"/>
          <w:szCs w:val="22"/>
          <w:highlight w:val="none"/>
          <w:u w:val="none" w:color="auto"/>
          <w:lang w:val="en-US" w:eastAsia="zh-CN"/>
        </w:rPr>
      </w:pPr>
      <w:r>
        <w:rPr>
          <w:rFonts w:hint="default" w:ascii="Times New Roman" w:hAnsi="Times New Roman" w:cs="Times New Roman"/>
          <w:color w:val="auto"/>
          <w:sz w:val="24"/>
          <w:szCs w:val="22"/>
          <w:highlight w:val="none"/>
          <w:u w:val="none" w:color="auto"/>
          <w:lang w:val="en-US" w:eastAsia="zh-CN"/>
        </w:rPr>
        <w:t>本项目</w:t>
      </w:r>
      <w:r>
        <w:rPr>
          <w:rFonts w:hint="eastAsia" w:ascii="Times New Roman" w:hAnsi="Times New Roman" w:cs="Times New Roman"/>
          <w:color w:val="auto"/>
          <w:sz w:val="24"/>
          <w:szCs w:val="22"/>
          <w:highlight w:val="none"/>
          <w:u w:val="none" w:color="auto"/>
          <w:lang w:val="en-US" w:eastAsia="zh-CN"/>
        </w:rPr>
        <w:t>处理后尾水</w:t>
      </w:r>
      <w:r>
        <w:rPr>
          <w:rFonts w:hint="default" w:ascii="Times New Roman" w:hAnsi="Times New Roman" w:cs="Times New Roman"/>
          <w:color w:val="auto"/>
          <w:sz w:val="24"/>
          <w:szCs w:val="22"/>
          <w:highlight w:val="none"/>
          <w:u w:val="none" w:color="auto"/>
          <w:lang w:val="en-US" w:eastAsia="zh-CN"/>
        </w:rPr>
        <w:t>进入湘阴县第二污水处理厂处理后排入湘江，项目所在区域地表水控制断面为湘江乌龙嘴断面。</w:t>
      </w:r>
    </w:p>
    <w:p w14:paraId="433833A5">
      <w:pPr>
        <w:spacing w:line="360" w:lineRule="auto"/>
        <w:ind w:firstLine="480" w:firstLineChars="200"/>
        <w:rPr>
          <w:rFonts w:hint="default" w:ascii="Times New Roman" w:hAnsi="Times New Roman" w:cs="Times New Roman"/>
          <w:color w:val="auto"/>
          <w:sz w:val="24"/>
          <w:szCs w:val="22"/>
          <w:highlight w:val="none"/>
          <w:u w:val="none" w:color="auto"/>
          <w:lang w:val="en-US" w:eastAsia="zh-CN"/>
        </w:rPr>
      </w:pPr>
      <w:r>
        <w:rPr>
          <w:rFonts w:hint="default" w:ascii="Times New Roman" w:hAnsi="Times New Roman" w:cs="Times New Roman"/>
          <w:color w:val="auto"/>
          <w:sz w:val="24"/>
          <w:szCs w:val="22"/>
          <w:highlight w:val="none"/>
          <w:u w:val="none" w:color="auto"/>
          <w:lang w:val="en-US" w:eastAsia="zh-CN"/>
        </w:rPr>
        <w:t>根据湖南省生态环境厅发布的202</w:t>
      </w:r>
      <w:r>
        <w:rPr>
          <w:rFonts w:hint="eastAsia" w:ascii="Times New Roman" w:hAnsi="Times New Roman" w:cs="Times New Roman"/>
          <w:color w:val="auto"/>
          <w:sz w:val="24"/>
          <w:szCs w:val="22"/>
          <w:highlight w:val="none"/>
          <w:u w:val="none" w:color="auto"/>
          <w:lang w:val="en-US" w:eastAsia="zh-CN"/>
        </w:rPr>
        <w:t>3</w:t>
      </w:r>
      <w:r>
        <w:rPr>
          <w:rFonts w:hint="default" w:ascii="Times New Roman" w:hAnsi="Times New Roman" w:cs="Times New Roman"/>
          <w:color w:val="auto"/>
          <w:sz w:val="24"/>
          <w:szCs w:val="22"/>
          <w:highlight w:val="none"/>
          <w:u w:val="none" w:color="auto"/>
          <w:lang w:val="en-US" w:eastAsia="zh-CN"/>
        </w:rPr>
        <w:t>年1月~12月地表水水质状况，湘江乌龙嘴断面（湘阴段）202</w:t>
      </w:r>
      <w:r>
        <w:rPr>
          <w:rFonts w:hint="eastAsia" w:ascii="Times New Roman" w:hAnsi="Times New Roman" w:cs="Times New Roman"/>
          <w:color w:val="auto"/>
          <w:sz w:val="24"/>
          <w:szCs w:val="22"/>
          <w:highlight w:val="none"/>
          <w:u w:val="none" w:color="auto"/>
          <w:lang w:val="en-US" w:eastAsia="zh-CN"/>
        </w:rPr>
        <w:t>3</w:t>
      </w:r>
      <w:r>
        <w:rPr>
          <w:rFonts w:hint="default" w:ascii="Times New Roman" w:hAnsi="Times New Roman" w:cs="Times New Roman"/>
          <w:color w:val="auto"/>
          <w:sz w:val="24"/>
          <w:szCs w:val="22"/>
          <w:highlight w:val="none"/>
          <w:u w:val="none" w:color="auto"/>
          <w:lang w:val="en-US" w:eastAsia="zh-CN"/>
        </w:rPr>
        <w:t>年1月~12月均满足《地表水环境质量标准》（GB3838-2002）II 类标准，项目所在区域地表水控制断面为达标区。</w:t>
      </w:r>
    </w:p>
    <w:p w14:paraId="65738EBD">
      <w:pPr>
        <w:pStyle w:val="39"/>
        <w:bidi w:val="0"/>
        <w:rPr>
          <w:rFonts w:hint="default"/>
          <w:lang w:val="en-US" w:eastAsia="zh-CN"/>
        </w:rPr>
      </w:pPr>
      <w:r>
        <w:rPr>
          <w:rFonts w:hint="default"/>
          <w:lang w:val="en-US" w:eastAsia="zh-CN"/>
        </w:rPr>
        <w:t>表</w:t>
      </w:r>
      <w:r>
        <w:rPr>
          <w:rFonts w:hint="eastAsia"/>
          <w:lang w:val="en-US" w:eastAsia="zh-CN"/>
        </w:rPr>
        <w:t xml:space="preserve">5.3-5 </w:t>
      </w:r>
      <w:r>
        <w:rPr>
          <w:rFonts w:hint="default"/>
          <w:lang w:val="en-US" w:eastAsia="zh-CN"/>
        </w:rPr>
        <w:t xml:space="preserve"> 2023年1月-12月湘阴县内二个断面水质状况统计（2023年）</w:t>
      </w:r>
    </w:p>
    <w:tbl>
      <w:tblPr>
        <w:tblStyle w:val="31"/>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552"/>
        <w:gridCol w:w="1373"/>
        <w:gridCol w:w="1338"/>
        <w:gridCol w:w="1570"/>
        <w:gridCol w:w="1238"/>
      </w:tblGrid>
      <w:tr w14:paraId="11640D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tcBorders>
              <w:tl2br w:val="nil"/>
              <w:tr2bl w:val="nil"/>
            </w:tcBorders>
            <w:noWrap w:val="0"/>
            <w:vAlign w:val="center"/>
          </w:tcPr>
          <w:p w14:paraId="75C7A2B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断面名称</w:t>
            </w:r>
          </w:p>
        </w:tc>
        <w:tc>
          <w:tcPr>
            <w:tcW w:w="1450" w:type="dxa"/>
            <w:tcBorders>
              <w:tl2br w:val="nil"/>
              <w:tr2bl w:val="nil"/>
            </w:tcBorders>
            <w:noWrap w:val="0"/>
            <w:vAlign w:val="center"/>
          </w:tcPr>
          <w:p w14:paraId="500ACEF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监测时间</w:t>
            </w:r>
          </w:p>
        </w:tc>
        <w:tc>
          <w:tcPr>
            <w:tcW w:w="1283" w:type="dxa"/>
            <w:tcBorders>
              <w:tl2br w:val="nil"/>
              <w:tr2bl w:val="nil"/>
            </w:tcBorders>
            <w:noWrap w:val="0"/>
            <w:vAlign w:val="center"/>
          </w:tcPr>
          <w:p w14:paraId="18E9200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水质类别</w:t>
            </w:r>
          </w:p>
        </w:tc>
        <w:tc>
          <w:tcPr>
            <w:tcW w:w="1250" w:type="dxa"/>
            <w:tcBorders>
              <w:tl2br w:val="nil"/>
              <w:tr2bl w:val="nil"/>
            </w:tcBorders>
            <w:noWrap w:val="0"/>
            <w:vAlign w:val="center"/>
          </w:tcPr>
          <w:p w14:paraId="115B9A0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断面名称</w:t>
            </w:r>
          </w:p>
        </w:tc>
        <w:tc>
          <w:tcPr>
            <w:tcW w:w="1467" w:type="dxa"/>
            <w:tcBorders>
              <w:tl2br w:val="nil"/>
              <w:tr2bl w:val="nil"/>
            </w:tcBorders>
            <w:noWrap w:val="0"/>
            <w:vAlign w:val="center"/>
          </w:tcPr>
          <w:p w14:paraId="2DF235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监测时间</w:t>
            </w:r>
          </w:p>
        </w:tc>
        <w:tc>
          <w:tcPr>
            <w:tcW w:w="1157" w:type="dxa"/>
            <w:tcBorders>
              <w:tl2br w:val="nil"/>
              <w:tr2bl w:val="nil"/>
            </w:tcBorders>
            <w:noWrap w:val="0"/>
            <w:vAlign w:val="center"/>
          </w:tcPr>
          <w:p w14:paraId="22C900C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水质类别</w:t>
            </w:r>
          </w:p>
        </w:tc>
      </w:tr>
      <w:tr w14:paraId="61DE7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restart"/>
            <w:tcBorders>
              <w:tl2br w:val="nil"/>
              <w:tr2bl w:val="nil"/>
            </w:tcBorders>
            <w:noWrap w:val="0"/>
            <w:vAlign w:val="center"/>
          </w:tcPr>
          <w:p w14:paraId="1342208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乌龙嘴断面</w:t>
            </w:r>
          </w:p>
        </w:tc>
        <w:tc>
          <w:tcPr>
            <w:tcW w:w="1450" w:type="dxa"/>
            <w:tcBorders>
              <w:tl2br w:val="nil"/>
              <w:tr2bl w:val="nil"/>
            </w:tcBorders>
            <w:noWrap w:val="0"/>
            <w:vAlign w:val="center"/>
          </w:tcPr>
          <w:p w14:paraId="316B90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2023年1月</w:t>
            </w:r>
          </w:p>
        </w:tc>
        <w:tc>
          <w:tcPr>
            <w:tcW w:w="1283" w:type="dxa"/>
            <w:tcBorders>
              <w:tl2br w:val="nil"/>
              <w:tr2bl w:val="nil"/>
            </w:tcBorders>
            <w:noWrap w:val="0"/>
            <w:vAlign w:val="center"/>
          </w:tcPr>
          <w:p w14:paraId="3754ADE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restart"/>
            <w:tcBorders>
              <w:tl2br w:val="nil"/>
              <w:tr2bl w:val="nil"/>
            </w:tcBorders>
            <w:noWrap w:val="0"/>
            <w:vAlign w:val="center"/>
          </w:tcPr>
          <w:p w14:paraId="48AF605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湘江断面</w:t>
            </w:r>
          </w:p>
        </w:tc>
        <w:tc>
          <w:tcPr>
            <w:tcW w:w="1467" w:type="dxa"/>
            <w:tcBorders>
              <w:tl2br w:val="nil"/>
              <w:tr2bl w:val="nil"/>
            </w:tcBorders>
            <w:noWrap w:val="0"/>
            <w:vAlign w:val="center"/>
          </w:tcPr>
          <w:p w14:paraId="6FF26DD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2023年1月</w:t>
            </w:r>
          </w:p>
        </w:tc>
        <w:tc>
          <w:tcPr>
            <w:tcW w:w="1157" w:type="dxa"/>
            <w:tcBorders>
              <w:tl2br w:val="nil"/>
              <w:tr2bl w:val="nil"/>
            </w:tcBorders>
            <w:noWrap w:val="0"/>
            <w:vAlign w:val="center"/>
          </w:tcPr>
          <w:p w14:paraId="11276087">
            <w:pPr>
              <w:pStyle w:val="42"/>
              <w:keepNext w:val="0"/>
              <w:keepLines w:val="0"/>
              <w:suppressLineNumbers w:val="0"/>
              <w:bidi w:val="0"/>
              <w:spacing w:before="0" w:beforeAutospacing="0" w:after="0" w:afterAutospacing="0"/>
              <w:rPr>
                <w:rFonts w:hint="eastAsia"/>
                <w:lang w:val="en-US" w:eastAsia="zh-CN"/>
              </w:rPr>
            </w:pPr>
            <w:r>
              <w:rPr>
                <w:rFonts w:hint="default"/>
                <w:lang w:val="en-US" w:eastAsia="zh-CN"/>
              </w:rPr>
              <w:t>Ⅱ类</w:t>
            </w:r>
          </w:p>
        </w:tc>
      </w:tr>
      <w:tr w14:paraId="1E8E1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241E52BE">
            <w:pPr>
              <w:pStyle w:val="42"/>
              <w:keepNext w:val="0"/>
              <w:keepLines w:val="0"/>
              <w:suppressLineNumbers w:val="0"/>
              <w:bidi w:val="0"/>
              <w:spacing w:before="0" w:beforeAutospacing="0" w:after="0" w:afterAutospacing="0"/>
              <w:rPr>
                <w:rFonts w:hint="default"/>
                <w:lang w:val="en-US" w:eastAsia="zh-CN"/>
              </w:rPr>
            </w:pPr>
          </w:p>
        </w:tc>
        <w:tc>
          <w:tcPr>
            <w:tcW w:w="1450" w:type="dxa"/>
            <w:tcBorders>
              <w:tl2br w:val="nil"/>
              <w:tr2bl w:val="nil"/>
            </w:tcBorders>
            <w:noWrap w:val="0"/>
            <w:vAlign w:val="center"/>
          </w:tcPr>
          <w:p w14:paraId="0B21384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2023年2月</w:t>
            </w:r>
          </w:p>
        </w:tc>
        <w:tc>
          <w:tcPr>
            <w:tcW w:w="1283" w:type="dxa"/>
            <w:tcBorders>
              <w:tl2br w:val="nil"/>
              <w:tr2bl w:val="nil"/>
            </w:tcBorders>
            <w:noWrap w:val="0"/>
            <w:vAlign w:val="center"/>
          </w:tcPr>
          <w:p w14:paraId="318809E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474F3E53">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3011F11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2023年2月</w:t>
            </w:r>
          </w:p>
        </w:tc>
        <w:tc>
          <w:tcPr>
            <w:tcW w:w="1157" w:type="dxa"/>
            <w:tcBorders>
              <w:tl2br w:val="nil"/>
              <w:tr2bl w:val="nil"/>
            </w:tcBorders>
            <w:noWrap w:val="0"/>
            <w:vAlign w:val="center"/>
          </w:tcPr>
          <w:p w14:paraId="30AB945D">
            <w:pPr>
              <w:pStyle w:val="42"/>
              <w:keepNext w:val="0"/>
              <w:keepLines w:val="0"/>
              <w:suppressLineNumbers w:val="0"/>
              <w:bidi w:val="0"/>
              <w:spacing w:before="0" w:beforeAutospacing="0" w:after="0" w:afterAutospacing="0"/>
              <w:rPr>
                <w:rFonts w:hint="eastAsia"/>
                <w:lang w:val="en-US" w:eastAsia="zh-CN"/>
              </w:rPr>
            </w:pPr>
            <w:r>
              <w:rPr>
                <w:rFonts w:hint="default"/>
                <w:lang w:val="en-US" w:eastAsia="zh-CN"/>
              </w:rPr>
              <w:t>Ⅱ类</w:t>
            </w:r>
          </w:p>
        </w:tc>
      </w:tr>
      <w:tr w14:paraId="62460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692B3929">
            <w:pPr>
              <w:pStyle w:val="42"/>
              <w:keepNext w:val="0"/>
              <w:keepLines w:val="0"/>
              <w:suppressLineNumbers w:val="0"/>
              <w:bidi w:val="0"/>
              <w:spacing w:before="0" w:beforeAutospacing="0" w:after="0" w:afterAutospacing="0"/>
              <w:rPr>
                <w:rFonts w:hint="default"/>
                <w:lang w:val="en-US" w:eastAsia="zh-CN"/>
              </w:rPr>
            </w:pPr>
          </w:p>
        </w:tc>
        <w:tc>
          <w:tcPr>
            <w:tcW w:w="1450" w:type="dxa"/>
            <w:tcBorders>
              <w:tl2br w:val="nil"/>
              <w:tr2bl w:val="nil"/>
            </w:tcBorders>
            <w:noWrap w:val="0"/>
            <w:vAlign w:val="center"/>
          </w:tcPr>
          <w:p w14:paraId="6BE251F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2023年3月</w:t>
            </w:r>
          </w:p>
        </w:tc>
        <w:tc>
          <w:tcPr>
            <w:tcW w:w="1283" w:type="dxa"/>
            <w:tcBorders>
              <w:tl2br w:val="nil"/>
              <w:tr2bl w:val="nil"/>
            </w:tcBorders>
            <w:noWrap w:val="0"/>
            <w:vAlign w:val="center"/>
          </w:tcPr>
          <w:p w14:paraId="769AB31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25420434">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229852C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2023年3月</w:t>
            </w:r>
          </w:p>
        </w:tc>
        <w:tc>
          <w:tcPr>
            <w:tcW w:w="1157" w:type="dxa"/>
            <w:tcBorders>
              <w:tl2br w:val="nil"/>
              <w:tr2bl w:val="nil"/>
            </w:tcBorders>
            <w:noWrap w:val="0"/>
            <w:vAlign w:val="center"/>
          </w:tcPr>
          <w:p w14:paraId="22F84C2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2BB73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287C0192">
            <w:pPr>
              <w:pStyle w:val="42"/>
              <w:keepNext w:val="0"/>
              <w:keepLines w:val="0"/>
              <w:suppressLineNumbers w:val="0"/>
              <w:bidi w:val="0"/>
              <w:spacing w:before="0" w:beforeAutospacing="0" w:after="0" w:afterAutospacing="0"/>
              <w:rPr>
                <w:rFonts w:hint="default"/>
                <w:lang w:val="en-US" w:eastAsia="zh-CN"/>
              </w:rPr>
            </w:pPr>
          </w:p>
        </w:tc>
        <w:tc>
          <w:tcPr>
            <w:tcW w:w="1450" w:type="dxa"/>
            <w:tcBorders>
              <w:tl2br w:val="nil"/>
              <w:tr2bl w:val="nil"/>
            </w:tcBorders>
            <w:noWrap w:val="0"/>
            <w:vAlign w:val="center"/>
          </w:tcPr>
          <w:p w14:paraId="303271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2023年4月</w:t>
            </w:r>
          </w:p>
        </w:tc>
        <w:tc>
          <w:tcPr>
            <w:tcW w:w="1283" w:type="dxa"/>
            <w:tcBorders>
              <w:tl2br w:val="nil"/>
              <w:tr2bl w:val="nil"/>
            </w:tcBorders>
            <w:noWrap w:val="0"/>
            <w:vAlign w:val="center"/>
          </w:tcPr>
          <w:p w14:paraId="47D48D1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292F9D58">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68F525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2023年4月</w:t>
            </w:r>
          </w:p>
        </w:tc>
        <w:tc>
          <w:tcPr>
            <w:tcW w:w="1157" w:type="dxa"/>
            <w:tcBorders>
              <w:tl2br w:val="nil"/>
              <w:tr2bl w:val="nil"/>
            </w:tcBorders>
            <w:noWrap w:val="0"/>
            <w:vAlign w:val="center"/>
          </w:tcPr>
          <w:p w14:paraId="45A0BAB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432CB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51" w:type="dxa"/>
            <w:vMerge w:val="continue"/>
            <w:tcBorders>
              <w:tl2br w:val="nil"/>
              <w:tr2bl w:val="nil"/>
            </w:tcBorders>
            <w:noWrap w:val="0"/>
            <w:vAlign w:val="center"/>
          </w:tcPr>
          <w:p w14:paraId="509A41B4">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2CB1EA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2023年5月</w:t>
            </w:r>
          </w:p>
        </w:tc>
        <w:tc>
          <w:tcPr>
            <w:tcW w:w="1283" w:type="dxa"/>
            <w:tcBorders>
              <w:tl2br w:val="nil"/>
              <w:tr2bl w:val="nil"/>
            </w:tcBorders>
            <w:noWrap w:val="0"/>
            <w:vAlign w:val="center"/>
          </w:tcPr>
          <w:p w14:paraId="38F1791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49D07C80">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658F88D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2023年5月</w:t>
            </w:r>
          </w:p>
        </w:tc>
        <w:tc>
          <w:tcPr>
            <w:tcW w:w="1157" w:type="dxa"/>
            <w:tcBorders>
              <w:tl2br w:val="nil"/>
              <w:tr2bl w:val="nil"/>
            </w:tcBorders>
            <w:noWrap w:val="0"/>
            <w:vAlign w:val="center"/>
          </w:tcPr>
          <w:p w14:paraId="613B498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63B41B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76D57A4D">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44CA7AC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2023年6月</w:t>
            </w:r>
          </w:p>
        </w:tc>
        <w:tc>
          <w:tcPr>
            <w:tcW w:w="1283" w:type="dxa"/>
            <w:tcBorders>
              <w:tl2br w:val="nil"/>
              <w:tr2bl w:val="nil"/>
            </w:tcBorders>
            <w:noWrap w:val="0"/>
            <w:vAlign w:val="center"/>
          </w:tcPr>
          <w:p w14:paraId="0E20D2E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4FE40B1F">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00E4CDA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2023年6月</w:t>
            </w:r>
          </w:p>
        </w:tc>
        <w:tc>
          <w:tcPr>
            <w:tcW w:w="1157" w:type="dxa"/>
            <w:tcBorders>
              <w:tl2br w:val="nil"/>
              <w:tr2bl w:val="nil"/>
            </w:tcBorders>
            <w:noWrap w:val="0"/>
            <w:vAlign w:val="center"/>
          </w:tcPr>
          <w:p w14:paraId="69D6F62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331E9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50121390">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6AECE17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2023年7月</w:t>
            </w:r>
          </w:p>
        </w:tc>
        <w:tc>
          <w:tcPr>
            <w:tcW w:w="1283" w:type="dxa"/>
            <w:tcBorders>
              <w:tl2br w:val="nil"/>
              <w:tr2bl w:val="nil"/>
            </w:tcBorders>
            <w:noWrap w:val="0"/>
            <w:vAlign w:val="center"/>
          </w:tcPr>
          <w:p w14:paraId="247E669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6B36B475">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299F219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2023年7月</w:t>
            </w:r>
          </w:p>
        </w:tc>
        <w:tc>
          <w:tcPr>
            <w:tcW w:w="1157" w:type="dxa"/>
            <w:tcBorders>
              <w:tl2br w:val="nil"/>
              <w:tr2bl w:val="nil"/>
            </w:tcBorders>
            <w:noWrap w:val="0"/>
            <w:vAlign w:val="center"/>
          </w:tcPr>
          <w:p w14:paraId="7151C36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08602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6F879FD2">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73027D7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2023年8月</w:t>
            </w:r>
          </w:p>
        </w:tc>
        <w:tc>
          <w:tcPr>
            <w:tcW w:w="1283" w:type="dxa"/>
            <w:tcBorders>
              <w:tl2br w:val="nil"/>
              <w:tr2bl w:val="nil"/>
            </w:tcBorders>
            <w:noWrap w:val="0"/>
            <w:vAlign w:val="center"/>
          </w:tcPr>
          <w:p w14:paraId="446F1D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5170177A">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6B2EA7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2023年8月</w:t>
            </w:r>
          </w:p>
        </w:tc>
        <w:tc>
          <w:tcPr>
            <w:tcW w:w="1157" w:type="dxa"/>
            <w:tcBorders>
              <w:tl2br w:val="nil"/>
              <w:tr2bl w:val="nil"/>
            </w:tcBorders>
            <w:noWrap w:val="0"/>
            <w:vAlign w:val="center"/>
          </w:tcPr>
          <w:p w14:paraId="37CD876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712CB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20758BD8">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0B9A307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2023年9月</w:t>
            </w:r>
          </w:p>
        </w:tc>
        <w:tc>
          <w:tcPr>
            <w:tcW w:w="1283" w:type="dxa"/>
            <w:tcBorders>
              <w:tl2br w:val="nil"/>
              <w:tr2bl w:val="nil"/>
            </w:tcBorders>
            <w:noWrap w:val="0"/>
            <w:vAlign w:val="center"/>
          </w:tcPr>
          <w:p w14:paraId="5CE375B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785235EE">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16B93B2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2023年9月</w:t>
            </w:r>
          </w:p>
        </w:tc>
        <w:tc>
          <w:tcPr>
            <w:tcW w:w="1157" w:type="dxa"/>
            <w:tcBorders>
              <w:tl2br w:val="nil"/>
              <w:tr2bl w:val="nil"/>
            </w:tcBorders>
            <w:noWrap w:val="0"/>
            <w:vAlign w:val="center"/>
          </w:tcPr>
          <w:p w14:paraId="5DE338D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r>
      <w:tr w14:paraId="488051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76811C45">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6C6283A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2023年10月</w:t>
            </w:r>
          </w:p>
        </w:tc>
        <w:tc>
          <w:tcPr>
            <w:tcW w:w="1283" w:type="dxa"/>
            <w:tcBorders>
              <w:tl2br w:val="nil"/>
              <w:tr2bl w:val="nil"/>
            </w:tcBorders>
            <w:noWrap w:val="0"/>
            <w:vAlign w:val="center"/>
          </w:tcPr>
          <w:p w14:paraId="29563C9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46C905BB">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7F00A77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2023年10月</w:t>
            </w:r>
          </w:p>
        </w:tc>
        <w:tc>
          <w:tcPr>
            <w:tcW w:w="1157" w:type="dxa"/>
            <w:tcBorders>
              <w:tl2br w:val="nil"/>
              <w:tr2bl w:val="nil"/>
            </w:tcBorders>
            <w:noWrap w:val="0"/>
            <w:vAlign w:val="center"/>
          </w:tcPr>
          <w:p w14:paraId="0A235082">
            <w:pPr>
              <w:pStyle w:val="42"/>
              <w:keepNext w:val="0"/>
              <w:keepLines w:val="0"/>
              <w:suppressLineNumbers w:val="0"/>
              <w:bidi w:val="0"/>
              <w:spacing w:before="0" w:beforeAutospacing="0" w:after="0" w:afterAutospacing="0"/>
              <w:rPr>
                <w:rFonts w:hint="eastAsia"/>
                <w:lang w:val="en-US" w:eastAsia="zh-CN"/>
              </w:rPr>
            </w:pPr>
            <w:r>
              <w:rPr>
                <w:rFonts w:hint="default"/>
                <w:lang w:val="en-US" w:eastAsia="zh-CN"/>
              </w:rPr>
              <w:t>Ⅱ类</w:t>
            </w:r>
          </w:p>
        </w:tc>
      </w:tr>
      <w:tr w14:paraId="3CB434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6BCAD88B">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770063C9">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2023年11月</w:t>
            </w:r>
          </w:p>
        </w:tc>
        <w:tc>
          <w:tcPr>
            <w:tcW w:w="1283" w:type="dxa"/>
            <w:tcBorders>
              <w:tl2br w:val="nil"/>
              <w:tr2bl w:val="nil"/>
            </w:tcBorders>
            <w:noWrap w:val="0"/>
            <w:vAlign w:val="center"/>
          </w:tcPr>
          <w:p w14:paraId="34CD3CA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3E2DAA6D">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4E10DCD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2023年11月</w:t>
            </w:r>
          </w:p>
        </w:tc>
        <w:tc>
          <w:tcPr>
            <w:tcW w:w="1157" w:type="dxa"/>
            <w:tcBorders>
              <w:tl2br w:val="nil"/>
              <w:tr2bl w:val="nil"/>
            </w:tcBorders>
            <w:noWrap w:val="0"/>
            <w:vAlign w:val="center"/>
          </w:tcPr>
          <w:p w14:paraId="6A7A36CF">
            <w:pPr>
              <w:pStyle w:val="42"/>
              <w:keepNext w:val="0"/>
              <w:keepLines w:val="0"/>
              <w:suppressLineNumbers w:val="0"/>
              <w:bidi w:val="0"/>
              <w:spacing w:before="0" w:beforeAutospacing="0" w:after="0" w:afterAutospacing="0"/>
              <w:rPr>
                <w:rFonts w:hint="eastAsia"/>
                <w:lang w:val="en-US" w:eastAsia="zh-CN"/>
              </w:rPr>
            </w:pPr>
            <w:r>
              <w:rPr>
                <w:rFonts w:hint="default"/>
                <w:lang w:val="en-US" w:eastAsia="zh-CN"/>
              </w:rPr>
              <w:t>Ⅱ类</w:t>
            </w:r>
          </w:p>
        </w:tc>
      </w:tr>
      <w:tr w14:paraId="27693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1" w:type="dxa"/>
            <w:vMerge w:val="continue"/>
            <w:tcBorders>
              <w:tl2br w:val="nil"/>
              <w:tr2bl w:val="nil"/>
            </w:tcBorders>
            <w:noWrap w:val="0"/>
            <w:vAlign w:val="center"/>
          </w:tcPr>
          <w:p w14:paraId="7F42F0A4">
            <w:pPr>
              <w:pStyle w:val="42"/>
              <w:keepNext w:val="0"/>
              <w:keepLines w:val="0"/>
              <w:suppressLineNumbers w:val="0"/>
              <w:bidi w:val="0"/>
              <w:spacing w:before="0" w:beforeAutospacing="0" w:after="0" w:afterAutospacing="0"/>
              <w:rPr>
                <w:rFonts w:hint="eastAsia"/>
                <w:lang w:val="en-US" w:eastAsia="zh-CN"/>
              </w:rPr>
            </w:pPr>
          </w:p>
        </w:tc>
        <w:tc>
          <w:tcPr>
            <w:tcW w:w="1450" w:type="dxa"/>
            <w:tcBorders>
              <w:tl2br w:val="nil"/>
              <w:tr2bl w:val="nil"/>
            </w:tcBorders>
            <w:noWrap w:val="0"/>
            <w:vAlign w:val="center"/>
          </w:tcPr>
          <w:p w14:paraId="287E1E50">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2023年12月</w:t>
            </w:r>
          </w:p>
        </w:tc>
        <w:tc>
          <w:tcPr>
            <w:tcW w:w="1283" w:type="dxa"/>
            <w:tcBorders>
              <w:tl2br w:val="nil"/>
              <w:tr2bl w:val="nil"/>
            </w:tcBorders>
            <w:noWrap w:val="0"/>
            <w:vAlign w:val="center"/>
          </w:tcPr>
          <w:p w14:paraId="3B46A95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Ⅱ类</w:t>
            </w:r>
          </w:p>
        </w:tc>
        <w:tc>
          <w:tcPr>
            <w:tcW w:w="1250" w:type="dxa"/>
            <w:vMerge w:val="continue"/>
            <w:tcBorders>
              <w:tl2br w:val="nil"/>
              <w:tr2bl w:val="nil"/>
            </w:tcBorders>
            <w:noWrap w:val="0"/>
            <w:vAlign w:val="center"/>
          </w:tcPr>
          <w:p w14:paraId="09B15725">
            <w:pPr>
              <w:pStyle w:val="42"/>
              <w:keepNext w:val="0"/>
              <w:keepLines w:val="0"/>
              <w:suppressLineNumbers w:val="0"/>
              <w:bidi w:val="0"/>
              <w:spacing w:before="0" w:beforeAutospacing="0" w:after="0" w:afterAutospacing="0"/>
              <w:rPr>
                <w:rFonts w:hint="default"/>
                <w:lang w:val="en-US" w:eastAsia="zh-CN"/>
              </w:rPr>
            </w:pPr>
          </w:p>
        </w:tc>
        <w:tc>
          <w:tcPr>
            <w:tcW w:w="1467" w:type="dxa"/>
            <w:tcBorders>
              <w:tl2br w:val="nil"/>
              <w:tr2bl w:val="nil"/>
            </w:tcBorders>
            <w:noWrap w:val="0"/>
            <w:vAlign w:val="center"/>
          </w:tcPr>
          <w:p w14:paraId="30D9B5B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2023年12月</w:t>
            </w:r>
          </w:p>
        </w:tc>
        <w:tc>
          <w:tcPr>
            <w:tcW w:w="1157" w:type="dxa"/>
            <w:tcBorders>
              <w:tl2br w:val="nil"/>
              <w:tr2bl w:val="nil"/>
            </w:tcBorders>
            <w:noWrap w:val="0"/>
            <w:vAlign w:val="center"/>
          </w:tcPr>
          <w:p w14:paraId="5874FDF0">
            <w:pPr>
              <w:pStyle w:val="42"/>
              <w:keepNext w:val="0"/>
              <w:keepLines w:val="0"/>
              <w:suppressLineNumbers w:val="0"/>
              <w:bidi w:val="0"/>
              <w:spacing w:before="0" w:beforeAutospacing="0" w:after="0" w:afterAutospacing="0"/>
              <w:rPr>
                <w:rFonts w:hint="eastAsia"/>
                <w:lang w:val="en-US" w:eastAsia="zh-CN"/>
              </w:rPr>
            </w:pPr>
            <w:r>
              <w:rPr>
                <w:rFonts w:hint="default"/>
                <w:lang w:val="en-US" w:eastAsia="zh-CN"/>
              </w:rPr>
              <w:t>Ⅱ类</w:t>
            </w:r>
          </w:p>
        </w:tc>
      </w:tr>
    </w:tbl>
    <w:p w14:paraId="63C0A479">
      <w:pPr>
        <w:pStyle w:val="7"/>
        <w:bidi w:val="0"/>
        <w:rPr>
          <w:rFonts w:hint="default"/>
          <w:lang w:val="en-US" w:eastAsia="zh-CN"/>
        </w:rPr>
      </w:pPr>
      <w:r>
        <w:rPr>
          <w:rFonts w:hint="default"/>
          <w:lang w:val="en-US" w:eastAsia="zh-CN"/>
        </w:rPr>
        <w:t>引用历史监测数据</w:t>
      </w:r>
    </w:p>
    <w:p w14:paraId="0E4E7229">
      <w:pPr>
        <w:bidi w:val="0"/>
        <w:rPr>
          <w:rFonts w:hint="default"/>
          <w:lang w:val="en-US" w:eastAsia="zh-CN"/>
        </w:rPr>
      </w:pPr>
      <w:r>
        <w:rPr>
          <w:rFonts w:hint="default"/>
          <w:lang w:val="en-US" w:eastAsia="zh-CN"/>
        </w:rPr>
        <w:t>为进一步了解项目区域地表水环境质量，本环评引用《岳阳厚浦废旧锂电池三元正极材料再生利用项目环境影响报告书》中湖南乾诚检测有限公司于2022.10.24~2022.10.26对湘江及进行的历史监测数据。</w:t>
      </w:r>
    </w:p>
    <w:p w14:paraId="0DB140DC">
      <w:pPr>
        <w:bidi w:val="0"/>
        <w:rPr>
          <w:rFonts w:hint="default"/>
          <w:lang w:val="en-US" w:eastAsia="zh-CN"/>
        </w:rPr>
      </w:pPr>
      <w:r>
        <w:rPr>
          <w:rFonts w:hint="default"/>
          <w:lang w:val="en-US" w:eastAsia="zh-CN"/>
        </w:rPr>
        <w:t>（1）监测点位及监测因子</w:t>
      </w:r>
    </w:p>
    <w:p w14:paraId="4A5FED50">
      <w:pPr>
        <w:bidi w:val="0"/>
        <w:rPr>
          <w:rFonts w:hint="default"/>
          <w:lang w:val="en-US" w:eastAsia="zh-CN"/>
        </w:rPr>
      </w:pPr>
      <w:r>
        <w:rPr>
          <w:rFonts w:hint="default"/>
          <w:lang w:val="en-US" w:eastAsia="zh-CN"/>
        </w:rPr>
        <w:t>引用4个地表水监测点，见下表。</w:t>
      </w:r>
    </w:p>
    <w:p w14:paraId="23E3F624">
      <w:pPr>
        <w:pStyle w:val="39"/>
        <w:bidi w:val="0"/>
        <w:rPr>
          <w:rFonts w:hint="default"/>
          <w:lang w:val="en-US" w:eastAsia="zh-CN"/>
        </w:rPr>
      </w:pPr>
      <w:r>
        <w:rPr>
          <w:rFonts w:hint="default"/>
          <w:lang w:val="en-US" w:eastAsia="zh-CN"/>
        </w:rPr>
        <w:t>表</w:t>
      </w:r>
      <w:r>
        <w:rPr>
          <w:rFonts w:hint="eastAsia"/>
          <w:lang w:val="en-US" w:eastAsia="zh-CN"/>
        </w:rPr>
        <w:t xml:space="preserve">5.3-6 </w:t>
      </w:r>
      <w:r>
        <w:rPr>
          <w:rFonts w:hint="default"/>
          <w:lang w:val="en-US" w:eastAsia="zh-CN"/>
        </w:rPr>
        <w:t>地表水监测布点说明表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6"/>
        <w:gridCol w:w="941"/>
        <w:gridCol w:w="4251"/>
        <w:gridCol w:w="2603"/>
      </w:tblGrid>
      <w:tr w14:paraId="2B8FDA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426" w:type="pct"/>
            <w:vAlign w:val="center"/>
          </w:tcPr>
          <w:p w14:paraId="6F5A9D5E">
            <w:pPr>
              <w:pStyle w:val="42"/>
              <w:keepNext w:val="0"/>
              <w:keepLines w:val="0"/>
              <w:suppressLineNumbers w:val="0"/>
              <w:bidi w:val="0"/>
              <w:spacing w:before="0" w:beforeAutospacing="0" w:after="0" w:afterAutospacing="0"/>
              <w:rPr>
                <w:rFonts w:hint="default"/>
              </w:rPr>
            </w:pPr>
            <w:r>
              <w:rPr>
                <w:rFonts w:hint="default"/>
              </w:rPr>
              <w:t>水体</w:t>
            </w:r>
          </w:p>
        </w:tc>
        <w:tc>
          <w:tcPr>
            <w:tcW w:w="552" w:type="pct"/>
            <w:vAlign w:val="center"/>
          </w:tcPr>
          <w:p w14:paraId="0FBF09E7">
            <w:pPr>
              <w:pStyle w:val="42"/>
              <w:keepNext w:val="0"/>
              <w:keepLines w:val="0"/>
              <w:suppressLineNumbers w:val="0"/>
              <w:bidi w:val="0"/>
              <w:spacing w:before="0" w:beforeAutospacing="0" w:after="0" w:afterAutospacing="0"/>
              <w:rPr>
                <w:rFonts w:hint="default"/>
              </w:rPr>
            </w:pPr>
            <w:r>
              <w:rPr>
                <w:rFonts w:hint="default"/>
              </w:rPr>
              <w:t>序号</w:t>
            </w:r>
          </w:p>
        </w:tc>
        <w:tc>
          <w:tcPr>
            <w:tcW w:w="2494" w:type="pct"/>
            <w:vAlign w:val="center"/>
          </w:tcPr>
          <w:p w14:paraId="17A3272A">
            <w:pPr>
              <w:pStyle w:val="42"/>
              <w:keepNext w:val="0"/>
              <w:keepLines w:val="0"/>
              <w:suppressLineNumbers w:val="0"/>
              <w:bidi w:val="0"/>
              <w:spacing w:before="0" w:beforeAutospacing="0" w:after="0" w:afterAutospacing="0"/>
              <w:rPr>
                <w:rFonts w:hint="default"/>
              </w:rPr>
            </w:pPr>
            <w:r>
              <w:rPr>
                <w:rFonts w:hint="default"/>
              </w:rPr>
              <w:t>点位名称及位置</w:t>
            </w:r>
          </w:p>
        </w:tc>
        <w:tc>
          <w:tcPr>
            <w:tcW w:w="1527" w:type="pct"/>
            <w:vAlign w:val="center"/>
          </w:tcPr>
          <w:p w14:paraId="0CF6DC40">
            <w:pPr>
              <w:pStyle w:val="42"/>
              <w:keepNext w:val="0"/>
              <w:keepLines w:val="0"/>
              <w:suppressLineNumbers w:val="0"/>
              <w:bidi w:val="0"/>
              <w:spacing w:before="0" w:beforeAutospacing="0" w:after="0" w:afterAutospacing="0"/>
              <w:rPr>
                <w:rFonts w:hint="default"/>
              </w:rPr>
            </w:pPr>
            <w:r>
              <w:rPr>
                <w:rFonts w:hint="default"/>
              </w:rPr>
              <w:t>监测因子</w:t>
            </w:r>
          </w:p>
        </w:tc>
      </w:tr>
      <w:tr w14:paraId="7930F1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426" w:type="pct"/>
            <w:vMerge w:val="restart"/>
            <w:vAlign w:val="center"/>
          </w:tcPr>
          <w:p w14:paraId="09EB652C">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洋沙湖</w:t>
            </w:r>
          </w:p>
        </w:tc>
        <w:tc>
          <w:tcPr>
            <w:tcW w:w="552" w:type="pct"/>
            <w:vAlign w:val="center"/>
          </w:tcPr>
          <w:p w14:paraId="438AB386">
            <w:pPr>
              <w:pStyle w:val="42"/>
              <w:keepNext w:val="0"/>
              <w:keepLines w:val="0"/>
              <w:suppressLineNumbers w:val="0"/>
              <w:bidi w:val="0"/>
              <w:spacing w:before="0" w:beforeAutospacing="0" w:after="0" w:afterAutospacing="0"/>
              <w:rPr>
                <w:rFonts w:hint="default"/>
              </w:rPr>
            </w:pPr>
            <w:r>
              <w:rPr>
                <w:rFonts w:hint="default"/>
              </w:rPr>
              <w:t>W1</w:t>
            </w:r>
          </w:p>
        </w:tc>
        <w:tc>
          <w:tcPr>
            <w:tcW w:w="2494" w:type="pct"/>
            <w:vAlign w:val="center"/>
          </w:tcPr>
          <w:p w14:paraId="05A11748">
            <w:pPr>
              <w:pStyle w:val="42"/>
              <w:keepNext w:val="0"/>
              <w:keepLines w:val="0"/>
              <w:suppressLineNumbers w:val="0"/>
              <w:bidi w:val="0"/>
              <w:spacing w:before="0" w:beforeAutospacing="0" w:after="0" w:afterAutospacing="0"/>
              <w:rPr>
                <w:rFonts w:hint="default"/>
              </w:rPr>
            </w:pPr>
            <w:r>
              <w:rPr>
                <w:rFonts w:hint="default"/>
              </w:rPr>
              <w:t>湘阴县第二污水处理厂排污口上游500m</w:t>
            </w:r>
          </w:p>
        </w:tc>
        <w:tc>
          <w:tcPr>
            <w:tcW w:w="1527" w:type="pct"/>
            <w:vMerge w:val="restart"/>
            <w:vAlign w:val="center"/>
          </w:tcPr>
          <w:p w14:paraId="28F8DB00">
            <w:pPr>
              <w:pStyle w:val="42"/>
              <w:keepNext w:val="0"/>
              <w:keepLines w:val="0"/>
              <w:suppressLineNumbers w:val="0"/>
              <w:bidi w:val="0"/>
              <w:spacing w:before="0" w:beforeAutospacing="0" w:after="0" w:afterAutospacing="0"/>
              <w:rPr>
                <w:rFonts w:hint="eastAsia" w:eastAsia="宋体"/>
                <w:lang w:eastAsia="zh-CN"/>
              </w:rPr>
            </w:pPr>
            <w:r>
              <w:rPr>
                <w:rFonts w:hint="default"/>
              </w:rPr>
              <w:t>pH值</w:t>
            </w:r>
            <w:r>
              <w:rPr>
                <w:rFonts w:hint="eastAsia"/>
                <w:lang w:eastAsia="zh-CN"/>
              </w:rPr>
              <w:t>、</w:t>
            </w:r>
            <w:r>
              <w:rPr>
                <w:rFonts w:hint="default"/>
              </w:rPr>
              <w:t>SS</w:t>
            </w:r>
            <w:r>
              <w:rPr>
                <w:rFonts w:hint="eastAsia"/>
                <w:lang w:eastAsia="zh-CN"/>
              </w:rPr>
              <w:t>、</w:t>
            </w:r>
            <w:r>
              <w:rPr>
                <w:rFonts w:hint="default"/>
              </w:rPr>
              <w:t>COD</w:t>
            </w:r>
            <w:r>
              <w:rPr>
                <w:rFonts w:hint="eastAsia"/>
                <w:lang w:eastAsia="zh-CN"/>
              </w:rPr>
              <w:t>、</w:t>
            </w:r>
            <w:r>
              <w:rPr>
                <w:rFonts w:hint="default"/>
              </w:rPr>
              <w:t>BOD5</w:t>
            </w:r>
            <w:r>
              <w:rPr>
                <w:rFonts w:hint="eastAsia"/>
                <w:lang w:eastAsia="zh-CN"/>
              </w:rPr>
              <w:t>、</w:t>
            </w:r>
            <w:r>
              <w:rPr>
                <w:rFonts w:hint="default"/>
              </w:rPr>
              <w:t>氨氮</w:t>
            </w:r>
            <w:r>
              <w:rPr>
                <w:rFonts w:hint="eastAsia"/>
                <w:lang w:eastAsia="zh-CN"/>
              </w:rPr>
              <w:t>、</w:t>
            </w:r>
            <w:r>
              <w:rPr>
                <w:rFonts w:hint="default"/>
              </w:rPr>
              <w:t>总磷</w:t>
            </w:r>
            <w:r>
              <w:rPr>
                <w:rFonts w:hint="eastAsia"/>
                <w:lang w:eastAsia="zh-CN"/>
              </w:rPr>
              <w:t>、</w:t>
            </w:r>
            <w:r>
              <w:rPr>
                <w:rFonts w:hint="default"/>
              </w:rPr>
              <w:t>石油类</w:t>
            </w:r>
            <w:r>
              <w:rPr>
                <w:rFonts w:hint="eastAsia"/>
                <w:lang w:eastAsia="zh-CN"/>
              </w:rPr>
              <w:t>、</w:t>
            </w:r>
          </w:p>
        </w:tc>
      </w:tr>
      <w:tr w14:paraId="5A9D16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426" w:type="pct"/>
            <w:vMerge w:val="continue"/>
            <w:vAlign w:val="center"/>
          </w:tcPr>
          <w:p w14:paraId="7B0EB4A5">
            <w:pPr>
              <w:pStyle w:val="42"/>
              <w:keepNext w:val="0"/>
              <w:keepLines w:val="0"/>
              <w:suppressLineNumbers w:val="0"/>
              <w:bidi w:val="0"/>
              <w:spacing w:before="0" w:beforeAutospacing="0" w:after="0" w:afterAutospacing="0"/>
              <w:rPr>
                <w:rFonts w:hint="default"/>
              </w:rPr>
            </w:pPr>
          </w:p>
        </w:tc>
        <w:tc>
          <w:tcPr>
            <w:tcW w:w="552" w:type="pct"/>
            <w:vAlign w:val="center"/>
          </w:tcPr>
          <w:p w14:paraId="61B7E201">
            <w:pPr>
              <w:pStyle w:val="42"/>
              <w:keepNext w:val="0"/>
              <w:keepLines w:val="0"/>
              <w:suppressLineNumbers w:val="0"/>
              <w:bidi w:val="0"/>
              <w:spacing w:before="0" w:beforeAutospacing="0" w:after="0" w:afterAutospacing="0"/>
              <w:rPr>
                <w:rFonts w:hint="default"/>
              </w:rPr>
            </w:pPr>
            <w:r>
              <w:rPr>
                <w:rFonts w:hint="default"/>
              </w:rPr>
              <w:t>W2</w:t>
            </w:r>
          </w:p>
        </w:tc>
        <w:tc>
          <w:tcPr>
            <w:tcW w:w="2494" w:type="pct"/>
            <w:vAlign w:val="center"/>
          </w:tcPr>
          <w:p w14:paraId="2CAA7254">
            <w:pPr>
              <w:pStyle w:val="42"/>
              <w:keepNext w:val="0"/>
              <w:keepLines w:val="0"/>
              <w:suppressLineNumbers w:val="0"/>
              <w:bidi w:val="0"/>
              <w:spacing w:before="0" w:beforeAutospacing="0" w:after="0" w:afterAutospacing="0"/>
              <w:rPr>
                <w:rFonts w:hint="default"/>
              </w:rPr>
            </w:pPr>
            <w:r>
              <w:rPr>
                <w:rFonts w:hint="default"/>
              </w:rPr>
              <w:t>湘阴县第二污水处理厂排污口下游100m</w:t>
            </w:r>
          </w:p>
        </w:tc>
        <w:tc>
          <w:tcPr>
            <w:tcW w:w="1527" w:type="pct"/>
            <w:vMerge w:val="continue"/>
            <w:vAlign w:val="center"/>
          </w:tcPr>
          <w:p w14:paraId="20FC33B9">
            <w:pPr>
              <w:pStyle w:val="42"/>
              <w:keepNext w:val="0"/>
              <w:keepLines w:val="0"/>
              <w:suppressLineNumbers w:val="0"/>
              <w:bidi w:val="0"/>
              <w:spacing w:before="0" w:beforeAutospacing="0" w:after="0" w:afterAutospacing="0"/>
              <w:rPr>
                <w:rFonts w:hint="default"/>
              </w:rPr>
            </w:pPr>
          </w:p>
        </w:tc>
      </w:tr>
      <w:tr w14:paraId="59AA8E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426" w:type="pct"/>
            <w:vMerge w:val="restart"/>
            <w:vAlign w:val="center"/>
          </w:tcPr>
          <w:p w14:paraId="3EEC4C9C">
            <w:pPr>
              <w:pStyle w:val="42"/>
              <w:keepNext w:val="0"/>
              <w:keepLines w:val="0"/>
              <w:suppressLineNumbers w:val="0"/>
              <w:bidi w:val="0"/>
              <w:spacing w:before="0" w:beforeAutospacing="0" w:after="0" w:afterAutospacing="0"/>
              <w:rPr>
                <w:rFonts w:hint="default"/>
              </w:rPr>
            </w:pPr>
            <w:r>
              <w:rPr>
                <w:rFonts w:hint="default"/>
              </w:rPr>
              <w:t>湘江</w:t>
            </w:r>
          </w:p>
        </w:tc>
        <w:tc>
          <w:tcPr>
            <w:tcW w:w="552" w:type="pct"/>
            <w:vAlign w:val="center"/>
          </w:tcPr>
          <w:p w14:paraId="59823D85">
            <w:pPr>
              <w:pStyle w:val="42"/>
              <w:keepNext w:val="0"/>
              <w:keepLines w:val="0"/>
              <w:suppressLineNumbers w:val="0"/>
              <w:bidi w:val="0"/>
              <w:spacing w:before="0" w:beforeAutospacing="0" w:after="0" w:afterAutospacing="0"/>
              <w:rPr>
                <w:rFonts w:hint="default"/>
              </w:rPr>
            </w:pPr>
            <w:r>
              <w:rPr>
                <w:rFonts w:hint="default"/>
              </w:rPr>
              <w:t>W3</w:t>
            </w:r>
          </w:p>
        </w:tc>
        <w:tc>
          <w:tcPr>
            <w:tcW w:w="2494" w:type="pct"/>
            <w:vAlign w:val="center"/>
          </w:tcPr>
          <w:p w14:paraId="39E96673">
            <w:pPr>
              <w:pStyle w:val="42"/>
              <w:keepNext w:val="0"/>
              <w:keepLines w:val="0"/>
              <w:suppressLineNumbers w:val="0"/>
              <w:bidi w:val="0"/>
              <w:spacing w:before="0" w:beforeAutospacing="0" w:after="0" w:afterAutospacing="0"/>
              <w:rPr>
                <w:rFonts w:hint="default"/>
              </w:rPr>
            </w:pPr>
            <w:r>
              <w:rPr>
                <w:rFonts w:hint="default"/>
              </w:rPr>
              <w:t>汇入湘江口上游500m</w:t>
            </w:r>
          </w:p>
        </w:tc>
        <w:tc>
          <w:tcPr>
            <w:tcW w:w="1527" w:type="pct"/>
            <w:vMerge w:val="continue"/>
            <w:vAlign w:val="center"/>
          </w:tcPr>
          <w:p w14:paraId="3BD9CE22">
            <w:pPr>
              <w:pStyle w:val="42"/>
              <w:keepNext w:val="0"/>
              <w:keepLines w:val="0"/>
              <w:suppressLineNumbers w:val="0"/>
              <w:bidi w:val="0"/>
              <w:spacing w:before="0" w:beforeAutospacing="0" w:after="0" w:afterAutospacing="0"/>
              <w:rPr>
                <w:rFonts w:hint="default"/>
              </w:rPr>
            </w:pPr>
          </w:p>
        </w:tc>
      </w:tr>
      <w:tr w14:paraId="339816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426" w:type="pct"/>
            <w:vMerge w:val="continue"/>
            <w:vAlign w:val="center"/>
          </w:tcPr>
          <w:p w14:paraId="2E73A55D">
            <w:pPr>
              <w:pStyle w:val="42"/>
              <w:keepNext w:val="0"/>
              <w:keepLines w:val="0"/>
              <w:suppressLineNumbers w:val="0"/>
              <w:bidi w:val="0"/>
              <w:spacing w:before="0" w:beforeAutospacing="0" w:after="0" w:afterAutospacing="0"/>
              <w:rPr>
                <w:rFonts w:hint="default"/>
              </w:rPr>
            </w:pPr>
          </w:p>
        </w:tc>
        <w:tc>
          <w:tcPr>
            <w:tcW w:w="552" w:type="pct"/>
            <w:vAlign w:val="center"/>
          </w:tcPr>
          <w:p w14:paraId="5B211FD0">
            <w:pPr>
              <w:pStyle w:val="42"/>
              <w:keepNext w:val="0"/>
              <w:keepLines w:val="0"/>
              <w:suppressLineNumbers w:val="0"/>
              <w:bidi w:val="0"/>
              <w:spacing w:before="0" w:beforeAutospacing="0" w:after="0" w:afterAutospacing="0"/>
              <w:rPr>
                <w:rFonts w:hint="default"/>
              </w:rPr>
            </w:pPr>
            <w:r>
              <w:rPr>
                <w:rFonts w:hint="default"/>
              </w:rPr>
              <w:t>W4</w:t>
            </w:r>
          </w:p>
        </w:tc>
        <w:tc>
          <w:tcPr>
            <w:tcW w:w="2494" w:type="pct"/>
            <w:vAlign w:val="center"/>
          </w:tcPr>
          <w:p w14:paraId="58B0C303">
            <w:pPr>
              <w:pStyle w:val="42"/>
              <w:keepNext w:val="0"/>
              <w:keepLines w:val="0"/>
              <w:suppressLineNumbers w:val="0"/>
              <w:bidi w:val="0"/>
              <w:spacing w:before="0" w:beforeAutospacing="0" w:after="0" w:afterAutospacing="0"/>
              <w:rPr>
                <w:rFonts w:hint="default"/>
              </w:rPr>
            </w:pPr>
            <w:r>
              <w:rPr>
                <w:rFonts w:hint="default"/>
              </w:rPr>
              <w:t>汇入湘江口下游1000m</w:t>
            </w:r>
          </w:p>
        </w:tc>
        <w:tc>
          <w:tcPr>
            <w:tcW w:w="1527" w:type="pct"/>
            <w:vMerge w:val="continue"/>
            <w:vAlign w:val="center"/>
          </w:tcPr>
          <w:p w14:paraId="01ED5365">
            <w:pPr>
              <w:pStyle w:val="42"/>
              <w:keepNext w:val="0"/>
              <w:keepLines w:val="0"/>
              <w:suppressLineNumbers w:val="0"/>
              <w:bidi w:val="0"/>
              <w:spacing w:before="0" w:beforeAutospacing="0" w:after="0" w:afterAutospacing="0"/>
              <w:rPr>
                <w:rFonts w:hint="default"/>
              </w:rPr>
            </w:pPr>
          </w:p>
        </w:tc>
      </w:tr>
    </w:tbl>
    <w:p w14:paraId="33585A60">
      <w:pPr>
        <w:bidi w:val="0"/>
        <w:rPr>
          <w:rFonts w:hint="default"/>
          <w:lang w:val="en-US" w:eastAsia="zh-CN"/>
        </w:rPr>
      </w:pPr>
      <w:r>
        <w:rPr>
          <w:rFonts w:hint="default"/>
          <w:lang w:val="en-US" w:eastAsia="zh-CN"/>
        </w:rPr>
        <w:t>（2）监测时间与监测频次</w:t>
      </w:r>
    </w:p>
    <w:p w14:paraId="06CF5E87">
      <w:pPr>
        <w:bidi w:val="0"/>
        <w:rPr>
          <w:rFonts w:hint="default"/>
          <w:lang w:val="en-US" w:eastAsia="zh-CN"/>
        </w:rPr>
      </w:pPr>
      <w:r>
        <w:rPr>
          <w:rFonts w:hint="default"/>
          <w:lang w:val="en-US" w:eastAsia="zh-CN"/>
        </w:rPr>
        <w:t>监测时间为2022.10.24~2022.10.26，连续监测3天，每天取样1次。</w:t>
      </w:r>
    </w:p>
    <w:p w14:paraId="7F25462A">
      <w:pPr>
        <w:bidi w:val="0"/>
        <w:rPr>
          <w:rFonts w:hint="default"/>
          <w:lang w:val="en-US" w:eastAsia="zh-CN"/>
        </w:rPr>
      </w:pPr>
      <w:r>
        <w:rPr>
          <w:rFonts w:hint="default"/>
          <w:lang w:val="en-US" w:eastAsia="zh-CN"/>
        </w:rPr>
        <w:t>（3）评价标准和评价方法</w:t>
      </w:r>
    </w:p>
    <w:p w14:paraId="3CC10275">
      <w:pPr>
        <w:bidi w:val="0"/>
        <w:rPr>
          <w:rFonts w:hint="default"/>
          <w:lang w:val="en-US" w:eastAsia="zh-CN"/>
        </w:rPr>
      </w:pPr>
      <w:r>
        <w:rPr>
          <w:rFonts w:hint="default"/>
          <w:lang w:val="en-US" w:eastAsia="zh-CN"/>
        </w:rPr>
        <w:t>执行《地表水环境质量标准》（GB3838-2002）表1中III类标准值。</w:t>
      </w:r>
    </w:p>
    <w:p w14:paraId="50978542">
      <w:pPr>
        <w:bidi w:val="0"/>
        <w:rPr>
          <w:rFonts w:hint="default"/>
          <w:lang w:val="en-US" w:eastAsia="zh-CN"/>
        </w:rPr>
      </w:pPr>
      <w:r>
        <w:rPr>
          <w:rFonts w:hint="default"/>
          <w:lang w:val="en-US" w:eastAsia="zh-CN"/>
        </w:rPr>
        <w:t>采用超标率和最大超标倍数评价法。</w:t>
      </w:r>
    </w:p>
    <w:p w14:paraId="6DB7C263">
      <w:pPr>
        <w:bidi w:val="0"/>
        <w:rPr>
          <w:rFonts w:hint="default"/>
          <w:lang w:val="en-US" w:eastAsia="zh-CN"/>
        </w:rPr>
      </w:pPr>
      <w:r>
        <w:rPr>
          <w:rFonts w:hint="default"/>
          <w:lang w:val="en-US" w:eastAsia="zh-CN"/>
        </w:rPr>
        <w:t>（4）监测分析方法</w:t>
      </w:r>
    </w:p>
    <w:p w14:paraId="617EDC34">
      <w:pPr>
        <w:bidi w:val="0"/>
        <w:rPr>
          <w:rFonts w:hint="default"/>
          <w:lang w:val="en-US" w:eastAsia="zh-CN"/>
        </w:rPr>
      </w:pPr>
      <w:r>
        <w:rPr>
          <w:rFonts w:hint="default"/>
          <w:lang w:val="en-US" w:eastAsia="zh-CN"/>
        </w:rPr>
        <w:t>按国家《地表水环境质量标准》（GB3838-2002）规定的标准分析方法及《水和废水监测分析方法》（第四版）等相关标准和规范进行。</w:t>
      </w:r>
    </w:p>
    <w:p w14:paraId="0FFE92A2">
      <w:pPr>
        <w:bidi w:val="0"/>
        <w:rPr>
          <w:rFonts w:hint="default"/>
          <w:lang w:val="en-US" w:eastAsia="zh-CN"/>
        </w:rPr>
      </w:pPr>
      <w:r>
        <w:rPr>
          <w:rFonts w:hint="default"/>
          <w:lang w:val="en-US" w:eastAsia="zh-CN"/>
        </w:rPr>
        <w:t>（5）监测结果与评价</w:t>
      </w:r>
    </w:p>
    <w:p w14:paraId="49A531DA">
      <w:pPr>
        <w:bidi w:val="0"/>
        <w:rPr>
          <w:rFonts w:hint="default"/>
          <w:lang w:val="en-US" w:eastAsia="zh-CN"/>
        </w:rPr>
      </w:pPr>
      <w:r>
        <w:rPr>
          <w:rFonts w:hint="default"/>
          <w:lang w:val="en-US" w:eastAsia="zh-CN"/>
        </w:rPr>
        <w:t>地表水检测结果如下表所示。</w:t>
      </w:r>
    </w:p>
    <w:p w14:paraId="0041377D">
      <w:pPr>
        <w:pStyle w:val="39"/>
        <w:bidi w:val="0"/>
        <w:rPr>
          <w:rFonts w:hint="default"/>
          <w:lang w:val="en-US" w:eastAsia="zh-CN"/>
        </w:rPr>
      </w:pPr>
    </w:p>
    <w:p w14:paraId="193F0623">
      <w:pPr>
        <w:pStyle w:val="39"/>
        <w:bidi w:val="0"/>
        <w:rPr>
          <w:rFonts w:hint="default"/>
          <w:lang w:val="en-US" w:eastAsia="zh-CN"/>
        </w:rPr>
      </w:pPr>
      <w:r>
        <w:rPr>
          <w:rFonts w:hint="default"/>
          <w:lang w:val="en-US" w:eastAsia="zh-CN"/>
        </w:rPr>
        <w:t>表</w:t>
      </w:r>
      <w:r>
        <w:rPr>
          <w:rFonts w:hint="eastAsia"/>
          <w:lang w:val="en-US" w:eastAsia="zh-CN"/>
        </w:rPr>
        <w:t>5.3-7</w:t>
      </w:r>
      <w:r>
        <w:rPr>
          <w:rFonts w:hint="default"/>
          <w:lang w:val="en-US" w:eastAsia="zh-CN"/>
        </w:rPr>
        <w:t xml:space="preserve"> 地表水检测结果统计   单位：mg/L（pH除外）</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0"/>
        <w:gridCol w:w="1233"/>
        <w:gridCol w:w="975"/>
        <w:gridCol w:w="975"/>
        <w:gridCol w:w="975"/>
        <w:gridCol w:w="837"/>
        <w:gridCol w:w="1021"/>
        <w:gridCol w:w="1704"/>
      </w:tblGrid>
      <w:tr w14:paraId="25822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restart"/>
            <w:vAlign w:val="center"/>
          </w:tcPr>
          <w:p w14:paraId="7B3FA71F">
            <w:pPr>
              <w:pStyle w:val="42"/>
              <w:keepNext w:val="0"/>
              <w:keepLines w:val="0"/>
              <w:suppressLineNumbers w:val="0"/>
              <w:bidi w:val="0"/>
              <w:spacing w:before="0" w:beforeAutospacing="0" w:after="0" w:afterAutospacing="0"/>
              <w:rPr>
                <w:rFonts w:hint="default"/>
              </w:rPr>
            </w:pPr>
            <w:r>
              <w:rPr>
                <w:rFonts w:hint="default"/>
              </w:rPr>
              <w:t>监测</w:t>
            </w:r>
          </w:p>
          <w:p w14:paraId="7F920429">
            <w:pPr>
              <w:pStyle w:val="42"/>
              <w:keepNext w:val="0"/>
              <w:keepLines w:val="0"/>
              <w:suppressLineNumbers w:val="0"/>
              <w:bidi w:val="0"/>
              <w:spacing w:before="0" w:beforeAutospacing="0" w:after="0" w:afterAutospacing="0"/>
              <w:rPr>
                <w:rFonts w:hint="default"/>
              </w:rPr>
            </w:pPr>
            <w:r>
              <w:rPr>
                <w:rFonts w:hint="default"/>
              </w:rPr>
              <w:t>断面</w:t>
            </w:r>
          </w:p>
        </w:tc>
        <w:tc>
          <w:tcPr>
            <w:tcW w:w="724" w:type="pct"/>
            <w:vMerge w:val="restart"/>
            <w:vAlign w:val="center"/>
          </w:tcPr>
          <w:p w14:paraId="2AA3F481">
            <w:pPr>
              <w:pStyle w:val="42"/>
              <w:keepNext w:val="0"/>
              <w:keepLines w:val="0"/>
              <w:suppressLineNumbers w:val="0"/>
              <w:bidi w:val="0"/>
              <w:spacing w:before="0" w:beforeAutospacing="0" w:after="0" w:afterAutospacing="0"/>
              <w:rPr>
                <w:rFonts w:hint="default"/>
              </w:rPr>
            </w:pPr>
            <w:r>
              <w:rPr>
                <w:rFonts w:hint="default"/>
              </w:rPr>
              <w:t>监测因子</w:t>
            </w:r>
          </w:p>
        </w:tc>
        <w:tc>
          <w:tcPr>
            <w:tcW w:w="1716" w:type="pct"/>
            <w:gridSpan w:val="3"/>
            <w:vAlign w:val="center"/>
          </w:tcPr>
          <w:p w14:paraId="3221FB8B">
            <w:pPr>
              <w:pStyle w:val="42"/>
              <w:keepNext w:val="0"/>
              <w:keepLines w:val="0"/>
              <w:suppressLineNumbers w:val="0"/>
              <w:bidi w:val="0"/>
              <w:spacing w:before="0" w:beforeAutospacing="0" w:after="0" w:afterAutospacing="0"/>
              <w:rPr>
                <w:rFonts w:hint="default"/>
              </w:rPr>
            </w:pPr>
            <w:r>
              <w:rPr>
                <w:rFonts w:hint="default"/>
              </w:rPr>
              <w:t>采样日期及检测结果</w:t>
            </w:r>
          </w:p>
        </w:tc>
        <w:tc>
          <w:tcPr>
            <w:tcW w:w="491" w:type="pct"/>
            <w:vMerge w:val="restart"/>
            <w:vAlign w:val="center"/>
          </w:tcPr>
          <w:p w14:paraId="02DD742A">
            <w:pPr>
              <w:pStyle w:val="42"/>
              <w:keepNext w:val="0"/>
              <w:keepLines w:val="0"/>
              <w:suppressLineNumbers w:val="0"/>
              <w:bidi w:val="0"/>
              <w:spacing w:before="0" w:beforeAutospacing="0" w:after="0" w:afterAutospacing="0"/>
              <w:rPr>
                <w:rFonts w:hint="default"/>
              </w:rPr>
            </w:pPr>
            <w:r>
              <w:rPr>
                <w:rFonts w:hint="default"/>
              </w:rPr>
              <w:t>Ⅲ类</w:t>
            </w:r>
          </w:p>
          <w:p w14:paraId="0BF759C3">
            <w:pPr>
              <w:pStyle w:val="42"/>
              <w:keepNext w:val="0"/>
              <w:keepLines w:val="0"/>
              <w:suppressLineNumbers w:val="0"/>
              <w:bidi w:val="0"/>
              <w:spacing w:before="0" w:beforeAutospacing="0" w:after="0" w:afterAutospacing="0"/>
              <w:rPr>
                <w:rFonts w:hint="default"/>
              </w:rPr>
            </w:pPr>
            <w:r>
              <w:rPr>
                <w:rFonts w:hint="default"/>
              </w:rPr>
              <w:t>标准</w:t>
            </w:r>
          </w:p>
        </w:tc>
        <w:tc>
          <w:tcPr>
            <w:tcW w:w="599" w:type="pct"/>
            <w:vMerge w:val="restart"/>
            <w:vAlign w:val="center"/>
          </w:tcPr>
          <w:p w14:paraId="0D33FE4B">
            <w:pPr>
              <w:pStyle w:val="42"/>
              <w:keepNext w:val="0"/>
              <w:keepLines w:val="0"/>
              <w:suppressLineNumbers w:val="0"/>
              <w:bidi w:val="0"/>
              <w:spacing w:before="0" w:beforeAutospacing="0" w:after="0" w:afterAutospacing="0"/>
              <w:rPr>
                <w:rFonts w:hint="default"/>
              </w:rPr>
            </w:pPr>
            <w:r>
              <w:rPr>
                <w:rFonts w:hint="default"/>
              </w:rPr>
              <w:t>超标率</w:t>
            </w:r>
          </w:p>
        </w:tc>
        <w:tc>
          <w:tcPr>
            <w:tcW w:w="998" w:type="pct"/>
            <w:vMerge w:val="restart"/>
            <w:vAlign w:val="center"/>
          </w:tcPr>
          <w:p w14:paraId="122075B2">
            <w:pPr>
              <w:pStyle w:val="42"/>
              <w:keepNext w:val="0"/>
              <w:keepLines w:val="0"/>
              <w:suppressLineNumbers w:val="0"/>
              <w:bidi w:val="0"/>
              <w:spacing w:before="0" w:beforeAutospacing="0" w:after="0" w:afterAutospacing="0"/>
              <w:rPr>
                <w:rFonts w:hint="default"/>
              </w:rPr>
            </w:pPr>
            <w:r>
              <w:rPr>
                <w:rFonts w:hint="default"/>
              </w:rPr>
              <w:t>最大超标倍数</w:t>
            </w:r>
          </w:p>
        </w:tc>
      </w:tr>
      <w:tr w14:paraId="31CA0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3462C980">
            <w:pPr>
              <w:pStyle w:val="42"/>
              <w:keepNext w:val="0"/>
              <w:keepLines w:val="0"/>
              <w:suppressLineNumbers w:val="0"/>
              <w:bidi w:val="0"/>
              <w:spacing w:before="0" w:beforeAutospacing="0" w:after="0" w:afterAutospacing="0"/>
              <w:rPr>
                <w:rFonts w:hint="default"/>
              </w:rPr>
            </w:pPr>
          </w:p>
        </w:tc>
        <w:tc>
          <w:tcPr>
            <w:tcW w:w="724" w:type="pct"/>
            <w:vMerge w:val="continue"/>
            <w:vAlign w:val="center"/>
          </w:tcPr>
          <w:p w14:paraId="44B8A254">
            <w:pPr>
              <w:pStyle w:val="42"/>
              <w:keepNext w:val="0"/>
              <w:keepLines w:val="0"/>
              <w:suppressLineNumbers w:val="0"/>
              <w:bidi w:val="0"/>
              <w:spacing w:before="0" w:beforeAutospacing="0" w:after="0" w:afterAutospacing="0"/>
              <w:rPr>
                <w:rFonts w:hint="default"/>
              </w:rPr>
            </w:pPr>
          </w:p>
        </w:tc>
        <w:tc>
          <w:tcPr>
            <w:tcW w:w="572" w:type="pct"/>
            <w:vAlign w:val="center"/>
          </w:tcPr>
          <w:p w14:paraId="59A81519">
            <w:pPr>
              <w:pStyle w:val="42"/>
              <w:keepNext w:val="0"/>
              <w:keepLines w:val="0"/>
              <w:suppressLineNumbers w:val="0"/>
              <w:bidi w:val="0"/>
              <w:spacing w:before="0" w:beforeAutospacing="0" w:after="0" w:afterAutospacing="0"/>
              <w:rPr>
                <w:rFonts w:hint="default"/>
              </w:rPr>
            </w:pPr>
            <w:r>
              <w:rPr>
                <w:rFonts w:hint="default"/>
              </w:rPr>
              <w:t>10.24</w:t>
            </w:r>
          </w:p>
        </w:tc>
        <w:tc>
          <w:tcPr>
            <w:tcW w:w="572" w:type="pct"/>
            <w:vAlign w:val="center"/>
          </w:tcPr>
          <w:p w14:paraId="01D8B9A6">
            <w:pPr>
              <w:pStyle w:val="42"/>
              <w:keepNext w:val="0"/>
              <w:keepLines w:val="0"/>
              <w:suppressLineNumbers w:val="0"/>
              <w:bidi w:val="0"/>
              <w:spacing w:before="0" w:beforeAutospacing="0" w:after="0" w:afterAutospacing="0"/>
              <w:rPr>
                <w:rFonts w:hint="default"/>
              </w:rPr>
            </w:pPr>
            <w:r>
              <w:rPr>
                <w:rFonts w:hint="default"/>
              </w:rPr>
              <w:t>10.25</w:t>
            </w:r>
          </w:p>
        </w:tc>
        <w:tc>
          <w:tcPr>
            <w:tcW w:w="572" w:type="pct"/>
            <w:vAlign w:val="center"/>
          </w:tcPr>
          <w:p w14:paraId="1BF5A8C2">
            <w:pPr>
              <w:pStyle w:val="42"/>
              <w:keepNext w:val="0"/>
              <w:keepLines w:val="0"/>
              <w:suppressLineNumbers w:val="0"/>
              <w:bidi w:val="0"/>
              <w:spacing w:before="0" w:beforeAutospacing="0" w:after="0" w:afterAutospacing="0"/>
              <w:rPr>
                <w:rFonts w:hint="default"/>
              </w:rPr>
            </w:pPr>
            <w:r>
              <w:rPr>
                <w:rFonts w:hint="default"/>
              </w:rPr>
              <w:t>10.26</w:t>
            </w:r>
          </w:p>
        </w:tc>
        <w:tc>
          <w:tcPr>
            <w:tcW w:w="491" w:type="pct"/>
            <w:vMerge w:val="continue"/>
            <w:vAlign w:val="center"/>
          </w:tcPr>
          <w:p w14:paraId="587421BC">
            <w:pPr>
              <w:pStyle w:val="42"/>
              <w:keepNext w:val="0"/>
              <w:keepLines w:val="0"/>
              <w:suppressLineNumbers w:val="0"/>
              <w:bidi w:val="0"/>
              <w:spacing w:before="0" w:beforeAutospacing="0" w:after="0" w:afterAutospacing="0"/>
              <w:rPr>
                <w:rFonts w:hint="default"/>
              </w:rPr>
            </w:pPr>
          </w:p>
        </w:tc>
        <w:tc>
          <w:tcPr>
            <w:tcW w:w="599" w:type="pct"/>
            <w:vMerge w:val="continue"/>
            <w:vAlign w:val="center"/>
          </w:tcPr>
          <w:p w14:paraId="70C59FC3">
            <w:pPr>
              <w:pStyle w:val="42"/>
              <w:keepNext w:val="0"/>
              <w:keepLines w:val="0"/>
              <w:suppressLineNumbers w:val="0"/>
              <w:bidi w:val="0"/>
              <w:spacing w:before="0" w:beforeAutospacing="0" w:after="0" w:afterAutospacing="0"/>
              <w:rPr>
                <w:rFonts w:hint="default"/>
              </w:rPr>
            </w:pPr>
          </w:p>
        </w:tc>
        <w:tc>
          <w:tcPr>
            <w:tcW w:w="998" w:type="pct"/>
            <w:vMerge w:val="continue"/>
            <w:vAlign w:val="center"/>
          </w:tcPr>
          <w:p w14:paraId="19DC40D4">
            <w:pPr>
              <w:pStyle w:val="42"/>
              <w:keepNext w:val="0"/>
              <w:keepLines w:val="0"/>
              <w:suppressLineNumbers w:val="0"/>
              <w:bidi w:val="0"/>
              <w:spacing w:before="0" w:beforeAutospacing="0" w:after="0" w:afterAutospacing="0"/>
              <w:rPr>
                <w:rFonts w:hint="default"/>
              </w:rPr>
            </w:pPr>
          </w:p>
        </w:tc>
      </w:tr>
      <w:tr w14:paraId="1A5911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restart"/>
            <w:vAlign w:val="center"/>
          </w:tcPr>
          <w:p w14:paraId="00D55D0C">
            <w:pPr>
              <w:pStyle w:val="42"/>
              <w:keepNext w:val="0"/>
              <w:keepLines w:val="0"/>
              <w:suppressLineNumbers w:val="0"/>
              <w:bidi w:val="0"/>
              <w:spacing w:before="0" w:beforeAutospacing="0" w:after="0" w:afterAutospacing="0"/>
              <w:rPr>
                <w:rFonts w:hint="default"/>
              </w:rPr>
            </w:pPr>
            <w:r>
              <w:rPr>
                <w:rFonts w:hint="default"/>
              </w:rPr>
              <w:t>W1</w:t>
            </w:r>
          </w:p>
        </w:tc>
        <w:tc>
          <w:tcPr>
            <w:tcW w:w="724" w:type="pct"/>
            <w:vAlign w:val="center"/>
          </w:tcPr>
          <w:p w14:paraId="23CEA025">
            <w:pPr>
              <w:pStyle w:val="42"/>
              <w:keepNext w:val="0"/>
              <w:keepLines w:val="0"/>
              <w:suppressLineNumbers w:val="0"/>
              <w:bidi w:val="0"/>
              <w:spacing w:before="0" w:beforeAutospacing="0" w:after="0" w:afterAutospacing="0"/>
              <w:rPr>
                <w:rFonts w:hint="default"/>
              </w:rPr>
            </w:pPr>
            <w:r>
              <w:rPr>
                <w:rFonts w:hint="default"/>
              </w:rPr>
              <w:t>pH值</w:t>
            </w:r>
          </w:p>
        </w:tc>
        <w:tc>
          <w:tcPr>
            <w:tcW w:w="572" w:type="pct"/>
            <w:vAlign w:val="center"/>
          </w:tcPr>
          <w:p w14:paraId="0B6A7E08">
            <w:pPr>
              <w:pStyle w:val="42"/>
              <w:keepNext w:val="0"/>
              <w:keepLines w:val="0"/>
              <w:suppressLineNumbers w:val="0"/>
              <w:bidi w:val="0"/>
              <w:spacing w:before="0" w:beforeAutospacing="0" w:after="0" w:afterAutospacing="0"/>
              <w:rPr>
                <w:rFonts w:hint="default"/>
              </w:rPr>
            </w:pPr>
            <w:r>
              <w:rPr>
                <w:rFonts w:hint="default"/>
              </w:rPr>
              <w:t>7.54</w:t>
            </w:r>
          </w:p>
        </w:tc>
        <w:tc>
          <w:tcPr>
            <w:tcW w:w="572" w:type="pct"/>
            <w:vAlign w:val="center"/>
          </w:tcPr>
          <w:p w14:paraId="0DA7446B">
            <w:pPr>
              <w:pStyle w:val="42"/>
              <w:keepNext w:val="0"/>
              <w:keepLines w:val="0"/>
              <w:suppressLineNumbers w:val="0"/>
              <w:bidi w:val="0"/>
              <w:spacing w:before="0" w:beforeAutospacing="0" w:after="0" w:afterAutospacing="0"/>
              <w:rPr>
                <w:rFonts w:hint="default"/>
              </w:rPr>
            </w:pPr>
            <w:r>
              <w:rPr>
                <w:rFonts w:hint="default"/>
              </w:rPr>
              <w:t>7.82</w:t>
            </w:r>
          </w:p>
        </w:tc>
        <w:tc>
          <w:tcPr>
            <w:tcW w:w="572" w:type="pct"/>
            <w:vAlign w:val="center"/>
          </w:tcPr>
          <w:p w14:paraId="06E53FDC">
            <w:pPr>
              <w:pStyle w:val="42"/>
              <w:keepNext w:val="0"/>
              <w:keepLines w:val="0"/>
              <w:suppressLineNumbers w:val="0"/>
              <w:bidi w:val="0"/>
              <w:spacing w:before="0" w:beforeAutospacing="0" w:after="0" w:afterAutospacing="0"/>
              <w:rPr>
                <w:rFonts w:hint="default"/>
              </w:rPr>
            </w:pPr>
            <w:r>
              <w:rPr>
                <w:rFonts w:hint="default"/>
              </w:rPr>
              <w:t>7.66</w:t>
            </w:r>
          </w:p>
        </w:tc>
        <w:tc>
          <w:tcPr>
            <w:tcW w:w="491" w:type="pct"/>
            <w:vAlign w:val="center"/>
          </w:tcPr>
          <w:p w14:paraId="7B404249">
            <w:pPr>
              <w:pStyle w:val="42"/>
              <w:keepNext w:val="0"/>
              <w:keepLines w:val="0"/>
              <w:suppressLineNumbers w:val="0"/>
              <w:bidi w:val="0"/>
              <w:spacing w:before="0" w:beforeAutospacing="0" w:after="0" w:afterAutospacing="0"/>
              <w:rPr>
                <w:rFonts w:hint="default"/>
              </w:rPr>
            </w:pPr>
            <w:r>
              <w:rPr>
                <w:rFonts w:hint="default"/>
              </w:rPr>
              <w:t>6-9</w:t>
            </w:r>
          </w:p>
        </w:tc>
        <w:tc>
          <w:tcPr>
            <w:tcW w:w="599" w:type="pct"/>
            <w:vAlign w:val="center"/>
          </w:tcPr>
          <w:p w14:paraId="57C99384">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46E4D069">
            <w:pPr>
              <w:pStyle w:val="42"/>
              <w:keepNext w:val="0"/>
              <w:keepLines w:val="0"/>
              <w:suppressLineNumbers w:val="0"/>
              <w:bidi w:val="0"/>
              <w:spacing w:before="0" w:beforeAutospacing="0" w:after="0" w:afterAutospacing="0"/>
              <w:rPr>
                <w:rFonts w:hint="default"/>
              </w:rPr>
            </w:pPr>
            <w:r>
              <w:rPr>
                <w:rFonts w:hint="default"/>
              </w:rPr>
              <w:t>0</w:t>
            </w:r>
          </w:p>
        </w:tc>
      </w:tr>
      <w:tr w14:paraId="0B2260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0EC6135D">
            <w:pPr>
              <w:pStyle w:val="42"/>
              <w:keepNext w:val="0"/>
              <w:keepLines w:val="0"/>
              <w:suppressLineNumbers w:val="0"/>
              <w:bidi w:val="0"/>
              <w:spacing w:before="0" w:beforeAutospacing="0" w:after="0" w:afterAutospacing="0"/>
              <w:rPr>
                <w:rFonts w:hint="default"/>
              </w:rPr>
            </w:pPr>
          </w:p>
        </w:tc>
        <w:tc>
          <w:tcPr>
            <w:tcW w:w="724" w:type="pct"/>
            <w:vAlign w:val="center"/>
          </w:tcPr>
          <w:p w14:paraId="6C70A58E">
            <w:pPr>
              <w:pStyle w:val="42"/>
              <w:keepNext w:val="0"/>
              <w:keepLines w:val="0"/>
              <w:suppressLineNumbers w:val="0"/>
              <w:bidi w:val="0"/>
              <w:spacing w:before="0" w:beforeAutospacing="0" w:after="0" w:afterAutospacing="0"/>
              <w:rPr>
                <w:rFonts w:hint="default"/>
              </w:rPr>
            </w:pPr>
            <w:r>
              <w:rPr>
                <w:rFonts w:hint="default"/>
              </w:rPr>
              <w:t>SS</w:t>
            </w:r>
          </w:p>
        </w:tc>
        <w:tc>
          <w:tcPr>
            <w:tcW w:w="572" w:type="pct"/>
            <w:vAlign w:val="center"/>
          </w:tcPr>
          <w:p w14:paraId="1EB1864E">
            <w:pPr>
              <w:pStyle w:val="42"/>
              <w:keepNext w:val="0"/>
              <w:keepLines w:val="0"/>
              <w:suppressLineNumbers w:val="0"/>
              <w:bidi w:val="0"/>
              <w:spacing w:before="0" w:beforeAutospacing="0" w:after="0" w:afterAutospacing="0"/>
              <w:rPr>
                <w:rFonts w:hint="default"/>
              </w:rPr>
            </w:pPr>
            <w:r>
              <w:rPr>
                <w:rFonts w:hint="default"/>
              </w:rPr>
              <w:t>13</w:t>
            </w:r>
          </w:p>
        </w:tc>
        <w:tc>
          <w:tcPr>
            <w:tcW w:w="572" w:type="pct"/>
            <w:vAlign w:val="center"/>
          </w:tcPr>
          <w:p w14:paraId="05B2E77F">
            <w:pPr>
              <w:pStyle w:val="42"/>
              <w:keepNext w:val="0"/>
              <w:keepLines w:val="0"/>
              <w:suppressLineNumbers w:val="0"/>
              <w:bidi w:val="0"/>
              <w:spacing w:before="0" w:beforeAutospacing="0" w:after="0" w:afterAutospacing="0"/>
              <w:rPr>
                <w:rFonts w:hint="default"/>
              </w:rPr>
            </w:pPr>
            <w:r>
              <w:rPr>
                <w:rFonts w:hint="default"/>
              </w:rPr>
              <w:t>11</w:t>
            </w:r>
          </w:p>
        </w:tc>
        <w:tc>
          <w:tcPr>
            <w:tcW w:w="572" w:type="pct"/>
            <w:vAlign w:val="center"/>
          </w:tcPr>
          <w:p w14:paraId="1001BA2A">
            <w:pPr>
              <w:pStyle w:val="42"/>
              <w:keepNext w:val="0"/>
              <w:keepLines w:val="0"/>
              <w:suppressLineNumbers w:val="0"/>
              <w:bidi w:val="0"/>
              <w:spacing w:before="0" w:beforeAutospacing="0" w:after="0" w:afterAutospacing="0"/>
              <w:rPr>
                <w:rFonts w:hint="default"/>
              </w:rPr>
            </w:pPr>
            <w:r>
              <w:rPr>
                <w:rFonts w:hint="default"/>
              </w:rPr>
              <w:t>10</w:t>
            </w:r>
          </w:p>
        </w:tc>
        <w:tc>
          <w:tcPr>
            <w:tcW w:w="491" w:type="pct"/>
            <w:vAlign w:val="center"/>
          </w:tcPr>
          <w:p w14:paraId="2FBA0A67">
            <w:pPr>
              <w:pStyle w:val="42"/>
              <w:keepNext w:val="0"/>
              <w:keepLines w:val="0"/>
              <w:suppressLineNumbers w:val="0"/>
              <w:bidi w:val="0"/>
              <w:spacing w:before="0" w:beforeAutospacing="0" w:after="0" w:afterAutospacing="0"/>
              <w:rPr>
                <w:rFonts w:hint="default"/>
              </w:rPr>
            </w:pPr>
            <w:r>
              <w:rPr>
                <w:rFonts w:hint="default"/>
              </w:rPr>
              <w:t>/</w:t>
            </w:r>
          </w:p>
        </w:tc>
        <w:tc>
          <w:tcPr>
            <w:tcW w:w="599" w:type="pct"/>
            <w:vAlign w:val="center"/>
          </w:tcPr>
          <w:p w14:paraId="07261F74">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A2C278E">
            <w:pPr>
              <w:pStyle w:val="42"/>
              <w:keepNext w:val="0"/>
              <w:keepLines w:val="0"/>
              <w:suppressLineNumbers w:val="0"/>
              <w:bidi w:val="0"/>
              <w:spacing w:before="0" w:beforeAutospacing="0" w:after="0" w:afterAutospacing="0"/>
              <w:rPr>
                <w:rFonts w:hint="default"/>
              </w:rPr>
            </w:pPr>
            <w:r>
              <w:rPr>
                <w:rFonts w:hint="default"/>
              </w:rPr>
              <w:t>0</w:t>
            </w:r>
          </w:p>
        </w:tc>
      </w:tr>
      <w:tr w14:paraId="182A22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5E225701">
            <w:pPr>
              <w:pStyle w:val="42"/>
              <w:keepNext w:val="0"/>
              <w:keepLines w:val="0"/>
              <w:suppressLineNumbers w:val="0"/>
              <w:bidi w:val="0"/>
              <w:spacing w:before="0" w:beforeAutospacing="0" w:after="0" w:afterAutospacing="0"/>
              <w:rPr>
                <w:rFonts w:hint="default"/>
              </w:rPr>
            </w:pPr>
          </w:p>
        </w:tc>
        <w:tc>
          <w:tcPr>
            <w:tcW w:w="724" w:type="pct"/>
            <w:vAlign w:val="center"/>
          </w:tcPr>
          <w:p w14:paraId="0EAD0398">
            <w:pPr>
              <w:pStyle w:val="42"/>
              <w:keepNext w:val="0"/>
              <w:keepLines w:val="0"/>
              <w:suppressLineNumbers w:val="0"/>
              <w:bidi w:val="0"/>
              <w:spacing w:before="0" w:beforeAutospacing="0" w:after="0" w:afterAutospacing="0"/>
              <w:rPr>
                <w:rFonts w:hint="default"/>
              </w:rPr>
            </w:pPr>
            <w:r>
              <w:rPr>
                <w:rFonts w:hint="default"/>
              </w:rPr>
              <w:t>COD</w:t>
            </w:r>
          </w:p>
        </w:tc>
        <w:tc>
          <w:tcPr>
            <w:tcW w:w="572" w:type="pct"/>
            <w:vAlign w:val="center"/>
          </w:tcPr>
          <w:p w14:paraId="72822235">
            <w:pPr>
              <w:pStyle w:val="42"/>
              <w:keepNext w:val="0"/>
              <w:keepLines w:val="0"/>
              <w:suppressLineNumbers w:val="0"/>
              <w:bidi w:val="0"/>
              <w:spacing w:before="0" w:beforeAutospacing="0" w:after="0" w:afterAutospacing="0"/>
              <w:rPr>
                <w:rFonts w:hint="default"/>
              </w:rPr>
            </w:pPr>
            <w:r>
              <w:rPr>
                <w:rFonts w:hint="default"/>
              </w:rPr>
              <w:t>9</w:t>
            </w:r>
          </w:p>
        </w:tc>
        <w:tc>
          <w:tcPr>
            <w:tcW w:w="572" w:type="pct"/>
            <w:vAlign w:val="center"/>
          </w:tcPr>
          <w:p w14:paraId="714EE1A5">
            <w:pPr>
              <w:pStyle w:val="42"/>
              <w:keepNext w:val="0"/>
              <w:keepLines w:val="0"/>
              <w:suppressLineNumbers w:val="0"/>
              <w:bidi w:val="0"/>
              <w:spacing w:before="0" w:beforeAutospacing="0" w:after="0" w:afterAutospacing="0"/>
              <w:rPr>
                <w:rFonts w:hint="default"/>
              </w:rPr>
            </w:pPr>
            <w:r>
              <w:rPr>
                <w:rFonts w:hint="default"/>
              </w:rPr>
              <w:t>11</w:t>
            </w:r>
          </w:p>
        </w:tc>
        <w:tc>
          <w:tcPr>
            <w:tcW w:w="572" w:type="pct"/>
            <w:vAlign w:val="center"/>
          </w:tcPr>
          <w:p w14:paraId="291DC1C6">
            <w:pPr>
              <w:pStyle w:val="42"/>
              <w:keepNext w:val="0"/>
              <w:keepLines w:val="0"/>
              <w:suppressLineNumbers w:val="0"/>
              <w:bidi w:val="0"/>
              <w:spacing w:before="0" w:beforeAutospacing="0" w:after="0" w:afterAutospacing="0"/>
              <w:rPr>
                <w:rFonts w:hint="default"/>
              </w:rPr>
            </w:pPr>
            <w:r>
              <w:rPr>
                <w:rFonts w:hint="default"/>
              </w:rPr>
              <w:t>10</w:t>
            </w:r>
          </w:p>
        </w:tc>
        <w:tc>
          <w:tcPr>
            <w:tcW w:w="491" w:type="pct"/>
            <w:vAlign w:val="center"/>
          </w:tcPr>
          <w:p w14:paraId="65D3646A">
            <w:pPr>
              <w:pStyle w:val="42"/>
              <w:keepNext w:val="0"/>
              <w:keepLines w:val="0"/>
              <w:suppressLineNumbers w:val="0"/>
              <w:bidi w:val="0"/>
              <w:spacing w:before="0" w:beforeAutospacing="0" w:after="0" w:afterAutospacing="0"/>
              <w:rPr>
                <w:rFonts w:hint="default"/>
              </w:rPr>
            </w:pPr>
            <w:r>
              <w:rPr>
                <w:rFonts w:hint="default"/>
              </w:rPr>
              <w:t>20</w:t>
            </w:r>
          </w:p>
        </w:tc>
        <w:tc>
          <w:tcPr>
            <w:tcW w:w="599" w:type="pct"/>
            <w:vAlign w:val="center"/>
          </w:tcPr>
          <w:p w14:paraId="0FE36FA8">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31824D7">
            <w:pPr>
              <w:pStyle w:val="42"/>
              <w:keepNext w:val="0"/>
              <w:keepLines w:val="0"/>
              <w:suppressLineNumbers w:val="0"/>
              <w:bidi w:val="0"/>
              <w:spacing w:before="0" w:beforeAutospacing="0" w:after="0" w:afterAutospacing="0"/>
              <w:rPr>
                <w:rFonts w:hint="default"/>
              </w:rPr>
            </w:pPr>
            <w:r>
              <w:rPr>
                <w:rFonts w:hint="default"/>
              </w:rPr>
              <w:t>0</w:t>
            </w:r>
          </w:p>
        </w:tc>
      </w:tr>
      <w:tr w14:paraId="4BD1BA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0CF23C9C">
            <w:pPr>
              <w:pStyle w:val="42"/>
              <w:keepNext w:val="0"/>
              <w:keepLines w:val="0"/>
              <w:suppressLineNumbers w:val="0"/>
              <w:bidi w:val="0"/>
              <w:spacing w:before="0" w:beforeAutospacing="0" w:after="0" w:afterAutospacing="0"/>
              <w:rPr>
                <w:rFonts w:hint="default"/>
              </w:rPr>
            </w:pPr>
          </w:p>
        </w:tc>
        <w:tc>
          <w:tcPr>
            <w:tcW w:w="724" w:type="pct"/>
            <w:vAlign w:val="center"/>
          </w:tcPr>
          <w:p w14:paraId="7E40D174">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BOD</w:t>
            </w:r>
            <w:r>
              <w:rPr>
                <w:rFonts w:hint="eastAsia"/>
                <w:vertAlign w:val="subscript"/>
                <w:lang w:eastAsia="zh-CN"/>
              </w:rPr>
              <w:t>5</w:t>
            </w:r>
          </w:p>
        </w:tc>
        <w:tc>
          <w:tcPr>
            <w:tcW w:w="572" w:type="pct"/>
            <w:vAlign w:val="center"/>
          </w:tcPr>
          <w:p w14:paraId="4EE7A221">
            <w:pPr>
              <w:pStyle w:val="42"/>
              <w:keepNext w:val="0"/>
              <w:keepLines w:val="0"/>
              <w:suppressLineNumbers w:val="0"/>
              <w:bidi w:val="0"/>
              <w:spacing w:before="0" w:beforeAutospacing="0" w:after="0" w:afterAutospacing="0"/>
              <w:rPr>
                <w:rFonts w:hint="default"/>
              </w:rPr>
            </w:pPr>
            <w:r>
              <w:rPr>
                <w:rFonts w:hint="default"/>
              </w:rPr>
              <w:t>2.3</w:t>
            </w:r>
          </w:p>
        </w:tc>
        <w:tc>
          <w:tcPr>
            <w:tcW w:w="572" w:type="pct"/>
            <w:vAlign w:val="center"/>
          </w:tcPr>
          <w:p w14:paraId="5DED3BEC">
            <w:pPr>
              <w:pStyle w:val="42"/>
              <w:keepNext w:val="0"/>
              <w:keepLines w:val="0"/>
              <w:suppressLineNumbers w:val="0"/>
              <w:bidi w:val="0"/>
              <w:spacing w:before="0" w:beforeAutospacing="0" w:after="0" w:afterAutospacing="0"/>
              <w:rPr>
                <w:rFonts w:hint="default"/>
              </w:rPr>
            </w:pPr>
            <w:r>
              <w:rPr>
                <w:rFonts w:hint="default"/>
              </w:rPr>
              <w:t>2.9</w:t>
            </w:r>
          </w:p>
        </w:tc>
        <w:tc>
          <w:tcPr>
            <w:tcW w:w="572" w:type="pct"/>
            <w:vAlign w:val="center"/>
          </w:tcPr>
          <w:p w14:paraId="16BAC75C">
            <w:pPr>
              <w:pStyle w:val="42"/>
              <w:keepNext w:val="0"/>
              <w:keepLines w:val="0"/>
              <w:suppressLineNumbers w:val="0"/>
              <w:bidi w:val="0"/>
              <w:spacing w:before="0" w:beforeAutospacing="0" w:after="0" w:afterAutospacing="0"/>
              <w:rPr>
                <w:rFonts w:hint="default"/>
              </w:rPr>
            </w:pPr>
            <w:r>
              <w:rPr>
                <w:rFonts w:hint="default"/>
              </w:rPr>
              <w:t>2.8</w:t>
            </w:r>
          </w:p>
        </w:tc>
        <w:tc>
          <w:tcPr>
            <w:tcW w:w="491" w:type="pct"/>
            <w:vAlign w:val="center"/>
          </w:tcPr>
          <w:p w14:paraId="587AAF75">
            <w:pPr>
              <w:pStyle w:val="42"/>
              <w:keepNext w:val="0"/>
              <w:keepLines w:val="0"/>
              <w:suppressLineNumbers w:val="0"/>
              <w:bidi w:val="0"/>
              <w:spacing w:before="0" w:beforeAutospacing="0" w:after="0" w:afterAutospacing="0"/>
              <w:rPr>
                <w:rFonts w:hint="default"/>
              </w:rPr>
            </w:pPr>
            <w:r>
              <w:rPr>
                <w:rFonts w:hint="default"/>
              </w:rPr>
              <w:t>4</w:t>
            </w:r>
          </w:p>
        </w:tc>
        <w:tc>
          <w:tcPr>
            <w:tcW w:w="599" w:type="pct"/>
            <w:vAlign w:val="center"/>
          </w:tcPr>
          <w:p w14:paraId="1807E12C">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66E9C27D">
            <w:pPr>
              <w:pStyle w:val="42"/>
              <w:keepNext w:val="0"/>
              <w:keepLines w:val="0"/>
              <w:suppressLineNumbers w:val="0"/>
              <w:bidi w:val="0"/>
              <w:spacing w:before="0" w:beforeAutospacing="0" w:after="0" w:afterAutospacing="0"/>
              <w:rPr>
                <w:rFonts w:hint="default"/>
              </w:rPr>
            </w:pPr>
            <w:r>
              <w:rPr>
                <w:rFonts w:hint="default"/>
              </w:rPr>
              <w:t>0</w:t>
            </w:r>
          </w:p>
        </w:tc>
      </w:tr>
      <w:tr w14:paraId="671400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1AF2F119">
            <w:pPr>
              <w:pStyle w:val="42"/>
              <w:keepNext w:val="0"/>
              <w:keepLines w:val="0"/>
              <w:suppressLineNumbers w:val="0"/>
              <w:bidi w:val="0"/>
              <w:spacing w:before="0" w:beforeAutospacing="0" w:after="0" w:afterAutospacing="0"/>
              <w:rPr>
                <w:rFonts w:hint="default"/>
              </w:rPr>
            </w:pPr>
          </w:p>
        </w:tc>
        <w:tc>
          <w:tcPr>
            <w:tcW w:w="724" w:type="pct"/>
            <w:vAlign w:val="center"/>
          </w:tcPr>
          <w:p w14:paraId="05C017E4">
            <w:pPr>
              <w:pStyle w:val="42"/>
              <w:keepNext w:val="0"/>
              <w:keepLines w:val="0"/>
              <w:suppressLineNumbers w:val="0"/>
              <w:bidi w:val="0"/>
              <w:spacing w:before="0" w:beforeAutospacing="0" w:after="0" w:afterAutospacing="0"/>
              <w:rPr>
                <w:rFonts w:hint="default"/>
              </w:rPr>
            </w:pPr>
            <w:r>
              <w:rPr>
                <w:rFonts w:hint="default"/>
              </w:rPr>
              <w:t>氨氮</w:t>
            </w:r>
          </w:p>
        </w:tc>
        <w:tc>
          <w:tcPr>
            <w:tcW w:w="572" w:type="pct"/>
            <w:vAlign w:val="center"/>
          </w:tcPr>
          <w:p w14:paraId="28975CA8">
            <w:pPr>
              <w:pStyle w:val="42"/>
              <w:keepNext w:val="0"/>
              <w:keepLines w:val="0"/>
              <w:suppressLineNumbers w:val="0"/>
              <w:bidi w:val="0"/>
              <w:spacing w:before="0" w:beforeAutospacing="0" w:after="0" w:afterAutospacing="0"/>
              <w:rPr>
                <w:rFonts w:hint="default"/>
              </w:rPr>
            </w:pPr>
            <w:r>
              <w:rPr>
                <w:rFonts w:hint="default"/>
              </w:rPr>
              <w:t>0.067</w:t>
            </w:r>
          </w:p>
        </w:tc>
        <w:tc>
          <w:tcPr>
            <w:tcW w:w="572" w:type="pct"/>
            <w:vAlign w:val="center"/>
          </w:tcPr>
          <w:p w14:paraId="59D35AF0">
            <w:pPr>
              <w:pStyle w:val="42"/>
              <w:keepNext w:val="0"/>
              <w:keepLines w:val="0"/>
              <w:suppressLineNumbers w:val="0"/>
              <w:bidi w:val="0"/>
              <w:spacing w:before="0" w:beforeAutospacing="0" w:after="0" w:afterAutospacing="0"/>
              <w:rPr>
                <w:rFonts w:hint="default"/>
              </w:rPr>
            </w:pPr>
            <w:r>
              <w:rPr>
                <w:rFonts w:hint="default"/>
              </w:rPr>
              <w:t>0.073</w:t>
            </w:r>
          </w:p>
        </w:tc>
        <w:tc>
          <w:tcPr>
            <w:tcW w:w="572" w:type="pct"/>
            <w:vAlign w:val="center"/>
          </w:tcPr>
          <w:p w14:paraId="44A2B8EE">
            <w:pPr>
              <w:pStyle w:val="42"/>
              <w:keepNext w:val="0"/>
              <w:keepLines w:val="0"/>
              <w:suppressLineNumbers w:val="0"/>
              <w:bidi w:val="0"/>
              <w:spacing w:before="0" w:beforeAutospacing="0" w:after="0" w:afterAutospacing="0"/>
              <w:rPr>
                <w:rFonts w:hint="default"/>
              </w:rPr>
            </w:pPr>
            <w:r>
              <w:rPr>
                <w:rFonts w:hint="default"/>
              </w:rPr>
              <w:t>0.076</w:t>
            </w:r>
          </w:p>
        </w:tc>
        <w:tc>
          <w:tcPr>
            <w:tcW w:w="491" w:type="pct"/>
            <w:vAlign w:val="center"/>
          </w:tcPr>
          <w:p w14:paraId="7FD7BE10">
            <w:pPr>
              <w:pStyle w:val="42"/>
              <w:keepNext w:val="0"/>
              <w:keepLines w:val="0"/>
              <w:suppressLineNumbers w:val="0"/>
              <w:bidi w:val="0"/>
              <w:spacing w:before="0" w:beforeAutospacing="0" w:after="0" w:afterAutospacing="0"/>
              <w:rPr>
                <w:rFonts w:hint="default"/>
              </w:rPr>
            </w:pPr>
            <w:r>
              <w:rPr>
                <w:rFonts w:hint="default"/>
              </w:rPr>
              <w:t>1.0</w:t>
            </w:r>
          </w:p>
        </w:tc>
        <w:tc>
          <w:tcPr>
            <w:tcW w:w="599" w:type="pct"/>
            <w:vAlign w:val="center"/>
          </w:tcPr>
          <w:p w14:paraId="5846D02E">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6DB64619">
            <w:pPr>
              <w:pStyle w:val="42"/>
              <w:keepNext w:val="0"/>
              <w:keepLines w:val="0"/>
              <w:suppressLineNumbers w:val="0"/>
              <w:bidi w:val="0"/>
              <w:spacing w:before="0" w:beforeAutospacing="0" w:after="0" w:afterAutospacing="0"/>
              <w:rPr>
                <w:rFonts w:hint="default"/>
              </w:rPr>
            </w:pPr>
            <w:r>
              <w:rPr>
                <w:rFonts w:hint="default"/>
              </w:rPr>
              <w:t>0</w:t>
            </w:r>
          </w:p>
        </w:tc>
      </w:tr>
      <w:tr w14:paraId="011A24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3E4A2596">
            <w:pPr>
              <w:pStyle w:val="42"/>
              <w:keepNext w:val="0"/>
              <w:keepLines w:val="0"/>
              <w:suppressLineNumbers w:val="0"/>
              <w:bidi w:val="0"/>
              <w:spacing w:before="0" w:beforeAutospacing="0" w:after="0" w:afterAutospacing="0"/>
              <w:rPr>
                <w:rFonts w:hint="default"/>
              </w:rPr>
            </w:pPr>
          </w:p>
        </w:tc>
        <w:tc>
          <w:tcPr>
            <w:tcW w:w="724" w:type="pct"/>
            <w:vAlign w:val="center"/>
          </w:tcPr>
          <w:p w14:paraId="3F12740D">
            <w:pPr>
              <w:pStyle w:val="42"/>
              <w:keepNext w:val="0"/>
              <w:keepLines w:val="0"/>
              <w:suppressLineNumbers w:val="0"/>
              <w:bidi w:val="0"/>
              <w:spacing w:before="0" w:beforeAutospacing="0" w:after="0" w:afterAutospacing="0"/>
              <w:rPr>
                <w:rFonts w:hint="default"/>
              </w:rPr>
            </w:pPr>
            <w:r>
              <w:rPr>
                <w:rFonts w:hint="default"/>
              </w:rPr>
              <w:t>总磷</w:t>
            </w:r>
          </w:p>
        </w:tc>
        <w:tc>
          <w:tcPr>
            <w:tcW w:w="572" w:type="pct"/>
            <w:vAlign w:val="center"/>
          </w:tcPr>
          <w:p w14:paraId="5C9A7845">
            <w:pPr>
              <w:pStyle w:val="42"/>
              <w:keepNext w:val="0"/>
              <w:keepLines w:val="0"/>
              <w:suppressLineNumbers w:val="0"/>
              <w:bidi w:val="0"/>
              <w:spacing w:before="0" w:beforeAutospacing="0" w:after="0" w:afterAutospacing="0"/>
              <w:rPr>
                <w:rFonts w:hint="default"/>
              </w:rPr>
            </w:pPr>
            <w:r>
              <w:rPr>
                <w:rFonts w:hint="default"/>
              </w:rPr>
              <w:t>0.04</w:t>
            </w:r>
          </w:p>
        </w:tc>
        <w:tc>
          <w:tcPr>
            <w:tcW w:w="572" w:type="pct"/>
            <w:vAlign w:val="center"/>
          </w:tcPr>
          <w:p w14:paraId="765A75D3">
            <w:pPr>
              <w:pStyle w:val="42"/>
              <w:keepNext w:val="0"/>
              <w:keepLines w:val="0"/>
              <w:suppressLineNumbers w:val="0"/>
              <w:bidi w:val="0"/>
              <w:spacing w:before="0" w:beforeAutospacing="0" w:after="0" w:afterAutospacing="0"/>
              <w:rPr>
                <w:rFonts w:hint="default"/>
              </w:rPr>
            </w:pPr>
            <w:r>
              <w:rPr>
                <w:rFonts w:hint="default"/>
              </w:rPr>
              <w:t>0.05</w:t>
            </w:r>
          </w:p>
        </w:tc>
        <w:tc>
          <w:tcPr>
            <w:tcW w:w="572" w:type="pct"/>
            <w:vAlign w:val="center"/>
          </w:tcPr>
          <w:p w14:paraId="21069D22">
            <w:pPr>
              <w:pStyle w:val="42"/>
              <w:keepNext w:val="0"/>
              <w:keepLines w:val="0"/>
              <w:suppressLineNumbers w:val="0"/>
              <w:bidi w:val="0"/>
              <w:spacing w:before="0" w:beforeAutospacing="0" w:after="0" w:afterAutospacing="0"/>
              <w:rPr>
                <w:rFonts w:hint="default"/>
              </w:rPr>
            </w:pPr>
            <w:r>
              <w:rPr>
                <w:rFonts w:hint="default"/>
              </w:rPr>
              <w:t>0.04</w:t>
            </w:r>
          </w:p>
        </w:tc>
        <w:tc>
          <w:tcPr>
            <w:tcW w:w="491" w:type="pct"/>
            <w:vAlign w:val="center"/>
          </w:tcPr>
          <w:p w14:paraId="32C81D7A">
            <w:pPr>
              <w:pStyle w:val="42"/>
              <w:keepNext w:val="0"/>
              <w:keepLines w:val="0"/>
              <w:suppressLineNumbers w:val="0"/>
              <w:bidi w:val="0"/>
              <w:spacing w:before="0" w:beforeAutospacing="0" w:after="0" w:afterAutospacing="0"/>
              <w:rPr>
                <w:rFonts w:hint="default"/>
              </w:rPr>
            </w:pPr>
            <w:r>
              <w:rPr>
                <w:rFonts w:hint="default"/>
              </w:rPr>
              <w:t>0.2</w:t>
            </w:r>
          </w:p>
        </w:tc>
        <w:tc>
          <w:tcPr>
            <w:tcW w:w="599" w:type="pct"/>
            <w:vAlign w:val="center"/>
          </w:tcPr>
          <w:p w14:paraId="4D8F7861">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02727657">
            <w:pPr>
              <w:pStyle w:val="42"/>
              <w:keepNext w:val="0"/>
              <w:keepLines w:val="0"/>
              <w:suppressLineNumbers w:val="0"/>
              <w:bidi w:val="0"/>
              <w:spacing w:before="0" w:beforeAutospacing="0" w:after="0" w:afterAutospacing="0"/>
              <w:rPr>
                <w:rFonts w:hint="default"/>
              </w:rPr>
            </w:pPr>
            <w:r>
              <w:rPr>
                <w:rFonts w:hint="default"/>
              </w:rPr>
              <w:t>0</w:t>
            </w:r>
          </w:p>
        </w:tc>
      </w:tr>
      <w:tr w14:paraId="36C75D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446272D2">
            <w:pPr>
              <w:pStyle w:val="42"/>
              <w:keepNext w:val="0"/>
              <w:keepLines w:val="0"/>
              <w:suppressLineNumbers w:val="0"/>
              <w:bidi w:val="0"/>
              <w:spacing w:before="0" w:beforeAutospacing="0" w:after="0" w:afterAutospacing="0"/>
              <w:rPr>
                <w:rFonts w:hint="default"/>
              </w:rPr>
            </w:pPr>
          </w:p>
        </w:tc>
        <w:tc>
          <w:tcPr>
            <w:tcW w:w="724" w:type="pct"/>
            <w:vAlign w:val="center"/>
          </w:tcPr>
          <w:p w14:paraId="600202B1">
            <w:pPr>
              <w:pStyle w:val="42"/>
              <w:keepNext w:val="0"/>
              <w:keepLines w:val="0"/>
              <w:suppressLineNumbers w:val="0"/>
              <w:bidi w:val="0"/>
              <w:spacing w:before="0" w:beforeAutospacing="0" w:after="0" w:afterAutospacing="0"/>
              <w:rPr>
                <w:rFonts w:hint="default"/>
              </w:rPr>
            </w:pPr>
            <w:r>
              <w:rPr>
                <w:rFonts w:hint="default"/>
              </w:rPr>
              <w:t>石油类</w:t>
            </w:r>
          </w:p>
        </w:tc>
        <w:tc>
          <w:tcPr>
            <w:tcW w:w="572" w:type="pct"/>
            <w:vAlign w:val="center"/>
          </w:tcPr>
          <w:p w14:paraId="692F5FFA">
            <w:pPr>
              <w:pStyle w:val="42"/>
              <w:keepNext w:val="0"/>
              <w:keepLines w:val="0"/>
              <w:suppressLineNumbers w:val="0"/>
              <w:bidi w:val="0"/>
              <w:spacing w:before="0" w:beforeAutospacing="0" w:after="0" w:afterAutospacing="0"/>
              <w:rPr>
                <w:rFonts w:hint="default"/>
              </w:rPr>
            </w:pPr>
            <w:r>
              <w:rPr>
                <w:rFonts w:hint="default"/>
              </w:rPr>
              <w:t>0.04</w:t>
            </w:r>
          </w:p>
        </w:tc>
        <w:tc>
          <w:tcPr>
            <w:tcW w:w="572" w:type="pct"/>
            <w:vAlign w:val="center"/>
          </w:tcPr>
          <w:p w14:paraId="0FDB4270">
            <w:pPr>
              <w:pStyle w:val="42"/>
              <w:keepNext w:val="0"/>
              <w:keepLines w:val="0"/>
              <w:suppressLineNumbers w:val="0"/>
              <w:bidi w:val="0"/>
              <w:spacing w:before="0" w:beforeAutospacing="0" w:after="0" w:afterAutospacing="0"/>
              <w:rPr>
                <w:rFonts w:hint="default"/>
              </w:rPr>
            </w:pPr>
            <w:r>
              <w:rPr>
                <w:rFonts w:hint="default"/>
              </w:rPr>
              <w:t>0.03</w:t>
            </w:r>
          </w:p>
        </w:tc>
        <w:tc>
          <w:tcPr>
            <w:tcW w:w="572" w:type="pct"/>
            <w:vAlign w:val="center"/>
          </w:tcPr>
          <w:p w14:paraId="0342B77E">
            <w:pPr>
              <w:pStyle w:val="42"/>
              <w:keepNext w:val="0"/>
              <w:keepLines w:val="0"/>
              <w:suppressLineNumbers w:val="0"/>
              <w:bidi w:val="0"/>
              <w:spacing w:before="0" w:beforeAutospacing="0" w:after="0" w:afterAutospacing="0"/>
              <w:rPr>
                <w:rFonts w:hint="default"/>
              </w:rPr>
            </w:pPr>
            <w:r>
              <w:rPr>
                <w:rFonts w:hint="default"/>
              </w:rPr>
              <w:t>0.02</w:t>
            </w:r>
          </w:p>
        </w:tc>
        <w:tc>
          <w:tcPr>
            <w:tcW w:w="491" w:type="pct"/>
            <w:vAlign w:val="center"/>
          </w:tcPr>
          <w:p w14:paraId="7E3E3D28">
            <w:pPr>
              <w:pStyle w:val="42"/>
              <w:keepNext w:val="0"/>
              <w:keepLines w:val="0"/>
              <w:suppressLineNumbers w:val="0"/>
              <w:bidi w:val="0"/>
              <w:spacing w:before="0" w:beforeAutospacing="0" w:after="0" w:afterAutospacing="0"/>
              <w:rPr>
                <w:rFonts w:hint="default"/>
              </w:rPr>
            </w:pPr>
            <w:r>
              <w:rPr>
                <w:rFonts w:hint="default"/>
              </w:rPr>
              <w:t>0.05</w:t>
            </w:r>
          </w:p>
        </w:tc>
        <w:tc>
          <w:tcPr>
            <w:tcW w:w="599" w:type="pct"/>
            <w:vAlign w:val="center"/>
          </w:tcPr>
          <w:p w14:paraId="70841461">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72B4611E">
            <w:pPr>
              <w:pStyle w:val="42"/>
              <w:keepNext w:val="0"/>
              <w:keepLines w:val="0"/>
              <w:suppressLineNumbers w:val="0"/>
              <w:bidi w:val="0"/>
              <w:spacing w:before="0" w:beforeAutospacing="0" w:after="0" w:afterAutospacing="0"/>
              <w:rPr>
                <w:rFonts w:hint="default"/>
              </w:rPr>
            </w:pPr>
            <w:r>
              <w:rPr>
                <w:rFonts w:hint="default"/>
              </w:rPr>
              <w:t>0</w:t>
            </w:r>
          </w:p>
        </w:tc>
      </w:tr>
      <w:tr w14:paraId="0FBDD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blHeader/>
          <w:jc w:val="center"/>
        </w:trPr>
        <w:tc>
          <w:tcPr>
            <w:tcW w:w="470" w:type="pct"/>
            <w:vMerge w:val="restart"/>
            <w:vAlign w:val="center"/>
          </w:tcPr>
          <w:p w14:paraId="16283A23">
            <w:pPr>
              <w:pStyle w:val="42"/>
              <w:keepNext w:val="0"/>
              <w:keepLines w:val="0"/>
              <w:suppressLineNumbers w:val="0"/>
              <w:bidi w:val="0"/>
              <w:spacing w:before="0" w:beforeAutospacing="0" w:after="0" w:afterAutospacing="0"/>
              <w:rPr>
                <w:rFonts w:hint="default"/>
              </w:rPr>
            </w:pPr>
            <w:r>
              <w:rPr>
                <w:rFonts w:hint="default"/>
              </w:rPr>
              <w:t>W2</w:t>
            </w:r>
          </w:p>
        </w:tc>
        <w:tc>
          <w:tcPr>
            <w:tcW w:w="724" w:type="pct"/>
            <w:vAlign w:val="center"/>
          </w:tcPr>
          <w:p w14:paraId="4405CEDE">
            <w:pPr>
              <w:pStyle w:val="42"/>
              <w:keepNext w:val="0"/>
              <w:keepLines w:val="0"/>
              <w:suppressLineNumbers w:val="0"/>
              <w:bidi w:val="0"/>
              <w:spacing w:before="0" w:beforeAutospacing="0" w:after="0" w:afterAutospacing="0"/>
              <w:rPr>
                <w:rFonts w:hint="default"/>
              </w:rPr>
            </w:pPr>
            <w:r>
              <w:rPr>
                <w:rFonts w:hint="default"/>
              </w:rPr>
              <w:t>pH值</w:t>
            </w:r>
          </w:p>
        </w:tc>
        <w:tc>
          <w:tcPr>
            <w:tcW w:w="572" w:type="pct"/>
            <w:vAlign w:val="center"/>
          </w:tcPr>
          <w:p w14:paraId="2873A50C">
            <w:pPr>
              <w:pStyle w:val="42"/>
              <w:keepNext w:val="0"/>
              <w:keepLines w:val="0"/>
              <w:suppressLineNumbers w:val="0"/>
              <w:bidi w:val="0"/>
              <w:spacing w:before="0" w:beforeAutospacing="0" w:after="0" w:afterAutospacing="0"/>
              <w:rPr>
                <w:rFonts w:hint="default"/>
              </w:rPr>
            </w:pPr>
            <w:r>
              <w:rPr>
                <w:rFonts w:hint="default"/>
              </w:rPr>
              <w:t>7.16</w:t>
            </w:r>
          </w:p>
        </w:tc>
        <w:tc>
          <w:tcPr>
            <w:tcW w:w="572" w:type="pct"/>
            <w:vAlign w:val="center"/>
          </w:tcPr>
          <w:p w14:paraId="253DF8C6">
            <w:pPr>
              <w:pStyle w:val="42"/>
              <w:keepNext w:val="0"/>
              <w:keepLines w:val="0"/>
              <w:suppressLineNumbers w:val="0"/>
              <w:bidi w:val="0"/>
              <w:spacing w:before="0" w:beforeAutospacing="0" w:after="0" w:afterAutospacing="0"/>
              <w:rPr>
                <w:rFonts w:hint="default"/>
              </w:rPr>
            </w:pPr>
            <w:r>
              <w:rPr>
                <w:rFonts w:hint="default"/>
              </w:rPr>
              <w:t>7.79</w:t>
            </w:r>
          </w:p>
        </w:tc>
        <w:tc>
          <w:tcPr>
            <w:tcW w:w="572" w:type="pct"/>
            <w:vAlign w:val="center"/>
          </w:tcPr>
          <w:p w14:paraId="20B0224F">
            <w:pPr>
              <w:pStyle w:val="42"/>
              <w:keepNext w:val="0"/>
              <w:keepLines w:val="0"/>
              <w:suppressLineNumbers w:val="0"/>
              <w:bidi w:val="0"/>
              <w:spacing w:before="0" w:beforeAutospacing="0" w:after="0" w:afterAutospacing="0"/>
              <w:rPr>
                <w:rFonts w:hint="default"/>
              </w:rPr>
            </w:pPr>
            <w:r>
              <w:rPr>
                <w:rFonts w:hint="default"/>
              </w:rPr>
              <w:t>7.91</w:t>
            </w:r>
          </w:p>
        </w:tc>
        <w:tc>
          <w:tcPr>
            <w:tcW w:w="491" w:type="pct"/>
            <w:vAlign w:val="center"/>
          </w:tcPr>
          <w:p w14:paraId="1BC6D81E">
            <w:pPr>
              <w:pStyle w:val="42"/>
              <w:keepNext w:val="0"/>
              <w:keepLines w:val="0"/>
              <w:suppressLineNumbers w:val="0"/>
              <w:bidi w:val="0"/>
              <w:spacing w:before="0" w:beforeAutospacing="0" w:after="0" w:afterAutospacing="0"/>
              <w:rPr>
                <w:rFonts w:hint="default"/>
              </w:rPr>
            </w:pPr>
            <w:r>
              <w:rPr>
                <w:rFonts w:hint="default"/>
              </w:rPr>
              <w:t>6-9</w:t>
            </w:r>
          </w:p>
        </w:tc>
        <w:tc>
          <w:tcPr>
            <w:tcW w:w="599" w:type="pct"/>
            <w:vAlign w:val="center"/>
          </w:tcPr>
          <w:p w14:paraId="20D2A332">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9FD7AA1">
            <w:pPr>
              <w:pStyle w:val="42"/>
              <w:keepNext w:val="0"/>
              <w:keepLines w:val="0"/>
              <w:suppressLineNumbers w:val="0"/>
              <w:bidi w:val="0"/>
              <w:spacing w:before="0" w:beforeAutospacing="0" w:after="0" w:afterAutospacing="0"/>
              <w:rPr>
                <w:rFonts w:hint="default"/>
              </w:rPr>
            </w:pPr>
            <w:r>
              <w:rPr>
                <w:rFonts w:hint="default"/>
              </w:rPr>
              <w:t>0</w:t>
            </w:r>
          </w:p>
        </w:tc>
      </w:tr>
      <w:tr w14:paraId="7D0C22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6" w:hRule="atLeast"/>
          <w:tblHeader/>
          <w:jc w:val="center"/>
        </w:trPr>
        <w:tc>
          <w:tcPr>
            <w:tcW w:w="470" w:type="pct"/>
            <w:vMerge w:val="continue"/>
            <w:vAlign w:val="center"/>
          </w:tcPr>
          <w:p w14:paraId="6DCAA57B">
            <w:pPr>
              <w:pStyle w:val="42"/>
              <w:keepNext w:val="0"/>
              <w:keepLines w:val="0"/>
              <w:suppressLineNumbers w:val="0"/>
              <w:bidi w:val="0"/>
              <w:spacing w:before="0" w:beforeAutospacing="0" w:after="0" w:afterAutospacing="0"/>
              <w:rPr>
                <w:rFonts w:hint="default"/>
              </w:rPr>
            </w:pPr>
          </w:p>
        </w:tc>
        <w:tc>
          <w:tcPr>
            <w:tcW w:w="724" w:type="pct"/>
            <w:vAlign w:val="center"/>
          </w:tcPr>
          <w:p w14:paraId="386EF16A">
            <w:pPr>
              <w:pStyle w:val="42"/>
              <w:keepNext w:val="0"/>
              <w:keepLines w:val="0"/>
              <w:suppressLineNumbers w:val="0"/>
              <w:bidi w:val="0"/>
              <w:spacing w:before="0" w:beforeAutospacing="0" w:after="0" w:afterAutospacing="0"/>
              <w:rPr>
                <w:rFonts w:hint="default"/>
              </w:rPr>
            </w:pPr>
            <w:r>
              <w:rPr>
                <w:rFonts w:hint="default"/>
              </w:rPr>
              <w:t>SS</w:t>
            </w:r>
          </w:p>
        </w:tc>
        <w:tc>
          <w:tcPr>
            <w:tcW w:w="572" w:type="pct"/>
            <w:vAlign w:val="center"/>
          </w:tcPr>
          <w:p w14:paraId="70254F02">
            <w:pPr>
              <w:pStyle w:val="42"/>
              <w:keepNext w:val="0"/>
              <w:keepLines w:val="0"/>
              <w:suppressLineNumbers w:val="0"/>
              <w:bidi w:val="0"/>
              <w:spacing w:before="0" w:beforeAutospacing="0" w:after="0" w:afterAutospacing="0"/>
              <w:rPr>
                <w:rFonts w:hint="default"/>
              </w:rPr>
            </w:pPr>
            <w:r>
              <w:rPr>
                <w:rFonts w:hint="default"/>
              </w:rPr>
              <w:t>15</w:t>
            </w:r>
          </w:p>
        </w:tc>
        <w:tc>
          <w:tcPr>
            <w:tcW w:w="572" w:type="pct"/>
            <w:vAlign w:val="center"/>
          </w:tcPr>
          <w:p w14:paraId="4BE9F99D">
            <w:pPr>
              <w:pStyle w:val="42"/>
              <w:keepNext w:val="0"/>
              <w:keepLines w:val="0"/>
              <w:suppressLineNumbers w:val="0"/>
              <w:bidi w:val="0"/>
              <w:spacing w:before="0" w:beforeAutospacing="0" w:after="0" w:afterAutospacing="0"/>
              <w:rPr>
                <w:rFonts w:hint="default"/>
              </w:rPr>
            </w:pPr>
            <w:r>
              <w:rPr>
                <w:rFonts w:hint="default"/>
              </w:rPr>
              <w:t>16</w:t>
            </w:r>
          </w:p>
        </w:tc>
        <w:tc>
          <w:tcPr>
            <w:tcW w:w="572" w:type="pct"/>
            <w:vAlign w:val="center"/>
          </w:tcPr>
          <w:p w14:paraId="4F1DFC32">
            <w:pPr>
              <w:pStyle w:val="42"/>
              <w:keepNext w:val="0"/>
              <w:keepLines w:val="0"/>
              <w:suppressLineNumbers w:val="0"/>
              <w:bidi w:val="0"/>
              <w:spacing w:before="0" w:beforeAutospacing="0" w:after="0" w:afterAutospacing="0"/>
              <w:rPr>
                <w:rFonts w:hint="default"/>
              </w:rPr>
            </w:pPr>
            <w:r>
              <w:rPr>
                <w:rFonts w:hint="default"/>
              </w:rPr>
              <w:t>13</w:t>
            </w:r>
          </w:p>
        </w:tc>
        <w:tc>
          <w:tcPr>
            <w:tcW w:w="491" w:type="pct"/>
            <w:vAlign w:val="center"/>
          </w:tcPr>
          <w:p w14:paraId="0F4B5864">
            <w:pPr>
              <w:pStyle w:val="42"/>
              <w:keepNext w:val="0"/>
              <w:keepLines w:val="0"/>
              <w:suppressLineNumbers w:val="0"/>
              <w:bidi w:val="0"/>
              <w:spacing w:before="0" w:beforeAutospacing="0" w:after="0" w:afterAutospacing="0"/>
              <w:rPr>
                <w:rFonts w:hint="default"/>
              </w:rPr>
            </w:pPr>
            <w:r>
              <w:rPr>
                <w:rFonts w:hint="default"/>
              </w:rPr>
              <w:t>/</w:t>
            </w:r>
          </w:p>
        </w:tc>
        <w:tc>
          <w:tcPr>
            <w:tcW w:w="599" w:type="pct"/>
            <w:vAlign w:val="center"/>
          </w:tcPr>
          <w:p w14:paraId="3849D1E0">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40D735B8">
            <w:pPr>
              <w:pStyle w:val="42"/>
              <w:keepNext w:val="0"/>
              <w:keepLines w:val="0"/>
              <w:suppressLineNumbers w:val="0"/>
              <w:bidi w:val="0"/>
              <w:spacing w:before="0" w:beforeAutospacing="0" w:after="0" w:afterAutospacing="0"/>
              <w:rPr>
                <w:rFonts w:hint="default"/>
              </w:rPr>
            </w:pPr>
            <w:r>
              <w:rPr>
                <w:rFonts w:hint="default"/>
              </w:rPr>
              <w:t>0</w:t>
            </w:r>
          </w:p>
        </w:tc>
      </w:tr>
      <w:tr w14:paraId="2F0DDB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4377F5AD">
            <w:pPr>
              <w:pStyle w:val="42"/>
              <w:keepNext w:val="0"/>
              <w:keepLines w:val="0"/>
              <w:suppressLineNumbers w:val="0"/>
              <w:bidi w:val="0"/>
              <w:spacing w:before="0" w:beforeAutospacing="0" w:after="0" w:afterAutospacing="0"/>
              <w:rPr>
                <w:rFonts w:hint="default"/>
              </w:rPr>
            </w:pPr>
          </w:p>
        </w:tc>
        <w:tc>
          <w:tcPr>
            <w:tcW w:w="724" w:type="pct"/>
            <w:vAlign w:val="center"/>
          </w:tcPr>
          <w:p w14:paraId="1CD21F8C">
            <w:pPr>
              <w:pStyle w:val="42"/>
              <w:keepNext w:val="0"/>
              <w:keepLines w:val="0"/>
              <w:suppressLineNumbers w:val="0"/>
              <w:bidi w:val="0"/>
              <w:spacing w:before="0" w:beforeAutospacing="0" w:after="0" w:afterAutospacing="0"/>
              <w:rPr>
                <w:rFonts w:hint="default"/>
              </w:rPr>
            </w:pPr>
            <w:r>
              <w:rPr>
                <w:rFonts w:hint="default"/>
              </w:rPr>
              <w:t>COD</w:t>
            </w:r>
          </w:p>
        </w:tc>
        <w:tc>
          <w:tcPr>
            <w:tcW w:w="572" w:type="pct"/>
            <w:vAlign w:val="center"/>
          </w:tcPr>
          <w:p w14:paraId="7A374167">
            <w:pPr>
              <w:pStyle w:val="42"/>
              <w:keepNext w:val="0"/>
              <w:keepLines w:val="0"/>
              <w:suppressLineNumbers w:val="0"/>
              <w:bidi w:val="0"/>
              <w:spacing w:before="0" w:beforeAutospacing="0" w:after="0" w:afterAutospacing="0"/>
              <w:rPr>
                <w:rFonts w:hint="default"/>
              </w:rPr>
            </w:pPr>
            <w:r>
              <w:rPr>
                <w:rFonts w:hint="default"/>
              </w:rPr>
              <w:t>15</w:t>
            </w:r>
          </w:p>
        </w:tc>
        <w:tc>
          <w:tcPr>
            <w:tcW w:w="572" w:type="pct"/>
            <w:vAlign w:val="center"/>
          </w:tcPr>
          <w:p w14:paraId="0FF711F2">
            <w:pPr>
              <w:pStyle w:val="42"/>
              <w:keepNext w:val="0"/>
              <w:keepLines w:val="0"/>
              <w:suppressLineNumbers w:val="0"/>
              <w:bidi w:val="0"/>
              <w:spacing w:before="0" w:beforeAutospacing="0" w:after="0" w:afterAutospacing="0"/>
              <w:rPr>
                <w:rFonts w:hint="default"/>
              </w:rPr>
            </w:pPr>
            <w:r>
              <w:rPr>
                <w:rFonts w:hint="default"/>
              </w:rPr>
              <w:t>13</w:t>
            </w:r>
          </w:p>
        </w:tc>
        <w:tc>
          <w:tcPr>
            <w:tcW w:w="572" w:type="pct"/>
            <w:vAlign w:val="center"/>
          </w:tcPr>
          <w:p w14:paraId="5684E4A8">
            <w:pPr>
              <w:pStyle w:val="42"/>
              <w:keepNext w:val="0"/>
              <w:keepLines w:val="0"/>
              <w:suppressLineNumbers w:val="0"/>
              <w:bidi w:val="0"/>
              <w:spacing w:before="0" w:beforeAutospacing="0" w:after="0" w:afterAutospacing="0"/>
              <w:rPr>
                <w:rFonts w:hint="default"/>
              </w:rPr>
            </w:pPr>
            <w:r>
              <w:rPr>
                <w:rFonts w:hint="default"/>
              </w:rPr>
              <w:t>11</w:t>
            </w:r>
          </w:p>
        </w:tc>
        <w:tc>
          <w:tcPr>
            <w:tcW w:w="491" w:type="pct"/>
            <w:vAlign w:val="center"/>
          </w:tcPr>
          <w:p w14:paraId="05AF7839">
            <w:pPr>
              <w:pStyle w:val="42"/>
              <w:keepNext w:val="0"/>
              <w:keepLines w:val="0"/>
              <w:suppressLineNumbers w:val="0"/>
              <w:bidi w:val="0"/>
              <w:spacing w:before="0" w:beforeAutospacing="0" w:after="0" w:afterAutospacing="0"/>
              <w:rPr>
                <w:rFonts w:hint="default"/>
              </w:rPr>
            </w:pPr>
            <w:r>
              <w:rPr>
                <w:rFonts w:hint="default"/>
              </w:rPr>
              <w:t>20</w:t>
            </w:r>
          </w:p>
        </w:tc>
        <w:tc>
          <w:tcPr>
            <w:tcW w:w="599" w:type="pct"/>
            <w:vAlign w:val="center"/>
          </w:tcPr>
          <w:p w14:paraId="39E97365">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4D728EDD">
            <w:pPr>
              <w:pStyle w:val="42"/>
              <w:keepNext w:val="0"/>
              <w:keepLines w:val="0"/>
              <w:suppressLineNumbers w:val="0"/>
              <w:bidi w:val="0"/>
              <w:spacing w:before="0" w:beforeAutospacing="0" w:after="0" w:afterAutospacing="0"/>
              <w:rPr>
                <w:rFonts w:hint="default"/>
              </w:rPr>
            </w:pPr>
            <w:r>
              <w:rPr>
                <w:rFonts w:hint="default"/>
              </w:rPr>
              <w:t>0</w:t>
            </w:r>
          </w:p>
        </w:tc>
      </w:tr>
      <w:tr w14:paraId="2448D5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6" w:hRule="atLeast"/>
          <w:tblHeader/>
          <w:jc w:val="center"/>
        </w:trPr>
        <w:tc>
          <w:tcPr>
            <w:tcW w:w="470" w:type="pct"/>
            <w:vMerge w:val="continue"/>
            <w:vAlign w:val="center"/>
          </w:tcPr>
          <w:p w14:paraId="2C435227">
            <w:pPr>
              <w:pStyle w:val="42"/>
              <w:keepNext w:val="0"/>
              <w:keepLines w:val="0"/>
              <w:suppressLineNumbers w:val="0"/>
              <w:bidi w:val="0"/>
              <w:spacing w:before="0" w:beforeAutospacing="0" w:after="0" w:afterAutospacing="0"/>
              <w:rPr>
                <w:rFonts w:hint="default"/>
              </w:rPr>
            </w:pPr>
          </w:p>
        </w:tc>
        <w:tc>
          <w:tcPr>
            <w:tcW w:w="724" w:type="pct"/>
            <w:vAlign w:val="center"/>
          </w:tcPr>
          <w:p w14:paraId="406EAF90">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BOD</w:t>
            </w:r>
            <w:r>
              <w:rPr>
                <w:rFonts w:hint="eastAsia"/>
                <w:vertAlign w:val="subscript"/>
                <w:lang w:eastAsia="zh-CN"/>
              </w:rPr>
              <w:t>5</w:t>
            </w:r>
          </w:p>
        </w:tc>
        <w:tc>
          <w:tcPr>
            <w:tcW w:w="572" w:type="pct"/>
            <w:vAlign w:val="center"/>
          </w:tcPr>
          <w:p w14:paraId="1A3ACE85">
            <w:pPr>
              <w:pStyle w:val="42"/>
              <w:keepNext w:val="0"/>
              <w:keepLines w:val="0"/>
              <w:suppressLineNumbers w:val="0"/>
              <w:bidi w:val="0"/>
              <w:spacing w:before="0" w:beforeAutospacing="0" w:after="0" w:afterAutospacing="0"/>
              <w:rPr>
                <w:rFonts w:hint="default"/>
              </w:rPr>
            </w:pPr>
            <w:r>
              <w:rPr>
                <w:rFonts w:hint="default"/>
              </w:rPr>
              <w:t>3.8</w:t>
            </w:r>
          </w:p>
        </w:tc>
        <w:tc>
          <w:tcPr>
            <w:tcW w:w="572" w:type="pct"/>
            <w:vAlign w:val="center"/>
          </w:tcPr>
          <w:p w14:paraId="3A704BC1">
            <w:pPr>
              <w:pStyle w:val="42"/>
              <w:keepNext w:val="0"/>
              <w:keepLines w:val="0"/>
              <w:suppressLineNumbers w:val="0"/>
              <w:bidi w:val="0"/>
              <w:spacing w:before="0" w:beforeAutospacing="0" w:after="0" w:afterAutospacing="0"/>
              <w:rPr>
                <w:rFonts w:hint="default"/>
              </w:rPr>
            </w:pPr>
            <w:r>
              <w:rPr>
                <w:rFonts w:hint="default"/>
              </w:rPr>
              <w:t>3.5</w:t>
            </w:r>
          </w:p>
        </w:tc>
        <w:tc>
          <w:tcPr>
            <w:tcW w:w="572" w:type="pct"/>
            <w:vAlign w:val="center"/>
          </w:tcPr>
          <w:p w14:paraId="486A371A">
            <w:pPr>
              <w:pStyle w:val="42"/>
              <w:keepNext w:val="0"/>
              <w:keepLines w:val="0"/>
              <w:suppressLineNumbers w:val="0"/>
              <w:bidi w:val="0"/>
              <w:spacing w:before="0" w:beforeAutospacing="0" w:after="0" w:afterAutospacing="0"/>
              <w:rPr>
                <w:rFonts w:hint="default"/>
              </w:rPr>
            </w:pPr>
            <w:r>
              <w:rPr>
                <w:rFonts w:hint="default"/>
              </w:rPr>
              <w:t>3.2</w:t>
            </w:r>
          </w:p>
        </w:tc>
        <w:tc>
          <w:tcPr>
            <w:tcW w:w="491" w:type="pct"/>
            <w:vAlign w:val="center"/>
          </w:tcPr>
          <w:p w14:paraId="61C63ED1">
            <w:pPr>
              <w:pStyle w:val="42"/>
              <w:keepNext w:val="0"/>
              <w:keepLines w:val="0"/>
              <w:suppressLineNumbers w:val="0"/>
              <w:bidi w:val="0"/>
              <w:spacing w:before="0" w:beforeAutospacing="0" w:after="0" w:afterAutospacing="0"/>
              <w:rPr>
                <w:rFonts w:hint="default"/>
              </w:rPr>
            </w:pPr>
            <w:r>
              <w:rPr>
                <w:rFonts w:hint="default"/>
              </w:rPr>
              <w:t>4</w:t>
            </w:r>
          </w:p>
        </w:tc>
        <w:tc>
          <w:tcPr>
            <w:tcW w:w="599" w:type="pct"/>
            <w:vAlign w:val="center"/>
          </w:tcPr>
          <w:p w14:paraId="585667EA">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BFD4C1E">
            <w:pPr>
              <w:pStyle w:val="42"/>
              <w:keepNext w:val="0"/>
              <w:keepLines w:val="0"/>
              <w:suppressLineNumbers w:val="0"/>
              <w:bidi w:val="0"/>
              <w:spacing w:before="0" w:beforeAutospacing="0" w:after="0" w:afterAutospacing="0"/>
              <w:rPr>
                <w:rFonts w:hint="default"/>
              </w:rPr>
            </w:pPr>
            <w:r>
              <w:rPr>
                <w:rFonts w:hint="default"/>
              </w:rPr>
              <w:t>0</w:t>
            </w:r>
          </w:p>
        </w:tc>
      </w:tr>
      <w:tr w14:paraId="3FB5E2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1BD45EEF">
            <w:pPr>
              <w:pStyle w:val="42"/>
              <w:keepNext w:val="0"/>
              <w:keepLines w:val="0"/>
              <w:suppressLineNumbers w:val="0"/>
              <w:bidi w:val="0"/>
              <w:spacing w:before="0" w:beforeAutospacing="0" w:after="0" w:afterAutospacing="0"/>
              <w:rPr>
                <w:rFonts w:hint="default"/>
              </w:rPr>
            </w:pPr>
          </w:p>
        </w:tc>
        <w:tc>
          <w:tcPr>
            <w:tcW w:w="724" w:type="pct"/>
            <w:vAlign w:val="center"/>
          </w:tcPr>
          <w:p w14:paraId="2B2B9545">
            <w:pPr>
              <w:pStyle w:val="42"/>
              <w:keepNext w:val="0"/>
              <w:keepLines w:val="0"/>
              <w:suppressLineNumbers w:val="0"/>
              <w:bidi w:val="0"/>
              <w:spacing w:before="0" w:beforeAutospacing="0" w:after="0" w:afterAutospacing="0"/>
              <w:rPr>
                <w:rFonts w:hint="default"/>
              </w:rPr>
            </w:pPr>
            <w:r>
              <w:rPr>
                <w:rFonts w:hint="default"/>
              </w:rPr>
              <w:t>氨氮</w:t>
            </w:r>
          </w:p>
        </w:tc>
        <w:tc>
          <w:tcPr>
            <w:tcW w:w="572" w:type="pct"/>
            <w:vAlign w:val="center"/>
          </w:tcPr>
          <w:p w14:paraId="508A0B99">
            <w:pPr>
              <w:pStyle w:val="42"/>
              <w:keepNext w:val="0"/>
              <w:keepLines w:val="0"/>
              <w:suppressLineNumbers w:val="0"/>
              <w:bidi w:val="0"/>
              <w:spacing w:before="0" w:beforeAutospacing="0" w:after="0" w:afterAutospacing="0"/>
              <w:rPr>
                <w:rFonts w:hint="default"/>
              </w:rPr>
            </w:pPr>
            <w:r>
              <w:rPr>
                <w:rFonts w:hint="default"/>
              </w:rPr>
              <w:t>0.093</w:t>
            </w:r>
          </w:p>
        </w:tc>
        <w:tc>
          <w:tcPr>
            <w:tcW w:w="572" w:type="pct"/>
            <w:vAlign w:val="center"/>
          </w:tcPr>
          <w:p w14:paraId="23482BA5">
            <w:pPr>
              <w:pStyle w:val="42"/>
              <w:keepNext w:val="0"/>
              <w:keepLines w:val="0"/>
              <w:suppressLineNumbers w:val="0"/>
              <w:bidi w:val="0"/>
              <w:spacing w:before="0" w:beforeAutospacing="0" w:after="0" w:afterAutospacing="0"/>
              <w:rPr>
                <w:rFonts w:hint="default"/>
              </w:rPr>
            </w:pPr>
            <w:r>
              <w:rPr>
                <w:rFonts w:hint="default"/>
              </w:rPr>
              <w:t>0.096</w:t>
            </w:r>
          </w:p>
        </w:tc>
        <w:tc>
          <w:tcPr>
            <w:tcW w:w="572" w:type="pct"/>
            <w:vAlign w:val="center"/>
          </w:tcPr>
          <w:p w14:paraId="14F8AC02">
            <w:pPr>
              <w:pStyle w:val="42"/>
              <w:keepNext w:val="0"/>
              <w:keepLines w:val="0"/>
              <w:suppressLineNumbers w:val="0"/>
              <w:bidi w:val="0"/>
              <w:spacing w:before="0" w:beforeAutospacing="0" w:after="0" w:afterAutospacing="0"/>
              <w:rPr>
                <w:rFonts w:hint="default"/>
              </w:rPr>
            </w:pPr>
            <w:r>
              <w:rPr>
                <w:rFonts w:hint="default"/>
              </w:rPr>
              <w:t>0.105</w:t>
            </w:r>
          </w:p>
        </w:tc>
        <w:tc>
          <w:tcPr>
            <w:tcW w:w="491" w:type="pct"/>
            <w:vAlign w:val="center"/>
          </w:tcPr>
          <w:p w14:paraId="5083D5A5">
            <w:pPr>
              <w:pStyle w:val="42"/>
              <w:keepNext w:val="0"/>
              <w:keepLines w:val="0"/>
              <w:suppressLineNumbers w:val="0"/>
              <w:bidi w:val="0"/>
              <w:spacing w:before="0" w:beforeAutospacing="0" w:after="0" w:afterAutospacing="0"/>
              <w:rPr>
                <w:rFonts w:hint="default"/>
              </w:rPr>
            </w:pPr>
            <w:r>
              <w:rPr>
                <w:rFonts w:hint="default"/>
              </w:rPr>
              <w:t>1.0</w:t>
            </w:r>
          </w:p>
        </w:tc>
        <w:tc>
          <w:tcPr>
            <w:tcW w:w="599" w:type="pct"/>
            <w:vAlign w:val="center"/>
          </w:tcPr>
          <w:p w14:paraId="3AC35AAB">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2F562A80">
            <w:pPr>
              <w:pStyle w:val="42"/>
              <w:keepNext w:val="0"/>
              <w:keepLines w:val="0"/>
              <w:suppressLineNumbers w:val="0"/>
              <w:bidi w:val="0"/>
              <w:spacing w:before="0" w:beforeAutospacing="0" w:after="0" w:afterAutospacing="0"/>
              <w:rPr>
                <w:rFonts w:hint="default"/>
              </w:rPr>
            </w:pPr>
            <w:r>
              <w:rPr>
                <w:rFonts w:hint="default"/>
              </w:rPr>
              <w:t>0</w:t>
            </w:r>
          </w:p>
        </w:tc>
      </w:tr>
      <w:tr w14:paraId="3BD8E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91" w:hRule="atLeast"/>
          <w:tblHeader/>
          <w:jc w:val="center"/>
        </w:trPr>
        <w:tc>
          <w:tcPr>
            <w:tcW w:w="470" w:type="pct"/>
            <w:vMerge w:val="continue"/>
            <w:vAlign w:val="center"/>
          </w:tcPr>
          <w:p w14:paraId="10DEACE0">
            <w:pPr>
              <w:pStyle w:val="42"/>
              <w:keepNext w:val="0"/>
              <w:keepLines w:val="0"/>
              <w:suppressLineNumbers w:val="0"/>
              <w:bidi w:val="0"/>
              <w:spacing w:before="0" w:beforeAutospacing="0" w:after="0" w:afterAutospacing="0"/>
              <w:rPr>
                <w:rFonts w:hint="default"/>
              </w:rPr>
            </w:pPr>
          </w:p>
        </w:tc>
        <w:tc>
          <w:tcPr>
            <w:tcW w:w="724" w:type="pct"/>
            <w:vAlign w:val="center"/>
          </w:tcPr>
          <w:p w14:paraId="6512F857">
            <w:pPr>
              <w:pStyle w:val="42"/>
              <w:keepNext w:val="0"/>
              <w:keepLines w:val="0"/>
              <w:suppressLineNumbers w:val="0"/>
              <w:bidi w:val="0"/>
              <w:spacing w:before="0" w:beforeAutospacing="0" w:after="0" w:afterAutospacing="0"/>
              <w:rPr>
                <w:rFonts w:hint="default"/>
              </w:rPr>
            </w:pPr>
            <w:r>
              <w:rPr>
                <w:rFonts w:hint="default"/>
              </w:rPr>
              <w:t>总磷</w:t>
            </w:r>
          </w:p>
        </w:tc>
        <w:tc>
          <w:tcPr>
            <w:tcW w:w="572" w:type="pct"/>
            <w:vAlign w:val="center"/>
          </w:tcPr>
          <w:p w14:paraId="1604558E">
            <w:pPr>
              <w:pStyle w:val="42"/>
              <w:keepNext w:val="0"/>
              <w:keepLines w:val="0"/>
              <w:suppressLineNumbers w:val="0"/>
              <w:bidi w:val="0"/>
              <w:spacing w:before="0" w:beforeAutospacing="0" w:after="0" w:afterAutospacing="0"/>
              <w:rPr>
                <w:rFonts w:hint="default"/>
              </w:rPr>
            </w:pPr>
            <w:r>
              <w:rPr>
                <w:rFonts w:hint="default"/>
              </w:rPr>
              <w:t>0.03</w:t>
            </w:r>
          </w:p>
        </w:tc>
        <w:tc>
          <w:tcPr>
            <w:tcW w:w="572" w:type="pct"/>
            <w:vAlign w:val="center"/>
          </w:tcPr>
          <w:p w14:paraId="28C01707">
            <w:pPr>
              <w:pStyle w:val="42"/>
              <w:keepNext w:val="0"/>
              <w:keepLines w:val="0"/>
              <w:suppressLineNumbers w:val="0"/>
              <w:bidi w:val="0"/>
              <w:spacing w:before="0" w:beforeAutospacing="0" w:after="0" w:afterAutospacing="0"/>
              <w:rPr>
                <w:rFonts w:hint="default"/>
              </w:rPr>
            </w:pPr>
            <w:r>
              <w:rPr>
                <w:rFonts w:hint="default"/>
              </w:rPr>
              <w:t>0.04</w:t>
            </w:r>
          </w:p>
        </w:tc>
        <w:tc>
          <w:tcPr>
            <w:tcW w:w="572" w:type="pct"/>
            <w:vAlign w:val="center"/>
          </w:tcPr>
          <w:p w14:paraId="210BD11E">
            <w:pPr>
              <w:pStyle w:val="42"/>
              <w:keepNext w:val="0"/>
              <w:keepLines w:val="0"/>
              <w:suppressLineNumbers w:val="0"/>
              <w:bidi w:val="0"/>
              <w:spacing w:before="0" w:beforeAutospacing="0" w:after="0" w:afterAutospacing="0"/>
              <w:rPr>
                <w:rFonts w:hint="default"/>
              </w:rPr>
            </w:pPr>
            <w:r>
              <w:rPr>
                <w:rFonts w:hint="default"/>
              </w:rPr>
              <w:t>0.03</w:t>
            </w:r>
          </w:p>
        </w:tc>
        <w:tc>
          <w:tcPr>
            <w:tcW w:w="491" w:type="pct"/>
            <w:vAlign w:val="center"/>
          </w:tcPr>
          <w:p w14:paraId="2CA1AEA8">
            <w:pPr>
              <w:pStyle w:val="42"/>
              <w:keepNext w:val="0"/>
              <w:keepLines w:val="0"/>
              <w:suppressLineNumbers w:val="0"/>
              <w:bidi w:val="0"/>
              <w:spacing w:before="0" w:beforeAutospacing="0" w:after="0" w:afterAutospacing="0"/>
              <w:rPr>
                <w:rFonts w:hint="default"/>
              </w:rPr>
            </w:pPr>
            <w:r>
              <w:rPr>
                <w:rFonts w:hint="default"/>
              </w:rPr>
              <w:t>0.2</w:t>
            </w:r>
          </w:p>
        </w:tc>
        <w:tc>
          <w:tcPr>
            <w:tcW w:w="599" w:type="pct"/>
            <w:vAlign w:val="center"/>
          </w:tcPr>
          <w:p w14:paraId="37D6DEBE">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5DF3ACDA">
            <w:pPr>
              <w:pStyle w:val="42"/>
              <w:keepNext w:val="0"/>
              <w:keepLines w:val="0"/>
              <w:suppressLineNumbers w:val="0"/>
              <w:bidi w:val="0"/>
              <w:spacing w:before="0" w:beforeAutospacing="0" w:after="0" w:afterAutospacing="0"/>
              <w:rPr>
                <w:rFonts w:hint="default"/>
              </w:rPr>
            </w:pPr>
            <w:r>
              <w:rPr>
                <w:rFonts w:hint="default"/>
              </w:rPr>
              <w:t>0</w:t>
            </w:r>
          </w:p>
        </w:tc>
      </w:tr>
      <w:tr w14:paraId="553536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91" w:hRule="atLeast"/>
          <w:tblHeader/>
          <w:jc w:val="center"/>
        </w:trPr>
        <w:tc>
          <w:tcPr>
            <w:tcW w:w="470" w:type="pct"/>
            <w:vMerge w:val="continue"/>
            <w:vAlign w:val="center"/>
          </w:tcPr>
          <w:p w14:paraId="25260C03">
            <w:pPr>
              <w:pStyle w:val="42"/>
              <w:keepNext w:val="0"/>
              <w:keepLines w:val="0"/>
              <w:suppressLineNumbers w:val="0"/>
              <w:bidi w:val="0"/>
              <w:spacing w:before="0" w:beforeAutospacing="0" w:after="0" w:afterAutospacing="0"/>
              <w:rPr>
                <w:rFonts w:hint="default"/>
              </w:rPr>
            </w:pPr>
          </w:p>
        </w:tc>
        <w:tc>
          <w:tcPr>
            <w:tcW w:w="724" w:type="pct"/>
            <w:vAlign w:val="center"/>
          </w:tcPr>
          <w:p w14:paraId="2C328BBD">
            <w:pPr>
              <w:pStyle w:val="42"/>
              <w:keepNext w:val="0"/>
              <w:keepLines w:val="0"/>
              <w:suppressLineNumbers w:val="0"/>
              <w:bidi w:val="0"/>
              <w:spacing w:before="0" w:beforeAutospacing="0" w:after="0" w:afterAutospacing="0"/>
              <w:rPr>
                <w:rFonts w:hint="default"/>
              </w:rPr>
            </w:pPr>
            <w:r>
              <w:rPr>
                <w:rFonts w:hint="default"/>
              </w:rPr>
              <w:t>石油类</w:t>
            </w:r>
          </w:p>
        </w:tc>
        <w:tc>
          <w:tcPr>
            <w:tcW w:w="572" w:type="pct"/>
            <w:vAlign w:val="center"/>
          </w:tcPr>
          <w:p w14:paraId="578B163B">
            <w:pPr>
              <w:pStyle w:val="42"/>
              <w:keepNext w:val="0"/>
              <w:keepLines w:val="0"/>
              <w:suppressLineNumbers w:val="0"/>
              <w:bidi w:val="0"/>
              <w:spacing w:before="0" w:beforeAutospacing="0" w:after="0" w:afterAutospacing="0"/>
              <w:rPr>
                <w:rFonts w:hint="default"/>
              </w:rPr>
            </w:pPr>
            <w:r>
              <w:rPr>
                <w:rFonts w:hint="default"/>
              </w:rPr>
              <w:t>0.01L</w:t>
            </w:r>
          </w:p>
        </w:tc>
        <w:tc>
          <w:tcPr>
            <w:tcW w:w="572" w:type="pct"/>
            <w:vAlign w:val="center"/>
          </w:tcPr>
          <w:p w14:paraId="32530AC5">
            <w:pPr>
              <w:pStyle w:val="42"/>
              <w:keepNext w:val="0"/>
              <w:keepLines w:val="0"/>
              <w:suppressLineNumbers w:val="0"/>
              <w:bidi w:val="0"/>
              <w:spacing w:before="0" w:beforeAutospacing="0" w:after="0" w:afterAutospacing="0"/>
              <w:rPr>
                <w:rFonts w:hint="default"/>
              </w:rPr>
            </w:pPr>
            <w:r>
              <w:rPr>
                <w:rFonts w:hint="default"/>
              </w:rPr>
              <w:t>0.01L</w:t>
            </w:r>
          </w:p>
        </w:tc>
        <w:tc>
          <w:tcPr>
            <w:tcW w:w="572" w:type="pct"/>
            <w:vAlign w:val="center"/>
          </w:tcPr>
          <w:p w14:paraId="0A73FD8B">
            <w:pPr>
              <w:pStyle w:val="42"/>
              <w:keepNext w:val="0"/>
              <w:keepLines w:val="0"/>
              <w:suppressLineNumbers w:val="0"/>
              <w:bidi w:val="0"/>
              <w:spacing w:before="0" w:beforeAutospacing="0" w:after="0" w:afterAutospacing="0"/>
              <w:rPr>
                <w:rFonts w:hint="default"/>
              </w:rPr>
            </w:pPr>
            <w:r>
              <w:rPr>
                <w:rFonts w:hint="default"/>
              </w:rPr>
              <w:t>0.01L</w:t>
            </w:r>
          </w:p>
        </w:tc>
        <w:tc>
          <w:tcPr>
            <w:tcW w:w="491" w:type="pct"/>
            <w:vAlign w:val="center"/>
          </w:tcPr>
          <w:p w14:paraId="7A098661">
            <w:pPr>
              <w:pStyle w:val="42"/>
              <w:keepNext w:val="0"/>
              <w:keepLines w:val="0"/>
              <w:suppressLineNumbers w:val="0"/>
              <w:bidi w:val="0"/>
              <w:spacing w:before="0" w:beforeAutospacing="0" w:after="0" w:afterAutospacing="0"/>
              <w:rPr>
                <w:rFonts w:hint="default"/>
              </w:rPr>
            </w:pPr>
            <w:r>
              <w:rPr>
                <w:rFonts w:hint="default"/>
              </w:rPr>
              <w:t>0.05</w:t>
            </w:r>
          </w:p>
        </w:tc>
        <w:tc>
          <w:tcPr>
            <w:tcW w:w="599" w:type="pct"/>
            <w:vAlign w:val="center"/>
          </w:tcPr>
          <w:p w14:paraId="65B51321">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6CDB66C1">
            <w:pPr>
              <w:pStyle w:val="42"/>
              <w:keepNext w:val="0"/>
              <w:keepLines w:val="0"/>
              <w:suppressLineNumbers w:val="0"/>
              <w:bidi w:val="0"/>
              <w:spacing w:before="0" w:beforeAutospacing="0" w:after="0" w:afterAutospacing="0"/>
              <w:rPr>
                <w:rFonts w:hint="default"/>
              </w:rPr>
            </w:pPr>
            <w:r>
              <w:rPr>
                <w:rFonts w:hint="default"/>
              </w:rPr>
              <w:t>0</w:t>
            </w:r>
          </w:p>
        </w:tc>
      </w:tr>
      <w:tr w14:paraId="7BE7C1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restart"/>
            <w:vAlign w:val="center"/>
          </w:tcPr>
          <w:p w14:paraId="48DD3BED">
            <w:pPr>
              <w:pStyle w:val="42"/>
              <w:keepNext w:val="0"/>
              <w:keepLines w:val="0"/>
              <w:suppressLineNumbers w:val="0"/>
              <w:bidi w:val="0"/>
              <w:spacing w:before="0" w:beforeAutospacing="0" w:after="0" w:afterAutospacing="0"/>
              <w:rPr>
                <w:rFonts w:hint="default"/>
              </w:rPr>
            </w:pPr>
            <w:r>
              <w:rPr>
                <w:rFonts w:hint="default"/>
              </w:rPr>
              <w:t>W3</w:t>
            </w:r>
          </w:p>
        </w:tc>
        <w:tc>
          <w:tcPr>
            <w:tcW w:w="724" w:type="pct"/>
            <w:vAlign w:val="center"/>
          </w:tcPr>
          <w:p w14:paraId="74BC31FE">
            <w:pPr>
              <w:pStyle w:val="42"/>
              <w:keepNext w:val="0"/>
              <w:keepLines w:val="0"/>
              <w:suppressLineNumbers w:val="0"/>
              <w:bidi w:val="0"/>
              <w:spacing w:before="0" w:beforeAutospacing="0" w:after="0" w:afterAutospacing="0"/>
              <w:rPr>
                <w:rFonts w:hint="default"/>
              </w:rPr>
            </w:pPr>
            <w:r>
              <w:rPr>
                <w:rFonts w:hint="default"/>
              </w:rPr>
              <w:t>pH值</w:t>
            </w:r>
          </w:p>
        </w:tc>
        <w:tc>
          <w:tcPr>
            <w:tcW w:w="572" w:type="pct"/>
            <w:vAlign w:val="center"/>
          </w:tcPr>
          <w:p w14:paraId="76966BED">
            <w:pPr>
              <w:pStyle w:val="42"/>
              <w:keepNext w:val="0"/>
              <w:keepLines w:val="0"/>
              <w:suppressLineNumbers w:val="0"/>
              <w:bidi w:val="0"/>
              <w:spacing w:before="0" w:beforeAutospacing="0" w:after="0" w:afterAutospacing="0"/>
              <w:rPr>
                <w:rFonts w:hint="default"/>
              </w:rPr>
            </w:pPr>
            <w:r>
              <w:rPr>
                <w:rFonts w:hint="default"/>
              </w:rPr>
              <w:t>7.6</w:t>
            </w:r>
          </w:p>
        </w:tc>
        <w:tc>
          <w:tcPr>
            <w:tcW w:w="572" w:type="pct"/>
            <w:vAlign w:val="center"/>
          </w:tcPr>
          <w:p w14:paraId="7A896A21">
            <w:pPr>
              <w:pStyle w:val="42"/>
              <w:keepNext w:val="0"/>
              <w:keepLines w:val="0"/>
              <w:suppressLineNumbers w:val="0"/>
              <w:bidi w:val="0"/>
              <w:spacing w:before="0" w:beforeAutospacing="0" w:after="0" w:afterAutospacing="0"/>
              <w:rPr>
                <w:rFonts w:hint="default"/>
              </w:rPr>
            </w:pPr>
            <w:r>
              <w:rPr>
                <w:rFonts w:hint="default"/>
              </w:rPr>
              <w:t>7.51</w:t>
            </w:r>
          </w:p>
        </w:tc>
        <w:tc>
          <w:tcPr>
            <w:tcW w:w="572" w:type="pct"/>
            <w:vAlign w:val="center"/>
          </w:tcPr>
          <w:p w14:paraId="5BFAF46F">
            <w:pPr>
              <w:pStyle w:val="42"/>
              <w:keepNext w:val="0"/>
              <w:keepLines w:val="0"/>
              <w:suppressLineNumbers w:val="0"/>
              <w:bidi w:val="0"/>
              <w:spacing w:before="0" w:beforeAutospacing="0" w:after="0" w:afterAutospacing="0"/>
              <w:rPr>
                <w:rFonts w:hint="default"/>
              </w:rPr>
            </w:pPr>
            <w:r>
              <w:rPr>
                <w:rFonts w:hint="default"/>
              </w:rPr>
              <w:t>7.44</w:t>
            </w:r>
          </w:p>
        </w:tc>
        <w:tc>
          <w:tcPr>
            <w:tcW w:w="491" w:type="pct"/>
            <w:vAlign w:val="center"/>
          </w:tcPr>
          <w:p w14:paraId="7DAED76D">
            <w:pPr>
              <w:pStyle w:val="42"/>
              <w:keepNext w:val="0"/>
              <w:keepLines w:val="0"/>
              <w:suppressLineNumbers w:val="0"/>
              <w:bidi w:val="0"/>
              <w:spacing w:before="0" w:beforeAutospacing="0" w:after="0" w:afterAutospacing="0"/>
              <w:rPr>
                <w:rFonts w:hint="default"/>
              </w:rPr>
            </w:pPr>
            <w:r>
              <w:rPr>
                <w:rFonts w:hint="default"/>
              </w:rPr>
              <w:t>6-9</w:t>
            </w:r>
          </w:p>
        </w:tc>
        <w:tc>
          <w:tcPr>
            <w:tcW w:w="599" w:type="pct"/>
            <w:vAlign w:val="center"/>
          </w:tcPr>
          <w:p w14:paraId="7D4E627C">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29055E5">
            <w:pPr>
              <w:pStyle w:val="42"/>
              <w:keepNext w:val="0"/>
              <w:keepLines w:val="0"/>
              <w:suppressLineNumbers w:val="0"/>
              <w:bidi w:val="0"/>
              <w:spacing w:before="0" w:beforeAutospacing="0" w:after="0" w:afterAutospacing="0"/>
              <w:rPr>
                <w:rFonts w:hint="default"/>
              </w:rPr>
            </w:pPr>
            <w:r>
              <w:rPr>
                <w:rFonts w:hint="default"/>
              </w:rPr>
              <w:t>0</w:t>
            </w:r>
          </w:p>
        </w:tc>
      </w:tr>
      <w:tr w14:paraId="2424CC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073E521A">
            <w:pPr>
              <w:pStyle w:val="42"/>
              <w:keepNext w:val="0"/>
              <w:keepLines w:val="0"/>
              <w:suppressLineNumbers w:val="0"/>
              <w:bidi w:val="0"/>
              <w:spacing w:before="0" w:beforeAutospacing="0" w:after="0" w:afterAutospacing="0"/>
              <w:rPr>
                <w:rFonts w:hint="default"/>
              </w:rPr>
            </w:pPr>
          </w:p>
        </w:tc>
        <w:tc>
          <w:tcPr>
            <w:tcW w:w="724" w:type="pct"/>
            <w:vAlign w:val="center"/>
          </w:tcPr>
          <w:p w14:paraId="57B8D14F">
            <w:pPr>
              <w:pStyle w:val="42"/>
              <w:keepNext w:val="0"/>
              <w:keepLines w:val="0"/>
              <w:suppressLineNumbers w:val="0"/>
              <w:bidi w:val="0"/>
              <w:spacing w:before="0" w:beforeAutospacing="0" w:after="0" w:afterAutospacing="0"/>
              <w:rPr>
                <w:rFonts w:hint="default"/>
              </w:rPr>
            </w:pPr>
            <w:r>
              <w:rPr>
                <w:rFonts w:hint="default"/>
              </w:rPr>
              <w:t>SS</w:t>
            </w:r>
          </w:p>
        </w:tc>
        <w:tc>
          <w:tcPr>
            <w:tcW w:w="572" w:type="pct"/>
            <w:vAlign w:val="center"/>
          </w:tcPr>
          <w:p w14:paraId="36FAFAB0">
            <w:pPr>
              <w:pStyle w:val="42"/>
              <w:keepNext w:val="0"/>
              <w:keepLines w:val="0"/>
              <w:suppressLineNumbers w:val="0"/>
              <w:bidi w:val="0"/>
              <w:spacing w:before="0" w:beforeAutospacing="0" w:after="0" w:afterAutospacing="0"/>
              <w:rPr>
                <w:rFonts w:hint="default"/>
              </w:rPr>
            </w:pPr>
            <w:r>
              <w:rPr>
                <w:rFonts w:hint="default"/>
              </w:rPr>
              <w:t>12</w:t>
            </w:r>
          </w:p>
        </w:tc>
        <w:tc>
          <w:tcPr>
            <w:tcW w:w="572" w:type="pct"/>
            <w:vAlign w:val="center"/>
          </w:tcPr>
          <w:p w14:paraId="6AE62C8C">
            <w:pPr>
              <w:pStyle w:val="42"/>
              <w:keepNext w:val="0"/>
              <w:keepLines w:val="0"/>
              <w:suppressLineNumbers w:val="0"/>
              <w:bidi w:val="0"/>
              <w:spacing w:before="0" w:beforeAutospacing="0" w:after="0" w:afterAutospacing="0"/>
              <w:rPr>
                <w:rFonts w:hint="default"/>
              </w:rPr>
            </w:pPr>
            <w:r>
              <w:rPr>
                <w:rFonts w:hint="default"/>
              </w:rPr>
              <w:t>14</w:t>
            </w:r>
          </w:p>
        </w:tc>
        <w:tc>
          <w:tcPr>
            <w:tcW w:w="572" w:type="pct"/>
            <w:vAlign w:val="center"/>
          </w:tcPr>
          <w:p w14:paraId="4CA7BC00">
            <w:pPr>
              <w:pStyle w:val="42"/>
              <w:keepNext w:val="0"/>
              <w:keepLines w:val="0"/>
              <w:suppressLineNumbers w:val="0"/>
              <w:bidi w:val="0"/>
              <w:spacing w:before="0" w:beforeAutospacing="0" w:after="0" w:afterAutospacing="0"/>
              <w:rPr>
                <w:rFonts w:hint="default"/>
              </w:rPr>
            </w:pPr>
            <w:r>
              <w:rPr>
                <w:rFonts w:hint="default"/>
              </w:rPr>
              <w:t>11</w:t>
            </w:r>
          </w:p>
        </w:tc>
        <w:tc>
          <w:tcPr>
            <w:tcW w:w="491" w:type="pct"/>
            <w:vAlign w:val="center"/>
          </w:tcPr>
          <w:p w14:paraId="2047E75C">
            <w:pPr>
              <w:pStyle w:val="42"/>
              <w:keepNext w:val="0"/>
              <w:keepLines w:val="0"/>
              <w:suppressLineNumbers w:val="0"/>
              <w:bidi w:val="0"/>
              <w:spacing w:before="0" w:beforeAutospacing="0" w:after="0" w:afterAutospacing="0"/>
              <w:rPr>
                <w:rFonts w:hint="default"/>
              </w:rPr>
            </w:pPr>
            <w:r>
              <w:rPr>
                <w:rFonts w:hint="default"/>
              </w:rPr>
              <w:t>/</w:t>
            </w:r>
          </w:p>
        </w:tc>
        <w:tc>
          <w:tcPr>
            <w:tcW w:w="599" w:type="pct"/>
            <w:vAlign w:val="center"/>
          </w:tcPr>
          <w:p w14:paraId="19A607B8">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5D709467">
            <w:pPr>
              <w:pStyle w:val="42"/>
              <w:keepNext w:val="0"/>
              <w:keepLines w:val="0"/>
              <w:suppressLineNumbers w:val="0"/>
              <w:bidi w:val="0"/>
              <w:spacing w:before="0" w:beforeAutospacing="0" w:after="0" w:afterAutospacing="0"/>
              <w:rPr>
                <w:rFonts w:hint="default"/>
              </w:rPr>
            </w:pPr>
            <w:r>
              <w:rPr>
                <w:rFonts w:hint="default"/>
              </w:rPr>
              <w:t>0</w:t>
            </w:r>
          </w:p>
        </w:tc>
      </w:tr>
      <w:tr w14:paraId="4F27F4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3F5F069A">
            <w:pPr>
              <w:pStyle w:val="42"/>
              <w:keepNext w:val="0"/>
              <w:keepLines w:val="0"/>
              <w:suppressLineNumbers w:val="0"/>
              <w:bidi w:val="0"/>
              <w:spacing w:before="0" w:beforeAutospacing="0" w:after="0" w:afterAutospacing="0"/>
              <w:rPr>
                <w:rFonts w:hint="default"/>
              </w:rPr>
            </w:pPr>
          </w:p>
        </w:tc>
        <w:tc>
          <w:tcPr>
            <w:tcW w:w="724" w:type="pct"/>
            <w:vAlign w:val="center"/>
          </w:tcPr>
          <w:p w14:paraId="623D952D">
            <w:pPr>
              <w:pStyle w:val="42"/>
              <w:keepNext w:val="0"/>
              <w:keepLines w:val="0"/>
              <w:suppressLineNumbers w:val="0"/>
              <w:bidi w:val="0"/>
              <w:spacing w:before="0" w:beforeAutospacing="0" w:after="0" w:afterAutospacing="0"/>
              <w:rPr>
                <w:rFonts w:hint="default"/>
              </w:rPr>
            </w:pPr>
            <w:r>
              <w:rPr>
                <w:rFonts w:hint="default"/>
              </w:rPr>
              <w:t>COD</w:t>
            </w:r>
          </w:p>
        </w:tc>
        <w:tc>
          <w:tcPr>
            <w:tcW w:w="572" w:type="pct"/>
            <w:vAlign w:val="center"/>
          </w:tcPr>
          <w:p w14:paraId="39DC0FF3">
            <w:pPr>
              <w:pStyle w:val="42"/>
              <w:keepNext w:val="0"/>
              <w:keepLines w:val="0"/>
              <w:suppressLineNumbers w:val="0"/>
              <w:bidi w:val="0"/>
              <w:spacing w:before="0" w:beforeAutospacing="0" w:after="0" w:afterAutospacing="0"/>
              <w:rPr>
                <w:rFonts w:hint="default"/>
              </w:rPr>
            </w:pPr>
            <w:r>
              <w:rPr>
                <w:rFonts w:hint="default"/>
              </w:rPr>
              <w:t>8</w:t>
            </w:r>
          </w:p>
        </w:tc>
        <w:tc>
          <w:tcPr>
            <w:tcW w:w="572" w:type="pct"/>
            <w:vAlign w:val="center"/>
          </w:tcPr>
          <w:p w14:paraId="77AE2C78">
            <w:pPr>
              <w:pStyle w:val="42"/>
              <w:keepNext w:val="0"/>
              <w:keepLines w:val="0"/>
              <w:suppressLineNumbers w:val="0"/>
              <w:bidi w:val="0"/>
              <w:spacing w:before="0" w:beforeAutospacing="0" w:after="0" w:afterAutospacing="0"/>
              <w:rPr>
                <w:rFonts w:hint="default"/>
              </w:rPr>
            </w:pPr>
            <w:r>
              <w:rPr>
                <w:rFonts w:hint="default"/>
              </w:rPr>
              <w:t>7</w:t>
            </w:r>
          </w:p>
        </w:tc>
        <w:tc>
          <w:tcPr>
            <w:tcW w:w="572" w:type="pct"/>
            <w:vAlign w:val="center"/>
          </w:tcPr>
          <w:p w14:paraId="22DD15B2">
            <w:pPr>
              <w:pStyle w:val="42"/>
              <w:keepNext w:val="0"/>
              <w:keepLines w:val="0"/>
              <w:suppressLineNumbers w:val="0"/>
              <w:bidi w:val="0"/>
              <w:spacing w:before="0" w:beforeAutospacing="0" w:after="0" w:afterAutospacing="0"/>
              <w:rPr>
                <w:rFonts w:hint="default"/>
              </w:rPr>
            </w:pPr>
            <w:r>
              <w:rPr>
                <w:rFonts w:hint="default"/>
              </w:rPr>
              <w:t>9</w:t>
            </w:r>
          </w:p>
        </w:tc>
        <w:tc>
          <w:tcPr>
            <w:tcW w:w="491" w:type="pct"/>
            <w:vAlign w:val="center"/>
          </w:tcPr>
          <w:p w14:paraId="54486782">
            <w:pPr>
              <w:pStyle w:val="42"/>
              <w:keepNext w:val="0"/>
              <w:keepLines w:val="0"/>
              <w:suppressLineNumbers w:val="0"/>
              <w:bidi w:val="0"/>
              <w:spacing w:before="0" w:beforeAutospacing="0" w:after="0" w:afterAutospacing="0"/>
              <w:rPr>
                <w:rFonts w:hint="default"/>
              </w:rPr>
            </w:pPr>
            <w:r>
              <w:rPr>
                <w:rFonts w:hint="default"/>
              </w:rPr>
              <w:t>20</w:t>
            </w:r>
          </w:p>
        </w:tc>
        <w:tc>
          <w:tcPr>
            <w:tcW w:w="599" w:type="pct"/>
            <w:vAlign w:val="center"/>
          </w:tcPr>
          <w:p w14:paraId="53B4073E">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2E2029C5">
            <w:pPr>
              <w:pStyle w:val="42"/>
              <w:keepNext w:val="0"/>
              <w:keepLines w:val="0"/>
              <w:suppressLineNumbers w:val="0"/>
              <w:bidi w:val="0"/>
              <w:spacing w:before="0" w:beforeAutospacing="0" w:after="0" w:afterAutospacing="0"/>
              <w:rPr>
                <w:rFonts w:hint="default"/>
              </w:rPr>
            </w:pPr>
            <w:r>
              <w:rPr>
                <w:rFonts w:hint="default"/>
              </w:rPr>
              <w:t>0</w:t>
            </w:r>
          </w:p>
        </w:tc>
      </w:tr>
      <w:tr w14:paraId="53C47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91" w:hRule="atLeast"/>
          <w:tblHeader/>
          <w:jc w:val="center"/>
        </w:trPr>
        <w:tc>
          <w:tcPr>
            <w:tcW w:w="470" w:type="pct"/>
            <w:vMerge w:val="continue"/>
            <w:vAlign w:val="center"/>
          </w:tcPr>
          <w:p w14:paraId="00FEDBF4">
            <w:pPr>
              <w:pStyle w:val="42"/>
              <w:keepNext w:val="0"/>
              <w:keepLines w:val="0"/>
              <w:suppressLineNumbers w:val="0"/>
              <w:bidi w:val="0"/>
              <w:spacing w:before="0" w:beforeAutospacing="0" w:after="0" w:afterAutospacing="0"/>
              <w:rPr>
                <w:rFonts w:hint="default"/>
              </w:rPr>
            </w:pPr>
          </w:p>
        </w:tc>
        <w:tc>
          <w:tcPr>
            <w:tcW w:w="724" w:type="pct"/>
            <w:vAlign w:val="center"/>
          </w:tcPr>
          <w:p w14:paraId="4F3F9D56">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BOD</w:t>
            </w:r>
            <w:r>
              <w:rPr>
                <w:rFonts w:hint="eastAsia"/>
                <w:vertAlign w:val="subscript"/>
                <w:lang w:eastAsia="zh-CN"/>
              </w:rPr>
              <w:t>5</w:t>
            </w:r>
          </w:p>
        </w:tc>
        <w:tc>
          <w:tcPr>
            <w:tcW w:w="572" w:type="pct"/>
            <w:vAlign w:val="center"/>
          </w:tcPr>
          <w:p w14:paraId="1E18FBAC">
            <w:pPr>
              <w:pStyle w:val="42"/>
              <w:keepNext w:val="0"/>
              <w:keepLines w:val="0"/>
              <w:suppressLineNumbers w:val="0"/>
              <w:bidi w:val="0"/>
              <w:spacing w:before="0" w:beforeAutospacing="0" w:after="0" w:afterAutospacing="0"/>
              <w:rPr>
                <w:rFonts w:hint="default"/>
              </w:rPr>
            </w:pPr>
            <w:r>
              <w:rPr>
                <w:rFonts w:hint="default"/>
              </w:rPr>
              <w:t>2.2</w:t>
            </w:r>
          </w:p>
        </w:tc>
        <w:tc>
          <w:tcPr>
            <w:tcW w:w="572" w:type="pct"/>
            <w:vAlign w:val="center"/>
          </w:tcPr>
          <w:p w14:paraId="4BF70F15">
            <w:pPr>
              <w:pStyle w:val="42"/>
              <w:keepNext w:val="0"/>
              <w:keepLines w:val="0"/>
              <w:suppressLineNumbers w:val="0"/>
              <w:bidi w:val="0"/>
              <w:spacing w:before="0" w:beforeAutospacing="0" w:after="0" w:afterAutospacing="0"/>
              <w:rPr>
                <w:rFonts w:hint="default"/>
              </w:rPr>
            </w:pPr>
            <w:r>
              <w:rPr>
                <w:rFonts w:hint="default"/>
              </w:rPr>
              <w:t>1.7</w:t>
            </w:r>
          </w:p>
        </w:tc>
        <w:tc>
          <w:tcPr>
            <w:tcW w:w="572" w:type="pct"/>
            <w:vAlign w:val="center"/>
          </w:tcPr>
          <w:p w14:paraId="2C91B40F">
            <w:pPr>
              <w:pStyle w:val="42"/>
              <w:keepNext w:val="0"/>
              <w:keepLines w:val="0"/>
              <w:suppressLineNumbers w:val="0"/>
              <w:bidi w:val="0"/>
              <w:spacing w:before="0" w:beforeAutospacing="0" w:after="0" w:afterAutospacing="0"/>
              <w:rPr>
                <w:rFonts w:hint="default"/>
              </w:rPr>
            </w:pPr>
            <w:r>
              <w:rPr>
                <w:rFonts w:hint="default"/>
              </w:rPr>
              <w:t>2.5</w:t>
            </w:r>
          </w:p>
        </w:tc>
        <w:tc>
          <w:tcPr>
            <w:tcW w:w="491" w:type="pct"/>
            <w:vAlign w:val="center"/>
          </w:tcPr>
          <w:p w14:paraId="70ABDD1A">
            <w:pPr>
              <w:pStyle w:val="42"/>
              <w:keepNext w:val="0"/>
              <w:keepLines w:val="0"/>
              <w:suppressLineNumbers w:val="0"/>
              <w:bidi w:val="0"/>
              <w:spacing w:before="0" w:beforeAutospacing="0" w:after="0" w:afterAutospacing="0"/>
              <w:rPr>
                <w:rFonts w:hint="default"/>
              </w:rPr>
            </w:pPr>
            <w:r>
              <w:rPr>
                <w:rFonts w:hint="default"/>
              </w:rPr>
              <w:t>4</w:t>
            </w:r>
          </w:p>
        </w:tc>
        <w:tc>
          <w:tcPr>
            <w:tcW w:w="599" w:type="pct"/>
            <w:vAlign w:val="center"/>
          </w:tcPr>
          <w:p w14:paraId="04A156C8">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56D47E18">
            <w:pPr>
              <w:pStyle w:val="42"/>
              <w:keepNext w:val="0"/>
              <w:keepLines w:val="0"/>
              <w:suppressLineNumbers w:val="0"/>
              <w:bidi w:val="0"/>
              <w:spacing w:before="0" w:beforeAutospacing="0" w:after="0" w:afterAutospacing="0"/>
              <w:rPr>
                <w:rFonts w:hint="default"/>
              </w:rPr>
            </w:pPr>
            <w:r>
              <w:rPr>
                <w:rFonts w:hint="default"/>
              </w:rPr>
              <w:t>0</w:t>
            </w:r>
          </w:p>
        </w:tc>
      </w:tr>
      <w:tr w14:paraId="3F013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092E84DF">
            <w:pPr>
              <w:pStyle w:val="42"/>
              <w:keepNext w:val="0"/>
              <w:keepLines w:val="0"/>
              <w:suppressLineNumbers w:val="0"/>
              <w:bidi w:val="0"/>
              <w:spacing w:before="0" w:beforeAutospacing="0" w:after="0" w:afterAutospacing="0"/>
              <w:rPr>
                <w:rFonts w:hint="default"/>
              </w:rPr>
            </w:pPr>
          </w:p>
        </w:tc>
        <w:tc>
          <w:tcPr>
            <w:tcW w:w="724" w:type="pct"/>
            <w:vAlign w:val="center"/>
          </w:tcPr>
          <w:p w14:paraId="08796C31">
            <w:pPr>
              <w:pStyle w:val="42"/>
              <w:keepNext w:val="0"/>
              <w:keepLines w:val="0"/>
              <w:suppressLineNumbers w:val="0"/>
              <w:bidi w:val="0"/>
              <w:spacing w:before="0" w:beforeAutospacing="0" w:after="0" w:afterAutospacing="0"/>
              <w:rPr>
                <w:rFonts w:hint="default"/>
              </w:rPr>
            </w:pPr>
            <w:r>
              <w:rPr>
                <w:rFonts w:hint="default"/>
              </w:rPr>
              <w:t>氨氮</w:t>
            </w:r>
          </w:p>
        </w:tc>
        <w:tc>
          <w:tcPr>
            <w:tcW w:w="572" w:type="pct"/>
            <w:vAlign w:val="center"/>
          </w:tcPr>
          <w:p w14:paraId="44330F7B">
            <w:pPr>
              <w:pStyle w:val="42"/>
              <w:keepNext w:val="0"/>
              <w:keepLines w:val="0"/>
              <w:suppressLineNumbers w:val="0"/>
              <w:bidi w:val="0"/>
              <w:spacing w:before="0" w:beforeAutospacing="0" w:after="0" w:afterAutospacing="0"/>
              <w:rPr>
                <w:rFonts w:hint="default"/>
              </w:rPr>
            </w:pPr>
            <w:r>
              <w:rPr>
                <w:rFonts w:hint="default"/>
              </w:rPr>
              <w:t>0.105</w:t>
            </w:r>
          </w:p>
        </w:tc>
        <w:tc>
          <w:tcPr>
            <w:tcW w:w="572" w:type="pct"/>
            <w:vAlign w:val="center"/>
          </w:tcPr>
          <w:p w14:paraId="3D21FDC7">
            <w:pPr>
              <w:pStyle w:val="42"/>
              <w:keepNext w:val="0"/>
              <w:keepLines w:val="0"/>
              <w:suppressLineNumbers w:val="0"/>
              <w:bidi w:val="0"/>
              <w:spacing w:before="0" w:beforeAutospacing="0" w:after="0" w:afterAutospacing="0"/>
              <w:rPr>
                <w:rFonts w:hint="default"/>
              </w:rPr>
            </w:pPr>
            <w:r>
              <w:rPr>
                <w:rFonts w:hint="default"/>
              </w:rPr>
              <w:t>0.114</w:t>
            </w:r>
          </w:p>
        </w:tc>
        <w:tc>
          <w:tcPr>
            <w:tcW w:w="572" w:type="pct"/>
            <w:vAlign w:val="center"/>
          </w:tcPr>
          <w:p w14:paraId="0356387F">
            <w:pPr>
              <w:pStyle w:val="42"/>
              <w:keepNext w:val="0"/>
              <w:keepLines w:val="0"/>
              <w:suppressLineNumbers w:val="0"/>
              <w:bidi w:val="0"/>
              <w:spacing w:before="0" w:beforeAutospacing="0" w:after="0" w:afterAutospacing="0"/>
              <w:rPr>
                <w:rFonts w:hint="default"/>
              </w:rPr>
            </w:pPr>
            <w:r>
              <w:rPr>
                <w:rFonts w:hint="default"/>
              </w:rPr>
              <w:t>0.12</w:t>
            </w:r>
          </w:p>
        </w:tc>
        <w:tc>
          <w:tcPr>
            <w:tcW w:w="491" w:type="pct"/>
            <w:vAlign w:val="center"/>
          </w:tcPr>
          <w:p w14:paraId="49D36703">
            <w:pPr>
              <w:pStyle w:val="42"/>
              <w:keepNext w:val="0"/>
              <w:keepLines w:val="0"/>
              <w:suppressLineNumbers w:val="0"/>
              <w:bidi w:val="0"/>
              <w:spacing w:before="0" w:beforeAutospacing="0" w:after="0" w:afterAutospacing="0"/>
              <w:rPr>
                <w:rFonts w:hint="default"/>
              </w:rPr>
            </w:pPr>
            <w:r>
              <w:rPr>
                <w:rFonts w:hint="default"/>
              </w:rPr>
              <w:t>1.0</w:t>
            </w:r>
          </w:p>
        </w:tc>
        <w:tc>
          <w:tcPr>
            <w:tcW w:w="599" w:type="pct"/>
            <w:vAlign w:val="center"/>
          </w:tcPr>
          <w:p w14:paraId="701AB530">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494F6BF">
            <w:pPr>
              <w:pStyle w:val="42"/>
              <w:keepNext w:val="0"/>
              <w:keepLines w:val="0"/>
              <w:suppressLineNumbers w:val="0"/>
              <w:bidi w:val="0"/>
              <w:spacing w:before="0" w:beforeAutospacing="0" w:after="0" w:afterAutospacing="0"/>
              <w:rPr>
                <w:rFonts w:hint="default"/>
              </w:rPr>
            </w:pPr>
            <w:r>
              <w:rPr>
                <w:rFonts w:hint="default"/>
              </w:rPr>
              <w:t>0</w:t>
            </w:r>
          </w:p>
        </w:tc>
      </w:tr>
      <w:tr w14:paraId="085A13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91" w:hRule="atLeast"/>
          <w:tblHeader/>
          <w:jc w:val="center"/>
        </w:trPr>
        <w:tc>
          <w:tcPr>
            <w:tcW w:w="470" w:type="pct"/>
            <w:vMerge w:val="continue"/>
            <w:vAlign w:val="center"/>
          </w:tcPr>
          <w:p w14:paraId="4F1572E8">
            <w:pPr>
              <w:pStyle w:val="42"/>
              <w:keepNext w:val="0"/>
              <w:keepLines w:val="0"/>
              <w:suppressLineNumbers w:val="0"/>
              <w:bidi w:val="0"/>
              <w:spacing w:before="0" w:beforeAutospacing="0" w:after="0" w:afterAutospacing="0"/>
              <w:rPr>
                <w:rFonts w:hint="default"/>
              </w:rPr>
            </w:pPr>
          </w:p>
        </w:tc>
        <w:tc>
          <w:tcPr>
            <w:tcW w:w="724" w:type="pct"/>
            <w:vAlign w:val="center"/>
          </w:tcPr>
          <w:p w14:paraId="65BF9171">
            <w:pPr>
              <w:pStyle w:val="42"/>
              <w:keepNext w:val="0"/>
              <w:keepLines w:val="0"/>
              <w:suppressLineNumbers w:val="0"/>
              <w:bidi w:val="0"/>
              <w:spacing w:before="0" w:beforeAutospacing="0" w:after="0" w:afterAutospacing="0"/>
              <w:rPr>
                <w:rFonts w:hint="default"/>
              </w:rPr>
            </w:pPr>
            <w:r>
              <w:rPr>
                <w:rFonts w:hint="default"/>
              </w:rPr>
              <w:t>总磷</w:t>
            </w:r>
          </w:p>
        </w:tc>
        <w:tc>
          <w:tcPr>
            <w:tcW w:w="572" w:type="pct"/>
            <w:vAlign w:val="center"/>
          </w:tcPr>
          <w:p w14:paraId="5518E573">
            <w:pPr>
              <w:pStyle w:val="42"/>
              <w:keepNext w:val="0"/>
              <w:keepLines w:val="0"/>
              <w:suppressLineNumbers w:val="0"/>
              <w:bidi w:val="0"/>
              <w:spacing w:before="0" w:beforeAutospacing="0" w:after="0" w:afterAutospacing="0"/>
              <w:rPr>
                <w:rFonts w:hint="default"/>
              </w:rPr>
            </w:pPr>
            <w:r>
              <w:rPr>
                <w:rFonts w:hint="default"/>
              </w:rPr>
              <w:t>0.02</w:t>
            </w:r>
          </w:p>
        </w:tc>
        <w:tc>
          <w:tcPr>
            <w:tcW w:w="572" w:type="pct"/>
            <w:vAlign w:val="center"/>
          </w:tcPr>
          <w:p w14:paraId="64F0EC2A">
            <w:pPr>
              <w:pStyle w:val="42"/>
              <w:keepNext w:val="0"/>
              <w:keepLines w:val="0"/>
              <w:suppressLineNumbers w:val="0"/>
              <w:bidi w:val="0"/>
              <w:spacing w:before="0" w:beforeAutospacing="0" w:after="0" w:afterAutospacing="0"/>
              <w:rPr>
                <w:rFonts w:hint="default"/>
              </w:rPr>
            </w:pPr>
            <w:r>
              <w:rPr>
                <w:rFonts w:hint="default"/>
              </w:rPr>
              <w:t>0.01</w:t>
            </w:r>
          </w:p>
        </w:tc>
        <w:tc>
          <w:tcPr>
            <w:tcW w:w="572" w:type="pct"/>
            <w:vAlign w:val="center"/>
          </w:tcPr>
          <w:p w14:paraId="6C6C2F1A">
            <w:pPr>
              <w:pStyle w:val="42"/>
              <w:keepNext w:val="0"/>
              <w:keepLines w:val="0"/>
              <w:suppressLineNumbers w:val="0"/>
              <w:bidi w:val="0"/>
              <w:spacing w:before="0" w:beforeAutospacing="0" w:after="0" w:afterAutospacing="0"/>
              <w:rPr>
                <w:rFonts w:hint="default"/>
              </w:rPr>
            </w:pPr>
            <w:r>
              <w:rPr>
                <w:rFonts w:hint="default"/>
              </w:rPr>
              <w:t>0.02</w:t>
            </w:r>
          </w:p>
        </w:tc>
        <w:tc>
          <w:tcPr>
            <w:tcW w:w="491" w:type="pct"/>
            <w:vAlign w:val="center"/>
          </w:tcPr>
          <w:p w14:paraId="12A8794A">
            <w:pPr>
              <w:pStyle w:val="42"/>
              <w:keepNext w:val="0"/>
              <w:keepLines w:val="0"/>
              <w:suppressLineNumbers w:val="0"/>
              <w:bidi w:val="0"/>
              <w:spacing w:before="0" w:beforeAutospacing="0" w:after="0" w:afterAutospacing="0"/>
              <w:rPr>
                <w:rFonts w:hint="default"/>
              </w:rPr>
            </w:pPr>
            <w:r>
              <w:rPr>
                <w:rFonts w:hint="default"/>
              </w:rPr>
              <w:t>0.2</w:t>
            </w:r>
          </w:p>
        </w:tc>
        <w:tc>
          <w:tcPr>
            <w:tcW w:w="599" w:type="pct"/>
            <w:vAlign w:val="center"/>
          </w:tcPr>
          <w:p w14:paraId="666613AA">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5F4CB9BA">
            <w:pPr>
              <w:pStyle w:val="42"/>
              <w:keepNext w:val="0"/>
              <w:keepLines w:val="0"/>
              <w:suppressLineNumbers w:val="0"/>
              <w:bidi w:val="0"/>
              <w:spacing w:before="0" w:beforeAutospacing="0" w:after="0" w:afterAutospacing="0"/>
              <w:rPr>
                <w:rFonts w:hint="default"/>
              </w:rPr>
            </w:pPr>
            <w:r>
              <w:rPr>
                <w:rFonts w:hint="default"/>
              </w:rPr>
              <w:t>0</w:t>
            </w:r>
          </w:p>
        </w:tc>
      </w:tr>
      <w:tr w14:paraId="5760EF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59756854">
            <w:pPr>
              <w:pStyle w:val="42"/>
              <w:keepNext w:val="0"/>
              <w:keepLines w:val="0"/>
              <w:suppressLineNumbers w:val="0"/>
              <w:bidi w:val="0"/>
              <w:spacing w:before="0" w:beforeAutospacing="0" w:after="0" w:afterAutospacing="0"/>
              <w:rPr>
                <w:rFonts w:hint="default"/>
              </w:rPr>
            </w:pPr>
          </w:p>
        </w:tc>
        <w:tc>
          <w:tcPr>
            <w:tcW w:w="724" w:type="pct"/>
            <w:vAlign w:val="center"/>
          </w:tcPr>
          <w:p w14:paraId="54D600D2">
            <w:pPr>
              <w:pStyle w:val="42"/>
              <w:keepNext w:val="0"/>
              <w:keepLines w:val="0"/>
              <w:suppressLineNumbers w:val="0"/>
              <w:bidi w:val="0"/>
              <w:spacing w:before="0" w:beforeAutospacing="0" w:after="0" w:afterAutospacing="0"/>
              <w:rPr>
                <w:rFonts w:hint="default"/>
              </w:rPr>
            </w:pPr>
            <w:r>
              <w:rPr>
                <w:rFonts w:hint="default"/>
              </w:rPr>
              <w:t>石油类</w:t>
            </w:r>
          </w:p>
        </w:tc>
        <w:tc>
          <w:tcPr>
            <w:tcW w:w="572" w:type="pct"/>
            <w:vAlign w:val="center"/>
          </w:tcPr>
          <w:p w14:paraId="286150EE">
            <w:pPr>
              <w:pStyle w:val="42"/>
              <w:keepNext w:val="0"/>
              <w:keepLines w:val="0"/>
              <w:suppressLineNumbers w:val="0"/>
              <w:bidi w:val="0"/>
              <w:spacing w:before="0" w:beforeAutospacing="0" w:after="0" w:afterAutospacing="0"/>
              <w:rPr>
                <w:rFonts w:hint="default"/>
              </w:rPr>
            </w:pPr>
            <w:r>
              <w:rPr>
                <w:rFonts w:hint="default"/>
              </w:rPr>
              <w:t>0.02</w:t>
            </w:r>
          </w:p>
        </w:tc>
        <w:tc>
          <w:tcPr>
            <w:tcW w:w="572" w:type="pct"/>
            <w:vAlign w:val="center"/>
          </w:tcPr>
          <w:p w14:paraId="760444C5">
            <w:pPr>
              <w:pStyle w:val="42"/>
              <w:keepNext w:val="0"/>
              <w:keepLines w:val="0"/>
              <w:suppressLineNumbers w:val="0"/>
              <w:bidi w:val="0"/>
              <w:spacing w:before="0" w:beforeAutospacing="0" w:after="0" w:afterAutospacing="0"/>
              <w:rPr>
                <w:rFonts w:hint="default"/>
              </w:rPr>
            </w:pPr>
            <w:r>
              <w:rPr>
                <w:rFonts w:hint="default"/>
              </w:rPr>
              <w:t>0.03</w:t>
            </w:r>
          </w:p>
        </w:tc>
        <w:tc>
          <w:tcPr>
            <w:tcW w:w="572" w:type="pct"/>
            <w:vAlign w:val="center"/>
          </w:tcPr>
          <w:p w14:paraId="435AB5EF">
            <w:pPr>
              <w:pStyle w:val="42"/>
              <w:keepNext w:val="0"/>
              <w:keepLines w:val="0"/>
              <w:suppressLineNumbers w:val="0"/>
              <w:bidi w:val="0"/>
              <w:spacing w:before="0" w:beforeAutospacing="0" w:after="0" w:afterAutospacing="0"/>
              <w:rPr>
                <w:rFonts w:hint="default"/>
              </w:rPr>
            </w:pPr>
            <w:r>
              <w:rPr>
                <w:rFonts w:hint="default"/>
              </w:rPr>
              <w:t>0.02</w:t>
            </w:r>
          </w:p>
        </w:tc>
        <w:tc>
          <w:tcPr>
            <w:tcW w:w="491" w:type="pct"/>
            <w:vAlign w:val="center"/>
          </w:tcPr>
          <w:p w14:paraId="767BF22A">
            <w:pPr>
              <w:pStyle w:val="42"/>
              <w:keepNext w:val="0"/>
              <w:keepLines w:val="0"/>
              <w:suppressLineNumbers w:val="0"/>
              <w:bidi w:val="0"/>
              <w:spacing w:before="0" w:beforeAutospacing="0" w:after="0" w:afterAutospacing="0"/>
              <w:rPr>
                <w:rFonts w:hint="default"/>
              </w:rPr>
            </w:pPr>
            <w:r>
              <w:rPr>
                <w:rFonts w:hint="default"/>
              </w:rPr>
              <w:t>0.05</w:t>
            </w:r>
          </w:p>
        </w:tc>
        <w:tc>
          <w:tcPr>
            <w:tcW w:w="599" w:type="pct"/>
            <w:vAlign w:val="center"/>
          </w:tcPr>
          <w:p w14:paraId="6D05BFA7">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0EB8678A">
            <w:pPr>
              <w:pStyle w:val="42"/>
              <w:keepNext w:val="0"/>
              <w:keepLines w:val="0"/>
              <w:suppressLineNumbers w:val="0"/>
              <w:bidi w:val="0"/>
              <w:spacing w:before="0" w:beforeAutospacing="0" w:after="0" w:afterAutospacing="0"/>
              <w:rPr>
                <w:rFonts w:hint="default"/>
              </w:rPr>
            </w:pPr>
            <w:r>
              <w:rPr>
                <w:rFonts w:hint="default"/>
              </w:rPr>
              <w:t>0</w:t>
            </w:r>
          </w:p>
        </w:tc>
      </w:tr>
      <w:tr w14:paraId="50EDE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restart"/>
            <w:vAlign w:val="center"/>
          </w:tcPr>
          <w:p w14:paraId="3787DE53">
            <w:pPr>
              <w:pStyle w:val="42"/>
              <w:keepNext w:val="0"/>
              <w:keepLines w:val="0"/>
              <w:suppressLineNumbers w:val="0"/>
              <w:bidi w:val="0"/>
              <w:spacing w:before="0" w:beforeAutospacing="0" w:after="0" w:afterAutospacing="0"/>
              <w:rPr>
                <w:rFonts w:hint="default"/>
              </w:rPr>
            </w:pPr>
            <w:r>
              <w:rPr>
                <w:rFonts w:hint="default"/>
              </w:rPr>
              <w:t>W4</w:t>
            </w:r>
          </w:p>
        </w:tc>
        <w:tc>
          <w:tcPr>
            <w:tcW w:w="724" w:type="pct"/>
            <w:vAlign w:val="center"/>
          </w:tcPr>
          <w:p w14:paraId="77BE18F7">
            <w:pPr>
              <w:pStyle w:val="42"/>
              <w:keepNext w:val="0"/>
              <w:keepLines w:val="0"/>
              <w:suppressLineNumbers w:val="0"/>
              <w:bidi w:val="0"/>
              <w:spacing w:before="0" w:beforeAutospacing="0" w:after="0" w:afterAutospacing="0"/>
              <w:rPr>
                <w:rFonts w:hint="default"/>
              </w:rPr>
            </w:pPr>
            <w:r>
              <w:rPr>
                <w:rFonts w:hint="default"/>
              </w:rPr>
              <w:t>pH值</w:t>
            </w:r>
          </w:p>
        </w:tc>
        <w:tc>
          <w:tcPr>
            <w:tcW w:w="572" w:type="pct"/>
            <w:vAlign w:val="center"/>
          </w:tcPr>
          <w:p w14:paraId="64D9632D">
            <w:pPr>
              <w:pStyle w:val="42"/>
              <w:keepNext w:val="0"/>
              <w:keepLines w:val="0"/>
              <w:suppressLineNumbers w:val="0"/>
              <w:bidi w:val="0"/>
              <w:spacing w:before="0" w:beforeAutospacing="0" w:after="0" w:afterAutospacing="0"/>
              <w:rPr>
                <w:rFonts w:hint="default"/>
              </w:rPr>
            </w:pPr>
            <w:r>
              <w:rPr>
                <w:rFonts w:hint="default"/>
              </w:rPr>
              <w:t>7.29</w:t>
            </w:r>
          </w:p>
        </w:tc>
        <w:tc>
          <w:tcPr>
            <w:tcW w:w="572" w:type="pct"/>
            <w:vAlign w:val="center"/>
          </w:tcPr>
          <w:p w14:paraId="55AE25CB">
            <w:pPr>
              <w:pStyle w:val="42"/>
              <w:keepNext w:val="0"/>
              <w:keepLines w:val="0"/>
              <w:suppressLineNumbers w:val="0"/>
              <w:bidi w:val="0"/>
              <w:spacing w:before="0" w:beforeAutospacing="0" w:after="0" w:afterAutospacing="0"/>
              <w:rPr>
                <w:rFonts w:hint="default"/>
              </w:rPr>
            </w:pPr>
            <w:r>
              <w:rPr>
                <w:rFonts w:hint="default"/>
              </w:rPr>
              <w:t>7.38</w:t>
            </w:r>
          </w:p>
        </w:tc>
        <w:tc>
          <w:tcPr>
            <w:tcW w:w="572" w:type="pct"/>
            <w:vAlign w:val="center"/>
          </w:tcPr>
          <w:p w14:paraId="4A218827">
            <w:pPr>
              <w:pStyle w:val="42"/>
              <w:keepNext w:val="0"/>
              <w:keepLines w:val="0"/>
              <w:suppressLineNumbers w:val="0"/>
              <w:bidi w:val="0"/>
              <w:spacing w:before="0" w:beforeAutospacing="0" w:after="0" w:afterAutospacing="0"/>
              <w:rPr>
                <w:rFonts w:hint="default"/>
              </w:rPr>
            </w:pPr>
            <w:r>
              <w:rPr>
                <w:rFonts w:hint="default"/>
              </w:rPr>
              <w:t>7.45</w:t>
            </w:r>
          </w:p>
        </w:tc>
        <w:tc>
          <w:tcPr>
            <w:tcW w:w="491" w:type="pct"/>
            <w:vAlign w:val="center"/>
          </w:tcPr>
          <w:p w14:paraId="1B42684C">
            <w:pPr>
              <w:pStyle w:val="42"/>
              <w:keepNext w:val="0"/>
              <w:keepLines w:val="0"/>
              <w:suppressLineNumbers w:val="0"/>
              <w:bidi w:val="0"/>
              <w:spacing w:before="0" w:beforeAutospacing="0" w:after="0" w:afterAutospacing="0"/>
              <w:rPr>
                <w:rFonts w:hint="default"/>
              </w:rPr>
            </w:pPr>
            <w:r>
              <w:rPr>
                <w:rFonts w:hint="default"/>
              </w:rPr>
              <w:t>6-9</w:t>
            </w:r>
          </w:p>
        </w:tc>
        <w:tc>
          <w:tcPr>
            <w:tcW w:w="599" w:type="pct"/>
            <w:vAlign w:val="center"/>
          </w:tcPr>
          <w:p w14:paraId="0CEC0501">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6858E8AF">
            <w:pPr>
              <w:pStyle w:val="42"/>
              <w:keepNext w:val="0"/>
              <w:keepLines w:val="0"/>
              <w:suppressLineNumbers w:val="0"/>
              <w:bidi w:val="0"/>
              <w:spacing w:before="0" w:beforeAutospacing="0" w:after="0" w:afterAutospacing="0"/>
              <w:rPr>
                <w:rFonts w:hint="default"/>
              </w:rPr>
            </w:pPr>
            <w:r>
              <w:rPr>
                <w:rFonts w:hint="default"/>
              </w:rPr>
              <w:t>0</w:t>
            </w:r>
          </w:p>
        </w:tc>
      </w:tr>
      <w:tr w14:paraId="560053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1F032252">
            <w:pPr>
              <w:pStyle w:val="42"/>
              <w:keepNext w:val="0"/>
              <w:keepLines w:val="0"/>
              <w:suppressLineNumbers w:val="0"/>
              <w:bidi w:val="0"/>
              <w:spacing w:before="0" w:beforeAutospacing="0" w:after="0" w:afterAutospacing="0"/>
              <w:rPr>
                <w:rFonts w:hint="default"/>
              </w:rPr>
            </w:pPr>
          </w:p>
        </w:tc>
        <w:tc>
          <w:tcPr>
            <w:tcW w:w="724" w:type="pct"/>
            <w:vAlign w:val="center"/>
          </w:tcPr>
          <w:p w14:paraId="55EF2BED">
            <w:pPr>
              <w:pStyle w:val="42"/>
              <w:keepNext w:val="0"/>
              <w:keepLines w:val="0"/>
              <w:suppressLineNumbers w:val="0"/>
              <w:bidi w:val="0"/>
              <w:spacing w:before="0" w:beforeAutospacing="0" w:after="0" w:afterAutospacing="0"/>
              <w:rPr>
                <w:rFonts w:hint="default"/>
              </w:rPr>
            </w:pPr>
            <w:r>
              <w:rPr>
                <w:rFonts w:hint="default"/>
              </w:rPr>
              <w:t>SS</w:t>
            </w:r>
          </w:p>
        </w:tc>
        <w:tc>
          <w:tcPr>
            <w:tcW w:w="572" w:type="pct"/>
            <w:vAlign w:val="center"/>
          </w:tcPr>
          <w:p w14:paraId="7AB4D267">
            <w:pPr>
              <w:pStyle w:val="42"/>
              <w:keepNext w:val="0"/>
              <w:keepLines w:val="0"/>
              <w:suppressLineNumbers w:val="0"/>
              <w:bidi w:val="0"/>
              <w:spacing w:before="0" w:beforeAutospacing="0" w:after="0" w:afterAutospacing="0"/>
              <w:rPr>
                <w:rFonts w:hint="default"/>
              </w:rPr>
            </w:pPr>
            <w:r>
              <w:rPr>
                <w:rFonts w:hint="default"/>
              </w:rPr>
              <w:t>17</w:t>
            </w:r>
          </w:p>
        </w:tc>
        <w:tc>
          <w:tcPr>
            <w:tcW w:w="572" w:type="pct"/>
            <w:vAlign w:val="center"/>
          </w:tcPr>
          <w:p w14:paraId="43805E56">
            <w:pPr>
              <w:pStyle w:val="42"/>
              <w:keepNext w:val="0"/>
              <w:keepLines w:val="0"/>
              <w:suppressLineNumbers w:val="0"/>
              <w:bidi w:val="0"/>
              <w:spacing w:before="0" w:beforeAutospacing="0" w:after="0" w:afterAutospacing="0"/>
              <w:rPr>
                <w:rFonts w:hint="default"/>
              </w:rPr>
            </w:pPr>
            <w:r>
              <w:rPr>
                <w:rFonts w:hint="default"/>
              </w:rPr>
              <w:t>19</w:t>
            </w:r>
          </w:p>
        </w:tc>
        <w:tc>
          <w:tcPr>
            <w:tcW w:w="572" w:type="pct"/>
            <w:vAlign w:val="center"/>
          </w:tcPr>
          <w:p w14:paraId="3BCECA28">
            <w:pPr>
              <w:pStyle w:val="42"/>
              <w:keepNext w:val="0"/>
              <w:keepLines w:val="0"/>
              <w:suppressLineNumbers w:val="0"/>
              <w:bidi w:val="0"/>
              <w:spacing w:before="0" w:beforeAutospacing="0" w:after="0" w:afterAutospacing="0"/>
              <w:rPr>
                <w:rFonts w:hint="default"/>
              </w:rPr>
            </w:pPr>
            <w:r>
              <w:rPr>
                <w:rFonts w:hint="default"/>
              </w:rPr>
              <w:t>20</w:t>
            </w:r>
          </w:p>
        </w:tc>
        <w:tc>
          <w:tcPr>
            <w:tcW w:w="491" w:type="pct"/>
            <w:vAlign w:val="center"/>
          </w:tcPr>
          <w:p w14:paraId="61BAA0C4">
            <w:pPr>
              <w:pStyle w:val="42"/>
              <w:keepNext w:val="0"/>
              <w:keepLines w:val="0"/>
              <w:suppressLineNumbers w:val="0"/>
              <w:bidi w:val="0"/>
              <w:spacing w:before="0" w:beforeAutospacing="0" w:after="0" w:afterAutospacing="0"/>
              <w:rPr>
                <w:rFonts w:hint="default"/>
              </w:rPr>
            </w:pPr>
            <w:r>
              <w:rPr>
                <w:rFonts w:hint="default"/>
              </w:rPr>
              <w:t>/</w:t>
            </w:r>
          </w:p>
        </w:tc>
        <w:tc>
          <w:tcPr>
            <w:tcW w:w="599" w:type="pct"/>
            <w:vAlign w:val="center"/>
          </w:tcPr>
          <w:p w14:paraId="3431E438">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D0747BD">
            <w:pPr>
              <w:pStyle w:val="42"/>
              <w:keepNext w:val="0"/>
              <w:keepLines w:val="0"/>
              <w:suppressLineNumbers w:val="0"/>
              <w:bidi w:val="0"/>
              <w:spacing w:before="0" w:beforeAutospacing="0" w:after="0" w:afterAutospacing="0"/>
              <w:rPr>
                <w:rFonts w:hint="default"/>
              </w:rPr>
            </w:pPr>
            <w:r>
              <w:rPr>
                <w:rFonts w:hint="default"/>
              </w:rPr>
              <w:t>0</w:t>
            </w:r>
          </w:p>
        </w:tc>
      </w:tr>
      <w:tr w14:paraId="64724D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7A31C1B0">
            <w:pPr>
              <w:pStyle w:val="42"/>
              <w:keepNext w:val="0"/>
              <w:keepLines w:val="0"/>
              <w:suppressLineNumbers w:val="0"/>
              <w:bidi w:val="0"/>
              <w:spacing w:before="0" w:beforeAutospacing="0" w:after="0" w:afterAutospacing="0"/>
              <w:rPr>
                <w:rFonts w:hint="default"/>
              </w:rPr>
            </w:pPr>
          </w:p>
        </w:tc>
        <w:tc>
          <w:tcPr>
            <w:tcW w:w="724" w:type="pct"/>
            <w:vAlign w:val="center"/>
          </w:tcPr>
          <w:p w14:paraId="073E3503">
            <w:pPr>
              <w:pStyle w:val="42"/>
              <w:keepNext w:val="0"/>
              <w:keepLines w:val="0"/>
              <w:suppressLineNumbers w:val="0"/>
              <w:bidi w:val="0"/>
              <w:spacing w:before="0" w:beforeAutospacing="0" w:after="0" w:afterAutospacing="0"/>
              <w:rPr>
                <w:rFonts w:hint="default"/>
              </w:rPr>
            </w:pPr>
            <w:r>
              <w:rPr>
                <w:rFonts w:hint="default"/>
              </w:rPr>
              <w:t>COD</w:t>
            </w:r>
          </w:p>
        </w:tc>
        <w:tc>
          <w:tcPr>
            <w:tcW w:w="572" w:type="pct"/>
            <w:vAlign w:val="center"/>
          </w:tcPr>
          <w:p w14:paraId="479FAC0A">
            <w:pPr>
              <w:pStyle w:val="42"/>
              <w:keepNext w:val="0"/>
              <w:keepLines w:val="0"/>
              <w:suppressLineNumbers w:val="0"/>
              <w:bidi w:val="0"/>
              <w:spacing w:before="0" w:beforeAutospacing="0" w:after="0" w:afterAutospacing="0"/>
              <w:rPr>
                <w:rFonts w:hint="default"/>
              </w:rPr>
            </w:pPr>
            <w:r>
              <w:rPr>
                <w:rFonts w:hint="default"/>
              </w:rPr>
              <w:t>8</w:t>
            </w:r>
          </w:p>
        </w:tc>
        <w:tc>
          <w:tcPr>
            <w:tcW w:w="572" w:type="pct"/>
            <w:vAlign w:val="center"/>
          </w:tcPr>
          <w:p w14:paraId="114D0748">
            <w:pPr>
              <w:pStyle w:val="42"/>
              <w:keepNext w:val="0"/>
              <w:keepLines w:val="0"/>
              <w:suppressLineNumbers w:val="0"/>
              <w:bidi w:val="0"/>
              <w:spacing w:before="0" w:beforeAutospacing="0" w:after="0" w:afterAutospacing="0"/>
              <w:rPr>
                <w:rFonts w:hint="default"/>
              </w:rPr>
            </w:pPr>
            <w:r>
              <w:rPr>
                <w:rFonts w:hint="default"/>
              </w:rPr>
              <w:t>8</w:t>
            </w:r>
          </w:p>
        </w:tc>
        <w:tc>
          <w:tcPr>
            <w:tcW w:w="572" w:type="pct"/>
            <w:vAlign w:val="center"/>
          </w:tcPr>
          <w:p w14:paraId="5FFDA9E7">
            <w:pPr>
              <w:pStyle w:val="42"/>
              <w:keepNext w:val="0"/>
              <w:keepLines w:val="0"/>
              <w:suppressLineNumbers w:val="0"/>
              <w:bidi w:val="0"/>
              <w:spacing w:before="0" w:beforeAutospacing="0" w:after="0" w:afterAutospacing="0"/>
              <w:rPr>
                <w:rFonts w:hint="default"/>
              </w:rPr>
            </w:pPr>
            <w:r>
              <w:rPr>
                <w:rFonts w:hint="default"/>
              </w:rPr>
              <w:t>10</w:t>
            </w:r>
          </w:p>
        </w:tc>
        <w:tc>
          <w:tcPr>
            <w:tcW w:w="491" w:type="pct"/>
            <w:vAlign w:val="center"/>
          </w:tcPr>
          <w:p w14:paraId="3B64DFE7">
            <w:pPr>
              <w:pStyle w:val="42"/>
              <w:keepNext w:val="0"/>
              <w:keepLines w:val="0"/>
              <w:suppressLineNumbers w:val="0"/>
              <w:bidi w:val="0"/>
              <w:spacing w:before="0" w:beforeAutospacing="0" w:after="0" w:afterAutospacing="0"/>
              <w:rPr>
                <w:rFonts w:hint="default"/>
              </w:rPr>
            </w:pPr>
            <w:r>
              <w:rPr>
                <w:rFonts w:hint="default"/>
              </w:rPr>
              <w:t>20</w:t>
            </w:r>
          </w:p>
        </w:tc>
        <w:tc>
          <w:tcPr>
            <w:tcW w:w="599" w:type="pct"/>
            <w:vAlign w:val="center"/>
          </w:tcPr>
          <w:p w14:paraId="2F275982">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7AFBB80">
            <w:pPr>
              <w:pStyle w:val="42"/>
              <w:keepNext w:val="0"/>
              <w:keepLines w:val="0"/>
              <w:suppressLineNumbers w:val="0"/>
              <w:bidi w:val="0"/>
              <w:spacing w:before="0" w:beforeAutospacing="0" w:after="0" w:afterAutospacing="0"/>
              <w:rPr>
                <w:rFonts w:hint="default"/>
              </w:rPr>
            </w:pPr>
            <w:r>
              <w:rPr>
                <w:rFonts w:hint="default"/>
              </w:rPr>
              <w:t>0</w:t>
            </w:r>
          </w:p>
        </w:tc>
      </w:tr>
      <w:tr w14:paraId="0BCC1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28891670">
            <w:pPr>
              <w:pStyle w:val="42"/>
              <w:keepNext w:val="0"/>
              <w:keepLines w:val="0"/>
              <w:suppressLineNumbers w:val="0"/>
              <w:bidi w:val="0"/>
              <w:spacing w:before="0" w:beforeAutospacing="0" w:after="0" w:afterAutospacing="0"/>
              <w:rPr>
                <w:rFonts w:hint="default"/>
              </w:rPr>
            </w:pPr>
          </w:p>
        </w:tc>
        <w:tc>
          <w:tcPr>
            <w:tcW w:w="724" w:type="pct"/>
            <w:vAlign w:val="center"/>
          </w:tcPr>
          <w:p w14:paraId="44513626">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BOD</w:t>
            </w:r>
            <w:r>
              <w:rPr>
                <w:rFonts w:hint="eastAsia"/>
                <w:vertAlign w:val="subscript"/>
                <w:lang w:eastAsia="zh-CN"/>
              </w:rPr>
              <w:t>5</w:t>
            </w:r>
          </w:p>
        </w:tc>
        <w:tc>
          <w:tcPr>
            <w:tcW w:w="572" w:type="pct"/>
            <w:vAlign w:val="center"/>
          </w:tcPr>
          <w:p w14:paraId="05FEE645">
            <w:pPr>
              <w:pStyle w:val="42"/>
              <w:keepNext w:val="0"/>
              <w:keepLines w:val="0"/>
              <w:suppressLineNumbers w:val="0"/>
              <w:bidi w:val="0"/>
              <w:spacing w:before="0" w:beforeAutospacing="0" w:after="0" w:afterAutospacing="0"/>
              <w:rPr>
                <w:rFonts w:hint="default"/>
              </w:rPr>
            </w:pPr>
            <w:r>
              <w:rPr>
                <w:rFonts w:hint="default"/>
              </w:rPr>
              <w:t>2.1</w:t>
            </w:r>
          </w:p>
        </w:tc>
        <w:tc>
          <w:tcPr>
            <w:tcW w:w="572" w:type="pct"/>
            <w:vAlign w:val="center"/>
          </w:tcPr>
          <w:p w14:paraId="5C1D6D7C">
            <w:pPr>
              <w:pStyle w:val="42"/>
              <w:keepNext w:val="0"/>
              <w:keepLines w:val="0"/>
              <w:suppressLineNumbers w:val="0"/>
              <w:bidi w:val="0"/>
              <w:spacing w:before="0" w:beforeAutospacing="0" w:after="0" w:afterAutospacing="0"/>
              <w:rPr>
                <w:rFonts w:hint="default"/>
              </w:rPr>
            </w:pPr>
            <w:r>
              <w:rPr>
                <w:rFonts w:hint="default"/>
              </w:rPr>
              <w:t>1.9</w:t>
            </w:r>
          </w:p>
        </w:tc>
        <w:tc>
          <w:tcPr>
            <w:tcW w:w="572" w:type="pct"/>
            <w:vAlign w:val="center"/>
          </w:tcPr>
          <w:p w14:paraId="7F7E9E8E">
            <w:pPr>
              <w:pStyle w:val="42"/>
              <w:keepNext w:val="0"/>
              <w:keepLines w:val="0"/>
              <w:suppressLineNumbers w:val="0"/>
              <w:bidi w:val="0"/>
              <w:spacing w:before="0" w:beforeAutospacing="0" w:after="0" w:afterAutospacing="0"/>
              <w:rPr>
                <w:rFonts w:hint="default"/>
              </w:rPr>
            </w:pPr>
            <w:r>
              <w:rPr>
                <w:rFonts w:hint="default"/>
              </w:rPr>
              <w:t>2.6</w:t>
            </w:r>
          </w:p>
        </w:tc>
        <w:tc>
          <w:tcPr>
            <w:tcW w:w="491" w:type="pct"/>
            <w:vAlign w:val="center"/>
          </w:tcPr>
          <w:p w14:paraId="115B8CFE">
            <w:pPr>
              <w:pStyle w:val="42"/>
              <w:keepNext w:val="0"/>
              <w:keepLines w:val="0"/>
              <w:suppressLineNumbers w:val="0"/>
              <w:bidi w:val="0"/>
              <w:spacing w:before="0" w:beforeAutospacing="0" w:after="0" w:afterAutospacing="0"/>
              <w:rPr>
                <w:rFonts w:hint="default"/>
              </w:rPr>
            </w:pPr>
            <w:r>
              <w:rPr>
                <w:rFonts w:hint="default"/>
              </w:rPr>
              <w:t>4</w:t>
            </w:r>
          </w:p>
        </w:tc>
        <w:tc>
          <w:tcPr>
            <w:tcW w:w="599" w:type="pct"/>
            <w:vAlign w:val="center"/>
          </w:tcPr>
          <w:p w14:paraId="0816C600">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1425488">
            <w:pPr>
              <w:pStyle w:val="42"/>
              <w:keepNext w:val="0"/>
              <w:keepLines w:val="0"/>
              <w:suppressLineNumbers w:val="0"/>
              <w:bidi w:val="0"/>
              <w:spacing w:before="0" w:beforeAutospacing="0" w:after="0" w:afterAutospacing="0"/>
              <w:rPr>
                <w:rFonts w:hint="default"/>
              </w:rPr>
            </w:pPr>
            <w:r>
              <w:rPr>
                <w:rFonts w:hint="default"/>
              </w:rPr>
              <w:t>0</w:t>
            </w:r>
          </w:p>
        </w:tc>
      </w:tr>
      <w:tr w14:paraId="17587A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1ED42065">
            <w:pPr>
              <w:pStyle w:val="42"/>
              <w:keepNext w:val="0"/>
              <w:keepLines w:val="0"/>
              <w:suppressLineNumbers w:val="0"/>
              <w:bidi w:val="0"/>
              <w:spacing w:before="0" w:beforeAutospacing="0" w:after="0" w:afterAutospacing="0"/>
              <w:rPr>
                <w:rFonts w:hint="default"/>
              </w:rPr>
            </w:pPr>
          </w:p>
        </w:tc>
        <w:tc>
          <w:tcPr>
            <w:tcW w:w="724" w:type="pct"/>
            <w:vAlign w:val="center"/>
          </w:tcPr>
          <w:p w14:paraId="1D48A110">
            <w:pPr>
              <w:pStyle w:val="42"/>
              <w:keepNext w:val="0"/>
              <w:keepLines w:val="0"/>
              <w:suppressLineNumbers w:val="0"/>
              <w:bidi w:val="0"/>
              <w:spacing w:before="0" w:beforeAutospacing="0" w:after="0" w:afterAutospacing="0"/>
              <w:rPr>
                <w:rFonts w:hint="default"/>
              </w:rPr>
            </w:pPr>
            <w:r>
              <w:rPr>
                <w:rFonts w:hint="default"/>
              </w:rPr>
              <w:t>氨氮</w:t>
            </w:r>
          </w:p>
        </w:tc>
        <w:tc>
          <w:tcPr>
            <w:tcW w:w="572" w:type="pct"/>
            <w:vAlign w:val="center"/>
          </w:tcPr>
          <w:p w14:paraId="685C1827">
            <w:pPr>
              <w:pStyle w:val="42"/>
              <w:keepNext w:val="0"/>
              <w:keepLines w:val="0"/>
              <w:suppressLineNumbers w:val="0"/>
              <w:bidi w:val="0"/>
              <w:spacing w:before="0" w:beforeAutospacing="0" w:after="0" w:afterAutospacing="0"/>
              <w:rPr>
                <w:rFonts w:hint="default"/>
              </w:rPr>
            </w:pPr>
            <w:r>
              <w:rPr>
                <w:rFonts w:hint="default"/>
              </w:rPr>
              <w:t>0.070</w:t>
            </w:r>
          </w:p>
        </w:tc>
        <w:tc>
          <w:tcPr>
            <w:tcW w:w="572" w:type="pct"/>
            <w:vAlign w:val="center"/>
          </w:tcPr>
          <w:p w14:paraId="4A723FA1">
            <w:pPr>
              <w:pStyle w:val="42"/>
              <w:keepNext w:val="0"/>
              <w:keepLines w:val="0"/>
              <w:suppressLineNumbers w:val="0"/>
              <w:bidi w:val="0"/>
              <w:spacing w:before="0" w:beforeAutospacing="0" w:after="0" w:afterAutospacing="0"/>
              <w:rPr>
                <w:rFonts w:hint="default"/>
              </w:rPr>
            </w:pPr>
            <w:r>
              <w:rPr>
                <w:rFonts w:hint="default"/>
              </w:rPr>
              <w:t>0.073</w:t>
            </w:r>
          </w:p>
        </w:tc>
        <w:tc>
          <w:tcPr>
            <w:tcW w:w="572" w:type="pct"/>
            <w:vAlign w:val="center"/>
          </w:tcPr>
          <w:p w14:paraId="04D57334">
            <w:pPr>
              <w:pStyle w:val="42"/>
              <w:keepNext w:val="0"/>
              <w:keepLines w:val="0"/>
              <w:suppressLineNumbers w:val="0"/>
              <w:bidi w:val="0"/>
              <w:spacing w:before="0" w:beforeAutospacing="0" w:after="0" w:afterAutospacing="0"/>
              <w:rPr>
                <w:rFonts w:hint="default"/>
              </w:rPr>
            </w:pPr>
            <w:r>
              <w:rPr>
                <w:rFonts w:hint="default"/>
              </w:rPr>
              <w:t>0.076</w:t>
            </w:r>
          </w:p>
        </w:tc>
        <w:tc>
          <w:tcPr>
            <w:tcW w:w="491" w:type="pct"/>
            <w:vAlign w:val="center"/>
          </w:tcPr>
          <w:p w14:paraId="47FB35EC">
            <w:pPr>
              <w:pStyle w:val="42"/>
              <w:keepNext w:val="0"/>
              <w:keepLines w:val="0"/>
              <w:suppressLineNumbers w:val="0"/>
              <w:bidi w:val="0"/>
              <w:spacing w:before="0" w:beforeAutospacing="0" w:after="0" w:afterAutospacing="0"/>
              <w:rPr>
                <w:rFonts w:hint="default"/>
              </w:rPr>
            </w:pPr>
            <w:r>
              <w:rPr>
                <w:rFonts w:hint="default"/>
              </w:rPr>
              <w:t>1.0</w:t>
            </w:r>
          </w:p>
        </w:tc>
        <w:tc>
          <w:tcPr>
            <w:tcW w:w="599" w:type="pct"/>
            <w:vAlign w:val="center"/>
          </w:tcPr>
          <w:p w14:paraId="00B23635">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35936F1B">
            <w:pPr>
              <w:pStyle w:val="42"/>
              <w:keepNext w:val="0"/>
              <w:keepLines w:val="0"/>
              <w:suppressLineNumbers w:val="0"/>
              <w:bidi w:val="0"/>
              <w:spacing w:before="0" w:beforeAutospacing="0" w:after="0" w:afterAutospacing="0"/>
              <w:rPr>
                <w:rFonts w:hint="default"/>
              </w:rPr>
            </w:pPr>
            <w:r>
              <w:rPr>
                <w:rFonts w:hint="default"/>
              </w:rPr>
              <w:t>0</w:t>
            </w:r>
          </w:p>
        </w:tc>
      </w:tr>
      <w:tr w14:paraId="0B545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1C0778A7">
            <w:pPr>
              <w:pStyle w:val="42"/>
              <w:keepNext w:val="0"/>
              <w:keepLines w:val="0"/>
              <w:suppressLineNumbers w:val="0"/>
              <w:bidi w:val="0"/>
              <w:spacing w:before="0" w:beforeAutospacing="0" w:after="0" w:afterAutospacing="0"/>
              <w:rPr>
                <w:rFonts w:hint="default"/>
              </w:rPr>
            </w:pPr>
          </w:p>
        </w:tc>
        <w:tc>
          <w:tcPr>
            <w:tcW w:w="724" w:type="pct"/>
            <w:vAlign w:val="center"/>
          </w:tcPr>
          <w:p w14:paraId="5A9D82E4">
            <w:pPr>
              <w:pStyle w:val="42"/>
              <w:keepNext w:val="0"/>
              <w:keepLines w:val="0"/>
              <w:suppressLineNumbers w:val="0"/>
              <w:bidi w:val="0"/>
              <w:spacing w:before="0" w:beforeAutospacing="0" w:after="0" w:afterAutospacing="0"/>
              <w:rPr>
                <w:rFonts w:hint="default"/>
              </w:rPr>
            </w:pPr>
            <w:r>
              <w:rPr>
                <w:rFonts w:hint="default"/>
              </w:rPr>
              <w:t>总磷</w:t>
            </w:r>
          </w:p>
        </w:tc>
        <w:tc>
          <w:tcPr>
            <w:tcW w:w="572" w:type="pct"/>
            <w:vAlign w:val="center"/>
          </w:tcPr>
          <w:p w14:paraId="186C4551">
            <w:pPr>
              <w:pStyle w:val="42"/>
              <w:keepNext w:val="0"/>
              <w:keepLines w:val="0"/>
              <w:suppressLineNumbers w:val="0"/>
              <w:bidi w:val="0"/>
              <w:spacing w:before="0" w:beforeAutospacing="0" w:after="0" w:afterAutospacing="0"/>
              <w:rPr>
                <w:rFonts w:hint="default"/>
              </w:rPr>
            </w:pPr>
            <w:r>
              <w:rPr>
                <w:rFonts w:hint="default"/>
              </w:rPr>
              <w:t>0.02</w:t>
            </w:r>
          </w:p>
        </w:tc>
        <w:tc>
          <w:tcPr>
            <w:tcW w:w="572" w:type="pct"/>
            <w:vAlign w:val="center"/>
          </w:tcPr>
          <w:p w14:paraId="4E92C069">
            <w:pPr>
              <w:pStyle w:val="42"/>
              <w:keepNext w:val="0"/>
              <w:keepLines w:val="0"/>
              <w:suppressLineNumbers w:val="0"/>
              <w:bidi w:val="0"/>
              <w:spacing w:before="0" w:beforeAutospacing="0" w:after="0" w:afterAutospacing="0"/>
              <w:rPr>
                <w:rFonts w:hint="default"/>
              </w:rPr>
            </w:pPr>
            <w:r>
              <w:rPr>
                <w:rFonts w:hint="default"/>
              </w:rPr>
              <w:t>0.02</w:t>
            </w:r>
          </w:p>
        </w:tc>
        <w:tc>
          <w:tcPr>
            <w:tcW w:w="572" w:type="pct"/>
            <w:vAlign w:val="center"/>
          </w:tcPr>
          <w:p w14:paraId="75AD2DA7">
            <w:pPr>
              <w:pStyle w:val="42"/>
              <w:keepNext w:val="0"/>
              <w:keepLines w:val="0"/>
              <w:suppressLineNumbers w:val="0"/>
              <w:bidi w:val="0"/>
              <w:spacing w:before="0" w:beforeAutospacing="0" w:after="0" w:afterAutospacing="0"/>
              <w:rPr>
                <w:rFonts w:hint="default"/>
              </w:rPr>
            </w:pPr>
            <w:r>
              <w:rPr>
                <w:rFonts w:hint="default"/>
              </w:rPr>
              <w:t>0.01</w:t>
            </w:r>
          </w:p>
        </w:tc>
        <w:tc>
          <w:tcPr>
            <w:tcW w:w="491" w:type="pct"/>
            <w:vAlign w:val="center"/>
          </w:tcPr>
          <w:p w14:paraId="4C4127BF">
            <w:pPr>
              <w:pStyle w:val="42"/>
              <w:keepNext w:val="0"/>
              <w:keepLines w:val="0"/>
              <w:suppressLineNumbers w:val="0"/>
              <w:bidi w:val="0"/>
              <w:spacing w:before="0" w:beforeAutospacing="0" w:after="0" w:afterAutospacing="0"/>
              <w:rPr>
                <w:rFonts w:hint="default"/>
              </w:rPr>
            </w:pPr>
            <w:r>
              <w:rPr>
                <w:rFonts w:hint="default"/>
              </w:rPr>
              <w:t>0.2</w:t>
            </w:r>
          </w:p>
        </w:tc>
        <w:tc>
          <w:tcPr>
            <w:tcW w:w="599" w:type="pct"/>
            <w:vAlign w:val="center"/>
          </w:tcPr>
          <w:p w14:paraId="2A30F6C0">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5997E9D">
            <w:pPr>
              <w:pStyle w:val="42"/>
              <w:keepNext w:val="0"/>
              <w:keepLines w:val="0"/>
              <w:suppressLineNumbers w:val="0"/>
              <w:bidi w:val="0"/>
              <w:spacing w:before="0" w:beforeAutospacing="0" w:after="0" w:afterAutospacing="0"/>
              <w:rPr>
                <w:rFonts w:hint="default"/>
              </w:rPr>
            </w:pPr>
            <w:r>
              <w:rPr>
                <w:rFonts w:hint="default"/>
              </w:rPr>
              <w:t>0</w:t>
            </w:r>
          </w:p>
        </w:tc>
      </w:tr>
      <w:tr w14:paraId="507FD5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470" w:type="pct"/>
            <w:vMerge w:val="continue"/>
            <w:vAlign w:val="center"/>
          </w:tcPr>
          <w:p w14:paraId="772EBBDE">
            <w:pPr>
              <w:pStyle w:val="42"/>
              <w:keepNext w:val="0"/>
              <w:keepLines w:val="0"/>
              <w:suppressLineNumbers w:val="0"/>
              <w:bidi w:val="0"/>
              <w:spacing w:before="0" w:beforeAutospacing="0" w:after="0" w:afterAutospacing="0"/>
              <w:rPr>
                <w:rFonts w:hint="default"/>
              </w:rPr>
            </w:pPr>
          </w:p>
        </w:tc>
        <w:tc>
          <w:tcPr>
            <w:tcW w:w="724" w:type="pct"/>
            <w:vAlign w:val="center"/>
          </w:tcPr>
          <w:p w14:paraId="25FDF974">
            <w:pPr>
              <w:pStyle w:val="42"/>
              <w:keepNext w:val="0"/>
              <w:keepLines w:val="0"/>
              <w:suppressLineNumbers w:val="0"/>
              <w:bidi w:val="0"/>
              <w:spacing w:before="0" w:beforeAutospacing="0" w:after="0" w:afterAutospacing="0"/>
              <w:rPr>
                <w:rFonts w:hint="default"/>
              </w:rPr>
            </w:pPr>
            <w:r>
              <w:rPr>
                <w:rFonts w:hint="default"/>
              </w:rPr>
              <w:t>石油类</w:t>
            </w:r>
          </w:p>
        </w:tc>
        <w:tc>
          <w:tcPr>
            <w:tcW w:w="572" w:type="pct"/>
            <w:vAlign w:val="center"/>
          </w:tcPr>
          <w:p w14:paraId="51042A9E">
            <w:pPr>
              <w:pStyle w:val="42"/>
              <w:keepNext w:val="0"/>
              <w:keepLines w:val="0"/>
              <w:suppressLineNumbers w:val="0"/>
              <w:bidi w:val="0"/>
              <w:spacing w:before="0" w:beforeAutospacing="0" w:after="0" w:afterAutospacing="0"/>
              <w:rPr>
                <w:rFonts w:hint="default"/>
              </w:rPr>
            </w:pPr>
            <w:r>
              <w:rPr>
                <w:rFonts w:hint="default"/>
              </w:rPr>
              <w:t>0.01L</w:t>
            </w:r>
          </w:p>
        </w:tc>
        <w:tc>
          <w:tcPr>
            <w:tcW w:w="572" w:type="pct"/>
            <w:vAlign w:val="center"/>
          </w:tcPr>
          <w:p w14:paraId="2803C23E">
            <w:pPr>
              <w:pStyle w:val="42"/>
              <w:keepNext w:val="0"/>
              <w:keepLines w:val="0"/>
              <w:suppressLineNumbers w:val="0"/>
              <w:bidi w:val="0"/>
              <w:spacing w:before="0" w:beforeAutospacing="0" w:after="0" w:afterAutospacing="0"/>
              <w:rPr>
                <w:rFonts w:hint="default"/>
              </w:rPr>
            </w:pPr>
            <w:r>
              <w:rPr>
                <w:rFonts w:hint="default"/>
              </w:rPr>
              <w:t>0.01L</w:t>
            </w:r>
          </w:p>
        </w:tc>
        <w:tc>
          <w:tcPr>
            <w:tcW w:w="572" w:type="pct"/>
            <w:vAlign w:val="center"/>
          </w:tcPr>
          <w:p w14:paraId="44BD6F5C">
            <w:pPr>
              <w:pStyle w:val="42"/>
              <w:keepNext w:val="0"/>
              <w:keepLines w:val="0"/>
              <w:suppressLineNumbers w:val="0"/>
              <w:bidi w:val="0"/>
              <w:spacing w:before="0" w:beforeAutospacing="0" w:after="0" w:afterAutospacing="0"/>
              <w:rPr>
                <w:rFonts w:hint="default"/>
              </w:rPr>
            </w:pPr>
            <w:r>
              <w:rPr>
                <w:rFonts w:hint="default"/>
              </w:rPr>
              <w:t>0.01L</w:t>
            </w:r>
          </w:p>
        </w:tc>
        <w:tc>
          <w:tcPr>
            <w:tcW w:w="491" w:type="pct"/>
            <w:vAlign w:val="center"/>
          </w:tcPr>
          <w:p w14:paraId="0BE6FC10">
            <w:pPr>
              <w:pStyle w:val="42"/>
              <w:keepNext w:val="0"/>
              <w:keepLines w:val="0"/>
              <w:suppressLineNumbers w:val="0"/>
              <w:bidi w:val="0"/>
              <w:spacing w:before="0" w:beforeAutospacing="0" w:after="0" w:afterAutospacing="0"/>
              <w:rPr>
                <w:rFonts w:hint="default"/>
              </w:rPr>
            </w:pPr>
            <w:r>
              <w:rPr>
                <w:rFonts w:hint="default"/>
              </w:rPr>
              <w:t>0.05</w:t>
            </w:r>
          </w:p>
        </w:tc>
        <w:tc>
          <w:tcPr>
            <w:tcW w:w="599" w:type="pct"/>
            <w:vAlign w:val="center"/>
          </w:tcPr>
          <w:p w14:paraId="5706C065">
            <w:pPr>
              <w:pStyle w:val="42"/>
              <w:keepNext w:val="0"/>
              <w:keepLines w:val="0"/>
              <w:suppressLineNumbers w:val="0"/>
              <w:bidi w:val="0"/>
              <w:spacing w:before="0" w:beforeAutospacing="0" w:after="0" w:afterAutospacing="0"/>
              <w:rPr>
                <w:rFonts w:hint="default"/>
              </w:rPr>
            </w:pPr>
            <w:r>
              <w:rPr>
                <w:rFonts w:hint="default"/>
              </w:rPr>
              <w:t>0</w:t>
            </w:r>
          </w:p>
        </w:tc>
        <w:tc>
          <w:tcPr>
            <w:tcW w:w="998" w:type="pct"/>
            <w:vAlign w:val="center"/>
          </w:tcPr>
          <w:p w14:paraId="15191654">
            <w:pPr>
              <w:pStyle w:val="42"/>
              <w:keepNext w:val="0"/>
              <w:keepLines w:val="0"/>
              <w:suppressLineNumbers w:val="0"/>
              <w:bidi w:val="0"/>
              <w:spacing w:before="0" w:beforeAutospacing="0" w:after="0" w:afterAutospacing="0"/>
              <w:rPr>
                <w:rFonts w:hint="default"/>
              </w:rPr>
            </w:pPr>
            <w:r>
              <w:rPr>
                <w:rFonts w:hint="default"/>
              </w:rPr>
              <w:t>0</w:t>
            </w:r>
          </w:p>
        </w:tc>
      </w:tr>
      <w:tr w14:paraId="396B0D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blHeader/>
          <w:jc w:val="center"/>
        </w:trPr>
        <w:tc>
          <w:tcPr>
            <w:tcW w:w="5000" w:type="pct"/>
            <w:gridSpan w:val="8"/>
            <w:vAlign w:val="center"/>
          </w:tcPr>
          <w:p w14:paraId="38CC343A">
            <w:pPr>
              <w:pStyle w:val="42"/>
              <w:keepNext w:val="0"/>
              <w:keepLines w:val="0"/>
              <w:suppressLineNumbers w:val="0"/>
              <w:bidi w:val="0"/>
              <w:spacing w:before="0" w:beforeAutospacing="0" w:after="0" w:afterAutospacing="0"/>
              <w:rPr>
                <w:rFonts w:hint="default"/>
              </w:rPr>
            </w:pPr>
            <w:r>
              <w:rPr>
                <w:rFonts w:hint="default"/>
              </w:rPr>
              <w:t>备注：1、“检出限+L”表示检测结果低于本方法检出限，未检出。</w:t>
            </w:r>
          </w:p>
        </w:tc>
      </w:tr>
    </w:tbl>
    <w:p w14:paraId="63D93C57">
      <w:pPr>
        <w:bidi w:val="0"/>
        <w:rPr>
          <w:rFonts w:hint="default"/>
          <w:lang w:val="en-US" w:eastAsia="zh-CN"/>
        </w:rPr>
      </w:pPr>
      <w:r>
        <w:rPr>
          <w:rFonts w:hint="default"/>
          <w:lang w:val="en-US" w:eastAsia="zh-CN"/>
        </w:rPr>
        <w:t>由上表可知，湘江及各监测断面中各因子均达到《地表水环境质量标准》（GB3838-2002）中的Ⅲ类标准。</w:t>
      </w:r>
    </w:p>
    <w:p w14:paraId="5F964550">
      <w:pPr>
        <w:pStyle w:val="6"/>
        <w:rPr>
          <w:rFonts w:hint="default" w:ascii="Times New Roman" w:hAnsi="Times New Roman" w:cs="Times New Roman"/>
          <w:color w:val="auto"/>
          <w:highlight w:val="none"/>
          <w:u w:val="none" w:color="auto"/>
        </w:rPr>
      </w:pPr>
      <w:bookmarkStart w:id="146" w:name="_Toc2664"/>
      <w:r>
        <w:rPr>
          <w:rFonts w:hint="default" w:ascii="Times New Roman" w:hAnsi="Times New Roman" w:cs="Times New Roman"/>
          <w:color w:val="auto"/>
          <w:highlight w:val="none"/>
          <w:u w:val="none" w:color="auto"/>
        </w:rPr>
        <w:t>地下水环境质量</w:t>
      </w:r>
      <w:bookmarkEnd w:id="146"/>
    </w:p>
    <w:p w14:paraId="558C1937">
      <w:pPr>
        <w:bidi w:val="0"/>
        <w:rPr>
          <w:rFonts w:hint="eastAsia" w:ascii="Times New Roman" w:hAnsi="Times New Roman" w:cs="Times New Roman"/>
          <w:color w:val="auto"/>
          <w:highlight w:val="none"/>
          <w:u w:val="none" w:color="auto"/>
          <w:lang w:eastAsia="zh-CN"/>
        </w:rPr>
      </w:pPr>
      <w:r>
        <w:rPr>
          <w:rFonts w:hint="eastAsia" w:ascii="Times New Roman" w:hAnsi="Times New Roman" w:cs="Times New Roman"/>
          <w:color w:val="auto"/>
          <w:highlight w:val="none"/>
          <w:u w:val="none" w:color="auto"/>
          <w:lang w:val="en-US" w:eastAsia="zh-CN"/>
        </w:rPr>
        <w:t>为了了解为了解项目区域地下水环境质量</w:t>
      </w:r>
      <w:r>
        <w:rPr>
          <w:rFonts w:hint="default" w:ascii="Times New Roman" w:hAnsi="Times New Roman" w:cs="Times New Roman"/>
          <w:color w:val="auto"/>
          <w:highlight w:val="none"/>
          <w:u w:val="none" w:color="auto"/>
        </w:rPr>
        <w:t>，本次环评</w:t>
      </w:r>
      <w:r>
        <w:rPr>
          <w:rFonts w:hint="eastAsia" w:ascii="Times New Roman" w:hAnsi="Times New Roman" w:cs="Times New Roman"/>
          <w:color w:val="auto"/>
          <w:highlight w:val="none"/>
          <w:u w:val="none" w:color="auto"/>
          <w:lang w:val="en-US" w:eastAsia="zh-CN"/>
        </w:rPr>
        <w:t>收集了</w:t>
      </w:r>
      <w:r>
        <w:rPr>
          <w:rFonts w:hint="default" w:ascii="Times New Roman" w:hAnsi="Times New Roman" w:cs="Times New Roman"/>
          <w:color w:val="auto"/>
          <w:highlight w:val="none"/>
          <w:u w:val="none" w:color="auto"/>
        </w:rPr>
        <w:t>《岳阳厚浦废旧锂电池三元正极材料再生利用项目环境影响报告书》中湖南乾诚检测有限公司2022年10月24日</w:t>
      </w:r>
      <w:r>
        <w:rPr>
          <w:rFonts w:hint="eastAsia" w:ascii="Times New Roman" w:hAnsi="Times New Roman" w:cs="Times New Roman"/>
          <w:color w:val="auto"/>
          <w:highlight w:val="none"/>
          <w:u w:val="none" w:color="auto"/>
          <w:lang w:val="en-US" w:eastAsia="zh-CN"/>
        </w:rPr>
        <w:t>及</w:t>
      </w:r>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湖南朗赛废旧磷酸铁锂电池绿色高效循环利用项目</w:t>
      </w:r>
      <w:r>
        <w:rPr>
          <w:rFonts w:hint="eastAsia" w:ascii="Times New Roman" w:hAnsi="Times New Roman" w:cs="Times New Roman"/>
          <w:color w:val="auto"/>
          <w:highlight w:val="none"/>
          <w:u w:val="none" w:color="auto"/>
          <w:lang w:eastAsia="zh-CN"/>
        </w:rPr>
        <w:t>》</w:t>
      </w:r>
      <w:r>
        <w:rPr>
          <w:rFonts w:hint="eastAsia" w:cs="Times New Roman"/>
          <w:color w:val="auto"/>
          <w:szCs w:val="22"/>
          <w:highlight w:val="none"/>
          <w:u w:val="none" w:color="auto"/>
          <w:lang w:eastAsia="zh-CN"/>
        </w:rPr>
        <w:t>湖南乾诚检测有限公司202</w:t>
      </w:r>
      <w:r>
        <w:rPr>
          <w:rFonts w:hint="eastAsia" w:cs="Times New Roman"/>
          <w:color w:val="auto"/>
          <w:szCs w:val="22"/>
          <w:highlight w:val="none"/>
          <w:u w:val="none" w:color="auto"/>
          <w:lang w:val="en-US" w:eastAsia="zh-CN"/>
        </w:rPr>
        <w:t>3</w:t>
      </w:r>
      <w:r>
        <w:rPr>
          <w:rFonts w:hint="eastAsia" w:cs="Times New Roman"/>
          <w:color w:val="auto"/>
          <w:szCs w:val="22"/>
          <w:highlight w:val="none"/>
          <w:u w:val="none" w:color="auto"/>
          <w:lang w:eastAsia="zh-CN"/>
        </w:rPr>
        <w:t>年</w:t>
      </w:r>
      <w:r>
        <w:rPr>
          <w:rFonts w:hint="eastAsia" w:cs="Times New Roman"/>
          <w:color w:val="auto"/>
          <w:szCs w:val="22"/>
          <w:highlight w:val="none"/>
          <w:u w:val="none" w:color="auto"/>
          <w:lang w:val="en-US" w:eastAsia="zh-CN"/>
        </w:rPr>
        <w:t>9</w:t>
      </w:r>
      <w:r>
        <w:rPr>
          <w:rFonts w:hint="eastAsia" w:cs="Times New Roman"/>
          <w:color w:val="auto"/>
          <w:szCs w:val="22"/>
          <w:highlight w:val="none"/>
          <w:u w:val="none" w:color="auto"/>
          <w:lang w:eastAsia="zh-CN"/>
        </w:rPr>
        <w:t>月</w:t>
      </w:r>
      <w:r>
        <w:rPr>
          <w:rFonts w:hint="eastAsia" w:cs="Times New Roman"/>
          <w:color w:val="auto"/>
          <w:szCs w:val="22"/>
          <w:highlight w:val="none"/>
          <w:u w:val="none" w:color="auto"/>
          <w:lang w:val="en-US" w:eastAsia="zh-CN"/>
        </w:rPr>
        <w:t>17</w:t>
      </w:r>
      <w:r>
        <w:rPr>
          <w:rFonts w:hint="eastAsia" w:cs="Times New Roman"/>
          <w:color w:val="auto"/>
          <w:szCs w:val="22"/>
          <w:highlight w:val="none"/>
          <w:u w:val="none" w:color="auto"/>
          <w:lang w:eastAsia="zh-CN"/>
        </w:rPr>
        <w:t>日的地下水监测数据</w:t>
      </w:r>
      <w:r>
        <w:rPr>
          <w:rFonts w:hint="eastAsia" w:ascii="Times New Roman" w:hAnsi="Times New Roman" w:cs="Times New Roman"/>
          <w:color w:val="auto"/>
          <w:highlight w:val="none"/>
          <w:u w:val="none" w:color="auto"/>
          <w:lang w:eastAsia="zh-CN"/>
        </w:rPr>
        <w:t>。</w:t>
      </w:r>
    </w:p>
    <w:p w14:paraId="23398155">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（1）监测点位、监测因子、监测时间及监测频次</w:t>
      </w:r>
    </w:p>
    <w:p w14:paraId="488EA4B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本次设置</w:t>
      </w:r>
      <w:r>
        <w:rPr>
          <w:rFonts w:hint="eastAsia" w:ascii="Times New Roman" w:hAnsi="Times New Roman" w:cs="Times New Roman"/>
          <w:color w:val="auto"/>
          <w:highlight w:val="none"/>
          <w:u w:val="none" w:color="auto"/>
          <w:lang w:val="en-US" w:eastAsia="zh-CN"/>
        </w:rPr>
        <w:t>了</w:t>
      </w:r>
      <w:r>
        <w:rPr>
          <w:rFonts w:hint="default" w:ascii="Times New Roman" w:hAnsi="Times New Roman" w:cs="Times New Roman"/>
          <w:color w:val="auto"/>
          <w:highlight w:val="none"/>
          <w:u w:val="none" w:color="auto"/>
        </w:rPr>
        <w:t>地下水水质监测点</w:t>
      </w:r>
      <w:r>
        <w:rPr>
          <w:rFonts w:hint="eastAsia"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rPr>
        <w:t>个，地下水水位监测点1</w:t>
      </w:r>
      <w:r>
        <w:rPr>
          <w:rFonts w:hint="eastAsia"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rPr>
        <w:t>个，根据《环境影响评价技术导则地下水环境》（HJ 610-2016），二级评价潜水含水层的水质监测点应不小于5个，水位点大于水质点的2倍，因此在评价区布设地下水监测点可满足导则要求。</w:t>
      </w:r>
      <w:r>
        <w:rPr>
          <w:rFonts w:hint="eastAsia" w:ascii="Times New Roman" w:hAnsi="Times New Roman" w:cs="Times New Roman"/>
          <w:color w:val="auto"/>
          <w:highlight w:val="none"/>
          <w:u w:val="none" w:color="auto"/>
          <w:lang w:val="en-US" w:eastAsia="zh-CN"/>
        </w:rPr>
        <w:t>监测布点</w:t>
      </w:r>
      <w:r>
        <w:rPr>
          <w:rFonts w:hint="default" w:ascii="Times New Roman" w:hAnsi="Times New Roman" w:cs="Times New Roman"/>
          <w:color w:val="auto"/>
          <w:highlight w:val="none"/>
          <w:u w:val="none" w:color="auto"/>
        </w:rPr>
        <w:t>如下：</w:t>
      </w:r>
    </w:p>
    <w:p w14:paraId="56121C8C">
      <w:pPr>
        <w:pStyle w:val="39"/>
        <w:bidi w:val="0"/>
        <w:rPr>
          <w:rFonts w:hint="default" w:ascii="Times New Roman" w:hAnsi="Times New Roman" w:cs="Times New Roman"/>
          <w:b/>
          <w:color w:val="auto"/>
          <w:szCs w:val="22"/>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5.3-8</w:t>
      </w:r>
      <w:r>
        <w:rPr>
          <w:rFonts w:hint="default" w:ascii="Times New Roman" w:hAnsi="Times New Roman" w:cs="Times New Roman"/>
          <w:color w:val="auto"/>
          <w:highlight w:val="none"/>
          <w:u w:val="none" w:color="auto"/>
        </w:rPr>
        <w:t xml:space="preserve">   地下水环境质量监测布点信息表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5"/>
        <w:gridCol w:w="1321"/>
        <w:gridCol w:w="1562"/>
        <w:gridCol w:w="1263"/>
        <w:gridCol w:w="2298"/>
        <w:gridCol w:w="1109"/>
      </w:tblGrid>
      <w:tr w14:paraId="614A6E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566" w:type="pct"/>
            <w:vAlign w:val="center"/>
          </w:tcPr>
          <w:p w14:paraId="62BB76B5">
            <w:pPr>
              <w:pStyle w:val="42"/>
              <w:keepNext w:val="0"/>
              <w:keepLines w:val="0"/>
              <w:suppressLineNumbers w:val="0"/>
              <w:bidi w:val="0"/>
              <w:spacing w:before="0" w:beforeAutospacing="0" w:after="0" w:afterAutospacing="0"/>
              <w:rPr>
                <w:rFonts w:hint="default"/>
                <w:highlight w:val="none"/>
              </w:rPr>
            </w:pPr>
            <w:r>
              <w:rPr>
                <w:rFonts w:hint="default"/>
                <w:highlight w:val="none"/>
              </w:rPr>
              <w:t>监测点位</w:t>
            </w:r>
          </w:p>
        </w:tc>
        <w:tc>
          <w:tcPr>
            <w:tcW w:w="775" w:type="pct"/>
            <w:vAlign w:val="center"/>
          </w:tcPr>
          <w:p w14:paraId="5A1BAA75">
            <w:pPr>
              <w:pStyle w:val="42"/>
              <w:keepNext w:val="0"/>
              <w:keepLines w:val="0"/>
              <w:suppressLineNumbers w:val="0"/>
              <w:bidi w:val="0"/>
              <w:spacing w:before="0" w:beforeAutospacing="0" w:after="0" w:afterAutospacing="0"/>
              <w:rPr>
                <w:rFonts w:hint="default"/>
                <w:highlight w:val="none"/>
              </w:rPr>
            </w:pPr>
            <w:r>
              <w:rPr>
                <w:rFonts w:hint="default"/>
                <w:highlight w:val="none"/>
              </w:rPr>
              <w:t>位置</w:t>
            </w:r>
          </w:p>
        </w:tc>
        <w:tc>
          <w:tcPr>
            <w:tcW w:w="916" w:type="pct"/>
            <w:vAlign w:val="center"/>
          </w:tcPr>
          <w:p w14:paraId="2C1323D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rPr>
              <w:t>与项目相对方位</w:t>
            </w:r>
          </w:p>
        </w:tc>
        <w:tc>
          <w:tcPr>
            <w:tcW w:w="741" w:type="pct"/>
            <w:vAlign w:val="center"/>
          </w:tcPr>
          <w:p w14:paraId="55A0493C">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eastAsia="zh-CN"/>
              </w:rPr>
              <w:t>与地下水流向关系</w:t>
            </w:r>
          </w:p>
        </w:tc>
        <w:tc>
          <w:tcPr>
            <w:tcW w:w="1348" w:type="pct"/>
            <w:vAlign w:val="center"/>
          </w:tcPr>
          <w:p w14:paraId="7FDE6C79">
            <w:pPr>
              <w:pStyle w:val="42"/>
              <w:keepNext w:val="0"/>
              <w:keepLines w:val="0"/>
              <w:suppressLineNumbers w:val="0"/>
              <w:bidi w:val="0"/>
              <w:spacing w:before="0" w:beforeAutospacing="0" w:after="0" w:afterAutospacing="0"/>
              <w:rPr>
                <w:rFonts w:hint="default"/>
                <w:highlight w:val="none"/>
              </w:rPr>
            </w:pPr>
            <w:r>
              <w:rPr>
                <w:rFonts w:hint="eastAsia"/>
                <w:highlight w:val="none"/>
                <w:lang w:eastAsia="zh-CN"/>
              </w:rPr>
              <w:t>监测</w:t>
            </w:r>
            <w:r>
              <w:rPr>
                <w:rFonts w:hint="default"/>
                <w:highlight w:val="none"/>
              </w:rPr>
              <w:t>因子</w:t>
            </w:r>
          </w:p>
        </w:tc>
        <w:tc>
          <w:tcPr>
            <w:tcW w:w="650" w:type="pct"/>
            <w:vAlign w:val="center"/>
          </w:tcPr>
          <w:p w14:paraId="1359C127">
            <w:pPr>
              <w:pStyle w:val="42"/>
              <w:keepNext w:val="0"/>
              <w:keepLines w:val="0"/>
              <w:suppressLineNumbers w:val="0"/>
              <w:bidi w:val="0"/>
              <w:spacing w:before="0" w:beforeAutospacing="0" w:after="0" w:afterAutospacing="0"/>
              <w:rPr>
                <w:rFonts w:hint="default"/>
                <w:highlight w:val="none"/>
              </w:rPr>
            </w:pPr>
            <w:r>
              <w:rPr>
                <w:rFonts w:hint="default"/>
                <w:highlight w:val="none"/>
              </w:rPr>
              <w:t>监测</w:t>
            </w:r>
          </w:p>
          <w:p w14:paraId="27C168FD">
            <w:pPr>
              <w:pStyle w:val="42"/>
              <w:keepNext w:val="0"/>
              <w:keepLines w:val="0"/>
              <w:suppressLineNumbers w:val="0"/>
              <w:bidi w:val="0"/>
              <w:spacing w:before="0" w:beforeAutospacing="0" w:after="0" w:afterAutospacing="0"/>
              <w:rPr>
                <w:rFonts w:hint="default"/>
                <w:highlight w:val="none"/>
              </w:rPr>
            </w:pPr>
            <w:r>
              <w:rPr>
                <w:rFonts w:hint="default"/>
                <w:highlight w:val="none"/>
              </w:rPr>
              <w:t>频次</w:t>
            </w:r>
          </w:p>
        </w:tc>
      </w:tr>
      <w:tr w14:paraId="597DDF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566" w:type="pct"/>
            <w:vAlign w:val="center"/>
          </w:tcPr>
          <w:p w14:paraId="6B255A81">
            <w:pPr>
              <w:pStyle w:val="42"/>
              <w:keepNext w:val="0"/>
              <w:keepLines w:val="0"/>
              <w:suppressLineNumbers w:val="0"/>
              <w:bidi w:val="0"/>
              <w:spacing w:before="0" w:beforeAutospacing="0" w:after="0" w:afterAutospacing="0"/>
              <w:rPr>
                <w:rFonts w:hint="default"/>
              </w:rPr>
            </w:pPr>
            <w:r>
              <w:rPr>
                <w:rFonts w:hint="default"/>
              </w:rPr>
              <w:t>D1</w:t>
            </w:r>
          </w:p>
        </w:tc>
        <w:tc>
          <w:tcPr>
            <w:tcW w:w="775" w:type="pct"/>
            <w:vAlign w:val="center"/>
          </w:tcPr>
          <w:p w14:paraId="1376BC80">
            <w:pPr>
              <w:pStyle w:val="42"/>
              <w:keepNext w:val="0"/>
              <w:keepLines w:val="0"/>
              <w:suppressLineNumbers w:val="0"/>
              <w:bidi w:val="0"/>
              <w:spacing w:before="0" w:beforeAutospacing="0" w:after="0" w:afterAutospacing="0"/>
              <w:rPr>
                <w:rFonts w:hint="eastAsia"/>
                <w:lang w:eastAsia="zh-CN"/>
              </w:rPr>
            </w:pPr>
            <w:r>
              <w:rPr>
                <w:rFonts w:hint="eastAsia"/>
                <w:lang w:eastAsia="zh-CN"/>
              </w:rPr>
              <w:t>陈家大屋</w:t>
            </w:r>
          </w:p>
        </w:tc>
        <w:tc>
          <w:tcPr>
            <w:tcW w:w="916" w:type="pct"/>
            <w:vAlign w:val="center"/>
          </w:tcPr>
          <w:p w14:paraId="0CBCAAB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南</w:t>
            </w:r>
            <w:r>
              <w:rPr>
                <w:rFonts w:hint="eastAsia"/>
                <w:lang w:eastAsia="zh-CN"/>
              </w:rPr>
              <w:t>侧</w:t>
            </w:r>
            <w:r>
              <w:rPr>
                <w:rFonts w:hint="eastAsia"/>
                <w:lang w:val="en-US" w:eastAsia="zh-CN"/>
              </w:rPr>
              <w:t>500</w:t>
            </w:r>
            <w:r>
              <w:rPr>
                <w:rFonts w:hint="default"/>
              </w:rPr>
              <w:t>m</w:t>
            </w:r>
          </w:p>
        </w:tc>
        <w:tc>
          <w:tcPr>
            <w:tcW w:w="741" w:type="pct"/>
            <w:vAlign w:val="center"/>
          </w:tcPr>
          <w:p w14:paraId="2490240B">
            <w:pPr>
              <w:pStyle w:val="42"/>
              <w:keepNext w:val="0"/>
              <w:keepLines w:val="0"/>
              <w:suppressLineNumbers w:val="0"/>
              <w:bidi w:val="0"/>
              <w:spacing w:before="0" w:beforeAutospacing="0" w:after="0" w:afterAutospacing="0"/>
              <w:rPr>
                <w:rFonts w:hint="eastAsia"/>
                <w:lang w:eastAsia="zh-CN"/>
              </w:rPr>
            </w:pPr>
            <w:r>
              <w:rPr>
                <w:rFonts w:hint="eastAsia"/>
                <w:lang w:eastAsia="zh-CN"/>
              </w:rPr>
              <w:t>项目两侧</w:t>
            </w:r>
          </w:p>
        </w:tc>
        <w:tc>
          <w:tcPr>
            <w:tcW w:w="1348" w:type="pct"/>
            <w:vMerge w:val="restart"/>
            <w:vAlign w:val="center"/>
          </w:tcPr>
          <w:p w14:paraId="6095FD40">
            <w:pPr>
              <w:pStyle w:val="42"/>
              <w:keepNext w:val="0"/>
              <w:keepLines w:val="0"/>
              <w:suppressLineNumbers w:val="0"/>
              <w:bidi w:val="0"/>
              <w:spacing w:before="0" w:beforeAutospacing="0" w:after="0" w:afterAutospacing="0"/>
              <w:rPr>
                <w:rFonts w:hint="eastAsia"/>
                <w:lang w:eastAsia="zh-CN"/>
              </w:rPr>
            </w:pPr>
            <w:r>
              <w:rPr>
                <w:rFonts w:hint="default"/>
              </w:rPr>
              <w:t>水位、K+、Na+、Ca</w:t>
            </w:r>
            <w:r>
              <w:rPr>
                <w:rFonts w:hint="default"/>
                <w:vertAlign w:val="superscript"/>
              </w:rPr>
              <w:t>2+</w:t>
            </w:r>
            <w:r>
              <w:rPr>
                <w:rFonts w:hint="default"/>
              </w:rPr>
              <w:t>、Mg</w:t>
            </w:r>
            <w:r>
              <w:rPr>
                <w:rFonts w:hint="default"/>
                <w:vertAlign w:val="superscript"/>
              </w:rPr>
              <w:t>2+</w:t>
            </w:r>
            <w:r>
              <w:rPr>
                <w:rFonts w:hint="default"/>
              </w:rPr>
              <w:t>、CO</w:t>
            </w:r>
            <w:r>
              <w:rPr>
                <w:rFonts w:hint="default"/>
                <w:vertAlign w:val="subscript"/>
              </w:rPr>
              <w:t>3</w:t>
            </w:r>
            <w:r>
              <w:rPr>
                <w:rFonts w:hint="default"/>
                <w:vertAlign w:val="superscript"/>
              </w:rPr>
              <w:t>2-</w:t>
            </w:r>
            <w:r>
              <w:rPr>
                <w:rFonts w:hint="default"/>
              </w:rPr>
              <w:t>、HCO</w:t>
            </w:r>
            <w:r>
              <w:rPr>
                <w:rFonts w:hint="default"/>
                <w:vertAlign w:val="superscript"/>
              </w:rPr>
              <w:t>3-</w:t>
            </w:r>
            <w:r>
              <w:rPr>
                <w:rFonts w:hint="default"/>
              </w:rPr>
              <w:t>、Cl</w:t>
            </w:r>
            <w:r>
              <w:rPr>
                <w:rFonts w:hint="default"/>
                <w:vertAlign w:val="superscript"/>
              </w:rPr>
              <w:t>-</w:t>
            </w:r>
            <w:r>
              <w:rPr>
                <w:rFonts w:hint="default"/>
              </w:rPr>
              <w:t>、SO</w:t>
            </w:r>
            <w:r>
              <w:rPr>
                <w:rFonts w:hint="default"/>
                <w:vertAlign w:val="subscript"/>
              </w:rPr>
              <w:t>4</w:t>
            </w:r>
            <w:r>
              <w:rPr>
                <w:rFonts w:hint="default"/>
                <w:vertAlign w:val="superscript"/>
              </w:rPr>
              <w:t>2-</w:t>
            </w:r>
            <w:r>
              <w:rPr>
                <w:rFonts w:hint="default"/>
              </w:rPr>
              <w:t>、pH、氨氮、硝酸盐、亚硝酸盐、挥发性酚类、氰化物、砷、汞、铬（六价）、总硬度、铅、氟化物、镉、铁、</w:t>
            </w:r>
            <w:r>
              <w:rPr>
                <w:rFonts w:hint="eastAsia"/>
                <w:lang w:eastAsia="zh-CN"/>
              </w:rPr>
              <w:t>锰、</w:t>
            </w:r>
            <w:r>
              <w:rPr>
                <w:rFonts w:hint="default"/>
              </w:rPr>
              <w:t>溶解性总固体、</w:t>
            </w:r>
            <w:r>
              <w:rPr>
                <w:rFonts w:hint="eastAsia"/>
                <w:lang w:eastAsia="zh-CN"/>
              </w:rPr>
              <w:t>耗氧量</w:t>
            </w:r>
            <w:r>
              <w:rPr>
                <w:rFonts w:hint="default"/>
              </w:rPr>
              <w:t>、硫酸盐、氯化物、总大肠菌群、细菌总数、硫化物</w:t>
            </w:r>
            <w:r>
              <w:rPr>
                <w:rFonts w:hint="eastAsia"/>
                <w:lang w:eastAsia="zh-CN"/>
              </w:rPr>
              <w:t>、镍、锌</w:t>
            </w:r>
          </w:p>
        </w:tc>
        <w:tc>
          <w:tcPr>
            <w:tcW w:w="650" w:type="pct"/>
            <w:vMerge w:val="restart"/>
            <w:vAlign w:val="center"/>
          </w:tcPr>
          <w:p w14:paraId="74D7496A">
            <w:pPr>
              <w:pStyle w:val="42"/>
              <w:keepNext w:val="0"/>
              <w:keepLines w:val="0"/>
              <w:suppressLineNumbers w:val="0"/>
              <w:bidi w:val="0"/>
              <w:spacing w:before="0" w:beforeAutospacing="0" w:after="0" w:afterAutospacing="0"/>
              <w:rPr>
                <w:rFonts w:hint="default"/>
              </w:rPr>
            </w:pPr>
            <w:r>
              <w:rPr>
                <w:rFonts w:hint="default"/>
              </w:rPr>
              <w:t>监测1天，每天1次</w:t>
            </w:r>
          </w:p>
        </w:tc>
      </w:tr>
      <w:tr w14:paraId="4C1DD2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0" w:hRule="atLeast"/>
          <w:jc w:val="center"/>
        </w:trPr>
        <w:tc>
          <w:tcPr>
            <w:tcW w:w="566" w:type="pct"/>
            <w:vAlign w:val="center"/>
          </w:tcPr>
          <w:p w14:paraId="45E47C65">
            <w:pPr>
              <w:pStyle w:val="42"/>
              <w:keepNext w:val="0"/>
              <w:keepLines w:val="0"/>
              <w:suppressLineNumbers w:val="0"/>
              <w:bidi w:val="0"/>
              <w:spacing w:before="0" w:beforeAutospacing="0" w:after="0" w:afterAutospacing="0"/>
              <w:rPr>
                <w:rFonts w:hint="default"/>
              </w:rPr>
            </w:pPr>
            <w:r>
              <w:rPr>
                <w:rFonts w:hint="default"/>
              </w:rPr>
              <w:t>D2</w:t>
            </w:r>
          </w:p>
        </w:tc>
        <w:tc>
          <w:tcPr>
            <w:tcW w:w="775" w:type="pct"/>
            <w:vAlign w:val="center"/>
          </w:tcPr>
          <w:p w14:paraId="77A818DA">
            <w:pPr>
              <w:pStyle w:val="42"/>
              <w:keepNext w:val="0"/>
              <w:keepLines w:val="0"/>
              <w:suppressLineNumbers w:val="0"/>
              <w:bidi w:val="0"/>
              <w:spacing w:before="0" w:beforeAutospacing="0" w:after="0" w:afterAutospacing="0"/>
              <w:rPr>
                <w:rFonts w:hint="eastAsia"/>
                <w:lang w:val="en-US" w:eastAsia="zh-CN"/>
              </w:rPr>
            </w:pPr>
            <w:r>
              <w:rPr>
                <w:rFonts w:hint="default"/>
              </w:rPr>
              <w:t>新南村</w:t>
            </w:r>
            <w:r>
              <w:rPr>
                <w:rFonts w:hint="eastAsia"/>
                <w:lang w:eastAsia="zh-CN"/>
              </w:rPr>
              <w:t>（引用厚浦）</w:t>
            </w:r>
          </w:p>
        </w:tc>
        <w:tc>
          <w:tcPr>
            <w:tcW w:w="916" w:type="pct"/>
            <w:vAlign w:val="center"/>
          </w:tcPr>
          <w:p w14:paraId="3DD0E00A">
            <w:pPr>
              <w:pStyle w:val="42"/>
              <w:keepNext w:val="0"/>
              <w:keepLines w:val="0"/>
              <w:suppressLineNumbers w:val="0"/>
              <w:bidi w:val="0"/>
              <w:spacing w:before="0" w:beforeAutospacing="0" w:after="0" w:afterAutospacing="0"/>
              <w:rPr>
                <w:rFonts w:hint="default"/>
                <w:lang w:val="en-US" w:eastAsia="zh-CN"/>
              </w:rPr>
            </w:pPr>
            <w:r>
              <w:rPr>
                <w:rFonts w:hint="default"/>
              </w:rPr>
              <w:t>东</w:t>
            </w:r>
            <w:r>
              <w:rPr>
                <w:rFonts w:hint="eastAsia"/>
                <w:lang w:val="en-US" w:eastAsia="zh-CN"/>
              </w:rPr>
              <w:t>南</w:t>
            </w:r>
            <w:r>
              <w:rPr>
                <w:rFonts w:hint="default"/>
              </w:rPr>
              <w:t>侧</w:t>
            </w:r>
            <w:r>
              <w:rPr>
                <w:rFonts w:hint="eastAsia"/>
                <w:lang w:val="en-US" w:eastAsia="zh-CN"/>
              </w:rPr>
              <w:t>23</w:t>
            </w:r>
            <w:r>
              <w:rPr>
                <w:rFonts w:hint="default"/>
              </w:rPr>
              <w:t>00m</w:t>
            </w:r>
          </w:p>
        </w:tc>
        <w:tc>
          <w:tcPr>
            <w:tcW w:w="741" w:type="pct"/>
            <w:vAlign w:val="center"/>
          </w:tcPr>
          <w:p w14:paraId="42ECDA73">
            <w:pPr>
              <w:pStyle w:val="42"/>
              <w:keepNext w:val="0"/>
              <w:keepLines w:val="0"/>
              <w:suppressLineNumbers w:val="0"/>
              <w:bidi w:val="0"/>
              <w:spacing w:before="0" w:beforeAutospacing="0" w:after="0" w:afterAutospacing="0"/>
              <w:rPr>
                <w:rFonts w:hint="default"/>
                <w:lang w:val="en-US" w:eastAsia="zh-CN"/>
              </w:rPr>
            </w:pPr>
            <w:r>
              <w:rPr>
                <w:rFonts w:hint="eastAsia"/>
                <w:lang w:eastAsia="zh-CN"/>
              </w:rPr>
              <w:t>上游</w:t>
            </w:r>
          </w:p>
        </w:tc>
        <w:tc>
          <w:tcPr>
            <w:tcW w:w="1348" w:type="pct"/>
            <w:vMerge w:val="continue"/>
            <w:vAlign w:val="center"/>
          </w:tcPr>
          <w:p w14:paraId="391295A4">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6ECEEB55">
            <w:pPr>
              <w:pStyle w:val="42"/>
              <w:keepNext w:val="0"/>
              <w:keepLines w:val="0"/>
              <w:suppressLineNumbers w:val="0"/>
              <w:bidi w:val="0"/>
              <w:spacing w:before="0" w:beforeAutospacing="0" w:after="0" w:afterAutospacing="0"/>
              <w:rPr>
                <w:rFonts w:hint="default"/>
              </w:rPr>
            </w:pPr>
          </w:p>
        </w:tc>
      </w:tr>
      <w:tr w14:paraId="5B9D70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6" w:type="pct"/>
            <w:vAlign w:val="center"/>
          </w:tcPr>
          <w:p w14:paraId="5BA124BC">
            <w:pPr>
              <w:pStyle w:val="42"/>
              <w:keepNext w:val="0"/>
              <w:keepLines w:val="0"/>
              <w:suppressLineNumbers w:val="0"/>
              <w:bidi w:val="0"/>
              <w:spacing w:before="0" w:beforeAutospacing="0" w:after="0" w:afterAutospacing="0"/>
              <w:rPr>
                <w:rFonts w:hint="eastAsia"/>
                <w:lang w:val="en-US" w:eastAsia="zh-CN"/>
              </w:rPr>
            </w:pPr>
            <w:r>
              <w:rPr>
                <w:rFonts w:hint="default"/>
              </w:rPr>
              <w:t>D</w:t>
            </w:r>
            <w:r>
              <w:rPr>
                <w:rFonts w:hint="eastAsia"/>
                <w:lang w:val="en-US" w:eastAsia="zh-CN"/>
              </w:rPr>
              <w:t>3</w:t>
            </w:r>
          </w:p>
        </w:tc>
        <w:tc>
          <w:tcPr>
            <w:tcW w:w="775" w:type="pct"/>
            <w:vAlign w:val="center"/>
          </w:tcPr>
          <w:p w14:paraId="38BFA6EE">
            <w:pPr>
              <w:pStyle w:val="42"/>
              <w:keepNext w:val="0"/>
              <w:keepLines w:val="0"/>
              <w:suppressLineNumbers w:val="0"/>
              <w:bidi w:val="0"/>
              <w:spacing w:before="0" w:beforeAutospacing="0" w:after="0" w:afterAutospacing="0"/>
              <w:rPr>
                <w:rFonts w:hint="default"/>
                <w:lang w:val="en-US" w:eastAsia="zh-CN"/>
              </w:rPr>
            </w:pPr>
            <w:r>
              <w:rPr>
                <w:rFonts w:hint="default"/>
              </w:rPr>
              <w:t>洞井湾</w:t>
            </w:r>
          </w:p>
        </w:tc>
        <w:tc>
          <w:tcPr>
            <w:tcW w:w="916" w:type="pct"/>
            <w:vAlign w:val="center"/>
          </w:tcPr>
          <w:p w14:paraId="4CBC06A1">
            <w:pPr>
              <w:pStyle w:val="42"/>
              <w:keepNext w:val="0"/>
              <w:keepLines w:val="0"/>
              <w:suppressLineNumbers w:val="0"/>
              <w:bidi w:val="0"/>
              <w:spacing w:before="0" w:beforeAutospacing="0" w:after="0" w:afterAutospacing="0"/>
              <w:rPr>
                <w:rFonts w:hint="default"/>
                <w:lang w:val="en-US" w:eastAsia="zh-CN"/>
              </w:rPr>
            </w:pPr>
            <w:r>
              <w:rPr>
                <w:rFonts w:hint="default"/>
              </w:rPr>
              <w:t>南侧</w:t>
            </w:r>
            <w:r>
              <w:rPr>
                <w:rFonts w:hint="eastAsia"/>
                <w:lang w:val="en-US" w:eastAsia="zh-CN"/>
              </w:rPr>
              <w:t>2600</w:t>
            </w:r>
            <w:r>
              <w:rPr>
                <w:rFonts w:hint="default"/>
              </w:rPr>
              <w:t>m</w:t>
            </w:r>
          </w:p>
        </w:tc>
        <w:tc>
          <w:tcPr>
            <w:tcW w:w="741" w:type="pct"/>
            <w:vAlign w:val="center"/>
          </w:tcPr>
          <w:p w14:paraId="7545D225">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项目两侧</w:t>
            </w:r>
          </w:p>
        </w:tc>
        <w:tc>
          <w:tcPr>
            <w:tcW w:w="1348" w:type="pct"/>
            <w:vMerge w:val="continue"/>
            <w:vAlign w:val="center"/>
          </w:tcPr>
          <w:p w14:paraId="5694A21C">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1C0D68F6">
            <w:pPr>
              <w:pStyle w:val="42"/>
              <w:keepNext w:val="0"/>
              <w:keepLines w:val="0"/>
              <w:suppressLineNumbers w:val="0"/>
              <w:bidi w:val="0"/>
              <w:spacing w:before="0" w:beforeAutospacing="0" w:after="0" w:afterAutospacing="0"/>
              <w:rPr>
                <w:rFonts w:hint="default"/>
              </w:rPr>
            </w:pPr>
          </w:p>
        </w:tc>
      </w:tr>
      <w:tr w14:paraId="6C178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6" w:type="pct"/>
            <w:vAlign w:val="center"/>
          </w:tcPr>
          <w:p w14:paraId="191EFB49">
            <w:pPr>
              <w:pStyle w:val="42"/>
              <w:keepNext w:val="0"/>
              <w:keepLines w:val="0"/>
              <w:suppressLineNumbers w:val="0"/>
              <w:bidi w:val="0"/>
              <w:spacing w:before="0" w:beforeAutospacing="0" w:after="0" w:afterAutospacing="0"/>
              <w:rPr>
                <w:rFonts w:hint="eastAsia"/>
                <w:lang w:val="en-US" w:eastAsia="zh-CN"/>
              </w:rPr>
            </w:pPr>
            <w:r>
              <w:rPr>
                <w:rFonts w:hint="default"/>
              </w:rPr>
              <w:t>D</w:t>
            </w:r>
            <w:r>
              <w:rPr>
                <w:rFonts w:hint="eastAsia"/>
                <w:lang w:val="en-US" w:eastAsia="zh-CN"/>
              </w:rPr>
              <w:t>5</w:t>
            </w:r>
          </w:p>
        </w:tc>
        <w:tc>
          <w:tcPr>
            <w:tcW w:w="775" w:type="pct"/>
            <w:vAlign w:val="center"/>
          </w:tcPr>
          <w:p w14:paraId="6312620B">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向家塅</w:t>
            </w:r>
          </w:p>
        </w:tc>
        <w:tc>
          <w:tcPr>
            <w:tcW w:w="916" w:type="pct"/>
            <w:vAlign w:val="center"/>
          </w:tcPr>
          <w:p w14:paraId="6D3FEF9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南</w:t>
            </w:r>
            <w:r>
              <w:rPr>
                <w:rFonts w:hint="default"/>
              </w:rPr>
              <w:t>侧</w:t>
            </w:r>
            <w:r>
              <w:rPr>
                <w:rFonts w:hint="eastAsia"/>
                <w:lang w:val="en-US" w:eastAsia="zh-CN"/>
              </w:rPr>
              <w:t>1300</w:t>
            </w:r>
            <w:r>
              <w:rPr>
                <w:rFonts w:hint="default"/>
              </w:rPr>
              <w:t>m</w:t>
            </w:r>
          </w:p>
        </w:tc>
        <w:tc>
          <w:tcPr>
            <w:tcW w:w="741" w:type="pct"/>
            <w:vAlign w:val="center"/>
          </w:tcPr>
          <w:p w14:paraId="14C91DD5">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项目两侧</w:t>
            </w:r>
          </w:p>
        </w:tc>
        <w:tc>
          <w:tcPr>
            <w:tcW w:w="1348" w:type="pct"/>
            <w:vMerge w:val="continue"/>
            <w:vAlign w:val="center"/>
          </w:tcPr>
          <w:p w14:paraId="330C567B">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7D66BAC3">
            <w:pPr>
              <w:pStyle w:val="42"/>
              <w:keepNext w:val="0"/>
              <w:keepLines w:val="0"/>
              <w:suppressLineNumbers w:val="0"/>
              <w:bidi w:val="0"/>
              <w:spacing w:before="0" w:beforeAutospacing="0" w:after="0" w:afterAutospacing="0"/>
              <w:rPr>
                <w:rFonts w:hint="default"/>
              </w:rPr>
            </w:pPr>
          </w:p>
        </w:tc>
      </w:tr>
      <w:tr w14:paraId="326705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66" w:type="pct"/>
            <w:vAlign w:val="center"/>
          </w:tcPr>
          <w:p w14:paraId="3111FD2F">
            <w:pPr>
              <w:pStyle w:val="42"/>
              <w:keepNext w:val="0"/>
              <w:keepLines w:val="0"/>
              <w:suppressLineNumbers w:val="0"/>
              <w:bidi w:val="0"/>
              <w:spacing w:before="0" w:beforeAutospacing="0" w:after="0" w:afterAutospacing="0"/>
              <w:rPr>
                <w:rFonts w:hint="default"/>
                <w:lang w:val="en-US" w:eastAsia="zh-CN"/>
              </w:rPr>
            </w:pPr>
            <w:r>
              <w:rPr>
                <w:rFonts w:hint="default"/>
              </w:rPr>
              <w:t>D6</w:t>
            </w:r>
          </w:p>
        </w:tc>
        <w:tc>
          <w:tcPr>
            <w:tcW w:w="775" w:type="pct"/>
            <w:vAlign w:val="center"/>
          </w:tcPr>
          <w:p w14:paraId="4B648C2F">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砚家坡</w:t>
            </w:r>
          </w:p>
        </w:tc>
        <w:tc>
          <w:tcPr>
            <w:tcW w:w="916" w:type="pct"/>
            <w:vAlign w:val="center"/>
          </w:tcPr>
          <w:p w14:paraId="3136AB74">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西</w:t>
            </w:r>
            <w:r>
              <w:rPr>
                <w:rFonts w:hint="eastAsia"/>
                <w:lang w:val="en-US" w:eastAsia="zh-CN"/>
              </w:rPr>
              <w:t>南</w:t>
            </w:r>
            <w:r>
              <w:rPr>
                <w:rFonts w:hint="default"/>
              </w:rPr>
              <w:t>侧</w:t>
            </w:r>
            <w:r>
              <w:rPr>
                <w:rFonts w:hint="eastAsia"/>
                <w:lang w:val="en-US" w:eastAsia="zh-CN"/>
              </w:rPr>
              <w:t>1950</w:t>
            </w:r>
            <w:r>
              <w:rPr>
                <w:rFonts w:hint="default"/>
              </w:rPr>
              <w:t>m</w:t>
            </w:r>
          </w:p>
        </w:tc>
        <w:tc>
          <w:tcPr>
            <w:tcW w:w="741" w:type="pct"/>
            <w:vAlign w:val="center"/>
          </w:tcPr>
          <w:p w14:paraId="103E8A5A">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下游</w:t>
            </w:r>
          </w:p>
        </w:tc>
        <w:tc>
          <w:tcPr>
            <w:tcW w:w="1348" w:type="pct"/>
            <w:vMerge w:val="continue"/>
            <w:vAlign w:val="center"/>
          </w:tcPr>
          <w:p w14:paraId="73EB83A7">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21A41281">
            <w:pPr>
              <w:pStyle w:val="42"/>
              <w:keepNext w:val="0"/>
              <w:keepLines w:val="0"/>
              <w:suppressLineNumbers w:val="0"/>
              <w:bidi w:val="0"/>
              <w:spacing w:before="0" w:beforeAutospacing="0" w:after="0" w:afterAutospacing="0"/>
              <w:rPr>
                <w:rFonts w:hint="default"/>
              </w:rPr>
            </w:pPr>
          </w:p>
        </w:tc>
      </w:tr>
      <w:tr w14:paraId="47CA1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66" w:type="pct"/>
            <w:vAlign w:val="center"/>
          </w:tcPr>
          <w:p w14:paraId="2338DCE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D7</w:t>
            </w:r>
          </w:p>
        </w:tc>
        <w:tc>
          <w:tcPr>
            <w:tcW w:w="775" w:type="pct"/>
            <w:vAlign w:val="center"/>
          </w:tcPr>
          <w:p w14:paraId="5D9CA721">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熊家岭</w:t>
            </w:r>
          </w:p>
        </w:tc>
        <w:tc>
          <w:tcPr>
            <w:tcW w:w="916" w:type="pct"/>
            <w:vAlign w:val="center"/>
          </w:tcPr>
          <w:p w14:paraId="5EAA119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西南侧2200m</w:t>
            </w:r>
          </w:p>
        </w:tc>
        <w:tc>
          <w:tcPr>
            <w:tcW w:w="741" w:type="pct"/>
            <w:vAlign w:val="center"/>
          </w:tcPr>
          <w:p w14:paraId="564E782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下游</w:t>
            </w:r>
          </w:p>
        </w:tc>
        <w:tc>
          <w:tcPr>
            <w:tcW w:w="1348" w:type="pct"/>
            <w:vMerge w:val="continue"/>
            <w:vAlign w:val="center"/>
          </w:tcPr>
          <w:p w14:paraId="01D50E70">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5ED94960">
            <w:pPr>
              <w:pStyle w:val="42"/>
              <w:keepNext w:val="0"/>
              <w:keepLines w:val="0"/>
              <w:suppressLineNumbers w:val="0"/>
              <w:bidi w:val="0"/>
              <w:spacing w:before="0" w:beforeAutospacing="0" w:after="0" w:afterAutospacing="0"/>
              <w:rPr>
                <w:rFonts w:hint="default"/>
              </w:rPr>
            </w:pPr>
          </w:p>
        </w:tc>
      </w:tr>
      <w:tr w14:paraId="065F31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66" w:type="pct"/>
            <w:vAlign w:val="center"/>
          </w:tcPr>
          <w:p w14:paraId="3F4076C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D8</w:t>
            </w:r>
          </w:p>
        </w:tc>
        <w:tc>
          <w:tcPr>
            <w:tcW w:w="775" w:type="pct"/>
            <w:vAlign w:val="center"/>
          </w:tcPr>
          <w:p w14:paraId="2D641316">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童家垄</w:t>
            </w:r>
          </w:p>
        </w:tc>
        <w:tc>
          <w:tcPr>
            <w:tcW w:w="916" w:type="pct"/>
            <w:vAlign w:val="center"/>
          </w:tcPr>
          <w:p w14:paraId="720414A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西南侧2300m</w:t>
            </w:r>
          </w:p>
        </w:tc>
        <w:tc>
          <w:tcPr>
            <w:tcW w:w="741" w:type="pct"/>
            <w:vAlign w:val="center"/>
          </w:tcPr>
          <w:p w14:paraId="427361B8">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下游</w:t>
            </w:r>
          </w:p>
        </w:tc>
        <w:tc>
          <w:tcPr>
            <w:tcW w:w="1348" w:type="pct"/>
            <w:vMerge w:val="continue"/>
            <w:vAlign w:val="center"/>
          </w:tcPr>
          <w:p w14:paraId="04672072">
            <w:pPr>
              <w:pStyle w:val="42"/>
              <w:keepNext w:val="0"/>
              <w:keepLines w:val="0"/>
              <w:suppressLineNumbers w:val="0"/>
              <w:bidi w:val="0"/>
              <w:spacing w:before="0" w:beforeAutospacing="0" w:after="0" w:afterAutospacing="0"/>
              <w:rPr>
                <w:rFonts w:hint="default"/>
              </w:rPr>
            </w:pPr>
          </w:p>
        </w:tc>
        <w:tc>
          <w:tcPr>
            <w:tcW w:w="650" w:type="pct"/>
            <w:vMerge w:val="continue"/>
            <w:vAlign w:val="center"/>
          </w:tcPr>
          <w:p w14:paraId="4D095D65">
            <w:pPr>
              <w:pStyle w:val="42"/>
              <w:keepNext w:val="0"/>
              <w:keepLines w:val="0"/>
              <w:suppressLineNumbers w:val="0"/>
              <w:bidi w:val="0"/>
              <w:spacing w:before="0" w:beforeAutospacing="0" w:after="0" w:afterAutospacing="0"/>
              <w:rPr>
                <w:rFonts w:hint="default"/>
              </w:rPr>
            </w:pPr>
          </w:p>
        </w:tc>
      </w:tr>
      <w:tr w14:paraId="3C904E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66" w:type="pct"/>
            <w:vAlign w:val="center"/>
          </w:tcPr>
          <w:p w14:paraId="4FA51F8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D9</w:t>
            </w:r>
          </w:p>
        </w:tc>
        <w:tc>
          <w:tcPr>
            <w:tcW w:w="775" w:type="pct"/>
            <w:vAlign w:val="center"/>
          </w:tcPr>
          <w:p w14:paraId="742F0CD8">
            <w:pPr>
              <w:pStyle w:val="42"/>
              <w:keepNext w:val="0"/>
              <w:keepLines w:val="0"/>
              <w:suppressLineNumbers w:val="0"/>
              <w:bidi w:val="0"/>
              <w:spacing w:before="0" w:beforeAutospacing="0" w:after="0" w:afterAutospacing="0"/>
              <w:rPr>
                <w:rFonts w:hint="eastAsia"/>
                <w:lang w:eastAsia="zh-CN"/>
              </w:rPr>
            </w:pPr>
            <w:r>
              <w:rPr>
                <w:rFonts w:hint="eastAsia"/>
                <w:lang w:eastAsia="zh-CN"/>
              </w:rPr>
              <w:t>杨家坝</w:t>
            </w:r>
          </w:p>
        </w:tc>
        <w:tc>
          <w:tcPr>
            <w:tcW w:w="916" w:type="pct"/>
            <w:vAlign w:val="center"/>
          </w:tcPr>
          <w:p w14:paraId="5C82FAA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西南侧2350m</w:t>
            </w:r>
          </w:p>
        </w:tc>
        <w:tc>
          <w:tcPr>
            <w:tcW w:w="741" w:type="pct"/>
            <w:vAlign w:val="center"/>
          </w:tcPr>
          <w:p w14:paraId="694B9D6C">
            <w:pPr>
              <w:pStyle w:val="42"/>
              <w:keepNext w:val="0"/>
              <w:keepLines w:val="0"/>
              <w:suppressLineNumbers w:val="0"/>
              <w:bidi w:val="0"/>
              <w:spacing w:before="0" w:beforeAutospacing="0" w:after="0" w:afterAutospacing="0"/>
              <w:rPr>
                <w:rFonts w:hint="eastAsia"/>
                <w:lang w:eastAsia="zh-CN"/>
              </w:rPr>
            </w:pPr>
            <w:r>
              <w:rPr>
                <w:rFonts w:hint="eastAsia"/>
                <w:lang w:eastAsia="zh-CN"/>
              </w:rPr>
              <w:t>下游</w:t>
            </w:r>
          </w:p>
        </w:tc>
        <w:tc>
          <w:tcPr>
            <w:tcW w:w="1348" w:type="pct"/>
            <w:vAlign w:val="center"/>
          </w:tcPr>
          <w:p w14:paraId="655EAD24">
            <w:pPr>
              <w:pStyle w:val="42"/>
              <w:keepNext w:val="0"/>
              <w:keepLines w:val="0"/>
              <w:suppressLineNumbers w:val="0"/>
              <w:bidi w:val="0"/>
              <w:spacing w:before="0" w:beforeAutospacing="0" w:after="0" w:afterAutospacing="0"/>
              <w:rPr>
                <w:rFonts w:hint="default"/>
              </w:rPr>
            </w:pPr>
            <w:r>
              <w:rPr>
                <w:rFonts w:hint="eastAsia"/>
                <w:lang w:eastAsia="zh-CN"/>
              </w:rPr>
              <w:t>水位</w:t>
            </w:r>
          </w:p>
        </w:tc>
        <w:tc>
          <w:tcPr>
            <w:tcW w:w="650" w:type="pct"/>
            <w:vMerge w:val="continue"/>
            <w:vAlign w:val="center"/>
          </w:tcPr>
          <w:p w14:paraId="630D9F3A">
            <w:pPr>
              <w:pStyle w:val="42"/>
              <w:keepNext w:val="0"/>
              <w:keepLines w:val="0"/>
              <w:suppressLineNumbers w:val="0"/>
              <w:bidi w:val="0"/>
              <w:spacing w:before="0" w:beforeAutospacing="0" w:after="0" w:afterAutospacing="0"/>
              <w:rPr>
                <w:rFonts w:hint="default"/>
              </w:rPr>
            </w:pPr>
          </w:p>
        </w:tc>
      </w:tr>
      <w:tr w14:paraId="3167D0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66" w:type="pct"/>
            <w:vAlign w:val="center"/>
          </w:tcPr>
          <w:p w14:paraId="6694EB4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D10</w:t>
            </w:r>
          </w:p>
        </w:tc>
        <w:tc>
          <w:tcPr>
            <w:tcW w:w="775" w:type="pct"/>
            <w:vAlign w:val="center"/>
          </w:tcPr>
          <w:p w14:paraId="05C8D57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桃树坡</w:t>
            </w:r>
          </w:p>
        </w:tc>
        <w:tc>
          <w:tcPr>
            <w:tcW w:w="916" w:type="pct"/>
            <w:vAlign w:val="center"/>
          </w:tcPr>
          <w:p w14:paraId="3D651F10">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西南侧2630m</w:t>
            </w:r>
          </w:p>
        </w:tc>
        <w:tc>
          <w:tcPr>
            <w:tcW w:w="741" w:type="pct"/>
            <w:vAlign w:val="center"/>
          </w:tcPr>
          <w:p w14:paraId="71F1CAD9">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下游</w:t>
            </w:r>
          </w:p>
        </w:tc>
        <w:tc>
          <w:tcPr>
            <w:tcW w:w="1348" w:type="pct"/>
            <w:vAlign w:val="center"/>
          </w:tcPr>
          <w:p w14:paraId="1832B93A">
            <w:pPr>
              <w:pStyle w:val="42"/>
              <w:keepNext w:val="0"/>
              <w:keepLines w:val="0"/>
              <w:suppressLineNumbers w:val="0"/>
              <w:bidi w:val="0"/>
              <w:spacing w:before="0" w:beforeAutospacing="0" w:after="0" w:afterAutospacing="0"/>
              <w:rPr>
                <w:rFonts w:hint="eastAsia"/>
                <w:lang w:eastAsia="zh-CN"/>
              </w:rPr>
            </w:pPr>
            <w:r>
              <w:rPr>
                <w:rFonts w:hint="eastAsia"/>
                <w:lang w:eastAsia="zh-CN"/>
              </w:rPr>
              <w:t>水位</w:t>
            </w:r>
          </w:p>
        </w:tc>
        <w:tc>
          <w:tcPr>
            <w:tcW w:w="650" w:type="pct"/>
            <w:vMerge w:val="continue"/>
            <w:vAlign w:val="center"/>
          </w:tcPr>
          <w:p w14:paraId="25009A93">
            <w:pPr>
              <w:pStyle w:val="42"/>
              <w:keepNext w:val="0"/>
              <w:keepLines w:val="0"/>
              <w:suppressLineNumbers w:val="0"/>
              <w:bidi w:val="0"/>
              <w:spacing w:before="0" w:beforeAutospacing="0" w:after="0" w:afterAutospacing="0"/>
              <w:rPr>
                <w:rFonts w:hint="default"/>
              </w:rPr>
            </w:pPr>
          </w:p>
        </w:tc>
      </w:tr>
      <w:tr w14:paraId="6438DE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6" w:type="pct"/>
            <w:vAlign w:val="center"/>
          </w:tcPr>
          <w:p w14:paraId="412DFB62">
            <w:pPr>
              <w:pStyle w:val="42"/>
              <w:keepNext w:val="0"/>
              <w:keepLines w:val="0"/>
              <w:suppressLineNumbers w:val="0"/>
              <w:bidi w:val="0"/>
              <w:spacing w:before="0" w:beforeAutospacing="0" w:after="0" w:afterAutospacing="0"/>
              <w:rPr>
                <w:rFonts w:hint="default"/>
                <w:lang w:val="en-US" w:eastAsia="zh-CN"/>
              </w:rPr>
            </w:pPr>
            <w:r>
              <w:rPr>
                <w:rFonts w:hint="default"/>
              </w:rPr>
              <w:t>D</w:t>
            </w:r>
            <w:r>
              <w:rPr>
                <w:rFonts w:hint="eastAsia"/>
                <w:lang w:val="en-US" w:eastAsia="zh-CN"/>
              </w:rPr>
              <w:t>11</w:t>
            </w:r>
          </w:p>
        </w:tc>
        <w:tc>
          <w:tcPr>
            <w:tcW w:w="775" w:type="pct"/>
            <w:vAlign w:val="center"/>
          </w:tcPr>
          <w:p w14:paraId="35B2B03C">
            <w:pPr>
              <w:pStyle w:val="42"/>
              <w:keepNext w:val="0"/>
              <w:keepLines w:val="0"/>
              <w:suppressLineNumbers w:val="0"/>
              <w:bidi w:val="0"/>
              <w:spacing w:before="0" w:beforeAutospacing="0" w:after="0" w:afterAutospacing="0"/>
              <w:rPr>
                <w:rFonts w:hint="default"/>
                <w:lang w:val="en-US" w:eastAsia="zh-CN"/>
              </w:rPr>
            </w:pPr>
            <w:r>
              <w:rPr>
                <w:rFonts w:hint="eastAsia"/>
                <w:lang w:eastAsia="zh-CN"/>
              </w:rPr>
              <w:t>顾家大屋</w:t>
            </w:r>
          </w:p>
        </w:tc>
        <w:tc>
          <w:tcPr>
            <w:tcW w:w="916" w:type="pct"/>
            <w:vAlign w:val="center"/>
          </w:tcPr>
          <w:p w14:paraId="3163BD1D">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西南侧3370m</w:t>
            </w:r>
          </w:p>
        </w:tc>
        <w:tc>
          <w:tcPr>
            <w:tcW w:w="741" w:type="pct"/>
            <w:vAlign w:val="center"/>
          </w:tcPr>
          <w:p w14:paraId="39CDAF29">
            <w:pPr>
              <w:pStyle w:val="42"/>
              <w:keepNext w:val="0"/>
              <w:keepLines w:val="0"/>
              <w:suppressLineNumbers w:val="0"/>
              <w:bidi w:val="0"/>
              <w:spacing w:before="0" w:beforeAutospacing="0" w:after="0" w:afterAutospacing="0"/>
              <w:rPr>
                <w:rFonts w:hint="eastAsia"/>
                <w:lang w:val="en-US" w:eastAsia="zh-CN"/>
              </w:rPr>
            </w:pPr>
            <w:r>
              <w:rPr>
                <w:rFonts w:hint="eastAsia"/>
                <w:lang w:eastAsia="zh-CN"/>
              </w:rPr>
              <w:t>下游</w:t>
            </w:r>
          </w:p>
        </w:tc>
        <w:tc>
          <w:tcPr>
            <w:tcW w:w="1348" w:type="pct"/>
            <w:vAlign w:val="center"/>
          </w:tcPr>
          <w:p w14:paraId="5F162716">
            <w:pPr>
              <w:pStyle w:val="42"/>
              <w:keepNext w:val="0"/>
              <w:keepLines w:val="0"/>
              <w:suppressLineNumbers w:val="0"/>
              <w:bidi w:val="0"/>
              <w:spacing w:before="0" w:beforeAutospacing="0" w:after="0" w:afterAutospacing="0"/>
              <w:rPr>
                <w:rFonts w:hint="default"/>
                <w:lang w:val="en-US" w:eastAsia="zh-CN"/>
              </w:rPr>
            </w:pPr>
            <w:r>
              <w:rPr>
                <w:rFonts w:hint="eastAsia"/>
                <w:lang w:eastAsia="zh-CN"/>
              </w:rPr>
              <w:t>水位</w:t>
            </w:r>
          </w:p>
        </w:tc>
        <w:tc>
          <w:tcPr>
            <w:tcW w:w="650" w:type="pct"/>
            <w:vMerge w:val="continue"/>
            <w:vAlign w:val="center"/>
          </w:tcPr>
          <w:p w14:paraId="4C9BE13E">
            <w:pPr>
              <w:pStyle w:val="42"/>
              <w:keepNext w:val="0"/>
              <w:keepLines w:val="0"/>
              <w:suppressLineNumbers w:val="0"/>
              <w:bidi w:val="0"/>
              <w:spacing w:before="0" w:beforeAutospacing="0" w:after="0" w:afterAutospacing="0"/>
              <w:rPr>
                <w:rFonts w:hint="default"/>
              </w:rPr>
            </w:pPr>
          </w:p>
        </w:tc>
      </w:tr>
      <w:tr w14:paraId="3BA3C9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66" w:type="pct"/>
            <w:vAlign w:val="center"/>
          </w:tcPr>
          <w:p w14:paraId="053F56C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D4</w:t>
            </w:r>
          </w:p>
        </w:tc>
        <w:tc>
          <w:tcPr>
            <w:tcW w:w="775" w:type="pct"/>
            <w:vAlign w:val="center"/>
          </w:tcPr>
          <w:p w14:paraId="0EC8C4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刘家老屋</w:t>
            </w:r>
          </w:p>
        </w:tc>
        <w:tc>
          <w:tcPr>
            <w:tcW w:w="916" w:type="pct"/>
            <w:vAlign w:val="center"/>
          </w:tcPr>
          <w:p w14:paraId="61EA98A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东南侧2700m</w:t>
            </w:r>
          </w:p>
        </w:tc>
        <w:tc>
          <w:tcPr>
            <w:tcW w:w="741" w:type="pct"/>
            <w:vAlign w:val="center"/>
          </w:tcPr>
          <w:p w14:paraId="07B8C9B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上游</w:t>
            </w:r>
          </w:p>
        </w:tc>
        <w:tc>
          <w:tcPr>
            <w:tcW w:w="1348" w:type="pct"/>
            <w:vAlign w:val="center"/>
          </w:tcPr>
          <w:p w14:paraId="44C66A7B">
            <w:pPr>
              <w:pStyle w:val="42"/>
              <w:keepNext w:val="0"/>
              <w:keepLines w:val="0"/>
              <w:suppressLineNumbers w:val="0"/>
              <w:bidi w:val="0"/>
              <w:spacing w:before="0" w:beforeAutospacing="0" w:after="0" w:afterAutospacing="0"/>
              <w:rPr>
                <w:rFonts w:hint="eastAsia"/>
                <w:lang w:eastAsia="zh-CN"/>
              </w:rPr>
            </w:pPr>
            <w:r>
              <w:rPr>
                <w:rFonts w:hint="eastAsia"/>
                <w:lang w:eastAsia="zh-CN"/>
              </w:rPr>
              <w:t>水位</w:t>
            </w:r>
          </w:p>
        </w:tc>
        <w:tc>
          <w:tcPr>
            <w:tcW w:w="650" w:type="pct"/>
            <w:vMerge w:val="continue"/>
            <w:vAlign w:val="center"/>
          </w:tcPr>
          <w:p w14:paraId="11BBA2AE">
            <w:pPr>
              <w:pStyle w:val="42"/>
              <w:keepNext w:val="0"/>
              <w:keepLines w:val="0"/>
              <w:suppressLineNumbers w:val="0"/>
              <w:bidi w:val="0"/>
              <w:spacing w:before="0" w:beforeAutospacing="0" w:after="0" w:afterAutospacing="0"/>
              <w:rPr>
                <w:rFonts w:hint="default"/>
              </w:rPr>
            </w:pPr>
          </w:p>
        </w:tc>
      </w:tr>
    </w:tbl>
    <w:p w14:paraId="038C22A8">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（2）评价标准及评价方法</w:t>
      </w:r>
    </w:p>
    <w:p w14:paraId="7375A7C9">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地下水质执行《地下水质量标准》（GB/T14848-2017）III类标准。</w:t>
      </w:r>
    </w:p>
    <w:p w14:paraId="0ECEA0B7">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采用《环境影响评价技术导则—地下水环境》（HJ 610-2016）推荐的标准指数法对地下水环境质量现状进行评价。标准指数&gt;1，表明该水质因子已超标，标准指数越大，超标越严重。标准指数的计算方法如下：</w:t>
      </w:r>
    </w:p>
    <w:p w14:paraId="53CE281A">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①对于评价标准为定值的水质因子</w:t>
      </w:r>
    </w:p>
    <w:p w14:paraId="04A0480D">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Pi＝Ci/Csi</w:t>
      </w:r>
    </w:p>
    <w:p w14:paraId="4C611BFF">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式中：Pi</w:t>
      </w:r>
      <w:r>
        <w:rPr>
          <w:rFonts w:hint="default" w:ascii="Times New Roman" w:hAnsi="Times New Roman" w:cs="Times New Roman"/>
          <w:color w:val="auto"/>
          <w:highlight w:val="none"/>
          <w:u w:val="none" w:color="auto"/>
          <w:lang w:eastAsia="zh-CN"/>
        </w:rPr>
        <w:tab/>
      </w:r>
      <w:r>
        <w:rPr>
          <w:rFonts w:hint="default" w:ascii="Times New Roman" w:hAnsi="Times New Roman" w:cs="Times New Roman"/>
          <w:color w:val="auto"/>
          <w:highlight w:val="none"/>
          <w:u w:val="none" w:color="auto"/>
          <w:lang w:eastAsia="zh-CN"/>
        </w:rPr>
        <w:t>——第i个水质因子的标准指数，量纲为1；</w:t>
      </w:r>
    </w:p>
    <w:p w14:paraId="38E2031D">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Ci</w:t>
      </w:r>
      <w:r>
        <w:rPr>
          <w:rFonts w:hint="default" w:ascii="Times New Roman" w:hAnsi="Times New Roman" w:cs="Times New Roman"/>
          <w:color w:val="auto"/>
          <w:highlight w:val="none"/>
          <w:u w:val="none" w:color="auto"/>
          <w:lang w:eastAsia="zh-CN"/>
        </w:rPr>
        <w:tab/>
      </w:r>
      <w:r>
        <w:rPr>
          <w:rFonts w:hint="default" w:ascii="Times New Roman" w:hAnsi="Times New Roman" w:cs="Times New Roman"/>
          <w:color w:val="auto"/>
          <w:highlight w:val="none"/>
          <w:u w:val="none" w:color="auto"/>
          <w:lang w:eastAsia="zh-CN"/>
        </w:rPr>
        <w:t>——第i个水质因子的监测浓度值，mg/L；</w:t>
      </w:r>
    </w:p>
    <w:p w14:paraId="08C7581A">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Csi</w:t>
      </w:r>
      <w:r>
        <w:rPr>
          <w:rFonts w:hint="default" w:ascii="Times New Roman" w:hAnsi="Times New Roman" w:cs="Times New Roman"/>
          <w:color w:val="auto"/>
          <w:highlight w:val="none"/>
          <w:u w:val="none" w:color="auto"/>
          <w:lang w:eastAsia="zh-CN"/>
        </w:rPr>
        <w:tab/>
      </w:r>
      <w:r>
        <w:rPr>
          <w:rFonts w:hint="default" w:ascii="Times New Roman" w:hAnsi="Times New Roman" w:cs="Times New Roman"/>
          <w:color w:val="auto"/>
          <w:highlight w:val="none"/>
          <w:u w:val="none" w:color="auto"/>
          <w:lang w:eastAsia="zh-CN"/>
        </w:rPr>
        <w:t>——第i个水质因子的标准浓度值，mg/L。</w:t>
      </w:r>
    </w:p>
    <w:p w14:paraId="4DA5B9CB">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②）对于评价标准为区间值的水质因子（如pH）</w:t>
      </w:r>
    </w:p>
    <w:p w14:paraId="59387021">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w:t>
      </w:r>
      <w:r>
        <w:rPr>
          <w:rFonts w:hint="default" w:ascii="Times New Roman" w:hAnsi="Times New Roman" w:cs="Times New Roman"/>
          <w:color w:val="auto"/>
          <w:highlight w:val="none"/>
          <w:u w:val="none" w:color="auto"/>
          <w:vertAlign w:val="subscript"/>
          <w:lang w:eastAsia="zh-CN"/>
        </w:rPr>
        <w:t>pH</w:t>
      </w:r>
      <w:r>
        <w:rPr>
          <w:rFonts w:hint="default" w:ascii="Times New Roman" w:hAnsi="Times New Roman" w:cs="Times New Roman"/>
          <w:color w:val="auto"/>
          <w:highlight w:val="none"/>
          <w:u w:val="none" w:color="auto"/>
          <w:lang w:eastAsia="zh-CN"/>
        </w:rPr>
        <w:t>＝(7.0-pH)/(7.0-pHsd)   pH≤7时</w:t>
      </w:r>
    </w:p>
    <w:p w14:paraId="2BB012D6">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w:t>
      </w:r>
      <w:r>
        <w:rPr>
          <w:rFonts w:hint="default" w:ascii="Times New Roman" w:hAnsi="Times New Roman" w:cs="Times New Roman"/>
          <w:color w:val="auto"/>
          <w:highlight w:val="none"/>
          <w:u w:val="none" w:color="auto"/>
          <w:vertAlign w:val="subscript"/>
          <w:lang w:eastAsia="zh-CN"/>
        </w:rPr>
        <w:t>pH</w:t>
      </w:r>
      <w:r>
        <w:rPr>
          <w:rFonts w:hint="default" w:ascii="Times New Roman" w:hAnsi="Times New Roman" w:cs="Times New Roman"/>
          <w:color w:val="auto"/>
          <w:highlight w:val="none"/>
          <w:u w:val="none" w:color="auto"/>
          <w:lang w:eastAsia="zh-CN"/>
        </w:rPr>
        <w:t>＝(pH-7.0)/(pHsu-7.0)   pH≥7时</w:t>
      </w:r>
    </w:p>
    <w:p w14:paraId="08E96A60">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式中：P</w:t>
      </w:r>
      <w:r>
        <w:rPr>
          <w:rFonts w:hint="default" w:ascii="Times New Roman" w:hAnsi="Times New Roman" w:cs="Times New Roman"/>
          <w:color w:val="auto"/>
          <w:highlight w:val="none"/>
          <w:u w:val="none" w:color="auto"/>
          <w:vertAlign w:val="subscript"/>
          <w:lang w:eastAsia="zh-CN"/>
        </w:rPr>
        <w:t>pH</w:t>
      </w:r>
      <w:r>
        <w:rPr>
          <w:rFonts w:hint="default" w:ascii="Times New Roman" w:hAnsi="Times New Roman" w:cs="Times New Roman"/>
          <w:color w:val="auto"/>
          <w:highlight w:val="none"/>
          <w:u w:val="none" w:color="auto"/>
          <w:lang w:eastAsia="zh-CN"/>
        </w:rPr>
        <w:t>——pH的标准指数，量纲为1；</w:t>
      </w:r>
    </w:p>
    <w:p w14:paraId="6ECAD378">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pH——pH监测值；</w:t>
      </w:r>
    </w:p>
    <w:p w14:paraId="4D8A541C">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pHsu——标准中pH的上限值；</w:t>
      </w:r>
    </w:p>
    <w:p w14:paraId="0C874DD9">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pHsd——标准中pH的下限值；</w:t>
      </w:r>
    </w:p>
    <w:p w14:paraId="315918C7">
      <w:pPr>
        <w:spacing w:line="360" w:lineRule="auto"/>
        <w:ind w:firstLine="480" w:firstLineChars="20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（3）监测分析方法</w:t>
      </w:r>
    </w:p>
    <w:p w14:paraId="3BA86286">
      <w:pPr>
        <w:spacing w:line="360" w:lineRule="auto"/>
        <w:ind w:firstLine="480" w:firstLineChars="200"/>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按《地下水质量标准》（GB14848-2017）</w:t>
      </w:r>
      <w:r>
        <w:rPr>
          <w:rFonts w:hint="default" w:ascii="Times New Roman" w:hAnsi="Times New Roman" w:eastAsia="宋体" w:cs="Times New Roman"/>
          <w:color w:val="auto"/>
          <w:highlight w:val="none"/>
          <w:u w:val="none" w:color="auto"/>
          <w:lang w:eastAsia="zh-CN"/>
        </w:rPr>
        <w:t>规定的标准和国家环境保护局发布的《环境监测技术规范》及《水和废水监测分析方法》（第四版）等相关标准和规范进行。</w:t>
      </w:r>
    </w:p>
    <w:p w14:paraId="48C78236">
      <w:pPr>
        <w:spacing w:line="360" w:lineRule="auto"/>
        <w:ind w:firstLine="480" w:firstLineChars="200"/>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eastAsia="zh-CN"/>
        </w:rPr>
        <w:t>（4）监测结果及评价</w:t>
      </w:r>
    </w:p>
    <w:p w14:paraId="150D229A">
      <w:pPr>
        <w:spacing w:line="360" w:lineRule="auto"/>
        <w:ind w:firstLine="480" w:firstLineChars="200"/>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eastAsia="zh-CN"/>
        </w:rPr>
        <w:t>水位监测结果见表</w:t>
      </w:r>
      <w:r>
        <w:rPr>
          <w:rFonts w:hint="eastAsia" w:ascii="Times New Roman" w:hAnsi="Times New Roman" w:cs="Times New Roman"/>
          <w:color w:val="auto"/>
          <w:highlight w:val="none"/>
          <w:u w:val="none" w:color="auto"/>
          <w:lang w:val="en-US" w:eastAsia="zh-CN"/>
        </w:rPr>
        <w:t>5.3-9</w:t>
      </w:r>
      <w:r>
        <w:rPr>
          <w:rFonts w:hint="default" w:ascii="Times New Roman" w:hAnsi="Times New Roman" w:eastAsia="宋体" w:cs="Times New Roman"/>
          <w:color w:val="auto"/>
          <w:highlight w:val="none"/>
          <w:u w:val="none" w:color="auto"/>
          <w:lang w:eastAsia="zh-CN"/>
        </w:rPr>
        <w:t>，水质监测结果见表</w:t>
      </w:r>
      <w:r>
        <w:rPr>
          <w:rFonts w:hint="eastAsia" w:ascii="Times New Roman" w:hAnsi="Times New Roman" w:cs="Times New Roman"/>
          <w:color w:val="auto"/>
          <w:highlight w:val="none"/>
          <w:u w:val="none" w:color="auto"/>
          <w:lang w:val="en-US" w:eastAsia="zh-CN"/>
        </w:rPr>
        <w:t>5.3-10</w:t>
      </w:r>
      <w:r>
        <w:rPr>
          <w:rFonts w:hint="default" w:ascii="Times New Roman" w:hAnsi="Times New Roman" w:eastAsia="宋体" w:cs="Times New Roman"/>
          <w:color w:val="auto"/>
          <w:highlight w:val="none"/>
          <w:u w:val="none" w:color="auto"/>
          <w:lang w:eastAsia="zh-CN"/>
        </w:rPr>
        <w:t>。</w:t>
      </w:r>
    </w:p>
    <w:p w14:paraId="45E5CFF6">
      <w:pPr>
        <w:pStyle w:val="39"/>
        <w:bidi w:val="0"/>
        <w:rPr>
          <w:rFonts w:hint="default"/>
          <w:lang w:eastAsia="zh-CN"/>
        </w:rPr>
      </w:pPr>
      <w:r>
        <w:rPr>
          <w:rFonts w:hint="default"/>
          <w:lang w:eastAsia="zh-CN"/>
        </w:rPr>
        <w:t xml:space="preserve">表 </w:t>
      </w:r>
      <w:r>
        <w:rPr>
          <w:rFonts w:hint="eastAsia"/>
          <w:lang w:val="en-US" w:eastAsia="zh-CN"/>
        </w:rPr>
        <w:t>5.3</w:t>
      </w:r>
      <w:r>
        <w:rPr>
          <w:rFonts w:hint="default"/>
          <w:lang w:eastAsia="zh-CN"/>
        </w:rPr>
        <w:noBreakHyphen/>
      </w:r>
      <w:r>
        <w:rPr>
          <w:rFonts w:hint="eastAsia"/>
          <w:lang w:val="en-US" w:eastAsia="zh-CN"/>
        </w:rPr>
        <w:t xml:space="preserve">9 </w:t>
      </w:r>
      <w:r>
        <w:rPr>
          <w:rFonts w:hint="default"/>
          <w:lang w:eastAsia="zh-CN"/>
        </w:rPr>
        <w:t>地下水位监测结果</w:t>
      </w:r>
    </w:p>
    <w:tbl>
      <w:tblPr>
        <w:tblStyle w:val="30"/>
        <w:tblW w:w="4999" w:type="pct"/>
        <w:jc w:val="center"/>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Layout w:type="autofit"/>
        <w:tblCellMar>
          <w:top w:w="0" w:type="dxa"/>
          <w:left w:w="23" w:type="dxa"/>
          <w:bottom w:w="0" w:type="dxa"/>
          <w:right w:w="23" w:type="dxa"/>
        </w:tblCellMar>
      </w:tblPr>
      <w:tblGrid>
        <w:gridCol w:w="1553"/>
        <w:gridCol w:w="2080"/>
        <w:gridCol w:w="1524"/>
        <w:gridCol w:w="1462"/>
        <w:gridCol w:w="1732"/>
      </w:tblGrid>
      <w:tr w14:paraId="29DDDF3C">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392" w:hRule="atLeast"/>
          <w:tblHeader/>
          <w:jc w:val="center"/>
        </w:trPr>
        <w:tc>
          <w:tcPr>
            <w:tcW w:w="930" w:type="pct"/>
            <w:vMerge w:val="restart"/>
            <w:tcBorders>
              <w:left w:val="single" w:color="auto" w:sz="12" w:space="0"/>
              <w:bottom w:val="single" w:color="auto" w:sz="4" w:space="0"/>
              <w:right w:val="single" w:color="auto" w:sz="4" w:space="0"/>
            </w:tcBorders>
            <w:noWrap w:val="0"/>
            <w:vAlign w:val="center"/>
          </w:tcPr>
          <w:p w14:paraId="470277E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采样时间</w:t>
            </w:r>
          </w:p>
        </w:tc>
        <w:tc>
          <w:tcPr>
            <w:tcW w:w="1245" w:type="pct"/>
            <w:vMerge w:val="restart"/>
            <w:tcBorders>
              <w:left w:val="single" w:color="auto" w:sz="4" w:space="0"/>
              <w:bottom w:val="single" w:color="auto" w:sz="4" w:space="0"/>
              <w:right w:val="single" w:color="auto" w:sz="4" w:space="0"/>
            </w:tcBorders>
            <w:noWrap w:val="0"/>
            <w:vAlign w:val="center"/>
          </w:tcPr>
          <w:p w14:paraId="7EFCF86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检测</w:t>
            </w:r>
            <w:r>
              <w:rPr>
                <w:rFonts w:hint="eastAsia" w:ascii="Times New Roman" w:hAnsi="Times New Roman" w:eastAsia="宋体" w:cs="Times New Roman"/>
                <w:bCs/>
                <w:color w:val="auto"/>
                <w:kern w:val="0"/>
                <w:sz w:val="21"/>
                <w:szCs w:val="21"/>
                <w:u w:val="none" w:color="auto"/>
                <w:lang w:val="en-US" w:eastAsia="zh-CN" w:bidi="ar-SA"/>
              </w:rPr>
              <w:t>点位</w:t>
            </w:r>
          </w:p>
        </w:tc>
        <w:tc>
          <w:tcPr>
            <w:tcW w:w="2824" w:type="pct"/>
            <w:gridSpan w:val="3"/>
            <w:tcBorders>
              <w:left w:val="single" w:color="auto" w:sz="4" w:space="0"/>
              <w:bottom w:val="single" w:color="auto" w:sz="4" w:space="0"/>
              <w:right w:val="single" w:color="auto" w:sz="12" w:space="0"/>
            </w:tcBorders>
            <w:noWrap w:val="0"/>
            <w:vAlign w:val="center"/>
          </w:tcPr>
          <w:p w14:paraId="17C65028">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检测项目及检测结果（m）</w:t>
            </w:r>
          </w:p>
        </w:tc>
      </w:tr>
      <w:tr w14:paraId="782EA637">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374" w:hRule="atLeast"/>
          <w:tblHeader/>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309A607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p>
        </w:tc>
        <w:tc>
          <w:tcPr>
            <w:tcW w:w="1245" w:type="pct"/>
            <w:vMerge w:val="continue"/>
            <w:tcBorders>
              <w:top w:val="single" w:color="auto" w:sz="4" w:space="0"/>
              <w:left w:val="single" w:color="auto" w:sz="4" w:space="0"/>
              <w:bottom w:val="single" w:color="auto" w:sz="4" w:space="0"/>
              <w:right w:val="single" w:color="auto" w:sz="4" w:space="0"/>
            </w:tcBorders>
            <w:noWrap w:val="0"/>
            <w:vAlign w:val="center"/>
          </w:tcPr>
          <w:p w14:paraId="63D71A6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p>
        </w:tc>
        <w:tc>
          <w:tcPr>
            <w:tcW w:w="912" w:type="pct"/>
            <w:tcBorders>
              <w:top w:val="single" w:color="auto" w:sz="4" w:space="0"/>
              <w:left w:val="single" w:color="auto" w:sz="4" w:space="0"/>
              <w:bottom w:val="single" w:color="auto" w:sz="4" w:space="0"/>
              <w:right w:val="single" w:color="auto" w:sz="4" w:space="0"/>
            </w:tcBorders>
            <w:noWrap w:val="0"/>
            <w:vAlign w:val="center"/>
          </w:tcPr>
          <w:p w14:paraId="247D342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标高</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0EE043A4">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井水深度</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21B389C8">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水位</w:t>
            </w:r>
          </w:p>
        </w:tc>
      </w:tr>
      <w:tr w14:paraId="4294EDE4">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restart"/>
            <w:tcBorders>
              <w:top w:val="single" w:color="auto" w:sz="4" w:space="0"/>
              <w:left w:val="single" w:color="auto" w:sz="12" w:space="0"/>
              <w:bottom w:val="single" w:color="auto" w:sz="4" w:space="0"/>
              <w:right w:val="single" w:color="auto" w:sz="4" w:space="0"/>
            </w:tcBorders>
            <w:noWrap w:val="0"/>
            <w:vAlign w:val="center"/>
          </w:tcPr>
          <w:p w14:paraId="65996E5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2023.09.17</w:t>
            </w:r>
          </w:p>
        </w:tc>
        <w:tc>
          <w:tcPr>
            <w:tcW w:w="1245" w:type="pct"/>
            <w:tcBorders>
              <w:top w:val="single" w:color="auto" w:sz="4" w:space="0"/>
              <w:left w:val="single" w:color="auto" w:sz="4" w:space="0"/>
              <w:bottom w:val="single" w:color="auto" w:sz="4" w:space="0"/>
              <w:right w:val="single" w:color="auto" w:sz="4" w:space="0"/>
            </w:tcBorders>
            <w:noWrap w:val="0"/>
            <w:vAlign w:val="center"/>
          </w:tcPr>
          <w:p w14:paraId="75C133A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D1</w:t>
            </w:r>
            <w:r>
              <w:rPr>
                <w:rFonts w:hint="eastAsia" w:ascii="Times New Roman" w:hAnsi="Times New Roman" w:eastAsia="宋体" w:cs="Times New Roman"/>
                <w:bCs/>
                <w:color w:val="auto"/>
                <w:kern w:val="0"/>
                <w:sz w:val="21"/>
                <w:szCs w:val="21"/>
                <w:u w:val="none" w:color="auto"/>
                <w:lang w:val="en-US" w:eastAsia="zh-CN" w:bidi="ar-SA"/>
              </w:rPr>
              <w:t>陈家大屋</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15C2A55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39.2</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61ADB26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15.00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2584F6DF">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24.2</w:t>
            </w:r>
          </w:p>
        </w:tc>
      </w:tr>
      <w:tr w14:paraId="4DE65340">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558D97D7">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default"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1F45B75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D3</w:t>
            </w:r>
            <w:r>
              <w:rPr>
                <w:rFonts w:hint="eastAsia" w:ascii="Times New Roman" w:hAnsi="Times New Roman" w:eastAsia="宋体" w:cs="Times New Roman"/>
                <w:bCs/>
                <w:color w:val="auto"/>
                <w:kern w:val="0"/>
                <w:sz w:val="21"/>
                <w:szCs w:val="21"/>
                <w:u w:val="none" w:color="auto"/>
                <w:lang w:val="en-US" w:eastAsia="zh-CN" w:bidi="ar-SA"/>
              </w:rPr>
              <w:t>洞井湾</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2C40BFDB">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38.4</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3A51AF46">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10.00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5B1734D6">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28.4</w:t>
            </w:r>
          </w:p>
        </w:tc>
      </w:tr>
      <w:tr w14:paraId="02484617">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24A39C18">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default"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09D1757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D4刘家老屋</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37B6981D">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35.1</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2775D243">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6.00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36BCF6A8">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29.1</w:t>
            </w:r>
          </w:p>
        </w:tc>
      </w:tr>
      <w:tr w14:paraId="7FDA5ABB">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60497CCA">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default"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0CE3414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D5</w:t>
            </w:r>
            <w:r>
              <w:rPr>
                <w:rFonts w:hint="eastAsia" w:ascii="Times New Roman" w:hAnsi="Times New Roman" w:eastAsia="宋体" w:cs="Times New Roman"/>
                <w:bCs/>
                <w:color w:val="auto"/>
                <w:kern w:val="0"/>
                <w:sz w:val="21"/>
                <w:szCs w:val="21"/>
                <w:u w:val="none" w:color="auto"/>
                <w:lang w:val="en-US" w:eastAsia="zh-CN" w:bidi="ar-SA"/>
              </w:rPr>
              <w:t>向家塅</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2AF424A9">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50.3</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4673844E">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10.00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4BB25CC7">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40.3</w:t>
            </w:r>
          </w:p>
        </w:tc>
      </w:tr>
      <w:tr w14:paraId="1BFE2685">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173B1F0C">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default"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4F4BD38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D6</w:t>
            </w:r>
            <w:r>
              <w:rPr>
                <w:rFonts w:hint="eastAsia" w:ascii="Times New Roman" w:hAnsi="Times New Roman" w:eastAsia="宋体" w:cs="Times New Roman"/>
                <w:bCs/>
                <w:color w:val="auto"/>
                <w:kern w:val="0"/>
                <w:sz w:val="21"/>
                <w:szCs w:val="21"/>
                <w:u w:val="none" w:color="auto"/>
                <w:lang w:val="en-US" w:eastAsia="zh-CN" w:bidi="ar-SA"/>
              </w:rPr>
              <w:t>砚家坡</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00AE2A95">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41.0</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2D5E30FE">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5.00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025C3C00">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36</w:t>
            </w:r>
          </w:p>
        </w:tc>
      </w:tr>
      <w:tr w14:paraId="22F0A1C8">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4C633702">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default"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61EE665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D7</w:t>
            </w:r>
            <w:r>
              <w:rPr>
                <w:rFonts w:hint="eastAsia" w:ascii="Times New Roman" w:hAnsi="Times New Roman" w:eastAsia="宋体" w:cs="Times New Roman"/>
                <w:bCs/>
                <w:color w:val="auto"/>
                <w:kern w:val="0"/>
                <w:sz w:val="21"/>
                <w:szCs w:val="21"/>
                <w:u w:val="none" w:color="auto"/>
                <w:lang w:val="en-US" w:eastAsia="zh-CN" w:bidi="ar-SA"/>
              </w:rPr>
              <w:t>熊家岭</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63536A4C">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48.8</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33B0D863">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17.00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502737B1">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31.8</w:t>
            </w:r>
          </w:p>
        </w:tc>
      </w:tr>
      <w:tr w14:paraId="1589ADB6">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68B617A8">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eastAsia"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44568DE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eastAsia="宋体" w:cs="Times New Roman"/>
                <w:bCs/>
                <w:color w:val="auto"/>
                <w:kern w:val="0"/>
                <w:sz w:val="21"/>
                <w:szCs w:val="21"/>
                <w:u w:val="none" w:color="auto"/>
                <w:lang w:val="en-US" w:eastAsia="zh-CN" w:bidi="ar-SA"/>
              </w:rPr>
              <w:t>D8</w:t>
            </w:r>
            <w:r>
              <w:rPr>
                <w:rFonts w:hint="eastAsia" w:ascii="Times New Roman" w:hAnsi="Times New Roman" w:eastAsia="宋体" w:cs="Times New Roman"/>
                <w:bCs/>
                <w:color w:val="auto"/>
                <w:kern w:val="0"/>
                <w:sz w:val="21"/>
                <w:szCs w:val="21"/>
                <w:u w:val="none" w:color="auto"/>
                <w:lang w:val="en-US" w:eastAsia="zh-CN" w:bidi="ar-SA"/>
              </w:rPr>
              <w:t>童家垄</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7B272301">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51.1</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050BC935">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w:t>
            </w:r>
            <w:r>
              <w:rPr>
                <w:rFonts w:hint="eastAsia" w:ascii="Times New Roman" w:hAnsi="Times New Roman" w:eastAsia="宋体" w:cs="Times New Roman"/>
                <w:bCs/>
                <w:color w:val="auto"/>
                <w:kern w:val="0"/>
                <w:sz w:val="21"/>
                <w:szCs w:val="21"/>
                <w:u w:val="none" w:color="auto"/>
                <w:lang w:val="en-US" w:eastAsia="zh-CN" w:bidi="ar-SA"/>
              </w:rPr>
              <w:t>0.00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735D00F1">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21.1</w:t>
            </w:r>
          </w:p>
        </w:tc>
      </w:tr>
      <w:tr w14:paraId="6CDA8815">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204EE186">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eastAsia"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12DFF7D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D9杨家坝</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14985636">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53.1</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5F44E354">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15.00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6807DA80">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38.1</w:t>
            </w:r>
          </w:p>
        </w:tc>
      </w:tr>
      <w:tr w14:paraId="5D6BFDF2">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26" w:hRule="atLeast"/>
          <w:jc w:val="center"/>
        </w:trPr>
        <w:tc>
          <w:tcPr>
            <w:tcW w:w="930" w:type="pct"/>
            <w:vMerge w:val="continue"/>
            <w:tcBorders>
              <w:top w:val="single" w:color="auto" w:sz="4" w:space="0"/>
              <w:left w:val="single" w:color="auto" w:sz="12" w:space="0"/>
              <w:bottom w:val="single" w:color="auto" w:sz="4" w:space="0"/>
              <w:right w:val="single" w:color="auto" w:sz="4" w:space="0"/>
            </w:tcBorders>
            <w:noWrap w:val="0"/>
            <w:vAlign w:val="center"/>
          </w:tcPr>
          <w:p w14:paraId="7F2C2423">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eastAsia"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bottom w:val="single" w:color="auto" w:sz="4" w:space="0"/>
              <w:right w:val="single" w:color="auto" w:sz="4" w:space="0"/>
            </w:tcBorders>
            <w:noWrap w:val="0"/>
            <w:vAlign w:val="center"/>
          </w:tcPr>
          <w:p w14:paraId="708FAA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D10桃树坡</w:t>
            </w:r>
          </w:p>
        </w:tc>
        <w:tc>
          <w:tcPr>
            <w:tcW w:w="912" w:type="pct"/>
            <w:tcBorders>
              <w:top w:val="single" w:color="auto" w:sz="4" w:space="0"/>
              <w:left w:val="single" w:color="auto" w:sz="4" w:space="0"/>
              <w:bottom w:val="single" w:color="auto" w:sz="4" w:space="0"/>
              <w:right w:val="single" w:color="auto" w:sz="4" w:space="0"/>
            </w:tcBorders>
            <w:noWrap w:val="0"/>
            <w:vAlign w:val="center"/>
          </w:tcPr>
          <w:p w14:paraId="40061756">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46.9</w:t>
            </w:r>
          </w:p>
        </w:tc>
        <w:tc>
          <w:tcPr>
            <w:tcW w:w="875" w:type="pct"/>
            <w:tcBorders>
              <w:top w:val="single" w:color="auto" w:sz="4" w:space="0"/>
              <w:left w:val="single" w:color="auto" w:sz="4" w:space="0"/>
              <w:bottom w:val="single" w:color="auto" w:sz="4" w:space="0"/>
              <w:right w:val="single" w:color="auto" w:sz="4" w:space="0"/>
            </w:tcBorders>
            <w:noWrap w:val="0"/>
            <w:vAlign w:val="center"/>
          </w:tcPr>
          <w:p w14:paraId="61482E8D">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15.00</w:t>
            </w:r>
          </w:p>
        </w:tc>
        <w:tc>
          <w:tcPr>
            <w:tcW w:w="1036" w:type="pct"/>
            <w:tcBorders>
              <w:top w:val="single" w:color="auto" w:sz="4" w:space="0"/>
              <w:left w:val="single" w:color="auto" w:sz="4" w:space="0"/>
              <w:bottom w:val="single" w:color="auto" w:sz="4" w:space="0"/>
              <w:right w:val="single" w:color="auto" w:sz="12" w:space="0"/>
            </w:tcBorders>
            <w:noWrap w:val="0"/>
            <w:vAlign w:val="center"/>
          </w:tcPr>
          <w:p w14:paraId="47B256C6">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31.9</w:t>
            </w:r>
          </w:p>
        </w:tc>
      </w:tr>
      <w:tr w14:paraId="57C6FCD3">
        <w:tblPrEx>
          <w:tblBorders>
            <w:top w:val="single" w:color="auto" w:sz="12" w:space="0"/>
            <w:left w:val="none" w:color="auto" w:sz="0" w:space="0"/>
            <w:bottom w:val="single" w:color="auto" w:sz="12" w:space="0"/>
            <w:right w:val="none" w:color="auto" w:sz="0" w:space="0"/>
            <w:insideH w:val="dotted" w:color="auto" w:sz="4" w:space="0"/>
            <w:insideV w:val="single" w:color="auto" w:sz="4" w:space="0"/>
          </w:tblBorders>
          <w:tblCellMar>
            <w:top w:w="0" w:type="dxa"/>
            <w:left w:w="23" w:type="dxa"/>
            <w:bottom w:w="0" w:type="dxa"/>
            <w:right w:w="23" w:type="dxa"/>
          </w:tblCellMar>
        </w:tblPrEx>
        <w:trPr>
          <w:trHeight w:val="454" w:hRule="atLeast"/>
          <w:jc w:val="center"/>
        </w:trPr>
        <w:tc>
          <w:tcPr>
            <w:tcW w:w="930" w:type="pct"/>
            <w:vMerge w:val="continue"/>
            <w:tcBorders>
              <w:top w:val="single" w:color="auto" w:sz="4" w:space="0"/>
              <w:left w:val="single" w:color="auto" w:sz="12" w:space="0"/>
              <w:right w:val="single" w:color="auto" w:sz="4" w:space="0"/>
            </w:tcBorders>
          </w:tcPr>
          <w:p w14:paraId="641D3E75">
            <w:pPr>
              <w:keepNext w:val="0"/>
              <w:keepLines w:val="0"/>
              <w:widowControl w:val="0"/>
              <w:suppressLineNumbers w:val="0"/>
              <w:spacing w:before="0" w:beforeLines="0" w:beforeAutospacing="0" w:after="0" w:afterLines="0" w:afterAutospacing="0" w:line="240" w:lineRule="auto"/>
              <w:ind w:left="0" w:right="0" w:firstLine="0" w:firstLineChars="0"/>
              <w:jc w:val="center"/>
              <w:outlineLvl w:val="9"/>
              <w:rPr>
                <w:rFonts w:hint="eastAsia" w:ascii="Times New Roman" w:hAnsi="Times New Roman" w:eastAsia="宋体" w:cs="Times New Roman"/>
                <w:bCs/>
                <w:color w:val="auto"/>
                <w:kern w:val="0"/>
                <w:sz w:val="21"/>
                <w:szCs w:val="21"/>
                <w:u w:val="none" w:color="auto"/>
                <w:lang w:val="en-US" w:eastAsia="zh-CN" w:bidi="ar-SA"/>
              </w:rPr>
            </w:pPr>
          </w:p>
        </w:tc>
        <w:tc>
          <w:tcPr>
            <w:tcW w:w="1245" w:type="pct"/>
            <w:tcBorders>
              <w:top w:val="single" w:color="auto" w:sz="4" w:space="0"/>
              <w:left w:val="single" w:color="auto" w:sz="4" w:space="0"/>
              <w:right w:val="single" w:color="auto" w:sz="4" w:space="0"/>
            </w:tcBorders>
            <w:vAlign w:val="center"/>
          </w:tcPr>
          <w:p w14:paraId="4B2CD8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outlineLvl w:val="9"/>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D11顾家大屋</w:t>
            </w:r>
          </w:p>
        </w:tc>
        <w:tc>
          <w:tcPr>
            <w:tcW w:w="912" w:type="pct"/>
            <w:tcBorders>
              <w:top w:val="single" w:color="auto" w:sz="4" w:space="0"/>
              <w:left w:val="single" w:color="auto" w:sz="4" w:space="0"/>
              <w:right w:val="single" w:color="auto" w:sz="4" w:space="0"/>
            </w:tcBorders>
            <w:vAlign w:val="center"/>
          </w:tcPr>
          <w:p w14:paraId="0FF29F16">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40.2</w:t>
            </w:r>
          </w:p>
        </w:tc>
        <w:tc>
          <w:tcPr>
            <w:tcW w:w="875" w:type="pct"/>
            <w:tcBorders>
              <w:top w:val="single" w:color="auto" w:sz="4" w:space="0"/>
              <w:left w:val="single" w:color="auto" w:sz="4" w:space="0"/>
              <w:right w:val="single" w:color="auto" w:sz="4" w:space="0"/>
            </w:tcBorders>
            <w:vAlign w:val="center"/>
          </w:tcPr>
          <w:p w14:paraId="4870766D">
            <w:pPr>
              <w:keepNext w:val="0"/>
              <w:keepLines w:val="0"/>
              <w:widowControl/>
              <w:suppressLineNumbers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kern w:val="0"/>
                <w:sz w:val="21"/>
                <w:szCs w:val="21"/>
                <w:u w:val="none" w:color="auto"/>
                <w:lang w:val="en-US" w:eastAsia="zh-CN" w:bidi="ar-SA"/>
              </w:rPr>
            </w:pPr>
            <w:r>
              <w:rPr>
                <w:rFonts w:hint="eastAsia" w:ascii="Times New Roman" w:hAnsi="Times New Roman" w:eastAsia="宋体" w:cs="Times New Roman"/>
                <w:bCs/>
                <w:color w:val="auto"/>
                <w:kern w:val="0"/>
                <w:sz w:val="21"/>
                <w:szCs w:val="21"/>
                <w:u w:val="none" w:color="auto"/>
                <w:lang w:val="en-US" w:eastAsia="zh-CN" w:bidi="ar-SA"/>
              </w:rPr>
              <w:t>10.00</w:t>
            </w:r>
          </w:p>
        </w:tc>
        <w:tc>
          <w:tcPr>
            <w:tcW w:w="1036" w:type="pct"/>
            <w:tcBorders>
              <w:top w:val="single" w:color="auto" w:sz="4" w:space="0"/>
              <w:left w:val="single" w:color="auto" w:sz="4" w:space="0"/>
              <w:right w:val="single" w:color="auto" w:sz="12" w:space="0"/>
            </w:tcBorders>
            <w:vAlign w:val="center"/>
          </w:tcPr>
          <w:p w14:paraId="10B08630">
            <w:pPr>
              <w:keepNext w:val="0"/>
              <w:keepLines w:val="0"/>
              <w:suppressLineNumbers w:val="0"/>
              <w:spacing w:before="0" w:beforeAutospacing="0" w:after="0" w:afterAutospacing="0" w:line="240" w:lineRule="auto"/>
              <w:ind w:left="0" w:right="0" w:firstLine="0" w:firstLineChars="0"/>
              <w:jc w:val="center"/>
              <w:rPr>
                <w:rFonts w:hint="default" w:cs="Times New Roman"/>
                <w:bCs/>
                <w:color w:val="auto"/>
                <w:kern w:val="0"/>
                <w:sz w:val="21"/>
                <w:szCs w:val="21"/>
                <w:u w:val="none" w:color="auto"/>
                <w:lang w:val="en-US" w:eastAsia="zh-CN" w:bidi="ar-SA"/>
              </w:rPr>
            </w:pPr>
            <w:r>
              <w:rPr>
                <w:rFonts w:hint="eastAsia" w:cs="Times New Roman"/>
                <w:bCs/>
                <w:color w:val="auto"/>
                <w:kern w:val="0"/>
                <w:sz w:val="21"/>
                <w:szCs w:val="21"/>
                <w:u w:val="none" w:color="auto"/>
                <w:lang w:val="en-US" w:eastAsia="zh-CN" w:bidi="ar-SA"/>
              </w:rPr>
              <w:t>30.2</w:t>
            </w:r>
          </w:p>
        </w:tc>
      </w:tr>
    </w:tbl>
    <w:p w14:paraId="275A2074">
      <w:pPr>
        <w:pStyle w:val="39"/>
        <w:bidi w:val="0"/>
        <w:rPr>
          <w:rFonts w:hint="default"/>
          <w:lang w:eastAsia="zh-CN"/>
        </w:rPr>
        <w:sectPr>
          <w:pgSz w:w="11907" w:h="16840"/>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14:paraId="2325182E">
      <w:pPr>
        <w:pStyle w:val="39"/>
        <w:bidi w:val="0"/>
        <w:rPr>
          <w:rFonts w:hint="default"/>
          <w:lang w:eastAsia="zh-CN"/>
        </w:rPr>
      </w:pPr>
      <w:r>
        <w:rPr>
          <w:rFonts w:hint="default"/>
          <w:lang w:eastAsia="zh-CN"/>
        </w:rPr>
        <w:t>表</w:t>
      </w:r>
      <w:r>
        <w:rPr>
          <w:rFonts w:hint="eastAsia"/>
          <w:lang w:val="en-US" w:eastAsia="zh-CN"/>
        </w:rPr>
        <w:t>5.3-10</w:t>
      </w:r>
      <w:r>
        <w:rPr>
          <w:rFonts w:hint="default"/>
          <w:lang w:eastAsia="zh-CN"/>
        </w:rPr>
        <w:t>地下水现状监测数据结果</w:t>
      </w:r>
    </w:p>
    <w:tbl>
      <w:tblPr>
        <w:tblStyle w:val="30"/>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596"/>
        <w:gridCol w:w="1556"/>
        <w:gridCol w:w="1309"/>
        <w:gridCol w:w="1508"/>
        <w:gridCol w:w="1173"/>
        <w:gridCol w:w="1193"/>
        <w:gridCol w:w="1145"/>
        <w:gridCol w:w="1108"/>
        <w:gridCol w:w="1301"/>
        <w:gridCol w:w="1139"/>
        <w:gridCol w:w="1139"/>
      </w:tblGrid>
      <w:tr w14:paraId="4830FE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563" w:type="pct"/>
            <w:vMerge w:val="restart"/>
            <w:tcBorders>
              <w:tl2br w:val="nil"/>
              <w:tr2bl w:val="nil"/>
            </w:tcBorders>
            <w:shd w:val="clear" w:color="auto" w:fill="auto"/>
            <w:noWrap/>
            <w:vAlign w:val="center"/>
          </w:tcPr>
          <w:p w14:paraId="3871E34B">
            <w:pPr>
              <w:pStyle w:val="42"/>
              <w:keepNext w:val="0"/>
              <w:keepLines w:val="0"/>
              <w:suppressLineNumbers w:val="0"/>
              <w:bidi w:val="0"/>
              <w:spacing w:before="0" w:beforeAutospacing="0" w:after="0" w:afterAutospacing="0"/>
              <w:rPr>
                <w:rFonts w:hint="eastAsia"/>
              </w:rPr>
            </w:pPr>
            <w:r>
              <w:rPr>
                <w:rFonts w:hint="eastAsia"/>
                <w:lang w:val="en-US" w:eastAsia="zh-CN"/>
              </w:rPr>
              <w:t>监测因子</w:t>
            </w:r>
          </w:p>
        </w:tc>
        <w:tc>
          <w:tcPr>
            <w:tcW w:w="549" w:type="pct"/>
            <w:vMerge w:val="restart"/>
            <w:tcBorders>
              <w:tl2br w:val="nil"/>
              <w:tr2bl w:val="nil"/>
            </w:tcBorders>
            <w:shd w:val="clear" w:color="auto" w:fill="auto"/>
            <w:noWrap/>
            <w:vAlign w:val="center"/>
          </w:tcPr>
          <w:p w14:paraId="4D3B829C">
            <w:pPr>
              <w:pStyle w:val="42"/>
              <w:keepNext w:val="0"/>
              <w:keepLines w:val="0"/>
              <w:suppressLineNumbers w:val="0"/>
              <w:bidi w:val="0"/>
              <w:spacing w:before="0" w:beforeAutospacing="0" w:after="0" w:afterAutospacing="0"/>
              <w:rPr>
                <w:rFonts w:hint="eastAsia"/>
              </w:rPr>
            </w:pPr>
            <w:r>
              <w:rPr>
                <w:rFonts w:hint="eastAsia"/>
                <w:lang w:val="en-US" w:eastAsia="zh-CN"/>
              </w:rPr>
              <w:t>单位</w:t>
            </w:r>
          </w:p>
        </w:tc>
        <w:tc>
          <w:tcPr>
            <w:tcW w:w="3083" w:type="pct"/>
            <w:gridSpan w:val="7"/>
            <w:tcBorders>
              <w:tl2br w:val="nil"/>
              <w:tr2bl w:val="nil"/>
            </w:tcBorders>
            <w:shd w:val="clear" w:color="auto" w:fill="auto"/>
            <w:noWrap/>
            <w:vAlign w:val="center"/>
          </w:tcPr>
          <w:p w14:paraId="2350F9CD">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检测结果</w:t>
            </w:r>
          </w:p>
        </w:tc>
        <w:tc>
          <w:tcPr>
            <w:tcW w:w="402" w:type="pct"/>
            <w:vMerge w:val="restart"/>
            <w:tcBorders>
              <w:tl2br w:val="nil"/>
              <w:tr2bl w:val="nil"/>
            </w:tcBorders>
            <w:shd w:val="clear" w:color="auto" w:fill="auto"/>
            <w:noWrap/>
            <w:vAlign w:val="center"/>
          </w:tcPr>
          <w:p w14:paraId="4E908DD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标准限值</w:t>
            </w:r>
          </w:p>
        </w:tc>
        <w:tc>
          <w:tcPr>
            <w:tcW w:w="402" w:type="pct"/>
            <w:vMerge w:val="restart"/>
            <w:tcBorders>
              <w:tl2br w:val="nil"/>
              <w:tr2bl w:val="nil"/>
            </w:tcBorders>
            <w:shd w:val="clear" w:color="auto" w:fill="auto"/>
            <w:noWrap/>
            <w:vAlign w:val="center"/>
          </w:tcPr>
          <w:p w14:paraId="7BD04C3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是否达标</w:t>
            </w:r>
          </w:p>
        </w:tc>
      </w:tr>
      <w:tr w14:paraId="363E76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63" w:type="pct"/>
            <w:vMerge w:val="continue"/>
            <w:tcBorders>
              <w:tl2br w:val="nil"/>
              <w:tr2bl w:val="nil"/>
            </w:tcBorders>
            <w:shd w:val="clear" w:color="auto" w:fill="auto"/>
            <w:noWrap/>
            <w:vAlign w:val="center"/>
          </w:tcPr>
          <w:p w14:paraId="1CE8B055">
            <w:pPr>
              <w:pStyle w:val="42"/>
              <w:keepNext w:val="0"/>
              <w:keepLines w:val="0"/>
              <w:suppressLineNumbers w:val="0"/>
              <w:bidi w:val="0"/>
              <w:spacing w:before="0" w:beforeAutospacing="0" w:after="0" w:afterAutospacing="0"/>
              <w:rPr>
                <w:rFonts w:hint="eastAsia"/>
              </w:rPr>
            </w:pPr>
          </w:p>
        </w:tc>
        <w:tc>
          <w:tcPr>
            <w:tcW w:w="549" w:type="pct"/>
            <w:vMerge w:val="continue"/>
            <w:tcBorders>
              <w:tl2br w:val="nil"/>
              <w:tr2bl w:val="nil"/>
            </w:tcBorders>
            <w:shd w:val="clear" w:color="auto" w:fill="auto"/>
            <w:noWrap/>
            <w:vAlign w:val="center"/>
          </w:tcPr>
          <w:p w14:paraId="2D87453C">
            <w:pPr>
              <w:pStyle w:val="42"/>
              <w:keepNext w:val="0"/>
              <w:keepLines w:val="0"/>
              <w:suppressLineNumbers w:val="0"/>
              <w:bidi w:val="0"/>
              <w:spacing w:before="0" w:beforeAutospacing="0" w:after="0" w:afterAutospacing="0"/>
              <w:rPr>
                <w:rFonts w:hint="eastAsia"/>
              </w:rPr>
            </w:pPr>
          </w:p>
        </w:tc>
        <w:tc>
          <w:tcPr>
            <w:tcW w:w="462" w:type="pct"/>
            <w:tcBorders>
              <w:tl2br w:val="nil"/>
              <w:tr2bl w:val="nil"/>
            </w:tcBorders>
            <w:shd w:val="clear" w:color="auto" w:fill="auto"/>
            <w:noWrap/>
            <w:vAlign w:val="center"/>
          </w:tcPr>
          <w:p w14:paraId="10F795EB">
            <w:pPr>
              <w:pStyle w:val="42"/>
              <w:keepNext w:val="0"/>
              <w:keepLines w:val="0"/>
              <w:suppressLineNumbers w:val="0"/>
              <w:bidi w:val="0"/>
              <w:spacing w:before="0" w:beforeAutospacing="0" w:after="0" w:afterAutospacing="0"/>
              <w:rPr>
                <w:rFonts w:hint="default"/>
              </w:rPr>
            </w:pPr>
            <w:r>
              <w:rPr>
                <w:rFonts w:hint="default"/>
                <w:lang w:val="en-US" w:eastAsia="zh-CN"/>
              </w:rPr>
              <w:t>D1</w:t>
            </w:r>
          </w:p>
        </w:tc>
        <w:tc>
          <w:tcPr>
            <w:tcW w:w="532" w:type="pct"/>
            <w:tcBorders>
              <w:tl2br w:val="nil"/>
              <w:tr2bl w:val="nil"/>
            </w:tcBorders>
            <w:shd w:val="clear" w:color="auto" w:fill="auto"/>
            <w:noWrap/>
            <w:vAlign w:val="center"/>
          </w:tcPr>
          <w:p w14:paraId="3BE34A7B">
            <w:pPr>
              <w:pStyle w:val="42"/>
              <w:keepNext w:val="0"/>
              <w:keepLines w:val="0"/>
              <w:suppressLineNumbers w:val="0"/>
              <w:bidi w:val="0"/>
              <w:spacing w:before="0" w:beforeAutospacing="0" w:after="0" w:afterAutospacing="0"/>
              <w:rPr>
                <w:rFonts w:hint="default"/>
              </w:rPr>
            </w:pPr>
            <w:r>
              <w:rPr>
                <w:rFonts w:hint="default"/>
                <w:lang w:val="en-US" w:eastAsia="zh-CN"/>
              </w:rPr>
              <w:t>D2</w:t>
            </w:r>
          </w:p>
        </w:tc>
        <w:tc>
          <w:tcPr>
            <w:tcW w:w="414" w:type="pct"/>
            <w:tcBorders>
              <w:tl2br w:val="nil"/>
              <w:tr2bl w:val="nil"/>
            </w:tcBorders>
            <w:shd w:val="clear" w:color="auto" w:fill="auto"/>
            <w:noWrap/>
            <w:vAlign w:val="center"/>
          </w:tcPr>
          <w:p w14:paraId="63793041">
            <w:pPr>
              <w:pStyle w:val="42"/>
              <w:keepNext w:val="0"/>
              <w:keepLines w:val="0"/>
              <w:suppressLineNumbers w:val="0"/>
              <w:bidi w:val="0"/>
              <w:spacing w:before="0" w:beforeAutospacing="0" w:after="0" w:afterAutospacing="0"/>
              <w:rPr>
                <w:rFonts w:hint="default"/>
              </w:rPr>
            </w:pPr>
            <w:r>
              <w:rPr>
                <w:rFonts w:hint="default"/>
                <w:lang w:val="en-US" w:eastAsia="zh-CN"/>
              </w:rPr>
              <w:t>D</w:t>
            </w:r>
            <w:r>
              <w:rPr>
                <w:rFonts w:hint="eastAsia"/>
                <w:lang w:val="en-US" w:eastAsia="zh-CN"/>
              </w:rPr>
              <w:t>3</w:t>
            </w:r>
          </w:p>
        </w:tc>
        <w:tc>
          <w:tcPr>
            <w:tcW w:w="421" w:type="pct"/>
            <w:tcBorders>
              <w:tl2br w:val="nil"/>
              <w:tr2bl w:val="nil"/>
            </w:tcBorders>
            <w:shd w:val="clear" w:color="auto" w:fill="auto"/>
            <w:noWrap/>
            <w:vAlign w:val="center"/>
          </w:tcPr>
          <w:p w14:paraId="5FAE1A3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D5</w:t>
            </w:r>
          </w:p>
        </w:tc>
        <w:tc>
          <w:tcPr>
            <w:tcW w:w="404" w:type="pct"/>
            <w:tcBorders>
              <w:tl2br w:val="nil"/>
              <w:tr2bl w:val="nil"/>
            </w:tcBorders>
            <w:shd w:val="clear" w:color="auto" w:fill="auto"/>
            <w:noWrap/>
            <w:vAlign w:val="center"/>
          </w:tcPr>
          <w:p w14:paraId="0A63AC6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D6</w:t>
            </w:r>
          </w:p>
        </w:tc>
        <w:tc>
          <w:tcPr>
            <w:tcW w:w="391" w:type="pct"/>
            <w:tcBorders>
              <w:tl2br w:val="nil"/>
              <w:tr2bl w:val="nil"/>
            </w:tcBorders>
            <w:shd w:val="clear" w:color="auto" w:fill="auto"/>
            <w:noWrap/>
            <w:vAlign w:val="center"/>
          </w:tcPr>
          <w:p w14:paraId="2A8CAA6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D7</w:t>
            </w:r>
          </w:p>
        </w:tc>
        <w:tc>
          <w:tcPr>
            <w:tcW w:w="457" w:type="pct"/>
            <w:tcBorders>
              <w:tl2br w:val="nil"/>
              <w:tr2bl w:val="nil"/>
            </w:tcBorders>
            <w:shd w:val="clear" w:color="auto" w:fill="auto"/>
            <w:noWrap/>
            <w:vAlign w:val="center"/>
          </w:tcPr>
          <w:p w14:paraId="1294365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D</w:t>
            </w:r>
            <w:r>
              <w:rPr>
                <w:rFonts w:hint="eastAsia"/>
                <w:lang w:val="en-US" w:eastAsia="zh-CN"/>
              </w:rPr>
              <w:t>8</w:t>
            </w:r>
          </w:p>
        </w:tc>
        <w:tc>
          <w:tcPr>
            <w:tcW w:w="402" w:type="pct"/>
            <w:vMerge w:val="continue"/>
            <w:tcBorders>
              <w:tl2br w:val="nil"/>
              <w:tr2bl w:val="nil"/>
            </w:tcBorders>
            <w:shd w:val="clear" w:color="auto" w:fill="auto"/>
            <w:noWrap/>
            <w:vAlign w:val="center"/>
          </w:tcPr>
          <w:p w14:paraId="18B33817">
            <w:pPr>
              <w:pStyle w:val="42"/>
              <w:keepNext w:val="0"/>
              <w:keepLines w:val="0"/>
              <w:suppressLineNumbers w:val="0"/>
              <w:bidi w:val="0"/>
              <w:spacing w:before="0" w:beforeAutospacing="0" w:after="0" w:afterAutospacing="0"/>
              <w:rPr>
                <w:rFonts w:hint="eastAsia"/>
              </w:rPr>
            </w:pPr>
          </w:p>
        </w:tc>
        <w:tc>
          <w:tcPr>
            <w:tcW w:w="402" w:type="pct"/>
            <w:vMerge w:val="continue"/>
            <w:tcBorders>
              <w:tl2br w:val="nil"/>
              <w:tr2bl w:val="nil"/>
            </w:tcBorders>
            <w:shd w:val="clear" w:color="auto" w:fill="auto"/>
            <w:noWrap/>
            <w:vAlign w:val="center"/>
          </w:tcPr>
          <w:p w14:paraId="38DA7557">
            <w:pPr>
              <w:pStyle w:val="42"/>
              <w:keepNext w:val="0"/>
              <w:keepLines w:val="0"/>
              <w:suppressLineNumbers w:val="0"/>
              <w:bidi w:val="0"/>
              <w:spacing w:before="0" w:beforeAutospacing="0" w:after="0" w:afterAutospacing="0"/>
              <w:rPr>
                <w:rFonts w:hint="eastAsia"/>
              </w:rPr>
            </w:pPr>
          </w:p>
        </w:tc>
      </w:tr>
      <w:tr w14:paraId="4A4575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4B2C79BA">
            <w:pPr>
              <w:pStyle w:val="42"/>
              <w:keepNext w:val="0"/>
              <w:keepLines w:val="0"/>
              <w:suppressLineNumbers w:val="0"/>
              <w:bidi w:val="0"/>
              <w:spacing w:before="0" w:beforeAutospacing="0" w:after="0" w:afterAutospacing="0"/>
              <w:rPr>
                <w:rFonts w:hint="eastAsia"/>
              </w:rPr>
            </w:pPr>
            <w:r>
              <w:rPr>
                <w:rFonts w:hint="default"/>
              </w:rPr>
              <w:t>K+</w:t>
            </w:r>
          </w:p>
        </w:tc>
        <w:tc>
          <w:tcPr>
            <w:tcW w:w="549" w:type="pct"/>
            <w:tcBorders>
              <w:tl2br w:val="nil"/>
              <w:tr2bl w:val="nil"/>
            </w:tcBorders>
            <w:shd w:val="clear" w:color="auto" w:fill="auto"/>
            <w:noWrap/>
            <w:vAlign w:val="center"/>
          </w:tcPr>
          <w:p w14:paraId="1B5E00EB">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454EF48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1.85</w:t>
            </w:r>
          </w:p>
        </w:tc>
        <w:tc>
          <w:tcPr>
            <w:tcW w:w="532" w:type="pct"/>
            <w:tcBorders>
              <w:tl2br w:val="nil"/>
              <w:tr2bl w:val="nil"/>
            </w:tcBorders>
            <w:shd w:val="clear" w:color="auto" w:fill="auto"/>
            <w:noWrap/>
            <w:vAlign w:val="center"/>
          </w:tcPr>
          <w:p w14:paraId="273186E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2.39</w:t>
            </w:r>
          </w:p>
        </w:tc>
        <w:tc>
          <w:tcPr>
            <w:tcW w:w="414" w:type="pct"/>
            <w:tcBorders>
              <w:tl2br w:val="nil"/>
              <w:tr2bl w:val="nil"/>
            </w:tcBorders>
            <w:shd w:val="clear" w:color="auto" w:fill="auto"/>
            <w:noWrap/>
            <w:vAlign w:val="center"/>
          </w:tcPr>
          <w:p w14:paraId="6FE2C9E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3.17</w:t>
            </w:r>
          </w:p>
        </w:tc>
        <w:tc>
          <w:tcPr>
            <w:tcW w:w="421" w:type="pct"/>
            <w:tcBorders>
              <w:tl2br w:val="nil"/>
              <w:tr2bl w:val="nil"/>
            </w:tcBorders>
            <w:shd w:val="clear" w:color="auto" w:fill="auto"/>
            <w:noWrap/>
            <w:vAlign w:val="center"/>
          </w:tcPr>
          <w:p w14:paraId="6BAA69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1.78</w:t>
            </w:r>
          </w:p>
        </w:tc>
        <w:tc>
          <w:tcPr>
            <w:tcW w:w="404" w:type="pct"/>
            <w:tcBorders>
              <w:tl2br w:val="nil"/>
              <w:tr2bl w:val="nil"/>
            </w:tcBorders>
            <w:shd w:val="clear" w:color="auto" w:fill="auto"/>
            <w:noWrap/>
            <w:vAlign w:val="center"/>
          </w:tcPr>
          <w:p w14:paraId="0E47391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6.02</w:t>
            </w:r>
          </w:p>
        </w:tc>
        <w:tc>
          <w:tcPr>
            <w:tcW w:w="391" w:type="pct"/>
            <w:tcBorders>
              <w:tl2br w:val="nil"/>
              <w:tr2bl w:val="nil"/>
            </w:tcBorders>
            <w:shd w:val="clear" w:color="auto" w:fill="auto"/>
            <w:noWrap/>
            <w:vAlign w:val="center"/>
          </w:tcPr>
          <w:p w14:paraId="4BA3F14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9.99</w:t>
            </w:r>
          </w:p>
        </w:tc>
        <w:tc>
          <w:tcPr>
            <w:tcW w:w="457" w:type="pct"/>
            <w:tcBorders>
              <w:tl2br w:val="nil"/>
              <w:tr2bl w:val="nil"/>
            </w:tcBorders>
            <w:shd w:val="clear" w:color="auto" w:fill="auto"/>
            <w:noWrap/>
            <w:vAlign w:val="center"/>
          </w:tcPr>
          <w:p w14:paraId="2B3E354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6.11</w:t>
            </w:r>
          </w:p>
        </w:tc>
        <w:tc>
          <w:tcPr>
            <w:tcW w:w="402" w:type="pct"/>
            <w:tcBorders>
              <w:tl2br w:val="nil"/>
              <w:tr2bl w:val="nil"/>
            </w:tcBorders>
            <w:shd w:val="clear" w:color="auto" w:fill="auto"/>
            <w:noWrap/>
            <w:vAlign w:val="center"/>
          </w:tcPr>
          <w:p w14:paraId="3760B848">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4E348F4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9A3FB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2048E59B">
            <w:pPr>
              <w:pStyle w:val="42"/>
              <w:keepNext w:val="0"/>
              <w:keepLines w:val="0"/>
              <w:suppressLineNumbers w:val="0"/>
              <w:bidi w:val="0"/>
              <w:spacing w:before="0" w:beforeAutospacing="0" w:after="0" w:afterAutospacing="0"/>
              <w:rPr>
                <w:rFonts w:hint="eastAsia"/>
              </w:rPr>
            </w:pPr>
            <w:r>
              <w:rPr>
                <w:rFonts w:hint="default"/>
              </w:rPr>
              <w:t>Na+</w:t>
            </w:r>
          </w:p>
        </w:tc>
        <w:tc>
          <w:tcPr>
            <w:tcW w:w="549" w:type="pct"/>
            <w:tcBorders>
              <w:tl2br w:val="nil"/>
              <w:tr2bl w:val="nil"/>
            </w:tcBorders>
            <w:shd w:val="clear" w:color="auto" w:fill="auto"/>
            <w:noWrap/>
            <w:vAlign w:val="center"/>
          </w:tcPr>
          <w:p w14:paraId="02E64241">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09BCA93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14.6</w:t>
            </w:r>
          </w:p>
        </w:tc>
        <w:tc>
          <w:tcPr>
            <w:tcW w:w="532" w:type="pct"/>
            <w:tcBorders>
              <w:tl2br w:val="nil"/>
              <w:tr2bl w:val="nil"/>
            </w:tcBorders>
            <w:shd w:val="clear" w:color="auto" w:fill="auto"/>
            <w:noWrap/>
            <w:vAlign w:val="center"/>
          </w:tcPr>
          <w:p w14:paraId="6A10CC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1.98</w:t>
            </w:r>
          </w:p>
        </w:tc>
        <w:tc>
          <w:tcPr>
            <w:tcW w:w="414" w:type="pct"/>
            <w:tcBorders>
              <w:tl2br w:val="nil"/>
              <w:tr2bl w:val="nil"/>
            </w:tcBorders>
            <w:shd w:val="clear" w:color="auto" w:fill="auto"/>
            <w:noWrap/>
            <w:vAlign w:val="center"/>
          </w:tcPr>
          <w:p w14:paraId="40CFDD4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2.31</w:t>
            </w:r>
          </w:p>
        </w:tc>
        <w:tc>
          <w:tcPr>
            <w:tcW w:w="421" w:type="pct"/>
            <w:tcBorders>
              <w:tl2br w:val="nil"/>
              <w:tr2bl w:val="nil"/>
            </w:tcBorders>
            <w:shd w:val="clear" w:color="auto" w:fill="auto"/>
            <w:noWrap/>
            <w:vAlign w:val="center"/>
          </w:tcPr>
          <w:p w14:paraId="1FF02FB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0.94</w:t>
            </w:r>
          </w:p>
        </w:tc>
        <w:tc>
          <w:tcPr>
            <w:tcW w:w="404" w:type="pct"/>
            <w:tcBorders>
              <w:tl2br w:val="nil"/>
              <w:tr2bl w:val="nil"/>
            </w:tcBorders>
            <w:shd w:val="clear" w:color="auto" w:fill="auto"/>
            <w:noWrap/>
            <w:vAlign w:val="center"/>
          </w:tcPr>
          <w:p w14:paraId="28BA2E3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31.6</w:t>
            </w:r>
          </w:p>
        </w:tc>
        <w:tc>
          <w:tcPr>
            <w:tcW w:w="391" w:type="pct"/>
            <w:tcBorders>
              <w:tl2br w:val="nil"/>
              <w:tr2bl w:val="nil"/>
            </w:tcBorders>
            <w:shd w:val="clear" w:color="auto" w:fill="auto"/>
            <w:noWrap/>
            <w:vAlign w:val="center"/>
          </w:tcPr>
          <w:p w14:paraId="74D382B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19.9</w:t>
            </w:r>
          </w:p>
        </w:tc>
        <w:tc>
          <w:tcPr>
            <w:tcW w:w="457" w:type="pct"/>
            <w:tcBorders>
              <w:tl2br w:val="nil"/>
              <w:tr2bl w:val="nil"/>
            </w:tcBorders>
            <w:shd w:val="clear" w:color="auto" w:fill="auto"/>
            <w:noWrap/>
            <w:vAlign w:val="center"/>
          </w:tcPr>
          <w:p w14:paraId="666ED1B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19.9</w:t>
            </w:r>
          </w:p>
        </w:tc>
        <w:tc>
          <w:tcPr>
            <w:tcW w:w="402" w:type="pct"/>
            <w:tcBorders>
              <w:tl2br w:val="nil"/>
              <w:tr2bl w:val="nil"/>
            </w:tcBorders>
            <w:shd w:val="clear" w:color="auto" w:fill="auto"/>
            <w:noWrap/>
            <w:vAlign w:val="center"/>
          </w:tcPr>
          <w:p w14:paraId="076BFA5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45BB735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2FB77E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04250EFA">
            <w:pPr>
              <w:pStyle w:val="42"/>
              <w:keepNext w:val="0"/>
              <w:keepLines w:val="0"/>
              <w:suppressLineNumbers w:val="0"/>
              <w:bidi w:val="0"/>
              <w:spacing w:before="0" w:beforeAutospacing="0" w:after="0" w:afterAutospacing="0"/>
              <w:rPr>
                <w:rFonts w:hint="eastAsia"/>
              </w:rPr>
            </w:pPr>
            <w:r>
              <w:rPr>
                <w:rFonts w:hint="default"/>
              </w:rPr>
              <w:t>Ca2+</w:t>
            </w:r>
          </w:p>
        </w:tc>
        <w:tc>
          <w:tcPr>
            <w:tcW w:w="549" w:type="pct"/>
            <w:tcBorders>
              <w:tl2br w:val="nil"/>
              <w:tr2bl w:val="nil"/>
            </w:tcBorders>
            <w:shd w:val="clear" w:color="auto" w:fill="auto"/>
            <w:noWrap/>
            <w:vAlign w:val="center"/>
          </w:tcPr>
          <w:p w14:paraId="5DECE453">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37F03A9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w:t>
            </w:r>
          </w:p>
        </w:tc>
        <w:tc>
          <w:tcPr>
            <w:tcW w:w="532" w:type="pct"/>
            <w:tcBorders>
              <w:tl2br w:val="nil"/>
              <w:tr2bl w:val="nil"/>
            </w:tcBorders>
            <w:shd w:val="clear" w:color="auto" w:fill="auto"/>
            <w:noWrap/>
            <w:vAlign w:val="center"/>
          </w:tcPr>
          <w:p w14:paraId="77BDE8D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w:t>
            </w:r>
          </w:p>
        </w:tc>
        <w:tc>
          <w:tcPr>
            <w:tcW w:w="414" w:type="pct"/>
            <w:tcBorders>
              <w:tl2br w:val="nil"/>
              <w:tr2bl w:val="nil"/>
            </w:tcBorders>
            <w:shd w:val="clear" w:color="auto" w:fill="auto"/>
            <w:noWrap/>
            <w:vAlign w:val="center"/>
          </w:tcPr>
          <w:p w14:paraId="2A52FF3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w:t>
            </w:r>
          </w:p>
        </w:tc>
        <w:tc>
          <w:tcPr>
            <w:tcW w:w="421" w:type="pct"/>
            <w:tcBorders>
              <w:tl2br w:val="nil"/>
              <w:tr2bl w:val="nil"/>
            </w:tcBorders>
            <w:shd w:val="clear" w:color="auto" w:fill="auto"/>
            <w:noWrap/>
            <w:vAlign w:val="center"/>
          </w:tcPr>
          <w:p w14:paraId="1D704F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w:t>
            </w:r>
          </w:p>
        </w:tc>
        <w:tc>
          <w:tcPr>
            <w:tcW w:w="404" w:type="pct"/>
            <w:tcBorders>
              <w:tl2br w:val="nil"/>
              <w:tr2bl w:val="nil"/>
            </w:tcBorders>
            <w:shd w:val="clear" w:color="auto" w:fill="auto"/>
            <w:noWrap/>
            <w:vAlign w:val="center"/>
          </w:tcPr>
          <w:p w14:paraId="32B97C2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w:t>
            </w:r>
          </w:p>
        </w:tc>
        <w:tc>
          <w:tcPr>
            <w:tcW w:w="391" w:type="pct"/>
            <w:tcBorders>
              <w:tl2br w:val="nil"/>
              <w:tr2bl w:val="nil"/>
            </w:tcBorders>
            <w:shd w:val="clear" w:color="auto" w:fill="auto"/>
            <w:noWrap/>
            <w:vAlign w:val="center"/>
          </w:tcPr>
          <w:p w14:paraId="4F948EA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w:t>
            </w:r>
          </w:p>
        </w:tc>
        <w:tc>
          <w:tcPr>
            <w:tcW w:w="457" w:type="pct"/>
            <w:tcBorders>
              <w:tl2br w:val="nil"/>
              <w:tr2bl w:val="nil"/>
            </w:tcBorders>
            <w:shd w:val="clear" w:color="auto" w:fill="auto"/>
            <w:noWrap/>
            <w:vAlign w:val="center"/>
          </w:tcPr>
          <w:p w14:paraId="2822B88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w:t>
            </w:r>
          </w:p>
        </w:tc>
        <w:tc>
          <w:tcPr>
            <w:tcW w:w="402" w:type="pct"/>
            <w:tcBorders>
              <w:tl2br w:val="nil"/>
              <w:tr2bl w:val="nil"/>
            </w:tcBorders>
            <w:shd w:val="clear" w:color="auto" w:fill="auto"/>
            <w:noWrap/>
            <w:vAlign w:val="center"/>
          </w:tcPr>
          <w:p w14:paraId="18AB22E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3637F20C">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0C4CAA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59C8533B">
            <w:pPr>
              <w:pStyle w:val="42"/>
              <w:keepNext w:val="0"/>
              <w:keepLines w:val="0"/>
              <w:suppressLineNumbers w:val="0"/>
              <w:bidi w:val="0"/>
              <w:spacing w:before="0" w:beforeAutospacing="0" w:after="0" w:afterAutospacing="0"/>
              <w:rPr>
                <w:rFonts w:hint="eastAsia"/>
              </w:rPr>
            </w:pPr>
            <w:r>
              <w:rPr>
                <w:rFonts w:hint="default"/>
              </w:rPr>
              <w:t>Mg2+</w:t>
            </w:r>
          </w:p>
        </w:tc>
        <w:tc>
          <w:tcPr>
            <w:tcW w:w="549" w:type="pct"/>
            <w:tcBorders>
              <w:tl2br w:val="nil"/>
              <w:tr2bl w:val="nil"/>
            </w:tcBorders>
            <w:shd w:val="clear" w:color="auto" w:fill="auto"/>
            <w:noWrap/>
            <w:vAlign w:val="center"/>
          </w:tcPr>
          <w:p w14:paraId="171C1E8E">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29A575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3L</w:t>
            </w:r>
          </w:p>
        </w:tc>
        <w:tc>
          <w:tcPr>
            <w:tcW w:w="532" w:type="pct"/>
            <w:tcBorders>
              <w:tl2br w:val="nil"/>
              <w:tr2bl w:val="nil"/>
            </w:tcBorders>
            <w:shd w:val="clear" w:color="auto" w:fill="auto"/>
            <w:noWrap/>
            <w:vAlign w:val="center"/>
          </w:tcPr>
          <w:p w14:paraId="16D7F33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3L</w:t>
            </w:r>
          </w:p>
        </w:tc>
        <w:tc>
          <w:tcPr>
            <w:tcW w:w="414" w:type="pct"/>
            <w:tcBorders>
              <w:tl2br w:val="nil"/>
              <w:tr2bl w:val="nil"/>
            </w:tcBorders>
            <w:shd w:val="clear" w:color="auto" w:fill="auto"/>
            <w:noWrap/>
            <w:vAlign w:val="center"/>
          </w:tcPr>
          <w:p w14:paraId="32610E2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3L</w:t>
            </w:r>
          </w:p>
        </w:tc>
        <w:tc>
          <w:tcPr>
            <w:tcW w:w="421" w:type="pct"/>
            <w:tcBorders>
              <w:tl2br w:val="nil"/>
              <w:tr2bl w:val="nil"/>
            </w:tcBorders>
            <w:shd w:val="clear" w:color="auto" w:fill="auto"/>
            <w:noWrap/>
            <w:vAlign w:val="center"/>
          </w:tcPr>
          <w:p w14:paraId="1CE579E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3L</w:t>
            </w:r>
          </w:p>
        </w:tc>
        <w:tc>
          <w:tcPr>
            <w:tcW w:w="404" w:type="pct"/>
            <w:tcBorders>
              <w:tl2br w:val="nil"/>
              <w:tr2bl w:val="nil"/>
            </w:tcBorders>
            <w:shd w:val="clear" w:color="auto" w:fill="auto"/>
            <w:noWrap/>
            <w:vAlign w:val="center"/>
          </w:tcPr>
          <w:p w14:paraId="3723149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3L</w:t>
            </w:r>
          </w:p>
        </w:tc>
        <w:tc>
          <w:tcPr>
            <w:tcW w:w="391" w:type="pct"/>
            <w:tcBorders>
              <w:tl2br w:val="nil"/>
              <w:tr2bl w:val="nil"/>
            </w:tcBorders>
            <w:shd w:val="clear" w:color="auto" w:fill="auto"/>
            <w:noWrap/>
            <w:vAlign w:val="center"/>
          </w:tcPr>
          <w:p w14:paraId="4187EC47">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10</w:t>
            </w:r>
          </w:p>
        </w:tc>
        <w:tc>
          <w:tcPr>
            <w:tcW w:w="457" w:type="pct"/>
            <w:tcBorders>
              <w:tl2br w:val="nil"/>
              <w:tr2bl w:val="nil"/>
            </w:tcBorders>
            <w:shd w:val="clear" w:color="auto" w:fill="auto"/>
            <w:noWrap/>
            <w:vAlign w:val="center"/>
          </w:tcPr>
          <w:p w14:paraId="5473734C">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3L</w:t>
            </w:r>
          </w:p>
        </w:tc>
        <w:tc>
          <w:tcPr>
            <w:tcW w:w="402" w:type="pct"/>
            <w:tcBorders>
              <w:tl2br w:val="nil"/>
              <w:tr2bl w:val="nil"/>
            </w:tcBorders>
            <w:shd w:val="clear" w:color="auto" w:fill="auto"/>
            <w:noWrap/>
            <w:vAlign w:val="center"/>
          </w:tcPr>
          <w:p w14:paraId="4FF825E3">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04E6299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280D84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3F729093">
            <w:pPr>
              <w:pStyle w:val="42"/>
              <w:keepNext w:val="0"/>
              <w:keepLines w:val="0"/>
              <w:suppressLineNumbers w:val="0"/>
              <w:bidi w:val="0"/>
              <w:spacing w:before="0" w:beforeAutospacing="0" w:after="0" w:afterAutospacing="0"/>
              <w:rPr>
                <w:rFonts w:hint="eastAsia"/>
              </w:rPr>
            </w:pPr>
            <w:r>
              <w:rPr>
                <w:rFonts w:hint="default"/>
              </w:rPr>
              <w:t>CO32-</w:t>
            </w:r>
          </w:p>
        </w:tc>
        <w:tc>
          <w:tcPr>
            <w:tcW w:w="549" w:type="pct"/>
            <w:tcBorders>
              <w:tl2br w:val="nil"/>
              <w:tr2bl w:val="nil"/>
            </w:tcBorders>
            <w:shd w:val="clear" w:color="auto" w:fill="auto"/>
            <w:noWrap/>
            <w:vAlign w:val="center"/>
          </w:tcPr>
          <w:p w14:paraId="2D0FD013">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6F2C78D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532" w:type="pct"/>
            <w:tcBorders>
              <w:tl2br w:val="nil"/>
              <w:tr2bl w:val="nil"/>
            </w:tcBorders>
            <w:shd w:val="clear" w:color="auto" w:fill="auto"/>
            <w:noWrap/>
            <w:vAlign w:val="center"/>
          </w:tcPr>
          <w:p w14:paraId="1D13DE1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59</w:t>
            </w:r>
          </w:p>
        </w:tc>
        <w:tc>
          <w:tcPr>
            <w:tcW w:w="414" w:type="pct"/>
            <w:tcBorders>
              <w:tl2br w:val="nil"/>
              <w:tr2bl w:val="nil"/>
            </w:tcBorders>
            <w:shd w:val="clear" w:color="auto" w:fill="auto"/>
            <w:noWrap/>
            <w:vAlign w:val="center"/>
          </w:tcPr>
          <w:p w14:paraId="41FA7B6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421" w:type="pct"/>
            <w:tcBorders>
              <w:tl2br w:val="nil"/>
              <w:tr2bl w:val="nil"/>
            </w:tcBorders>
            <w:shd w:val="clear" w:color="auto" w:fill="auto"/>
            <w:noWrap/>
            <w:vAlign w:val="center"/>
          </w:tcPr>
          <w:p w14:paraId="23DFA8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404" w:type="pct"/>
            <w:tcBorders>
              <w:tl2br w:val="nil"/>
              <w:tr2bl w:val="nil"/>
            </w:tcBorders>
            <w:shd w:val="clear" w:color="auto" w:fill="auto"/>
            <w:noWrap/>
            <w:vAlign w:val="center"/>
          </w:tcPr>
          <w:p w14:paraId="3B4050C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391" w:type="pct"/>
            <w:tcBorders>
              <w:tl2br w:val="nil"/>
              <w:tr2bl w:val="nil"/>
            </w:tcBorders>
            <w:shd w:val="clear" w:color="auto" w:fill="auto"/>
            <w:noWrap/>
            <w:vAlign w:val="center"/>
          </w:tcPr>
          <w:p w14:paraId="68085D9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457" w:type="pct"/>
            <w:tcBorders>
              <w:tl2br w:val="nil"/>
              <w:tr2bl w:val="nil"/>
            </w:tcBorders>
            <w:shd w:val="clear" w:color="auto" w:fill="auto"/>
            <w:noWrap/>
            <w:vAlign w:val="center"/>
          </w:tcPr>
          <w:p w14:paraId="635561D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5L</w:t>
            </w:r>
          </w:p>
        </w:tc>
        <w:tc>
          <w:tcPr>
            <w:tcW w:w="402" w:type="pct"/>
            <w:tcBorders>
              <w:tl2br w:val="nil"/>
              <w:tr2bl w:val="nil"/>
            </w:tcBorders>
            <w:shd w:val="clear" w:color="auto" w:fill="auto"/>
            <w:noWrap/>
            <w:vAlign w:val="center"/>
          </w:tcPr>
          <w:p w14:paraId="7793405D">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60B5EC2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7F8B6A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4CD53CFB">
            <w:pPr>
              <w:pStyle w:val="42"/>
              <w:keepNext w:val="0"/>
              <w:keepLines w:val="0"/>
              <w:suppressLineNumbers w:val="0"/>
              <w:bidi w:val="0"/>
              <w:spacing w:before="0" w:beforeAutospacing="0" w:after="0" w:afterAutospacing="0"/>
              <w:rPr>
                <w:rFonts w:hint="eastAsia"/>
                <w:lang w:val="en-US" w:eastAsia="zh-CN"/>
              </w:rPr>
            </w:pPr>
            <w:r>
              <w:rPr>
                <w:rFonts w:hint="default"/>
              </w:rPr>
              <w:t>HCO32-</w:t>
            </w:r>
          </w:p>
        </w:tc>
        <w:tc>
          <w:tcPr>
            <w:tcW w:w="549" w:type="pct"/>
            <w:tcBorders>
              <w:tl2br w:val="nil"/>
              <w:tr2bl w:val="nil"/>
            </w:tcBorders>
            <w:shd w:val="clear" w:color="auto" w:fill="auto"/>
            <w:noWrap/>
            <w:vAlign w:val="center"/>
          </w:tcPr>
          <w:p w14:paraId="31C7FF0D">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36465A0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w:t>
            </w:r>
          </w:p>
        </w:tc>
        <w:tc>
          <w:tcPr>
            <w:tcW w:w="532" w:type="pct"/>
            <w:tcBorders>
              <w:tl2br w:val="nil"/>
              <w:tr2bl w:val="nil"/>
            </w:tcBorders>
            <w:shd w:val="clear" w:color="auto" w:fill="auto"/>
            <w:noWrap/>
            <w:vAlign w:val="center"/>
          </w:tcPr>
          <w:p w14:paraId="73B0B01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69</w:t>
            </w:r>
          </w:p>
        </w:tc>
        <w:tc>
          <w:tcPr>
            <w:tcW w:w="414" w:type="pct"/>
            <w:tcBorders>
              <w:tl2br w:val="nil"/>
              <w:tr2bl w:val="nil"/>
            </w:tcBorders>
            <w:shd w:val="clear" w:color="auto" w:fill="auto"/>
            <w:noWrap/>
            <w:vAlign w:val="center"/>
          </w:tcPr>
          <w:p w14:paraId="5BA1BC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w:t>
            </w:r>
          </w:p>
        </w:tc>
        <w:tc>
          <w:tcPr>
            <w:tcW w:w="421" w:type="pct"/>
            <w:tcBorders>
              <w:tl2br w:val="nil"/>
              <w:tr2bl w:val="nil"/>
            </w:tcBorders>
            <w:shd w:val="clear" w:color="auto" w:fill="auto"/>
            <w:noWrap/>
            <w:vAlign w:val="center"/>
          </w:tcPr>
          <w:p w14:paraId="3732A29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w:t>
            </w:r>
          </w:p>
        </w:tc>
        <w:tc>
          <w:tcPr>
            <w:tcW w:w="404" w:type="pct"/>
            <w:tcBorders>
              <w:tl2br w:val="nil"/>
              <w:tr2bl w:val="nil"/>
            </w:tcBorders>
            <w:shd w:val="clear" w:color="auto" w:fill="auto"/>
            <w:noWrap/>
            <w:vAlign w:val="center"/>
          </w:tcPr>
          <w:p w14:paraId="61BA7CF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29</w:t>
            </w:r>
          </w:p>
        </w:tc>
        <w:tc>
          <w:tcPr>
            <w:tcW w:w="391" w:type="pct"/>
            <w:tcBorders>
              <w:tl2br w:val="nil"/>
              <w:tr2bl w:val="nil"/>
            </w:tcBorders>
            <w:shd w:val="clear" w:color="auto" w:fill="auto"/>
            <w:noWrap/>
            <w:vAlign w:val="center"/>
          </w:tcPr>
          <w:p w14:paraId="5550DE7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w:t>
            </w:r>
          </w:p>
        </w:tc>
        <w:tc>
          <w:tcPr>
            <w:tcW w:w="457" w:type="pct"/>
            <w:tcBorders>
              <w:tl2br w:val="nil"/>
              <w:tr2bl w:val="nil"/>
            </w:tcBorders>
            <w:shd w:val="clear" w:color="auto" w:fill="auto"/>
            <w:noWrap/>
            <w:vAlign w:val="center"/>
          </w:tcPr>
          <w:p w14:paraId="6A4ED40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135</w:t>
            </w:r>
          </w:p>
        </w:tc>
        <w:tc>
          <w:tcPr>
            <w:tcW w:w="402" w:type="pct"/>
            <w:tcBorders>
              <w:tl2br w:val="nil"/>
              <w:tr2bl w:val="nil"/>
            </w:tcBorders>
            <w:shd w:val="clear" w:color="auto" w:fill="auto"/>
            <w:noWrap/>
            <w:vAlign w:val="center"/>
          </w:tcPr>
          <w:p w14:paraId="4B7FE9D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08ED5EC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0A3BB5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3F662B2C">
            <w:pPr>
              <w:pStyle w:val="42"/>
              <w:keepNext w:val="0"/>
              <w:keepLines w:val="0"/>
              <w:suppressLineNumbers w:val="0"/>
              <w:bidi w:val="0"/>
              <w:spacing w:before="0" w:beforeAutospacing="0" w:after="0" w:afterAutospacing="0"/>
              <w:rPr>
                <w:rFonts w:hint="eastAsia"/>
                <w:lang w:val="en-US" w:eastAsia="zh-CN"/>
              </w:rPr>
            </w:pPr>
            <w:r>
              <w:rPr>
                <w:rFonts w:hint="default"/>
              </w:rPr>
              <w:t>Cl-</w:t>
            </w:r>
          </w:p>
        </w:tc>
        <w:tc>
          <w:tcPr>
            <w:tcW w:w="549" w:type="pct"/>
            <w:tcBorders>
              <w:tl2br w:val="nil"/>
              <w:tr2bl w:val="nil"/>
            </w:tcBorders>
            <w:shd w:val="clear" w:color="auto" w:fill="auto"/>
            <w:noWrap/>
            <w:vAlign w:val="center"/>
          </w:tcPr>
          <w:p w14:paraId="68A60093">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59BA952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33.1</w:t>
            </w:r>
          </w:p>
        </w:tc>
        <w:tc>
          <w:tcPr>
            <w:tcW w:w="532" w:type="pct"/>
            <w:tcBorders>
              <w:tl2br w:val="nil"/>
              <w:tr2bl w:val="nil"/>
            </w:tcBorders>
            <w:shd w:val="clear" w:color="auto" w:fill="auto"/>
            <w:noWrap/>
            <w:vAlign w:val="center"/>
          </w:tcPr>
          <w:p w14:paraId="09CDD3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15.2</w:t>
            </w:r>
          </w:p>
        </w:tc>
        <w:tc>
          <w:tcPr>
            <w:tcW w:w="414" w:type="pct"/>
            <w:tcBorders>
              <w:tl2br w:val="nil"/>
              <w:tr2bl w:val="nil"/>
            </w:tcBorders>
            <w:shd w:val="clear" w:color="auto" w:fill="auto"/>
            <w:noWrap/>
            <w:vAlign w:val="center"/>
          </w:tcPr>
          <w:p w14:paraId="60C10C7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w:t>
            </w:r>
          </w:p>
        </w:tc>
        <w:tc>
          <w:tcPr>
            <w:tcW w:w="421" w:type="pct"/>
            <w:tcBorders>
              <w:tl2br w:val="nil"/>
              <w:tr2bl w:val="nil"/>
            </w:tcBorders>
            <w:shd w:val="clear" w:color="auto" w:fill="auto"/>
            <w:noWrap/>
            <w:vAlign w:val="center"/>
          </w:tcPr>
          <w:p w14:paraId="6275C1E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0.007L</w:t>
            </w:r>
          </w:p>
        </w:tc>
        <w:tc>
          <w:tcPr>
            <w:tcW w:w="404" w:type="pct"/>
            <w:tcBorders>
              <w:tl2br w:val="nil"/>
              <w:tr2bl w:val="nil"/>
            </w:tcBorders>
            <w:shd w:val="clear" w:color="auto" w:fill="auto"/>
            <w:noWrap/>
            <w:vAlign w:val="center"/>
          </w:tcPr>
          <w:p w14:paraId="22738A6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50.7</w:t>
            </w:r>
          </w:p>
        </w:tc>
        <w:tc>
          <w:tcPr>
            <w:tcW w:w="391" w:type="pct"/>
            <w:tcBorders>
              <w:tl2br w:val="nil"/>
              <w:tr2bl w:val="nil"/>
            </w:tcBorders>
            <w:shd w:val="clear" w:color="auto" w:fill="auto"/>
            <w:noWrap/>
            <w:vAlign w:val="center"/>
          </w:tcPr>
          <w:p w14:paraId="215F54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63.0</w:t>
            </w:r>
          </w:p>
        </w:tc>
        <w:tc>
          <w:tcPr>
            <w:tcW w:w="457" w:type="pct"/>
            <w:tcBorders>
              <w:tl2br w:val="nil"/>
              <w:tr2bl w:val="nil"/>
            </w:tcBorders>
            <w:shd w:val="clear" w:color="auto" w:fill="auto"/>
            <w:noWrap/>
            <w:vAlign w:val="center"/>
          </w:tcPr>
          <w:p w14:paraId="59DEF90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17.0</w:t>
            </w:r>
          </w:p>
        </w:tc>
        <w:tc>
          <w:tcPr>
            <w:tcW w:w="402" w:type="pct"/>
            <w:tcBorders>
              <w:tl2br w:val="nil"/>
              <w:tr2bl w:val="nil"/>
            </w:tcBorders>
            <w:shd w:val="clear" w:color="auto" w:fill="auto"/>
            <w:noWrap/>
            <w:vAlign w:val="center"/>
          </w:tcPr>
          <w:p w14:paraId="527B9BEE">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6777EC5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321968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79796DF9">
            <w:pPr>
              <w:pStyle w:val="42"/>
              <w:keepNext w:val="0"/>
              <w:keepLines w:val="0"/>
              <w:suppressLineNumbers w:val="0"/>
              <w:bidi w:val="0"/>
              <w:spacing w:before="0" w:beforeAutospacing="0" w:after="0" w:afterAutospacing="0"/>
              <w:rPr>
                <w:rFonts w:hint="eastAsia"/>
                <w:lang w:val="en-US" w:eastAsia="zh-CN"/>
              </w:rPr>
            </w:pPr>
            <w:r>
              <w:rPr>
                <w:rFonts w:hint="default"/>
              </w:rPr>
              <w:t>SO42-</w:t>
            </w:r>
          </w:p>
        </w:tc>
        <w:tc>
          <w:tcPr>
            <w:tcW w:w="549" w:type="pct"/>
            <w:tcBorders>
              <w:tl2br w:val="nil"/>
              <w:tr2bl w:val="nil"/>
            </w:tcBorders>
            <w:shd w:val="clear" w:color="auto" w:fill="auto"/>
            <w:noWrap/>
            <w:vAlign w:val="center"/>
          </w:tcPr>
          <w:p w14:paraId="6913C440">
            <w:pPr>
              <w:pStyle w:val="42"/>
              <w:keepNext w:val="0"/>
              <w:keepLines w:val="0"/>
              <w:suppressLineNumbers w:val="0"/>
              <w:bidi w:val="0"/>
              <w:spacing w:before="0" w:beforeAutospacing="0" w:after="0" w:afterAutospacing="0"/>
              <w:rPr>
                <w:rFonts w:hint="eastAsia"/>
              </w:rPr>
            </w:pPr>
            <w:r>
              <w:rPr>
                <w:rFonts w:hint="default"/>
                <w:lang w:val="en-US" w:eastAsia="zh-CN"/>
              </w:rPr>
              <w:t>mg/L</w:t>
            </w:r>
          </w:p>
        </w:tc>
        <w:tc>
          <w:tcPr>
            <w:tcW w:w="462" w:type="pct"/>
            <w:tcBorders>
              <w:tl2br w:val="nil"/>
              <w:tr2bl w:val="nil"/>
            </w:tcBorders>
            <w:shd w:val="clear" w:color="auto" w:fill="auto"/>
            <w:noWrap/>
            <w:vAlign w:val="center"/>
          </w:tcPr>
          <w:p w14:paraId="6074974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11.8</w:t>
            </w:r>
          </w:p>
        </w:tc>
        <w:tc>
          <w:tcPr>
            <w:tcW w:w="532" w:type="pct"/>
            <w:tcBorders>
              <w:tl2br w:val="nil"/>
              <w:tr2bl w:val="nil"/>
            </w:tcBorders>
            <w:shd w:val="clear" w:color="auto" w:fill="auto"/>
            <w:noWrap/>
            <w:vAlign w:val="center"/>
          </w:tcPr>
          <w:p w14:paraId="4137687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18.6</w:t>
            </w:r>
          </w:p>
        </w:tc>
        <w:tc>
          <w:tcPr>
            <w:tcW w:w="414" w:type="pct"/>
            <w:tcBorders>
              <w:tl2br w:val="nil"/>
              <w:tr2bl w:val="nil"/>
            </w:tcBorders>
            <w:shd w:val="clear" w:color="auto" w:fill="auto"/>
            <w:noWrap/>
            <w:vAlign w:val="center"/>
          </w:tcPr>
          <w:p w14:paraId="263FF9F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1.89</w:t>
            </w:r>
          </w:p>
        </w:tc>
        <w:tc>
          <w:tcPr>
            <w:tcW w:w="421" w:type="pct"/>
            <w:tcBorders>
              <w:tl2br w:val="nil"/>
              <w:tr2bl w:val="nil"/>
            </w:tcBorders>
            <w:shd w:val="clear" w:color="auto" w:fill="auto"/>
            <w:noWrap/>
            <w:vAlign w:val="center"/>
          </w:tcPr>
          <w:p w14:paraId="000BFB7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2.38</w:t>
            </w:r>
          </w:p>
        </w:tc>
        <w:tc>
          <w:tcPr>
            <w:tcW w:w="404" w:type="pct"/>
            <w:tcBorders>
              <w:tl2br w:val="nil"/>
              <w:tr2bl w:val="nil"/>
            </w:tcBorders>
            <w:shd w:val="clear" w:color="auto" w:fill="auto"/>
            <w:noWrap/>
            <w:vAlign w:val="center"/>
          </w:tcPr>
          <w:p w14:paraId="601FF03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3.44</w:t>
            </w:r>
          </w:p>
        </w:tc>
        <w:tc>
          <w:tcPr>
            <w:tcW w:w="391" w:type="pct"/>
            <w:tcBorders>
              <w:tl2br w:val="nil"/>
              <w:tr2bl w:val="nil"/>
            </w:tcBorders>
            <w:shd w:val="clear" w:color="auto" w:fill="auto"/>
            <w:noWrap/>
            <w:vAlign w:val="center"/>
          </w:tcPr>
          <w:p w14:paraId="06C0E109">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6.59</w:t>
            </w:r>
          </w:p>
        </w:tc>
        <w:tc>
          <w:tcPr>
            <w:tcW w:w="457" w:type="pct"/>
            <w:tcBorders>
              <w:tl2br w:val="nil"/>
              <w:tr2bl w:val="nil"/>
            </w:tcBorders>
            <w:shd w:val="clear" w:color="auto" w:fill="auto"/>
            <w:noWrap/>
            <w:vAlign w:val="center"/>
          </w:tcPr>
          <w:p w14:paraId="573DD785">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9.88</w:t>
            </w:r>
          </w:p>
        </w:tc>
        <w:tc>
          <w:tcPr>
            <w:tcW w:w="402" w:type="pct"/>
            <w:tcBorders>
              <w:tl2br w:val="nil"/>
              <w:tr2bl w:val="nil"/>
            </w:tcBorders>
            <w:shd w:val="clear" w:color="auto" w:fill="auto"/>
            <w:noWrap/>
            <w:vAlign w:val="center"/>
          </w:tcPr>
          <w:p w14:paraId="1178EB26">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w:t>
            </w:r>
          </w:p>
        </w:tc>
        <w:tc>
          <w:tcPr>
            <w:tcW w:w="402" w:type="pct"/>
            <w:tcBorders>
              <w:tl2br w:val="nil"/>
              <w:tr2bl w:val="nil"/>
            </w:tcBorders>
            <w:shd w:val="clear" w:color="auto" w:fill="auto"/>
            <w:noWrap/>
            <w:vAlign w:val="center"/>
          </w:tcPr>
          <w:p w14:paraId="41D774EC">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5792AA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516A98B1">
            <w:pPr>
              <w:pStyle w:val="42"/>
              <w:keepNext w:val="0"/>
              <w:keepLines w:val="0"/>
              <w:suppressLineNumbers w:val="0"/>
              <w:bidi w:val="0"/>
              <w:spacing w:before="0" w:beforeAutospacing="0" w:after="0" w:afterAutospacing="0"/>
              <w:rPr>
                <w:rFonts w:hint="default"/>
              </w:rPr>
            </w:pPr>
            <w:r>
              <w:rPr>
                <w:rFonts w:hint="default"/>
                <w:lang w:val="en-US" w:eastAsia="zh-CN"/>
              </w:rPr>
              <w:t>pH</w:t>
            </w:r>
          </w:p>
        </w:tc>
        <w:tc>
          <w:tcPr>
            <w:tcW w:w="549" w:type="pct"/>
            <w:tcBorders>
              <w:tl2br w:val="nil"/>
              <w:tr2bl w:val="nil"/>
            </w:tcBorders>
            <w:shd w:val="clear" w:color="auto" w:fill="auto"/>
            <w:noWrap/>
            <w:vAlign w:val="center"/>
          </w:tcPr>
          <w:p w14:paraId="416CFBC5">
            <w:pPr>
              <w:pStyle w:val="42"/>
              <w:keepNext w:val="0"/>
              <w:keepLines w:val="0"/>
              <w:suppressLineNumbers w:val="0"/>
              <w:bidi w:val="0"/>
              <w:spacing w:before="0" w:beforeAutospacing="0" w:after="0" w:afterAutospacing="0"/>
              <w:rPr>
                <w:rFonts w:hint="eastAsia"/>
              </w:rPr>
            </w:pPr>
            <w:r>
              <w:rPr>
                <w:rFonts w:hint="eastAsia"/>
                <w:lang w:val="en-US" w:eastAsia="zh-CN"/>
              </w:rPr>
              <w:t>无量纲</w:t>
            </w:r>
          </w:p>
        </w:tc>
        <w:tc>
          <w:tcPr>
            <w:tcW w:w="462" w:type="pct"/>
            <w:tcBorders>
              <w:tl2br w:val="nil"/>
              <w:tr2bl w:val="nil"/>
            </w:tcBorders>
            <w:shd w:val="clear" w:color="auto" w:fill="auto"/>
            <w:noWrap/>
            <w:vAlign w:val="center"/>
          </w:tcPr>
          <w:p w14:paraId="084C062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7.2</w:t>
            </w:r>
          </w:p>
        </w:tc>
        <w:tc>
          <w:tcPr>
            <w:tcW w:w="532" w:type="pct"/>
            <w:tcBorders>
              <w:tl2br w:val="nil"/>
              <w:tr2bl w:val="nil"/>
            </w:tcBorders>
            <w:shd w:val="clear" w:color="auto" w:fill="auto"/>
            <w:noWrap/>
            <w:vAlign w:val="center"/>
          </w:tcPr>
          <w:p w14:paraId="6F61D25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8.43</w:t>
            </w:r>
          </w:p>
        </w:tc>
        <w:tc>
          <w:tcPr>
            <w:tcW w:w="414" w:type="pct"/>
            <w:tcBorders>
              <w:tl2br w:val="nil"/>
              <w:tr2bl w:val="nil"/>
            </w:tcBorders>
            <w:shd w:val="clear" w:color="auto" w:fill="auto"/>
            <w:noWrap/>
            <w:vAlign w:val="center"/>
          </w:tcPr>
          <w:p w14:paraId="6F62B94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7.3</w:t>
            </w:r>
          </w:p>
        </w:tc>
        <w:tc>
          <w:tcPr>
            <w:tcW w:w="421" w:type="pct"/>
            <w:tcBorders>
              <w:tl2br w:val="nil"/>
              <w:tr2bl w:val="nil"/>
            </w:tcBorders>
            <w:shd w:val="clear" w:color="auto" w:fill="auto"/>
            <w:noWrap/>
            <w:vAlign w:val="center"/>
          </w:tcPr>
          <w:p w14:paraId="5ABCEA2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7.0</w:t>
            </w:r>
          </w:p>
        </w:tc>
        <w:tc>
          <w:tcPr>
            <w:tcW w:w="404" w:type="pct"/>
            <w:tcBorders>
              <w:tl2br w:val="nil"/>
              <w:tr2bl w:val="nil"/>
            </w:tcBorders>
            <w:shd w:val="clear" w:color="auto" w:fill="auto"/>
            <w:noWrap/>
            <w:vAlign w:val="center"/>
          </w:tcPr>
          <w:p w14:paraId="717F3D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7.7</w:t>
            </w:r>
          </w:p>
        </w:tc>
        <w:tc>
          <w:tcPr>
            <w:tcW w:w="391" w:type="pct"/>
            <w:tcBorders>
              <w:tl2br w:val="nil"/>
              <w:tr2bl w:val="nil"/>
            </w:tcBorders>
            <w:shd w:val="clear" w:color="auto" w:fill="auto"/>
            <w:noWrap/>
            <w:vAlign w:val="center"/>
          </w:tcPr>
          <w:p w14:paraId="41C5B8B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7.0</w:t>
            </w:r>
          </w:p>
        </w:tc>
        <w:tc>
          <w:tcPr>
            <w:tcW w:w="457" w:type="pct"/>
            <w:tcBorders>
              <w:tl2br w:val="nil"/>
              <w:tr2bl w:val="nil"/>
            </w:tcBorders>
            <w:shd w:val="clear" w:color="auto" w:fill="auto"/>
            <w:noWrap/>
            <w:vAlign w:val="center"/>
          </w:tcPr>
          <w:p w14:paraId="70338C6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7.4</w:t>
            </w:r>
          </w:p>
        </w:tc>
        <w:tc>
          <w:tcPr>
            <w:tcW w:w="402" w:type="pct"/>
            <w:tcBorders>
              <w:tl2br w:val="nil"/>
              <w:tr2bl w:val="nil"/>
            </w:tcBorders>
            <w:shd w:val="clear" w:color="auto" w:fill="auto"/>
            <w:noWrap/>
            <w:vAlign w:val="center"/>
          </w:tcPr>
          <w:p w14:paraId="59A8FF3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6.5-8.5</w:t>
            </w:r>
          </w:p>
        </w:tc>
        <w:tc>
          <w:tcPr>
            <w:tcW w:w="402" w:type="pct"/>
            <w:tcBorders>
              <w:tl2br w:val="nil"/>
              <w:tr2bl w:val="nil"/>
            </w:tcBorders>
            <w:shd w:val="clear" w:color="auto" w:fill="auto"/>
            <w:noWrap/>
            <w:vAlign w:val="center"/>
          </w:tcPr>
          <w:p w14:paraId="31C98F9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7394A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362C81B3">
            <w:pPr>
              <w:pStyle w:val="42"/>
              <w:keepNext w:val="0"/>
              <w:keepLines w:val="0"/>
              <w:suppressLineNumbers w:val="0"/>
              <w:bidi w:val="0"/>
              <w:spacing w:before="0" w:beforeAutospacing="0" w:after="0" w:afterAutospacing="0"/>
              <w:rPr>
                <w:rFonts w:hint="eastAsia"/>
              </w:rPr>
            </w:pPr>
            <w:r>
              <w:rPr>
                <w:rFonts w:hint="eastAsia"/>
                <w:lang w:val="en-US" w:eastAsia="zh-CN"/>
              </w:rPr>
              <w:t>氨氮</w:t>
            </w:r>
          </w:p>
        </w:tc>
        <w:tc>
          <w:tcPr>
            <w:tcW w:w="549" w:type="pct"/>
            <w:tcBorders>
              <w:tl2br w:val="nil"/>
              <w:tr2bl w:val="nil"/>
            </w:tcBorders>
            <w:shd w:val="clear" w:color="auto" w:fill="auto"/>
            <w:noWrap/>
            <w:vAlign w:val="center"/>
          </w:tcPr>
          <w:p w14:paraId="331A3841">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188926F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0.10</w:t>
            </w:r>
          </w:p>
        </w:tc>
        <w:tc>
          <w:tcPr>
            <w:tcW w:w="532" w:type="pct"/>
            <w:tcBorders>
              <w:tl2br w:val="nil"/>
              <w:tr2bl w:val="nil"/>
            </w:tcBorders>
            <w:shd w:val="clear" w:color="auto" w:fill="auto"/>
            <w:noWrap/>
            <w:vAlign w:val="center"/>
          </w:tcPr>
          <w:p w14:paraId="6B11FA5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0.028</w:t>
            </w:r>
          </w:p>
        </w:tc>
        <w:tc>
          <w:tcPr>
            <w:tcW w:w="414" w:type="pct"/>
            <w:tcBorders>
              <w:tl2br w:val="nil"/>
              <w:tr2bl w:val="nil"/>
            </w:tcBorders>
            <w:shd w:val="clear" w:color="auto" w:fill="auto"/>
            <w:noWrap/>
            <w:vAlign w:val="center"/>
          </w:tcPr>
          <w:p w14:paraId="306332C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c>
          <w:tcPr>
            <w:tcW w:w="421" w:type="pct"/>
            <w:tcBorders>
              <w:tl2br w:val="nil"/>
              <w:tr2bl w:val="nil"/>
            </w:tcBorders>
            <w:shd w:val="clear" w:color="auto" w:fill="auto"/>
            <w:noWrap/>
            <w:vAlign w:val="center"/>
          </w:tcPr>
          <w:p w14:paraId="434069C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c>
          <w:tcPr>
            <w:tcW w:w="404" w:type="pct"/>
            <w:tcBorders>
              <w:tl2br w:val="nil"/>
              <w:tr2bl w:val="nil"/>
            </w:tcBorders>
            <w:shd w:val="clear" w:color="auto" w:fill="auto"/>
            <w:noWrap/>
            <w:vAlign w:val="center"/>
          </w:tcPr>
          <w:p w14:paraId="520AEA8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c>
          <w:tcPr>
            <w:tcW w:w="391" w:type="pct"/>
            <w:tcBorders>
              <w:tl2br w:val="nil"/>
              <w:tr2bl w:val="nil"/>
            </w:tcBorders>
            <w:shd w:val="clear" w:color="auto" w:fill="auto"/>
            <w:noWrap/>
            <w:vAlign w:val="center"/>
          </w:tcPr>
          <w:p w14:paraId="3F34B8B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0.07</w:t>
            </w:r>
          </w:p>
        </w:tc>
        <w:tc>
          <w:tcPr>
            <w:tcW w:w="457" w:type="pct"/>
            <w:tcBorders>
              <w:tl2br w:val="nil"/>
              <w:tr2bl w:val="nil"/>
            </w:tcBorders>
            <w:shd w:val="clear" w:color="auto" w:fill="auto"/>
            <w:noWrap/>
            <w:vAlign w:val="center"/>
          </w:tcPr>
          <w:p w14:paraId="797E5A8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0.12</w:t>
            </w:r>
          </w:p>
        </w:tc>
        <w:tc>
          <w:tcPr>
            <w:tcW w:w="402" w:type="pct"/>
            <w:tcBorders>
              <w:tl2br w:val="nil"/>
              <w:tr2bl w:val="nil"/>
            </w:tcBorders>
            <w:shd w:val="clear" w:color="auto" w:fill="auto"/>
            <w:noWrap/>
            <w:vAlign w:val="center"/>
          </w:tcPr>
          <w:p w14:paraId="11FC1E4D">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0.5</w:t>
            </w:r>
          </w:p>
        </w:tc>
        <w:tc>
          <w:tcPr>
            <w:tcW w:w="402" w:type="pct"/>
            <w:tcBorders>
              <w:tl2br w:val="nil"/>
              <w:tr2bl w:val="nil"/>
            </w:tcBorders>
            <w:shd w:val="clear" w:color="auto" w:fill="auto"/>
            <w:noWrap/>
            <w:vAlign w:val="center"/>
          </w:tcPr>
          <w:p w14:paraId="52CCCB0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7A707C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563" w:type="pct"/>
            <w:tcBorders>
              <w:tl2br w:val="nil"/>
              <w:tr2bl w:val="nil"/>
            </w:tcBorders>
            <w:shd w:val="clear" w:color="auto" w:fill="auto"/>
            <w:noWrap/>
            <w:vAlign w:val="center"/>
          </w:tcPr>
          <w:p w14:paraId="249FCF95">
            <w:pPr>
              <w:pStyle w:val="42"/>
              <w:keepNext w:val="0"/>
              <w:keepLines w:val="0"/>
              <w:suppressLineNumbers w:val="0"/>
              <w:bidi w:val="0"/>
              <w:spacing w:before="0" w:beforeAutospacing="0" w:after="0" w:afterAutospacing="0"/>
              <w:rPr>
                <w:rFonts w:hint="eastAsia"/>
              </w:rPr>
            </w:pPr>
            <w:r>
              <w:rPr>
                <w:rFonts w:hint="eastAsia"/>
                <w:lang w:val="en-US" w:eastAsia="zh-CN"/>
              </w:rPr>
              <w:t>硝酸盐</w:t>
            </w:r>
          </w:p>
        </w:tc>
        <w:tc>
          <w:tcPr>
            <w:tcW w:w="549" w:type="pct"/>
            <w:tcBorders>
              <w:tl2br w:val="nil"/>
              <w:tr2bl w:val="nil"/>
            </w:tcBorders>
            <w:shd w:val="clear" w:color="auto" w:fill="auto"/>
            <w:noWrap/>
            <w:vAlign w:val="center"/>
          </w:tcPr>
          <w:p w14:paraId="4E9E3533">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6C3EC79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5.61</w:t>
            </w:r>
          </w:p>
        </w:tc>
        <w:tc>
          <w:tcPr>
            <w:tcW w:w="532" w:type="pct"/>
            <w:tcBorders>
              <w:tl2br w:val="nil"/>
              <w:tr2bl w:val="nil"/>
            </w:tcBorders>
            <w:shd w:val="clear" w:color="auto" w:fill="auto"/>
            <w:noWrap/>
            <w:vAlign w:val="center"/>
          </w:tcPr>
          <w:p w14:paraId="425ACA9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4.06</w:t>
            </w:r>
          </w:p>
        </w:tc>
        <w:tc>
          <w:tcPr>
            <w:tcW w:w="414" w:type="pct"/>
            <w:tcBorders>
              <w:tl2br w:val="nil"/>
              <w:tr2bl w:val="nil"/>
            </w:tcBorders>
            <w:shd w:val="clear" w:color="auto" w:fill="auto"/>
            <w:noWrap/>
            <w:vAlign w:val="center"/>
          </w:tcPr>
          <w:p w14:paraId="40638F0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1.78</w:t>
            </w:r>
          </w:p>
        </w:tc>
        <w:tc>
          <w:tcPr>
            <w:tcW w:w="421" w:type="pct"/>
            <w:tcBorders>
              <w:tl2br w:val="nil"/>
              <w:tr2bl w:val="nil"/>
            </w:tcBorders>
            <w:shd w:val="clear" w:color="auto" w:fill="auto"/>
            <w:noWrap/>
            <w:vAlign w:val="center"/>
          </w:tcPr>
          <w:p w14:paraId="0472A71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2.76</w:t>
            </w:r>
          </w:p>
        </w:tc>
        <w:tc>
          <w:tcPr>
            <w:tcW w:w="404" w:type="pct"/>
            <w:tcBorders>
              <w:tl2br w:val="nil"/>
              <w:tr2bl w:val="nil"/>
            </w:tcBorders>
            <w:shd w:val="clear" w:color="auto" w:fill="auto"/>
            <w:noWrap/>
            <w:vAlign w:val="center"/>
          </w:tcPr>
          <w:p w14:paraId="0BE8AF8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1.28</w:t>
            </w:r>
          </w:p>
        </w:tc>
        <w:tc>
          <w:tcPr>
            <w:tcW w:w="391" w:type="pct"/>
            <w:tcBorders>
              <w:tl2br w:val="nil"/>
              <w:tr2bl w:val="nil"/>
            </w:tcBorders>
            <w:shd w:val="clear" w:color="auto" w:fill="auto"/>
            <w:noWrap/>
            <w:vAlign w:val="center"/>
          </w:tcPr>
          <w:p w14:paraId="2565070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16.1</w:t>
            </w:r>
          </w:p>
        </w:tc>
        <w:tc>
          <w:tcPr>
            <w:tcW w:w="457" w:type="pct"/>
            <w:tcBorders>
              <w:tl2br w:val="nil"/>
              <w:tr2bl w:val="nil"/>
            </w:tcBorders>
            <w:shd w:val="clear" w:color="auto" w:fill="auto"/>
            <w:noWrap/>
            <w:vAlign w:val="center"/>
          </w:tcPr>
          <w:p w14:paraId="03641C4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4.57</w:t>
            </w:r>
          </w:p>
        </w:tc>
        <w:tc>
          <w:tcPr>
            <w:tcW w:w="402" w:type="pct"/>
            <w:tcBorders>
              <w:tl2br w:val="nil"/>
              <w:tr2bl w:val="nil"/>
            </w:tcBorders>
            <w:shd w:val="clear" w:color="auto" w:fill="auto"/>
            <w:noWrap/>
            <w:vAlign w:val="center"/>
          </w:tcPr>
          <w:p w14:paraId="64BCC6E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250</w:t>
            </w:r>
          </w:p>
        </w:tc>
        <w:tc>
          <w:tcPr>
            <w:tcW w:w="402" w:type="pct"/>
            <w:tcBorders>
              <w:tl2br w:val="nil"/>
              <w:tr2bl w:val="nil"/>
            </w:tcBorders>
            <w:shd w:val="clear" w:color="auto" w:fill="auto"/>
            <w:noWrap/>
            <w:vAlign w:val="center"/>
          </w:tcPr>
          <w:p w14:paraId="03E4E87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7CEC53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4D6B79B6">
            <w:pPr>
              <w:pStyle w:val="42"/>
              <w:keepNext w:val="0"/>
              <w:keepLines w:val="0"/>
              <w:suppressLineNumbers w:val="0"/>
              <w:bidi w:val="0"/>
              <w:spacing w:before="0" w:beforeAutospacing="0" w:after="0" w:afterAutospacing="0"/>
              <w:rPr>
                <w:rFonts w:hint="eastAsia"/>
              </w:rPr>
            </w:pPr>
            <w:r>
              <w:rPr>
                <w:rFonts w:hint="eastAsia"/>
                <w:lang w:val="en-US" w:eastAsia="zh-CN"/>
              </w:rPr>
              <w:t>亚硝酸盐</w:t>
            </w:r>
          </w:p>
        </w:tc>
        <w:tc>
          <w:tcPr>
            <w:tcW w:w="549" w:type="pct"/>
            <w:tcBorders>
              <w:tl2br w:val="nil"/>
              <w:tr2bl w:val="nil"/>
            </w:tcBorders>
            <w:shd w:val="clear" w:color="auto" w:fill="auto"/>
            <w:noWrap/>
            <w:vAlign w:val="center"/>
          </w:tcPr>
          <w:p w14:paraId="4AEEB85F">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7DA0130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0.087</w:t>
            </w:r>
          </w:p>
        </w:tc>
        <w:tc>
          <w:tcPr>
            <w:tcW w:w="532" w:type="pct"/>
            <w:tcBorders>
              <w:tl2br w:val="nil"/>
              <w:tr2bl w:val="nil"/>
            </w:tcBorders>
            <w:shd w:val="clear" w:color="auto" w:fill="auto"/>
            <w:noWrap/>
            <w:vAlign w:val="center"/>
          </w:tcPr>
          <w:p w14:paraId="328F043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0.005L</w:t>
            </w:r>
          </w:p>
        </w:tc>
        <w:tc>
          <w:tcPr>
            <w:tcW w:w="414" w:type="pct"/>
            <w:tcBorders>
              <w:tl2br w:val="nil"/>
              <w:tr2bl w:val="nil"/>
            </w:tcBorders>
            <w:shd w:val="clear" w:color="auto" w:fill="auto"/>
            <w:noWrap/>
            <w:vAlign w:val="center"/>
          </w:tcPr>
          <w:p w14:paraId="404B71C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21" w:type="pct"/>
            <w:tcBorders>
              <w:tl2br w:val="nil"/>
              <w:tr2bl w:val="nil"/>
            </w:tcBorders>
            <w:shd w:val="clear" w:color="auto" w:fill="auto"/>
            <w:noWrap/>
            <w:vAlign w:val="center"/>
          </w:tcPr>
          <w:p w14:paraId="753CD60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04" w:type="pct"/>
            <w:tcBorders>
              <w:tl2br w:val="nil"/>
              <w:tr2bl w:val="nil"/>
            </w:tcBorders>
            <w:shd w:val="clear" w:color="auto" w:fill="auto"/>
            <w:noWrap/>
            <w:vAlign w:val="center"/>
          </w:tcPr>
          <w:p w14:paraId="7B3A23B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391" w:type="pct"/>
            <w:tcBorders>
              <w:tl2br w:val="nil"/>
              <w:tr2bl w:val="nil"/>
            </w:tcBorders>
            <w:shd w:val="clear" w:color="auto" w:fill="auto"/>
            <w:noWrap/>
            <w:vAlign w:val="center"/>
          </w:tcPr>
          <w:p w14:paraId="0C4554F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57" w:type="pct"/>
            <w:tcBorders>
              <w:tl2br w:val="nil"/>
              <w:tr2bl w:val="nil"/>
            </w:tcBorders>
            <w:shd w:val="clear" w:color="auto" w:fill="auto"/>
            <w:noWrap/>
            <w:vAlign w:val="center"/>
          </w:tcPr>
          <w:p w14:paraId="5ABAE37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02" w:type="pct"/>
            <w:tcBorders>
              <w:tl2br w:val="nil"/>
              <w:tr2bl w:val="nil"/>
            </w:tcBorders>
            <w:shd w:val="clear" w:color="auto" w:fill="auto"/>
            <w:noWrap/>
            <w:vAlign w:val="center"/>
          </w:tcPr>
          <w:p w14:paraId="62EC5E7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1</w:t>
            </w:r>
          </w:p>
        </w:tc>
        <w:tc>
          <w:tcPr>
            <w:tcW w:w="402" w:type="pct"/>
            <w:tcBorders>
              <w:tl2br w:val="nil"/>
              <w:tr2bl w:val="nil"/>
            </w:tcBorders>
            <w:shd w:val="clear" w:color="auto" w:fill="auto"/>
            <w:noWrap/>
            <w:vAlign w:val="center"/>
          </w:tcPr>
          <w:p w14:paraId="5D678FE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486D1D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563" w:type="pct"/>
            <w:tcBorders>
              <w:tl2br w:val="nil"/>
              <w:tr2bl w:val="nil"/>
            </w:tcBorders>
            <w:shd w:val="clear" w:color="auto" w:fill="auto"/>
            <w:noWrap/>
            <w:vAlign w:val="center"/>
          </w:tcPr>
          <w:p w14:paraId="65D70530">
            <w:pPr>
              <w:pStyle w:val="42"/>
              <w:keepNext w:val="0"/>
              <w:keepLines w:val="0"/>
              <w:suppressLineNumbers w:val="0"/>
              <w:bidi w:val="0"/>
              <w:spacing w:before="0" w:beforeAutospacing="0" w:after="0" w:afterAutospacing="0"/>
              <w:rPr>
                <w:rFonts w:hint="eastAsia"/>
              </w:rPr>
            </w:pPr>
            <w:r>
              <w:rPr>
                <w:rFonts w:hint="eastAsia"/>
                <w:lang w:val="en-US" w:eastAsia="zh-CN"/>
              </w:rPr>
              <w:t>挥发酚</w:t>
            </w:r>
          </w:p>
        </w:tc>
        <w:tc>
          <w:tcPr>
            <w:tcW w:w="549" w:type="pct"/>
            <w:tcBorders>
              <w:tl2br w:val="nil"/>
              <w:tr2bl w:val="nil"/>
            </w:tcBorders>
            <w:shd w:val="clear" w:color="auto" w:fill="auto"/>
            <w:noWrap/>
            <w:vAlign w:val="center"/>
          </w:tcPr>
          <w:p w14:paraId="24E851CE">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1D0E280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532" w:type="pct"/>
            <w:tcBorders>
              <w:tl2br w:val="nil"/>
              <w:tr2bl w:val="nil"/>
            </w:tcBorders>
            <w:shd w:val="clear" w:color="auto" w:fill="auto"/>
            <w:noWrap/>
            <w:vAlign w:val="center"/>
          </w:tcPr>
          <w:p w14:paraId="1D56951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0.0003L</w:t>
            </w:r>
          </w:p>
        </w:tc>
        <w:tc>
          <w:tcPr>
            <w:tcW w:w="414" w:type="pct"/>
            <w:tcBorders>
              <w:tl2br w:val="nil"/>
              <w:tr2bl w:val="nil"/>
            </w:tcBorders>
            <w:shd w:val="clear" w:color="auto" w:fill="auto"/>
            <w:noWrap/>
            <w:vAlign w:val="center"/>
          </w:tcPr>
          <w:p w14:paraId="4AB8068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421" w:type="pct"/>
            <w:tcBorders>
              <w:tl2br w:val="nil"/>
              <w:tr2bl w:val="nil"/>
            </w:tcBorders>
            <w:shd w:val="clear" w:color="auto" w:fill="auto"/>
            <w:noWrap/>
            <w:vAlign w:val="center"/>
          </w:tcPr>
          <w:p w14:paraId="3F3CB5C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404" w:type="pct"/>
            <w:tcBorders>
              <w:tl2br w:val="nil"/>
              <w:tr2bl w:val="nil"/>
            </w:tcBorders>
            <w:shd w:val="clear" w:color="auto" w:fill="auto"/>
            <w:noWrap/>
            <w:vAlign w:val="center"/>
          </w:tcPr>
          <w:p w14:paraId="1DDAE1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391" w:type="pct"/>
            <w:tcBorders>
              <w:tl2br w:val="nil"/>
              <w:tr2bl w:val="nil"/>
            </w:tcBorders>
            <w:shd w:val="clear" w:color="auto" w:fill="auto"/>
            <w:noWrap/>
            <w:vAlign w:val="center"/>
          </w:tcPr>
          <w:p w14:paraId="6D8852F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457" w:type="pct"/>
            <w:tcBorders>
              <w:tl2br w:val="nil"/>
              <w:tr2bl w:val="nil"/>
            </w:tcBorders>
            <w:shd w:val="clear" w:color="auto" w:fill="auto"/>
            <w:noWrap/>
            <w:vAlign w:val="center"/>
          </w:tcPr>
          <w:p w14:paraId="14CCFB2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0.0003L</w:t>
            </w:r>
          </w:p>
        </w:tc>
        <w:tc>
          <w:tcPr>
            <w:tcW w:w="402" w:type="pct"/>
            <w:tcBorders>
              <w:tl2br w:val="nil"/>
              <w:tr2bl w:val="nil"/>
            </w:tcBorders>
            <w:shd w:val="clear" w:color="auto" w:fill="auto"/>
            <w:noWrap/>
            <w:vAlign w:val="center"/>
          </w:tcPr>
          <w:p w14:paraId="0298D4B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0.002</w:t>
            </w:r>
          </w:p>
        </w:tc>
        <w:tc>
          <w:tcPr>
            <w:tcW w:w="402" w:type="pct"/>
            <w:tcBorders>
              <w:tl2br w:val="nil"/>
              <w:tr2bl w:val="nil"/>
            </w:tcBorders>
            <w:shd w:val="clear" w:color="auto" w:fill="auto"/>
            <w:noWrap/>
            <w:vAlign w:val="center"/>
          </w:tcPr>
          <w:p w14:paraId="64E5AFD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54E0F1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0E56E193">
            <w:pPr>
              <w:pStyle w:val="42"/>
              <w:keepNext w:val="0"/>
              <w:keepLines w:val="0"/>
              <w:suppressLineNumbers w:val="0"/>
              <w:bidi w:val="0"/>
              <w:spacing w:before="0" w:beforeAutospacing="0" w:after="0" w:afterAutospacing="0"/>
              <w:rPr>
                <w:rFonts w:hint="eastAsia"/>
              </w:rPr>
            </w:pPr>
            <w:r>
              <w:rPr>
                <w:rFonts w:hint="eastAsia"/>
                <w:lang w:val="en-US" w:eastAsia="zh-CN"/>
              </w:rPr>
              <w:t>氰化物</w:t>
            </w:r>
          </w:p>
        </w:tc>
        <w:tc>
          <w:tcPr>
            <w:tcW w:w="549" w:type="pct"/>
            <w:tcBorders>
              <w:tl2br w:val="nil"/>
              <w:tr2bl w:val="nil"/>
            </w:tcBorders>
            <w:shd w:val="clear" w:color="auto" w:fill="auto"/>
            <w:noWrap/>
            <w:vAlign w:val="center"/>
          </w:tcPr>
          <w:p w14:paraId="38263D16">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219F0C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532" w:type="pct"/>
            <w:tcBorders>
              <w:tl2br w:val="nil"/>
              <w:tr2bl w:val="nil"/>
            </w:tcBorders>
            <w:shd w:val="clear" w:color="auto" w:fill="auto"/>
            <w:noWrap/>
            <w:vAlign w:val="center"/>
          </w:tcPr>
          <w:p w14:paraId="3609CC2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0.004L</w:t>
            </w:r>
          </w:p>
        </w:tc>
        <w:tc>
          <w:tcPr>
            <w:tcW w:w="414" w:type="pct"/>
            <w:tcBorders>
              <w:tl2br w:val="nil"/>
              <w:tr2bl w:val="nil"/>
            </w:tcBorders>
            <w:shd w:val="clear" w:color="auto" w:fill="auto"/>
            <w:noWrap/>
            <w:vAlign w:val="center"/>
          </w:tcPr>
          <w:p w14:paraId="24D8958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21" w:type="pct"/>
            <w:tcBorders>
              <w:tl2br w:val="nil"/>
              <w:tr2bl w:val="nil"/>
            </w:tcBorders>
            <w:shd w:val="clear" w:color="auto" w:fill="auto"/>
            <w:noWrap/>
            <w:vAlign w:val="center"/>
          </w:tcPr>
          <w:p w14:paraId="58A677A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04" w:type="pct"/>
            <w:tcBorders>
              <w:tl2br w:val="nil"/>
              <w:tr2bl w:val="nil"/>
            </w:tcBorders>
            <w:shd w:val="clear" w:color="auto" w:fill="auto"/>
            <w:noWrap/>
            <w:vAlign w:val="center"/>
          </w:tcPr>
          <w:p w14:paraId="5D734CB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391" w:type="pct"/>
            <w:tcBorders>
              <w:tl2br w:val="nil"/>
              <w:tr2bl w:val="nil"/>
            </w:tcBorders>
            <w:shd w:val="clear" w:color="auto" w:fill="auto"/>
            <w:noWrap/>
            <w:vAlign w:val="center"/>
          </w:tcPr>
          <w:p w14:paraId="4BB47C4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57" w:type="pct"/>
            <w:tcBorders>
              <w:tl2br w:val="nil"/>
              <w:tr2bl w:val="nil"/>
            </w:tcBorders>
            <w:shd w:val="clear" w:color="auto" w:fill="auto"/>
            <w:noWrap/>
            <w:vAlign w:val="center"/>
          </w:tcPr>
          <w:p w14:paraId="109B7AD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02" w:type="pct"/>
            <w:tcBorders>
              <w:tl2br w:val="nil"/>
              <w:tr2bl w:val="nil"/>
            </w:tcBorders>
            <w:shd w:val="clear" w:color="auto" w:fill="auto"/>
            <w:noWrap/>
            <w:vAlign w:val="center"/>
          </w:tcPr>
          <w:p w14:paraId="3649936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0.05</w:t>
            </w:r>
          </w:p>
        </w:tc>
        <w:tc>
          <w:tcPr>
            <w:tcW w:w="402" w:type="pct"/>
            <w:tcBorders>
              <w:tl2br w:val="nil"/>
              <w:tr2bl w:val="nil"/>
            </w:tcBorders>
            <w:shd w:val="clear" w:color="auto" w:fill="auto"/>
            <w:noWrap/>
            <w:vAlign w:val="center"/>
          </w:tcPr>
          <w:p w14:paraId="15FB061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1BA0AA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1AF074E5">
            <w:pPr>
              <w:pStyle w:val="42"/>
              <w:keepNext w:val="0"/>
              <w:keepLines w:val="0"/>
              <w:suppressLineNumbers w:val="0"/>
              <w:bidi w:val="0"/>
              <w:spacing w:before="0" w:beforeAutospacing="0" w:after="0" w:afterAutospacing="0"/>
              <w:rPr>
                <w:rFonts w:hint="eastAsia"/>
              </w:rPr>
            </w:pPr>
            <w:r>
              <w:rPr>
                <w:rFonts w:hint="eastAsia"/>
                <w:lang w:val="en-US" w:eastAsia="zh-CN"/>
              </w:rPr>
              <w:t>砷</w:t>
            </w:r>
          </w:p>
        </w:tc>
        <w:tc>
          <w:tcPr>
            <w:tcW w:w="549" w:type="pct"/>
            <w:tcBorders>
              <w:tl2br w:val="nil"/>
              <w:tr2bl w:val="nil"/>
            </w:tcBorders>
            <w:shd w:val="clear" w:color="auto" w:fill="auto"/>
            <w:noWrap/>
            <w:vAlign w:val="center"/>
          </w:tcPr>
          <w:p w14:paraId="5B7D2C98">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4E19859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0.0003L</w:t>
            </w:r>
          </w:p>
        </w:tc>
        <w:tc>
          <w:tcPr>
            <w:tcW w:w="532" w:type="pct"/>
            <w:tcBorders>
              <w:tl2br w:val="nil"/>
              <w:tr2bl w:val="nil"/>
            </w:tcBorders>
            <w:shd w:val="clear" w:color="auto" w:fill="auto"/>
            <w:noWrap/>
            <w:vAlign w:val="center"/>
          </w:tcPr>
          <w:p w14:paraId="3981117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0.0003L</w:t>
            </w:r>
          </w:p>
        </w:tc>
        <w:tc>
          <w:tcPr>
            <w:tcW w:w="414" w:type="pct"/>
            <w:tcBorders>
              <w:tl2br w:val="nil"/>
              <w:tr2bl w:val="nil"/>
            </w:tcBorders>
            <w:shd w:val="clear" w:color="auto" w:fill="auto"/>
            <w:noWrap/>
            <w:vAlign w:val="center"/>
          </w:tcPr>
          <w:p w14:paraId="09AA2A2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0.0014</w:t>
            </w:r>
          </w:p>
        </w:tc>
        <w:tc>
          <w:tcPr>
            <w:tcW w:w="421" w:type="pct"/>
            <w:tcBorders>
              <w:tl2br w:val="nil"/>
              <w:tr2bl w:val="nil"/>
            </w:tcBorders>
            <w:shd w:val="clear" w:color="auto" w:fill="auto"/>
            <w:noWrap/>
            <w:vAlign w:val="center"/>
          </w:tcPr>
          <w:p w14:paraId="4CB56F7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0.0008</w:t>
            </w:r>
          </w:p>
        </w:tc>
        <w:tc>
          <w:tcPr>
            <w:tcW w:w="404" w:type="pct"/>
            <w:tcBorders>
              <w:tl2br w:val="nil"/>
              <w:tr2bl w:val="nil"/>
            </w:tcBorders>
            <w:shd w:val="clear" w:color="auto" w:fill="auto"/>
            <w:noWrap/>
            <w:vAlign w:val="center"/>
          </w:tcPr>
          <w:p w14:paraId="2F81D2B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0.0028</w:t>
            </w:r>
          </w:p>
        </w:tc>
        <w:tc>
          <w:tcPr>
            <w:tcW w:w="391" w:type="pct"/>
            <w:tcBorders>
              <w:tl2br w:val="nil"/>
              <w:tr2bl w:val="nil"/>
            </w:tcBorders>
            <w:shd w:val="clear" w:color="auto" w:fill="auto"/>
            <w:noWrap/>
            <w:vAlign w:val="center"/>
          </w:tcPr>
          <w:p w14:paraId="043FC12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0.0003L</w:t>
            </w:r>
          </w:p>
        </w:tc>
        <w:tc>
          <w:tcPr>
            <w:tcW w:w="457" w:type="pct"/>
            <w:tcBorders>
              <w:tl2br w:val="nil"/>
              <w:tr2bl w:val="nil"/>
            </w:tcBorders>
            <w:shd w:val="clear" w:color="auto" w:fill="auto"/>
            <w:noWrap/>
            <w:vAlign w:val="center"/>
          </w:tcPr>
          <w:p w14:paraId="6706474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0.0003L</w:t>
            </w:r>
          </w:p>
        </w:tc>
        <w:tc>
          <w:tcPr>
            <w:tcW w:w="402" w:type="pct"/>
            <w:tcBorders>
              <w:tl2br w:val="nil"/>
              <w:tr2bl w:val="nil"/>
            </w:tcBorders>
            <w:shd w:val="clear" w:color="auto" w:fill="auto"/>
            <w:noWrap/>
            <w:vAlign w:val="center"/>
          </w:tcPr>
          <w:p w14:paraId="105F530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0.01</w:t>
            </w:r>
          </w:p>
        </w:tc>
        <w:tc>
          <w:tcPr>
            <w:tcW w:w="402" w:type="pct"/>
            <w:tcBorders>
              <w:tl2br w:val="nil"/>
              <w:tr2bl w:val="nil"/>
            </w:tcBorders>
            <w:shd w:val="clear" w:color="auto" w:fill="auto"/>
            <w:noWrap/>
            <w:vAlign w:val="center"/>
          </w:tcPr>
          <w:p w14:paraId="5583F1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25B11C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563" w:type="pct"/>
            <w:tcBorders>
              <w:tl2br w:val="nil"/>
              <w:tr2bl w:val="nil"/>
            </w:tcBorders>
            <w:shd w:val="clear" w:color="auto" w:fill="auto"/>
            <w:noWrap/>
            <w:vAlign w:val="center"/>
          </w:tcPr>
          <w:p w14:paraId="72D75B9F">
            <w:pPr>
              <w:pStyle w:val="42"/>
              <w:keepNext w:val="0"/>
              <w:keepLines w:val="0"/>
              <w:suppressLineNumbers w:val="0"/>
              <w:bidi w:val="0"/>
              <w:spacing w:before="0" w:beforeAutospacing="0" w:after="0" w:afterAutospacing="0"/>
              <w:rPr>
                <w:rFonts w:hint="eastAsia"/>
              </w:rPr>
            </w:pPr>
            <w:r>
              <w:rPr>
                <w:rFonts w:hint="eastAsia"/>
                <w:lang w:val="en-US" w:eastAsia="zh-CN"/>
              </w:rPr>
              <w:t>汞</w:t>
            </w:r>
          </w:p>
        </w:tc>
        <w:tc>
          <w:tcPr>
            <w:tcW w:w="549" w:type="pct"/>
            <w:tcBorders>
              <w:tl2br w:val="nil"/>
              <w:tr2bl w:val="nil"/>
            </w:tcBorders>
            <w:shd w:val="clear" w:color="auto" w:fill="auto"/>
            <w:noWrap/>
            <w:vAlign w:val="center"/>
          </w:tcPr>
          <w:p w14:paraId="4D0A99F3">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101CF40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532" w:type="pct"/>
            <w:tcBorders>
              <w:tl2br w:val="nil"/>
              <w:tr2bl w:val="nil"/>
            </w:tcBorders>
            <w:shd w:val="clear" w:color="auto" w:fill="auto"/>
            <w:noWrap/>
            <w:vAlign w:val="center"/>
          </w:tcPr>
          <w:p w14:paraId="5D8FE9B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0.00004L</w:t>
            </w:r>
          </w:p>
        </w:tc>
        <w:tc>
          <w:tcPr>
            <w:tcW w:w="414" w:type="pct"/>
            <w:tcBorders>
              <w:tl2br w:val="nil"/>
              <w:tr2bl w:val="nil"/>
            </w:tcBorders>
            <w:shd w:val="clear" w:color="auto" w:fill="auto"/>
            <w:noWrap/>
            <w:vAlign w:val="center"/>
          </w:tcPr>
          <w:p w14:paraId="3993F9C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421" w:type="pct"/>
            <w:tcBorders>
              <w:tl2br w:val="nil"/>
              <w:tr2bl w:val="nil"/>
            </w:tcBorders>
            <w:shd w:val="clear" w:color="auto" w:fill="auto"/>
            <w:noWrap/>
            <w:vAlign w:val="center"/>
          </w:tcPr>
          <w:p w14:paraId="69EABF3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404" w:type="pct"/>
            <w:tcBorders>
              <w:tl2br w:val="nil"/>
              <w:tr2bl w:val="nil"/>
            </w:tcBorders>
            <w:shd w:val="clear" w:color="auto" w:fill="auto"/>
            <w:noWrap/>
            <w:vAlign w:val="center"/>
          </w:tcPr>
          <w:p w14:paraId="4CCE359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391" w:type="pct"/>
            <w:tcBorders>
              <w:tl2br w:val="nil"/>
              <w:tr2bl w:val="nil"/>
            </w:tcBorders>
            <w:shd w:val="clear" w:color="auto" w:fill="auto"/>
            <w:noWrap/>
            <w:vAlign w:val="center"/>
          </w:tcPr>
          <w:p w14:paraId="6E4C7FB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457" w:type="pct"/>
            <w:tcBorders>
              <w:tl2br w:val="nil"/>
              <w:tr2bl w:val="nil"/>
            </w:tcBorders>
            <w:shd w:val="clear" w:color="auto" w:fill="auto"/>
            <w:noWrap/>
            <w:vAlign w:val="center"/>
          </w:tcPr>
          <w:p w14:paraId="73497E3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0.00004L</w:t>
            </w:r>
          </w:p>
        </w:tc>
        <w:tc>
          <w:tcPr>
            <w:tcW w:w="402" w:type="pct"/>
            <w:tcBorders>
              <w:tl2br w:val="nil"/>
              <w:tr2bl w:val="nil"/>
            </w:tcBorders>
            <w:shd w:val="clear" w:color="auto" w:fill="auto"/>
            <w:noWrap/>
            <w:vAlign w:val="center"/>
          </w:tcPr>
          <w:p w14:paraId="53132C5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0.001</w:t>
            </w:r>
          </w:p>
        </w:tc>
        <w:tc>
          <w:tcPr>
            <w:tcW w:w="402" w:type="pct"/>
            <w:tcBorders>
              <w:tl2br w:val="nil"/>
              <w:tr2bl w:val="nil"/>
            </w:tcBorders>
            <w:shd w:val="clear" w:color="auto" w:fill="auto"/>
            <w:noWrap/>
            <w:vAlign w:val="center"/>
          </w:tcPr>
          <w:p w14:paraId="4916A9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AE072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637A38FD">
            <w:pPr>
              <w:pStyle w:val="42"/>
              <w:keepNext w:val="0"/>
              <w:keepLines w:val="0"/>
              <w:suppressLineNumbers w:val="0"/>
              <w:bidi w:val="0"/>
              <w:spacing w:before="0" w:beforeAutospacing="0" w:after="0" w:afterAutospacing="0"/>
              <w:rPr>
                <w:rFonts w:hint="eastAsia"/>
              </w:rPr>
            </w:pPr>
            <w:r>
              <w:rPr>
                <w:rFonts w:hint="eastAsia"/>
                <w:lang w:val="en-US" w:eastAsia="zh-CN"/>
              </w:rPr>
              <w:t>六价铬</w:t>
            </w:r>
          </w:p>
        </w:tc>
        <w:tc>
          <w:tcPr>
            <w:tcW w:w="549" w:type="pct"/>
            <w:tcBorders>
              <w:tl2br w:val="nil"/>
              <w:tr2bl w:val="nil"/>
            </w:tcBorders>
            <w:shd w:val="clear" w:color="auto" w:fill="auto"/>
            <w:noWrap/>
            <w:vAlign w:val="center"/>
          </w:tcPr>
          <w:p w14:paraId="4B92559A">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220DEBB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532" w:type="pct"/>
            <w:tcBorders>
              <w:tl2br w:val="nil"/>
              <w:tr2bl w:val="nil"/>
            </w:tcBorders>
            <w:shd w:val="clear" w:color="auto" w:fill="auto"/>
            <w:noWrap/>
            <w:vAlign w:val="center"/>
          </w:tcPr>
          <w:p w14:paraId="6B0FB33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0.004L</w:t>
            </w:r>
          </w:p>
        </w:tc>
        <w:tc>
          <w:tcPr>
            <w:tcW w:w="414" w:type="pct"/>
            <w:tcBorders>
              <w:tl2br w:val="nil"/>
              <w:tr2bl w:val="nil"/>
            </w:tcBorders>
            <w:shd w:val="clear" w:color="auto" w:fill="auto"/>
            <w:noWrap/>
            <w:vAlign w:val="center"/>
          </w:tcPr>
          <w:p w14:paraId="5783725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21" w:type="pct"/>
            <w:tcBorders>
              <w:tl2br w:val="nil"/>
              <w:tr2bl w:val="nil"/>
            </w:tcBorders>
            <w:shd w:val="clear" w:color="auto" w:fill="auto"/>
            <w:noWrap/>
            <w:vAlign w:val="center"/>
          </w:tcPr>
          <w:p w14:paraId="0371743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04" w:type="pct"/>
            <w:tcBorders>
              <w:tl2br w:val="nil"/>
              <w:tr2bl w:val="nil"/>
            </w:tcBorders>
            <w:shd w:val="clear" w:color="auto" w:fill="auto"/>
            <w:noWrap/>
            <w:vAlign w:val="center"/>
          </w:tcPr>
          <w:p w14:paraId="206E08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391" w:type="pct"/>
            <w:tcBorders>
              <w:tl2br w:val="nil"/>
              <w:tr2bl w:val="nil"/>
            </w:tcBorders>
            <w:shd w:val="clear" w:color="auto" w:fill="auto"/>
            <w:noWrap/>
            <w:vAlign w:val="center"/>
          </w:tcPr>
          <w:p w14:paraId="414F10C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57" w:type="pct"/>
            <w:tcBorders>
              <w:tl2br w:val="nil"/>
              <w:tr2bl w:val="nil"/>
            </w:tcBorders>
            <w:shd w:val="clear" w:color="auto" w:fill="auto"/>
            <w:noWrap/>
            <w:vAlign w:val="center"/>
          </w:tcPr>
          <w:p w14:paraId="41A74B6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0.004L</w:t>
            </w:r>
          </w:p>
        </w:tc>
        <w:tc>
          <w:tcPr>
            <w:tcW w:w="402" w:type="pct"/>
            <w:tcBorders>
              <w:tl2br w:val="nil"/>
              <w:tr2bl w:val="nil"/>
            </w:tcBorders>
            <w:shd w:val="clear" w:color="auto" w:fill="auto"/>
            <w:noWrap/>
            <w:vAlign w:val="center"/>
          </w:tcPr>
          <w:p w14:paraId="45BF8E9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0.05</w:t>
            </w:r>
          </w:p>
        </w:tc>
        <w:tc>
          <w:tcPr>
            <w:tcW w:w="402" w:type="pct"/>
            <w:tcBorders>
              <w:tl2br w:val="nil"/>
              <w:tr2bl w:val="nil"/>
            </w:tcBorders>
            <w:shd w:val="clear" w:color="auto" w:fill="auto"/>
            <w:noWrap/>
            <w:vAlign w:val="center"/>
          </w:tcPr>
          <w:p w14:paraId="36DC8E0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7B3FA9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3" w:type="pct"/>
            <w:tcBorders>
              <w:tl2br w:val="nil"/>
              <w:tr2bl w:val="nil"/>
            </w:tcBorders>
            <w:shd w:val="clear" w:color="auto" w:fill="auto"/>
            <w:noWrap/>
            <w:vAlign w:val="center"/>
          </w:tcPr>
          <w:p w14:paraId="04CCD572">
            <w:pPr>
              <w:pStyle w:val="42"/>
              <w:keepNext w:val="0"/>
              <w:keepLines w:val="0"/>
              <w:suppressLineNumbers w:val="0"/>
              <w:bidi w:val="0"/>
              <w:spacing w:before="0" w:beforeAutospacing="0" w:after="0" w:afterAutospacing="0"/>
              <w:rPr>
                <w:rFonts w:hint="eastAsia"/>
              </w:rPr>
            </w:pPr>
            <w:r>
              <w:rPr>
                <w:rFonts w:hint="eastAsia"/>
                <w:lang w:val="en-US" w:eastAsia="zh-CN"/>
              </w:rPr>
              <w:t>总硬度</w:t>
            </w:r>
          </w:p>
        </w:tc>
        <w:tc>
          <w:tcPr>
            <w:tcW w:w="549" w:type="pct"/>
            <w:tcBorders>
              <w:tl2br w:val="nil"/>
              <w:tr2bl w:val="nil"/>
            </w:tcBorders>
            <w:shd w:val="clear" w:color="auto" w:fill="auto"/>
            <w:noWrap/>
            <w:vAlign w:val="center"/>
          </w:tcPr>
          <w:p w14:paraId="1E14EF08">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608027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44</w:t>
            </w:r>
          </w:p>
        </w:tc>
        <w:tc>
          <w:tcPr>
            <w:tcW w:w="532" w:type="pct"/>
            <w:tcBorders>
              <w:tl2br w:val="nil"/>
              <w:tr2bl w:val="nil"/>
            </w:tcBorders>
            <w:shd w:val="clear" w:color="auto" w:fill="auto"/>
            <w:noWrap/>
            <w:vAlign w:val="center"/>
          </w:tcPr>
          <w:p w14:paraId="0EF7C91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84</w:t>
            </w:r>
          </w:p>
        </w:tc>
        <w:tc>
          <w:tcPr>
            <w:tcW w:w="414" w:type="pct"/>
            <w:tcBorders>
              <w:tl2br w:val="nil"/>
              <w:tr2bl w:val="nil"/>
            </w:tcBorders>
            <w:shd w:val="clear" w:color="auto" w:fill="auto"/>
            <w:noWrap/>
            <w:vAlign w:val="center"/>
          </w:tcPr>
          <w:p w14:paraId="2D79AD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w:t>
            </w:r>
          </w:p>
        </w:tc>
        <w:tc>
          <w:tcPr>
            <w:tcW w:w="421" w:type="pct"/>
            <w:tcBorders>
              <w:tl2br w:val="nil"/>
              <w:tr2bl w:val="nil"/>
            </w:tcBorders>
            <w:shd w:val="clear" w:color="auto" w:fill="auto"/>
            <w:noWrap/>
            <w:vAlign w:val="center"/>
          </w:tcPr>
          <w:p w14:paraId="1A4EC52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w:t>
            </w:r>
          </w:p>
        </w:tc>
        <w:tc>
          <w:tcPr>
            <w:tcW w:w="404" w:type="pct"/>
            <w:tcBorders>
              <w:tl2br w:val="nil"/>
              <w:tr2bl w:val="nil"/>
            </w:tcBorders>
            <w:shd w:val="clear" w:color="auto" w:fill="auto"/>
            <w:noWrap/>
            <w:vAlign w:val="center"/>
          </w:tcPr>
          <w:p w14:paraId="75173B0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391" w:type="pct"/>
            <w:tcBorders>
              <w:tl2br w:val="nil"/>
              <w:tr2bl w:val="nil"/>
            </w:tcBorders>
            <w:shd w:val="clear" w:color="auto" w:fill="auto"/>
            <w:noWrap/>
            <w:vAlign w:val="center"/>
          </w:tcPr>
          <w:p w14:paraId="07CF5F9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78</w:t>
            </w:r>
          </w:p>
        </w:tc>
        <w:tc>
          <w:tcPr>
            <w:tcW w:w="457" w:type="pct"/>
            <w:tcBorders>
              <w:tl2br w:val="nil"/>
              <w:tr2bl w:val="nil"/>
            </w:tcBorders>
            <w:shd w:val="clear" w:color="auto" w:fill="auto"/>
            <w:noWrap/>
            <w:vAlign w:val="center"/>
          </w:tcPr>
          <w:p w14:paraId="23FF927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104</w:t>
            </w:r>
          </w:p>
        </w:tc>
        <w:tc>
          <w:tcPr>
            <w:tcW w:w="402" w:type="pct"/>
            <w:tcBorders>
              <w:tl2br w:val="nil"/>
              <w:tr2bl w:val="nil"/>
            </w:tcBorders>
            <w:shd w:val="clear" w:color="auto" w:fill="auto"/>
            <w:noWrap/>
            <w:vAlign w:val="center"/>
          </w:tcPr>
          <w:p w14:paraId="0C2FD38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450</w:t>
            </w:r>
          </w:p>
        </w:tc>
        <w:tc>
          <w:tcPr>
            <w:tcW w:w="402" w:type="pct"/>
            <w:tcBorders>
              <w:tl2br w:val="nil"/>
              <w:tr2bl w:val="nil"/>
            </w:tcBorders>
            <w:shd w:val="clear" w:color="auto" w:fill="auto"/>
            <w:noWrap/>
            <w:vAlign w:val="center"/>
          </w:tcPr>
          <w:p w14:paraId="1699833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1F68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14" w:hRule="atLeast"/>
        </w:trPr>
        <w:tc>
          <w:tcPr>
            <w:tcW w:w="563" w:type="pct"/>
            <w:tcBorders>
              <w:tl2br w:val="nil"/>
              <w:tr2bl w:val="nil"/>
            </w:tcBorders>
            <w:shd w:val="clear" w:color="auto" w:fill="auto"/>
            <w:noWrap/>
            <w:vAlign w:val="center"/>
          </w:tcPr>
          <w:p w14:paraId="0D6F8DEA">
            <w:pPr>
              <w:pStyle w:val="42"/>
              <w:keepNext w:val="0"/>
              <w:keepLines w:val="0"/>
              <w:suppressLineNumbers w:val="0"/>
              <w:bidi w:val="0"/>
              <w:spacing w:before="0" w:beforeAutospacing="0" w:after="0" w:afterAutospacing="0"/>
              <w:rPr>
                <w:rFonts w:hint="eastAsia"/>
              </w:rPr>
            </w:pPr>
            <w:r>
              <w:rPr>
                <w:rFonts w:hint="eastAsia"/>
                <w:lang w:val="en-US" w:eastAsia="zh-CN"/>
              </w:rPr>
              <w:t>铅</w:t>
            </w:r>
          </w:p>
        </w:tc>
        <w:tc>
          <w:tcPr>
            <w:tcW w:w="549" w:type="pct"/>
            <w:tcBorders>
              <w:tl2br w:val="nil"/>
              <w:tr2bl w:val="nil"/>
            </w:tcBorders>
            <w:shd w:val="clear" w:color="auto" w:fill="auto"/>
            <w:noWrap/>
            <w:vAlign w:val="center"/>
          </w:tcPr>
          <w:p w14:paraId="344C7A47">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23DB65E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0.001L</w:t>
            </w:r>
          </w:p>
        </w:tc>
        <w:tc>
          <w:tcPr>
            <w:tcW w:w="532" w:type="pct"/>
            <w:tcBorders>
              <w:tl2br w:val="nil"/>
              <w:tr2bl w:val="nil"/>
            </w:tcBorders>
            <w:shd w:val="clear" w:color="auto" w:fill="auto"/>
            <w:noWrap/>
            <w:vAlign w:val="center"/>
          </w:tcPr>
          <w:p w14:paraId="5FE90BC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0.001L</w:t>
            </w:r>
          </w:p>
        </w:tc>
        <w:tc>
          <w:tcPr>
            <w:tcW w:w="414" w:type="pct"/>
            <w:tcBorders>
              <w:tl2br w:val="nil"/>
              <w:tr2bl w:val="nil"/>
            </w:tcBorders>
            <w:shd w:val="clear" w:color="auto" w:fill="auto"/>
            <w:noWrap/>
            <w:vAlign w:val="center"/>
          </w:tcPr>
          <w:p w14:paraId="140B44A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w:t>
            </w:r>
          </w:p>
        </w:tc>
        <w:tc>
          <w:tcPr>
            <w:tcW w:w="421" w:type="pct"/>
            <w:tcBorders>
              <w:tl2br w:val="nil"/>
              <w:tr2bl w:val="nil"/>
            </w:tcBorders>
            <w:shd w:val="clear" w:color="auto" w:fill="auto"/>
            <w:noWrap/>
            <w:vAlign w:val="center"/>
          </w:tcPr>
          <w:p w14:paraId="355C986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0.001L</w:t>
            </w:r>
          </w:p>
        </w:tc>
        <w:tc>
          <w:tcPr>
            <w:tcW w:w="404" w:type="pct"/>
            <w:tcBorders>
              <w:tl2br w:val="nil"/>
              <w:tr2bl w:val="nil"/>
            </w:tcBorders>
            <w:shd w:val="clear" w:color="auto" w:fill="auto"/>
            <w:noWrap/>
            <w:vAlign w:val="center"/>
          </w:tcPr>
          <w:p w14:paraId="79F135F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w:t>
            </w:r>
          </w:p>
        </w:tc>
        <w:tc>
          <w:tcPr>
            <w:tcW w:w="391" w:type="pct"/>
            <w:tcBorders>
              <w:tl2br w:val="nil"/>
              <w:tr2bl w:val="nil"/>
            </w:tcBorders>
            <w:shd w:val="clear" w:color="auto" w:fill="auto"/>
            <w:noWrap/>
            <w:vAlign w:val="center"/>
          </w:tcPr>
          <w:p w14:paraId="20B7CF6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0.001L</w:t>
            </w:r>
          </w:p>
        </w:tc>
        <w:tc>
          <w:tcPr>
            <w:tcW w:w="457" w:type="pct"/>
            <w:tcBorders>
              <w:tl2br w:val="nil"/>
              <w:tr2bl w:val="nil"/>
            </w:tcBorders>
            <w:shd w:val="clear" w:color="auto" w:fill="auto"/>
            <w:noWrap/>
            <w:vAlign w:val="center"/>
          </w:tcPr>
          <w:p w14:paraId="1E122A8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0.001L</w:t>
            </w:r>
          </w:p>
        </w:tc>
        <w:tc>
          <w:tcPr>
            <w:tcW w:w="402" w:type="pct"/>
            <w:tcBorders>
              <w:tl2br w:val="nil"/>
              <w:tr2bl w:val="nil"/>
            </w:tcBorders>
            <w:shd w:val="clear" w:color="auto" w:fill="auto"/>
            <w:noWrap/>
            <w:vAlign w:val="center"/>
          </w:tcPr>
          <w:p w14:paraId="05E2EEF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0.2</w:t>
            </w:r>
          </w:p>
        </w:tc>
        <w:tc>
          <w:tcPr>
            <w:tcW w:w="402" w:type="pct"/>
            <w:tcBorders>
              <w:tl2br w:val="nil"/>
              <w:tr2bl w:val="nil"/>
            </w:tcBorders>
            <w:shd w:val="clear" w:color="auto" w:fill="auto"/>
            <w:noWrap/>
            <w:vAlign w:val="center"/>
          </w:tcPr>
          <w:p w14:paraId="3F2BB9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216BE9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7E60DC8E">
            <w:pPr>
              <w:pStyle w:val="42"/>
              <w:keepNext w:val="0"/>
              <w:keepLines w:val="0"/>
              <w:suppressLineNumbers w:val="0"/>
              <w:bidi w:val="0"/>
              <w:spacing w:before="0" w:beforeAutospacing="0" w:after="0" w:afterAutospacing="0"/>
              <w:rPr>
                <w:rFonts w:hint="eastAsia"/>
              </w:rPr>
            </w:pPr>
            <w:r>
              <w:rPr>
                <w:rFonts w:hint="eastAsia"/>
                <w:lang w:val="en-US" w:eastAsia="zh-CN"/>
              </w:rPr>
              <w:t>氟化物</w:t>
            </w:r>
          </w:p>
        </w:tc>
        <w:tc>
          <w:tcPr>
            <w:tcW w:w="549" w:type="pct"/>
            <w:tcBorders>
              <w:tl2br w:val="nil"/>
              <w:tr2bl w:val="nil"/>
            </w:tcBorders>
            <w:shd w:val="clear" w:color="auto" w:fill="auto"/>
            <w:noWrap/>
            <w:vAlign w:val="center"/>
          </w:tcPr>
          <w:p w14:paraId="6E230013">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47DCC2A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0.116</w:t>
            </w:r>
          </w:p>
        </w:tc>
        <w:tc>
          <w:tcPr>
            <w:tcW w:w="532" w:type="pct"/>
            <w:tcBorders>
              <w:tl2br w:val="nil"/>
              <w:tr2bl w:val="nil"/>
            </w:tcBorders>
            <w:shd w:val="clear" w:color="auto" w:fill="auto"/>
            <w:noWrap/>
            <w:vAlign w:val="center"/>
          </w:tcPr>
          <w:p w14:paraId="73B25FA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0.113</w:t>
            </w:r>
          </w:p>
        </w:tc>
        <w:tc>
          <w:tcPr>
            <w:tcW w:w="414" w:type="pct"/>
            <w:tcBorders>
              <w:tl2br w:val="nil"/>
              <w:tr2bl w:val="nil"/>
            </w:tcBorders>
            <w:shd w:val="clear" w:color="auto" w:fill="auto"/>
            <w:noWrap/>
            <w:vAlign w:val="center"/>
          </w:tcPr>
          <w:p w14:paraId="3A12EC5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0.099</w:t>
            </w:r>
          </w:p>
        </w:tc>
        <w:tc>
          <w:tcPr>
            <w:tcW w:w="421" w:type="pct"/>
            <w:tcBorders>
              <w:tl2br w:val="nil"/>
              <w:tr2bl w:val="nil"/>
            </w:tcBorders>
            <w:shd w:val="clear" w:color="auto" w:fill="auto"/>
            <w:noWrap/>
            <w:vAlign w:val="center"/>
          </w:tcPr>
          <w:p w14:paraId="1661E9B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0.107</w:t>
            </w:r>
          </w:p>
        </w:tc>
        <w:tc>
          <w:tcPr>
            <w:tcW w:w="404" w:type="pct"/>
            <w:tcBorders>
              <w:tl2br w:val="nil"/>
              <w:tr2bl w:val="nil"/>
            </w:tcBorders>
            <w:shd w:val="clear" w:color="auto" w:fill="auto"/>
            <w:noWrap/>
            <w:vAlign w:val="center"/>
          </w:tcPr>
          <w:p w14:paraId="5C0A18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0.95</w:t>
            </w:r>
          </w:p>
        </w:tc>
        <w:tc>
          <w:tcPr>
            <w:tcW w:w="391" w:type="pct"/>
            <w:tcBorders>
              <w:tl2br w:val="nil"/>
              <w:tr2bl w:val="nil"/>
            </w:tcBorders>
            <w:shd w:val="clear" w:color="auto" w:fill="auto"/>
            <w:noWrap/>
            <w:vAlign w:val="center"/>
          </w:tcPr>
          <w:p w14:paraId="5D2B807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0.114</w:t>
            </w:r>
          </w:p>
        </w:tc>
        <w:tc>
          <w:tcPr>
            <w:tcW w:w="457" w:type="pct"/>
            <w:tcBorders>
              <w:tl2br w:val="nil"/>
              <w:tr2bl w:val="nil"/>
            </w:tcBorders>
            <w:shd w:val="clear" w:color="auto" w:fill="auto"/>
            <w:noWrap/>
            <w:vAlign w:val="center"/>
          </w:tcPr>
          <w:p w14:paraId="7F500D4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0.120</w:t>
            </w:r>
          </w:p>
        </w:tc>
        <w:tc>
          <w:tcPr>
            <w:tcW w:w="402" w:type="pct"/>
            <w:tcBorders>
              <w:tl2br w:val="nil"/>
              <w:tr2bl w:val="nil"/>
            </w:tcBorders>
            <w:shd w:val="clear" w:color="auto" w:fill="auto"/>
            <w:noWrap/>
            <w:vAlign w:val="center"/>
          </w:tcPr>
          <w:p w14:paraId="7E654507">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1</w:t>
            </w:r>
          </w:p>
        </w:tc>
        <w:tc>
          <w:tcPr>
            <w:tcW w:w="402" w:type="pct"/>
            <w:tcBorders>
              <w:tl2br w:val="nil"/>
              <w:tr2bl w:val="nil"/>
            </w:tcBorders>
            <w:shd w:val="clear" w:color="auto" w:fill="auto"/>
            <w:noWrap/>
            <w:vAlign w:val="center"/>
          </w:tcPr>
          <w:p w14:paraId="30DD2E7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2B5B1A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669389CE">
            <w:pPr>
              <w:pStyle w:val="42"/>
              <w:keepNext w:val="0"/>
              <w:keepLines w:val="0"/>
              <w:suppressLineNumbers w:val="0"/>
              <w:bidi w:val="0"/>
              <w:spacing w:before="0" w:beforeAutospacing="0" w:after="0" w:afterAutospacing="0"/>
              <w:rPr>
                <w:rFonts w:hint="eastAsia"/>
              </w:rPr>
            </w:pPr>
            <w:r>
              <w:rPr>
                <w:rFonts w:hint="eastAsia"/>
                <w:lang w:val="en-US" w:eastAsia="zh-CN"/>
              </w:rPr>
              <w:t>镉</w:t>
            </w:r>
          </w:p>
        </w:tc>
        <w:tc>
          <w:tcPr>
            <w:tcW w:w="549" w:type="pct"/>
            <w:tcBorders>
              <w:tl2br w:val="nil"/>
              <w:tr2bl w:val="nil"/>
            </w:tcBorders>
            <w:shd w:val="clear" w:color="auto" w:fill="auto"/>
            <w:noWrap/>
            <w:vAlign w:val="center"/>
          </w:tcPr>
          <w:p w14:paraId="4F5DD4A2">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4F2BCF2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532" w:type="pct"/>
            <w:tcBorders>
              <w:tl2br w:val="nil"/>
              <w:tr2bl w:val="nil"/>
            </w:tcBorders>
            <w:shd w:val="clear" w:color="auto" w:fill="auto"/>
            <w:noWrap/>
            <w:vAlign w:val="center"/>
          </w:tcPr>
          <w:p w14:paraId="19C5937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0.0001L</w:t>
            </w:r>
          </w:p>
        </w:tc>
        <w:tc>
          <w:tcPr>
            <w:tcW w:w="414" w:type="pct"/>
            <w:tcBorders>
              <w:tl2br w:val="nil"/>
              <w:tr2bl w:val="nil"/>
            </w:tcBorders>
            <w:shd w:val="clear" w:color="auto" w:fill="auto"/>
            <w:noWrap/>
            <w:vAlign w:val="center"/>
          </w:tcPr>
          <w:p w14:paraId="6C13B6C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421" w:type="pct"/>
            <w:tcBorders>
              <w:tl2br w:val="nil"/>
              <w:tr2bl w:val="nil"/>
            </w:tcBorders>
            <w:shd w:val="clear" w:color="auto" w:fill="auto"/>
            <w:noWrap/>
            <w:vAlign w:val="center"/>
          </w:tcPr>
          <w:p w14:paraId="6B0C9E6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404" w:type="pct"/>
            <w:tcBorders>
              <w:tl2br w:val="nil"/>
              <w:tr2bl w:val="nil"/>
            </w:tcBorders>
            <w:shd w:val="clear" w:color="auto" w:fill="auto"/>
            <w:noWrap/>
            <w:vAlign w:val="center"/>
          </w:tcPr>
          <w:p w14:paraId="23C1CA3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391" w:type="pct"/>
            <w:tcBorders>
              <w:tl2br w:val="nil"/>
              <w:tr2bl w:val="nil"/>
            </w:tcBorders>
            <w:shd w:val="clear" w:color="auto" w:fill="auto"/>
            <w:noWrap/>
            <w:vAlign w:val="center"/>
          </w:tcPr>
          <w:p w14:paraId="2F81D42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457" w:type="pct"/>
            <w:tcBorders>
              <w:tl2br w:val="nil"/>
              <w:tr2bl w:val="nil"/>
            </w:tcBorders>
            <w:shd w:val="clear" w:color="auto" w:fill="auto"/>
            <w:noWrap/>
            <w:vAlign w:val="center"/>
          </w:tcPr>
          <w:p w14:paraId="14C09A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0.0001L</w:t>
            </w:r>
          </w:p>
        </w:tc>
        <w:tc>
          <w:tcPr>
            <w:tcW w:w="402" w:type="pct"/>
            <w:tcBorders>
              <w:tl2br w:val="nil"/>
              <w:tr2bl w:val="nil"/>
            </w:tcBorders>
            <w:shd w:val="clear" w:color="auto" w:fill="auto"/>
            <w:noWrap/>
            <w:vAlign w:val="center"/>
          </w:tcPr>
          <w:p w14:paraId="1D8CB510">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0.005</w:t>
            </w:r>
          </w:p>
        </w:tc>
        <w:tc>
          <w:tcPr>
            <w:tcW w:w="402" w:type="pct"/>
            <w:tcBorders>
              <w:tl2br w:val="nil"/>
              <w:tr2bl w:val="nil"/>
            </w:tcBorders>
            <w:shd w:val="clear" w:color="auto" w:fill="auto"/>
            <w:noWrap/>
            <w:vAlign w:val="center"/>
          </w:tcPr>
          <w:p w14:paraId="04B7F84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4EEF2D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0" w:hRule="atLeast"/>
        </w:trPr>
        <w:tc>
          <w:tcPr>
            <w:tcW w:w="563" w:type="pct"/>
            <w:tcBorders>
              <w:tl2br w:val="nil"/>
              <w:tr2bl w:val="nil"/>
            </w:tcBorders>
            <w:shd w:val="clear" w:color="auto" w:fill="auto"/>
            <w:noWrap/>
            <w:vAlign w:val="center"/>
          </w:tcPr>
          <w:p w14:paraId="1637405D">
            <w:pPr>
              <w:pStyle w:val="42"/>
              <w:keepNext w:val="0"/>
              <w:keepLines w:val="0"/>
              <w:suppressLineNumbers w:val="0"/>
              <w:bidi w:val="0"/>
              <w:spacing w:before="0" w:beforeAutospacing="0" w:after="0" w:afterAutospacing="0"/>
              <w:rPr>
                <w:rFonts w:hint="eastAsia"/>
              </w:rPr>
            </w:pPr>
            <w:r>
              <w:rPr>
                <w:rFonts w:hint="eastAsia"/>
                <w:lang w:val="en-US" w:eastAsia="zh-CN"/>
              </w:rPr>
              <w:t>铁</w:t>
            </w:r>
          </w:p>
        </w:tc>
        <w:tc>
          <w:tcPr>
            <w:tcW w:w="549" w:type="pct"/>
            <w:tcBorders>
              <w:tl2br w:val="nil"/>
              <w:tr2bl w:val="nil"/>
            </w:tcBorders>
            <w:shd w:val="clear" w:color="auto" w:fill="auto"/>
            <w:noWrap/>
            <w:vAlign w:val="center"/>
          </w:tcPr>
          <w:p w14:paraId="41098B67">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1511F70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532" w:type="pct"/>
            <w:tcBorders>
              <w:tl2br w:val="nil"/>
              <w:tr2bl w:val="nil"/>
            </w:tcBorders>
            <w:shd w:val="clear" w:color="auto" w:fill="auto"/>
            <w:noWrap/>
            <w:vAlign w:val="center"/>
          </w:tcPr>
          <w:p w14:paraId="78EB689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0.03L</w:t>
            </w:r>
          </w:p>
        </w:tc>
        <w:tc>
          <w:tcPr>
            <w:tcW w:w="414" w:type="pct"/>
            <w:tcBorders>
              <w:tl2br w:val="nil"/>
              <w:tr2bl w:val="nil"/>
            </w:tcBorders>
            <w:shd w:val="clear" w:color="auto" w:fill="auto"/>
            <w:noWrap/>
            <w:vAlign w:val="center"/>
          </w:tcPr>
          <w:p w14:paraId="5E93A9E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421" w:type="pct"/>
            <w:tcBorders>
              <w:tl2br w:val="nil"/>
              <w:tr2bl w:val="nil"/>
            </w:tcBorders>
            <w:shd w:val="clear" w:color="auto" w:fill="auto"/>
            <w:noWrap/>
            <w:vAlign w:val="center"/>
          </w:tcPr>
          <w:p w14:paraId="77CD8A4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404" w:type="pct"/>
            <w:tcBorders>
              <w:tl2br w:val="nil"/>
              <w:tr2bl w:val="nil"/>
            </w:tcBorders>
            <w:shd w:val="clear" w:color="auto" w:fill="auto"/>
            <w:noWrap/>
            <w:vAlign w:val="center"/>
          </w:tcPr>
          <w:p w14:paraId="604E956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391" w:type="pct"/>
            <w:tcBorders>
              <w:tl2br w:val="nil"/>
              <w:tr2bl w:val="nil"/>
            </w:tcBorders>
            <w:shd w:val="clear" w:color="auto" w:fill="auto"/>
            <w:noWrap/>
            <w:vAlign w:val="center"/>
          </w:tcPr>
          <w:p w14:paraId="752F8B4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457" w:type="pct"/>
            <w:tcBorders>
              <w:tl2br w:val="nil"/>
              <w:tr2bl w:val="nil"/>
            </w:tcBorders>
            <w:shd w:val="clear" w:color="auto" w:fill="auto"/>
            <w:noWrap/>
            <w:vAlign w:val="center"/>
          </w:tcPr>
          <w:p w14:paraId="4CD2558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0.03L</w:t>
            </w:r>
          </w:p>
        </w:tc>
        <w:tc>
          <w:tcPr>
            <w:tcW w:w="402" w:type="pct"/>
            <w:tcBorders>
              <w:tl2br w:val="nil"/>
              <w:tr2bl w:val="nil"/>
            </w:tcBorders>
            <w:shd w:val="clear" w:color="auto" w:fill="auto"/>
            <w:noWrap/>
            <w:vAlign w:val="center"/>
          </w:tcPr>
          <w:p w14:paraId="4DC5FFB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0.3</w:t>
            </w:r>
          </w:p>
        </w:tc>
        <w:tc>
          <w:tcPr>
            <w:tcW w:w="402" w:type="pct"/>
            <w:tcBorders>
              <w:tl2br w:val="nil"/>
              <w:tr2bl w:val="nil"/>
            </w:tcBorders>
            <w:shd w:val="clear" w:color="auto" w:fill="auto"/>
            <w:noWrap/>
            <w:vAlign w:val="center"/>
          </w:tcPr>
          <w:p w14:paraId="73FCAC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6EFD8F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326184B6">
            <w:pPr>
              <w:pStyle w:val="42"/>
              <w:keepNext w:val="0"/>
              <w:keepLines w:val="0"/>
              <w:suppressLineNumbers w:val="0"/>
              <w:bidi w:val="0"/>
              <w:spacing w:before="0" w:beforeAutospacing="0" w:after="0" w:afterAutospacing="0"/>
              <w:rPr>
                <w:rFonts w:hint="eastAsia"/>
              </w:rPr>
            </w:pPr>
            <w:r>
              <w:rPr>
                <w:rFonts w:hint="eastAsia"/>
                <w:lang w:val="en-US" w:eastAsia="zh-CN"/>
              </w:rPr>
              <w:t>锰</w:t>
            </w:r>
          </w:p>
        </w:tc>
        <w:tc>
          <w:tcPr>
            <w:tcW w:w="549" w:type="pct"/>
            <w:tcBorders>
              <w:tl2br w:val="nil"/>
              <w:tr2bl w:val="nil"/>
            </w:tcBorders>
            <w:shd w:val="clear" w:color="auto" w:fill="auto"/>
            <w:noWrap/>
            <w:vAlign w:val="center"/>
          </w:tcPr>
          <w:p w14:paraId="3028F42B">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3804506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532" w:type="pct"/>
            <w:tcBorders>
              <w:tl2br w:val="nil"/>
              <w:tr2bl w:val="nil"/>
            </w:tcBorders>
            <w:shd w:val="clear" w:color="auto" w:fill="auto"/>
            <w:noWrap/>
            <w:vAlign w:val="center"/>
          </w:tcPr>
          <w:p w14:paraId="3EB092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0.01L</w:t>
            </w:r>
          </w:p>
        </w:tc>
        <w:tc>
          <w:tcPr>
            <w:tcW w:w="414" w:type="pct"/>
            <w:tcBorders>
              <w:tl2br w:val="nil"/>
              <w:tr2bl w:val="nil"/>
            </w:tcBorders>
            <w:shd w:val="clear" w:color="auto" w:fill="auto"/>
            <w:noWrap/>
            <w:vAlign w:val="center"/>
          </w:tcPr>
          <w:p w14:paraId="35835DC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421" w:type="pct"/>
            <w:tcBorders>
              <w:tl2br w:val="nil"/>
              <w:tr2bl w:val="nil"/>
            </w:tcBorders>
            <w:shd w:val="clear" w:color="auto" w:fill="auto"/>
            <w:noWrap/>
            <w:vAlign w:val="center"/>
          </w:tcPr>
          <w:p w14:paraId="08C2D25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404" w:type="pct"/>
            <w:tcBorders>
              <w:tl2br w:val="nil"/>
              <w:tr2bl w:val="nil"/>
            </w:tcBorders>
            <w:shd w:val="clear" w:color="auto" w:fill="auto"/>
            <w:noWrap/>
            <w:vAlign w:val="center"/>
          </w:tcPr>
          <w:p w14:paraId="070A5A8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391" w:type="pct"/>
            <w:tcBorders>
              <w:tl2br w:val="nil"/>
              <w:tr2bl w:val="nil"/>
            </w:tcBorders>
            <w:shd w:val="clear" w:color="auto" w:fill="auto"/>
            <w:noWrap/>
            <w:vAlign w:val="center"/>
          </w:tcPr>
          <w:p w14:paraId="500A45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457" w:type="pct"/>
            <w:tcBorders>
              <w:tl2br w:val="nil"/>
              <w:tr2bl w:val="nil"/>
            </w:tcBorders>
            <w:shd w:val="clear" w:color="auto" w:fill="auto"/>
            <w:noWrap/>
            <w:vAlign w:val="center"/>
          </w:tcPr>
          <w:p w14:paraId="7D5079B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0.01L</w:t>
            </w:r>
          </w:p>
        </w:tc>
        <w:tc>
          <w:tcPr>
            <w:tcW w:w="402" w:type="pct"/>
            <w:tcBorders>
              <w:tl2br w:val="nil"/>
              <w:tr2bl w:val="nil"/>
            </w:tcBorders>
            <w:shd w:val="clear" w:color="auto" w:fill="auto"/>
            <w:noWrap/>
            <w:vAlign w:val="center"/>
          </w:tcPr>
          <w:p w14:paraId="37C1DB8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0.1</w:t>
            </w:r>
          </w:p>
        </w:tc>
        <w:tc>
          <w:tcPr>
            <w:tcW w:w="402" w:type="pct"/>
            <w:tcBorders>
              <w:tl2br w:val="nil"/>
              <w:tr2bl w:val="nil"/>
            </w:tcBorders>
            <w:shd w:val="clear" w:color="auto" w:fill="auto"/>
            <w:noWrap/>
            <w:vAlign w:val="center"/>
          </w:tcPr>
          <w:p w14:paraId="071DC81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2F539C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2A9D62E6">
            <w:pPr>
              <w:pStyle w:val="42"/>
              <w:keepNext w:val="0"/>
              <w:keepLines w:val="0"/>
              <w:suppressLineNumbers w:val="0"/>
              <w:bidi w:val="0"/>
              <w:spacing w:before="0" w:beforeAutospacing="0" w:after="0" w:afterAutospacing="0"/>
              <w:rPr>
                <w:rFonts w:hint="eastAsia"/>
              </w:rPr>
            </w:pPr>
            <w:r>
              <w:rPr>
                <w:rFonts w:hint="eastAsia"/>
                <w:lang w:val="en-US" w:eastAsia="zh-CN"/>
              </w:rPr>
              <w:t>溶解性总固体</w:t>
            </w:r>
          </w:p>
        </w:tc>
        <w:tc>
          <w:tcPr>
            <w:tcW w:w="549" w:type="pct"/>
            <w:tcBorders>
              <w:tl2br w:val="nil"/>
              <w:tr2bl w:val="nil"/>
            </w:tcBorders>
            <w:shd w:val="clear" w:color="auto" w:fill="auto"/>
            <w:noWrap/>
            <w:vAlign w:val="center"/>
          </w:tcPr>
          <w:p w14:paraId="37D578C0">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5A71F65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153</w:t>
            </w:r>
          </w:p>
        </w:tc>
        <w:tc>
          <w:tcPr>
            <w:tcW w:w="532" w:type="pct"/>
            <w:tcBorders>
              <w:tl2br w:val="nil"/>
              <w:tr2bl w:val="nil"/>
            </w:tcBorders>
            <w:shd w:val="clear" w:color="auto" w:fill="auto"/>
            <w:noWrap/>
            <w:vAlign w:val="center"/>
          </w:tcPr>
          <w:p w14:paraId="7943CB2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146</w:t>
            </w:r>
          </w:p>
        </w:tc>
        <w:tc>
          <w:tcPr>
            <w:tcW w:w="414" w:type="pct"/>
            <w:tcBorders>
              <w:tl2br w:val="nil"/>
              <w:tr2bl w:val="nil"/>
            </w:tcBorders>
            <w:shd w:val="clear" w:color="auto" w:fill="auto"/>
            <w:noWrap/>
            <w:vAlign w:val="center"/>
          </w:tcPr>
          <w:p w14:paraId="37D4B1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w:t>
            </w:r>
          </w:p>
        </w:tc>
        <w:tc>
          <w:tcPr>
            <w:tcW w:w="421" w:type="pct"/>
            <w:tcBorders>
              <w:tl2br w:val="nil"/>
              <w:tr2bl w:val="nil"/>
            </w:tcBorders>
            <w:shd w:val="clear" w:color="auto" w:fill="auto"/>
            <w:noWrap/>
            <w:vAlign w:val="center"/>
          </w:tcPr>
          <w:p w14:paraId="5BDA882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w:t>
            </w:r>
          </w:p>
        </w:tc>
        <w:tc>
          <w:tcPr>
            <w:tcW w:w="404" w:type="pct"/>
            <w:tcBorders>
              <w:tl2br w:val="nil"/>
              <w:tr2bl w:val="nil"/>
            </w:tcBorders>
            <w:shd w:val="clear" w:color="auto" w:fill="auto"/>
            <w:noWrap/>
            <w:vAlign w:val="center"/>
          </w:tcPr>
          <w:p w14:paraId="4638D56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164</w:t>
            </w:r>
          </w:p>
        </w:tc>
        <w:tc>
          <w:tcPr>
            <w:tcW w:w="391" w:type="pct"/>
            <w:tcBorders>
              <w:tl2br w:val="nil"/>
              <w:tr2bl w:val="nil"/>
            </w:tcBorders>
            <w:shd w:val="clear" w:color="auto" w:fill="auto"/>
            <w:noWrap/>
            <w:vAlign w:val="center"/>
          </w:tcPr>
          <w:p w14:paraId="1171AE0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260</w:t>
            </w:r>
          </w:p>
        </w:tc>
        <w:tc>
          <w:tcPr>
            <w:tcW w:w="457" w:type="pct"/>
            <w:tcBorders>
              <w:tl2br w:val="nil"/>
              <w:tr2bl w:val="nil"/>
            </w:tcBorders>
            <w:shd w:val="clear" w:color="auto" w:fill="auto"/>
            <w:noWrap/>
            <w:vAlign w:val="center"/>
          </w:tcPr>
          <w:p w14:paraId="136DF55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334</w:t>
            </w:r>
          </w:p>
        </w:tc>
        <w:tc>
          <w:tcPr>
            <w:tcW w:w="402" w:type="pct"/>
            <w:tcBorders>
              <w:tl2br w:val="nil"/>
              <w:tr2bl w:val="nil"/>
            </w:tcBorders>
            <w:shd w:val="clear" w:color="auto" w:fill="auto"/>
            <w:noWrap/>
            <w:vAlign w:val="center"/>
          </w:tcPr>
          <w:p w14:paraId="25C4CBD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1000</w:t>
            </w:r>
          </w:p>
        </w:tc>
        <w:tc>
          <w:tcPr>
            <w:tcW w:w="402" w:type="pct"/>
            <w:tcBorders>
              <w:tl2br w:val="nil"/>
              <w:tr2bl w:val="nil"/>
            </w:tcBorders>
            <w:shd w:val="clear" w:color="auto" w:fill="auto"/>
            <w:noWrap/>
            <w:vAlign w:val="center"/>
          </w:tcPr>
          <w:p w14:paraId="2697B85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196012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3" w:hRule="atLeast"/>
        </w:trPr>
        <w:tc>
          <w:tcPr>
            <w:tcW w:w="563" w:type="pct"/>
            <w:tcBorders>
              <w:tl2br w:val="nil"/>
              <w:tr2bl w:val="nil"/>
            </w:tcBorders>
            <w:shd w:val="clear" w:color="auto" w:fill="auto"/>
            <w:noWrap/>
            <w:vAlign w:val="center"/>
          </w:tcPr>
          <w:p w14:paraId="7415ACA3">
            <w:pPr>
              <w:pStyle w:val="42"/>
              <w:keepNext w:val="0"/>
              <w:keepLines w:val="0"/>
              <w:suppressLineNumbers w:val="0"/>
              <w:bidi w:val="0"/>
              <w:spacing w:before="0" w:beforeAutospacing="0" w:after="0" w:afterAutospacing="0"/>
              <w:rPr>
                <w:rFonts w:hint="eastAsia"/>
              </w:rPr>
            </w:pPr>
            <w:r>
              <w:rPr>
                <w:rFonts w:hint="eastAsia"/>
                <w:lang w:val="en-US" w:eastAsia="zh-CN"/>
              </w:rPr>
              <w:t>耗氧量</w:t>
            </w:r>
          </w:p>
        </w:tc>
        <w:tc>
          <w:tcPr>
            <w:tcW w:w="549" w:type="pct"/>
            <w:tcBorders>
              <w:tl2br w:val="nil"/>
              <w:tr2bl w:val="nil"/>
            </w:tcBorders>
            <w:shd w:val="clear" w:color="auto" w:fill="auto"/>
            <w:noWrap/>
            <w:vAlign w:val="center"/>
          </w:tcPr>
          <w:p w14:paraId="50EBFF21">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7139545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532" w:type="pct"/>
            <w:tcBorders>
              <w:tl2br w:val="nil"/>
              <w:tr2bl w:val="nil"/>
            </w:tcBorders>
            <w:shd w:val="clear" w:color="auto" w:fill="auto"/>
            <w:noWrap/>
            <w:vAlign w:val="center"/>
          </w:tcPr>
          <w:p w14:paraId="1C3AF21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w:t>
            </w:r>
          </w:p>
        </w:tc>
        <w:tc>
          <w:tcPr>
            <w:tcW w:w="414" w:type="pct"/>
            <w:tcBorders>
              <w:tl2br w:val="nil"/>
              <w:tr2bl w:val="nil"/>
            </w:tcBorders>
            <w:shd w:val="clear" w:color="auto" w:fill="auto"/>
            <w:noWrap/>
            <w:vAlign w:val="center"/>
          </w:tcPr>
          <w:p w14:paraId="7AB0A6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w:t>
            </w:r>
          </w:p>
        </w:tc>
        <w:tc>
          <w:tcPr>
            <w:tcW w:w="421" w:type="pct"/>
            <w:tcBorders>
              <w:tl2br w:val="nil"/>
              <w:tr2bl w:val="nil"/>
            </w:tcBorders>
            <w:shd w:val="clear" w:color="auto" w:fill="auto"/>
            <w:noWrap/>
            <w:vAlign w:val="center"/>
          </w:tcPr>
          <w:p w14:paraId="378576C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w:t>
            </w:r>
          </w:p>
        </w:tc>
        <w:tc>
          <w:tcPr>
            <w:tcW w:w="404" w:type="pct"/>
            <w:tcBorders>
              <w:tl2br w:val="nil"/>
              <w:tr2bl w:val="nil"/>
            </w:tcBorders>
            <w:shd w:val="clear" w:color="auto" w:fill="auto"/>
            <w:noWrap/>
            <w:vAlign w:val="center"/>
          </w:tcPr>
          <w:p w14:paraId="73773D6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2.7</w:t>
            </w:r>
          </w:p>
        </w:tc>
        <w:tc>
          <w:tcPr>
            <w:tcW w:w="391" w:type="pct"/>
            <w:tcBorders>
              <w:tl2br w:val="nil"/>
              <w:tr2bl w:val="nil"/>
            </w:tcBorders>
            <w:shd w:val="clear" w:color="auto" w:fill="auto"/>
            <w:noWrap/>
            <w:vAlign w:val="center"/>
          </w:tcPr>
          <w:p w14:paraId="4C4427A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w:t>
            </w:r>
          </w:p>
        </w:tc>
        <w:tc>
          <w:tcPr>
            <w:tcW w:w="457" w:type="pct"/>
            <w:tcBorders>
              <w:tl2br w:val="nil"/>
              <w:tr2bl w:val="nil"/>
            </w:tcBorders>
            <w:shd w:val="clear" w:color="auto" w:fill="auto"/>
            <w:noWrap/>
            <w:vAlign w:val="center"/>
          </w:tcPr>
          <w:p w14:paraId="5273A88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2.7</w:t>
            </w:r>
          </w:p>
        </w:tc>
        <w:tc>
          <w:tcPr>
            <w:tcW w:w="402" w:type="pct"/>
            <w:tcBorders>
              <w:tl2br w:val="nil"/>
              <w:tr2bl w:val="nil"/>
            </w:tcBorders>
            <w:shd w:val="clear" w:color="auto" w:fill="auto"/>
            <w:noWrap/>
            <w:vAlign w:val="center"/>
          </w:tcPr>
          <w:p w14:paraId="4541969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3</w:t>
            </w:r>
          </w:p>
        </w:tc>
        <w:tc>
          <w:tcPr>
            <w:tcW w:w="402" w:type="pct"/>
            <w:tcBorders>
              <w:tl2br w:val="nil"/>
              <w:tr2bl w:val="nil"/>
            </w:tcBorders>
            <w:shd w:val="clear" w:color="auto" w:fill="auto"/>
            <w:noWrap/>
            <w:vAlign w:val="center"/>
          </w:tcPr>
          <w:p w14:paraId="45B1255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8528A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36" w:hRule="atLeast"/>
        </w:trPr>
        <w:tc>
          <w:tcPr>
            <w:tcW w:w="563" w:type="pct"/>
            <w:tcBorders>
              <w:tl2br w:val="nil"/>
              <w:tr2bl w:val="nil"/>
            </w:tcBorders>
            <w:shd w:val="clear" w:color="auto" w:fill="auto"/>
            <w:noWrap/>
            <w:vAlign w:val="center"/>
          </w:tcPr>
          <w:p w14:paraId="48FD7226">
            <w:pPr>
              <w:pStyle w:val="42"/>
              <w:keepNext w:val="0"/>
              <w:keepLines w:val="0"/>
              <w:suppressLineNumbers w:val="0"/>
              <w:bidi w:val="0"/>
              <w:spacing w:before="0" w:beforeAutospacing="0" w:after="0" w:afterAutospacing="0"/>
              <w:rPr>
                <w:rFonts w:hint="eastAsia"/>
              </w:rPr>
            </w:pPr>
            <w:r>
              <w:rPr>
                <w:rFonts w:hint="eastAsia"/>
                <w:lang w:val="en-US" w:eastAsia="zh-CN"/>
              </w:rPr>
              <w:t>总大肠菌群</w:t>
            </w:r>
          </w:p>
        </w:tc>
        <w:tc>
          <w:tcPr>
            <w:tcW w:w="549" w:type="pct"/>
            <w:tcBorders>
              <w:tl2br w:val="nil"/>
              <w:tr2bl w:val="nil"/>
            </w:tcBorders>
            <w:shd w:val="clear" w:color="auto" w:fill="auto"/>
            <w:noWrap/>
            <w:vAlign w:val="center"/>
          </w:tcPr>
          <w:p w14:paraId="6AD7D2EE">
            <w:pPr>
              <w:pStyle w:val="42"/>
              <w:keepNext w:val="0"/>
              <w:keepLines w:val="0"/>
              <w:suppressLineNumbers w:val="0"/>
              <w:bidi w:val="0"/>
              <w:spacing w:before="0" w:beforeAutospacing="0" w:after="0" w:afterAutospacing="0"/>
              <w:rPr>
                <w:rFonts w:hint="default"/>
              </w:rPr>
            </w:pPr>
            <w:r>
              <w:rPr>
                <w:rFonts w:hint="default"/>
                <w:lang w:val="en-US" w:eastAsia="zh-CN"/>
              </w:rPr>
              <w:t>MPNb/100mL</w:t>
            </w:r>
          </w:p>
        </w:tc>
        <w:tc>
          <w:tcPr>
            <w:tcW w:w="462" w:type="pct"/>
            <w:tcBorders>
              <w:tl2br w:val="nil"/>
              <w:tr2bl w:val="nil"/>
            </w:tcBorders>
            <w:shd w:val="clear" w:color="auto" w:fill="auto"/>
            <w:noWrap/>
            <w:vAlign w:val="center"/>
          </w:tcPr>
          <w:p w14:paraId="2F26D355">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532" w:type="pct"/>
            <w:tcBorders>
              <w:tl2br w:val="nil"/>
              <w:tr2bl w:val="nil"/>
            </w:tcBorders>
            <w:shd w:val="clear" w:color="auto" w:fill="auto"/>
            <w:noWrap/>
            <w:vAlign w:val="center"/>
          </w:tcPr>
          <w:p w14:paraId="249B8054">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414" w:type="pct"/>
            <w:tcBorders>
              <w:tl2br w:val="nil"/>
              <w:tr2bl w:val="nil"/>
            </w:tcBorders>
            <w:shd w:val="clear" w:color="auto" w:fill="auto"/>
            <w:noWrap/>
            <w:vAlign w:val="center"/>
          </w:tcPr>
          <w:p w14:paraId="22F7CBE7">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421" w:type="pct"/>
            <w:tcBorders>
              <w:tl2br w:val="nil"/>
              <w:tr2bl w:val="nil"/>
            </w:tcBorders>
            <w:shd w:val="clear" w:color="auto" w:fill="auto"/>
            <w:noWrap/>
            <w:vAlign w:val="center"/>
          </w:tcPr>
          <w:p w14:paraId="0164B4C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未检出</w:t>
            </w:r>
          </w:p>
        </w:tc>
        <w:tc>
          <w:tcPr>
            <w:tcW w:w="404" w:type="pct"/>
            <w:tcBorders>
              <w:tl2br w:val="nil"/>
              <w:tr2bl w:val="nil"/>
            </w:tcBorders>
            <w:shd w:val="clear" w:color="auto" w:fill="auto"/>
            <w:noWrap/>
            <w:vAlign w:val="center"/>
          </w:tcPr>
          <w:p w14:paraId="315AAB7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391" w:type="pct"/>
            <w:tcBorders>
              <w:tl2br w:val="nil"/>
              <w:tr2bl w:val="nil"/>
            </w:tcBorders>
            <w:shd w:val="clear" w:color="auto" w:fill="auto"/>
            <w:noWrap/>
            <w:vAlign w:val="center"/>
          </w:tcPr>
          <w:p w14:paraId="38C88B61">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457" w:type="pct"/>
            <w:tcBorders>
              <w:tl2br w:val="nil"/>
              <w:tr2bl w:val="nil"/>
            </w:tcBorders>
            <w:shd w:val="clear" w:color="auto" w:fill="auto"/>
            <w:noWrap/>
            <w:vAlign w:val="center"/>
          </w:tcPr>
          <w:p w14:paraId="4422F257">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未检出</w:t>
            </w:r>
          </w:p>
        </w:tc>
        <w:tc>
          <w:tcPr>
            <w:tcW w:w="402" w:type="pct"/>
            <w:tcBorders>
              <w:tl2br w:val="nil"/>
              <w:tr2bl w:val="nil"/>
            </w:tcBorders>
            <w:shd w:val="clear" w:color="auto" w:fill="auto"/>
            <w:noWrap/>
            <w:vAlign w:val="center"/>
          </w:tcPr>
          <w:p w14:paraId="4DDE7E2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3</w:t>
            </w:r>
          </w:p>
        </w:tc>
        <w:tc>
          <w:tcPr>
            <w:tcW w:w="402" w:type="pct"/>
            <w:tcBorders>
              <w:tl2br w:val="nil"/>
              <w:tr2bl w:val="nil"/>
            </w:tcBorders>
            <w:shd w:val="clear" w:color="auto" w:fill="auto"/>
            <w:noWrap/>
            <w:vAlign w:val="center"/>
          </w:tcPr>
          <w:p w14:paraId="5F44119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3E2BB2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0" w:hRule="atLeast"/>
        </w:trPr>
        <w:tc>
          <w:tcPr>
            <w:tcW w:w="563" w:type="pct"/>
            <w:tcBorders>
              <w:tl2br w:val="nil"/>
              <w:tr2bl w:val="nil"/>
            </w:tcBorders>
            <w:shd w:val="clear" w:color="auto" w:fill="auto"/>
            <w:noWrap/>
            <w:vAlign w:val="center"/>
          </w:tcPr>
          <w:p w14:paraId="689A8D45">
            <w:pPr>
              <w:pStyle w:val="42"/>
              <w:keepNext w:val="0"/>
              <w:keepLines w:val="0"/>
              <w:suppressLineNumbers w:val="0"/>
              <w:bidi w:val="0"/>
              <w:spacing w:before="0" w:beforeAutospacing="0" w:after="0" w:afterAutospacing="0"/>
              <w:rPr>
                <w:rFonts w:hint="eastAsia"/>
              </w:rPr>
            </w:pPr>
            <w:r>
              <w:rPr>
                <w:rFonts w:hint="eastAsia"/>
                <w:lang w:val="en-US" w:eastAsia="zh-CN"/>
              </w:rPr>
              <w:t>细菌总数</w:t>
            </w:r>
          </w:p>
        </w:tc>
        <w:tc>
          <w:tcPr>
            <w:tcW w:w="549" w:type="pct"/>
            <w:tcBorders>
              <w:tl2br w:val="nil"/>
              <w:tr2bl w:val="nil"/>
            </w:tcBorders>
            <w:shd w:val="clear" w:color="auto" w:fill="auto"/>
            <w:noWrap/>
            <w:vAlign w:val="center"/>
          </w:tcPr>
          <w:p w14:paraId="4A49EB68">
            <w:pPr>
              <w:pStyle w:val="42"/>
              <w:keepNext w:val="0"/>
              <w:keepLines w:val="0"/>
              <w:suppressLineNumbers w:val="0"/>
              <w:bidi w:val="0"/>
              <w:spacing w:before="0" w:beforeAutospacing="0" w:after="0" w:afterAutospacing="0"/>
              <w:rPr>
                <w:rFonts w:hint="default"/>
              </w:rPr>
            </w:pPr>
            <w:r>
              <w:rPr>
                <w:rFonts w:hint="default"/>
                <w:lang w:val="en-US" w:eastAsia="zh-CN"/>
              </w:rPr>
              <w:t>CFU/mL</w:t>
            </w:r>
          </w:p>
        </w:tc>
        <w:tc>
          <w:tcPr>
            <w:tcW w:w="462" w:type="pct"/>
            <w:tcBorders>
              <w:tl2br w:val="nil"/>
              <w:tr2bl w:val="nil"/>
            </w:tcBorders>
            <w:shd w:val="clear" w:color="auto" w:fill="auto"/>
            <w:noWrap/>
            <w:vAlign w:val="center"/>
          </w:tcPr>
          <w:p w14:paraId="2FC0487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43</w:t>
            </w:r>
          </w:p>
        </w:tc>
        <w:tc>
          <w:tcPr>
            <w:tcW w:w="532" w:type="pct"/>
            <w:tcBorders>
              <w:tl2br w:val="nil"/>
              <w:tr2bl w:val="nil"/>
            </w:tcBorders>
            <w:shd w:val="clear" w:color="auto" w:fill="auto"/>
            <w:noWrap/>
            <w:vAlign w:val="center"/>
          </w:tcPr>
          <w:p w14:paraId="19C30FB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58</w:t>
            </w:r>
          </w:p>
        </w:tc>
        <w:tc>
          <w:tcPr>
            <w:tcW w:w="414" w:type="pct"/>
            <w:tcBorders>
              <w:tl2br w:val="nil"/>
              <w:tr2bl w:val="nil"/>
            </w:tcBorders>
            <w:shd w:val="clear" w:color="auto" w:fill="auto"/>
            <w:noWrap/>
            <w:vAlign w:val="center"/>
          </w:tcPr>
          <w:p w14:paraId="40FDD7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w:t>
            </w:r>
          </w:p>
        </w:tc>
        <w:tc>
          <w:tcPr>
            <w:tcW w:w="421" w:type="pct"/>
            <w:tcBorders>
              <w:tl2br w:val="nil"/>
              <w:tr2bl w:val="nil"/>
            </w:tcBorders>
            <w:shd w:val="clear" w:color="auto" w:fill="auto"/>
            <w:noWrap/>
            <w:vAlign w:val="center"/>
          </w:tcPr>
          <w:p w14:paraId="79EB6A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34</w:t>
            </w:r>
          </w:p>
        </w:tc>
        <w:tc>
          <w:tcPr>
            <w:tcW w:w="404" w:type="pct"/>
            <w:tcBorders>
              <w:tl2br w:val="nil"/>
              <w:tr2bl w:val="nil"/>
            </w:tcBorders>
            <w:shd w:val="clear" w:color="auto" w:fill="auto"/>
            <w:noWrap/>
            <w:vAlign w:val="center"/>
          </w:tcPr>
          <w:p w14:paraId="369B7A3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w:t>
            </w:r>
          </w:p>
        </w:tc>
        <w:tc>
          <w:tcPr>
            <w:tcW w:w="391" w:type="pct"/>
            <w:tcBorders>
              <w:tl2br w:val="nil"/>
              <w:tr2bl w:val="nil"/>
            </w:tcBorders>
            <w:shd w:val="clear" w:color="auto" w:fill="auto"/>
            <w:noWrap/>
            <w:vAlign w:val="center"/>
          </w:tcPr>
          <w:p w14:paraId="0F0DA27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w:t>
            </w:r>
          </w:p>
        </w:tc>
        <w:tc>
          <w:tcPr>
            <w:tcW w:w="457" w:type="pct"/>
            <w:tcBorders>
              <w:tl2br w:val="nil"/>
              <w:tr2bl w:val="nil"/>
            </w:tcBorders>
            <w:shd w:val="clear" w:color="auto" w:fill="auto"/>
            <w:noWrap/>
            <w:vAlign w:val="center"/>
          </w:tcPr>
          <w:p w14:paraId="3555117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w:t>
            </w:r>
          </w:p>
        </w:tc>
        <w:tc>
          <w:tcPr>
            <w:tcW w:w="402" w:type="pct"/>
            <w:tcBorders>
              <w:tl2br w:val="nil"/>
              <w:tr2bl w:val="nil"/>
            </w:tcBorders>
            <w:shd w:val="clear" w:color="auto" w:fill="auto"/>
            <w:noWrap/>
            <w:vAlign w:val="center"/>
          </w:tcPr>
          <w:p w14:paraId="75ED425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100</w:t>
            </w:r>
          </w:p>
        </w:tc>
        <w:tc>
          <w:tcPr>
            <w:tcW w:w="402" w:type="pct"/>
            <w:tcBorders>
              <w:tl2br w:val="nil"/>
              <w:tr2bl w:val="nil"/>
            </w:tcBorders>
            <w:shd w:val="clear" w:color="auto" w:fill="auto"/>
            <w:noWrap/>
            <w:vAlign w:val="center"/>
          </w:tcPr>
          <w:p w14:paraId="1AEF1CD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07859D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4" w:hRule="atLeast"/>
        </w:trPr>
        <w:tc>
          <w:tcPr>
            <w:tcW w:w="563" w:type="pct"/>
            <w:tcBorders>
              <w:tl2br w:val="nil"/>
              <w:tr2bl w:val="nil"/>
            </w:tcBorders>
            <w:shd w:val="clear" w:color="auto" w:fill="auto"/>
            <w:noWrap/>
            <w:vAlign w:val="center"/>
          </w:tcPr>
          <w:p w14:paraId="47184220">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硫化物</w:t>
            </w:r>
          </w:p>
        </w:tc>
        <w:tc>
          <w:tcPr>
            <w:tcW w:w="549" w:type="pct"/>
            <w:tcBorders>
              <w:tl2br w:val="nil"/>
              <w:tr2bl w:val="nil"/>
            </w:tcBorders>
            <w:shd w:val="clear" w:color="auto" w:fill="auto"/>
            <w:noWrap/>
            <w:vAlign w:val="center"/>
          </w:tcPr>
          <w:p w14:paraId="3B634ED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mg/L</w:t>
            </w:r>
          </w:p>
        </w:tc>
        <w:tc>
          <w:tcPr>
            <w:tcW w:w="462" w:type="pct"/>
            <w:tcBorders>
              <w:tl2br w:val="nil"/>
              <w:tr2bl w:val="nil"/>
            </w:tcBorders>
            <w:shd w:val="clear" w:color="auto" w:fill="auto"/>
            <w:noWrap/>
            <w:vAlign w:val="center"/>
          </w:tcPr>
          <w:p w14:paraId="1F974EB2">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0.003L</w:t>
            </w:r>
          </w:p>
        </w:tc>
        <w:tc>
          <w:tcPr>
            <w:tcW w:w="532" w:type="pct"/>
            <w:tcBorders>
              <w:tl2br w:val="nil"/>
              <w:tr2bl w:val="nil"/>
            </w:tcBorders>
            <w:shd w:val="clear" w:color="auto" w:fill="auto"/>
            <w:noWrap/>
            <w:vAlign w:val="center"/>
          </w:tcPr>
          <w:p w14:paraId="7B860CD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0.003L</w:t>
            </w:r>
          </w:p>
        </w:tc>
        <w:tc>
          <w:tcPr>
            <w:tcW w:w="414" w:type="pct"/>
            <w:tcBorders>
              <w:tl2br w:val="nil"/>
              <w:tr2bl w:val="nil"/>
            </w:tcBorders>
            <w:shd w:val="clear" w:color="auto" w:fill="auto"/>
            <w:noWrap/>
            <w:vAlign w:val="center"/>
          </w:tcPr>
          <w:p w14:paraId="14CE546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0.003L</w:t>
            </w:r>
          </w:p>
        </w:tc>
        <w:tc>
          <w:tcPr>
            <w:tcW w:w="421" w:type="pct"/>
            <w:tcBorders>
              <w:tl2br w:val="nil"/>
              <w:tr2bl w:val="nil"/>
            </w:tcBorders>
            <w:shd w:val="clear" w:color="auto" w:fill="auto"/>
            <w:noWrap/>
            <w:vAlign w:val="center"/>
          </w:tcPr>
          <w:p w14:paraId="600E1C8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0.003L</w:t>
            </w:r>
          </w:p>
        </w:tc>
        <w:tc>
          <w:tcPr>
            <w:tcW w:w="404" w:type="pct"/>
            <w:tcBorders>
              <w:tl2br w:val="nil"/>
              <w:tr2bl w:val="nil"/>
            </w:tcBorders>
            <w:shd w:val="clear" w:color="auto" w:fill="auto"/>
            <w:noWrap/>
            <w:vAlign w:val="center"/>
          </w:tcPr>
          <w:p w14:paraId="0E2E555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0.003L</w:t>
            </w:r>
          </w:p>
        </w:tc>
        <w:tc>
          <w:tcPr>
            <w:tcW w:w="391" w:type="pct"/>
            <w:tcBorders>
              <w:tl2br w:val="nil"/>
              <w:tr2bl w:val="nil"/>
            </w:tcBorders>
            <w:shd w:val="clear" w:color="auto" w:fill="auto"/>
            <w:noWrap/>
            <w:vAlign w:val="center"/>
          </w:tcPr>
          <w:p w14:paraId="78A9227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0.003L</w:t>
            </w:r>
          </w:p>
        </w:tc>
        <w:tc>
          <w:tcPr>
            <w:tcW w:w="457" w:type="pct"/>
            <w:tcBorders>
              <w:tl2br w:val="nil"/>
              <w:tr2bl w:val="nil"/>
            </w:tcBorders>
            <w:shd w:val="clear" w:color="auto" w:fill="auto"/>
            <w:noWrap/>
            <w:vAlign w:val="center"/>
          </w:tcPr>
          <w:p w14:paraId="0661FD7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0.003L</w:t>
            </w:r>
          </w:p>
        </w:tc>
        <w:tc>
          <w:tcPr>
            <w:tcW w:w="402" w:type="pct"/>
            <w:tcBorders>
              <w:tl2br w:val="nil"/>
              <w:tr2bl w:val="nil"/>
            </w:tcBorders>
            <w:shd w:val="clear" w:color="auto" w:fill="auto"/>
            <w:noWrap/>
            <w:vAlign w:val="center"/>
          </w:tcPr>
          <w:p w14:paraId="3B4C8C18">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0.02</w:t>
            </w:r>
          </w:p>
        </w:tc>
        <w:tc>
          <w:tcPr>
            <w:tcW w:w="402" w:type="pct"/>
            <w:tcBorders>
              <w:tl2br w:val="nil"/>
              <w:tr2bl w:val="nil"/>
            </w:tcBorders>
            <w:shd w:val="clear" w:color="auto" w:fill="auto"/>
            <w:noWrap/>
            <w:vAlign w:val="center"/>
          </w:tcPr>
          <w:p w14:paraId="7683747D">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r w14:paraId="046F53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480BE701">
            <w:pPr>
              <w:pStyle w:val="42"/>
              <w:keepNext w:val="0"/>
              <w:keepLines w:val="0"/>
              <w:suppressLineNumbers w:val="0"/>
              <w:bidi w:val="0"/>
              <w:spacing w:before="0" w:beforeAutospacing="0" w:after="0" w:afterAutospacing="0"/>
              <w:rPr>
                <w:rFonts w:hint="eastAsia"/>
              </w:rPr>
            </w:pPr>
            <w:r>
              <w:rPr>
                <w:rFonts w:hint="eastAsia"/>
                <w:lang w:val="en-US" w:eastAsia="zh-CN"/>
              </w:rPr>
              <w:t>镍</w:t>
            </w:r>
          </w:p>
        </w:tc>
        <w:tc>
          <w:tcPr>
            <w:tcW w:w="549" w:type="pct"/>
            <w:tcBorders>
              <w:tl2br w:val="nil"/>
              <w:tr2bl w:val="nil"/>
            </w:tcBorders>
            <w:shd w:val="clear" w:color="auto" w:fill="auto"/>
            <w:noWrap/>
            <w:vAlign w:val="center"/>
          </w:tcPr>
          <w:p w14:paraId="254E530E">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4648823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532" w:type="pct"/>
            <w:tcBorders>
              <w:tl2br w:val="nil"/>
              <w:tr2bl w:val="nil"/>
            </w:tcBorders>
            <w:shd w:val="clear" w:color="auto" w:fill="auto"/>
            <w:noWrap/>
            <w:vAlign w:val="center"/>
          </w:tcPr>
          <w:p w14:paraId="2FE4F5D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0.005L</w:t>
            </w:r>
          </w:p>
        </w:tc>
        <w:tc>
          <w:tcPr>
            <w:tcW w:w="414" w:type="pct"/>
            <w:tcBorders>
              <w:tl2br w:val="nil"/>
              <w:tr2bl w:val="nil"/>
            </w:tcBorders>
            <w:shd w:val="clear" w:color="auto" w:fill="auto"/>
            <w:noWrap/>
            <w:vAlign w:val="center"/>
          </w:tcPr>
          <w:p w14:paraId="1B0A019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21" w:type="pct"/>
            <w:tcBorders>
              <w:tl2br w:val="nil"/>
              <w:tr2bl w:val="nil"/>
            </w:tcBorders>
            <w:shd w:val="clear" w:color="auto" w:fill="auto"/>
            <w:noWrap/>
            <w:vAlign w:val="center"/>
          </w:tcPr>
          <w:p w14:paraId="31C013F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04" w:type="pct"/>
            <w:tcBorders>
              <w:tl2br w:val="nil"/>
              <w:tr2bl w:val="nil"/>
            </w:tcBorders>
            <w:shd w:val="clear" w:color="auto" w:fill="auto"/>
            <w:noWrap/>
            <w:vAlign w:val="center"/>
          </w:tcPr>
          <w:p w14:paraId="7AB94DF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391" w:type="pct"/>
            <w:tcBorders>
              <w:tl2br w:val="nil"/>
              <w:tr2bl w:val="nil"/>
            </w:tcBorders>
            <w:shd w:val="clear" w:color="auto" w:fill="auto"/>
            <w:noWrap/>
            <w:vAlign w:val="center"/>
          </w:tcPr>
          <w:p w14:paraId="1015AE9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57" w:type="pct"/>
            <w:tcBorders>
              <w:tl2br w:val="nil"/>
              <w:tr2bl w:val="nil"/>
            </w:tcBorders>
            <w:shd w:val="clear" w:color="auto" w:fill="auto"/>
            <w:noWrap/>
            <w:vAlign w:val="center"/>
          </w:tcPr>
          <w:p w14:paraId="59986A0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0.005L</w:t>
            </w:r>
          </w:p>
        </w:tc>
        <w:tc>
          <w:tcPr>
            <w:tcW w:w="402" w:type="pct"/>
            <w:tcBorders>
              <w:tl2br w:val="nil"/>
              <w:tr2bl w:val="nil"/>
            </w:tcBorders>
            <w:shd w:val="clear" w:color="auto" w:fill="auto"/>
            <w:noWrap/>
            <w:vAlign w:val="center"/>
          </w:tcPr>
          <w:p w14:paraId="79042436">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default"/>
                <w:lang w:val="en-US" w:eastAsia="zh-CN"/>
              </w:rPr>
              <w:t>0.02</w:t>
            </w:r>
          </w:p>
        </w:tc>
        <w:tc>
          <w:tcPr>
            <w:tcW w:w="402" w:type="pct"/>
            <w:tcBorders>
              <w:tl2br w:val="nil"/>
              <w:tr2bl w:val="nil"/>
            </w:tcBorders>
            <w:shd w:val="clear" w:color="auto" w:fill="auto"/>
            <w:noWrap/>
            <w:vAlign w:val="center"/>
          </w:tcPr>
          <w:p w14:paraId="12743EA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是</w:t>
            </w:r>
          </w:p>
        </w:tc>
      </w:tr>
      <w:tr w14:paraId="3CCCF1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563" w:type="pct"/>
            <w:tcBorders>
              <w:tl2br w:val="nil"/>
              <w:tr2bl w:val="nil"/>
            </w:tcBorders>
            <w:shd w:val="clear" w:color="auto" w:fill="auto"/>
            <w:noWrap/>
            <w:vAlign w:val="center"/>
          </w:tcPr>
          <w:p w14:paraId="03C2755E">
            <w:pPr>
              <w:pStyle w:val="42"/>
              <w:keepNext w:val="0"/>
              <w:keepLines w:val="0"/>
              <w:suppressLineNumbers w:val="0"/>
              <w:bidi w:val="0"/>
              <w:spacing w:before="0" w:beforeAutospacing="0" w:after="0" w:afterAutospacing="0"/>
              <w:rPr>
                <w:rFonts w:hint="eastAsia"/>
                <w:lang w:eastAsia="zh-CN"/>
              </w:rPr>
            </w:pPr>
            <w:r>
              <w:rPr>
                <w:rFonts w:hint="eastAsia"/>
                <w:lang w:eastAsia="zh-CN"/>
              </w:rPr>
              <w:t>锌</w:t>
            </w:r>
          </w:p>
        </w:tc>
        <w:tc>
          <w:tcPr>
            <w:tcW w:w="549" w:type="pct"/>
            <w:tcBorders>
              <w:tl2br w:val="nil"/>
              <w:tr2bl w:val="nil"/>
            </w:tcBorders>
            <w:shd w:val="clear" w:color="auto" w:fill="auto"/>
            <w:noWrap/>
            <w:vAlign w:val="center"/>
          </w:tcPr>
          <w:p w14:paraId="61A91350">
            <w:pPr>
              <w:pStyle w:val="42"/>
              <w:keepNext w:val="0"/>
              <w:keepLines w:val="0"/>
              <w:suppressLineNumbers w:val="0"/>
              <w:bidi w:val="0"/>
              <w:spacing w:before="0" w:beforeAutospacing="0" w:after="0" w:afterAutospacing="0"/>
              <w:rPr>
                <w:rFonts w:hint="default"/>
              </w:rPr>
            </w:pPr>
            <w:r>
              <w:rPr>
                <w:rFonts w:hint="default"/>
                <w:lang w:val="en-US" w:eastAsia="zh-CN"/>
              </w:rPr>
              <w:t>mg/L</w:t>
            </w:r>
          </w:p>
        </w:tc>
        <w:tc>
          <w:tcPr>
            <w:tcW w:w="462" w:type="pct"/>
            <w:tcBorders>
              <w:tl2br w:val="nil"/>
              <w:tr2bl w:val="nil"/>
            </w:tcBorders>
            <w:shd w:val="clear" w:color="auto" w:fill="auto"/>
            <w:noWrap/>
            <w:vAlign w:val="center"/>
          </w:tcPr>
          <w:p w14:paraId="0A8A83C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532" w:type="pct"/>
            <w:tcBorders>
              <w:tl2br w:val="nil"/>
              <w:tr2bl w:val="nil"/>
            </w:tcBorders>
            <w:shd w:val="clear" w:color="auto" w:fill="auto"/>
            <w:noWrap/>
            <w:vAlign w:val="center"/>
          </w:tcPr>
          <w:p w14:paraId="5057878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0.005L</w:t>
            </w:r>
          </w:p>
        </w:tc>
        <w:tc>
          <w:tcPr>
            <w:tcW w:w="414" w:type="pct"/>
            <w:tcBorders>
              <w:tl2br w:val="nil"/>
              <w:tr2bl w:val="nil"/>
            </w:tcBorders>
            <w:shd w:val="clear" w:color="auto" w:fill="auto"/>
            <w:noWrap/>
            <w:vAlign w:val="center"/>
          </w:tcPr>
          <w:p w14:paraId="5B31917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421" w:type="pct"/>
            <w:tcBorders>
              <w:tl2br w:val="nil"/>
              <w:tr2bl w:val="nil"/>
            </w:tcBorders>
            <w:shd w:val="clear" w:color="auto" w:fill="auto"/>
            <w:noWrap/>
            <w:vAlign w:val="center"/>
          </w:tcPr>
          <w:p w14:paraId="1B9B241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404" w:type="pct"/>
            <w:tcBorders>
              <w:tl2br w:val="nil"/>
              <w:tr2bl w:val="nil"/>
            </w:tcBorders>
            <w:shd w:val="clear" w:color="auto" w:fill="auto"/>
            <w:noWrap/>
            <w:vAlign w:val="center"/>
          </w:tcPr>
          <w:p w14:paraId="4EAF324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391" w:type="pct"/>
            <w:tcBorders>
              <w:tl2br w:val="nil"/>
              <w:tr2bl w:val="nil"/>
            </w:tcBorders>
            <w:shd w:val="clear" w:color="auto" w:fill="auto"/>
            <w:noWrap/>
            <w:vAlign w:val="center"/>
          </w:tcPr>
          <w:p w14:paraId="0C1E9AE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457" w:type="pct"/>
            <w:tcBorders>
              <w:tl2br w:val="nil"/>
              <w:tr2bl w:val="nil"/>
            </w:tcBorders>
            <w:shd w:val="clear" w:color="auto" w:fill="auto"/>
            <w:noWrap/>
            <w:vAlign w:val="center"/>
          </w:tcPr>
          <w:p w14:paraId="6AC55A9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0.05L</w:t>
            </w:r>
          </w:p>
        </w:tc>
        <w:tc>
          <w:tcPr>
            <w:tcW w:w="402" w:type="pct"/>
            <w:tcBorders>
              <w:tl2br w:val="nil"/>
              <w:tr2bl w:val="nil"/>
            </w:tcBorders>
            <w:shd w:val="clear" w:color="auto" w:fill="auto"/>
            <w:noWrap/>
            <w:vAlign w:val="center"/>
          </w:tcPr>
          <w:p w14:paraId="72D064B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1.0</w:t>
            </w:r>
          </w:p>
        </w:tc>
        <w:tc>
          <w:tcPr>
            <w:tcW w:w="402" w:type="pct"/>
            <w:tcBorders>
              <w:tl2br w:val="nil"/>
              <w:tr2bl w:val="nil"/>
            </w:tcBorders>
            <w:shd w:val="clear" w:color="auto" w:fill="auto"/>
            <w:noWrap/>
            <w:vAlign w:val="center"/>
          </w:tcPr>
          <w:p w14:paraId="2A18B87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是</w:t>
            </w:r>
          </w:p>
        </w:tc>
      </w:tr>
    </w:tbl>
    <w:p w14:paraId="107FC209">
      <w:pPr>
        <w:bidi w:val="0"/>
        <w:rPr>
          <w:rFonts w:hint="default"/>
          <w:highlight w:val="none"/>
          <w:lang w:eastAsia="zh-CN"/>
        </w:rPr>
      </w:pPr>
      <w:r>
        <w:rPr>
          <w:rFonts w:hint="default"/>
          <w:lang w:eastAsia="zh-CN"/>
        </w:rPr>
        <w:t>从上表地下水水质监</w:t>
      </w:r>
      <w:r>
        <w:rPr>
          <w:rFonts w:hint="default"/>
          <w:highlight w:val="none"/>
          <w:lang w:eastAsia="zh-CN"/>
        </w:rPr>
        <w:t>测结果可知，各水质监测点监测因子均能达到《地下水质量标准》（GB/T14848-2017）Ⅲ类水质标准。</w:t>
      </w:r>
    </w:p>
    <w:p w14:paraId="6618C33D">
      <w:pPr>
        <w:bidi w:val="0"/>
        <w:rPr>
          <w:rFonts w:hint="default"/>
          <w:highlight w:val="none"/>
          <w:lang w:eastAsia="zh-CN"/>
        </w:rPr>
        <w:sectPr>
          <w:pgSz w:w="16840" w:h="11907"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0849CE49">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声环境质量</w:t>
      </w:r>
      <w:bookmarkEnd w:id="144"/>
    </w:p>
    <w:p w14:paraId="5048BC8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布设</w:t>
      </w:r>
      <w:r>
        <w:rPr>
          <w:rFonts w:hint="eastAsia" w:ascii="Times New Roman" w:hAnsi="Times New Roman" w:cs="Times New Roman"/>
          <w:color w:val="auto"/>
          <w:highlight w:val="none"/>
          <w:u w:val="none" w:color="auto"/>
          <w:lang w:val="en-US" w:eastAsia="zh-CN"/>
        </w:rPr>
        <w:t>4</w:t>
      </w:r>
      <w:r>
        <w:rPr>
          <w:rFonts w:hint="default" w:ascii="Times New Roman" w:hAnsi="Times New Roman" w:cs="Times New Roman"/>
          <w:color w:val="auto"/>
          <w:highlight w:val="none"/>
          <w:u w:val="none" w:color="auto"/>
        </w:rPr>
        <w:t>个声环境采样点：</w:t>
      </w:r>
    </w:p>
    <w:p w14:paraId="4B348C09">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5.3-11</w:t>
      </w:r>
      <w:r>
        <w:rPr>
          <w:rFonts w:hint="default" w:ascii="Times New Roman" w:hAnsi="Times New Roman" w:cs="Times New Roman"/>
          <w:color w:val="auto"/>
          <w:highlight w:val="none"/>
          <w:u w:val="none" w:color="auto"/>
        </w:rPr>
        <w:t xml:space="preserve">  噪声监测布点表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2"/>
        <w:gridCol w:w="1105"/>
        <w:gridCol w:w="3075"/>
        <w:gridCol w:w="3598"/>
      </w:tblGrid>
      <w:tr w14:paraId="067AB6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5" w:type="pct"/>
            <w:vMerge w:val="restart"/>
            <w:noWrap w:val="0"/>
            <w:vAlign w:val="center"/>
          </w:tcPr>
          <w:p w14:paraId="085E145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点</w:t>
            </w:r>
          </w:p>
          <w:p w14:paraId="2F5A313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位</w:t>
            </w:r>
          </w:p>
          <w:p w14:paraId="07E3CAE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布</w:t>
            </w:r>
          </w:p>
          <w:p w14:paraId="2F56087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置</w:t>
            </w:r>
          </w:p>
        </w:tc>
        <w:tc>
          <w:tcPr>
            <w:tcW w:w="648" w:type="pct"/>
            <w:noWrap w:val="0"/>
            <w:vAlign w:val="center"/>
          </w:tcPr>
          <w:p w14:paraId="0FB00C4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编号</w:t>
            </w:r>
          </w:p>
        </w:tc>
        <w:tc>
          <w:tcPr>
            <w:tcW w:w="1804" w:type="pct"/>
            <w:noWrap w:val="0"/>
            <w:vAlign w:val="center"/>
          </w:tcPr>
          <w:p w14:paraId="6799A35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点位名称</w:t>
            </w:r>
          </w:p>
        </w:tc>
        <w:tc>
          <w:tcPr>
            <w:tcW w:w="2111" w:type="pct"/>
            <w:noWrap w:val="0"/>
            <w:vAlign w:val="center"/>
          </w:tcPr>
          <w:p w14:paraId="308A5A8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方位距离</w:t>
            </w:r>
          </w:p>
        </w:tc>
      </w:tr>
      <w:tr w14:paraId="67053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4173337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48" w:type="pct"/>
            <w:noWrap w:val="0"/>
            <w:vAlign w:val="center"/>
          </w:tcPr>
          <w:p w14:paraId="742D805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N1</w:t>
            </w:r>
          </w:p>
        </w:tc>
        <w:tc>
          <w:tcPr>
            <w:tcW w:w="1804" w:type="pct"/>
            <w:noWrap w:val="0"/>
            <w:vAlign w:val="center"/>
          </w:tcPr>
          <w:p w14:paraId="00296C8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厂界东面外1m</w:t>
            </w:r>
          </w:p>
        </w:tc>
        <w:tc>
          <w:tcPr>
            <w:tcW w:w="2111" w:type="pct"/>
            <w:noWrap w:val="0"/>
            <w:vAlign w:val="center"/>
          </w:tcPr>
          <w:p w14:paraId="281BAB1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厂界东面外1m</w:t>
            </w:r>
          </w:p>
        </w:tc>
      </w:tr>
      <w:tr w14:paraId="144EE2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4619D96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48" w:type="pct"/>
            <w:noWrap w:val="0"/>
            <w:vAlign w:val="center"/>
          </w:tcPr>
          <w:p w14:paraId="7CC148A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N2</w:t>
            </w:r>
          </w:p>
        </w:tc>
        <w:tc>
          <w:tcPr>
            <w:tcW w:w="1804" w:type="pct"/>
            <w:noWrap w:val="0"/>
            <w:vAlign w:val="center"/>
          </w:tcPr>
          <w:p w14:paraId="42ADD45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厂界南面外1m</w:t>
            </w:r>
          </w:p>
        </w:tc>
        <w:tc>
          <w:tcPr>
            <w:tcW w:w="2111" w:type="pct"/>
            <w:noWrap w:val="0"/>
            <w:vAlign w:val="center"/>
          </w:tcPr>
          <w:p w14:paraId="0B98F17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厂界南面外1m</w:t>
            </w:r>
          </w:p>
        </w:tc>
      </w:tr>
      <w:tr w14:paraId="7EA01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2D2D658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48" w:type="pct"/>
            <w:noWrap w:val="0"/>
            <w:vAlign w:val="center"/>
          </w:tcPr>
          <w:p w14:paraId="565D59C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N3</w:t>
            </w:r>
          </w:p>
        </w:tc>
        <w:tc>
          <w:tcPr>
            <w:tcW w:w="1804" w:type="pct"/>
            <w:noWrap w:val="0"/>
            <w:vAlign w:val="center"/>
          </w:tcPr>
          <w:p w14:paraId="138FDE6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厂界西面外1m</w:t>
            </w:r>
          </w:p>
        </w:tc>
        <w:tc>
          <w:tcPr>
            <w:tcW w:w="2111" w:type="pct"/>
            <w:noWrap w:val="0"/>
            <w:vAlign w:val="center"/>
          </w:tcPr>
          <w:p w14:paraId="2185E20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厂界西面外1m</w:t>
            </w:r>
          </w:p>
        </w:tc>
      </w:tr>
      <w:tr w14:paraId="5C1E42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5" w:type="pct"/>
            <w:vMerge w:val="continue"/>
            <w:noWrap w:val="0"/>
            <w:vAlign w:val="center"/>
          </w:tcPr>
          <w:p w14:paraId="5D365A5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48" w:type="pct"/>
            <w:noWrap w:val="0"/>
            <w:vAlign w:val="center"/>
          </w:tcPr>
          <w:p w14:paraId="43A5FFC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N4</w:t>
            </w:r>
          </w:p>
        </w:tc>
        <w:tc>
          <w:tcPr>
            <w:tcW w:w="1804" w:type="pct"/>
            <w:noWrap w:val="0"/>
            <w:vAlign w:val="center"/>
          </w:tcPr>
          <w:p w14:paraId="5BBC8F5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厂界北面外1m</w:t>
            </w:r>
          </w:p>
        </w:tc>
        <w:tc>
          <w:tcPr>
            <w:tcW w:w="2111" w:type="pct"/>
            <w:noWrap w:val="0"/>
            <w:vAlign w:val="center"/>
          </w:tcPr>
          <w:p w14:paraId="39D8724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厂界北面外1m</w:t>
            </w:r>
          </w:p>
        </w:tc>
      </w:tr>
    </w:tbl>
    <w:p w14:paraId="5895E0A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2、监测项目和监测时间</w:t>
      </w:r>
    </w:p>
    <w:p w14:paraId="116B9EC8">
      <w:pPr>
        <w:ind w:firstLine="48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eastAsia="zh-CN"/>
        </w:rPr>
        <w:t>湖南乾诚检测有限公司</w:t>
      </w:r>
      <w:r>
        <w:rPr>
          <w:rFonts w:hint="default" w:ascii="Times New Roman" w:hAnsi="Times New Roman" w:cs="Times New Roman"/>
          <w:color w:val="auto"/>
          <w:highlight w:val="none"/>
          <w:u w:val="none" w:color="auto"/>
        </w:rPr>
        <w:t>于20</w:t>
      </w:r>
      <w:r>
        <w:rPr>
          <w:rFonts w:hint="default" w:ascii="Times New Roman" w:hAnsi="Times New Roman" w:cs="Times New Roman"/>
          <w:color w:val="auto"/>
          <w:highlight w:val="none"/>
          <w:u w:val="none" w:color="auto"/>
          <w:lang w:val="en-US" w:eastAsia="zh-CN"/>
        </w:rPr>
        <w:t>23</w:t>
      </w:r>
      <w:r>
        <w:rPr>
          <w:rFonts w:hint="default" w:ascii="Times New Roman" w:hAnsi="Times New Roman" w:cs="Times New Roman"/>
          <w:color w:val="auto"/>
          <w:highlight w:val="none"/>
          <w:u w:val="none" w:color="auto"/>
        </w:rPr>
        <w:t>年</w:t>
      </w:r>
      <w:r>
        <w:rPr>
          <w:rFonts w:hint="default" w:ascii="Times New Roman" w:hAnsi="Times New Roman" w:cs="Times New Roman"/>
          <w:color w:val="auto"/>
          <w:highlight w:val="none"/>
          <w:u w:val="none" w:color="auto"/>
          <w:lang w:val="en-US" w:eastAsia="zh-CN"/>
        </w:rPr>
        <w:t>12</w:t>
      </w:r>
      <w:r>
        <w:rPr>
          <w:rFonts w:hint="default" w:ascii="Times New Roman" w:hAnsi="Times New Roman" w:cs="Times New Roman"/>
          <w:color w:val="auto"/>
          <w:highlight w:val="none"/>
          <w:u w:val="none" w:color="auto"/>
        </w:rPr>
        <w:t>月</w:t>
      </w:r>
      <w:r>
        <w:rPr>
          <w:rFonts w:hint="default" w:ascii="Times New Roman" w:hAnsi="Times New Roman" w:cs="Times New Roman"/>
          <w:color w:val="auto"/>
          <w:highlight w:val="none"/>
          <w:u w:val="none" w:color="auto"/>
          <w:lang w:val="en-US" w:eastAsia="zh-CN"/>
        </w:rPr>
        <w:t>19</w:t>
      </w:r>
      <w:r>
        <w:rPr>
          <w:rFonts w:hint="default" w:ascii="Times New Roman" w:hAnsi="Times New Roman" w:cs="Times New Roman"/>
          <w:color w:val="auto"/>
          <w:highlight w:val="none"/>
          <w:u w:val="none" w:color="auto"/>
        </w:rPr>
        <w:t>日至</w:t>
      </w:r>
      <w:r>
        <w:rPr>
          <w:rFonts w:hint="default" w:ascii="Times New Roman" w:hAnsi="Times New Roman" w:cs="Times New Roman"/>
          <w:color w:val="auto"/>
          <w:highlight w:val="none"/>
          <w:u w:val="none" w:color="auto"/>
          <w:lang w:val="en-US" w:eastAsia="zh-CN"/>
        </w:rPr>
        <w:t>20</w:t>
      </w:r>
      <w:r>
        <w:rPr>
          <w:rFonts w:hint="default" w:ascii="Times New Roman" w:hAnsi="Times New Roman" w:cs="Times New Roman"/>
          <w:color w:val="auto"/>
          <w:highlight w:val="none"/>
          <w:u w:val="none" w:color="auto"/>
        </w:rPr>
        <w:t>日进行了现场监测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昼间、夜间各采样一次。</w:t>
      </w:r>
    </w:p>
    <w:p w14:paraId="047CAAE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3、监测方法</w:t>
      </w:r>
    </w:p>
    <w:p w14:paraId="0CEC478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按《声环境质量标准》（GB3096-2008）规定的方法和要求进行。</w:t>
      </w:r>
    </w:p>
    <w:p w14:paraId="768F982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4、监测结果</w:t>
      </w:r>
    </w:p>
    <w:p w14:paraId="5C81B6D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监测结果统计于下表</w:t>
      </w:r>
      <w:r>
        <w:rPr>
          <w:rFonts w:hint="eastAsia" w:ascii="Times New Roman" w:hAnsi="Times New Roman" w:cs="Times New Roman"/>
          <w:color w:val="auto"/>
          <w:highlight w:val="none"/>
          <w:u w:val="none" w:color="auto"/>
          <w:lang w:val="en-US" w:eastAsia="zh-CN"/>
        </w:rPr>
        <w:t>5.3-12</w:t>
      </w:r>
      <w:r>
        <w:rPr>
          <w:rFonts w:hint="default" w:ascii="Times New Roman" w:hAnsi="Times New Roman" w:cs="Times New Roman"/>
          <w:color w:val="auto"/>
          <w:highlight w:val="none"/>
          <w:u w:val="none" w:color="auto"/>
        </w:rPr>
        <w:t>：</w:t>
      </w:r>
    </w:p>
    <w:p w14:paraId="4F324129">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5.3-12</w:t>
      </w:r>
      <w:r>
        <w:rPr>
          <w:rFonts w:hint="default" w:ascii="Times New Roman" w:hAnsi="Times New Roman" w:cs="Times New Roman"/>
          <w:color w:val="auto"/>
          <w:highlight w:val="none"/>
          <w:u w:val="none" w:color="auto"/>
        </w:rPr>
        <w:t xml:space="preserve">   声环境质量监测与评价结果</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64" w:type="dxa"/>
          <w:bottom w:w="0" w:type="dxa"/>
          <w:right w:w="51" w:type="dxa"/>
        </w:tblCellMar>
      </w:tblPr>
      <w:tblGrid>
        <w:gridCol w:w="1945"/>
        <w:gridCol w:w="1123"/>
        <w:gridCol w:w="762"/>
        <w:gridCol w:w="777"/>
        <w:gridCol w:w="762"/>
        <w:gridCol w:w="797"/>
        <w:gridCol w:w="762"/>
        <w:gridCol w:w="789"/>
        <w:gridCol w:w="802"/>
      </w:tblGrid>
      <w:tr w14:paraId="591401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772" w:hRule="atLeast"/>
        </w:trPr>
        <w:tc>
          <w:tcPr>
            <w:tcW w:w="1142" w:type="pct"/>
            <w:vMerge w:val="restart"/>
            <w:tcBorders>
              <w:tl2br w:val="nil"/>
              <w:tr2bl w:val="nil"/>
            </w:tcBorders>
            <w:noWrap w:val="0"/>
            <w:vAlign w:val="center"/>
          </w:tcPr>
          <w:p w14:paraId="10A110B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点位名称</w:t>
            </w:r>
          </w:p>
        </w:tc>
        <w:tc>
          <w:tcPr>
            <w:tcW w:w="659" w:type="pct"/>
            <w:vMerge w:val="restart"/>
            <w:tcBorders>
              <w:tl2br w:val="nil"/>
              <w:tr2bl w:val="nil"/>
            </w:tcBorders>
            <w:noWrap w:val="0"/>
            <w:vAlign w:val="center"/>
          </w:tcPr>
          <w:p w14:paraId="4C1B879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监测内容</w:t>
            </w:r>
          </w:p>
        </w:tc>
        <w:tc>
          <w:tcPr>
            <w:tcW w:w="1818" w:type="pct"/>
            <w:gridSpan w:val="4"/>
            <w:tcBorders>
              <w:tl2br w:val="nil"/>
              <w:tr2bl w:val="nil"/>
            </w:tcBorders>
            <w:noWrap w:val="0"/>
            <w:vAlign w:val="center"/>
          </w:tcPr>
          <w:p w14:paraId="2661A55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检测结果</w:t>
            </w:r>
          </w:p>
          <w:p w14:paraId="7854A56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dB（A）</w:t>
            </w:r>
          </w:p>
        </w:tc>
        <w:tc>
          <w:tcPr>
            <w:tcW w:w="1379" w:type="pct"/>
            <w:gridSpan w:val="3"/>
            <w:vMerge w:val="restart"/>
            <w:tcBorders>
              <w:tl2br w:val="nil"/>
              <w:tr2bl w:val="nil"/>
            </w:tcBorders>
            <w:noWrap w:val="0"/>
            <w:vAlign w:val="center"/>
          </w:tcPr>
          <w:p w14:paraId="089BD25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标准限值</w:t>
            </w:r>
          </w:p>
        </w:tc>
      </w:tr>
      <w:tr w14:paraId="4B4D8D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489" w:hRule="atLeast"/>
        </w:trPr>
        <w:tc>
          <w:tcPr>
            <w:tcW w:w="1142" w:type="pct"/>
            <w:vMerge w:val="continue"/>
            <w:tcBorders>
              <w:tl2br w:val="nil"/>
              <w:tr2bl w:val="nil"/>
            </w:tcBorders>
            <w:noWrap w:val="0"/>
            <w:vAlign w:val="center"/>
          </w:tcPr>
          <w:p w14:paraId="3102BC1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59" w:type="pct"/>
            <w:vMerge w:val="continue"/>
            <w:tcBorders>
              <w:tl2br w:val="nil"/>
              <w:tr2bl w:val="nil"/>
            </w:tcBorders>
            <w:noWrap w:val="0"/>
            <w:vAlign w:val="center"/>
          </w:tcPr>
          <w:p w14:paraId="1D58DD8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903" w:type="pct"/>
            <w:gridSpan w:val="2"/>
            <w:tcBorders>
              <w:tl2br w:val="nil"/>
              <w:tr2bl w:val="nil"/>
            </w:tcBorders>
            <w:noWrap w:val="0"/>
            <w:vAlign w:val="center"/>
          </w:tcPr>
          <w:p w14:paraId="6AAEACE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2025.02.19</w:t>
            </w:r>
          </w:p>
        </w:tc>
        <w:tc>
          <w:tcPr>
            <w:tcW w:w="915" w:type="pct"/>
            <w:gridSpan w:val="2"/>
            <w:tcBorders>
              <w:tl2br w:val="nil"/>
              <w:tr2bl w:val="nil"/>
            </w:tcBorders>
            <w:noWrap w:val="0"/>
            <w:vAlign w:val="center"/>
          </w:tcPr>
          <w:p w14:paraId="0EA5E15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2025.02.20</w:t>
            </w:r>
          </w:p>
        </w:tc>
        <w:tc>
          <w:tcPr>
            <w:tcW w:w="1379" w:type="pct"/>
            <w:gridSpan w:val="3"/>
            <w:vMerge w:val="continue"/>
            <w:tcBorders>
              <w:tl2br w:val="nil"/>
              <w:tr2bl w:val="nil"/>
            </w:tcBorders>
            <w:noWrap w:val="0"/>
            <w:vAlign w:val="center"/>
          </w:tcPr>
          <w:p w14:paraId="68D2920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r>
      <w:tr w14:paraId="337DAB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489" w:hRule="atLeast"/>
        </w:trPr>
        <w:tc>
          <w:tcPr>
            <w:tcW w:w="1142" w:type="pct"/>
            <w:vMerge w:val="continue"/>
            <w:tcBorders>
              <w:tl2br w:val="nil"/>
              <w:tr2bl w:val="nil"/>
            </w:tcBorders>
            <w:noWrap w:val="0"/>
            <w:vAlign w:val="center"/>
          </w:tcPr>
          <w:p w14:paraId="2CB92EF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59" w:type="pct"/>
            <w:vMerge w:val="continue"/>
            <w:tcBorders>
              <w:tl2br w:val="nil"/>
              <w:tr2bl w:val="nil"/>
            </w:tcBorders>
            <w:noWrap w:val="0"/>
            <w:vAlign w:val="center"/>
          </w:tcPr>
          <w:p w14:paraId="0B0E2ED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447" w:type="pct"/>
            <w:tcBorders>
              <w:tl2br w:val="nil"/>
              <w:tr2bl w:val="nil"/>
            </w:tcBorders>
            <w:noWrap w:val="0"/>
            <w:vAlign w:val="center"/>
          </w:tcPr>
          <w:p w14:paraId="40770FA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昼间</w:t>
            </w:r>
          </w:p>
        </w:tc>
        <w:tc>
          <w:tcPr>
            <w:tcW w:w="456" w:type="pct"/>
            <w:tcBorders>
              <w:tl2br w:val="nil"/>
              <w:tr2bl w:val="nil"/>
            </w:tcBorders>
            <w:noWrap w:val="0"/>
            <w:vAlign w:val="center"/>
          </w:tcPr>
          <w:p w14:paraId="568C1D4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夜</w:t>
            </w:r>
            <w:r>
              <w:rPr>
                <w:rFonts w:hint="default" w:ascii="Times New Roman" w:hAnsi="Times New Roman" w:cs="Times New Roman"/>
                <w:highlight w:val="none"/>
              </w:rPr>
              <w:t>间</w:t>
            </w:r>
          </w:p>
        </w:tc>
        <w:tc>
          <w:tcPr>
            <w:tcW w:w="447" w:type="pct"/>
            <w:tcBorders>
              <w:tl2br w:val="nil"/>
              <w:tr2bl w:val="nil"/>
            </w:tcBorders>
            <w:noWrap w:val="0"/>
            <w:vAlign w:val="center"/>
          </w:tcPr>
          <w:p w14:paraId="6367A61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昼间</w:t>
            </w:r>
          </w:p>
        </w:tc>
        <w:tc>
          <w:tcPr>
            <w:tcW w:w="467" w:type="pct"/>
            <w:tcBorders>
              <w:tl2br w:val="nil"/>
              <w:tr2bl w:val="nil"/>
            </w:tcBorders>
            <w:noWrap w:val="0"/>
            <w:vAlign w:val="center"/>
          </w:tcPr>
          <w:p w14:paraId="53159C1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夜</w:t>
            </w:r>
            <w:r>
              <w:rPr>
                <w:rFonts w:hint="default" w:ascii="Times New Roman" w:hAnsi="Times New Roman" w:cs="Times New Roman"/>
                <w:highlight w:val="none"/>
              </w:rPr>
              <w:t>间</w:t>
            </w:r>
          </w:p>
        </w:tc>
        <w:tc>
          <w:tcPr>
            <w:tcW w:w="447" w:type="pct"/>
            <w:tcBorders>
              <w:tl2br w:val="nil"/>
              <w:tr2bl w:val="nil"/>
            </w:tcBorders>
            <w:noWrap w:val="0"/>
            <w:vAlign w:val="center"/>
          </w:tcPr>
          <w:p w14:paraId="7967786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eastAsia="zh-CN"/>
              </w:rPr>
            </w:pPr>
            <w:r>
              <w:rPr>
                <w:rFonts w:hint="default" w:ascii="Times New Roman" w:hAnsi="Times New Roman" w:cs="Times New Roman"/>
                <w:highlight w:val="none"/>
              </w:rPr>
              <w:t>昼间</w:t>
            </w:r>
          </w:p>
        </w:tc>
        <w:tc>
          <w:tcPr>
            <w:tcW w:w="463" w:type="pct"/>
            <w:tcBorders>
              <w:tl2br w:val="nil"/>
              <w:tr2bl w:val="nil"/>
            </w:tcBorders>
            <w:noWrap w:val="0"/>
            <w:vAlign w:val="center"/>
          </w:tcPr>
          <w:p w14:paraId="661849D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夜</w:t>
            </w:r>
            <w:r>
              <w:rPr>
                <w:rFonts w:hint="default" w:ascii="Times New Roman" w:hAnsi="Times New Roman" w:cs="Times New Roman"/>
                <w:highlight w:val="none"/>
              </w:rPr>
              <w:t>间</w:t>
            </w:r>
          </w:p>
        </w:tc>
        <w:tc>
          <w:tcPr>
            <w:tcW w:w="468" w:type="pct"/>
            <w:tcBorders>
              <w:tl2br w:val="nil"/>
              <w:tr2bl w:val="nil"/>
            </w:tcBorders>
            <w:noWrap w:val="0"/>
            <w:vAlign w:val="center"/>
          </w:tcPr>
          <w:p w14:paraId="0468CC5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是否达标</w:t>
            </w:r>
          </w:p>
        </w:tc>
      </w:tr>
      <w:tr w14:paraId="286E9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598" w:hRule="atLeast"/>
        </w:trPr>
        <w:tc>
          <w:tcPr>
            <w:tcW w:w="1142" w:type="pct"/>
            <w:tcBorders>
              <w:tl2br w:val="nil"/>
              <w:tr2bl w:val="nil"/>
            </w:tcBorders>
            <w:noWrap w:val="0"/>
            <w:vAlign w:val="center"/>
          </w:tcPr>
          <w:p w14:paraId="087A57C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厂界东面外1m N1</w:t>
            </w:r>
          </w:p>
        </w:tc>
        <w:tc>
          <w:tcPr>
            <w:tcW w:w="659" w:type="pct"/>
            <w:vMerge w:val="restart"/>
            <w:tcBorders>
              <w:tl2br w:val="nil"/>
              <w:tr2bl w:val="nil"/>
            </w:tcBorders>
            <w:noWrap w:val="0"/>
            <w:vAlign w:val="center"/>
          </w:tcPr>
          <w:p w14:paraId="347062D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声环境</w:t>
            </w:r>
          </w:p>
        </w:tc>
        <w:tc>
          <w:tcPr>
            <w:tcW w:w="763" w:type="dxa"/>
            <w:tcBorders>
              <w:tl2br w:val="nil"/>
              <w:tr2bl w:val="nil"/>
            </w:tcBorders>
            <w:noWrap w:val="0"/>
            <w:vAlign w:val="center"/>
          </w:tcPr>
          <w:p w14:paraId="137C5B99">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53.2</w:t>
            </w:r>
          </w:p>
        </w:tc>
        <w:tc>
          <w:tcPr>
            <w:tcW w:w="777" w:type="dxa"/>
            <w:tcBorders>
              <w:tl2br w:val="nil"/>
              <w:tr2bl w:val="nil"/>
            </w:tcBorders>
            <w:noWrap w:val="0"/>
            <w:vAlign w:val="center"/>
          </w:tcPr>
          <w:p w14:paraId="21C907A1">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42.1</w:t>
            </w:r>
          </w:p>
        </w:tc>
        <w:tc>
          <w:tcPr>
            <w:tcW w:w="763" w:type="dxa"/>
            <w:tcBorders>
              <w:tl2br w:val="nil"/>
              <w:tr2bl w:val="nil"/>
            </w:tcBorders>
            <w:noWrap w:val="0"/>
            <w:vAlign w:val="center"/>
          </w:tcPr>
          <w:p w14:paraId="675299C1">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52.4</w:t>
            </w:r>
          </w:p>
        </w:tc>
        <w:tc>
          <w:tcPr>
            <w:tcW w:w="796" w:type="dxa"/>
            <w:tcBorders>
              <w:tl2br w:val="nil"/>
              <w:tr2bl w:val="nil"/>
            </w:tcBorders>
            <w:noWrap w:val="0"/>
            <w:vAlign w:val="center"/>
          </w:tcPr>
          <w:p w14:paraId="6271C623">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43.1</w:t>
            </w:r>
          </w:p>
        </w:tc>
        <w:tc>
          <w:tcPr>
            <w:tcW w:w="447" w:type="pct"/>
            <w:tcBorders>
              <w:tl2br w:val="nil"/>
              <w:tr2bl w:val="nil"/>
            </w:tcBorders>
            <w:noWrap w:val="0"/>
            <w:vAlign w:val="center"/>
          </w:tcPr>
          <w:p w14:paraId="10F8E94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w:t>
            </w:r>
          </w:p>
        </w:tc>
        <w:tc>
          <w:tcPr>
            <w:tcW w:w="463" w:type="pct"/>
            <w:tcBorders>
              <w:tl2br w:val="nil"/>
              <w:tr2bl w:val="nil"/>
            </w:tcBorders>
            <w:noWrap w:val="0"/>
            <w:vAlign w:val="center"/>
          </w:tcPr>
          <w:p w14:paraId="2EBB40D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w:t>
            </w:r>
          </w:p>
        </w:tc>
        <w:tc>
          <w:tcPr>
            <w:tcW w:w="468" w:type="pct"/>
            <w:tcBorders>
              <w:tl2br w:val="nil"/>
              <w:tr2bl w:val="nil"/>
            </w:tcBorders>
            <w:noWrap w:val="0"/>
            <w:vAlign w:val="center"/>
          </w:tcPr>
          <w:p w14:paraId="615CF0C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是</w:t>
            </w:r>
          </w:p>
        </w:tc>
      </w:tr>
      <w:tr w14:paraId="75772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598" w:hRule="atLeast"/>
        </w:trPr>
        <w:tc>
          <w:tcPr>
            <w:tcW w:w="1142" w:type="pct"/>
            <w:tcBorders>
              <w:tl2br w:val="nil"/>
              <w:tr2bl w:val="nil"/>
            </w:tcBorders>
            <w:noWrap w:val="0"/>
            <w:vAlign w:val="center"/>
          </w:tcPr>
          <w:p w14:paraId="623622F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厂界南面外1m N2</w:t>
            </w:r>
          </w:p>
        </w:tc>
        <w:tc>
          <w:tcPr>
            <w:tcW w:w="659" w:type="pct"/>
            <w:vMerge w:val="continue"/>
            <w:tcBorders>
              <w:tl2br w:val="nil"/>
              <w:tr2bl w:val="nil"/>
            </w:tcBorders>
            <w:noWrap w:val="0"/>
            <w:vAlign w:val="center"/>
          </w:tcPr>
          <w:p w14:paraId="7FE0578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c>
          <w:tcPr>
            <w:tcW w:w="763" w:type="dxa"/>
            <w:tcBorders>
              <w:tl2br w:val="nil"/>
              <w:tr2bl w:val="nil"/>
            </w:tcBorders>
            <w:noWrap w:val="0"/>
            <w:vAlign w:val="center"/>
          </w:tcPr>
          <w:p w14:paraId="7FEFDC8D">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54.2</w:t>
            </w:r>
          </w:p>
        </w:tc>
        <w:tc>
          <w:tcPr>
            <w:tcW w:w="777" w:type="dxa"/>
            <w:tcBorders>
              <w:tl2br w:val="nil"/>
              <w:tr2bl w:val="nil"/>
            </w:tcBorders>
            <w:noWrap w:val="0"/>
            <w:vAlign w:val="center"/>
          </w:tcPr>
          <w:p w14:paraId="424D4527">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42.6</w:t>
            </w:r>
          </w:p>
        </w:tc>
        <w:tc>
          <w:tcPr>
            <w:tcW w:w="763" w:type="dxa"/>
            <w:tcBorders>
              <w:tl2br w:val="nil"/>
              <w:tr2bl w:val="nil"/>
            </w:tcBorders>
            <w:noWrap w:val="0"/>
            <w:vAlign w:val="center"/>
          </w:tcPr>
          <w:p w14:paraId="666BF0EE">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53.7</w:t>
            </w:r>
          </w:p>
        </w:tc>
        <w:tc>
          <w:tcPr>
            <w:tcW w:w="796" w:type="dxa"/>
            <w:tcBorders>
              <w:tl2br w:val="nil"/>
              <w:tr2bl w:val="nil"/>
            </w:tcBorders>
            <w:noWrap w:val="0"/>
            <w:vAlign w:val="center"/>
          </w:tcPr>
          <w:p w14:paraId="25F1C83D">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42.6</w:t>
            </w:r>
          </w:p>
        </w:tc>
        <w:tc>
          <w:tcPr>
            <w:tcW w:w="447" w:type="pct"/>
            <w:vMerge w:val="restart"/>
            <w:tcBorders>
              <w:tl2br w:val="nil"/>
              <w:tr2bl w:val="nil"/>
            </w:tcBorders>
            <w:noWrap w:val="0"/>
            <w:vAlign w:val="center"/>
          </w:tcPr>
          <w:p w14:paraId="645D078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w:t>
            </w:r>
          </w:p>
        </w:tc>
        <w:tc>
          <w:tcPr>
            <w:tcW w:w="463" w:type="pct"/>
            <w:vMerge w:val="restart"/>
            <w:tcBorders>
              <w:tl2br w:val="nil"/>
              <w:tr2bl w:val="nil"/>
            </w:tcBorders>
            <w:noWrap w:val="0"/>
            <w:vAlign w:val="center"/>
          </w:tcPr>
          <w:p w14:paraId="7F58D7E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w:t>
            </w:r>
          </w:p>
        </w:tc>
        <w:tc>
          <w:tcPr>
            <w:tcW w:w="468" w:type="pct"/>
            <w:tcBorders>
              <w:tl2br w:val="nil"/>
              <w:tr2bl w:val="nil"/>
            </w:tcBorders>
            <w:noWrap w:val="0"/>
            <w:vAlign w:val="center"/>
          </w:tcPr>
          <w:p w14:paraId="3F99113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是</w:t>
            </w:r>
          </w:p>
        </w:tc>
      </w:tr>
      <w:tr w14:paraId="3CD22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598" w:hRule="atLeast"/>
        </w:trPr>
        <w:tc>
          <w:tcPr>
            <w:tcW w:w="1142" w:type="pct"/>
            <w:tcBorders>
              <w:tl2br w:val="nil"/>
              <w:tr2bl w:val="nil"/>
            </w:tcBorders>
            <w:noWrap w:val="0"/>
            <w:vAlign w:val="center"/>
          </w:tcPr>
          <w:p w14:paraId="0142F91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厂界西面外1m N3</w:t>
            </w:r>
          </w:p>
        </w:tc>
        <w:tc>
          <w:tcPr>
            <w:tcW w:w="659" w:type="pct"/>
            <w:vMerge w:val="continue"/>
            <w:tcBorders>
              <w:tl2br w:val="nil"/>
              <w:tr2bl w:val="nil"/>
            </w:tcBorders>
            <w:noWrap w:val="0"/>
            <w:vAlign w:val="center"/>
          </w:tcPr>
          <w:p w14:paraId="15D7D90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c>
          <w:tcPr>
            <w:tcW w:w="763" w:type="dxa"/>
            <w:tcBorders>
              <w:tl2br w:val="nil"/>
              <w:tr2bl w:val="nil"/>
            </w:tcBorders>
            <w:noWrap w:val="0"/>
            <w:vAlign w:val="center"/>
          </w:tcPr>
          <w:p w14:paraId="5ECAE50E">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53.4</w:t>
            </w:r>
          </w:p>
        </w:tc>
        <w:tc>
          <w:tcPr>
            <w:tcW w:w="777" w:type="dxa"/>
            <w:tcBorders>
              <w:tl2br w:val="nil"/>
              <w:tr2bl w:val="nil"/>
            </w:tcBorders>
            <w:noWrap w:val="0"/>
            <w:vAlign w:val="center"/>
          </w:tcPr>
          <w:p w14:paraId="0FA6B715">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43.2</w:t>
            </w:r>
          </w:p>
        </w:tc>
        <w:tc>
          <w:tcPr>
            <w:tcW w:w="763" w:type="dxa"/>
            <w:tcBorders>
              <w:tl2br w:val="nil"/>
              <w:tr2bl w:val="nil"/>
            </w:tcBorders>
            <w:noWrap w:val="0"/>
            <w:vAlign w:val="center"/>
          </w:tcPr>
          <w:p w14:paraId="6D580C75">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52.6</w:t>
            </w:r>
          </w:p>
        </w:tc>
        <w:tc>
          <w:tcPr>
            <w:tcW w:w="796" w:type="dxa"/>
            <w:tcBorders>
              <w:tl2br w:val="nil"/>
              <w:tr2bl w:val="nil"/>
            </w:tcBorders>
            <w:noWrap w:val="0"/>
            <w:vAlign w:val="center"/>
          </w:tcPr>
          <w:p w14:paraId="497AD698">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41.5</w:t>
            </w:r>
          </w:p>
        </w:tc>
        <w:tc>
          <w:tcPr>
            <w:tcW w:w="447" w:type="pct"/>
            <w:vMerge w:val="continue"/>
            <w:tcBorders>
              <w:tl2br w:val="nil"/>
              <w:tr2bl w:val="nil"/>
            </w:tcBorders>
            <w:noWrap w:val="0"/>
            <w:vAlign w:val="center"/>
          </w:tcPr>
          <w:p w14:paraId="5540865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c>
          <w:tcPr>
            <w:tcW w:w="463" w:type="pct"/>
            <w:vMerge w:val="continue"/>
            <w:tcBorders>
              <w:tl2br w:val="nil"/>
              <w:tr2bl w:val="nil"/>
            </w:tcBorders>
            <w:noWrap w:val="0"/>
            <w:vAlign w:val="center"/>
          </w:tcPr>
          <w:p w14:paraId="41DC324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c>
          <w:tcPr>
            <w:tcW w:w="468" w:type="pct"/>
            <w:tcBorders>
              <w:tl2br w:val="nil"/>
              <w:tr2bl w:val="nil"/>
            </w:tcBorders>
            <w:noWrap w:val="0"/>
            <w:vAlign w:val="center"/>
          </w:tcPr>
          <w:p w14:paraId="2A58E71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是</w:t>
            </w:r>
          </w:p>
        </w:tc>
      </w:tr>
      <w:tr w14:paraId="1B8B7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598" w:hRule="atLeast"/>
        </w:trPr>
        <w:tc>
          <w:tcPr>
            <w:tcW w:w="1142" w:type="pct"/>
            <w:tcBorders>
              <w:tl2br w:val="nil"/>
              <w:tr2bl w:val="nil"/>
            </w:tcBorders>
            <w:noWrap w:val="0"/>
            <w:vAlign w:val="center"/>
          </w:tcPr>
          <w:p w14:paraId="2D7D767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厂界北面外1m N4</w:t>
            </w:r>
          </w:p>
        </w:tc>
        <w:tc>
          <w:tcPr>
            <w:tcW w:w="659" w:type="pct"/>
            <w:vMerge w:val="continue"/>
            <w:tcBorders>
              <w:tl2br w:val="nil"/>
              <w:tr2bl w:val="nil"/>
            </w:tcBorders>
            <w:noWrap w:val="0"/>
            <w:vAlign w:val="center"/>
          </w:tcPr>
          <w:p w14:paraId="5EF2FC9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p>
        </w:tc>
        <w:tc>
          <w:tcPr>
            <w:tcW w:w="763" w:type="dxa"/>
            <w:tcBorders>
              <w:tl2br w:val="nil"/>
              <w:tr2bl w:val="nil"/>
            </w:tcBorders>
            <w:noWrap w:val="0"/>
            <w:vAlign w:val="center"/>
          </w:tcPr>
          <w:p w14:paraId="14A861AC">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54.3</w:t>
            </w:r>
          </w:p>
        </w:tc>
        <w:tc>
          <w:tcPr>
            <w:tcW w:w="777" w:type="dxa"/>
            <w:tcBorders>
              <w:tl2br w:val="nil"/>
              <w:tr2bl w:val="nil"/>
            </w:tcBorders>
            <w:noWrap w:val="0"/>
            <w:vAlign w:val="center"/>
          </w:tcPr>
          <w:p w14:paraId="7A15B65F">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41.7</w:t>
            </w:r>
          </w:p>
        </w:tc>
        <w:tc>
          <w:tcPr>
            <w:tcW w:w="763" w:type="dxa"/>
            <w:tcBorders>
              <w:tl2br w:val="nil"/>
              <w:tr2bl w:val="nil"/>
            </w:tcBorders>
            <w:noWrap w:val="0"/>
            <w:vAlign w:val="center"/>
          </w:tcPr>
          <w:p w14:paraId="2E20CBDE">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54.1</w:t>
            </w:r>
          </w:p>
        </w:tc>
        <w:tc>
          <w:tcPr>
            <w:tcW w:w="796" w:type="dxa"/>
            <w:tcBorders>
              <w:tl2br w:val="nil"/>
              <w:tr2bl w:val="nil"/>
            </w:tcBorders>
            <w:noWrap w:val="0"/>
            <w:vAlign w:val="center"/>
          </w:tcPr>
          <w:p w14:paraId="5209FBA5">
            <w:pPr>
              <w:pStyle w:val="42"/>
              <w:keepNext w:val="0"/>
              <w:keepLines w:val="0"/>
              <w:suppressLineNumbers w:val="0"/>
              <w:bidi w:val="0"/>
              <w:spacing w:before="0" w:beforeAutospacing="0" w:after="0" w:afterAutospacing="0"/>
              <w:jc w:val="center"/>
              <w:rPr>
                <w:rFonts w:hint="default"/>
                <w:highlight w:val="none"/>
                <w:lang w:val="en-US" w:eastAsia="zh-CN"/>
              </w:rPr>
            </w:pPr>
            <w:r>
              <w:rPr>
                <w:rFonts w:hint="default"/>
                <w:highlight w:val="none"/>
              </w:rPr>
              <w:t>41.3</w:t>
            </w:r>
          </w:p>
        </w:tc>
        <w:tc>
          <w:tcPr>
            <w:tcW w:w="447" w:type="pct"/>
            <w:tcBorders>
              <w:tl2br w:val="nil"/>
              <w:tr2bl w:val="nil"/>
            </w:tcBorders>
            <w:noWrap w:val="0"/>
            <w:vAlign w:val="center"/>
          </w:tcPr>
          <w:p w14:paraId="2BFC075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70</w:t>
            </w:r>
          </w:p>
        </w:tc>
        <w:tc>
          <w:tcPr>
            <w:tcW w:w="463" w:type="pct"/>
            <w:tcBorders>
              <w:tl2br w:val="nil"/>
              <w:tr2bl w:val="nil"/>
            </w:tcBorders>
            <w:noWrap w:val="0"/>
            <w:vAlign w:val="center"/>
          </w:tcPr>
          <w:p w14:paraId="4343432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w:t>
            </w:r>
          </w:p>
        </w:tc>
        <w:tc>
          <w:tcPr>
            <w:tcW w:w="468" w:type="pct"/>
            <w:tcBorders>
              <w:tl2br w:val="nil"/>
              <w:tr2bl w:val="nil"/>
            </w:tcBorders>
            <w:noWrap w:val="0"/>
            <w:vAlign w:val="center"/>
          </w:tcPr>
          <w:p w14:paraId="14DD4FC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是</w:t>
            </w:r>
          </w:p>
        </w:tc>
      </w:tr>
      <w:tr w14:paraId="1BB606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708" w:hRule="atLeast"/>
        </w:trPr>
        <w:tc>
          <w:tcPr>
            <w:tcW w:w="5000" w:type="pct"/>
            <w:gridSpan w:val="9"/>
            <w:tcBorders>
              <w:tl2br w:val="nil"/>
              <w:tr2bl w:val="nil"/>
            </w:tcBorders>
            <w:noWrap w:val="0"/>
            <w:vAlign w:val="center"/>
          </w:tcPr>
          <w:p w14:paraId="11812CE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标准限值来源：N1、N2、N3、N4《声环境质量标准》（GB 3096-2008）3类标准限值</w:t>
            </w:r>
          </w:p>
        </w:tc>
      </w:tr>
    </w:tbl>
    <w:p w14:paraId="24370DB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由上表的声环境质量现状监测结果可知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项目厂界昼、夜噪声监测值均达到《声环境质量标准》（GB3096-2008）中</w:t>
      </w:r>
      <w:r>
        <w:rPr>
          <w:rFonts w:hint="default"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类标准</w:t>
      </w:r>
      <w:r>
        <w:rPr>
          <w:rFonts w:hint="default" w:ascii="Times New Roman" w:hAnsi="Times New Roman" w:cs="Times New Roman"/>
          <w:color w:val="auto"/>
          <w:highlight w:val="none"/>
          <w:u w:val="none" w:color="auto"/>
          <w:lang w:eastAsia="zh-CN"/>
        </w:rPr>
        <w:t>，项目</w:t>
      </w:r>
      <w:r>
        <w:rPr>
          <w:rFonts w:hint="default" w:ascii="Times New Roman" w:hAnsi="Times New Roman" w:cs="Times New Roman"/>
          <w:color w:val="auto"/>
          <w:highlight w:val="none"/>
          <w:u w:val="none" w:color="auto"/>
        </w:rPr>
        <w:t>所在区域声环境质量良好。</w:t>
      </w:r>
    </w:p>
    <w:p w14:paraId="2D5C061C">
      <w:pPr>
        <w:pStyle w:val="6"/>
        <w:rPr>
          <w:rFonts w:hint="default" w:ascii="Times New Roman" w:hAnsi="Times New Roman" w:cs="Times New Roman"/>
          <w:color w:val="auto"/>
          <w:highlight w:val="none"/>
          <w:u w:val="none" w:color="auto"/>
        </w:rPr>
      </w:pPr>
      <w:bookmarkStart w:id="147" w:name="_Toc12030"/>
      <w:r>
        <w:rPr>
          <w:rFonts w:hint="default" w:ascii="Times New Roman" w:hAnsi="Times New Roman" w:cs="Times New Roman"/>
          <w:color w:val="auto"/>
          <w:highlight w:val="none"/>
          <w:u w:val="none" w:color="auto"/>
        </w:rPr>
        <w:t>土壤环境质量</w:t>
      </w:r>
      <w:bookmarkEnd w:id="147"/>
    </w:p>
    <w:p w14:paraId="71E3DD0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1、监测布点</w:t>
      </w:r>
    </w:p>
    <w:p w14:paraId="580C6709">
      <w:pPr>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20</w:t>
      </w:r>
      <w:r>
        <w:rPr>
          <w:rFonts w:hint="default" w:ascii="Times New Roman" w:hAnsi="Times New Roman" w:cs="Times New Roman"/>
          <w:color w:val="auto"/>
          <w:highlight w:val="none"/>
          <w:u w:val="none" w:color="auto"/>
          <w:lang w:val="en-US" w:eastAsia="zh-CN"/>
        </w:rPr>
        <w:t>2</w:t>
      </w:r>
      <w:r>
        <w:rPr>
          <w:rFonts w:hint="eastAsia"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年</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月</w:t>
      </w:r>
      <w:r>
        <w:rPr>
          <w:rFonts w:hint="eastAsia" w:ascii="Times New Roman" w:hAnsi="Times New Roman" w:cs="Times New Roman"/>
          <w:color w:val="auto"/>
          <w:highlight w:val="none"/>
          <w:u w:val="none" w:color="auto"/>
          <w:lang w:val="en-US" w:eastAsia="zh-CN"/>
        </w:rPr>
        <w:t>24</w:t>
      </w:r>
      <w:r>
        <w:rPr>
          <w:rFonts w:hint="default" w:ascii="Times New Roman" w:hAnsi="Times New Roman" w:cs="Times New Roman"/>
          <w:color w:val="auto"/>
          <w:highlight w:val="none"/>
          <w:u w:val="none" w:color="auto"/>
        </w:rPr>
        <w:t>日</w:t>
      </w: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eastAsia="zh-CN"/>
        </w:rPr>
        <w:t>湖南乾诚检测有限公司</w:t>
      </w:r>
      <w:r>
        <w:rPr>
          <w:rFonts w:hint="default" w:ascii="Times New Roman" w:hAnsi="Times New Roman" w:cs="Times New Roman"/>
          <w:color w:val="auto"/>
          <w:highlight w:val="none"/>
          <w:u w:val="none" w:color="auto"/>
        </w:rPr>
        <w:t>在本项目所在区域进行土壤采样后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将样品送至</w:t>
      </w:r>
      <w:r>
        <w:rPr>
          <w:rFonts w:hint="eastAsia" w:ascii="Times New Roman" w:hAnsi="Times New Roman" w:cs="Times New Roman"/>
          <w:color w:val="auto"/>
          <w:highlight w:val="none"/>
          <w:u w:val="none" w:color="auto"/>
          <w:lang w:eastAsia="zh-CN"/>
        </w:rPr>
        <w:t>湖南乾诚检测有限公司</w:t>
      </w:r>
      <w:r>
        <w:rPr>
          <w:rFonts w:hint="default" w:ascii="Times New Roman" w:hAnsi="Times New Roman" w:cs="Times New Roman"/>
          <w:color w:val="auto"/>
          <w:highlight w:val="none"/>
          <w:u w:val="none" w:color="auto"/>
        </w:rPr>
        <w:t>进行检测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监测点位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场地内取</w:t>
      </w:r>
      <w:r>
        <w:rPr>
          <w:rFonts w:hint="eastAsia"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个表层样（0-0.2m）。</w:t>
      </w:r>
    </w:p>
    <w:p w14:paraId="3118F514">
      <w:pPr>
        <w:numPr>
          <w:ilvl w:val="0"/>
          <w:numId w:val="4"/>
        </w:num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监测项目</w:t>
      </w:r>
    </w:p>
    <w:p w14:paraId="0FBE0B64">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5.3-13</w:t>
      </w:r>
      <w:r>
        <w:rPr>
          <w:rFonts w:hint="default" w:ascii="Times New Roman" w:hAnsi="Times New Roman" w:cs="Times New Roman"/>
          <w:color w:val="auto"/>
          <w:highlight w:val="none"/>
          <w:u w:val="none" w:color="auto"/>
        </w:rPr>
        <w:t xml:space="preserve">  监测点位及监测因子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3147"/>
        <w:gridCol w:w="3685"/>
      </w:tblGrid>
      <w:tr w14:paraId="1F7FD5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1" w:type="dxa"/>
            <w:noWrap w:val="0"/>
            <w:vAlign w:val="center"/>
          </w:tcPr>
          <w:p w14:paraId="117F720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编号</w:t>
            </w:r>
          </w:p>
        </w:tc>
        <w:tc>
          <w:tcPr>
            <w:tcW w:w="3147" w:type="dxa"/>
            <w:noWrap w:val="0"/>
            <w:vAlign w:val="center"/>
          </w:tcPr>
          <w:p w14:paraId="5C176DB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监测点名称</w:t>
            </w:r>
          </w:p>
        </w:tc>
        <w:tc>
          <w:tcPr>
            <w:tcW w:w="3685" w:type="dxa"/>
            <w:noWrap w:val="0"/>
            <w:vAlign w:val="center"/>
          </w:tcPr>
          <w:p w14:paraId="1BCA523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监测因子</w:t>
            </w:r>
          </w:p>
        </w:tc>
      </w:tr>
      <w:tr w14:paraId="094CA3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1" w:type="dxa"/>
            <w:noWrap w:val="0"/>
            <w:vAlign w:val="center"/>
          </w:tcPr>
          <w:p w14:paraId="56650E0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T1</w:t>
            </w:r>
          </w:p>
        </w:tc>
        <w:tc>
          <w:tcPr>
            <w:tcW w:w="3147" w:type="dxa"/>
            <w:noWrap w:val="0"/>
            <w:vAlign w:val="center"/>
          </w:tcPr>
          <w:p w14:paraId="12457EC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厂址范围内表层样</w:t>
            </w:r>
            <w:r>
              <w:rPr>
                <w:rFonts w:hint="default" w:ascii="Times New Roman" w:hAnsi="Times New Roman" w:cs="Times New Roman"/>
                <w:highlight w:val="none"/>
                <w:lang w:val="en-US" w:eastAsia="zh-CN"/>
              </w:rPr>
              <w:t>1</w:t>
            </w:r>
          </w:p>
        </w:tc>
        <w:tc>
          <w:tcPr>
            <w:tcW w:w="3685" w:type="dxa"/>
            <w:noWrap w:val="0"/>
            <w:vAlign w:val="center"/>
          </w:tcPr>
          <w:p w14:paraId="6912AC7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测45项基本因子</w:t>
            </w:r>
            <w:r>
              <w:rPr>
                <w:rFonts w:hint="default" w:ascii="Times New Roman" w:hAnsi="Times New Roman" w:cs="Times New Roman"/>
                <w:highlight w:val="none"/>
                <w:lang w:val="en-US" w:eastAsia="zh-CN"/>
              </w:rPr>
              <w:t>+石油烃类</w:t>
            </w:r>
          </w:p>
        </w:tc>
      </w:tr>
      <w:tr w14:paraId="119DE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1" w:type="dxa"/>
            <w:noWrap w:val="0"/>
            <w:vAlign w:val="center"/>
          </w:tcPr>
          <w:p w14:paraId="40EB38A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T2</w:t>
            </w:r>
          </w:p>
        </w:tc>
        <w:tc>
          <w:tcPr>
            <w:tcW w:w="3147" w:type="dxa"/>
            <w:noWrap w:val="0"/>
            <w:vAlign w:val="center"/>
          </w:tcPr>
          <w:p w14:paraId="0EFCA1F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厂址范围内表层样</w:t>
            </w:r>
            <w:r>
              <w:rPr>
                <w:rFonts w:hint="default" w:ascii="Times New Roman" w:hAnsi="Times New Roman" w:cs="Times New Roman"/>
                <w:highlight w:val="none"/>
                <w:lang w:val="en-US" w:eastAsia="zh-CN"/>
              </w:rPr>
              <w:t>2</w:t>
            </w:r>
          </w:p>
        </w:tc>
        <w:tc>
          <w:tcPr>
            <w:tcW w:w="3685" w:type="dxa"/>
            <w:vMerge w:val="restart"/>
            <w:noWrap w:val="0"/>
            <w:vAlign w:val="center"/>
          </w:tcPr>
          <w:p w14:paraId="2994A1E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lang w:eastAsia="zh-CN"/>
              </w:rPr>
              <w:t>pH值</w:t>
            </w:r>
            <w:r>
              <w:rPr>
                <w:rFonts w:hint="eastAsia" w:cs="Times New Roman"/>
                <w:highlight w:val="none"/>
                <w:lang w:eastAsia="zh-CN"/>
              </w:rPr>
              <w:t>、</w:t>
            </w:r>
            <w:r>
              <w:rPr>
                <w:rFonts w:hint="default" w:ascii="Times New Roman" w:hAnsi="Times New Roman" w:cs="Times New Roman"/>
                <w:highlight w:val="none"/>
                <w:lang w:eastAsia="zh-CN"/>
              </w:rPr>
              <w:t>砷</w:t>
            </w:r>
            <w:r>
              <w:rPr>
                <w:rFonts w:hint="eastAsia" w:cs="Times New Roman"/>
                <w:highlight w:val="none"/>
                <w:lang w:eastAsia="zh-CN"/>
              </w:rPr>
              <w:t>、</w:t>
            </w:r>
            <w:r>
              <w:rPr>
                <w:rFonts w:hint="default" w:ascii="Times New Roman" w:hAnsi="Times New Roman" w:cs="Times New Roman"/>
                <w:highlight w:val="none"/>
                <w:lang w:eastAsia="zh-CN"/>
              </w:rPr>
              <w:t>镉</w:t>
            </w:r>
            <w:r>
              <w:rPr>
                <w:rFonts w:hint="eastAsia" w:cs="Times New Roman"/>
                <w:highlight w:val="none"/>
                <w:lang w:eastAsia="zh-CN"/>
              </w:rPr>
              <w:t>、</w:t>
            </w:r>
            <w:r>
              <w:rPr>
                <w:rFonts w:hint="default" w:ascii="Times New Roman" w:hAnsi="Times New Roman" w:cs="Times New Roman"/>
                <w:highlight w:val="none"/>
                <w:lang w:eastAsia="zh-CN"/>
              </w:rPr>
              <w:t>六价铬</w:t>
            </w:r>
            <w:r>
              <w:rPr>
                <w:rFonts w:hint="eastAsia" w:cs="Times New Roman"/>
                <w:highlight w:val="none"/>
                <w:lang w:eastAsia="zh-CN"/>
              </w:rPr>
              <w:t>、</w:t>
            </w:r>
            <w:r>
              <w:rPr>
                <w:rFonts w:hint="default" w:ascii="Times New Roman" w:hAnsi="Times New Roman" w:cs="Times New Roman"/>
                <w:highlight w:val="none"/>
                <w:lang w:eastAsia="zh-CN"/>
              </w:rPr>
              <w:t>铜</w:t>
            </w:r>
            <w:r>
              <w:rPr>
                <w:rFonts w:hint="eastAsia" w:cs="Times New Roman"/>
                <w:highlight w:val="none"/>
                <w:lang w:eastAsia="zh-CN"/>
              </w:rPr>
              <w:t>、</w:t>
            </w:r>
            <w:r>
              <w:rPr>
                <w:rFonts w:hint="default" w:ascii="Times New Roman" w:hAnsi="Times New Roman" w:cs="Times New Roman"/>
                <w:highlight w:val="none"/>
                <w:lang w:eastAsia="zh-CN"/>
              </w:rPr>
              <w:t>铅</w:t>
            </w:r>
            <w:r>
              <w:rPr>
                <w:rFonts w:hint="eastAsia" w:cs="Times New Roman"/>
                <w:highlight w:val="none"/>
                <w:lang w:eastAsia="zh-CN"/>
              </w:rPr>
              <w:t>、</w:t>
            </w:r>
            <w:r>
              <w:rPr>
                <w:rFonts w:hint="default" w:ascii="Times New Roman" w:hAnsi="Times New Roman" w:cs="Times New Roman"/>
                <w:highlight w:val="none"/>
                <w:lang w:eastAsia="zh-CN"/>
              </w:rPr>
              <w:t>汞</w:t>
            </w:r>
            <w:r>
              <w:rPr>
                <w:rFonts w:hint="eastAsia" w:cs="Times New Roman"/>
                <w:highlight w:val="none"/>
                <w:lang w:eastAsia="zh-CN"/>
              </w:rPr>
              <w:t>、</w:t>
            </w:r>
            <w:r>
              <w:rPr>
                <w:rFonts w:hint="default" w:ascii="Times New Roman" w:hAnsi="Times New Roman" w:cs="Times New Roman"/>
                <w:highlight w:val="none"/>
                <w:lang w:eastAsia="zh-CN"/>
              </w:rPr>
              <w:t>镍</w:t>
            </w:r>
          </w:p>
        </w:tc>
      </w:tr>
      <w:tr w14:paraId="36C500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1" w:type="dxa"/>
            <w:noWrap w:val="0"/>
            <w:vAlign w:val="center"/>
          </w:tcPr>
          <w:p w14:paraId="68D79D81">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default" w:ascii="Times New Roman" w:hAnsi="Times New Roman" w:cs="Times New Roman"/>
                <w:highlight w:val="none"/>
              </w:rPr>
              <w:t>T3</w:t>
            </w:r>
          </w:p>
        </w:tc>
        <w:tc>
          <w:tcPr>
            <w:tcW w:w="3147" w:type="dxa"/>
            <w:noWrap w:val="0"/>
            <w:vAlign w:val="center"/>
          </w:tcPr>
          <w:p w14:paraId="4F6BF9A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rPr>
            </w:pPr>
            <w:r>
              <w:rPr>
                <w:rFonts w:hint="default" w:ascii="Times New Roman" w:hAnsi="Times New Roman" w:cs="Times New Roman"/>
                <w:highlight w:val="none"/>
                <w:lang w:eastAsia="zh-CN"/>
              </w:rPr>
              <w:t>厂址范围内表层样</w:t>
            </w:r>
            <w:r>
              <w:rPr>
                <w:rFonts w:hint="eastAsia" w:cs="Times New Roman"/>
                <w:highlight w:val="none"/>
                <w:lang w:val="en-US" w:eastAsia="zh-CN"/>
              </w:rPr>
              <w:t>3</w:t>
            </w:r>
          </w:p>
        </w:tc>
        <w:tc>
          <w:tcPr>
            <w:tcW w:w="3685" w:type="dxa"/>
            <w:vMerge w:val="continue"/>
            <w:noWrap w:val="0"/>
            <w:vAlign w:val="center"/>
          </w:tcPr>
          <w:p w14:paraId="591BF9F6">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r>
    </w:tbl>
    <w:p w14:paraId="43F6093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3、监测时间与采样频次</w:t>
      </w:r>
    </w:p>
    <w:p w14:paraId="21C44713">
      <w:pPr>
        <w:ind w:firstLine="480"/>
        <w:rPr>
          <w:rFonts w:hint="default" w:ascii="Times New Roman" w:hAnsi="Times New Roman" w:cs="Times New Roman"/>
          <w:color w:val="auto"/>
          <w:kern w:val="0"/>
          <w:highlight w:val="none"/>
          <w:u w:val="none" w:color="auto"/>
        </w:rPr>
      </w:pPr>
      <w:r>
        <w:rPr>
          <w:rFonts w:hint="eastAsia" w:ascii="Times New Roman" w:hAnsi="Times New Roman" w:cs="Times New Roman"/>
          <w:color w:val="auto"/>
          <w:highlight w:val="none"/>
          <w:u w:val="none" w:color="auto"/>
          <w:lang w:eastAsia="zh-CN"/>
        </w:rPr>
        <w:t>湖南乾诚检测有限公司</w:t>
      </w:r>
      <w:r>
        <w:rPr>
          <w:rFonts w:hint="default" w:ascii="Times New Roman" w:hAnsi="Times New Roman" w:cs="Times New Roman"/>
          <w:color w:val="auto"/>
          <w:kern w:val="0"/>
          <w:highlight w:val="none"/>
          <w:u w:val="none" w:color="auto"/>
        </w:rPr>
        <w:t>于20</w:t>
      </w:r>
      <w:r>
        <w:rPr>
          <w:rFonts w:hint="default" w:ascii="Times New Roman" w:hAnsi="Times New Roman" w:cs="Times New Roman"/>
          <w:color w:val="auto"/>
          <w:kern w:val="0"/>
          <w:highlight w:val="none"/>
          <w:u w:val="none" w:color="auto"/>
          <w:lang w:val="en-US" w:eastAsia="zh-CN"/>
        </w:rPr>
        <w:t>2</w:t>
      </w:r>
      <w:r>
        <w:rPr>
          <w:rFonts w:hint="eastAsia" w:ascii="Times New Roman" w:hAnsi="Times New Roman" w:cs="Times New Roman"/>
          <w:color w:val="auto"/>
          <w:kern w:val="0"/>
          <w:highlight w:val="none"/>
          <w:u w:val="none" w:color="auto"/>
          <w:lang w:val="en-US" w:eastAsia="zh-CN"/>
        </w:rPr>
        <w:t>5</w:t>
      </w:r>
      <w:r>
        <w:rPr>
          <w:rFonts w:hint="default" w:ascii="Times New Roman" w:hAnsi="Times New Roman" w:cs="Times New Roman"/>
          <w:color w:val="auto"/>
          <w:kern w:val="0"/>
          <w:highlight w:val="none"/>
          <w:u w:val="none" w:color="auto"/>
        </w:rPr>
        <w:t>年</w:t>
      </w:r>
      <w:r>
        <w:rPr>
          <w:rFonts w:hint="eastAsia" w:ascii="Times New Roman" w:hAnsi="Times New Roman" w:cs="Times New Roman"/>
          <w:color w:val="auto"/>
          <w:kern w:val="0"/>
          <w:highlight w:val="none"/>
          <w:u w:val="none" w:color="auto"/>
          <w:lang w:val="en-US" w:eastAsia="zh-CN"/>
        </w:rPr>
        <w:t>2</w:t>
      </w:r>
      <w:r>
        <w:rPr>
          <w:rFonts w:hint="default" w:ascii="Times New Roman" w:hAnsi="Times New Roman" w:cs="Times New Roman"/>
          <w:color w:val="auto"/>
          <w:kern w:val="0"/>
          <w:highlight w:val="none"/>
          <w:u w:val="none" w:color="auto"/>
        </w:rPr>
        <w:t>月</w:t>
      </w:r>
      <w:r>
        <w:rPr>
          <w:rFonts w:hint="eastAsia" w:ascii="Times New Roman" w:hAnsi="Times New Roman" w:cs="Times New Roman"/>
          <w:color w:val="auto"/>
          <w:kern w:val="0"/>
          <w:highlight w:val="none"/>
          <w:u w:val="none" w:color="auto"/>
          <w:lang w:val="en-US" w:eastAsia="zh-CN"/>
        </w:rPr>
        <w:t>24</w:t>
      </w:r>
      <w:r>
        <w:rPr>
          <w:rFonts w:hint="default" w:ascii="Times New Roman" w:hAnsi="Times New Roman" w:cs="Times New Roman"/>
          <w:color w:val="auto"/>
          <w:kern w:val="0"/>
          <w:highlight w:val="none"/>
          <w:u w:val="none" w:color="auto"/>
        </w:rPr>
        <w:t>日</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监测1天</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监测一次。</w:t>
      </w:r>
    </w:p>
    <w:p w14:paraId="03D0049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4、评价标准及评价方法</w:t>
      </w:r>
    </w:p>
    <w:p w14:paraId="328834DC">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（1）评价标准</w:t>
      </w:r>
    </w:p>
    <w:p w14:paraId="33248FD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土壤环境质量执行《土壤环境质量建设用地土壤污染风险管控标准（试行）》（GB36600-2018）风险筛选值中的第二类用地</w:t>
      </w:r>
      <w:r>
        <w:rPr>
          <w:rFonts w:hint="default" w:ascii="Times New Roman" w:hAnsi="Times New Roman" w:cs="Times New Roman"/>
          <w:color w:val="auto"/>
          <w:highlight w:val="none"/>
          <w:u w:val="none" w:color="auto"/>
          <w:lang w:eastAsia="zh-CN"/>
        </w:rPr>
        <w:t>；农用地执行《土壤环境质量 农用地土壤污 染风险管控标准》（试行）（GB15618-2018）标准。</w:t>
      </w:r>
    </w:p>
    <w:p w14:paraId="21FB8C2C">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（2）评价方法</w:t>
      </w:r>
    </w:p>
    <w:p w14:paraId="4BFE8E9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各监测点的监测值与评价标准限值进行比较。</w:t>
      </w:r>
    </w:p>
    <w:p w14:paraId="3FC32F3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5、监测结果及分析</w:t>
      </w:r>
    </w:p>
    <w:p w14:paraId="06C1959B">
      <w:pPr>
        <w:ind w:firstLine="480"/>
        <w:rPr>
          <w:rFonts w:hint="default" w:ascii="Times New Roman" w:hAnsi="Times New Roman" w:cs="Times New Roman"/>
          <w:bCs/>
          <w:color w:val="auto"/>
          <w:kern w:val="0"/>
          <w:highlight w:val="none"/>
          <w:u w:val="none" w:color="auto"/>
        </w:rPr>
      </w:pPr>
      <w:r>
        <w:rPr>
          <w:rFonts w:hint="default" w:ascii="Times New Roman" w:hAnsi="Times New Roman" w:cs="Times New Roman"/>
          <w:bCs/>
          <w:color w:val="auto"/>
          <w:kern w:val="0"/>
          <w:highlight w:val="none"/>
          <w:u w:val="none" w:color="auto"/>
        </w:rPr>
        <w:t>土壤现状评价结果见表</w:t>
      </w:r>
      <w:r>
        <w:rPr>
          <w:rFonts w:hint="eastAsia" w:ascii="Times New Roman" w:hAnsi="Times New Roman" w:cs="Times New Roman"/>
          <w:bCs/>
          <w:color w:val="auto"/>
          <w:kern w:val="0"/>
          <w:highlight w:val="none"/>
          <w:u w:val="none" w:color="auto"/>
          <w:lang w:val="en-US" w:eastAsia="zh-CN"/>
        </w:rPr>
        <w:t>5.3-14</w:t>
      </w:r>
      <w:r>
        <w:rPr>
          <w:rFonts w:hint="default" w:ascii="Times New Roman" w:hAnsi="Times New Roman" w:cs="Times New Roman"/>
          <w:bCs/>
          <w:color w:val="auto"/>
          <w:kern w:val="0"/>
          <w:highlight w:val="none"/>
          <w:u w:val="none" w:color="auto"/>
        </w:rPr>
        <w:t>。</w:t>
      </w:r>
    </w:p>
    <w:p w14:paraId="3C52B513">
      <w:pPr>
        <w:pStyle w:val="39"/>
        <w:bidi w:val="0"/>
        <w:rPr>
          <w:rFonts w:hint="default" w:ascii="Times New Roman" w:hAnsi="Times New Roman" w:cs="Times New Roman"/>
          <w:highlight w:val="none"/>
        </w:rPr>
      </w:pPr>
      <w:r>
        <w:rPr>
          <w:rFonts w:hint="default" w:ascii="Times New Roman" w:hAnsi="Times New Roman" w:cs="Times New Roman"/>
          <w:highlight w:val="none"/>
        </w:rPr>
        <w:t>表</w:t>
      </w:r>
      <w:r>
        <w:rPr>
          <w:rFonts w:hint="eastAsia" w:cs="Times New Roman"/>
          <w:highlight w:val="none"/>
          <w:lang w:val="en-US" w:eastAsia="zh-CN"/>
        </w:rPr>
        <w:t>5.3-14</w:t>
      </w:r>
      <w:r>
        <w:rPr>
          <w:rFonts w:hint="default" w:ascii="Times New Roman" w:hAnsi="Times New Roman" w:cs="Times New Roman"/>
          <w:highlight w:val="none"/>
        </w:rPr>
        <w:t xml:space="preserve">   土壤监测环境监测结果表</w:t>
      </w:r>
    </w:p>
    <w:tbl>
      <w:tblPr>
        <w:tblStyle w:val="51"/>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66"/>
        <w:gridCol w:w="1741"/>
        <w:gridCol w:w="611"/>
        <w:gridCol w:w="522"/>
        <w:gridCol w:w="1046"/>
        <w:gridCol w:w="647"/>
        <w:gridCol w:w="934"/>
        <w:gridCol w:w="937"/>
        <w:gridCol w:w="926"/>
      </w:tblGrid>
      <w:tr w14:paraId="58F1D0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80" w:type="pct"/>
            <w:tcBorders>
              <w:tl2br w:val="nil"/>
              <w:tr2bl w:val="nil"/>
            </w:tcBorders>
            <w:vAlign w:val="center"/>
          </w:tcPr>
          <w:p w14:paraId="4ED9A79A">
            <w:pPr>
              <w:pStyle w:val="42"/>
              <w:bidi w:val="0"/>
              <w:jc w:val="center"/>
              <w:rPr>
                <w:highlight w:val="none"/>
              </w:rPr>
            </w:pPr>
            <w:r>
              <w:rPr>
                <w:highlight w:val="none"/>
              </w:rPr>
              <w:t>采样时间</w:t>
            </w:r>
          </w:p>
        </w:tc>
        <w:tc>
          <w:tcPr>
            <w:tcW w:w="1044" w:type="pct"/>
            <w:tcBorders>
              <w:tl2br w:val="nil"/>
              <w:tr2bl w:val="nil"/>
            </w:tcBorders>
            <w:vAlign w:val="center"/>
          </w:tcPr>
          <w:p w14:paraId="639B3D87">
            <w:pPr>
              <w:pStyle w:val="42"/>
              <w:bidi w:val="0"/>
              <w:jc w:val="center"/>
              <w:rPr>
                <w:highlight w:val="none"/>
              </w:rPr>
            </w:pPr>
            <w:r>
              <w:rPr>
                <w:highlight w:val="none"/>
              </w:rPr>
              <w:t>采样点位</w:t>
            </w:r>
          </w:p>
        </w:tc>
        <w:tc>
          <w:tcPr>
            <w:tcW w:w="366" w:type="pct"/>
            <w:tcBorders>
              <w:tl2br w:val="nil"/>
              <w:tr2bl w:val="nil"/>
            </w:tcBorders>
            <w:vAlign w:val="center"/>
          </w:tcPr>
          <w:p w14:paraId="4341C103">
            <w:pPr>
              <w:pStyle w:val="42"/>
              <w:bidi w:val="0"/>
              <w:jc w:val="center"/>
              <w:rPr>
                <w:highlight w:val="none"/>
              </w:rPr>
            </w:pPr>
            <w:r>
              <w:rPr>
                <w:highlight w:val="none"/>
              </w:rPr>
              <w:t>采样</w:t>
            </w:r>
          </w:p>
          <w:p w14:paraId="7CAC0CD9">
            <w:pPr>
              <w:pStyle w:val="42"/>
              <w:bidi w:val="0"/>
              <w:jc w:val="center"/>
              <w:rPr>
                <w:highlight w:val="none"/>
              </w:rPr>
            </w:pPr>
            <w:r>
              <w:rPr>
                <w:highlight w:val="none"/>
              </w:rPr>
              <w:t>深度</w:t>
            </w:r>
          </w:p>
        </w:tc>
        <w:tc>
          <w:tcPr>
            <w:tcW w:w="940" w:type="pct"/>
            <w:gridSpan w:val="2"/>
            <w:tcBorders>
              <w:tl2br w:val="nil"/>
              <w:tr2bl w:val="nil"/>
            </w:tcBorders>
            <w:vAlign w:val="center"/>
          </w:tcPr>
          <w:p w14:paraId="005BEA11">
            <w:pPr>
              <w:pStyle w:val="42"/>
              <w:bidi w:val="0"/>
              <w:jc w:val="center"/>
              <w:rPr>
                <w:highlight w:val="none"/>
              </w:rPr>
            </w:pPr>
            <w:r>
              <w:rPr>
                <w:highlight w:val="none"/>
              </w:rPr>
              <w:t>检测项目</w:t>
            </w:r>
          </w:p>
        </w:tc>
        <w:tc>
          <w:tcPr>
            <w:tcW w:w="388" w:type="pct"/>
            <w:tcBorders>
              <w:tl2br w:val="nil"/>
              <w:tr2bl w:val="nil"/>
            </w:tcBorders>
            <w:vAlign w:val="center"/>
          </w:tcPr>
          <w:p w14:paraId="3497DFF8">
            <w:pPr>
              <w:pStyle w:val="42"/>
              <w:bidi w:val="0"/>
              <w:jc w:val="center"/>
              <w:rPr>
                <w:highlight w:val="none"/>
              </w:rPr>
            </w:pPr>
            <w:r>
              <w:rPr>
                <w:highlight w:val="none"/>
              </w:rPr>
              <w:t>单位</w:t>
            </w:r>
          </w:p>
        </w:tc>
        <w:tc>
          <w:tcPr>
            <w:tcW w:w="560" w:type="pct"/>
            <w:tcBorders>
              <w:tl2br w:val="nil"/>
              <w:tr2bl w:val="nil"/>
            </w:tcBorders>
            <w:vAlign w:val="center"/>
          </w:tcPr>
          <w:p w14:paraId="7CB092B8">
            <w:pPr>
              <w:pStyle w:val="42"/>
              <w:bidi w:val="0"/>
              <w:jc w:val="center"/>
              <w:rPr>
                <w:highlight w:val="none"/>
              </w:rPr>
            </w:pPr>
            <w:r>
              <w:rPr>
                <w:highlight w:val="none"/>
              </w:rPr>
              <w:t>检测结果</w:t>
            </w:r>
          </w:p>
        </w:tc>
        <w:tc>
          <w:tcPr>
            <w:tcW w:w="562" w:type="pct"/>
            <w:tcBorders>
              <w:tl2br w:val="nil"/>
              <w:tr2bl w:val="nil"/>
            </w:tcBorders>
            <w:vAlign w:val="center"/>
          </w:tcPr>
          <w:p w14:paraId="61C58FCA">
            <w:pPr>
              <w:pStyle w:val="42"/>
              <w:bidi w:val="0"/>
              <w:jc w:val="center"/>
              <w:rPr>
                <w:highlight w:val="none"/>
              </w:rPr>
            </w:pPr>
            <w:r>
              <w:rPr>
                <w:highlight w:val="none"/>
              </w:rPr>
              <w:t>筛选值</w:t>
            </w:r>
          </w:p>
        </w:tc>
        <w:tc>
          <w:tcPr>
            <w:tcW w:w="555" w:type="pct"/>
            <w:tcBorders>
              <w:tl2br w:val="nil"/>
              <w:tr2bl w:val="nil"/>
            </w:tcBorders>
            <w:vAlign w:val="center"/>
          </w:tcPr>
          <w:p w14:paraId="53A88F90">
            <w:pPr>
              <w:pStyle w:val="42"/>
              <w:bidi w:val="0"/>
              <w:jc w:val="center"/>
              <w:rPr>
                <w:rFonts w:hint="default" w:eastAsia="宋体"/>
                <w:highlight w:val="none"/>
                <w:lang w:val="en-US" w:eastAsia="zh-CN"/>
              </w:rPr>
            </w:pPr>
            <w:r>
              <w:rPr>
                <w:rFonts w:hint="eastAsia"/>
                <w:highlight w:val="none"/>
                <w:lang w:val="en-US" w:eastAsia="zh-CN"/>
              </w:rPr>
              <w:t>是否达标</w:t>
            </w:r>
          </w:p>
        </w:tc>
      </w:tr>
      <w:tr w14:paraId="1F97D5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restart"/>
            <w:tcBorders>
              <w:tl2br w:val="nil"/>
              <w:tr2bl w:val="nil"/>
            </w:tcBorders>
            <w:vAlign w:val="center"/>
          </w:tcPr>
          <w:p w14:paraId="428AA1B7">
            <w:pPr>
              <w:pStyle w:val="42"/>
              <w:bidi w:val="0"/>
              <w:jc w:val="center"/>
            </w:pPr>
            <w:r>
              <w:t>2025.02.24</w:t>
            </w:r>
          </w:p>
        </w:tc>
        <w:tc>
          <w:tcPr>
            <w:tcW w:w="1044" w:type="pct"/>
            <w:vMerge w:val="restart"/>
            <w:tcBorders>
              <w:tl2br w:val="nil"/>
              <w:tr2bl w:val="nil"/>
            </w:tcBorders>
            <w:vAlign w:val="center"/>
          </w:tcPr>
          <w:p w14:paraId="2325CD3C">
            <w:pPr>
              <w:pStyle w:val="42"/>
              <w:bidi w:val="0"/>
              <w:jc w:val="center"/>
            </w:pPr>
            <w:r>
              <w:t>T 1项目厂界内1#</w:t>
            </w:r>
          </w:p>
        </w:tc>
        <w:tc>
          <w:tcPr>
            <w:tcW w:w="366" w:type="pct"/>
            <w:vMerge w:val="restart"/>
            <w:tcBorders>
              <w:tl2br w:val="nil"/>
              <w:tr2bl w:val="nil"/>
            </w:tcBorders>
            <w:vAlign w:val="center"/>
          </w:tcPr>
          <w:p w14:paraId="6185BC9C">
            <w:pPr>
              <w:pStyle w:val="42"/>
              <w:bidi w:val="0"/>
              <w:jc w:val="center"/>
            </w:pPr>
            <w:r>
              <w:t>0-0.2m</w:t>
            </w:r>
          </w:p>
        </w:tc>
        <w:tc>
          <w:tcPr>
            <w:tcW w:w="940" w:type="pct"/>
            <w:gridSpan w:val="2"/>
            <w:tcBorders>
              <w:tl2br w:val="nil"/>
              <w:tr2bl w:val="nil"/>
            </w:tcBorders>
            <w:vAlign w:val="center"/>
          </w:tcPr>
          <w:p w14:paraId="09BC7EA2">
            <w:pPr>
              <w:pStyle w:val="42"/>
              <w:bidi w:val="0"/>
              <w:jc w:val="center"/>
            </w:pPr>
            <w:r>
              <w:t>砷</w:t>
            </w:r>
          </w:p>
        </w:tc>
        <w:tc>
          <w:tcPr>
            <w:tcW w:w="388" w:type="pct"/>
            <w:tcBorders>
              <w:tl2br w:val="nil"/>
              <w:tr2bl w:val="nil"/>
            </w:tcBorders>
            <w:vAlign w:val="center"/>
          </w:tcPr>
          <w:p w14:paraId="5D4BA771">
            <w:pPr>
              <w:pStyle w:val="42"/>
              <w:bidi w:val="0"/>
              <w:jc w:val="center"/>
            </w:pPr>
            <w:r>
              <w:t>mg/kg</w:t>
            </w:r>
          </w:p>
        </w:tc>
        <w:tc>
          <w:tcPr>
            <w:tcW w:w="560" w:type="pct"/>
            <w:tcBorders>
              <w:tl2br w:val="nil"/>
              <w:tr2bl w:val="nil"/>
            </w:tcBorders>
            <w:vAlign w:val="center"/>
          </w:tcPr>
          <w:p w14:paraId="1879B104">
            <w:pPr>
              <w:pStyle w:val="42"/>
              <w:bidi w:val="0"/>
              <w:jc w:val="center"/>
            </w:pPr>
            <w:r>
              <w:t>4.36</w:t>
            </w:r>
          </w:p>
        </w:tc>
        <w:tc>
          <w:tcPr>
            <w:tcW w:w="562" w:type="pct"/>
            <w:tcBorders>
              <w:tl2br w:val="nil"/>
              <w:tr2bl w:val="nil"/>
            </w:tcBorders>
            <w:vAlign w:val="center"/>
          </w:tcPr>
          <w:p w14:paraId="1E7DD740">
            <w:pPr>
              <w:pStyle w:val="42"/>
              <w:bidi w:val="0"/>
              <w:jc w:val="center"/>
            </w:pPr>
            <w:r>
              <w:t>60</w:t>
            </w:r>
          </w:p>
        </w:tc>
        <w:tc>
          <w:tcPr>
            <w:tcW w:w="555" w:type="pct"/>
            <w:tcBorders>
              <w:tl2br w:val="nil"/>
              <w:tr2bl w:val="nil"/>
            </w:tcBorders>
            <w:vAlign w:val="center"/>
          </w:tcPr>
          <w:p w14:paraId="6ABC9CC8">
            <w:pPr>
              <w:pStyle w:val="42"/>
              <w:bidi w:val="0"/>
              <w:jc w:val="center"/>
              <w:rPr>
                <w:rFonts w:hint="eastAsia" w:eastAsia="宋体"/>
                <w:lang w:val="en-US" w:eastAsia="zh-CN"/>
              </w:rPr>
            </w:pPr>
            <w:r>
              <w:rPr>
                <w:rFonts w:hint="eastAsia"/>
                <w:lang w:val="en-US" w:eastAsia="zh-CN"/>
              </w:rPr>
              <w:t>是</w:t>
            </w:r>
          </w:p>
        </w:tc>
      </w:tr>
      <w:tr w14:paraId="321EC6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1A018D5C">
            <w:pPr>
              <w:pStyle w:val="42"/>
              <w:bidi w:val="0"/>
              <w:jc w:val="center"/>
            </w:pPr>
          </w:p>
        </w:tc>
        <w:tc>
          <w:tcPr>
            <w:tcW w:w="1044" w:type="pct"/>
            <w:vMerge w:val="continue"/>
            <w:tcBorders>
              <w:tl2br w:val="nil"/>
              <w:tr2bl w:val="nil"/>
            </w:tcBorders>
            <w:vAlign w:val="center"/>
          </w:tcPr>
          <w:p w14:paraId="133B8E2F">
            <w:pPr>
              <w:pStyle w:val="42"/>
              <w:bidi w:val="0"/>
              <w:jc w:val="center"/>
            </w:pPr>
          </w:p>
        </w:tc>
        <w:tc>
          <w:tcPr>
            <w:tcW w:w="366" w:type="pct"/>
            <w:vMerge w:val="continue"/>
            <w:tcBorders>
              <w:tl2br w:val="nil"/>
              <w:tr2bl w:val="nil"/>
            </w:tcBorders>
            <w:vAlign w:val="center"/>
          </w:tcPr>
          <w:p w14:paraId="54E71C21">
            <w:pPr>
              <w:pStyle w:val="42"/>
              <w:bidi w:val="0"/>
              <w:jc w:val="center"/>
            </w:pPr>
          </w:p>
        </w:tc>
        <w:tc>
          <w:tcPr>
            <w:tcW w:w="940" w:type="pct"/>
            <w:gridSpan w:val="2"/>
            <w:tcBorders>
              <w:tl2br w:val="nil"/>
              <w:tr2bl w:val="nil"/>
            </w:tcBorders>
            <w:vAlign w:val="center"/>
          </w:tcPr>
          <w:p w14:paraId="6DAC1D46">
            <w:pPr>
              <w:pStyle w:val="42"/>
              <w:bidi w:val="0"/>
              <w:jc w:val="center"/>
            </w:pPr>
            <w:r>
              <w:t>镉</w:t>
            </w:r>
          </w:p>
        </w:tc>
        <w:tc>
          <w:tcPr>
            <w:tcW w:w="388" w:type="pct"/>
            <w:tcBorders>
              <w:tl2br w:val="nil"/>
              <w:tr2bl w:val="nil"/>
            </w:tcBorders>
            <w:vAlign w:val="center"/>
          </w:tcPr>
          <w:p w14:paraId="37ADA672">
            <w:pPr>
              <w:pStyle w:val="42"/>
              <w:bidi w:val="0"/>
              <w:jc w:val="center"/>
            </w:pPr>
            <w:r>
              <w:t>mg/kg</w:t>
            </w:r>
          </w:p>
        </w:tc>
        <w:tc>
          <w:tcPr>
            <w:tcW w:w="560" w:type="pct"/>
            <w:tcBorders>
              <w:tl2br w:val="nil"/>
              <w:tr2bl w:val="nil"/>
            </w:tcBorders>
            <w:vAlign w:val="center"/>
          </w:tcPr>
          <w:p w14:paraId="39D60CC7">
            <w:pPr>
              <w:pStyle w:val="42"/>
              <w:bidi w:val="0"/>
              <w:jc w:val="center"/>
            </w:pPr>
            <w:r>
              <w:t>0.12</w:t>
            </w:r>
          </w:p>
        </w:tc>
        <w:tc>
          <w:tcPr>
            <w:tcW w:w="562" w:type="pct"/>
            <w:tcBorders>
              <w:tl2br w:val="nil"/>
              <w:tr2bl w:val="nil"/>
            </w:tcBorders>
            <w:vAlign w:val="center"/>
          </w:tcPr>
          <w:p w14:paraId="1CBCCDBC">
            <w:pPr>
              <w:pStyle w:val="42"/>
              <w:bidi w:val="0"/>
              <w:jc w:val="center"/>
            </w:pPr>
            <w:r>
              <w:t>65</w:t>
            </w:r>
          </w:p>
        </w:tc>
        <w:tc>
          <w:tcPr>
            <w:tcW w:w="555" w:type="pct"/>
            <w:tcBorders>
              <w:tl2br w:val="nil"/>
              <w:tr2bl w:val="nil"/>
            </w:tcBorders>
            <w:vAlign w:val="center"/>
          </w:tcPr>
          <w:p w14:paraId="1DDC43F2">
            <w:pPr>
              <w:pStyle w:val="42"/>
              <w:bidi w:val="0"/>
              <w:jc w:val="center"/>
            </w:pPr>
            <w:r>
              <w:rPr>
                <w:rFonts w:hint="eastAsia"/>
                <w:lang w:val="en-US" w:eastAsia="zh-CN"/>
              </w:rPr>
              <w:t>是</w:t>
            </w:r>
          </w:p>
        </w:tc>
      </w:tr>
      <w:tr w14:paraId="779C59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0FC59AFB">
            <w:pPr>
              <w:pStyle w:val="42"/>
              <w:bidi w:val="0"/>
              <w:jc w:val="center"/>
            </w:pPr>
          </w:p>
        </w:tc>
        <w:tc>
          <w:tcPr>
            <w:tcW w:w="1044" w:type="pct"/>
            <w:vMerge w:val="continue"/>
            <w:tcBorders>
              <w:tl2br w:val="nil"/>
              <w:tr2bl w:val="nil"/>
            </w:tcBorders>
            <w:vAlign w:val="center"/>
          </w:tcPr>
          <w:p w14:paraId="502E8EA5">
            <w:pPr>
              <w:pStyle w:val="42"/>
              <w:bidi w:val="0"/>
              <w:jc w:val="center"/>
            </w:pPr>
          </w:p>
        </w:tc>
        <w:tc>
          <w:tcPr>
            <w:tcW w:w="366" w:type="pct"/>
            <w:vMerge w:val="continue"/>
            <w:tcBorders>
              <w:tl2br w:val="nil"/>
              <w:tr2bl w:val="nil"/>
            </w:tcBorders>
            <w:vAlign w:val="center"/>
          </w:tcPr>
          <w:p w14:paraId="3D65740F">
            <w:pPr>
              <w:pStyle w:val="42"/>
              <w:bidi w:val="0"/>
              <w:jc w:val="center"/>
            </w:pPr>
          </w:p>
        </w:tc>
        <w:tc>
          <w:tcPr>
            <w:tcW w:w="940" w:type="pct"/>
            <w:gridSpan w:val="2"/>
            <w:tcBorders>
              <w:tl2br w:val="nil"/>
              <w:tr2bl w:val="nil"/>
            </w:tcBorders>
            <w:vAlign w:val="center"/>
          </w:tcPr>
          <w:p w14:paraId="67C0BA85">
            <w:pPr>
              <w:pStyle w:val="42"/>
              <w:bidi w:val="0"/>
              <w:jc w:val="center"/>
            </w:pPr>
            <w:r>
              <w:t>汞</w:t>
            </w:r>
          </w:p>
        </w:tc>
        <w:tc>
          <w:tcPr>
            <w:tcW w:w="388" w:type="pct"/>
            <w:tcBorders>
              <w:tl2br w:val="nil"/>
              <w:tr2bl w:val="nil"/>
            </w:tcBorders>
            <w:vAlign w:val="center"/>
          </w:tcPr>
          <w:p w14:paraId="07940E8F">
            <w:pPr>
              <w:pStyle w:val="42"/>
              <w:bidi w:val="0"/>
              <w:jc w:val="center"/>
            </w:pPr>
            <w:r>
              <w:t>mg/kg</w:t>
            </w:r>
          </w:p>
        </w:tc>
        <w:tc>
          <w:tcPr>
            <w:tcW w:w="560" w:type="pct"/>
            <w:tcBorders>
              <w:tl2br w:val="nil"/>
              <w:tr2bl w:val="nil"/>
            </w:tcBorders>
            <w:vAlign w:val="center"/>
          </w:tcPr>
          <w:p w14:paraId="1A099657">
            <w:pPr>
              <w:pStyle w:val="42"/>
              <w:bidi w:val="0"/>
              <w:jc w:val="center"/>
              <w:rPr>
                <w:rFonts w:hint="default" w:eastAsia="宋体"/>
                <w:lang w:val="en-US" w:eastAsia="zh-CN"/>
              </w:rPr>
            </w:pPr>
            <w:r>
              <w:rPr>
                <w:rFonts w:hint="eastAsia"/>
                <w:lang w:val="en-US" w:eastAsia="zh-CN"/>
              </w:rPr>
              <w:t>0.153</w:t>
            </w:r>
          </w:p>
        </w:tc>
        <w:tc>
          <w:tcPr>
            <w:tcW w:w="562" w:type="pct"/>
            <w:tcBorders>
              <w:tl2br w:val="nil"/>
              <w:tr2bl w:val="nil"/>
            </w:tcBorders>
            <w:vAlign w:val="center"/>
          </w:tcPr>
          <w:p w14:paraId="1070C88E">
            <w:pPr>
              <w:pStyle w:val="42"/>
              <w:bidi w:val="0"/>
              <w:jc w:val="center"/>
            </w:pPr>
            <w:r>
              <w:t>38</w:t>
            </w:r>
          </w:p>
        </w:tc>
        <w:tc>
          <w:tcPr>
            <w:tcW w:w="555" w:type="pct"/>
            <w:tcBorders>
              <w:tl2br w:val="nil"/>
              <w:tr2bl w:val="nil"/>
            </w:tcBorders>
            <w:vAlign w:val="center"/>
          </w:tcPr>
          <w:p w14:paraId="60D71540">
            <w:pPr>
              <w:pStyle w:val="42"/>
              <w:bidi w:val="0"/>
              <w:jc w:val="center"/>
            </w:pPr>
            <w:r>
              <w:rPr>
                <w:rFonts w:hint="eastAsia"/>
                <w:lang w:val="en-US" w:eastAsia="zh-CN"/>
              </w:rPr>
              <w:t>是</w:t>
            </w:r>
          </w:p>
        </w:tc>
      </w:tr>
      <w:tr w14:paraId="108E37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7DB064B9">
            <w:pPr>
              <w:pStyle w:val="42"/>
              <w:bidi w:val="0"/>
              <w:jc w:val="center"/>
            </w:pPr>
          </w:p>
        </w:tc>
        <w:tc>
          <w:tcPr>
            <w:tcW w:w="1044" w:type="pct"/>
            <w:vMerge w:val="continue"/>
            <w:tcBorders>
              <w:tl2br w:val="nil"/>
              <w:tr2bl w:val="nil"/>
            </w:tcBorders>
            <w:vAlign w:val="center"/>
          </w:tcPr>
          <w:p w14:paraId="25C824F8">
            <w:pPr>
              <w:pStyle w:val="42"/>
              <w:bidi w:val="0"/>
              <w:jc w:val="center"/>
            </w:pPr>
          </w:p>
        </w:tc>
        <w:tc>
          <w:tcPr>
            <w:tcW w:w="366" w:type="pct"/>
            <w:vMerge w:val="continue"/>
            <w:tcBorders>
              <w:tl2br w:val="nil"/>
              <w:tr2bl w:val="nil"/>
            </w:tcBorders>
            <w:vAlign w:val="center"/>
          </w:tcPr>
          <w:p w14:paraId="420CDDF1">
            <w:pPr>
              <w:pStyle w:val="42"/>
              <w:bidi w:val="0"/>
              <w:jc w:val="center"/>
            </w:pPr>
          </w:p>
        </w:tc>
        <w:tc>
          <w:tcPr>
            <w:tcW w:w="940" w:type="pct"/>
            <w:gridSpan w:val="2"/>
            <w:tcBorders>
              <w:tl2br w:val="nil"/>
              <w:tr2bl w:val="nil"/>
            </w:tcBorders>
            <w:vAlign w:val="center"/>
          </w:tcPr>
          <w:p w14:paraId="247599DD">
            <w:pPr>
              <w:pStyle w:val="42"/>
              <w:bidi w:val="0"/>
              <w:jc w:val="center"/>
            </w:pPr>
            <w:r>
              <w:t>六价铬</w:t>
            </w:r>
          </w:p>
        </w:tc>
        <w:tc>
          <w:tcPr>
            <w:tcW w:w="388" w:type="pct"/>
            <w:tcBorders>
              <w:tl2br w:val="nil"/>
              <w:tr2bl w:val="nil"/>
            </w:tcBorders>
            <w:vAlign w:val="center"/>
          </w:tcPr>
          <w:p w14:paraId="34BF7436">
            <w:pPr>
              <w:pStyle w:val="42"/>
              <w:bidi w:val="0"/>
              <w:jc w:val="center"/>
            </w:pPr>
            <w:r>
              <w:t>mg/kg</w:t>
            </w:r>
          </w:p>
        </w:tc>
        <w:tc>
          <w:tcPr>
            <w:tcW w:w="560" w:type="pct"/>
            <w:tcBorders>
              <w:tl2br w:val="nil"/>
              <w:tr2bl w:val="nil"/>
            </w:tcBorders>
            <w:vAlign w:val="center"/>
          </w:tcPr>
          <w:p w14:paraId="539E3A91">
            <w:pPr>
              <w:pStyle w:val="42"/>
              <w:bidi w:val="0"/>
              <w:jc w:val="center"/>
            </w:pPr>
            <w:r>
              <w:t>0.5L</w:t>
            </w:r>
          </w:p>
        </w:tc>
        <w:tc>
          <w:tcPr>
            <w:tcW w:w="562" w:type="pct"/>
            <w:tcBorders>
              <w:tl2br w:val="nil"/>
              <w:tr2bl w:val="nil"/>
            </w:tcBorders>
            <w:vAlign w:val="center"/>
          </w:tcPr>
          <w:p w14:paraId="1484C461">
            <w:pPr>
              <w:pStyle w:val="42"/>
              <w:bidi w:val="0"/>
              <w:jc w:val="center"/>
            </w:pPr>
            <w:r>
              <w:t>5.7</w:t>
            </w:r>
          </w:p>
        </w:tc>
        <w:tc>
          <w:tcPr>
            <w:tcW w:w="555" w:type="pct"/>
            <w:tcBorders>
              <w:tl2br w:val="nil"/>
              <w:tr2bl w:val="nil"/>
            </w:tcBorders>
            <w:vAlign w:val="center"/>
          </w:tcPr>
          <w:p w14:paraId="1A89BA18">
            <w:pPr>
              <w:pStyle w:val="42"/>
              <w:bidi w:val="0"/>
              <w:jc w:val="center"/>
            </w:pPr>
            <w:r>
              <w:rPr>
                <w:rFonts w:hint="eastAsia"/>
                <w:lang w:val="en-US" w:eastAsia="zh-CN"/>
              </w:rPr>
              <w:t>是</w:t>
            </w:r>
          </w:p>
        </w:tc>
      </w:tr>
      <w:tr w14:paraId="770BD7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77C900D6">
            <w:pPr>
              <w:pStyle w:val="42"/>
              <w:bidi w:val="0"/>
              <w:jc w:val="center"/>
            </w:pPr>
          </w:p>
        </w:tc>
        <w:tc>
          <w:tcPr>
            <w:tcW w:w="1044" w:type="pct"/>
            <w:vMerge w:val="continue"/>
            <w:tcBorders>
              <w:tl2br w:val="nil"/>
              <w:tr2bl w:val="nil"/>
            </w:tcBorders>
            <w:vAlign w:val="center"/>
          </w:tcPr>
          <w:p w14:paraId="400B6915">
            <w:pPr>
              <w:pStyle w:val="42"/>
              <w:bidi w:val="0"/>
              <w:jc w:val="center"/>
            </w:pPr>
          </w:p>
        </w:tc>
        <w:tc>
          <w:tcPr>
            <w:tcW w:w="366" w:type="pct"/>
            <w:vMerge w:val="continue"/>
            <w:tcBorders>
              <w:tl2br w:val="nil"/>
              <w:tr2bl w:val="nil"/>
            </w:tcBorders>
            <w:vAlign w:val="center"/>
          </w:tcPr>
          <w:p w14:paraId="389D5CF9">
            <w:pPr>
              <w:pStyle w:val="42"/>
              <w:bidi w:val="0"/>
              <w:jc w:val="center"/>
            </w:pPr>
          </w:p>
        </w:tc>
        <w:tc>
          <w:tcPr>
            <w:tcW w:w="940" w:type="pct"/>
            <w:gridSpan w:val="2"/>
            <w:tcBorders>
              <w:tl2br w:val="nil"/>
              <w:tr2bl w:val="nil"/>
            </w:tcBorders>
            <w:vAlign w:val="center"/>
          </w:tcPr>
          <w:p w14:paraId="30BB4F48">
            <w:pPr>
              <w:pStyle w:val="42"/>
              <w:bidi w:val="0"/>
              <w:jc w:val="center"/>
            </w:pPr>
            <w:r>
              <w:t>铜</w:t>
            </w:r>
          </w:p>
        </w:tc>
        <w:tc>
          <w:tcPr>
            <w:tcW w:w="388" w:type="pct"/>
            <w:tcBorders>
              <w:tl2br w:val="nil"/>
              <w:tr2bl w:val="nil"/>
            </w:tcBorders>
            <w:vAlign w:val="center"/>
          </w:tcPr>
          <w:p w14:paraId="1EAD66D3">
            <w:pPr>
              <w:pStyle w:val="42"/>
              <w:bidi w:val="0"/>
              <w:jc w:val="center"/>
            </w:pPr>
            <w:r>
              <w:t>mg/kg</w:t>
            </w:r>
          </w:p>
        </w:tc>
        <w:tc>
          <w:tcPr>
            <w:tcW w:w="560" w:type="pct"/>
            <w:tcBorders>
              <w:tl2br w:val="nil"/>
              <w:tr2bl w:val="nil"/>
            </w:tcBorders>
            <w:vAlign w:val="center"/>
          </w:tcPr>
          <w:p w14:paraId="2DD97AC4">
            <w:pPr>
              <w:pStyle w:val="42"/>
              <w:bidi w:val="0"/>
              <w:jc w:val="center"/>
            </w:pPr>
            <w:r>
              <w:t>26</w:t>
            </w:r>
          </w:p>
        </w:tc>
        <w:tc>
          <w:tcPr>
            <w:tcW w:w="562" w:type="pct"/>
            <w:tcBorders>
              <w:tl2br w:val="nil"/>
              <w:tr2bl w:val="nil"/>
            </w:tcBorders>
            <w:vAlign w:val="center"/>
          </w:tcPr>
          <w:p w14:paraId="17C6C4AD">
            <w:pPr>
              <w:pStyle w:val="42"/>
              <w:bidi w:val="0"/>
              <w:jc w:val="center"/>
            </w:pPr>
            <w:r>
              <w:t>18000</w:t>
            </w:r>
          </w:p>
        </w:tc>
        <w:tc>
          <w:tcPr>
            <w:tcW w:w="555" w:type="pct"/>
            <w:tcBorders>
              <w:tl2br w:val="nil"/>
              <w:tr2bl w:val="nil"/>
            </w:tcBorders>
            <w:vAlign w:val="center"/>
          </w:tcPr>
          <w:p w14:paraId="56D025DD">
            <w:pPr>
              <w:pStyle w:val="42"/>
              <w:bidi w:val="0"/>
              <w:jc w:val="center"/>
            </w:pPr>
            <w:r>
              <w:rPr>
                <w:rFonts w:hint="eastAsia"/>
                <w:lang w:val="en-US" w:eastAsia="zh-CN"/>
              </w:rPr>
              <w:t>是</w:t>
            </w:r>
          </w:p>
        </w:tc>
      </w:tr>
      <w:tr w14:paraId="18292C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064A542D">
            <w:pPr>
              <w:pStyle w:val="42"/>
              <w:bidi w:val="0"/>
              <w:jc w:val="center"/>
            </w:pPr>
          </w:p>
        </w:tc>
        <w:tc>
          <w:tcPr>
            <w:tcW w:w="1044" w:type="pct"/>
            <w:vMerge w:val="continue"/>
            <w:tcBorders>
              <w:tl2br w:val="nil"/>
              <w:tr2bl w:val="nil"/>
            </w:tcBorders>
            <w:vAlign w:val="center"/>
          </w:tcPr>
          <w:p w14:paraId="1E21E1B4">
            <w:pPr>
              <w:pStyle w:val="42"/>
              <w:bidi w:val="0"/>
              <w:jc w:val="center"/>
            </w:pPr>
          </w:p>
        </w:tc>
        <w:tc>
          <w:tcPr>
            <w:tcW w:w="366" w:type="pct"/>
            <w:vMerge w:val="continue"/>
            <w:tcBorders>
              <w:tl2br w:val="nil"/>
              <w:tr2bl w:val="nil"/>
            </w:tcBorders>
            <w:vAlign w:val="center"/>
          </w:tcPr>
          <w:p w14:paraId="78C1A85F">
            <w:pPr>
              <w:pStyle w:val="42"/>
              <w:bidi w:val="0"/>
              <w:jc w:val="center"/>
            </w:pPr>
          </w:p>
        </w:tc>
        <w:tc>
          <w:tcPr>
            <w:tcW w:w="940" w:type="pct"/>
            <w:gridSpan w:val="2"/>
            <w:tcBorders>
              <w:tl2br w:val="nil"/>
              <w:tr2bl w:val="nil"/>
            </w:tcBorders>
            <w:vAlign w:val="center"/>
          </w:tcPr>
          <w:p w14:paraId="4AC0FDE3">
            <w:pPr>
              <w:pStyle w:val="42"/>
              <w:bidi w:val="0"/>
              <w:jc w:val="center"/>
            </w:pPr>
            <w:r>
              <w:t>铅</w:t>
            </w:r>
          </w:p>
        </w:tc>
        <w:tc>
          <w:tcPr>
            <w:tcW w:w="388" w:type="pct"/>
            <w:tcBorders>
              <w:tl2br w:val="nil"/>
              <w:tr2bl w:val="nil"/>
            </w:tcBorders>
            <w:vAlign w:val="center"/>
          </w:tcPr>
          <w:p w14:paraId="2C87640E">
            <w:pPr>
              <w:pStyle w:val="42"/>
              <w:bidi w:val="0"/>
              <w:jc w:val="center"/>
            </w:pPr>
            <w:r>
              <w:t>mg/kg</w:t>
            </w:r>
          </w:p>
        </w:tc>
        <w:tc>
          <w:tcPr>
            <w:tcW w:w="560" w:type="pct"/>
            <w:tcBorders>
              <w:tl2br w:val="nil"/>
              <w:tr2bl w:val="nil"/>
            </w:tcBorders>
            <w:vAlign w:val="center"/>
          </w:tcPr>
          <w:p w14:paraId="34D40622">
            <w:pPr>
              <w:pStyle w:val="42"/>
              <w:bidi w:val="0"/>
              <w:jc w:val="center"/>
            </w:pPr>
            <w:r>
              <w:t>45</w:t>
            </w:r>
          </w:p>
        </w:tc>
        <w:tc>
          <w:tcPr>
            <w:tcW w:w="562" w:type="pct"/>
            <w:tcBorders>
              <w:tl2br w:val="nil"/>
              <w:tr2bl w:val="nil"/>
            </w:tcBorders>
            <w:vAlign w:val="center"/>
          </w:tcPr>
          <w:p w14:paraId="6B316506">
            <w:pPr>
              <w:pStyle w:val="42"/>
              <w:bidi w:val="0"/>
              <w:jc w:val="center"/>
            </w:pPr>
            <w:r>
              <w:t>800</w:t>
            </w:r>
          </w:p>
        </w:tc>
        <w:tc>
          <w:tcPr>
            <w:tcW w:w="555" w:type="pct"/>
            <w:tcBorders>
              <w:tl2br w:val="nil"/>
              <w:tr2bl w:val="nil"/>
            </w:tcBorders>
            <w:vAlign w:val="center"/>
          </w:tcPr>
          <w:p w14:paraId="3374E97D">
            <w:pPr>
              <w:pStyle w:val="42"/>
              <w:bidi w:val="0"/>
              <w:jc w:val="center"/>
            </w:pPr>
            <w:r>
              <w:rPr>
                <w:rFonts w:hint="eastAsia"/>
                <w:lang w:val="en-US" w:eastAsia="zh-CN"/>
              </w:rPr>
              <w:t>是</w:t>
            </w:r>
          </w:p>
        </w:tc>
      </w:tr>
      <w:tr w14:paraId="419E03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2AF9D2CF">
            <w:pPr>
              <w:pStyle w:val="42"/>
              <w:bidi w:val="0"/>
              <w:jc w:val="center"/>
            </w:pPr>
          </w:p>
        </w:tc>
        <w:tc>
          <w:tcPr>
            <w:tcW w:w="1044" w:type="pct"/>
            <w:vMerge w:val="continue"/>
            <w:tcBorders>
              <w:tl2br w:val="nil"/>
              <w:tr2bl w:val="nil"/>
            </w:tcBorders>
            <w:vAlign w:val="center"/>
          </w:tcPr>
          <w:p w14:paraId="70A30B7F">
            <w:pPr>
              <w:pStyle w:val="42"/>
              <w:bidi w:val="0"/>
              <w:jc w:val="center"/>
            </w:pPr>
          </w:p>
        </w:tc>
        <w:tc>
          <w:tcPr>
            <w:tcW w:w="366" w:type="pct"/>
            <w:vMerge w:val="continue"/>
            <w:tcBorders>
              <w:tl2br w:val="nil"/>
              <w:tr2bl w:val="nil"/>
            </w:tcBorders>
            <w:vAlign w:val="center"/>
          </w:tcPr>
          <w:p w14:paraId="1B206636">
            <w:pPr>
              <w:pStyle w:val="42"/>
              <w:bidi w:val="0"/>
              <w:jc w:val="center"/>
            </w:pPr>
          </w:p>
        </w:tc>
        <w:tc>
          <w:tcPr>
            <w:tcW w:w="940" w:type="pct"/>
            <w:gridSpan w:val="2"/>
            <w:tcBorders>
              <w:tl2br w:val="nil"/>
              <w:tr2bl w:val="nil"/>
            </w:tcBorders>
            <w:vAlign w:val="center"/>
          </w:tcPr>
          <w:p w14:paraId="334801AD">
            <w:pPr>
              <w:pStyle w:val="42"/>
              <w:bidi w:val="0"/>
              <w:jc w:val="center"/>
            </w:pPr>
            <w:r>
              <w:t>镍</w:t>
            </w:r>
          </w:p>
        </w:tc>
        <w:tc>
          <w:tcPr>
            <w:tcW w:w="388" w:type="pct"/>
            <w:tcBorders>
              <w:tl2br w:val="nil"/>
              <w:tr2bl w:val="nil"/>
            </w:tcBorders>
            <w:vAlign w:val="center"/>
          </w:tcPr>
          <w:p w14:paraId="2516867E">
            <w:pPr>
              <w:pStyle w:val="42"/>
              <w:bidi w:val="0"/>
              <w:jc w:val="center"/>
            </w:pPr>
            <w:r>
              <w:t>mg/kg</w:t>
            </w:r>
          </w:p>
        </w:tc>
        <w:tc>
          <w:tcPr>
            <w:tcW w:w="560" w:type="pct"/>
            <w:tcBorders>
              <w:tl2br w:val="nil"/>
              <w:tr2bl w:val="nil"/>
            </w:tcBorders>
            <w:vAlign w:val="center"/>
          </w:tcPr>
          <w:p w14:paraId="1759D80C">
            <w:pPr>
              <w:pStyle w:val="42"/>
              <w:bidi w:val="0"/>
              <w:jc w:val="center"/>
            </w:pPr>
            <w:r>
              <w:t>0.153</w:t>
            </w:r>
          </w:p>
        </w:tc>
        <w:tc>
          <w:tcPr>
            <w:tcW w:w="562" w:type="pct"/>
            <w:tcBorders>
              <w:tl2br w:val="nil"/>
              <w:tr2bl w:val="nil"/>
            </w:tcBorders>
            <w:vAlign w:val="center"/>
          </w:tcPr>
          <w:p w14:paraId="7D7F250F">
            <w:pPr>
              <w:pStyle w:val="42"/>
              <w:bidi w:val="0"/>
              <w:jc w:val="center"/>
            </w:pPr>
            <w:r>
              <w:t>900</w:t>
            </w:r>
          </w:p>
        </w:tc>
        <w:tc>
          <w:tcPr>
            <w:tcW w:w="555" w:type="pct"/>
            <w:tcBorders>
              <w:tl2br w:val="nil"/>
              <w:tr2bl w:val="nil"/>
            </w:tcBorders>
            <w:vAlign w:val="center"/>
          </w:tcPr>
          <w:p w14:paraId="7B96E0B3">
            <w:pPr>
              <w:pStyle w:val="42"/>
              <w:bidi w:val="0"/>
              <w:jc w:val="center"/>
            </w:pPr>
            <w:r>
              <w:rPr>
                <w:rFonts w:hint="eastAsia"/>
                <w:lang w:val="en-US" w:eastAsia="zh-CN"/>
              </w:rPr>
              <w:t>是</w:t>
            </w:r>
          </w:p>
        </w:tc>
      </w:tr>
      <w:tr w14:paraId="558ECA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95C6137">
            <w:pPr>
              <w:pStyle w:val="42"/>
              <w:bidi w:val="0"/>
              <w:jc w:val="center"/>
            </w:pPr>
          </w:p>
        </w:tc>
        <w:tc>
          <w:tcPr>
            <w:tcW w:w="1044" w:type="pct"/>
            <w:vMerge w:val="continue"/>
            <w:tcBorders>
              <w:tl2br w:val="nil"/>
              <w:tr2bl w:val="nil"/>
            </w:tcBorders>
            <w:vAlign w:val="center"/>
          </w:tcPr>
          <w:p w14:paraId="60ECFFF6">
            <w:pPr>
              <w:pStyle w:val="42"/>
              <w:bidi w:val="0"/>
              <w:jc w:val="center"/>
            </w:pPr>
          </w:p>
        </w:tc>
        <w:tc>
          <w:tcPr>
            <w:tcW w:w="366" w:type="pct"/>
            <w:vMerge w:val="continue"/>
            <w:tcBorders>
              <w:tl2br w:val="nil"/>
              <w:tr2bl w:val="nil"/>
            </w:tcBorders>
            <w:vAlign w:val="center"/>
          </w:tcPr>
          <w:p w14:paraId="720C6C8F">
            <w:pPr>
              <w:pStyle w:val="42"/>
              <w:bidi w:val="0"/>
              <w:jc w:val="center"/>
            </w:pPr>
          </w:p>
        </w:tc>
        <w:tc>
          <w:tcPr>
            <w:tcW w:w="940" w:type="pct"/>
            <w:gridSpan w:val="2"/>
            <w:tcBorders>
              <w:tl2br w:val="nil"/>
              <w:tr2bl w:val="nil"/>
            </w:tcBorders>
            <w:vAlign w:val="center"/>
          </w:tcPr>
          <w:p w14:paraId="577BD8E6">
            <w:pPr>
              <w:pStyle w:val="42"/>
              <w:bidi w:val="0"/>
              <w:jc w:val="center"/>
            </w:pPr>
            <w:r>
              <w:t>四氯化碳</w:t>
            </w:r>
          </w:p>
        </w:tc>
        <w:tc>
          <w:tcPr>
            <w:tcW w:w="388" w:type="pct"/>
            <w:tcBorders>
              <w:tl2br w:val="nil"/>
              <w:tr2bl w:val="nil"/>
            </w:tcBorders>
            <w:vAlign w:val="center"/>
          </w:tcPr>
          <w:p w14:paraId="3852DB9E">
            <w:pPr>
              <w:pStyle w:val="42"/>
              <w:bidi w:val="0"/>
              <w:jc w:val="center"/>
            </w:pPr>
            <w:r>
              <w:t>mg/kg</w:t>
            </w:r>
          </w:p>
        </w:tc>
        <w:tc>
          <w:tcPr>
            <w:tcW w:w="560" w:type="pct"/>
            <w:tcBorders>
              <w:tl2br w:val="nil"/>
              <w:tr2bl w:val="nil"/>
            </w:tcBorders>
            <w:vAlign w:val="center"/>
          </w:tcPr>
          <w:p w14:paraId="5DCB6CAB">
            <w:pPr>
              <w:pStyle w:val="42"/>
              <w:bidi w:val="0"/>
              <w:jc w:val="center"/>
            </w:pPr>
            <w:r>
              <w:t>2.1×10-3L</w:t>
            </w:r>
          </w:p>
        </w:tc>
        <w:tc>
          <w:tcPr>
            <w:tcW w:w="562" w:type="pct"/>
            <w:tcBorders>
              <w:tl2br w:val="nil"/>
              <w:tr2bl w:val="nil"/>
            </w:tcBorders>
            <w:vAlign w:val="center"/>
          </w:tcPr>
          <w:p w14:paraId="5CAEFE58">
            <w:pPr>
              <w:pStyle w:val="42"/>
              <w:bidi w:val="0"/>
              <w:jc w:val="center"/>
            </w:pPr>
            <w:r>
              <w:t>2.8</w:t>
            </w:r>
          </w:p>
        </w:tc>
        <w:tc>
          <w:tcPr>
            <w:tcW w:w="555" w:type="pct"/>
            <w:tcBorders>
              <w:tl2br w:val="nil"/>
              <w:tr2bl w:val="nil"/>
            </w:tcBorders>
            <w:vAlign w:val="center"/>
          </w:tcPr>
          <w:p w14:paraId="1B5FE0AA">
            <w:pPr>
              <w:pStyle w:val="42"/>
              <w:bidi w:val="0"/>
              <w:jc w:val="center"/>
            </w:pPr>
            <w:r>
              <w:rPr>
                <w:rFonts w:hint="eastAsia"/>
                <w:lang w:val="en-US" w:eastAsia="zh-CN"/>
              </w:rPr>
              <w:t>是</w:t>
            </w:r>
          </w:p>
        </w:tc>
      </w:tr>
      <w:tr w14:paraId="0FDBEB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60B5534">
            <w:pPr>
              <w:pStyle w:val="42"/>
              <w:bidi w:val="0"/>
              <w:jc w:val="center"/>
            </w:pPr>
          </w:p>
        </w:tc>
        <w:tc>
          <w:tcPr>
            <w:tcW w:w="1044" w:type="pct"/>
            <w:vMerge w:val="continue"/>
            <w:tcBorders>
              <w:tl2br w:val="nil"/>
              <w:tr2bl w:val="nil"/>
            </w:tcBorders>
            <w:vAlign w:val="center"/>
          </w:tcPr>
          <w:p w14:paraId="73398C63">
            <w:pPr>
              <w:pStyle w:val="42"/>
              <w:bidi w:val="0"/>
              <w:jc w:val="center"/>
            </w:pPr>
          </w:p>
        </w:tc>
        <w:tc>
          <w:tcPr>
            <w:tcW w:w="366" w:type="pct"/>
            <w:vMerge w:val="continue"/>
            <w:tcBorders>
              <w:tl2br w:val="nil"/>
              <w:tr2bl w:val="nil"/>
            </w:tcBorders>
            <w:vAlign w:val="center"/>
          </w:tcPr>
          <w:p w14:paraId="0C9994EF">
            <w:pPr>
              <w:pStyle w:val="42"/>
              <w:bidi w:val="0"/>
              <w:jc w:val="center"/>
            </w:pPr>
          </w:p>
        </w:tc>
        <w:tc>
          <w:tcPr>
            <w:tcW w:w="940" w:type="pct"/>
            <w:gridSpan w:val="2"/>
            <w:tcBorders>
              <w:tl2br w:val="nil"/>
              <w:tr2bl w:val="nil"/>
            </w:tcBorders>
            <w:vAlign w:val="center"/>
          </w:tcPr>
          <w:p w14:paraId="2D3F1089">
            <w:pPr>
              <w:pStyle w:val="42"/>
              <w:bidi w:val="0"/>
              <w:jc w:val="center"/>
            </w:pPr>
            <w:r>
              <w:t>氯仿</w:t>
            </w:r>
          </w:p>
        </w:tc>
        <w:tc>
          <w:tcPr>
            <w:tcW w:w="388" w:type="pct"/>
            <w:tcBorders>
              <w:tl2br w:val="nil"/>
              <w:tr2bl w:val="nil"/>
            </w:tcBorders>
            <w:vAlign w:val="center"/>
          </w:tcPr>
          <w:p w14:paraId="3F6857C9">
            <w:pPr>
              <w:pStyle w:val="42"/>
              <w:bidi w:val="0"/>
              <w:jc w:val="center"/>
            </w:pPr>
            <w:r>
              <w:t>mg/kg</w:t>
            </w:r>
          </w:p>
        </w:tc>
        <w:tc>
          <w:tcPr>
            <w:tcW w:w="560" w:type="pct"/>
            <w:tcBorders>
              <w:tl2br w:val="nil"/>
              <w:tr2bl w:val="nil"/>
            </w:tcBorders>
            <w:vAlign w:val="center"/>
          </w:tcPr>
          <w:p w14:paraId="5D728C94">
            <w:pPr>
              <w:pStyle w:val="42"/>
              <w:bidi w:val="0"/>
              <w:jc w:val="center"/>
            </w:pPr>
            <w:r>
              <w:t>1.5×10-3L</w:t>
            </w:r>
          </w:p>
        </w:tc>
        <w:tc>
          <w:tcPr>
            <w:tcW w:w="562" w:type="pct"/>
            <w:tcBorders>
              <w:tl2br w:val="nil"/>
              <w:tr2bl w:val="nil"/>
            </w:tcBorders>
            <w:vAlign w:val="center"/>
          </w:tcPr>
          <w:p w14:paraId="38B816FC">
            <w:pPr>
              <w:pStyle w:val="42"/>
              <w:bidi w:val="0"/>
              <w:jc w:val="center"/>
            </w:pPr>
            <w:r>
              <w:t>0.9</w:t>
            </w:r>
          </w:p>
        </w:tc>
        <w:tc>
          <w:tcPr>
            <w:tcW w:w="555" w:type="pct"/>
            <w:tcBorders>
              <w:tl2br w:val="nil"/>
              <w:tr2bl w:val="nil"/>
            </w:tcBorders>
            <w:vAlign w:val="center"/>
          </w:tcPr>
          <w:p w14:paraId="15257076">
            <w:pPr>
              <w:pStyle w:val="42"/>
              <w:bidi w:val="0"/>
              <w:jc w:val="center"/>
            </w:pPr>
            <w:r>
              <w:rPr>
                <w:rFonts w:hint="eastAsia"/>
                <w:lang w:val="en-US" w:eastAsia="zh-CN"/>
              </w:rPr>
              <w:t>是</w:t>
            </w:r>
          </w:p>
        </w:tc>
      </w:tr>
      <w:tr w14:paraId="7056D9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1EEAAD54">
            <w:pPr>
              <w:pStyle w:val="42"/>
              <w:bidi w:val="0"/>
              <w:jc w:val="center"/>
            </w:pPr>
          </w:p>
        </w:tc>
        <w:tc>
          <w:tcPr>
            <w:tcW w:w="1044" w:type="pct"/>
            <w:vMerge w:val="continue"/>
            <w:tcBorders>
              <w:tl2br w:val="nil"/>
              <w:tr2bl w:val="nil"/>
            </w:tcBorders>
            <w:vAlign w:val="center"/>
          </w:tcPr>
          <w:p w14:paraId="5CE3BD9E">
            <w:pPr>
              <w:pStyle w:val="42"/>
              <w:bidi w:val="0"/>
              <w:jc w:val="center"/>
            </w:pPr>
          </w:p>
        </w:tc>
        <w:tc>
          <w:tcPr>
            <w:tcW w:w="366" w:type="pct"/>
            <w:vMerge w:val="continue"/>
            <w:tcBorders>
              <w:tl2br w:val="nil"/>
              <w:tr2bl w:val="nil"/>
            </w:tcBorders>
            <w:vAlign w:val="center"/>
          </w:tcPr>
          <w:p w14:paraId="328350A9">
            <w:pPr>
              <w:pStyle w:val="42"/>
              <w:bidi w:val="0"/>
              <w:jc w:val="center"/>
            </w:pPr>
          </w:p>
        </w:tc>
        <w:tc>
          <w:tcPr>
            <w:tcW w:w="940" w:type="pct"/>
            <w:gridSpan w:val="2"/>
            <w:tcBorders>
              <w:tl2br w:val="nil"/>
              <w:tr2bl w:val="nil"/>
            </w:tcBorders>
            <w:vAlign w:val="center"/>
          </w:tcPr>
          <w:p w14:paraId="4FEF9F26">
            <w:pPr>
              <w:pStyle w:val="42"/>
              <w:bidi w:val="0"/>
              <w:jc w:val="center"/>
            </w:pPr>
            <w:r>
              <w:t>氯甲烷</w:t>
            </w:r>
          </w:p>
        </w:tc>
        <w:tc>
          <w:tcPr>
            <w:tcW w:w="388" w:type="pct"/>
            <w:tcBorders>
              <w:tl2br w:val="nil"/>
              <w:tr2bl w:val="nil"/>
            </w:tcBorders>
            <w:vAlign w:val="center"/>
          </w:tcPr>
          <w:p w14:paraId="5A95B147">
            <w:pPr>
              <w:pStyle w:val="42"/>
              <w:bidi w:val="0"/>
              <w:jc w:val="center"/>
            </w:pPr>
            <w:r>
              <w:t>mg/kg</w:t>
            </w:r>
          </w:p>
        </w:tc>
        <w:tc>
          <w:tcPr>
            <w:tcW w:w="560" w:type="pct"/>
            <w:tcBorders>
              <w:tl2br w:val="nil"/>
              <w:tr2bl w:val="nil"/>
            </w:tcBorders>
            <w:vAlign w:val="center"/>
          </w:tcPr>
          <w:p w14:paraId="49D6B787">
            <w:pPr>
              <w:pStyle w:val="42"/>
              <w:bidi w:val="0"/>
              <w:jc w:val="center"/>
            </w:pPr>
            <w:r>
              <w:t>3.0×10-3L</w:t>
            </w:r>
          </w:p>
        </w:tc>
        <w:tc>
          <w:tcPr>
            <w:tcW w:w="562" w:type="pct"/>
            <w:tcBorders>
              <w:tl2br w:val="nil"/>
              <w:tr2bl w:val="nil"/>
            </w:tcBorders>
            <w:vAlign w:val="center"/>
          </w:tcPr>
          <w:p w14:paraId="2CC3E605">
            <w:pPr>
              <w:pStyle w:val="42"/>
              <w:bidi w:val="0"/>
              <w:jc w:val="center"/>
            </w:pPr>
            <w:r>
              <w:t>37</w:t>
            </w:r>
          </w:p>
        </w:tc>
        <w:tc>
          <w:tcPr>
            <w:tcW w:w="555" w:type="pct"/>
            <w:tcBorders>
              <w:tl2br w:val="nil"/>
              <w:tr2bl w:val="nil"/>
            </w:tcBorders>
            <w:vAlign w:val="center"/>
          </w:tcPr>
          <w:p w14:paraId="686F21BC">
            <w:pPr>
              <w:pStyle w:val="42"/>
              <w:bidi w:val="0"/>
              <w:jc w:val="center"/>
            </w:pPr>
            <w:r>
              <w:rPr>
                <w:rFonts w:hint="eastAsia"/>
                <w:lang w:val="en-US" w:eastAsia="zh-CN"/>
              </w:rPr>
              <w:t>是</w:t>
            </w:r>
          </w:p>
        </w:tc>
      </w:tr>
      <w:tr w14:paraId="44FA76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2B0C4512">
            <w:pPr>
              <w:pStyle w:val="42"/>
              <w:bidi w:val="0"/>
              <w:jc w:val="center"/>
            </w:pPr>
          </w:p>
        </w:tc>
        <w:tc>
          <w:tcPr>
            <w:tcW w:w="1044" w:type="pct"/>
            <w:vMerge w:val="continue"/>
            <w:tcBorders>
              <w:tl2br w:val="nil"/>
              <w:tr2bl w:val="nil"/>
            </w:tcBorders>
            <w:vAlign w:val="center"/>
          </w:tcPr>
          <w:p w14:paraId="51C5608C">
            <w:pPr>
              <w:pStyle w:val="42"/>
              <w:bidi w:val="0"/>
              <w:jc w:val="center"/>
            </w:pPr>
          </w:p>
        </w:tc>
        <w:tc>
          <w:tcPr>
            <w:tcW w:w="366" w:type="pct"/>
            <w:vMerge w:val="continue"/>
            <w:tcBorders>
              <w:tl2br w:val="nil"/>
              <w:tr2bl w:val="nil"/>
            </w:tcBorders>
            <w:vAlign w:val="center"/>
          </w:tcPr>
          <w:p w14:paraId="1ACD5BB5">
            <w:pPr>
              <w:pStyle w:val="42"/>
              <w:bidi w:val="0"/>
              <w:jc w:val="center"/>
            </w:pPr>
          </w:p>
        </w:tc>
        <w:tc>
          <w:tcPr>
            <w:tcW w:w="313" w:type="pct"/>
            <w:vMerge w:val="restart"/>
            <w:tcBorders>
              <w:tl2br w:val="nil"/>
              <w:tr2bl w:val="nil"/>
            </w:tcBorders>
            <w:vAlign w:val="center"/>
          </w:tcPr>
          <w:p w14:paraId="03DC8334">
            <w:pPr>
              <w:pStyle w:val="42"/>
              <w:bidi w:val="0"/>
              <w:jc w:val="center"/>
            </w:pPr>
            <w:r>
              <w:t>二氯</w:t>
            </w:r>
          </w:p>
          <w:p w14:paraId="5EF2BA0E">
            <w:pPr>
              <w:pStyle w:val="42"/>
              <w:bidi w:val="0"/>
              <w:jc w:val="center"/>
            </w:pPr>
            <w:r>
              <w:t>乙烷</w:t>
            </w:r>
          </w:p>
        </w:tc>
        <w:tc>
          <w:tcPr>
            <w:tcW w:w="626" w:type="pct"/>
            <w:tcBorders>
              <w:tl2br w:val="nil"/>
              <w:tr2bl w:val="nil"/>
            </w:tcBorders>
            <w:vAlign w:val="center"/>
          </w:tcPr>
          <w:p w14:paraId="11539778">
            <w:pPr>
              <w:pStyle w:val="42"/>
              <w:bidi w:val="0"/>
              <w:jc w:val="center"/>
            </w:pPr>
            <w:r>
              <w:t>1,1二氯乙烷</w:t>
            </w:r>
          </w:p>
        </w:tc>
        <w:tc>
          <w:tcPr>
            <w:tcW w:w="388" w:type="pct"/>
            <w:tcBorders>
              <w:tl2br w:val="nil"/>
              <w:tr2bl w:val="nil"/>
            </w:tcBorders>
            <w:vAlign w:val="center"/>
          </w:tcPr>
          <w:p w14:paraId="05A553D3">
            <w:pPr>
              <w:pStyle w:val="42"/>
              <w:bidi w:val="0"/>
              <w:jc w:val="center"/>
            </w:pPr>
            <w:r>
              <w:t>mg/kg</w:t>
            </w:r>
          </w:p>
        </w:tc>
        <w:tc>
          <w:tcPr>
            <w:tcW w:w="560" w:type="pct"/>
            <w:tcBorders>
              <w:tl2br w:val="nil"/>
              <w:tr2bl w:val="nil"/>
            </w:tcBorders>
            <w:vAlign w:val="center"/>
          </w:tcPr>
          <w:p w14:paraId="5CFD22CA">
            <w:pPr>
              <w:pStyle w:val="42"/>
              <w:bidi w:val="0"/>
              <w:jc w:val="center"/>
            </w:pPr>
            <w:r>
              <w:t>1.6×10-3L</w:t>
            </w:r>
          </w:p>
        </w:tc>
        <w:tc>
          <w:tcPr>
            <w:tcW w:w="562" w:type="pct"/>
            <w:tcBorders>
              <w:tl2br w:val="nil"/>
              <w:tr2bl w:val="nil"/>
            </w:tcBorders>
            <w:vAlign w:val="center"/>
          </w:tcPr>
          <w:p w14:paraId="749459DE">
            <w:pPr>
              <w:pStyle w:val="42"/>
              <w:bidi w:val="0"/>
              <w:jc w:val="center"/>
            </w:pPr>
            <w:r>
              <w:t>9</w:t>
            </w:r>
          </w:p>
        </w:tc>
        <w:tc>
          <w:tcPr>
            <w:tcW w:w="555" w:type="pct"/>
            <w:tcBorders>
              <w:tl2br w:val="nil"/>
              <w:tr2bl w:val="nil"/>
            </w:tcBorders>
            <w:vAlign w:val="center"/>
          </w:tcPr>
          <w:p w14:paraId="596E519D">
            <w:pPr>
              <w:pStyle w:val="42"/>
              <w:bidi w:val="0"/>
              <w:jc w:val="center"/>
            </w:pPr>
            <w:r>
              <w:rPr>
                <w:rFonts w:hint="eastAsia"/>
                <w:lang w:val="en-US" w:eastAsia="zh-CN"/>
              </w:rPr>
              <w:t>是</w:t>
            </w:r>
          </w:p>
        </w:tc>
      </w:tr>
      <w:tr w14:paraId="555FEA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0C0312B2">
            <w:pPr>
              <w:pStyle w:val="42"/>
              <w:bidi w:val="0"/>
              <w:jc w:val="center"/>
            </w:pPr>
          </w:p>
        </w:tc>
        <w:tc>
          <w:tcPr>
            <w:tcW w:w="1044" w:type="pct"/>
            <w:vMerge w:val="continue"/>
            <w:tcBorders>
              <w:tl2br w:val="nil"/>
              <w:tr2bl w:val="nil"/>
            </w:tcBorders>
            <w:vAlign w:val="center"/>
          </w:tcPr>
          <w:p w14:paraId="03DD023C">
            <w:pPr>
              <w:pStyle w:val="42"/>
              <w:bidi w:val="0"/>
              <w:jc w:val="center"/>
            </w:pPr>
          </w:p>
        </w:tc>
        <w:tc>
          <w:tcPr>
            <w:tcW w:w="366" w:type="pct"/>
            <w:vMerge w:val="continue"/>
            <w:tcBorders>
              <w:tl2br w:val="nil"/>
              <w:tr2bl w:val="nil"/>
            </w:tcBorders>
            <w:vAlign w:val="center"/>
          </w:tcPr>
          <w:p w14:paraId="5CE3EA77">
            <w:pPr>
              <w:pStyle w:val="42"/>
              <w:bidi w:val="0"/>
              <w:jc w:val="center"/>
            </w:pPr>
          </w:p>
        </w:tc>
        <w:tc>
          <w:tcPr>
            <w:tcW w:w="313" w:type="pct"/>
            <w:vMerge w:val="continue"/>
            <w:tcBorders>
              <w:tl2br w:val="nil"/>
              <w:tr2bl w:val="nil"/>
            </w:tcBorders>
            <w:vAlign w:val="center"/>
          </w:tcPr>
          <w:p w14:paraId="431CED48">
            <w:pPr>
              <w:pStyle w:val="42"/>
              <w:bidi w:val="0"/>
              <w:jc w:val="center"/>
            </w:pPr>
          </w:p>
        </w:tc>
        <w:tc>
          <w:tcPr>
            <w:tcW w:w="626" w:type="pct"/>
            <w:tcBorders>
              <w:tl2br w:val="nil"/>
              <w:tr2bl w:val="nil"/>
            </w:tcBorders>
            <w:vAlign w:val="center"/>
          </w:tcPr>
          <w:p w14:paraId="7BD6A2A2">
            <w:pPr>
              <w:pStyle w:val="42"/>
              <w:bidi w:val="0"/>
              <w:jc w:val="center"/>
            </w:pPr>
            <w:r>
              <w:t>1,2二氯乙烷</w:t>
            </w:r>
          </w:p>
        </w:tc>
        <w:tc>
          <w:tcPr>
            <w:tcW w:w="388" w:type="pct"/>
            <w:tcBorders>
              <w:tl2br w:val="nil"/>
              <w:tr2bl w:val="nil"/>
            </w:tcBorders>
            <w:vAlign w:val="center"/>
          </w:tcPr>
          <w:p w14:paraId="6F4AB60D">
            <w:pPr>
              <w:pStyle w:val="42"/>
              <w:bidi w:val="0"/>
              <w:jc w:val="center"/>
            </w:pPr>
            <w:r>
              <w:t>mg/kg</w:t>
            </w:r>
          </w:p>
        </w:tc>
        <w:tc>
          <w:tcPr>
            <w:tcW w:w="560" w:type="pct"/>
            <w:tcBorders>
              <w:tl2br w:val="nil"/>
              <w:tr2bl w:val="nil"/>
            </w:tcBorders>
            <w:vAlign w:val="center"/>
          </w:tcPr>
          <w:p w14:paraId="4C25B5FB">
            <w:pPr>
              <w:pStyle w:val="42"/>
              <w:bidi w:val="0"/>
              <w:jc w:val="center"/>
            </w:pPr>
            <w:r>
              <w:t>1.3×10-3L</w:t>
            </w:r>
          </w:p>
        </w:tc>
        <w:tc>
          <w:tcPr>
            <w:tcW w:w="562" w:type="pct"/>
            <w:tcBorders>
              <w:tl2br w:val="nil"/>
              <w:tr2bl w:val="nil"/>
            </w:tcBorders>
            <w:vAlign w:val="center"/>
          </w:tcPr>
          <w:p w14:paraId="5DD5DEF2">
            <w:pPr>
              <w:pStyle w:val="42"/>
              <w:bidi w:val="0"/>
              <w:jc w:val="center"/>
            </w:pPr>
            <w:r>
              <w:t>5</w:t>
            </w:r>
          </w:p>
        </w:tc>
        <w:tc>
          <w:tcPr>
            <w:tcW w:w="555" w:type="pct"/>
            <w:tcBorders>
              <w:tl2br w:val="nil"/>
              <w:tr2bl w:val="nil"/>
            </w:tcBorders>
            <w:vAlign w:val="center"/>
          </w:tcPr>
          <w:p w14:paraId="520F51EC">
            <w:pPr>
              <w:pStyle w:val="42"/>
              <w:bidi w:val="0"/>
              <w:jc w:val="center"/>
            </w:pPr>
            <w:r>
              <w:rPr>
                <w:rFonts w:hint="eastAsia"/>
                <w:lang w:val="en-US" w:eastAsia="zh-CN"/>
              </w:rPr>
              <w:t>是</w:t>
            </w:r>
          </w:p>
        </w:tc>
      </w:tr>
      <w:tr w14:paraId="1AA9B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4D9DE11">
            <w:pPr>
              <w:pStyle w:val="42"/>
              <w:bidi w:val="0"/>
              <w:jc w:val="center"/>
            </w:pPr>
          </w:p>
        </w:tc>
        <w:tc>
          <w:tcPr>
            <w:tcW w:w="1044" w:type="pct"/>
            <w:vMerge w:val="continue"/>
            <w:tcBorders>
              <w:tl2br w:val="nil"/>
              <w:tr2bl w:val="nil"/>
            </w:tcBorders>
            <w:vAlign w:val="center"/>
          </w:tcPr>
          <w:p w14:paraId="312ED469">
            <w:pPr>
              <w:pStyle w:val="42"/>
              <w:bidi w:val="0"/>
              <w:jc w:val="center"/>
            </w:pPr>
          </w:p>
        </w:tc>
        <w:tc>
          <w:tcPr>
            <w:tcW w:w="366" w:type="pct"/>
            <w:vMerge w:val="continue"/>
            <w:tcBorders>
              <w:tl2br w:val="nil"/>
              <w:tr2bl w:val="nil"/>
            </w:tcBorders>
            <w:vAlign w:val="center"/>
          </w:tcPr>
          <w:p w14:paraId="792F28EA">
            <w:pPr>
              <w:pStyle w:val="42"/>
              <w:bidi w:val="0"/>
              <w:jc w:val="center"/>
            </w:pPr>
          </w:p>
        </w:tc>
        <w:tc>
          <w:tcPr>
            <w:tcW w:w="313" w:type="pct"/>
            <w:vMerge w:val="restart"/>
            <w:tcBorders>
              <w:tl2br w:val="nil"/>
              <w:tr2bl w:val="nil"/>
            </w:tcBorders>
            <w:vAlign w:val="center"/>
          </w:tcPr>
          <w:p w14:paraId="47120BF4">
            <w:pPr>
              <w:pStyle w:val="42"/>
              <w:bidi w:val="0"/>
              <w:jc w:val="center"/>
            </w:pPr>
            <w:r>
              <w:t>二氯</w:t>
            </w:r>
          </w:p>
          <w:p w14:paraId="590D6168">
            <w:pPr>
              <w:pStyle w:val="42"/>
              <w:bidi w:val="0"/>
              <w:jc w:val="center"/>
            </w:pPr>
            <w:r>
              <w:t>乙烯</w:t>
            </w:r>
          </w:p>
        </w:tc>
        <w:tc>
          <w:tcPr>
            <w:tcW w:w="626" w:type="pct"/>
            <w:tcBorders>
              <w:tl2br w:val="nil"/>
              <w:tr2bl w:val="nil"/>
            </w:tcBorders>
            <w:vAlign w:val="center"/>
          </w:tcPr>
          <w:p w14:paraId="1AE70117">
            <w:pPr>
              <w:pStyle w:val="42"/>
              <w:bidi w:val="0"/>
              <w:jc w:val="center"/>
            </w:pPr>
            <w:r>
              <w:t>1,1-二氯乙烯</w:t>
            </w:r>
          </w:p>
        </w:tc>
        <w:tc>
          <w:tcPr>
            <w:tcW w:w="388" w:type="pct"/>
            <w:tcBorders>
              <w:tl2br w:val="nil"/>
              <w:tr2bl w:val="nil"/>
            </w:tcBorders>
            <w:vAlign w:val="center"/>
          </w:tcPr>
          <w:p w14:paraId="7D239F4E">
            <w:pPr>
              <w:pStyle w:val="42"/>
              <w:bidi w:val="0"/>
              <w:jc w:val="center"/>
            </w:pPr>
            <w:r>
              <w:t>mg/kg</w:t>
            </w:r>
          </w:p>
        </w:tc>
        <w:tc>
          <w:tcPr>
            <w:tcW w:w="560" w:type="pct"/>
            <w:tcBorders>
              <w:tl2br w:val="nil"/>
              <w:tr2bl w:val="nil"/>
            </w:tcBorders>
            <w:vAlign w:val="center"/>
          </w:tcPr>
          <w:p w14:paraId="42E18E61">
            <w:pPr>
              <w:pStyle w:val="42"/>
              <w:bidi w:val="0"/>
              <w:jc w:val="center"/>
            </w:pPr>
            <w:r>
              <w:t>0.8×10-3L</w:t>
            </w:r>
          </w:p>
        </w:tc>
        <w:tc>
          <w:tcPr>
            <w:tcW w:w="562" w:type="pct"/>
            <w:tcBorders>
              <w:tl2br w:val="nil"/>
              <w:tr2bl w:val="nil"/>
            </w:tcBorders>
            <w:vAlign w:val="center"/>
          </w:tcPr>
          <w:p w14:paraId="3F6A0D15">
            <w:pPr>
              <w:pStyle w:val="42"/>
              <w:bidi w:val="0"/>
              <w:jc w:val="center"/>
            </w:pPr>
            <w:r>
              <w:t>66</w:t>
            </w:r>
          </w:p>
        </w:tc>
        <w:tc>
          <w:tcPr>
            <w:tcW w:w="555" w:type="pct"/>
            <w:tcBorders>
              <w:tl2br w:val="nil"/>
              <w:tr2bl w:val="nil"/>
            </w:tcBorders>
            <w:vAlign w:val="center"/>
          </w:tcPr>
          <w:p w14:paraId="67C4AEB1">
            <w:pPr>
              <w:pStyle w:val="42"/>
              <w:bidi w:val="0"/>
              <w:jc w:val="center"/>
            </w:pPr>
            <w:r>
              <w:rPr>
                <w:rFonts w:hint="eastAsia"/>
                <w:lang w:val="en-US" w:eastAsia="zh-CN"/>
              </w:rPr>
              <w:t>是</w:t>
            </w:r>
          </w:p>
        </w:tc>
      </w:tr>
      <w:tr w14:paraId="2238AC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02BE14E">
            <w:pPr>
              <w:pStyle w:val="42"/>
              <w:bidi w:val="0"/>
              <w:jc w:val="center"/>
            </w:pPr>
          </w:p>
        </w:tc>
        <w:tc>
          <w:tcPr>
            <w:tcW w:w="1044" w:type="pct"/>
            <w:vMerge w:val="continue"/>
            <w:tcBorders>
              <w:tl2br w:val="nil"/>
              <w:tr2bl w:val="nil"/>
            </w:tcBorders>
            <w:vAlign w:val="center"/>
          </w:tcPr>
          <w:p w14:paraId="680593B6">
            <w:pPr>
              <w:pStyle w:val="42"/>
              <w:bidi w:val="0"/>
              <w:jc w:val="center"/>
            </w:pPr>
          </w:p>
        </w:tc>
        <w:tc>
          <w:tcPr>
            <w:tcW w:w="366" w:type="pct"/>
            <w:vMerge w:val="continue"/>
            <w:tcBorders>
              <w:tl2br w:val="nil"/>
              <w:tr2bl w:val="nil"/>
            </w:tcBorders>
            <w:vAlign w:val="center"/>
          </w:tcPr>
          <w:p w14:paraId="63E921EC">
            <w:pPr>
              <w:pStyle w:val="42"/>
              <w:bidi w:val="0"/>
              <w:jc w:val="center"/>
            </w:pPr>
          </w:p>
        </w:tc>
        <w:tc>
          <w:tcPr>
            <w:tcW w:w="313" w:type="pct"/>
            <w:vMerge w:val="continue"/>
            <w:tcBorders>
              <w:tl2br w:val="nil"/>
              <w:tr2bl w:val="nil"/>
            </w:tcBorders>
            <w:vAlign w:val="center"/>
          </w:tcPr>
          <w:p w14:paraId="3AB66721">
            <w:pPr>
              <w:pStyle w:val="42"/>
              <w:bidi w:val="0"/>
              <w:jc w:val="center"/>
            </w:pPr>
          </w:p>
        </w:tc>
        <w:tc>
          <w:tcPr>
            <w:tcW w:w="626" w:type="pct"/>
            <w:tcBorders>
              <w:tl2br w:val="nil"/>
              <w:tr2bl w:val="nil"/>
            </w:tcBorders>
            <w:vAlign w:val="center"/>
          </w:tcPr>
          <w:p w14:paraId="7A0AC174">
            <w:pPr>
              <w:pStyle w:val="42"/>
              <w:bidi w:val="0"/>
              <w:jc w:val="center"/>
            </w:pPr>
            <w:r>
              <w:t>顺-1,2-二氯乙烯</w:t>
            </w:r>
          </w:p>
        </w:tc>
        <w:tc>
          <w:tcPr>
            <w:tcW w:w="388" w:type="pct"/>
            <w:tcBorders>
              <w:tl2br w:val="nil"/>
              <w:tr2bl w:val="nil"/>
            </w:tcBorders>
            <w:vAlign w:val="center"/>
          </w:tcPr>
          <w:p w14:paraId="4537B38B">
            <w:pPr>
              <w:pStyle w:val="42"/>
              <w:bidi w:val="0"/>
              <w:jc w:val="center"/>
            </w:pPr>
            <w:r>
              <w:t>mg/kg</w:t>
            </w:r>
          </w:p>
        </w:tc>
        <w:tc>
          <w:tcPr>
            <w:tcW w:w="560" w:type="pct"/>
            <w:tcBorders>
              <w:tl2br w:val="nil"/>
              <w:tr2bl w:val="nil"/>
            </w:tcBorders>
            <w:vAlign w:val="center"/>
          </w:tcPr>
          <w:p w14:paraId="090851C4">
            <w:pPr>
              <w:pStyle w:val="42"/>
              <w:bidi w:val="0"/>
              <w:jc w:val="center"/>
            </w:pPr>
            <w:r>
              <w:t>0.9×10-3L</w:t>
            </w:r>
          </w:p>
        </w:tc>
        <w:tc>
          <w:tcPr>
            <w:tcW w:w="562" w:type="pct"/>
            <w:tcBorders>
              <w:tl2br w:val="nil"/>
              <w:tr2bl w:val="nil"/>
            </w:tcBorders>
            <w:vAlign w:val="center"/>
          </w:tcPr>
          <w:p w14:paraId="537CA15C">
            <w:pPr>
              <w:pStyle w:val="42"/>
              <w:bidi w:val="0"/>
              <w:jc w:val="center"/>
            </w:pPr>
            <w:r>
              <w:t>596</w:t>
            </w:r>
          </w:p>
        </w:tc>
        <w:tc>
          <w:tcPr>
            <w:tcW w:w="555" w:type="pct"/>
            <w:tcBorders>
              <w:tl2br w:val="nil"/>
              <w:tr2bl w:val="nil"/>
            </w:tcBorders>
            <w:vAlign w:val="center"/>
          </w:tcPr>
          <w:p w14:paraId="2B4AEAFC">
            <w:pPr>
              <w:pStyle w:val="42"/>
              <w:bidi w:val="0"/>
              <w:jc w:val="center"/>
            </w:pPr>
            <w:r>
              <w:rPr>
                <w:rFonts w:hint="eastAsia"/>
                <w:lang w:val="en-US" w:eastAsia="zh-CN"/>
              </w:rPr>
              <w:t>是</w:t>
            </w:r>
          </w:p>
        </w:tc>
      </w:tr>
      <w:tr w14:paraId="225495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7CCFCA1C">
            <w:pPr>
              <w:pStyle w:val="42"/>
              <w:bidi w:val="0"/>
              <w:jc w:val="center"/>
            </w:pPr>
          </w:p>
        </w:tc>
        <w:tc>
          <w:tcPr>
            <w:tcW w:w="1044" w:type="pct"/>
            <w:vMerge w:val="continue"/>
            <w:tcBorders>
              <w:tl2br w:val="nil"/>
              <w:tr2bl w:val="nil"/>
            </w:tcBorders>
            <w:vAlign w:val="center"/>
          </w:tcPr>
          <w:p w14:paraId="58CD099A">
            <w:pPr>
              <w:pStyle w:val="42"/>
              <w:bidi w:val="0"/>
              <w:jc w:val="center"/>
            </w:pPr>
          </w:p>
        </w:tc>
        <w:tc>
          <w:tcPr>
            <w:tcW w:w="366" w:type="pct"/>
            <w:vMerge w:val="continue"/>
            <w:tcBorders>
              <w:tl2br w:val="nil"/>
              <w:tr2bl w:val="nil"/>
            </w:tcBorders>
            <w:vAlign w:val="center"/>
          </w:tcPr>
          <w:p w14:paraId="16AFC303">
            <w:pPr>
              <w:pStyle w:val="42"/>
              <w:bidi w:val="0"/>
              <w:jc w:val="center"/>
            </w:pPr>
          </w:p>
        </w:tc>
        <w:tc>
          <w:tcPr>
            <w:tcW w:w="313" w:type="pct"/>
            <w:vMerge w:val="continue"/>
            <w:tcBorders>
              <w:tl2br w:val="nil"/>
              <w:tr2bl w:val="nil"/>
            </w:tcBorders>
            <w:vAlign w:val="center"/>
          </w:tcPr>
          <w:p w14:paraId="5D202CD8">
            <w:pPr>
              <w:pStyle w:val="42"/>
              <w:bidi w:val="0"/>
              <w:jc w:val="center"/>
            </w:pPr>
          </w:p>
        </w:tc>
        <w:tc>
          <w:tcPr>
            <w:tcW w:w="626" w:type="pct"/>
            <w:tcBorders>
              <w:tl2br w:val="nil"/>
              <w:tr2bl w:val="nil"/>
            </w:tcBorders>
            <w:vAlign w:val="center"/>
          </w:tcPr>
          <w:p w14:paraId="3D29B5E1">
            <w:pPr>
              <w:pStyle w:val="42"/>
              <w:bidi w:val="0"/>
              <w:jc w:val="center"/>
            </w:pPr>
            <w:r>
              <w:t>反-1,2-二氯乙烯</w:t>
            </w:r>
          </w:p>
        </w:tc>
        <w:tc>
          <w:tcPr>
            <w:tcW w:w="388" w:type="pct"/>
            <w:tcBorders>
              <w:tl2br w:val="nil"/>
              <w:tr2bl w:val="nil"/>
            </w:tcBorders>
            <w:vAlign w:val="center"/>
          </w:tcPr>
          <w:p w14:paraId="04EF292C">
            <w:pPr>
              <w:pStyle w:val="42"/>
              <w:bidi w:val="0"/>
              <w:jc w:val="center"/>
            </w:pPr>
            <w:r>
              <w:t>mg/kg</w:t>
            </w:r>
          </w:p>
        </w:tc>
        <w:tc>
          <w:tcPr>
            <w:tcW w:w="560" w:type="pct"/>
            <w:tcBorders>
              <w:tl2br w:val="nil"/>
              <w:tr2bl w:val="nil"/>
            </w:tcBorders>
            <w:vAlign w:val="center"/>
          </w:tcPr>
          <w:p w14:paraId="3DA96B81">
            <w:pPr>
              <w:pStyle w:val="42"/>
              <w:bidi w:val="0"/>
              <w:jc w:val="center"/>
            </w:pPr>
            <w:r>
              <w:t>0.9×10-3L</w:t>
            </w:r>
          </w:p>
        </w:tc>
        <w:tc>
          <w:tcPr>
            <w:tcW w:w="562" w:type="pct"/>
            <w:tcBorders>
              <w:tl2br w:val="nil"/>
              <w:tr2bl w:val="nil"/>
            </w:tcBorders>
            <w:vAlign w:val="center"/>
          </w:tcPr>
          <w:p w14:paraId="50B91A44">
            <w:pPr>
              <w:pStyle w:val="42"/>
              <w:bidi w:val="0"/>
              <w:jc w:val="center"/>
            </w:pPr>
            <w:r>
              <w:t>54</w:t>
            </w:r>
          </w:p>
        </w:tc>
        <w:tc>
          <w:tcPr>
            <w:tcW w:w="555" w:type="pct"/>
            <w:tcBorders>
              <w:tl2br w:val="nil"/>
              <w:tr2bl w:val="nil"/>
            </w:tcBorders>
            <w:vAlign w:val="center"/>
          </w:tcPr>
          <w:p w14:paraId="2C5CE6C1">
            <w:pPr>
              <w:pStyle w:val="42"/>
              <w:bidi w:val="0"/>
              <w:jc w:val="center"/>
            </w:pPr>
            <w:r>
              <w:rPr>
                <w:rFonts w:hint="eastAsia"/>
                <w:lang w:val="en-US" w:eastAsia="zh-CN"/>
              </w:rPr>
              <w:t>是</w:t>
            </w:r>
          </w:p>
        </w:tc>
      </w:tr>
      <w:tr w14:paraId="2CE0C5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3EA52EC">
            <w:pPr>
              <w:pStyle w:val="42"/>
              <w:bidi w:val="0"/>
              <w:jc w:val="center"/>
            </w:pPr>
          </w:p>
        </w:tc>
        <w:tc>
          <w:tcPr>
            <w:tcW w:w="1044" w:type="pct"/>
            <w:vMerge w:val="continue"/>
            <w:tcBorders>
              <w:tl2br w:val="nil"/>
              <w:tr2bl w:val="nil"/>
            </w:tcBorders>
            <w:vAlign w:val="center"/>
          </w:tcPr>
          <w:p w14:paraId="67632919">
            <w:pPr>
              <w:pStyle w:val="42"/>
              <w:bidi w:val="0"/>
              <w:jc w:val="center"/>
            </w:pPr>
          </w:p>
        </w:tc>
        <w:tc>
          <w:tcPr>
            <w:tcW w:w="366" w:type="pct"/>
            <w:vMerge w:val="continue"/>
            <w:tcBorders>
              <w:tl2br w:val="nil"/>
              <w:tr2bl w:val="nil"/>
            </w:tcBorders>
            <w:vAlign w:val="center"/>
          </w:tcPr>
          <w:p w14:paraId="005EC064">
            <w:pPr>
              <w:pStyle w:val="42"/>
              <w:bidi w:val="0"/>
              <w:jc w:val="center"/>
            </w:pPr>
          </w:p>
        </w:tc>
        <w:tc>
          <w:tcPr>
            <w:tcW w:w="940" w:type="pct"/>
            <w:gridSpan w:val="2"/>
            <w:tcBorders>
              <w:tl2br w:val="nil"/>
              <w:tr2bl w:val="nil"/>
            </w:tcBorders>
            <w:vAlign w:val="center"/>
          </w:tcPr>
          <w:p w14:paraId="5B985904">
            <w:pPr>
              <w:pStyle w:val="42"/>
              <w:bidi w:val="0"/>
              <w:jc w:val="center"/>
            </w:pPr>
            <w:r>
              <w:t>二氯甲烷</w:t>
            </w:r>
          </w:p>
        </w:tc>
        <w:tc>
          <w:tcPr>
            <w:tcW w:w="388" w:type="pct"/>
            <w:tcBorders>
              <w:tl2br w:val="nil"/>
              <w:tr2bl w:val="nil"/>
            </w:tcBorders>
            <w:vAlign w:val="center"/>
          </w:tcPr>
          <w:p w14:paraId="5E00773E">
            <w:pPr>
              <w:pStyle w:val="42"/>
              <w:bidi w:val="0"/>
              <w:jc w:val="center"/>
            </w:pPr>
            <w:r>
              <w:t>mg/kg</w:t>
            </w:r>
          </w:p>
        </w:tc>
        <w:tc>
          <w:tcPr>
            <w:tcW w:w="560" w:type="pct"/>
            <w:tcBorders>
              <w:tl2br w:val="nil"/>
              <w:tr2bl w:val="nil"/>
            </w:tcBorders>
            <w:vAlign w:val="center"/>
          </w:tcPr>
          <w:p w14:paraId="1E824221">
            <w:pPr>
              <w:pStyle w:val="42"/>
              <w:bidi w:val="0"/>
              <w:jc w:val="center"/>
            </w:pPr>
            <w:r>
              <w:t>2.6×10-3L</w:t>
            </w:r>
          </w:p>
        </w:tc>
        <w:tc>
          <w:tcPr>
            <w:tcW w:w="562" w:type="pct"/>
            <w:tcBorders>
              <w:tl2br w:val="nil"/>
              <w:tr2bl w:val="nil"/>
            </w:tcBorders>
            <w:vAlign w:val="center"/>
          </w:tcPr>
          <w:p w14:paraId="2E22FE8F">
            <w:pPr>
              <w:pStyle w:val="42"/>
              <w:bidi w:val="0"/>
              <w:jc w:val="center"/>
            </w:pPr>
            <w:r>
              <w:t>616</w:t>
            </w:r>
          </w:p>
        </w:tc>
        <w:tc>
          <w:tcPr>
            <w:tcW w:w="555" w:type="pct"/>
            <w:tcBorders>
              <w:tl2br w:val="nil"/>
              <w:tr2bl w:val="nil"/>
            </w:tcBorders>
            <w:vAlign w:val="center"/>
          </w:tcPr>
          <w:p w14:paraId="27B17826">
            <w:pPr>
              <w:pStyle w:val="42"/>
              <w:bidi w:val="0"/>
              <w:jc w:val="center"/>
            </w:pPr>
            <w:r>
              <w:rPr>
                <w:rFonts w:hint="eastAsia"/>
                <w:lang w:val="en-US" w:eastAsia="zh-CN"/>
              </w:rPr>
              <w:t>是</w:t>
            </w:r>
          </w:p>
        </w:tc>
      </w:tr>
      <w:tr w14:paraId="422984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69E9089">
            <w:pPr>
              <w:pStyle w:val="42"/>
              <w:bidi w:val="0"/>
              <w:jc w:val="center"/>
            </w:pPr>
          </w:p>
        </w:tc>
        <w:tc>
          <w:tcPr>
            <w:tcW w:w="1044" w:type="pct"/>
            <w:vMerge w:val="continue"/>
            <w:tcBorders>
              <w:tl2br w:val="nil"/>
              <w:tr2bl w:val="nil"/>
            </w:tcBorders>
            <w:vAlign w:val="center"/>
          </w:tcPr>
          <w:p w14:paraId="3D9F39CF">
            <w:pPr>
              <w:pStyle w:val="42"/>
              <w:bidi w:val="0"/>
              <w:jc w:val="center"/>
            </w:pPr>
          </w:p>
        </w:tc>
        <w:tc>
          <w:tcPr>
            <w:tcW w:w="366" w:type="pct"/>
            <w:vMerge w:val="continue"/>
            <w:tcBorders>
              <w:tl2br w:val="nil"/>
              <w:tr2bl w:val="nil"/>
            </w:tcBorders>
            <w:vAlign w:val="center"/>
          </w:tcPr>
          <w:p w14:paraId="2DD0B331">
            <w:pPr>
              <w:pStyle w:val="42"/>
              <w:bidi w:val="0"/>
              <w:jc w:val="center"/>
            </w:pPr>
          </w:p>
        </w:tc>
        <w:tc>
          <w:tcPr>
            <w:tcW w:w="940" w:type="pct"/>
            <w:gridSpan w:val="2"/>
            <w:tcBorders>
              <w:tl2br w:val="nil"/>
              <w:tr2bl w:val="nil"/>
            </w:tcBorders>
            <w:vAlign w:val="center"/>
          </w:tcPr>
          <w:p w14:paraId="75A836F8">
            <w:pPr>
              <w:pStyle w:val="42"/>
              <w:bidi w:val="0"/>
              <w:jc w:val="center"/>
            </w:pPr>
            <w:r>
              <w:t>1,2-二氯丙烷</w:t>
            </w:r>
          </w:p>
        </w:tc>
        <w:tc>
          <w:tcPr>
            <w:tcW w:w="388" w:type="pct"/>
            <w:tcBorders>
              <w:tl2br w:val="nil"/>
              <w:tr2bl w:val="nil"/>
            </w:tcBorders>
            <w:vAlign w:val="center"/>
          </w:tcPr>
          <w:p w14:paraId="581E5958">
            <w:pPr>
              <w:pStyle w:val="42"/>
              <w:bidi w:val="0"/>
              <w:jc w:val="center"/>
            </w:pPr>
            <w:r>
              <w:t>mg/kg</w:t>
            </w:r>
          </w:p>
        </w:tc>
        <w:tc>
          <w:tcPr>
            <w:tcW w:w="560" w:type="pct"/>
            <w:tcBorders>
              <w:tl2br w:val="nil"/>
              <w:tr2bl w:val="nil"/>
            </w:tcBorders>
            <w:vAlign w:val="center"/>
          </w:tcPr>
          <w:p w14:paraId="6D7D1449">
            <w:pPr>
              <w:pStyle w:val="42"/>
              <w:bidi w:val="0"/>
              <w:jc w:val="center"/>
            </w:pPr>
            <w:r>
              <w:t>1.9×10-3L</w:t>
            </w:r>
          </w:p>
        </w:tc>
        <w:tc>
          <w:tcPr>
            <w:tcW w:w="562" w:type="pct"/>
            <w:tcBorders>
              <w:tl2br w:val="nil"/>
              <w:tr2bl w:val="nil"/>
            </w:tcBorders>
            <w:vAlign w:val="center"/>
          </w:tcPr>
          <w:p w14:paraId="07632C36">
            <w:pPr>
              <w:pStyle w:val="42"/>
              <w:bidi w:val="0"/>
              <w:jc w:val="center"/>
            </w:pPr>
            <w:r>
              <w:t>5</w:t>
            </w:r>
          </w:p>
        </w:tc>
        <w:tc>
          <w:tcPr>
            <w:tcW w:w="555" w:type="pct"/>
            <w:tcBorders>
              <w:tl2br w:val="nil"/>
              <w:tr2bl w:val="nil"/>
            </w:tcBorders>
            <w:vAlign w:val="center"/>
          </w:tcPr>
          <w:p w14:paraId="05C1C24A">
            <w:pPr>
              <w:pStyle w:val="42"/>
              <w:bidi w:val="0"/>
              <w:jc w:val="center"/>
            </w:pPr>
            <w:r>
              <w:rPr>
                <w:rFonts w:hint="eastAsia"/>
                <w:lang w:val="en-US" w:eastAsia="zh-CN"/>
              </w:rPr>
              <w:t>是</w:t>
            </w:r>
          </w:p>
        </w:tc>
      </w:tr>
      <w:tr w14:paraId="1BFAAA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24D9142A">
            <w:pPr>
              <w:pStyle w:val="42"/>
              <w:bidi w:val="0"/>
              <w:jc w:val="center"/>
            </w:pPr>
          </w:p>
        </w:tc>
        <w:tc>
          <w:tcPr>
            <w:tcW w:w="1044" w:type="pct"/>
            <w:vMerge w:val="continue"/>
            <w:tcBorders>
              <w:tl2br w:val="nil"/>
              <w:tr2bl w:val="nil"/>
            </w:tcBorders>
            <w:vAlign w:val="center"/>
          </w:tcPr>
          <w:p w14:paraId="555A74B5">
            <w:pPr>
              <w:pStyle w:val="42"/>
              <w:bidi w:val="0"/>
              <w:jc w:val="center"/>
            </w:pPr>
          </w:p>
        </w:tc>
        <w:tc>
          <w:tcPr>
            <w:tcW w:w="366" w:type="pct"/>
            <w:vMerge w:val="continue"/>
            <w:tcBorders>
              <w:tl2br w:val="nil"/>
              <w:tr2bl w:val="nil"/>
            </w:tcBorders>
            <w:vAlign w:val="center"/>
          </w:tcPr>
          <w:p w14:paraId="424ECE11">
            <w:pPr>
              <w:pStyle w:val="42"/>
              <w:bidi w:val="0"/>
              <w:jc w:val="center"/>
            </w:pPr>
          </w:p>
        </w:tc>
        <w:tc>
          <w:tcPr>
            <w:tcW w:w="313" w:type="pct"/>
            <w:vMerge w:val="restart"/>
            <w:tcBorders>
              <w:tl2br w:val="nil"/>
              <w:tr2bl w:val="nil"/>
            </w:tcBorders>
            <w:vAlign w:val="center"/>
          </w:tcPr>
          <w:p w14:paraId="2A61CD73">
            <w:pPr>
              <w:pStyle w:val="42"/>
              <w:bidi w:val="0"/>
              <w:jc w:val="center"/>
            </w:pPr>
            <w:r>
              <w:t>四氯</w:t>
            </w:r>
          </w:p>
          <w:p w14:paraId="69CB9C9C">
            <w:pPr>
              <w:pStyle w:val="42"/>
              <w:bidi w:val="0"/>
              <w:jc w:val="center"/>
            </w:pPr>
            <w:r>
              <w:t>乙烷</w:t>
            </w:r>
          </w:p>
        </w:tc>
        <w:tc>
          <w:tcPr>
            <w:tcW w:w="626" w:type="pct"/>
            <w:tcBorders>
              <w:tl2br w:val="nil"/>
              <w:tr2bl w:val="nil"/>
            </w:tcBorders>
            <w:vAlign w:val="center"/>
          </w:tcPr>
          <w:p w14:paraId="719D4370">
            <w:pPr>
              <w:pStyle w:val="42"/>
              <w:bidi w:val="0"/>
              <w:jc w:val="center"/>
            </w:pPr>
            <w:r>
              <w:t>1,1,1,2-四氯乙烷</w:t>
            </w:r>
          </w:p>
        </w:tc>
        <w:tc>
          <w:tcPr>
            <w:tcW w:w="388" w:type="pct"/>
            <w:tcBorders>
              <w:tl2br w:val="nil"/>
              <w:tr2bl w:val="nil"/>
            </w:tcBorders>
            <w:vAlign w:val="center"/>
          </w:tcPr>
          <w:p w14:paraId="2308A3A8">
            <w:pPr>
              <w:pStyle w:val="42"/>
              <w:bidi w:val="0"/>
              <w:jc w:val="center"/>
            </w:pPr>
            <w:r>
              <w:t>mg/kg</w:t>
            </w:r>
          </w:p>
        </w:tc>
        <w:tc>
          <w:tcPr>
            <w:tcW w:w="560" w:type="pct"/>
            <w:tcBorders>
              <w:tl2br w:val="nil"/>
              <w:tr2bl w:val="nil"/>
            </w:tcBorders>
            <w:vAlign w:val="center"/>
          </w:tcPr>
          <w:p w14:paraId="3687FD62">
            <w:pPr>
              <w:pStyle w:val="42"/>
              <w:bidi w:val="0"/>
              <w:jc w:val="center"/>
            </w:pPr>
            <w:r>
              <w:t>1.0×10-3L</w:t>
            </w:r>
          </w:p>
        </w:tc>
        <w:tc>
          <w:tcPr>
            <w:tcW w:w="562" w:type="pct"/>
            <w:tcBorders>
              <w:tl2br w:val="nil"/>
              <w:tr2bl w:val="nil"/>
            </w:tcBorders>
            <w:vAlign w:val="center"/>
          </w:tcPr>
          <w:p w14:paraId="68C96EAA">
            <w:pPr>
              <w:pStyle w:val="42"/>
              <w:bidi w:val="0"/>
              <w:jc w:val="center"/>
            </w:pPr>
            <w:r>
              <w:t>10</w:t>
            </w:r>
          </w:p>
        </w:tc>
        <w:tc>
          <w:tcPr>
            <w:tcW w:w="555" w:type="pct"/>
            <w:tcBorders>
              <w:tl2br w:val="nil"/>
              <w:tr2bl w:val="nil"/>
            </w:tcBorders>
            <w:vAlign w:val="center"/>
          </w:tcPr>
          <w:p w14:paraId="0F763593">
            <w:pPr>
              <w:pStyle w:val="42"/>
              <w:bidi w:val="0"/>
              <w:jc w:val="center"/>
            </w:pPr>
            <w:r>
              <w:rPr>
                <w:rFonts w:hint="eastAsia"/>
                <w:lang w:val="en-US" w:eastAsia="zh-CN"/>
              </w:rPr>
              <w:t>是</w:t>
            </w:r>
          </w:p>
        </w:tc>
      </w:tr>
      <w:tr w14:paraId="4FD31E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0B1DF76">
            <w:pPr>
              <w:pStyle w:val="42"/>
              <w:bidi w:val="0"/>
              <w:jc w:val="center"/>
            </w:pPr>
          </w:p>
        </w:tc>
        <w:tc>
          <w:tcPr>
            <w:tcW w:w="1044" w:type="pct"/>
            <w:vMerge w:val="continue"/>
            <w:tcBorders>
              <w:tl2br w:val="nil"/>
              <w:tr2bl w:val="nil"/>
            </w:tcBorders>
            <w:vAlign w:val="center"/>
          </w:tcPr>
          <w:p w14:paraId="235D7F9C">
            <w:pPr>
              <w:pStyle w:val="42"/>
              <w:bidi w:val="0"/>
              <w:jc w:val="center"/>
            </w:pPr>
          </w:p>
        </w:tc>
        <w:tc>
          <w:tcPr>
            <w:tcW w:w="366" w:type="pct"/>
            <w:vMerge w:val="continue"/>
            <w:tcBorders>
              <w:tl2br w:val="nil"/>
              <w:tr2bl w:val="nil"/>
            </w:tcBorders>
            <w:vAlign w:val="center"/>
          </w:tcPr>
          <w:p w14:paraId="70305340">
            <w:pPr>
              <w:pStyle w:val="42"/>
              <w:bidi w:val="0"/>
              <w:jc w:val="center"/>
            </w:pPr>
          </w:p>
        </w:tc>
        <w:tc>
          <w:tcPr>
            <w:tcW w:w="313" w:type="pct"/>
            <w:vMerge w:val="continue"/>
            <w:tcBorders>
              <w:tl2br w:val="nil"/>
              <w:tr2bl w:val="nil"/>
            </w:tcBorders>
            <w:vAlign w:val="center"/>
          </w:tcPr>
          <w:p w14:paraId="66C5CCC0">
            <w:pPr>
              <w:pStyle w:val="42"/>
              <w:bidi w:val="0"/>
              <w:jc w:val="center"/>
            </w:pPr>
          </w:p>
        </w:tc>
        <w:tc>
          <w:tcPr>
            <w:tcW w:w="626" w:type="pct"/>
            <w:tcBorders>
              <w:tl2br w:val="nil"/>
              <w:tr2bl w:val="nil"/>
            </w:tcBorders>
            <w:vAlign w:val="center"/>
          </w:tcPr>
          <w:p w14:paraId="3D0290DC">
            <w:pPr>
              <w:pStyle w:val="42"/>
              <w:bidi w:val="0"/>
              <w:jc w:val="center"/>
            </w:pPr>
            <w:r>
              <w:t>1,1,2,2-四氯乙烷</w:t>
            </w:r>
          </w:p>
        </w:tc>
        <w:tc>
          <w:tcPr>
            <w:tcW w:w="388" w:type="pct"/>
            <w:tcBorders>
              <w:tl2br w:val="nil"/>
              <w:tr2bl w:val="nil"/>
            </w:tcBorders>
            <w:vAlign w:val="center"/>
          </w:tcPr>
          <w:p w14:paraId="0D16EE77">
            <w:pPr>
              <w:pStyle w:val="42"/>
              <w:bidi w:val="0"/>
              <w:jc w:val="center"/>
            </w:pPr>
            <w:r>
              <w:t>mg/kg</w:t>
            </w:r>
          </w:p>
        </w:tc>
        <w:tc>
          <w:tcPr>
            <w:tcW w:w="560" w:type="pct"/>
            <w:tcBorders>
              <w:tl2br w:val="nil"/>
              <w:tr2bl w:val="nil"/>
            </w:tcBorders>
            <w:vAlign w:val="center"/>
          </w:tcPr>
          <w:p w14:paraId="1AD339EE">
            <w:pPr>
              <w:pStyle w:val="42"/>
              <w:bidi w:val="0"/>
              <w:jc w:val="center"/>
            </w:pPr>
            <w:r>
              <w:t>1.0×10-3L</w:t>
            </w:r>
          </w:p>
        </w:tc>
        <w:tc>
          <w:tcPr>
            <w:tcW w:w="562" w:type="pct"/>
            <w:tcBorders>
              <w:tl2br w:val="nil"/>
              <w:tr2bl w:val="nil"/>
            </w:tcBorders>
            <w:vAlign w:val="center"/>
          </w:tcPr>
          <w:p w14:paraId="775E3CE8">
            <w:pPr>
              <w:pStyle w:val="42"/>
              <w:bidi w:val="0"/>
              <w:jc w:val="center"/>
            </w:pPr>
            <w:r>
              <w:t>6.8</w:t>
            </w:r>
          </w:p>
        </w:tc>
        <w:tc>
          <w:tcPr>
            <w:tcW w:w="555" w:type="pct"/>
            <w:tcBorders>
              <w:tl2br w:val="nil"/>
              <w:tr2bl w:val="nil"/>
            </w:tcBorders>
            <w:vAlign w:val="center"/>
          </w:tcPr>
          <w:p w14:paraId="57F22646">
            <w:pPr>
              <w:pStyle w:val="42"/>
              <w:bidi w:val="0"/>
              <w:jc w:val="center"/>
            </w:pPr>
            <w:r>
              <w:rPr>
                <w:rFonts w:hint="eastAsia"/>
                <w:lang w:val="en-US" w:eastAsia="zh-CN"/>
              </w:rPr>
              <w:t>是</w:t>
            </w:r>
          </w:p>
        </w:tc>
      </w:tr>
      <w:tr w14:paraId="108875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59F137C9">
            <w:pPr>
              <w:pStyle w:val="42"/>
              <w:bidi w:val="0"/>
              <w:jc w:val="center"/>
            </w:pPr>
          </w:p>
        </w:tc>
        <w:tc>
          <w:tcPr>
            <w:tcW w:w="1044" w:type="pct"/>
            <w:vMerge w:val="continue"/>
            <w:tcBorders>
              <w:tl2br w:val="nil"/>
              <w:tr2bl w:val="nil"/>
            </w:tcBorders>
            <w:vAlign w:val="center"/>
          </w:tcPr>
          <w:p w14:paraId="7CB3EEE2">
            <w:pPr>
              <w:pStyle w:val="42"/>
              <w:bidi w:val="0"/>
              <w:jc w:val="center"/>
            </w:pPr>
          </w:p>
        </w:tc>
        <w:tc>
          <w:tcPr>
            <w:tcW w:w="366" w:type="pct"/>
            <w:vMerge w:val="continue"/>
            <w:tcBorders>
              <w:tl2br w:val="nil"/>
              <w:tr2bl w:val="nil"/>
            </w:tcBorders>
            <w:vAlign w:val="center"/>
          </w:tcPr>
          <w:p w14:paraId="5BA5DF3D">
            <w:pPr>
              <w:pStyle w:val="42"/>
              <w:bidi w:val="0"/>
              <w:jc w:val="center"/>
            </w:pPr>
          </w:p>
        </w:tc>
        <w:tc>
          <w:tcPr>
            <w:tcW w:w="940" w:type="pct"/>
            <w:gridSpan w:val="2"/>
            <w:tcBorders>
              <w:tl2br w:val="nil"/>
              <w:tr2bl w:val="nil"/>
            </w:tcBorders>
            <w:vAlign w:val="center"/>
          </w:tcPr>
          <w:p w14:paraId="1AC228D4">
            <w:pPr>
              <w:pStyle w:val="42"/>
              <w:bidi w:val="0"/>
              <w:jc w:val="center"/>
            </w:pPr>
            <w:r>
              <w:t>四氯乙烯</w:t>
            </w:r>
          </w:p>
        </w:tc>
        <w:tc>
          <w:tcPr>
            <w:tcW w:w="388" w:type="pct"/>
            <w:tcBorders>
              <w:tl2br w:val="nil"/>
              <w:tr2bl w:val="nil"/>
            </w:tcBorders>
            <w:vAlign w:val="center"/>
          </w:tcPr>
          <w:p w14:paraId="68EB0F93">
            <w:pPr>
              <w:pStyle w:val="42"/>
              <w:bidi w:val="0"/>
              <w:jc w:val="center"/>
            </w:pPr>
            <w:r>
              <w:t>mg/kg</w:t>
            </w:r>
          </w:p>
        </w:tc>
        <w:tc>
          <w:tcPr>
            <w:tcW w:w="560" w:type="pct"/>
            <w:tcBorders>
              <w:tl2br w:val="nil"/>
              <w:tr2bl w:val="nil"/>
            </w:tcBorders>
            <w:vAlign w:val="center"/>
          </w:tcPr>
          <w:p w14:paraId="00FAA019">
            <w:pPr>
              <w:pStyle w:val="42"/>
              <w:bidi w:val="0"/>
              <w:jc w:val="center"/>
            </w:pPr>
            <w:r>
              <w:t>0.8×10-3L</w:t>
            </w:r>
          </w:p>
        </w:tc>
        <w:tc>
          <w:tcPr>
            <w:tcW w:w="562" w:type="pct"/>
            <w:tcBorders>
              <w:tl2br w:val="nil"/>
              <w:tr2bl w:val="nil"/>
            </w:tcBorders>
            <w:vAlign w:val="center"/>
          </w:tcPr>
          <w:p w14:paraId="116A0666">
            <w:pPr>
              <w:pStyle w:val="42"/>
              <w:bidi w:val="0"/>
              <w:jc w:val="center"/>
            </w:pPr>
            <w:r>
              <w:t>53</w:t>
            </w:r>
          </w:p>
        </w:tc>
        <w:tc>
          <w:tcPr>
            <w:tcW w:w="555" w:type="pct"/>
            <w:tcBorders>
              <w:tl2br w:val="nil"/>
              <w:tr2bl w:val="nil"/>
            </w:tcBorders>
            <w:vAlign w:val="center"/>
          </w:tcPr>
          <w:p w14:paraId="517B2E62">
            <w:pPr>
              <w:pStyle w:val="42"/>
              <w:bidi w:val="0"/>
              <w:jc w:val="center"/>
            </w:pPr>
            <w:r>
              <w:rPr>
                <w:rFonts w:hint="eastAsia"/>
                <w:lang w:val="en-US" w:eastAsia="zh-CN"/>
              </w:rPr>
              <w:t>是</w:t>
            </w:r>
          </w:p>
        </w:tc>
      </w:tr>
      <w:tr w14:paraId="5FBA1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0B5AC963">
            <w:pPr>
              <w:pStyle w:val="42"/>
              <w:bidi w:val="0"/>
              <w:jc w:val="center"/>
            </w:pPr>
          </w:p>
        </w:tc>
        <w:tc>
          <w:tcPr>
            <w:tcW w:w="1044" w:type="pct"/>
            <w:vMerge w:val="continue"/>
            <w:tcBorders>
              <w:tl2br w:val="nil"/>
              <w:tr2bl w:val="nil"/>
            </w:tcBorders>
            <w:vAlign w:val="center"/>
          </w:tcPr>
          <w:p w14:paraId="4B91CDA6">
            <w:pPr>
              <w:pStyle w:val="42"/>
              <w:bidi w:val="0"/>
              <w:jc w:val="center"/>
            </w:pPr>
          </w:p>
        </w:tc>
        <w:tc>
          <w:tcPr>
            <w:tcW w:w="366" w:type="pct"/>
            <w:vMerge w:val="continue"/>
            <w:tcBorders>
              <w:tl2br w:val="nil"/>
              <w:tr2bl w:val="nil"/>
            </w:tcBorders>
            <w:vAlign w:val="center"/>
          </w:tcPr>
          <w:p w14:paraId="7E3DEF57">
            <w:pPr>
              <w:pStyle w:val="42"/>
              <w:bidi w:val="0"/>
              <w:jc w:val="center"/>
            </w:pPr>
          </w:p>
        </w:tc>
        <w:tc>
          <w:tcPr>
            <w:tcW w:w="313" w:type="pct"/>
            <w:vMerge w:val="restart"/>
            <w:tcBorders>
              <w:tl2br w:val="nil"/>
              <w:tr2bl w:val="nil"/>
            </w:tcBorders>
            <w:vAlign w:val="center"/>
          </w:tcPr>
          <w:p w14:paraId="5B969C3A">
            <w:pPr>
              <w:pStyle w:val="42"/>
              <w:bidi w:val="0"/>
              <w:jc w:val="center"/>
            </w:pPr>
            <w:r>
              <w:t>三氯</w:t>
            </w:r>
          </w:p>
          <w:p w14:paraId="21B16B2F">
            <w:pPr>
              <w:pStyle w:val="42"/>
              <w:bidi w:val="0"/>
              <w:jc w:val="center"/>
            </w:pPr>
            <w:r>
              <w:t>乙烷</w:t>
            </w:r>
          </w:p>
        </w:tc>
        <w:tc>
          <w:tcPr>
            <w:tcW w:w="626" w:type="pct"/>
            <w:tcBorders>
              <w:tl2br w:val="nil"/>
              <w:tr2bl w:val="nil"/>
            </w:tcBorders>
            <w:vAlign w:val="center"/>
          </w:tcPr>
          <w:p w14:paraId="2E837530">
            <w:pPr>
              <w:pStyle w:val="42"/>
              <w:bidi w:val="0"/>
              <w:jc w:val="center"/>
            </w:pPr>
            <w:r>
              <w:t>1,1,1-三氯乙烷</w:t>
            </w:r>
          </w:p>
        </w:tc>
        <w:tc>
          <w:tcPr>
            <w:tcW w:w="388" w:type="pct"/>
            <w:tcBorders>
              <w:tl2br w:val="nil"/>
              <w:tr2bl w:val="nil"/>
            </w:tcBorders>
            <w:vAlign w:val="center"/>
          </w:tcPr>
          <w:p w14:paraId="0B9CE9CB">
            <w:pPr>
              <w:pStyle w:val="42"/>
              <w:bidi w:val="0"/>
              <w:jc w:val="center"/>
            </w:pPr>
            <w:r>
              <w:t>mg/kg</w:t>
            </w:r>
          </w:p>
        </w:tc>
        <w:tc>
          <w:tcPr>
            <w:tcW w:w="560" w:type="pct"/>
            <w:tcBorders>
              <w:tl2br w:val="nil"/>
              <w:tr2bl w:val="nil"/>
            </w:tcBorders>
            <w:vAlign w:val="center"/>
          </w:tcPr>
          <w:p w14:paraId="735E0797">
            <w:pPr>
              <w:pStyle w:val="42"/>
              <w:bidi w:val="0"/>
              <w:jc w:val="center"/>
            </w:pPr>
            <w:r>
              <w:t>1.1×10-3L</w:t>
            </w:r>
          </w:p>
        </w:tc>
        <w:tc>
          <w:tcPr>
            <w:tcW w:w="562" w:type="pct"/>
            <w:tcBorders>
              <w:tl2br w:val="nil"/>
              <w:tr2bl w:val="nil"/>
            </w:tcBorders>
            <w:vAlign w:val="center"/>
          </w:tcPr>
          <w:p w14:paraId="0775159C">
            <w:pPr>
              <w:pStyle w:val="42"/>
              <w:bidi w:val="0"/>
              <w:jc w:val="center"/>
            </w:pPr>
            <w:r>
              <w:t>840</w:t>
            </w:r>
          </w:p>
        </w:tc>
        <w:tc>
          <w:tcPr>
            <w:tcW w:w="555" w:type="pct"/>
            <w:tcBorders>
              <w:tl2br w:val="nil"/>
              <w:tr2bl w:val="nil"/>
            </w:tcBorders>
            <w:vAlign w:val="center"/>
          </w:tcPr>
          <w:p w14:paraId="590BCC1D">
            <w:pPr>
              <w:pStyle w:val="42"/>
              <w:bidi w:val="0"/>
              <w:jc w:val="center"/>
            </w:pPr>
            <w:r>
              <w:rPr>
                <w:rFonts w:hint="eastAsia"/>
                <w:lang w:val="en-US" w:eastAsia="zh-CN"/>
              </w:rPr>
              <w:t>是</w:t>
            </w:r>
          </w:p>
        </w:tc>
      </w:tr>
      <w:tr w14:paraId="2D0C7E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C7412A4">
            <w:pPr>
              <w:pStyle w:val="42"/>
              <w:bidi w:val="0"/>
              <w:jc w:val="center"/>
            </w:pPr>
          </w:p>
        </w:tc>
        <w:tc>
          <w:tcPr>
            <w:tcW w:w="1044" w:type="pct"/>
            <w:vMerge w:val="continue"/>
            <w:tcBorders>
              <w:tl2br w:val="nil"/>
              <w:tr2bl w:val="nil"/>
            </w:tcBorders>
            <w:vAlign w:val="center"/>
          </w:tcPr>
          <w:p w14:paraId="69D6DF60">
            <w:pPr>
              <w:pStyle w:val="42"/>
              <w:bidi w:val="0"/>
              <w:jc w:val="center"/>
            </w:pPr>
          </w:p>
        </w:tc>
        <w:tc>
          <w:tcPr>
            <w:tcW w:w="366" w:type="pct"/>
            <w:vMerge w:val="continue"/>
            <w:tcBorders>
              <w:tl2br w:val="nil"/>
              <w:tr2bl w:val="nil"/>
            </w:tcBorders>
            <w:vAlign w:val="center"/>
          </w:tcPr>
          <w:p w14:paraId="3257A853">
            <w:pPr>
              <w:pStyle w:val="42"/>
              <w:bidi w:val="0"/>
              <w:jc w:val="center"/>
            </w:pPr>
          </w:p>
        </w:tc>
        <w:tc>
          <w:tcPr>
            <w:tcW w:w="313" w:type="pct"/>
            <w:vMerge w:val="continue"/>
            <w:tcBorders>
              <w:tl2br w:val="nil"/>
              <w:tr2bl w:val="nil"/>
            </w:tcBorders>
            <w:vAlign w:val="center"/>
          </w:tcPr>
          <w:p w14:paraId="7E851A0A">
            <w:pPr>
              <w:pStyle w:val="42"/>
              <w:bidi w:val="0"/>
              <w:jc w:val="center"/>
            </w:pPr>
          </w:p>
        </w:tc>
        <w:tc>
          <w:tcPr>
            <w:tcW w:w="626" w:type="pct"/>
            <w:tcBorders>
              <w:tl2br w:val="nil"/>
              <w:tr2bl w:val="nil"/>
            </w:tcBorders>
            <w:vAlign w:val="center"/>
          </w:tcPr>
          <w:p w14:paraId="412E5947">
            <w:pPr>
              <w:pStyle w:val="42"/>
              <w:bidi w:val="0"/>
              <w:jc w:val="center"/>
            </w:pPr>
            <w:r>
              <w:t>1,1,2-三氯乙烷</w:t>
            </w:r>
          </w:p>
        </w:tc>
        <w:tc>
          <w:tcPr>
            <w:tcW w:w="388" w:type="pct"/>
            <w:tcBorders>
              <w:tl2br w:val="nil"/>
              <w:tr2bl w:val="nil"/>
            </w:tcBorders>
            <w:vAlign w:val="center"/>
          </w:tcPr>
          <w:p w14:paraId="6F098941">
            <w:pPr>
              <w:pStyle w:val="42"/>
              <w:bidi w:val="0"/>
              <w:jc w:val="center"/>
            </w:pPr>
            <w:r>
              <w:t>mg/kg</w:t>
            </w:r>
          </w:p>
        </w:tc>
        <w:tc>
          <w:tcPr>
            <w:tcW w:w="560" w:type="pct"/>
            <w:tcBorders>
              <w:tl2br w:val="nil"/>
              <w:tr2bl w:val="nil"/>
            </w:tcBorders>
            <w:vAlign w:val="center"/>
          </w:tcPr>
          <w:p w14:paraId="1C7606DA">
            <w:pPr>
              <w:pStyle w:val="42"/>
              <w:bidi w:val="0"/>
              <w:jc w:val="center"/>
            </w:pPr>
            <w:r>
              <w:t>1.4×10-3L</w:t>
            </w:r>
          </w:p>
        </w:tc>
        <w:tc>
          <w:tcPr>
            <w:tcW w:w="562" w:type="pct"/>
            <w:tcBorders>
              <w:tl2br w:val="nil"/>
              <w:tr2bl w:val="nil"/>
            </w:tcBorders>
            <w:vAlign w:val="center"/>
          </w:tcPr>
          <w:p w14:paraId="62E19E5E">
            <w:pPr>
              <w:pStyle w:val="42"/>
              <w:bidi w:val="0"/>
              <w:jc w:val="center"/>
            </w:pPr>
            <w:r>
              <w:t>2.8</w:t>
            </w:r>
          </w:p>
        </w:tc>
        <w:tc>
          <w:tcPr>
            <w:tcW w:w="555" w:type="pct"/>
            <w:tcBorders>
              <w:tl2br w:val="nil"/>
              <w:tr2bl w:val="nil"/>
            </w:tcBorders>
            <w:vAlign w:val="center"/>
          </w:tcPr>
          <w:p w14:paraId="47A59F31">
            <w:pPr>
              <w:pStyle w:val="42"/>
              <w:bidi w:val="0"/>
              <w:jc w:val="center"/>
            </w:pPr>
            <w:r>
              <w:rPr>
                <w:rFonts w:hint="eastAsia"/>
                <w:lang w:val="en-US" w:eastAsia="zh-CN"/>
              </w:rPr>
              <w:t>是</w:t>
            </w:r>
          </w:p>
        </w:tc>
      </w:tr>
      <w:tr w14:paraId="04F049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E84DAEA">
            <w:pPr>
              <w:pStyle w:val="42"/>
              <w:bidi w:val="0"/>
              <w:jc w:val="center"/>
            </w:pPr>
          </w:p>
        </w:tc>
        <w:tc>
          <w:tcPr>
            <w:tcW w:w="1044" w:type="pct"/>
            <w:vMerge w:val="continue"/>
            <w:tcBorders>
              <w:tl2br w:val="nil"/>
              <w:tr2bl w:val="nil"/>
            </w:tcBorders>
            <w:vAlign w:val="center"/>
          </w:tcPr>
          <w:p w14:paraId="73C296AA">
            <w:pPr>
              <w:pStyle w:val="42"/>
              <w:bidi w:val="0"/>
              <w:jc w:val="center"/>
            </w:pPr>
          </w:p>
        </w:tc>
        <w:tc>
          <w:tcPr>
            <w:tcW w:w="366" w:type="pct"/>
            <w:vMerge w:val="continue"/>
            <w:tcBorders>
              <w:tl2br w:val="nil"/>
              <w:tr2bl w:val="nil"/>
            </w:tcBorders>
            <w:vAlign w:val="center"/>
          </w:tcPr>
          <w:p w14:paraId="0A899986">
            <w:pPr>
              <w:pStyle w:val="42"/>
              <w:bidi w:val="0"/>
              <w:jc w:val="center"/>
            </w:pPr>
          </w:p>
        </w:tc>
        <w:tc>
          <w:tcPr>
            <w:tcW w:w="940" w:type="pct"/>
            <w:gridSpan w:val="2"/>
            <w:tcBorders>
              <w:tl2br w:val="nil"/>
              <w:tr2bl w:val="nil"/>
            </w:tcBorders>
            <w:vAlign w:val="center"/>
          </w:tcPr>
          <w:p w14:paraId="3B880CD6">
            <w:pPr>
              <w:pStyle w:val="42"/>
              <w:bidi w:val="0"/>
              <w:jc w:val="center"/>
            </w:pPr>
            <w:r>
              <w:t>三氯乙烯</w:t>
            </w:r>
          </w:p>
        </w:tc>
        <w:tc>
          <w:tcPr>
            <w:tcW w:w="388" w:type="pct"/>
            <w:tcBorders>
              <w:tl2br w:val="nil"/>
              <w:tr2bl w:val="nil"/>
            </w:tcBorders>
            <w:vAlign w:val="center"/>
          </w:tcPr>
          <w:p w14:paraId="777CC15A">
            <w:pPr>
              <w:pStyle w:val="42"/>
              <w:bidi w:val="0"/>
              <w:jc w:val="center"/>
            </w:pPr>
            <w:r>
              <w:t>mg/kg</w:t>
            </w:r>
          </w:p>
        </w:tc>
        <w:tc>
          <w:tcPr>
            <w:tcW w:w="560" w:type="pct"/>
            <w:tcBorders>
              <w:tl2br w:val="nil"/>
              <w:tr2bl w:val="nil"/>
            </w:tcBorders>
            <w:vAlign w:val="center"/>
          </w:tcPr>
          <w:p w14:paraId="41D101AB">
            <w:pPr>
              <w:pStyle w:val="42"/>
              <w:bidi w:val="0"/>
              <w:jc w:val="center"/>
            </w:pPr>
            <w:r>
              <w:t>0.9×10-3L</w:t>
            </w:r>
          </w:p>
        </w:tc>
        <w:tc>
          <w:tcPr>
            <w:tcW w:w="562" w:type="pct"/>
            <w:tcBorders>
              <w:tl2br w:val="nil"/>
              <w:tr2bl w:val="nil"/>
            </w:tcBorders>
            <w:vAlign w:val="center"/>
          </w:tcPr>
          <w:p w14:paraId="5EAA825E">
            <w:pPr>
              <w:pStyle w:val="42"/>
              <w:bidi w:val="0"/>
              <w:jc w:val="center"/>
            </w:pPr>
            <w:r>
              <w:t>2.8</w:t>
            </w:r>
          </w:p>
        </w:tc>
        <w:tc>
          <w:tcPr>
            <w:tcW w:w="555" w:type="pct"/>
            <w:tcBorders>
              <w:tl2br w:val="nil"/>
              <w:tr2bl w:val="nil"/>
            </w:tcBorders>
            <w:vAlign w:val="center"/>
          </w:tcPr>
          <w:p w14:paraId="2632043A">
            <w:pPr>
              <w:pStyle w:val="42"/>
              <w:bidi w:val="0"/>
              <w:jc w:val="center"/>
            </w:pPr>
            <w:r>
              <w:rPr>
                <w:rFonts w:hint="eastAsia"/>
                <w:lang w:val="en-US" w:eastAsia="zh-CN"/>
              </w:rPr>
              <w:t>是</w:t>
            </w:r>
          </w:p>
        </w:tc>
      </w:tr>
      <w:tr w14:paraId="09E6E3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CCD5248">
            <w:pPr>
              <w:pStyle w:val="42"/>
              <w:bidi w:val="0"/>
              <w:jc w:val="center"/>
            </w:pPr>
          </w:p>
        </w:tc>
        <w:tc>
          <w:tcPr>
            <w:tcW w:w="1044" w:type="pct"/>
            <w:vMerge w:val="continue"/>
            <w:tcBorders>
              <w:tl2br w:val="nil"/>
              <w:tr2bl w:val="nil"/>
            </w:tcBorders>
            <w:vAlign w:val="center"/>
          </w:tcPr>
          <w:p w14:paraId="120FBDA5">
            <w:pPr>
              <w:pStyle w:val="42"/>
              <w:bidi w:val="0"/>
              <w:jc w:val="center"/>
            </w:pPr>
          </w:p>
        </w:tc>
        <w:tc>
          <w:tcPr>
            <w:tcW w:w="366" w:type="pct"/>
            <w:vMerge w:val="continue"/>
            <w:tcBorders>
              <w:tl2br w:val="nil"/>
              <w:tr2bl w:val="nil"/>
            </w:tcBorders>
            <w:vAlign w:val="center"/>
          </w:tcPr>
          <w:p w14:paraId="3D9DF3DC">
            <w:pPr>
              <w:pStyle w:val="42"/>
              <w:bidi w:val="0"/>
              <w:jc w:val="center"/>
            </w:pPr>
          </w:p>
        </w:tc>
        <w:tc>
          <w:tcPr>
            <w:tcW w:w="940" w:type="pct"/>
            <w:gridSpan w:val="2"/>
            <w:tcBorders>
              <w:tl2br w:val="nil"/>
              <w:tr2bl w:val="nil"/>
            </w:tcBorders>
            <w:vAlign w:val="center"/>
          </w:tcPr>
          <w:p w14:paraId="1FBCE4C4">
            <w:pPr>
              <w:pStyle w:val="42"/>
              <w:bidi w:val="0"/>
              <w:jc w:val="center"/>
            </w:pPr>
            <w:r>
              <w:t>1,2,3-三氯丙烷</w:t>
            </w:r>
          </w:p>
        </w:tc>
        <w:tc>
          <w:tcPr>
            <w:tcW w:w="388" w:type="pct"/>
            <w:tcBorders>
              <w:tl2br w:val="nil"/>
              <w:tr2bl w:val="nil"/>
            </w:tcBorders>
            <w:vAlign w:val="center"/>
          </w:tcPr>
          <w:p w14:paraId="74AED63D">
            <w:pPr>
              <w:pStyle w:val="42"/>
              <w:bidi w:val="0"/>
              <w:jc w:val="center"/>
            </w:pPr>
            <w:r>
              <w:t>mg/kg</w:t>
            </w:r>
          </w:p>
        </w:tc>
        <w:tc>
          <w:tcPr>
            <w:tcW w:w="560" w:type="pct"/>
            <w:tcBorders>
              <w:tl2br w:val="nil"/>
              <w:tr2bl w:val="nil"/>
            </w:tcBorders>
            <w:vAlign w:val="center"/>
          </w:tcPr>
          <w:p w14:paraId="305497FB">
            <w:pPr>
              <w:pStyle w:val="42"/>
              <w:bidi w:val="0"/>
              <w:jc w:val="center"/>
            </w:pPr>
            <w:r>
              <w:t>1.0×10-3L</w:t>
            </w:r>
          </w:p>
        </w:tc>
        <w:tc>
          <w:tcPr>
            <w:tcW w:w="562" w:type="pct"/>
            <w:tcBorders>
              <w:tl2br w:val="nil"/>
              <w:tr2bl w:val="nil"/>
            </w:tcBorders>
            <w:vAlign w:val="center"/>
          </w:tcPr>
          <w:p w14:paraId="00820A98">
            <w:pPr>
              <w:pStyle w:val="42"/>
              <w:bidi w:val="0"/>
              <w:jc w:val="center"/>
            </w:pPr>
            <w:r>
              <w:t>0.5</w:t>
            </w:r>
          </w:p>
        </w:tc>
        <w:tc>
          <w:tcPr>
            <w:tcW w:w="555" w:type="pct"/>
            <w:tcBorders>
              <w:tl2br w:val="nil"/>
              <w:tr2bl w:val="nil"/>
            </w:tcBorders>
            <w:vAlign w:val="center"/>
          </w:tcPr>
          <w:p w14:paraId="4938F2EE">
            <w:pPr>
              <w:pStyle w:val="42"/>
              <w:bidi w:val="0"/>
              <w:jc w:val="center"/>
            </w:pPr>
            <w:r>
              <w:rPr>
                <w:rFonts w:hint="eastAsia"/>
                <w:lang w:val="en-US" w:eastAsia="zh-CN"/>
              </w:rPr>
              <w:t>是</w:t>
            </w:r>
          </w:p>
        </w:tc>
      </w:tr>
      <w:tr w14:paraId="4CA609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1" w:hRule="atLeast"/>
        </w:trPr>
        <w:tc>
          <w:tcPr>
            <w:tcW w:w="580" w:type="pct"/>
            <w:vMerge w:val="continue"/>
            <w:tcBorders>
              <w:tl2br w:val="nil"/>
              <w:tr2bl w:val="nil"/>
            </w:tcBorders>
            <w:vAlign w:val="center"/>
          </w:tcPr>
          <w:p w14:paraId="574DB6BD">
            <w:pPr>
              <w:pStyle w:val="42"/>
              <w:bidi w:val="0"/>
              <w:jc w:val="center"/>
            </w:pPr>
          </w:p>
        </w:tc>
        <w:tc>
          <w:tcPr>
            <w:tcW w:w="1044" w:type="pct"/>
            <w:vMerge w:val="continue"/>
            <w:tcBorders>
              <w:tl2br w:val="nil"/>
              <w:tr2bl w:val="nil"/>
            </w:tcBorders>
            <w:vAlign w:val="center"/>
          </w:tcPr>
          <w:p w14:paraId="0E2B204D">
            <w:pPr>
              <w:pStyle w:val="42"/>
              <w:bidi w:val="0"/>
              <w:jc w:val="center"/>
            </w:pPr>
          </w:p>
        </w:tc>
        <w:tc>
          <w:tcPr>
            <w:tcW w:w="366" w:type="pct"/>
            <w:vMerge w:val="continue"/>
            <w:tcBorders>
              <w:tl2br w:val="nil"/>
              <w:tr2bl w:val="nil"/>
            </w:tcBorders>
            <w:vAlign w:val="center"/>
          </w:tcPr>
          <w:p w14:paraId="234A7EE2">
            <w:pPr>
              <w:pStyle w:val="42"/>
              <w:bidi w:val="0"/>
              <w:jc w:val="center"/>
            </w:pPr>
          </w:p>
        </w:tc>
        <w:tc>
          <w:tcPr>
            <w:tcW w:w="940" w:type="pct"/>
            <w:gridSpan w:val="2"/>
            <w:tcBorders>
              <w:tl2br w:val="nil"/>
              <w:tr2bl w:val="nil"/>
            </w:tcBorders>
            <w:vAlign w:val="center"/>
          </w:tcPr>
          <w:p w14:paraId="250BE7C7">
            <w:pPr>
              <w:pStyle w:val="42"/>
              <w:bidi w:val="0"/>
              <w:jc w:val="center"/>
            </w:pPr>
            <w:r>
              <w:t>氯乙烯</w:t>
            </w:r>
          </w:p>
        </w:tc>
        <w:tc>
          <w:tcPr>
            <w:tcW w:w="388" w:type="pct"/>
            <w:tcBorders>
              <w:tl2br w:val="nil"/>
              <w:tr2bl w:val="nil"/>
            </w:tcBorders>
            <w:vAlign w:val="center"/>
          </w:tcPr>
          <w:p w14:paraId="4195B72C">
            <w:pPr>
              <w:pStyle w:val="42"/>
              <w:bidi w:val="0"/>
              <w:jc w:val="center"/>
            </w:pPr>
            <w:r>
              <w:t>mg/kg</w:t>
            </w:r>
          </w:p>
        </w:tc>
        <w:tc>
          <w:tcPr>
            <w:tcW w:w="560" w:type="pct"/>
            <w:tcBorders>
              <w:tl2br w:val="nil"/>
              <w:tr2bl w:val="nil"/>
            </w:tcBorders>
            <w:vAlign w:val="center"/>
          </w:tcPr>
          <w:p w14:paraId="209321A0">
            <w:pPr>
              <w:pStyle w:val="42"/>
              <w:bidi w:val="0"/>
              <w:jc w:val="center"/>
            </w:pPr>
            <w:r>
              <w:t>1.5×10-3L</w:t>
            </w:r>
          </w:p>
        </w:tc>
        <w:tc>
          <w:tcPr>
            <w:tcW w:w="562" w:type="pct"/>
            <w:tcBorders>
              <w:tl2br w:val="nil"/>
              <w:tr2bl w:val="nil"/>
            </w:tcBorders>
            <w:vAlign w:val="center"/>
          </w:tcPr>
          <w:p w14:paraId="46864E99">
            <w:pPr>
              <w:pStyle w:val="42"/>
              <w:bidi w:val="0"/>
              <w:jc w:val="center"/>
            </w:pPr>
            <w:r>
              <w:t>0.43</w:t>
            </w:r>
          </w:p>
        </w:tc>
        <w:tc>
          <w:tcPr>
            <w:tcW w:w="555" w:type="pct"/>
            <w:tcBorders>
              <w:tl2br w:val="nil"/>
              <w:tr2bl w:val="nil"/>
            </w:tcBorders>
            <w:vAlign w:val="center"/>
          </w:tcPr>
          <w:p w14:paraId="5CDC0597">
            <w:pPr>
              <w:pStyle w:val="42"/>
              <w:bidi w:val="0"/>
              <w:jc w:val="center"/>
            </w:pPr>
            <w:r>
              <w:rPr>
                <w:rFonts w:hint="eastAsia"/>
                <w:lang w:val="en-US" w:eastAsia="zh-CN"/>
              </w:rPr>
              <w:t>是</w:t>
            </w:r>
          </w:p>
        </w:tc>
      </w:tr>
      <w:tr w14:paraId="4A1379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restart"/>
            <w:tcBorders>
              <w:tl2br w:val="nil"/>
              <w:tr2bl w:val="nil"/>
            </w:tcBorders>
            <w:vAlign w:val="center"/>
          </w:tcPr>
          <w:p w14:paraId="4BCFE255">
            <w:pPr>
              <w:pStyle w:val="42"/>
              <w:bidi w:val="0"/>
              <w:jc w:val="center"/>
            </w:pPr>
            <w:r>
              <w:t>2025.02.24</w:t>
            </w:r>
          </w:p>
        </w:tc>
        <w:tc>
          <w:tcPr>
            <w:tcW w:w="1044" w:type="pct"/>
            <w:vMerge w:val="restart"/>
            <w:tcBorders>
              <w:tl2br w:val="nil"/>
              <w:tr2bl w:val="nil"/>
            </w:tcBorders>
            <w:vAlign w:val="center"/>
          </w:tcPr>
          <w:p w14:paraId="68BC5B50">
            <w:pPr>
              <w:pStyle w:val="42"/>
              <w:bidi w:val="0"/>
              <w:jc w:val="center"/>
            </w:pPr>
            <w:r>
              <w:t>T 1项目厂界内1#</w:t>
            </w:r>
          </w:p>
        </w:tc>
        <w:tc>
          <w:tcPr>
            <w:tcW w:w="366" w:type="pct"/>
            <w:vMerge w:val="restart"/>
            <w:tcBorders>
              <w:tl2br w:val="nil"/>
              <w:tr2bl w:val="nil"/>
            </w:tcBorders>
            <w:vAlign w:val="center"/>
          </w:tcPr>
          <w:p w14:paraId="2B2EF069">
            <w:pPr>
              <w:pStyle w:val="42"/>
              <w:bidi w:val="0"/>
              <w:jc w:val="center"/>
            </w:pPr>
            <w:r>
              <w:t>0-0.2m</w:t>
            </w:r>
          </w:p>
        </w:tc>
        <w:tc>
          <w:tcPr>
            <w:tcW w:w="940" w:type="pct"/>
            <w:gridSpan w:val="2"/>
            <w:tcBorders>
              <w:tl2br w:val="nil"/>
              <w:tr2bl w:val="nil"/>
            </w:tcBorders>
            <w:vAlign w:val="center"/>
          </w:tcPr>
          <w:p w14:paraId="510F839C">
            <w:pPr>
              <w:pStyle w:val="42"/>
              <w:bidi w:val="0"/>
              <w:jc w:val="center"/>
            </w:pPr>
            <w:r>
              <w:t>苯</w:t>
            </w:r>
          </w:p>
        </w:tc>
        <w:tc>
          <w:tcPr>
            <w:tcW w:w="388" w:type="pct"/>
            <w:tcBorders>
              <w:tl2br w:val="nil"/>
              <w:tr2bl w:val="nil"/>
            </w:tcBorders>
            <w:vAlign w:val="center"/>
          </w:tcPr>
          <w:p w14:paraId="2B7B5F8B">
            <w:pPr>
              <w:pStyle w:val="42"/>
              <w:bidi w:val="0"/>
              <w:jc w:val="center"/>
            </w:pPr>
            <w:r>
              <w:t>mg/kg</w:t>
            </w:r>
          </w:p>
        </w:tc>
        <w:tc>
          <w:tcPr>
            <w:tcW w:w="560" w:type="pct"/>
            <w:tcBorders>
              <w:tl2br w:val="nil"/>
              <w:tr2bl w:val="nil"/>
            </w:tcBorders>
            <w:vAlign w:val="center"/>
          </w:tcPr>
          <w:p w14:paraId="0A45D9FE">
            <w:pPr>
              <w:pStyle w:val="42"/>
              <w:bidi w:val="0"/>
              <w:jc w:val="center"/>
            </w:pPr>
            <w:r>
              <w:t>1.6×10-3L</w:t>
            </w:r>
          </w:p>
        </w:tc>
        <w:tc>
          <w:tcPr>
            <w:tcW w:w="562" w:type="pct"/>
            <w:tcBorders>
              <w:tl2br w:val="nil"/>
              <w:tr2bl w:val="nil"/>
            </w:tcBorders>
            <w:vAlign w:val="center"/>
          </w:tcPr>
          <w:p w14:paraId="02FD9D2E">
            <w:pPr>
              <w:pStyle w:val="42"/>
              <w:bidi w:val="0"/>
              <w:jc w:val="center"/>
            </w:pPr>
            <w:r>
              <w:t>4</w:t>
            </w:r>
          </w:p>
        </w:tc>
        <w:tc>
          <w:tcPr>
            <w:tcW w:w="555" w:type="pct"/>
            <w:tcBorders>
              <w:tl2br w:val="nil"/>
              <w:tr2bl w:val="nil"/>
            </w:tcBorders>
            <w:vAlign w:val="center"/>
          </w:tcPr>
          <w:p w14:paraId="52F59543">
            <w:pPr>
              <w:pStyle w:val="42"/>
              <w:bidi w:val="0"/>
              <w:jc w:val="center"/>
            </w:pPr>
            <w:r>
              <w:rPr>
                <w:rFonts w:hint="eastAsia"/>
                <w:lang w:val="en-US" w:eastAsia="zh-CN"/>
              </w:rPr>
              <w:t>是</w:t>
            </w:r>
          </w:p>
        </w:tc>
      </w:tr>
      <w:tr w14:paraId="33AC25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4C2C777">
            <w:pPr>
              <w:pStyle w:val="42"/>
              <w:bidi w:val="0"/>
              <w:jc w:val="center"/>
            </w:pPr>
          </w:p>
        </w:tc>
        <w:tc>
          <w:tcPr>
            <w:tcW w:w="1044" w:type="pct"/>
            <w:vMerge w:val="continue"/>
            <w:tcBorders>
              <w:tl2br w:val="nil"/>
              <w:tr2bl w:val="nil"/>
            </w:tcBorders>
            <w:vAlign w:val="center"/>
          </w:tcPr>
          <w:p w14:paraId="52C736F4">
            <w:pPr>
              <w:pStyle w:val="42"/>
              <w:bidi w:val="0"/>
              <w:jc w:val="center"/>
            </w:pPr>
          </w:p>
        </w:tc>
        <w:tc>
          <w:tcPr>
            <w:tcW w:w="366" w:type="pct"/>
            <w:vMerge w:val="continue"/>
            <w:tcBorders>
              <w:tl2br w:val="nil"/>
              <w:tr2bl w:val="nil"/>
            </w:tcBorders>
            <w:vAlign w:val="center"/>
          </w:tcPr>
          <w:p w14:paraId="22878462">
            <w:pPr>
              <w:pStyle w:val="42"/>
              <w:bidi w:val="0"/>
              <w:jc w:val="center"/>
            </w:pPr>
          </w:p>
        </w:tc>
        <w:tc>
          <w:tcPr>
            <w:tcW w:w="940" w:type="pct"/>
            <w:gridSpan w:val="2"/>
            <w:tcBorders>
              <w:tl2br w:val="nil"/>
              <w:tr2bl w:val="nil"/>
            </w:tcBorders>
            <w:vAlign w:val="center"/>
          </w:tcPr>
          <w:p w14:paraId="56817FEB">
            <w:pPr>
              <w:pStyle w:val="42"/>
              <w:bidi w:val="0"/>
              <w:jc w:val="center"/>
            </w:pPr>
            <w:r>
              <w:t>氯苯</w:t>
            </w:r>
          </w:p>
        </w:tc>
        <w:tc>
          <w:tcPr>
            <w:tcW w:w="388" w:type="pct"/>
            <w:tcBorders>
              <w:tl2br w:val="nil"/>
              <w:tr2bl w:val="nil"/>
            </w:tcBorders>
            <w:vAlign w:val="center"/>
          </w:tcPr>
          <w:p w14:paraId="4FD4F49C">
            <w:pPr>
              <w:pStyle w:val="42"/>
              <w:bidi w:val="0"/>
              <w:jc w:val="center"/>
            </w:pPr>
            <w:r>
              <w:t>mg/kg</w:t>
            </w:r>
          </w:p>
        </w:tc>
        <w:tc>
          <w:tcPr>
            <w:tcW w:w="560" w:type="pct"/>
            <w:tcBorders>
              <w:tl2br w:val="nil"/>
              <w:tr2bl w:val="nil"/>
            </w:tcBorders>
            <w:vAlign w:val="center"/>
          </w:tcPr>
          <w:p w14:paraId="58841A12">
            <w:pPr>
              <w:pStyle w:val="42"/>
              <w:bidi w:val="0"/>
              <w:jc w:val="center"/>
            </w:pPr>
            <w:r>
              <w:t>1.1×10-3L</w:t>
            </w:r>
          </w:p>
        </w:tc>
        <w:tc>
          <w:tcPr>
            <w:tcW w:w="562" w:type="pct"/>
            <w:tcBorders>
              <w:tl2br w:val="nil"/>
              <w:tr2bl w:val="nil"/>
            </w:tcBorders>
            <w:vAlign w:val="center"/>
          </w:tcPr>
          <w:p w14:paraId="6EBBF327">
            <w:pPr>
              <w:pStyle w:val="42"/>
              <w:bidi w:val="0"/>
              <w:jc w:val="center"/>
            </w:pPr>
            <w:r>
              <w:t>270</w:t>
            </w:r>
          </w:p>
        </w:tc>
        <w:tc>
          <w:tcPr>
            <w:tcW w:w="555" w:type="pct"/>
            <w:tcBorders>
              <w:tl2br w:val="nil"/>
              <w:tr2bl w:val="nil"/>
            </w:tcBorders>
            <w:vAlign w:val="center"/>
          </w:tcPr>
          <w:p w14:paraId="4A720B5D">
            <w:pPr>
              <w:pStyle w:val="42"/>
              <w:bidi w:val="0"/>
              <w:jc w:val="center"/>
            </w:pPr>
            <w:r>
              <w:rPr>
                <w:rFonts w:hint="eastAsia"/>
                <w:lang w:val="en-US" w:eastAsia="zh-CN"/>
              </w:rPr>
              <w:t>是</w:t>
            </w:r>
          </w:p>
        </w:tc>
      </w:tr>
      <w:tr w14:paraId="36805F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9CD1C55">
            <w:pPr>
              <w:pStyle w:val="42"/>
              <w:bidi w:val="0"/>
              <w:jc w:val="center"/>
            </w:pPr>
          </w:p>
        </w:tc>
        <w:tc>
          <w:tcPr>
            <w:tcW w:w="1044" w:type="pct"/>
            <w:vMerge w:val="continue"/>
            <w:tcBorders>
              <w:tl2br w:val="nil"/>
              <w:tr2bl w:val="nil"/>
            </w:tcBorders>
            <w:vAlign w:val="center"/>
          </w:tcPr>
          <w:p w14:paraId="4485F69F">
            <w:pPr>
              <w:pStyle w:val="42"/>
              <w:bidi w:val="0"/>
              <w:jc w:val="center"/>
            </w:pPr>
          </w:p>
        </w:tc>
        <w:tc>
          <w:tcPr>
            <w:tcW w:w="366" w:type="pct"/>
            <w:vMerge w:val="continue"/>
            <w:tcBorders>
              <w:tl2br w:val="nil"/>
              <w:tr2bl w:val="nil"/>
            </w:tcBorders>
            <w:vAlign w:val="center"/>
          </w:tcPr>
          <w:p w14:paraId="632E79E5">
            <w:pPr>
              <w:pStyle w:val="42"/>
              <w:bidi w:val="0"/>
              <w:jc w:val="center"/>
            </w:pPr>
          </w:p>
        </w:tc>
        <w:tc>
          <w:tcPr>
            <w:tcW w:w="313" w:type="pct"/>
            <w:vMerge w:val="restart"/>
            <w:tcBorders>
              <w:tl2br w:val="nil"/>
              <w:tr2bl w:val="nil"/>
            </w:tcBorders>
            <w:vAlign w:val="center"/>
          </w:tcPr>
          <w:p w14:paraId="46D141C9">
            <w:pPr>
              <w:pStyle w:val="42"/>
              <w:bidi w:val="0"/>
              <w:jc w:val="center"/>
            </w:pPr>
            <w:r>
              <w:t>二氯苯</w:t>
            </w:r>
          </w:p>
        </w:tc>
        <w:tc>
          <w:tcPr>
            <w:tcW w:w="626" w:type="pct"/>
            <w:tcBorders>
              <w:tl2br w:val="nil"/>
              <w:tr2bl w:val="nil"/>
            </w:tcBorders>
            <w:vAlign w:val="center"/>
          </w:tcPr>
          <w:p w14:paraId="6FE17B82">
            <w:pPr>
              <w:pStyle w:val="42"/>
              <w:bidi w:val="0"/>
              <w:jc w:val="center"/>
            </w:pPr>
            <w:r>
              <w:t>1,2-二氯苯</w:t>
            </w:r>
          </w:p>
        </w:tc>
        <w:tc>
          <w:tcPr>
            <w:tcW w:w="388" w:type="pct"/>
            <w:tcBorders>
              <w:tl2br w:val="nil"/>
              <w:tr2bl w:val="nil"/>
            </w:tcBorders>
            <w:vAlign w:val="center"/>
          </w:tcPr>
          <w:p w14:paraId="628DE898">
            <w:pPr>
              <w:pStyle w:val="42"/>
              <w:bidi w:val="0"/>
              <w:jc w:val="center"/>
            </w:pPr>
            <w:r>
              <w:t>mg/kg</w:t>
            </w:r>
          </w:p>
        </w:tc>
        <w:tc>
          <w:tcPr>
            <w:tcW w:w="560" w:type="pct"/>
            <w:tcBorders>
              <w:tl2br w:val="nil"/>
              <w:tr2bl w:val="nil"/>
            </w:tcBorders>
            <w:vAlign w:val="center"/>
          </w:tcPr>
          <w:p w14:paraId="4CB5BB9D">
            <w:pPr>
              <w:pStyle w:val="42"/>
              <w:bidi w:val="0"/>
              <w:jc w:val="center"/>
            </w:pPr>
            <w:r>
              <w:t>1.0×10-3L</w:t>
            </w:r>
          </w:p>
        </w:tc>
        <w:tc>
          <w:tcPr>
            <w:tcW w:w="562" w:type="pct"/>
            <w:tcBorders>
              <w:tl2br w:val="nil"/>
              <w:tr2bl w:val="nil"/>
            </w:tcBorders>
            <w:vAlign w:val="center"/>
          </w:tcPr>
          <w:p w14:paraId="1E0E5947">
            <w:pPr>
              <w:pStyle w:val="42"/>
              <w:bidi w:val="0"/>
              <w:jc w:val="center"/>
            </w:pPr>
            <w:r>
              <w:t>560</w:t>
            </w:r>
          </w:p>
        </w:tc>
        <w:tc>
          <w:tcPr>
            <w:tcW w:w="555" w:type="pct"/>
            <w:tcBorders>
              <w:tl2br w:val="nil"/>
              <w:tr2bl w:val="nil"/>
            </w:tcBorders>
            <w:vAlign w:val="center"/>
          </w:tcPr>
          <w:p w14:paraId="633B92B9">
            <w:pPr>
              <w:pStyle w:val="42"/>
              <w:bidi w:val="0"/>
              <w:jc w:val="center"/>
            </w:pPr>
            <w:r>
              <w:rPr>
                <w:rFonts w:hint="eastAsia"/>
                <w:lang w:val="en-US" w:eastAsia="zh-CN"/>
              </w:rPr>
              <w:t>是</w:t>
            </w:r>
          </w:p>
        </w:tc>
      </w:tr>
      <w:tr w14:paraId="043721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5CE9464B">
            <w:pPr>
              <w:pStyle w:val="42"/>
              <w:bidi w:val="0"/>
              <w:jc w:val="center"/>
            </w:pPr>
          </w:p>
        </w:tc>
        <w:tc>
          <w:tcPr>
            <w:tcW w:w="1044" w:type="pct"/>
            <w:vMerge w:val="continue"/>
            <w:tcBorders>
              <w:tl2br w:val="nil"/>
              <w:tr2bl w:val="nil"/>
            </w:tcBorders>
            <w:vAlign w:val="center"/>
          </w:tcPr>
          <w:p w14:paraId="12F97197">
            <w:pPr>
              <w:pStyle w:val="42"/>
              <w:bidi w:val="0"/>
              <w:jc w:val="center"/>
            </w:pPr>
          </w:p>
        </w:tc>
        <w:tc>
          <w:tcPr>
            <w:tcW w:w="366" w:type="pct"/>
            <w:vMerge w:val="continue"/>
            <w:tcBorders>
              <w:tl2br w:val="nil"/>
              <w:tr2bl w:val="nil"/>
            </w:tcBorders>
            <w:vAlign w:val="center"/>
          </w:tcPr>
          <w:p w14:paraId="66D96B4E">
            <w:pPr>
              <w:pStyle w:val="42"/>
              <w:bidi w:val="0"/>
              <w:jc w:val="center"/>
            </w:pPr>
          </w:p>
        </w:tc>
        <w:tc>
          <w:tcPr>
            <w:tcW w:w="313" w:type="pct"/>
            <w:vMerge w:val="continue"/>
            <w:tcBorders>
              <w:tl2br w:val="nil"/>
              <w:tr2bl w:val="nil"/>
            </w:tcBorders>
            <w:vAlign w:val="center"/>
          </w:tcPr>
          <w:p w14:paraId="6613CA58">
            <w:pPr>
              <w:pStyle w:val="42"/>
              <w:bidi w:val="0"/>
              <w:jc w:val="center"/>
            </w:pPr>
          </w:p>
        </w:tc>
        <w:tc>
          <w:tcPr>
            <w:tcW w:w="626" w:type="pct"/>
            <w:tcBorders>
              <w:tl2br w:val="nil"/>
              <w:tr2bl w:val="nil"/>
            </w:tcBorders>
            <w:vAlign w:val="center"/>
          </w:tcPr>
          <w:p w14:paraId="6D13B979">
            <w:pPr>
              <w:pStyle w:val="42"/>
              <w:bidi w:val="0"/>
              <w:jc w:val="center"/>
            </w:pPr>
            <w:r>
              <w:t>1,4-二氯苯</w:t>
            </w:r>
          </w:p>
        </w:tc>
        <w:tc>
          <w:tcPr>
            <w:tcW w:w="388" w:type="pct"/>
            <w:tcBorders>
              <w:tl2br w:val="nil"/>
              <w:tr2bl w:val="nil"/>
            </w:tcBorders>
            <w:vAlign w:val="center"/>
          </w:tcPr>
          <w:p w14:paraId="376C0AD0">
            <w:pPr>
              <w:pStyle w:val="42"/>
              <w:bidi w:val="0"/>
              <w:jc w:val="center"/>
            </w:pPr>
            <w:r>
              <w:t>mg/kg</w:t>
            </w:r>
          </w:p>
        </w:tc>
        <w:tc>
          <w:tcPr>
            <w:tcW w:w="560" w:type="pct"/>
            <w:tcBorders>
              <w:tl2br w:val="nil"/>
              <w:tr2bl w:val="nil"/>
            </w:tcBorders>
            <w:vAlign w:val="center"/>
          </w:tcPr>
          <w:p w14:paraId="028ADC20">
            <w:pPr>
              <w:pStyle w:val="42"/>
              <w:bidi w:val="0"/>
              <w:jc w:val="center"/>
            </w:pPr>
            <w:r>
              <w:t>1.2×10-3L</w:t>
            </w:r>
          </w:p>
        </w:tc>
        <w:tc>
          <w:tcPr>
            <w:tcW w:w="562" w:type="pct"/>
            <w:tcBorders>
              <w:tl2br w:val="nil"/>
              <w:tr2bl w:val="nil"/>
            </w:tcBorders>
            <w:vAlign w:val="center"/>
          </w:tcPr>
          <w:p w14:paraId="564BAE82">
            <w:pPr>
              <w:pStyle w:val="42"/>
              <w:bidi w:val="0"/>
              <w:jc w:val="center"/>
            </w:pPr>
            <w:r>
              <w:t>20</w:t>
            </w:r>
          </w:p>
        </w:tc>
        <w:tc>
          <w:tcPr>
            <w:tcW w:w="555" w:type="pct"/>
            <w:tcBorders>
              <w:tl2br w:val="nil"/>
              <w:tr2bl w:val="nil"/>
            </w:tcBorders>
            <w:vAlign w:val="center"/>
          </w:tcPr>
          <w:p w14:paraId="1D4C6003">
            <w:pPr>
              <w:pStyle w:val="42"/>
              <w:bidi w:val="0"/>
              <w:jc w:val="center"/>
            </w:pPr>
            <w:r>
              <w:rPr>
                <w:rFonts w:hint="eastAsia"/>
                <w:lang w:val="en-US" w:eastAsia="zh-CN"/>
              </w:rPr>
              <w:t>是</w:t>
            </w:r>
          </w:p>
        </w:tc>
      </w:tr>
      <w:tr w14:paraId="325806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27E28D44">
            <w:pPr>
              <w:pStyle w:val="42"/>
              <w:bidi w:val="0"/>
              <w:jc w:val="center"/>
            </w:pPr>
          </w:p>
        </w:tc>
        <w:tc>
          <w:tcPr>
            <w:tcW w:w="1044" w:type="pct"/>
            <w:vMerge w:val="continue"/>
            <w:tcBorders>
              <w:tl2br w:val="nil"/>
              <w:tr2bl w:val="nil"/>
            </w:tcBorders>
            <w:vAlign w:val="center"/>
          </w:tcPr>
          <w:p w14:paraId="7C61560C">
            <w:pPr>
              <w:pStyle w:val="42"/>
              <w:bidi w:val="0"/>
              <w:jc w:val="center"/>
            </w:pPr>
          </w:p>
        </w:tc>
        <w:tc>
          <w:tcPr>
            <w:tcW w:w="366" w:type="pct"/>
            <w:vMerge w:val="continue"/>
            <w:tcBorders>
              <w:tl2br w:val="nil"/>
              <w:tr2bl w:val="nil"/>
            </w:tcBorders>
            <w:vAlign w:val="center"/>
          </w:tcPr>
          <w:p w14:paraId="1A2BA58E">
            <w:pPr>
              <w:pStyle w:val="42"/>
              <w:bidi w:val="0"/>
              <w:jc w:val="center"/>
            </w:pPr>
          </w:p>
        </w:tc>
        <w:tc>
          <w:tcPr>
            <w:tcW w:w="940" w:type="pct"/>
            <w:gridSpan w:val="2"/>
            <w:tcBorders>
              <w:tl2br w:val="nil"/>
              <w:tr2bl w:val="nil"/>
            </w:tcBorders>
            <w:vAlign w:val="center"/>
          </w:tcPr>
          <w:p w14:paraId="1BC73F5B">
            <w:pPr>
              <w:pStyle w:val="42"/>
              <w:bidi w:val="0"/>
              <w:jc w:val="center"/>
            </w:pPr>
            <w:r>
              <w:t>乙苯</w:t>
            </w:r>
          </w:p>
        </w:tc>
        <w:tc>
          <w:tcPr>
            <w:tcW w:w="388" w:type="pct"/>
            <w:tcBorders>
              <w:tl2br w:val="nil"/>
              <w:tr2bl w:val="nil"/>
            </w:tcBorders>
            <w:vAlign w:val="center"/>
          </w:tcPr>
          <w:p w14:paraId="628332C1">
            <w:pPr>
              <w:pStyle w:val="42"/>
              <w:bidi w:val="0"/>
              <w:jc w:val="center"/>
            </w:pPr>
            <w:r>
              <w:t>mg/kg</w:t>
            </w:r>
          </w:p>
        </w:tc>
        <w:tc>
          <w:tcPr>
            <w:tcW w:w="560" w:type="pct"/>
            <w:tcBorders>
              <w:tl2br w:val="nil"/>
              <w:tr2bl w:val="nil"/>
            </w:tcBorders>
            <w:vAlign w:val="center"/>
          </w:tcPr>
          <w:p w14:paraId="469F10C1">
            <w:pPr>
              <w:pStyle w:val="42"/>
              <w:bidi w:val="0"/>
              <w:jc w:val="center"/>
            </w:pPr>
            <w:r>
              <w:t>1.2×10-3L</w:t>
            </w:r>
          </w:p>
        </w:tc>
        <w:tc>
          <w:tcPr>
            <w:tcW w:w="562" w:type="pct"/>
            <w:tcBorders>
              <w:tl2br w:val="nil"/>
              <w:tr2bl w:val="nil"/>
            </w:tcBorders>
            <w:vAlign w:val="center"/>
          </w:tcPr>
          <w:p w14:paraId="5621844D">
            <w:pPr>
              <w:pStyle w:val="42"/>
              <w:bidi w:val="0"/>
              <w:jc w:val="center"/>
            </w:pPr>
            <w:r>
              <w:t>28</w:t>
            </w:r>
          </w:p>
        </w:tc>
        <w:tc>
          <w:tcPr>
            <w:tcW w:w="555" w:type="pct"/>
            <w:tcBorders>
              <w:tl2br w:val="nil"/>
              <w:tr2bl w:val="nil"/>
            </w:tcBorders>
            <w:vAlign w:val="center"/>
          </w:tcPr>
          <w:p w14:paraId="78E0D452">
            <w:pPr>
              <w:pStyle w:val="42"/>
              <w:bidi w:val="0"/>
              <w:jc w:val="center"/>
            </w:pPr>
            <w:r>
              <w:rPr>
                <w:rFonts w:hint="eastAsia"/>
                <w:lang w:val="en-US" w:eastAsia="zh-CN"/>
              </w:rPr>
              <w:t>是</w:t>
            </w:r>
          </w:p>
        </w:tc>
      </w:tr>
      <w:tr w14:paraId="73835E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BE63886">
            <w:pPr>
              <w:pStyle w:val="42"/>
              <w:bidi w:val="0"/>
              <w:jc w:val="center"/>
            </w:pPr>
          </w:p>
        </w:tc>
        <w:tc>
          <w:tcPr>
            <w:tcW w:w="1044" w:type="pct"/>
            <w:vMerge w:val="continue"/>
            <w:tcBorders>
              <w:tl2br w:val="nil"/>
              <w:tr2bl w:val="nil"/>
            </w:tcBorders>
            <w:vAlign w:val="center"/>
          </w:tcPr>
          <w:p w14:paraId="7E4CC5B9">
            <w:pPr>
              <w:pStyle w:val="42"/>
              <w:bidi w:val="0"/>
              <w:jc w:val="center"/>
            </w:pPr>
          </w:p>
        </w:tc>
        <w:tc>
          <w:tcPr>
            <w:tcW w:w="366" w:type="pct"/>
            <w:vMerge w:val="continue"/>
            <w:tcBorders>
              <w:tl2br w:val="nil"/>
              <w:tr2bl w:val="nil"/>
            </w:tcBorders>
            <w:vAlign w:val="center"/>
          </w:tcPr>
          <w:p w14:paraId="076811D2">
            <w:pPr>
              <w:pStyle w:val="42"/>
              <w:bidi w:val="0"/>
              <w:jc w:val="center"/>
            </w:pPr>
          </w:p>
        </w:tc>
        <w:tc>
          <w:tcPr>
            <w:tcW w:w="940" w:type="pct"/>
            <w:gridSpan w:val="2"/>
            <w:tcBorders>
              <w:tl2br w:val="nil"/>
              <w:tr2bl w:val="nil"/>
            </w:tcBorders>
            <w:vAlign w:val="center"/>
          </w:tcPr>
          <w:p w14:paraId="0307AAD2">
            <w:pPr>
              <w:pStyle w:val="42"/>
              <w:bidi w:val="0"/>
              <w:jc w:val="center"/>
            </w:pPr>
            <w:r>
              <w:t>苯乙烯</w:t>
            </w:r>
          </w:p>
        </w:tc>
        <w:tc>
          <w:tcPr>
            <w:tcW w:w="388" w:type="pct"/>
            <w:tcBorders>
              <w:tl2br w:val="nil"/>
              <w:tr2bl w:val="nil"/>
            </w:tcBorders>
            <w:vAlign w:val="center"/>
          </w:tcPr>
          <w:p w14:paraId="3D22594C">
            <w:pPr>
              <w:pStyle w:val="42"/>
              <w:bidi w:val="0"/>
              <w:jc w:val="center"/>
            </w:pPr>
            <w:r>
              <w:t>mg/kg</w:t>
            </w:r>
          </w:p>
        </w:tc>
        <w:tc>
          <w:tcPr>
            <w:tcW w:w="560" w:type="pct"/>
            <w:tcBorders>
              <w:tl2br w:val="nil"/>
              <w:tr2bl w:val="nil"/>
            </w:tcBorders>
            <w:vAlign w:val="center"/>
          </w:tcPr>
          <w:p w14:paraId="0E04A4FF">
            <w:pPr>
              <w:pStyle w:val="42"/>
              <w:bidi w:val="0"/>
              <w:jc w:val="center"/>
            </w:pPr>
            <w:r>
              <w:t>1.6×10-3L</w:t>
            </w:r>
          </w:p>
        </w:tc>
        <w:tc>
          <w:tcPr>
            <w:tcW w:w="562" w:type="pct"/>
            <w:tcBorders>
              <w:tl2br w:val="nil"/>
              <w:tr2bl w:val="nil"/>
            </w:tcBorders>
            <w:vAlign w:val="center"/>
          </w:tcPr>
          <w:p w14:paraId="4020C764">
            <w:pPr>
              <w:pStyle w:val="42"/>
              <w:bidi w:val="0"/>
              <w:jc w:val="center"/>
            </w:pPr>
            <w:r>
              <w:t>1290</w:t>
            </w:r>
          </w:p>
        </w:tc>
        <w:tc>
          <w:tcPr>
            <w:tcW w:w="555" w:type="pct"/>
            <w:tcBorders>
              <w:tl2br w:val="nil"/>
              <w:tr2bl w:val="nil"/>
            </w:tcBorders>
            <w:vAlign w:val="center"/>
          </w:tcPr>
          <w:p w14:paraId="00B6A002">
            <w:pPr>
              <w:pStyle w:val="42"/>
              <w:bidi w:val="0"/>
              <w:jc w:val="center"/>
            </w:pPr>
            <w:r>
              <w:rPr>
                <w:rFonts w:hint="eastAsia"/>
                <w:lang w:val="en-US" w:eastAsia="zh-CN"/>
              </w:rPr>
              <w:t>是</w:t>
            </w:r>
          </w:p>
        </w:tc>
      </w:tr>
      <w:tr w14:paraId="101072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B811F99">
            <w:pPr>
              <w:pStyle w:val="42"/>
              <w:bidi w:val="0"/>
              <w:jc w:val="center"/>
            </w:pPr>
          </w:p>
        </w:tc>
        <w:tc>
          <w:tcPr>
            <w:tcW w:w="1044" w:type="pct"/>
            <w:vMerge w:val="continue"/>
            <w:tcBorders>
              <w:tl2br w:val="nil"/>
              <w:tr2bl w:val="nil"/>
            </w:tcBorders>
            <w:vAlign w:val="center"/>
          </w:tcPr>
          <w:p w14:paraId="3386B794">
            <w:pPr>
              <w:pStyle w:val="42"/>
              <w:bidi w:val="0"/>
              <w:jc w:val="center"/>
            </w:pPr>
          </w:p>
        </w:tc>
        <w:tc>
          <w:tcPr>
            <w:tcW w:w="366" w:type="pct"/>
            <w:vMerge w:val="continue"/>
            <w:tcBorders>
              <w:tl2br w:val="nil"/>
              <w:tr2bl w:val="nil"/>
            </w:tcBorders>
            <w:vAlign w:val="center"/>
          </w:tcPr>
          <w:p w14:paraId="0D084105">
            <w:pPr>
              <w:pStyle w:val="42"/>
              <w:bidi w:val="0"/>
              <w:jc w:val="center"/>
            </w:pPr>
          </w:p>
        </w:tc>
        <w:tc>
          <w:tcPr>
            <w:tcW w:w="940" w:type="pct"/>
            <w:gridSpan w:val="2"/>
            <w:tcBorders>
              <w:tl2br w:val="nil"/>
              <w:tr2bl w:val="nil"/>
            </w:tcBorders>
            <w:vAlign w:val="center"/>
          </w:tcPr>
          <w:p w14:paraId="5C48DF04">
            <w:pPr>
              <w:pStyle w:val="42"/>
              <w:bidi w:val="0"/>
              <w:jc w:val="center"/>
            </w:pPr>
            <w:r>
              <w:t>甲苯</w:t>
            </w:r>
          </w:p>
        </w:tc>
        <w:tc>
          <w:tcPr>
            <w:tcW w:w="388" w:type="pct"/>
            <w:tcBorders>
              <w:tl2br w:val="nil"/>
              <w:tr2bl w:val="nil"/>
            </w:tcBorders>
            <w:vAlign w:val="center"/>
          </w:tcPr>
          <w:p w14:paraId="0D920677">
            <w:pPr>
              <w:pStyle w:val="42"/>
              <w:bidi w:val="0"/>
              <w:jc w:val="center"/>
            </w:pPr>
            <w:r>
              <w:t>mg/kg</w:t>
            </w:r>
          </w:p>
        </w:tc>
        <w:tc>
          <w:tcPr>
            <w:tcW w:w="560" w:type="pct"/>
            <w:tcBorders>
              <w:tl2br w:val="nil"/>
              <w:tr2bl w:val="nil"/>
            </w:tcBorders>
            <w:vAlign w:val="center"/>
          </w:tcPr>
          <w:p w14:paraId="5C070BAE">
            <w:pPr>
              <w:pStyle w:val="42"/>
              <w:bidi w:val="0"/>
              <w:jc w:val="center"/>
            </w:pPr>
            <w:r>
              <w:t>2.0×10-3L</w:t>
            </w:r>
          </w:p>
        </w:tc>
        <w:tc>
          <w:tcPr>
            <w:tcW w:w="562" w:type="pct"/>
            <w:tcBorders>
              <w:tl2br w:val="nil"/>
              <w:tr2bl w:val="nil"/>
            </w:tcBorders>
            <w:vAlign w:val="center"/>
          </w:tcPr>
          <w:p w14:paraId="3E03D2E8">
            <w:pPr>
              <w:pStyle w:val="42"/>
              <w:bidi w:val="0"/>
              <w:jc w:val="center"/>
            </w:pPr>
            <w:r>
              <w:t>1200</w:t>
            </w:r>
          </w:p>
        </w:tc>
        <w:tc>
          <w:tcPr>
            <w:tcW w:w="555" w:type="pct"/>
            <w:tcBorders>
              <w:tl2br w:val="nil"/>
              <w:tr2bl w:val="nil"/>
            </w:tcBorders>
            <w:vAlign w:val="center"/>
          </w:tcPr>
          <w:p w14:paraId="6506C093">
            <w:pPr>
              <w:pStyle w:val="42"/>
              <w:bidi w:val="0"/>
              <w:jc w:val="center"/>
            </w:pPr>
            <w:r>
              <w:rPr>
                <w:rFonts w:hint="eastAsia"/>
                <w:lang w:val="en-US" w:eastAsia="zh-CN"/>
              </w:rPr>
              <w:t>是</w:t>
            </w:r>
          </w:p>
        </w:tc>
      </w:tr>
      <w:tr w14:paraId="476DC3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8EFEC70">
            <w:pPr>
              <w:pStyle w:val="42"/>
              <w:bidi w:val="0"/>
              <w:jc w:val="center"/>
            </w:pPr>
          </w:p>
        </w:tc>
        <w:tc>
          <w:tcPr>
            <w:tcW w:w="1044" w:type="pct"/>
            <w:vMerge w:val="continue"/>
            <w:tcBorders>
              <w:tl2br w:val="nil"/>
              <w:tr2bl w:val="nil"/>
            </w:tcBorders>
            <w:vAlign w:val="center"/>
          </w:tcPr>
          <w:p w14:paraId="35365A95">
            <w:pPr>
              <w:pStyle w:val="42"/>
              <w:bidi w:val="0"/>
              <w:jc w:val="center"/>
            </w:pPr>
          </w:p>
        </w:tc>
        <w:tc>
          <w:tcPr>
            <w:tcW w:w="366" w:type="pct"/>
            <w:vMerge w:val="continue"/>
            <w:tcBorders>
              <w:tl2br w:val="nil"/>
              <w:tr2bl w:val="nil"/>
            </w:tcBorders>
            <w:vAlign w:val="center"/>
          </w:tcPr>
          <w:p w14:paraId="15D07B1B">
            <w:pPr>
              <w:pStyle w:val="42"/>
              <w:bidi w:val="0"/>
              <w:jc w:val="center"/>
            </w:pPr>
          </w:p>
        </w:tc>
        <w:tc>
          <w:tcPr>
            <w:tcW w:w="313" w:type="pct"/>
            <w:vMerge w:val="restart"/>
            <w:tcBorders>
              <w:tl2br w:val="nil"/>
              <w:tr2bl w:val="nil"/>
            </w:tcBorders>
            <w:vAlign w:val="center"/>
          </w:tcPr>
          <w:p w14:paraId="4B67B69F">
            <w:pPr>
              <w:pStyle w:val="42"/>
              <w:bidi w:val="0"/>
              <w:jc w:val="center"/>
            </w:pPr>
            <w:r>
              <w:t>二甲苯</w:t>
            </w:r>
          </w:p>
        </w:tc>
        <w:tc>
          <w:tcPr>
            <w:tcW w:w="626" w:type="pct"/>
            <w:tcBorders>
              <w:tl2br w:val="nil"/>
              <w:tr2bl w:val="nil"/>
            </w:tcBorders>
            <w:vAlign w:val="center"/>
          </w:tcPr>
          <w:p w14:paraId="0E77BA7A">
            <w:pPr>
              <w:pStyle w:val="42"/>
              <w:bidi w:val="0"/>
              <w:jc w:val="center"/>
            </w:pPr>
            <w:r>
              <w:t>间,对二甲苯</w:t>
            </w:r>
          </w:p>
        </w:tc>
        <w:tc>
          <w:tcPr>
            <w:tcW w:w="388" w:type="pct"/>
            <w:tcBorders>
              <w:tl2br w:val="nil"/>
              <w:tr2bl w:val="nil"/>
            </w:tcBorders>
            <w:vAlign w:val="center"/>
          </w:tcPr>
          <w:p w14:paraId="4D746DD4">
            <w:pPr>
              <w:pStyle w:val="42"/>
              <w:bidi w:val="0"/>
              <w:jc w:val="center"/>
            </w:pPr>
            <w:r>
              <w:t>mg/kg</w:t>
            </w:r>
          </w:p>
        </w:tc>
        <w:tc>
          <w:tcPr>
            <w:tcW w:w="560" w:type="pct"/>
            <w:tcBorders>
              <w:tl2br w:val="nil"/>
              <w:tr2bl w:val="nil"/>
            </w:tcBorders>
            <w:vAlign w:val="center"/>
          </w:tcPr>
          <w:p w14:paraId="20C4D9A4">
            <w:pPr>
              <w:pStyle w:val="42"/>
              <w:bidi w:val="0"/>
              <w:jc w:val="center"/>
            </w:pPr>
            <w:r>
              <w:t>3.6×10-3L</w:t>
            </w:r>
          </w:p>
        </w:tc>
        <w:tc>
          <w:tcPr>
            <w:tcW w:w="562" w:type="pct"/>
            <w:tcBorders>
              <w:tl2br w:val="nil"/>
              <w:tr2bl w:val="nil"/>
            </w:tcBorders>
            <w:vAlign w:val="center"/>
          </w:tcPr>
          <w:p w14:paraId="75F64ED8">
            <w:pPr>
              <w:pStyle w:val="42"/>
              <w:bidi w:val="0"/>
              <w:jc w:val="center"/>
            </w:pPr>
            <w:r>
              <w:t>570</w:t>
            </w:r>
          </w:p>
        </w:tc>
        <w:tc>
          <w:tcPr>
            <w:tcW w:w="555" w:type="pct"/>
            <w:tcBorders>
              <w:tl2br w:val="nil"/>
              <w:tr2bl w:val="nil"/>
            </w:tcBorders>
            <w:vAlign w:val="center"/>
          </w:tcPr>
          <w:p w14:paraId="3A420E5D">
            <w:pPr>
              <w:pStyle w:val="42"/>
              <w:bidi w:val="0"/>
              <w:jc w:val="center"/>
            </w:pPr>
            <w:r>
              <w:rPr>
                <w:rFonts w:hint="eastAsia"/>
                <w:lang w:val="en-US" w:eastAsia="zh-CN"/>
              </w:rPr>
              <w:t>是</w:t>
            </w:r>
          </w:p>
        </w:tc>
      </w:tr>
      <w:tr w14:paraId="0F6D77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7E21249A">
            <w:pPr>
              <w:pStyle w:val="42"/>
              <w:bidi w:val="0"/>
              <w:jc w:val="center"/>
            </w:pPr>
          </w:p>
        </w:tc>
        <w:tc>
          <w:tcPr>
            <w:tcW w:w="1044" w:type="pct"/>
            <w:vMerge w:val="continue"/>
            <w:tcBorders>
              <w:tl2br w:val="nil"/>
              <w:tr2bl w:val="nil"/>
            </w:tcBorders>
            <w:vAlign w:val="center"/>
          </w:tcPr>
          <w:p w14:paraId="54A82556">
            <w:pPr>
              <w:pStyle w:val="42"/>
              <w:bidi w:val="0"/>
              <w:jc w:val="center"/>
            </w:pPr>
          </w:p>
        </w:tc>
        <w:tc>
          <w:tcPr>
            <w:tcW w:w="366" w:type="pct"/>
            <w:vMerge w:val="continue"/>
            <w:tcBorders>
              <w:tl2br w:val="nil"/>
              <w:tr2bl w:val="nil"/>
            </w:tcBorders>
            <w:vAlign w:val="center"/>
          </w:tcPr>
          <w:p w14:paraId="267D2DE4">
            <w:pPr>
              <w:pStyle w:val="42"/>
              <w:bidi w:val="0"/>
              <w:jc w:val="center"/>
            </w:pPr>
          </w:p>
        </w:tc>
        <w:tc>
          <w:tcPr>
            <w:tcW w:w="313" w:type="pct"/>
            <w:vMerge w:val="continue"/>
            <w:tcBorders>
              <w:tl2br w:val="nil"/>
              <w:tr2bl w:val="nil"/>
            </w:tcBorders>
            <w:vAlign w:val="center"/>
          </w:tcPr>
          <w:p w14:paraId="47805A28">
            <w:pPr>
              <w:pStyle w:val="42"/>
              <w:bidi w:val="0"/>
              <w:jc w:val="center"/>
            </w:pPr>
          </w:p>
        </w:tc>
        <w:tc>
          <w:tcPr>
            <w:tcW w:w="626" w:type="pct"/>
            <w:tcBorders>
              <w:tl2br w:val="nil"/>
              <w:tr2bl w:val="nil"/>
            </w:tcBorders>
            <w:vAlign w:val="center"/>
          </w:tcPr>
          <w:p w14:paraId="4287CD8C">
            <w:pPr>
              <w:pStyle w:val="42"/>
              <w:bidi w:val="0"/>
              <w:jc w:val="center"/>
            </w:pPr>
            <w:r>
              <w:t>邻二甲苯</w:t>
            </w:r>
          </w:p>
        </w:tc>
        <w:tc>
          <w:tcPr>
            <w:tcW w:w="388" w:type="pct"/>
            <w:tcBorders>
              <w:tl2br w:val="nil"/>
              <w:tr2bl w:val="nil"/>
            </w:tcBorders>
            <w:vAlign w:val="center"/>
          </w:tcPr>
          <w:p w14:paraId="7383D897">
            <w:pPr>
              <w:pStyle w:val="42"/>
              <w:bidi w:val="0"/>
              <w:jc w:val="center"/>
            </w:pPr>
            <w:r>
              <w:t>mg/kg</w:t>
            </w:r>
          </w:p>
        </w:tc>
        <w:tc>
          <w:tcPr>
            <w:tcW w:w="560" w:type="pct"/>
            <w:tcBorders>
              <w:tl2br w:val="nil"/>
              <w:tr2bl w:val="nil"/>
            </w:tcBorders>
            <w:vAlign w:val="center"/>
          </w:tcPr>
          <w:p w14:paraId="74F70D1E">
            <w:pPr>
              <w:pStyle w:val="42"/>
              <w:bidi w:val="0"/>
              <w:jc w:val="center"/>
            </w:pPr>
            <w:r>
              <w:t>1.3×10-3L</w:t>
            </w:r>
          </w:p>
        </w:tc>
        <w:tc>
          <w:tcPr>
            <w:tcW w:w="562" w:type="pct"/>
            <w:tcBorders>
              <w:tl2br w:val="nil"/>
              <w:tr2bl w:val="nil"/>
            </w:tcBorders>
            <w:vAlign w:val="center"/>
          </w:tcPr>
          <w:p w14:paraId="4A62F8DA">
            <w:pPr>
              <w:pStyle w:val="42"/>
              <w:bidi w:val="0"/>
              <w:jc w:val="center"/>
            </w:pPr>
            <w:r>
              <w:t>640</w:t>
            </w:r>
          </w:p>
        </w:tc>
        <w:tc>
          <w:tcPr>
            <w:tcW w:w="555" w:type="pct"/>
            <w:tcBorders>
              <w:tl2br w:val="nil"/>
              <w:tr2bl w:val="nil"/>
            </w:tcBorders>
            <w:vAlign w:val="center"/>
          </w:tcPr>
          <w:p w14:paraId="3855658E">
            <w:pPr>
              <w:pStyle w:val="42"/>
              <w:bidi w:val="0"/>
              <w:jc w:val="center"/>
            </w:pPr>
            <w:r>
              <w:rPr>
                <w:rFonts w:hint="eastAsia"/>
                <w:lang w:val="en-US" w:eastAsia="zh-CN"/>
              </w:rPr>
              <w:t>是</w:t>
            </w:r>
          </w:p>
        </w:tc>
      </w:tr>
      <w:tr w14:paraId="1A5E6A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0B328BD">
            <w:pPr>
              <w:pStyle w:val="42"/>
              <w:bidi w:val="0"/>
              <w:jc w:val="center"/>
            </w:pPr>
          </w:p>
        </w:tc>
        <w:tc>
          <w:tcPr>
            <w:tcW w:w="1044" w:type="pct"/>
            <w:vMerge w:val="continue"/>
            <w:tcBorders>
              <w:tl2br w:val="nil"/>
              <w:tr2bl w:val="nil"/>
            </w:tcBorders>
            <w:vAlign w:val="center"/>
          </w:tcPr>
          <w:p w14:paraId="6D206A17">
            <w:pPr>
              <w:pStyle w:val="42"/>
              <w:bidi w:val="0"/>
              <w:jc w:val="center"/>
            </w:pPr>
          </w:p>
        </w:tc>
        <w:tc>
          <w:tcPr>
            <w:tcW w:w="366" w:type="pct"/>
            <w:vMerge w:val="continue"/>
            <w:tcBorders>
              <w:tl2br w:val="nil"/>
              <w:tr2bl w:val="nil"/>
            </w:tcBorders>
            <w:vAlign w:val="center"/>
          </w:tcPr>
          <w:p w14:paraId="05A5686A">
            <w:pPr>
              <w:pStyle w:val="42"/>
              <w:bidi w:val="0"/>
              <w:jc w:val="center"/>
            </w:pPr>
          </w:p>
        </w:tc>
        <w:tc>
          <w:tcPr>
            <w:tcW w:w="940" w:type="pct"/>
            <w:gridSpan w:val="2"/>
            <w:tcBorders>
              <w:tl2br w:val="nil"/>
              <w:tr2bl w:val="nil"/>
            </w:tcBorders>
            <w:vAlign w:val="center"/>
          </w:tcPr>
          <w:p w14:paraId="304DD802">
            <w:pPr>
              <w:pStyle w:val="42"/>
              <w:bidi w:val="0"/>
              <w:jc w:val="center"/>
            </w:pPr>
            <w:r>
              <w:t>硝基苯</w:t>
            </w:r>
          </w:p>
        </w:tc>
        <w:tc>
          <w:tcPr>
            <w:tcW w:w="388" w:type="pct"/>
            <w:tcBorders>
              <w:tl2br w:val="nil"/>
              <w:tr2bl w:val="nil"/>
            </w:tcBorders>
            <w:vAlign w:val="center"/>
          </w:tcPr>
          <w:p w14:paraId="55657F3F">
            <w:pPr>
              <w:pStyle w:val="42"/>
              <w:bidi w:val="0"/>
              <w:jc w:val="center"/>
            </w:pPr>
            <w:r>
              <w:t>mg/kg</w:t>
            </w:r>
          </w:p>
        </w:tc>
        <w:tc>
          <w:tcPr>
            <w:tcW w:w="560" w:type="pct"/>
            <w:tcBorders>
              <w:tl2br w:val="nil"/>
              <w:tr2bl w:val="nil"/>
            </w:tcBorders>
            <w:vAlign w:val="center"/>
          </w:tcPr>
          <w:p w14:paraId="500F29EB">
            <w:pPr>
              <w:pStyle w:val="42"/>
              <w:bidi w:val="0"/>
              <w:jc w:val="center"/>
            </w:pPr>
            <w:r>
              <w:t>0.09L</w:t>
            </w:r>
          </w:p>
        </w:tc>
        <w:tc>
          <w:tcPr>
            <w:tcW w:w="562" w:type="pct"/>
            <w:tcBorders>
              <w:tl2br w:val="nil"/>
              <w:tr2bl w:val="nil"/>
            </w:tcBorders>
            <w:vAlign w:val="center"/>
          </w:tcPr>
          <w:p w14:paraId="5D5427BE">
            <w:pPr>
              <w:pStyle w:val="42"/>
              <w:bidi w:val="0"/>
              <w:jc w:val="center"/>
            </w:pPr>
            <w:r>
              <w:t>76</w:t>
            </w:r>
          </w:p>
        </w:tc>
        <w:tc>
          <w:tcPr>
            <w:tcW w:w="555" w:type="pct"/>
            <w:tcBorders>
              <w:tl2br w:val="nil"/>
              <w:tr2bl w:val="nil"/>
            </w:tcBorders>
            <w:vAlign w:val="center"/>
          </w:tcPr>
          <w:p w14:paraId="1A2D10B7">
            <w:pPr>
              <w:pStyle w:val="42"/>
              <w:bidi w:val="0"/>
              <w:jc w:val="center"/>
            </w:pPr>
            <w:r>
              <w:rPr>
                <w:rFonts w:hint="eastAsia"/>
                <w:lang w:val="en-US" w:eastAsia="zh-CN"/>
              </w:rPr>
              <w:t>是</w:t>
            </w:r>
          </w:p>
        </w:tc>
      </w:tr>
      <w:tr w14:paraId="57FC08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2B78F23F">
            <w:pPr>
              <w:pStyle w:val="42"/>
              <w:bidi w:val="0"/>
              <w:jc w:val="center"/>
            </w:pPr>
          </w:p>
        </w:tc>
        <w:tc>
          <w:tcPr>
            <w:tcW w:w="1044" w:type="pct"/>
            <w:vMerge w:val="continue"/>
            <w:tcBorders>
              <w:tl2br w:val="nil"/>
              <w:tr2bl w:val="nil"/>
            </w:tcBorders>
            <w:vAlign w:val="center"/>
          </w:tcPr>
          <w:p w14:paraId="3D127014">
            <w:pPr>
              <w:pStyle w:val="42"/>
              <w:bidi w:val="0"/>
              <w:jc w:val="center"/>
            </w:pPr>
          </w:p>
        </w:tc>
        <w:tc>
          <w:tcPr>
            <w:tcW w:w="366" w:type="pct"/>
            <w:vMerge w:val="continue"/>
            <w:tcBorders>
              <w:tl2br w:val="nil"/>
              <w:tr2bl w:val="nil"/>
            </w:tcBorders>
            <w:vAlign w:val="center"/>
          </w:tcPr>
          <w:p w14:paraId="1C149F87">
            <w:pPr>
              <w:pStyle w:val="42"/>
              <w:bidi w:val="0"/>
              <w:jc w:val="center"/>
            </w:pPr>
          </w:p>
        </w:tc>
        <w:tc>
          <w:tcPr>
            <w:tcW w:w="940" w:type="pct"/>
            <w:gridSpan w:val="2"/>
            <w:tcBorders>
              <w:tl2br w:val="nil"/>
              <w:tr2bl w:val="nil"/>
            </w:tcBorders>
            <w:vAlign w:val="center"/>
          </w:tcPr>
          <w:p w14:paraId="7A3C1721">
            <w:pPr>
              <w:pStyle w:val="42"/>
              <w:bidi w:val="0"/>
              <w:jc w:val="center"/>
            </w:pPr>
            <w:r>
              <w:t>苯胺</w:t>
            </w:r>
          </w:p>
        </w:tc>
        <w:tc>
          <w:tcPr>
            <w:tcW w:w="388" w:type="pct"/>
            <w:tcBorders>
              <w:tl2br w:val="nil"/>
              <w:tr2bl w:val="nil"/>
            </w:tcBorders>
            <w:vAlign w:val="center"/>
          </w:tcPr>
          <w:p w14:paraId="3CB4F4CF">
            <w:pPr>
              <w:pStyle w:val="42"/>
              <w:bidi w:val="0"/>
              <w:jc w:val="center"/>
            </w:pPr>
            <w:r>
              <w:t>mg/kg</w:t>
            </w:r>
          </w:p>
        </w:tc>
        <w:tc>
          <w:tcPr>
            <w:tcW w:w="560" w:type="pct"/>
            <w:tcBorders>
              <w:tl2br w:val="nil"/>
              <w:tr2bl w:val="nil"/>
            </w:tcBorders>
            <w:vAlign w:val="center"/>
          </w:tcPr>
          <w:p w14:paraId="229912FD">
            <w:pPr>
              <w:pStyle w:val="42"/>
              <w:bidi w:val="0"/>
              <w:jc w:val="center"/>
            </w:pPr>
            <w:r>
              <w:t>0.66L</w:t>
            </w:r>
          </w:p>
        </w:tc>
        <w:tc>
          <w:tcPr>
            <w:tcW w:w="562" w:type="pct"/>
            <w:tcBorders>
              <w:tl2br w:val="nil"/>
              <w:tr2bl w:val="nil"/>
            </w:tcBorders>
            <w:vAlign w:val="center"/>
          </w:tcPr>
          <w:p w14:paraId="094E3993">
            <w:pPr>
              <w:pStyle w:val="42"/>
              <w:bidi w:val="0"/>
              <w:jc w:val="center"/>
            </w:pPr>
            <w:r>
              <w:t>260</w:t>
            </w:r>
          </w:p>
        </w:tc>
        <w:tc>
          <w:tcPr>
            <w:tcW w:w="555" w:type="pct"/>
            <w:tcBorders>
              <w:tl2br w:val="nil"/>
              <w:tr2bl w:val="nil"/>
            </w:tcBorders>
            <w:vAlign w:val="center"/>
          </w:tcPr>
          <w:p w14:paraId="63E0776D">
            <w:pPr>
              <w:pStyle w:val="42"/>
              <w:bidi w:val="0"/>
              <w:jc w:val="center"/>
            </w:pPr>
            <w:r>
              <w:rPr>
                <w:rFonts w:hint="eastAsia"/>
                <w:lang w:val="en-US" w:eastAsia="zh-CN"/>
              </w:rPr>
              <w:t>是</w:t>
            </w:r>
          </w:p>
        </w:tc>
      </w:tr>
      <w:tr w14:paraId="17750F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562C739D">
            <w:pPr>
              <w:pStyle w:val="42"/>
              <w:bidi w:val="0"/>
              <w:jc w:val="center"/>
            </w:pPr>
          </w:p>
        </w:tc>
        <w:tc>
          <w:tcPr>
            <w:tcW w:w="1044" w:type="pct"/>
            <w:vMerge w:val="continue"/>
            <w:tcBorders>
              <w:tl2br w:val="nil"/>
              <w:tr2bl w:val="nil"/>
            </w:tcBorders>
            <w:vAlign w:val="center"/>
          </w:tcPr>
          <w:p w14:paraId="3885B7BA">
            <w:pPr>
              <w:pStyle w:val="42"/>
              <w:bidi w:val="0"/>
              <w:jc w:val="center"/>
            </w:pPr>
          </w:p>
        </w:tc>
        <w:tc>
          <w:tcPr>
            <w:tcW w:w="366" w:type="pct"/>
            <w:vMerge w:val="continue"/>
            <w:tcBorders>
              <w:tl2br w:val="nil"/>
              <w:tr2bl w:val="nil"/>
            </w:tcBorders>
            <w:vAlign w:val="center"/>
          </w:tcPr>
          <w:p w14:paraId="15822916">
            <w:pPr>
              <w:pStyle w:val="42"/>
              <w:bidi w:val="0"/>
              <w:jc w:val="center"/>
            </w:pPr>
          </w:p>
        </w:tc>
        <w:tc>
          <w:tcPr>
            <w:tcW w:w="940" w:type="pct"/>
            <w:gridSpan w:val="2"/>
            <w:tcBorders>
              <w:tl2br w:val="nil"/>
              <w:tr2bl w:val="nil"/>
            </w:tcBorders>
            <w:vAlign w:val="center"/>
          </w:tcPr>
          <w:p w14:paraId="51FFCAAA">
            <w:pPr>
              <w:pStyle w:val="42"/>
              <w:bidi w:val="0"/>
              <w:jc w:val="center"/>
            </w:pPr>
            <w:r>
              <w:t>2-氯酚</w:t>
            </w:r>
          </w:p>
        </w:tc>
        <w:tc>
          <w:tcPr>
            <w:tcW w:w="388" w:type="pct"/>
            <w:tcBorders>
              <w:tl2br w:val="nil"/>
              <w:tr2bl w:val="nil"/>
            </w:tcBorders>
            <w:vAlign w:val="center"/>
          </w:tcPr>
          <w:p w14:paraId="66947729">
            <w:pPr>
              <w:pStyle w:val="42"/>
              <w:bidi w:val="0"/>
              <w:jc w:val="center"/>
            </w:pPr>
            <w:r>
              <w:t>mg/kg</w:t>
            </w:r>
          </w:p>
        </w:tc>
        <w:tc>
          <w:tcPr>
            <w:tcW w:w="560" w:type="pct"/>
            <w:tcBorders>
              <w:tl2br w:val="nil"/>
              <w:tr2bl w:val="nil"/>
            </w:tcBorders>
            <w:vAlign w:val="center"/>
          </w:tcPr>
          <w:p w14:paraId="478AE960">
            <w:pPr>
              <w:pStyle w:val="42"/>
              <w:bidi w:val="0"/>
              <w:jc w:val="center"/>
            </w:pPr>
            <w:r>
              <w:t>0.06L</w:t>
            </w:r>
          </w:p>
        </w:tc>
        <w:tc>
          <w:tcPr>
            <w:tcW w:w="562" w:type="pct"/>
            <w:tcBorders>
              <w:tl2br w:val="nil"/>
              <w:tr2bl w:val="nil"/>
            </w:tcBorders>
            <w:vAlign w:val="center"/>
          </w:tcPr>
          <w:p w14:paraId="1607BCD3">
            <w:pPr>
              <w:pStyle w:val="42"/>
              <w:bidi w:val="0"/>
              <w:jc w:val="center"/>
            </w:pPr>
            <w:r>
              <w:t>2256</w:t>
            </w:r>
          </w:p>
        </w:tc>
        <w:tc>
          <w:tcPr>
            <w:tcW w:w="555" w:type="pct"/>
            <w:tcBorders>
              <w:tl2br w:val="nil"/>
              <w:tr2bl w:val="nil"/>
            </w:tcBorders>
            <w:vAlign w:val="center"/>
          </w:tcPr>
          <w:p w14:paraId="36D841BF">
            <w:pPr>
              <w:pStyle w:val="42"/>
              <w:bidi w:val="0"/>
              <w:jc w:val="center"/>
            </w:pPr>
            <w:r>
              <w:rPr>
                <w:rFonts w:hint="eastAsia"/>
                <w:lang w:val="en-US" w:eastAsia="zh-CN"/>
              </w:rPr>
              <w:t>是</w:t>
            </w:r>
          </w:p>
        </w:tc>
      </w:tr>
      <w:tr w14:paraId="2816E5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33C121E">
            <w:pPr>
              <w:pStyle w:val="42"/>
              <w:bidi w:val="0"/>
              <w:jc w:val="center"/>
            </w:pPr>
          </w:p>
        </w:tc>
        <w:tc>
          <w:tcPr>
            <w:tcW w:w="1044" w:type="pct"/>
            <w:vMerge w:val="continue"/>
            <w:tcBorders>
              <w:tl2br w:val="nil"/>
              <w:tr2bl w:val="nil"/>
            </w:tcBorders>
            <w:vAlign w:val="center"/>
          </w:tcPr>
          <w:p w14:paraId="057AB150">
            <w:pPr>
              <w:pStyle w:val="42"/>
              <w:bidi w:val="0"/>
              <w:jc w:val="center"/>
            </w:pPr>
          </w:p>
        </w:tc>
        <w:tc>
          <w:tcPr>
            <w:tcW w:w="366" w:type="pct"/>
            <w:vMerge w:val="continue"/>
            <w:tcBorders>
              <w:tl2br w:val="nil"/>
              <w:tr2bl w:val="nil"/>
            </w:tcBorders>
            <w:vAlign w:val="center"/>
          </w:tcPr>
          <w:p w14:paraId="44ADDA4F">
            <w:pPr>
              <w:pStyle w:val="42"/>
              <w:bidi w:val="0"/>
              <w:jc w:val="center"/>
            </w:pPr>
          </w:p>
        </w:tc>
        <w:tc>
          <w:tcPr>
            <w:tcW w:w="940" w:type="pct"/>
            <w:gridSpan w:val="2"/>
            <w:tcBorders>
              <w:tl2br w:val="nil"/>
              <w:tr2bl w:val="nil"/>
            </w:tcBorders>
            <w:vAlign w:val="center"/>
          </w:tcPr>
          <w:p w14:paraId="2A26A03A">
            <w:pPr>
              <w:pStyle w:val="42"/>
              <w:bidi w:val="0"/>
              <w:jc w:val="center"/>
            </w:pPr>
            <w:r>
              <w:t>苯并[a]蒽</w:t>
            </w:r>
          </w:p>
        </w:tc>
        <w:tc>
          <w:tcPr>
            <w:tcW w:w="388" w:type="pct"/>
            <w:tcBorders>
              <w:tl2br w:val="nil"/>
              <w:tr2bl w:val="nil"/>
            </w:tcBorders>
            <w:vAlign w:val="center"/>
          </w:tcPr>
          <w:p w14:paraId="4751883C">
            <w:pPr>
              <w:pStyle w:val="42"/>
              <w:bidi w:val="0"/>
              <w:jc w:val="center"/>
            </w:pPr>
            <w:r>
              <w:t>mg/kg</w:t>
            </w:r>
          </w:p>
        </w:tc>
        <w:tc>
          <w:tcPr>
            <w:tcW w:w="560" w:type="pct"/>
            <w:tcBorders>
              <w:tl2br w:val="nil"/>
              <w:tr2bl w:val="nil"/>
            </w:tcBorders>
            <w:vAlign w:val="center"/>
          </w:tcPr>
          <w:p w14:paraId="1279CB8D">
            <w:pPr>
              <w:pStyle w:val="42"/>
              <w:bidi w:val="0"/>
              <w:jc w:val="center"/>
            </w:pPr>
            <w:r>
              <w:t>0.1L</w:t>
            </w:r>
          </w:p>
        </w:tc>
        <w:tc>
          <w:tcPr>
            <w:tcW w:w="562" w:type="pct"/>
            <w:tcBorders>
              <w:tl2br w:val="nil"/>
              <w:tr2bl w:val="nil"/>
            </w:tcBorders>
            <w:vAlign w:val="center"/>
          </w:tcPr>
          <w:p w14:paraId="2287526F">
            <w:pPr>
              <w:pStyle w:val="42"/>
              <w:bidi w:val="0"/>
              <w:jc w:val="center"/>
            </w:pPr>
            <w:r>
              <w:t>15</w:t>
            </w:r>
          </w:p>
        </w:tc>
        <w:tc>
          <w:tcPr>
            <w:tcW w:w="555" w:type="pct"/>
            <w:tcBorders>
              <w:tl2br w:val="nil"/>
              <w:tr2bl w:val="nil"/>
            </w:tcBorders>
            <w:vAlign w:val="center"/>
          </w:tcPr>
          <w:p w14:paraId="15B14AF1">
            <w:pPr>
              <w:pStyle w:val="42"/>
              <w:bidi w:val="0"/>
              <w:jc w:val="center"/>
            </w:pPr>
            <w:r>
              <w:rPr>
                <w:rFonts w:hint="eastAsia"/>
                <w:lang w:val="en-US" w:eastAsia="zh-CN"/>
              </w:rPr>
              <w:t>是</w:t>
            </w:r>
          </w:p>
        </w:tc>
      </w:tr>
      <w:tr w14:paraId="0241D4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6182D073">
            <w:pPr>
              <w:pStyle w:val="42"/>
              <w:bidi w:val="0"/>
              <w:jc w:val="center"/>
            </w:pPr>
          </w:p>
        </w:tc>
        <w:tc>
          <w:tcPr>
            <w:tcW w:w="1044" w:type="pct"/>
            <w:vMerge w:val="continue"/>
            <w:tcBorders>
              <w:tl2br w:val="nil"/>
              <w:tr2bl w:val="nil"/>
            </w:tcBorders>
            <w:vAlign w:val="center"/>
          </w:tcPr>
          <w:p w14:paraId="227E94D5">
            <w:pPr>
              <w:pStyle w:val="42"/>
              <w:bidi w:val="0"/>
              <w:jc w:val="center"/>
            </w:pPr>
          </w:p>
        </w:tc>
        <w:tc>
          <w:tcPr>
            <w:tcW w:w="366" w:type="pct"/>
            <w:vMerge w:val="continue"/>
            <w:tcBorders>
              <w:tl2br w:val="nil"/>
              <w:tr2bl w:val="nil"/>
            </w:tcBorders>
            <w:vAlign w:val="center"/>
          </w:tcPr>
          <w:p w14:paraId="53A56297">
            <w:pPr>
              <w:pStyle w:val="42"/>
              <w:bidi w:val="0"/>
              <w:jc w:val="center"/>
            </w:pPr>
          </w:p>
        </w:tc>
        <w:tc>
          <w:tcPr>
            <w:tcW w:w="940" w:type="pct"/>
            <w:gridSpan w:val="2"/>
            <w:tcBorders>
              <w:tl2br w:val="nil"/>
              <w:tr2bl w:val="nil"/>
            </w:tcBorders>
            <w:vAlign w:val="center"/>
          </w:tcPr>
          <w:p w14:paraId="76E5934A">
            <w:pPr>
              <w:pStyle w:val="42"/>
              <w:bidi w:val="0"/>
              <w:jc w:val="center"/>
            </w:pPr>
            <w:r>
              <w:t>苯并[a]芘</w:t>
            </w:r>
          </w:p>
        </w:tc>
        <w:tc>
          <w:tcPr>
            <w:tcW w:w="388" w:type="pct"/>
            <w:tcBorders>
              <w:tl2br w:val="nil"/>
              <w:tr2bl w:val="nil"/>
            </w:tcBorders>
            <w:vAlign w:val="center"/>
          </w:tcPr>
          <w:p w14:paraId="5357CB11">
            <w:pPr>
              <w:pStyle w:val="42"/>
              <w:bidi w:val="0"/>
              <w:jc w:val="center"/>
            </w:pPr>
            <w:r>
              <w:t>mg/kg</w:t>
            </w:r>
          </w:p>
        </w:tc>
        <w:tc>
          <w:tcPr>
            <w:tcW w:w="560" w:type="pct"/>
            <w:tcBorders>
              <w:tl2br w:val="nil"/>
              <w:tr2bl w:val="nil"/>
            </w:tcBorders>
            <w:vAlign w:val="center"/>
          </w:tcPr>
          <w:p w14:paraId="1EE6EDD5">
            <w:pPr>
              <w:pStyle w:val="42"/>
              <w:bidi w:val="0"/>
              <w:jc w:val="center"/>
            </w:pPr>
            <w:r>
              <w:t>0.1L</w:t>
            </w:r>
          </w:p>
        </w:tc>
        <w:tc>
          <w:tcPr>
            <w:tcW w:w="562" w:type="pct"/>
            <w:tcBorders>
              <w:tl2br w:val="nil"/>
              <w:tr2bl w:val="nil"/>
            </w:tcBorders>
            <w:vAlign w:val="center"/>
          </w:tcPr>
          <w:p w14:paraId="1979F252">
            <w:pPr>
              <w:pStyle w:val="42"/>
              <w:bidi w:val="0"/>
              <w:jc w:val="center"/>
            </w:pPr>
            <w:r>
              <w:t>1.5</w:t>
            </w:r>
          </w:p>
        </w:tc>
        <w:tc>
          <w:tcPr>
            <w:tcW w:w="555" w:type="pct"/>
            <w:tcBorders>
              <w:tl2br w:val="nil"/>
              <w:tr2bl w:val="nil"/>
            </w:tcBorders>
            <w:vAlign w:val="center"/>
          </w:tcPr>
          <w:p w14:paraId="28F5F842">
            <w:pPr>
              <w:pStyle w:val="42"/>
              <w:bidi w:val="0"/>
              <w:jc w:val="center"/>
            </w:pPr>
            <w:r>
              <w:rPr>
                <w:rFonts w:hint="eastAsia"/>
                <w:lang w:val="en-US" w:eastAsia="zh-CN"/>
              </w:rPr>
              <w:t>是</w:t>
            </w:r>
          </w:p>
        </w:tc>
      </w:tr>
      <w:tr w14:paraId="4BDD5A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3AEA8229">
            <w:pPr>
              <w:pStyle w:val="42"/>
              <w:bidi w:val="0"/>
              <w:jc w:val="center"/>
            </w:pPr>
          </w:p>
        </w:tc>
        <w:tc>
          <w:tcPr>
            <w:tcW w:w="1044" w:type="pct"/>
            <w:vMerge w:val="continue"/>
            <w:tcBorders>
              <w:tl2br w:val="nil"/>
              <w:tr2bl w:val="nil"/>
            </w:tcBorders>
            <w:vAlign w:val="center"/>
          </w:tcPr>
          <w:p w14:paraId="4796198B">
            <w:pPr>
              <w:pStyle w:val="42"/>
              <w:bidi w:val="0"/>
              <w:jc w:val="center"/>
            </w:pPr>
          </w:p>
        </w:tc>
        <w:tc>
          <w:tcPr>
            <w:tcW w:w="366" w:type="pct"/>
            <w:vMerge w:val="continue"/>
            <w:tcBorders>
              <w:tl2br w:val="nil"/>
              <w:tr2bl w:val="nil"/>
            </w:tcBorders>
            <w:vAlign w:val="center"/>
          </w:tcPr>
          <w:p w14:paraId="397CED5D">
            <w:pPr>
              <w:pStyle w:val="42"/>
              <w:bidi w:val="0"/>
              <w:jc w:val="center"/>
            </w:pPr>
          </w:p>
        </w:tc>
        <w:tc>
          <w:tcPr>
            <w:tcW w:w="940" w:type="pct"/>
            <w:gridSpan w:val="2"/>
            <w:tcBorders>
              <w:tl2br w:val="nil"/>
              <w:tr2bl w:val="nil"/>
            </w:tcBorders>
            <w:vAlign w:val="center"/>
          </w:tcPr>
          <w:p w14:paraId="35DF960B">
            <w:pPr>
              <w:pStyle w:val="42"/>
              <w:bidi w:val="0"/>
              <w:jc w:val="center"/>
            </w:pPr>
            <w:r>
              <w:t>苯并[b]荧蒽</w:t>
            </w:r>
          </w:p>
        </w:tc>
        <w:tc>
          <w:tcPr>
            <w:tcW w:w="388" w:type="pct"/>
            <w:tcBorders>
              <w:tl2br w:val="nil"/>
              <w:tr2bl w:val="nil"/>
            </w:tcBorders>
            <w:vAlign w:val="center"/>
          </w:tcPr>
          <w:p w14:paraId="4B8ECCD6">
            <w:pPr>
              <w:pStyle w:val="42"/>
              <w:bidi w:val="0"/>
              <w:jc w:val="center"/>
            </w:pPr>
            <w:r>
              <w:t>mg/kg</w:t>
            </w:r>
          </w:p>
        </w:tc>
        <w:tc>
          <w:tcPr>
            <w:tcW w:w="560" w:type="pct"/>
            <w:tcBorders>
              <w:tl2br w:val="nil"/>
              <w:tr2bl w:val="nil"/>
            </w:tcBorders>
            <w:vAlign w:val="center"/>
          </w:tcPr>
          <w:p w14:paraId="4ABD76FC">
            <w:pPr>
              <w:pStyle w:val="42"/>
              <w:bidi w:val="0"/>
              <w:jc w:val="center"/>
            </w:pPr>
            <w:r>
              <w:t>0.2L</w:t>
            </w:r>
          </w:p>
        </w:tc>
        <w:tc>
          <w:tcPr>
            <w:tcW w:w="562" w:type="pct"/>
            <w:tcBorders>
              <w:tl2br w:val="nil"/>
              <w:tr2bl w:val="nil"/>
            </w:tcBorders>
            <w:vAlign w:val="center"/>
          </w:tcPr>
          <w:p w14:paraId="798C867B">
            <w:pPr>
              <w:pStyle w:val="42"/>
              <w:bidi w:val="0"/>
              <w:jc w:val="center"/>
            </w:pPr>
            <w:r>
              <w:t>15</w:t>
            </w:r>
          </w:p>
        </w:tc>
        <w:tc>
          <w:tcPr>
            <w:tcW w:w="555" w:type="pct"/>
            <w:tcBorders>
              <w:tl2br w:val="nil"/>
              <w:tr2bl w:val="nil"/>
            </w:tcBorders>
            <w:vAlign w:val="center"/>
          </w:tcPr>
          <w:p w14:paraId="5BD2A2C3">
            <w:pPr>
              <w:pStyle w:val="42"/>
              <w:bidi w:val="0"/>
              <w:jc w:val="center"/>
            </w:pPr>
            <w:r>
              <w:rPr>
                <w:rFonts w:hint="eastAsia"/>
                <w:lang w:val="en-US" w:eastAsia="zh-CN"/>
              </w:rPr>
              <w:t>是</w:t>
            </w:r>
          </w:p>
        </w:tc>
      </w:tr>
      <w:tr w14:paraId="3D41C0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7593AD5">
            <w:pPr>
              <w:pStyle w:val="42"/>
              <w:bidi w:val="0"/>
              <w:jc w:val="center"/>
            </w:pPr>
          </w:p>
        </w:tc>
        <w:tc>
          <w:tcPr>
            <w:tcW w:w="1044" w:type="pct"/>
            <w:vMerge w:val="continue"/>
            <w:tcBorders>
              <w:tl2br w:val="nil"/>
              <w:tr2bl w:val="nil"/>
            </w:tcBorders>
            <w:vAlign w:val="center"/>
          </w:tcPr>
          <w:p w14:paraId="01ACF27C">
            <w:pPr>
              <w:pStyle w:val="42"/>
              <w:bidi w:val="0"/>
              <w:jc w:val="center"/>
            </w:pPr>
          </w:p>
        </w:tc>
        <w:tc>
          <w:tcPr>
            <w:tcW w:w="366" w:type="pct"/>
            <w:vMerge w:val="continue"/>
            <w:tcBorders>
              <w:tl2br w:val="nil"/>
              <w:tr2bl w:val="nil"/>
            </w:tcBorders>
            <w:vAlign w:val="center"/>
          </w:tcPr>
          <w:p w14:paraId="5D439A6C">
            <w:pPr>
              <w:pStyle w:val="42"/>
              <w:bidi w:val="0"/>
              <w:jc w:val="center"/>
            </w:pPr>
          </w:p>
        </w:tc>
        <w:tc>
          <w:tcPr>
            <w:tcW w:w="940" w:type="pct"/>
            <w:gridSpan w:val="2"/>
            <w:tcBorders>
              <w:tl2br w:val="nil"/>
              <w:tr2bl w:val="nil"/>
            </w:tcBorders>
            <w:vAlign w:val="center"/>
          </w:tcPr>
          <w:p w14:paraId="42832E34">
            <w:pPr>
              <w:pStyle w:val="42"/>
              <w:bidi w:val="0"/>
              <w:jc w:val="center"/>
            </w:pPr>
            <w:r>
              <w:t>苯并[k]荧蒽</w:t>
            </w:r>
          </w:p>
        </w:tc>
        <w:tc>
          <w:tcPr>
            <w:tcW w:w="388" w:type="pct"/>
            <w:tcBorders>
              <w:tl2br w:val="nil"/>
              <w:tr2bl w:val="nil"/>
            </w:tcBorders>
            <w:vAlign w:val="center"/>
          </w:tcPr>
          <w:p w14:paraId="0BE69F64">
            <w:pPr>
              <w:pStyle w:val="42"/>
              <w:bidi w:val="0"/>
              <w:jc w:val="center"/>
            </w:pPr>
            <w:r>
              <w:t>mg/kg</w:t>
            </w:r>
          </w:p>
        </w:tc>
        <w:tc>
          <w:tcPr>
            <w:tcW w:w="560" w:type="pct"/>
            <w:tcBorders>
              <w:tl2br w:val="nil"/>
              <w:tr2bl w:val="nil"/>
            </w:tcBorders>
            <w:vAlign w:val="center"/>
          </w:tcPr>
          <w:p w14:paraId="3F89CE3E">
            <w:pPr>
              <w:pStyle w:val="42"/>
              <w:bidi w:val="0"/>
              <w:jc w:val="center"/>
            </w:pPr>
            <w:r>
              <w:t>0.1L</w:t>
            </w:r>
          </w:p>
        </w:tc>
        <w:tc>
          <w:tcPr>
            <w:tcW w:w="562" w:type="pct"/>
            <w:tcBorders>
              <w:tl2br w:val="nil"/>
              <w:tr2bl w:val="nil"/>
            </w:tcBorders>
            <w:vAlign w:val="center"/>
          </w:tcPr>
          <w:p w14:paraId="63936576">
            <w:pPr>
              <w:pStyle w:val="42"/>
              <w:bidi w:val="0"/>
              <w:jc w:val="center"/>
            </w:pPr>
            <w:r>
              <w:t>151</w:t>
            </w:r>
          </w:p>
        </w:tc>
        <w:tc>
          <w:tcPr>
            <w:tcW w:w="555" w:type="pct"/>
            <w:tcBorders>
              <w:tl2br w:val="nil"/>
              <w:tr2bl w:val="nil"/>
            </w:tcBorders>
            <w:vAlign w:val="center"/>
          </w:tcPr>
          <w:p w14:paraId="5ED6A876">
            <w:pPr>
              <w:pStyle w:val="42"/>
              <w:bidi w:val="0"/>
              <w:jc w:val="center"/>
            </w:pPr>
            <w:r>
              <w:rPr>
                <w:rFonts w:hint="eastAsia"/>
                <w:lang w:val="en-US" w:eastAsia="zh-CN"/>
              </w:rPr>
              <w:t>是</w:t>
            </w:r>
          </w:p>
        </w:tc>
      </w:tr>
      <w:tr w14:paraId="0F4802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0D91AE8C">
            <w:pPr>
              <w:pStyle w:val="42"/>
              <w:bidi w:val="0"/>
              <w:jc w:val="center"/>
            </w:pPr>
          </w:p>
        </w:tc>
        <w:tc>
          <w:tcPr>
            <w:tcW w:w="1044" w:type="pct"/>
            <w:vMerge w:val="continue"/>
            <w:tcBorders>
              <w:tl2br w:val="nil"/>
              <w:tr2bl w:val="nil"/>
            </w:tcBorders>
            <w:vAlign w:val="center"/>
          </w:tcPr>
          <w:p w14:paraId="00F414B2">
            <w:pPr>
              <w:pStyle w:val="42"/>
              <w:bidi w:val="0"/>
              <w:jc w:val="center"/>
            </w:pPr>
          </w:p>
        </w:tc>
        <w:tc>
          <w:tcPr>
            <w:tcW w:w="366" w:type="pct"/>
            <w:vMerge w:val="continue"/>
            <w:tcBorders>
              <w:tl2br w:val="nil"/>
              <w:tr2bl w:val="nil"/>
            </w:tcBorders>
            <w:vAlign w:val="center"/>
          </w:tcPr>
          <w:p w14:paraId="331807F5">
            <w:pPr>
              <w:pStyle w:val="42"/>
              <w:bidi w:val="0"/>
              <w:jc w:val="center"/>
            </w:pPr>
          </w:p>
        </w:tc>
        <w:tc>
          <w:tcPr>
            <w:tcW w:w="940" w:type="pct"/>
            <w:gridSpan w:val="2"/>
            <w:tcBorders>
              <w:tl2br w:val="nil"/>
              <w:tr2bl w:val="nil"/>
            </w:tcBorders>
            <w:vAlign w:val="center"/>
          </w:tcPr>
          <w:p w14:paraId="43D97A1F">
            <w:pPr>
              <w:pStyle w:val="42"/>
              <w:bidi w:val="0"/>
              <w:jc w:val="center"/>
            </w:pPr>
            <w:r>
              <w:t>䓛</w:t>
            </w:r>
          </w:p>
        </w:tc>
        <w:tc>
          <w:tcPr>
            <w:tcW w:w="388" w:type="pct"/>
            <w:tcBorders>
              <w:tl2br w:val="nil"/>
              <w:tr2bl w:val="nil"/>
            </w:tcBorders>
            <w:vAlign w:val="center"/>
          </w:tcPr>
          <w:p w14:paraId="1019448B">
            <w:pPr>
              <w:pStyle w:val="42"/>
              <w:bidi w:val="0"/>
              <w:jc w:val="center"/>
            </w:pPr>
            <w:r>
              <w:t>mg/kg</w:t>
            </w:r>
          </w:p>
        </w:tc>
        <w:tc>
          <w:tcPr>
            <w:tcW w:w="560" w:type="pct"/>
            <w:tcBorders>
              <w:tl2br w:val="nil"/>
              <w:tr2bl w:val="nil"/>
            </w:tcBorders>
            <w:vAlign w:val="center"/>
          </w:tcPr>
          <w:p w14:paraId="75742C07">
            <w:pPr>
              <w:pStyle w:val="42"/>
              <w:bidi w:val="0"/>
              <w:jc w:val="center"/>
            </w:pPr>
            <w:r>
              <w:t>0.1L</w:t>
            </w:r>
          </w:p>
        </w:tc>
        <w:tc>
          <w:tcPr>
            <w:tcW w:w="562" w:type="pct"/>
            <w:tcBorders>
              <w:tl2br w:val="nil"/>
              <w:tr2bl w:val="nil"/>
            </w:tcBorders>
            <w:vAlign w:val="center"/>
          </w:tcPr>
          <w:p w14:paraId="30C14E71">
            <w:pPr>
              <w:pStyle w:val="42"/>
              <w:bidi w:val="0"/>
              <w:jc w:val="center"/>
            </w:pPr>
            <w:r>
              <w:t>1293</w:t>
            </w:r>
          </w:p>
        </w:tc>
        <w:tc>
          <w:tcPr>
            <w:tcW w:w="555" w:type="pct"/>
            <w:tcBorders>
              <w:tl2br w:val="nil"/>
              <w:tr2bl w:val="nil"/>
            </w:tcBorders>
            <w:vAlign w:val="center"/>
          </w:tcPr>
          <w:p w14:paraId="6BC5A8E4">
            <w:pPr>
              <w:pStyle w:val="42"/>
              <w:bidi w:val="0"/>
              <w:jc w:val="center"/>
            </w:pPr>
            <w:r>
              <w:rPr>
                <w:rFonts w:hint="eastAsia"/>
                <w:lang w:val="en-US" w:eastAsia="zh-CN"/>
              </w:rPr>
              <w:t>是</w:t>
            </w:r>
          </w:p>
        </w:tc>
      </w:tr>
      <w:tr w14:paraId="50EA55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5B869A84">
            <w:pPr>
              <w:pStyle w:val="42"/>
              <w:bidi w:val="0"/>
              <w:jc w:val="center"/>
            </w:pPr>
          </w:p>
        </w:tc>
        <w:tc>
          <w:tcPr>
            <w:tcW w:w="1044" w:type="pct"/>
            <w:vMerge w:val="continue"/>
            <w:tcBorders>
              <w:tl2br w:val="nil"/>
              <w:tr2bl w:val="nil"/>
            </w:tcBorders>
            <w:vAlign w:val="center"/>
          </w:tcPr>
          <w:p w14:paraId="4E202318">
            <w:pPr>
              <w:pStyle w:val="42"/>
              <w:bidi w:val="0"/>
              <w:jc w:val="center"/>
            </w:pPr>
          </w:p>
        </w:tc>
        <w:tc>
          <w:tcPr>
            <w:tcW w:w="366" w:type="pct"/>
            <w:vMerge w:val="continue"/>
            <w:tcBorders>
              <w:tl2br w:val="nil"/>
              <w:tr2bl w:val="nil"/>
            </w:tcBorders>
            <w:vAlign w:val="center"/>
          </w:tcPr>
          <w:p w14:paraId="44E0C3BB">
            <w:pPr>
              <w:pStyle w:val="42"/>
              <w:bidi w:val="0"/>
              <w:jc w:val="center"/>
            </w:pPr>
          </w:p>
        </w:tc>
        <w:tc>
          <w:tcPr>
            <w:tcW w:w="940" w:type="pct"/>
            <w:gridSpan w:val="2"/>
            <w:tcBorders>
              <w:tl2br w:val="nil"/>
              <w:tr2bl w:val="nil"/>
            </w:tcBorders>
            <w:vAlign w:val="center"/>
          </w:tcPr>
          <w:p w14:paraId="72C4C731">
            <w:pPr>
              <w:pStyle w:val="42"/>
              <w:bidi w:val="0"/>
              <w:jc w:val="center"/>
            </w:pPr>
            <w:r>
              <w:t>二苯并[a,h]蒽</w:t>
            </w:r>
          </w:p>
        </w:tc>
        <w:tc>
          <w:tcPr>
            <w:tcW w:w="388" w:type="pct"/>
            <w:tcBorders>
              <w:tl2br w:val="nil"/>
              <w:tr2bl w:val="nil"/>
            </w:tcBorders>
            <w:vAlign w:val="center"/>
          </w:tcPr>
          <w:p w14:paraId="54E7F4FE">
            <w:pPr>
              <w:pStyle w:val="42"/>
              <w:bidi w:val="0"/>
              <w:jc w:val="center"/>
            </w:pPr>
            <w:r>
              <w:t>mg/kg</w:t>
            </w:r>
          </w:p>
        </w:tc>
        <w:tc>
          <w:tcPr>
            <w:tcW w:w="560" w:type="pct"/>
            <w:tcBorders>
              <w:tl2br w:val="nil"/>
              <w:tr2bl w:val="nil"/>
            </w:tcBorders>
            <w:vAlign w:val="center"/>
          </w:tcPr>
          <w:p w14:paraId="01D332E0">
            <w:pPr>
              <w:pStyle w:val="42"/>
              <w:bidi w:val="0"/>
              <w:jc w:val="center"/>
            </w:pPr>
            <w:r>
              <w:t>0.1L</w:t>
            </w:r>
          </w:p>
        </w:tc>
        <w:tc>
          <w:tcPr>
            <w:tcW w:w="562" w:type="pct"/>
            <w:tcBorders>
              <w:tl2br w:val="nil"/>
              <w:tr2bl w:val="nil"/>
            </w:tcBorders>
            <w:vAlign w:val="center"/>
          </w:tcPr>
          <w:p w14:paraId="14C6B279">
            <w:pPr>
              <w:pStyle w:val="42"/>
              <w:bidi w:val="0"/>
              <w:jc w:val="center"/>
            </w:pPr>
            <w:r>
              <w:t>1.5</w:t>
            </w:r>
          </w:p>
        </w:tc>
        <w:tc>
          <w:tcPr>
            <w:tcW w:w="555" w:type="pct"/>
            <w:tcBorders>
              <w:tl2br w:val="nil"/>
              <w:tr2bl w:val="nil"/>
            </w:tcBorders>
            <w:vAlign w:val="center"/>
          </w:tcPr>
          <w:p w14:paraId="3E03EBA6">
            <w:pPr>
              <w:pStyle w:val="42"/>
              <w:bidi w:val="0"/>
              <w:jc w:val="center"/>
            </w:pPr>
            <w:r>
              <w:rPr>
                <w:rFonts w:hint="eastAsia"/>
                <w:lang w:val="en-US" w:eastAsia="zh-CN"/>
              </w:rPr>
              <w:t>是</w:t>
            </w:r>
          </w:p>
        </w:tc>
      </w:tr>
      <w:tr w14:paraId="52DB23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80" w:type="pct"/>
            <w:vMerge w:val="continue"/>
            <w:tcBorders>
              <w:tl2br w:val="nil"/>
              <w:tr2bl w:val="nil"/>
            </w:tcBorders>
            <w:vAlign w:val="center"/>
          </w:tcPr>
          <w:p w14:paraId="4BAAD9C7">
            <w:pPr>
              <w:pStyle w:val="42"/>
              <w:bidi w:val="0"/>
              <w:jc w:val="center"/>
            </w:pPr>
          </w:p>
        </w:tc>
        <w:tc>
          <w:tcPr>
            <w:tcW w:w="1044" w:type="pct"/>
            <w:vMerge w:val="continue"/>
            <w:tcBorders>
              <w:tl2br w:val="nil"/>
              <w:tr2bl w:val="nil"/>
            </w:tcBorders>
            <w:vAlign w:val="center"/>
          </w:tcPr>
          <w:p w14:paraId="5EDCC7F5">
            <w:pPr>
              <w:pStyle w:val="42"/>
              <w:bidi w:val="0"/>
              <w:jc w:val="center"/>
            </w:pPr>
          </w:p>
        </w:tc>
        <w:tc>
          <w:tcPr>
            <w:tcW w:w="366" w:type="pct"/>
            <w:vMerge w:val="continue"/>
            <w:tcBorders>
              <w:tl2br w:val="nil"/>
              <w:tr2bl w:val="nil"/>
            </w:tcBorders>
            <w:vAlign w:val="center"/>
          </w:tcPr>
          <w:p w14:paraId="37F9FC99">
            <w:pPr>
              <w:pStyle w:val="42"/>
              <w:bidi w:val="0"/>
              <w:jc w:val="center"/>
            </w:pPr>
          </w:p>
        </w:tc>
        <w:tc>
          <w:tcPr>
            <w:tcW w:w="940" w:type="pct"/>
            <w:gridSpan w:val="2"/>
            <w:tcBorders>
              <w:tl2br w:val="nil"/>
              <w:tr2bl w:val="nil"/>
            </w:tcBorders>
            <w:vAlign w:val="center"/>
          </w:tcPr>
          <w:p w14:paraId="1708B5A7">
            <w:pPr>
              <w:pStyle w:val="42"/>
              <w:bidi w:val="0"/>
              <w:jc w:val="center"/>
            </w:pPr>
            <w:r>
              <w:t>茚并[1,2,3-cd]芘</w:t>
            </w:r>
          </w:p>
        </w:tc>
        <w:tc>
          <w:tcPr>
            <w:tcW w:w="388" w:type="pct"/>
            <w:tcBorders>
              <w:tl2br w:val="nil"/>
              <w:tr2bl w:val="nil"/>
            </w:tcBorders>
            <w:vAlign w:val="center"/>
          </w:tcPr>
          <w:p w14:paraId="22C3B752">
            <w:pPr>
              <w:pStyle w:val="42"/>
              <w:bidi w:val="0"/>
              <w:jc w:val="center"/>
            </w:pPr>
            <w:r>
              <w:t>mg/kg</w:t>
            </w:r>
          </w:p>
        </w:tc>
        <w:tc>
          <w:tcPr>
            <w:tcW w:w="560" w:type="pct"/>
            <w:tcBorders>
              <w:tl2br w:val="nil"/>
              <w:tr2bl w:val="nil"/>
            </w:tcBorders>
            <w:vAlign w:val="center"/>
          </w:tcPr>
          <w:p w14:paraId="01B039E2">
            <w:pPr>
              <w:pStyle w:val="42"/>
              <w:bidi w:val="0"/>
              <w:jc w:val="center"/>
            </w:pPr>
            <w:r>
              <w:t>0.1L</w:t>
            </w:r>
          </w:p>
        </w:tc>
        <w:tc>
          <w:tcPr>
            <w:tcW w:w="562" w:type="pct"/>
            <w:tcBorders>
              <w:tl2br w:val="nil"/>
              <w:tr2bl w:val="nil"/>
            </w:tcBorders>
            <w:vAlign w:val="center"/>
          </w:tcPr>
          <w:p w14:paraId="1C586034">
            <w:pPr>
              <w:pStyle w:val="42"/>
              <w:bidi w:val="0"/>
              <w:jc w:val="center"/>
            </w:pPr>
            <w:r>
              <w:t>15</w:t>
            </w:r>
          </w:p>
        </w:tc>
        <w:tc>
          <w:tcPr>
            <w:tcW w:w="555" w:type="pct"/>
            <w:tcBorders>
              <w:tl2br w:val="nil"/>
              <w:tr2bl w:val="nil"/>
            </w:tcBorders>
            <w:vAlign w:val="center"/>
          </w:tcPr>
          <w:p w14:paraId="155D4B37">
            <w:pPr>
              <w:pStyle w:val="42"/>
              <w:bidi w:val="0"/>
              <w:jc w:val="center"/>
            </w:pPr>
            <w:r>
              <w:rPr>
                <w:rFonts w:hint="eastAsia"/>
                <w:lang w:val="en-US" w:eastAsia="zh-CN"/>
              </w:rPr>
              <w:t>是</w:t>
            </w:r>
          </w:p>
        </w:tc>
      </w:tr>
      <w:tr w14:paraId="61C2AF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6B67F8B4">
            <w:pPr>
              <w:pStyle w:val="42"/>
              <w:bidi w:val="0"/>
              <w:jc w:val="center"/>
            </w:pPr>
          </w:p>
        </w:tc>
        <w:tc>
          <w:tcPr>
            <w:tcW w:w="1044" w:type="pct"/>
            <w:vMerge w:val="continue"/>
            <w:tcBorders>
              <w:tl2br w:val="nil"/>
              <w:tr2bl w:val="nil"/>
            </w:tcBorders>
            <w:vAlign w:val="center"/>
          </w:tcPr>
          <w:p w14:paraId="0A88A187">
            <w:pPr>
              <w:pStyle w:val="42"/>
              <w:bidi w:val="0"/>
              <w:jc w:val="center"/>
            </w:pPr>
          </w:p>
        </w:tc>
        <w:tc>
          <w:tcPr>
            <w:tcW w:w="366" w:type="pct"/>
            <w:vMerge w:val="continue"/>
            <w:tcBorders>
              <w:tl2br w:val="nil"/>
              <w:tr2bl w:val="nil"/>
            </w:tcBorders>
            <w:vAlign w:val="center"/>
          </w:tcPr>
          <w:p w14:paraId="3816EEA5">
            <w:pPr>
              <w:pStyle w:val="42"/>
              <w:bidi w:val="0"/>
              <w:jc w:val="center"/>
            </w:pPr>
          </w:p>
        </w:tc>
        <w:tc>
          <w:tcPr>
            <w:tcW w:w="940" w:type="pct"/>
            <w:gridSpan w:val="2"/>
            <w:tcBorders>
              <w:tl2br w:val="nil"/>
              <w:tr2bl w:val="nil"/>
            </w:tcBorders>
            <w:vAlign w:val="center"/>
          </w:tcPr>
          <w:p w14:paraId="0F2C0286">
            <w:pPr>
              <w:pStyle w:val="42"/>
              <w:bidi w:val="0"/>
              <w:jc w:val="center"/>
            </w:pPr>
            <w:r>
              <w:t>萘</w:t>
            </w:r>
          </w:p>
        </w:tc>
        <w:tc>
          <w:tcPr>
            <w:tcW w:w="388" w:type="pct"/>
            <w:tcBorders>
              <w:tl2br w:val="nil"/>
              <w:tr2bl w:val="nil"/>
            </w:tcBorders>
            <w:vAlign w:val="center"/>
          </w:tcPr>
          <w:p w14:paraId="7170271D">
            <w:pPr>
              <w:pStyle w:val="42"/>
              <w:bidi w:val="0"/>
              <w:jc w:val="center"/>
            </w:pPr>
            <w:r>
              <w:t>mg/kg</w:t>
            </w:r>
          </w:p>
        </w:tc>
        <w:tc>
          <w:tcPr>
            <w:tcW w:w="560" w:type="pct"/>
            <w:tcBorders>
              <w:tl2br w:val="nil"/>
              <w:tr2bl w:val="nil"/>
            </w:tcBorders>
            <w:vAlign w:val="center"/>
          </w:tcPr>
          <w:p w14:paraId="46821D12">
            <w:pPr>
              <w:pStyle w:val="42"/>
              <w:bidi w:val="0"/>
              <w:jc w:val="center"/>
            </w:pPr>
            <w:r>
              <w:t>0.09L</w:t>
            </w:r>
          </w:p>
        </w:tc>
        <w:tc>
          <w:tcPr>
            <w:tcW w:w="562" w:type="pct"/>
            <w:tcBorders>
              <w:tl2br w:val="nil"/>
              <w:tr2bl w:val="nil"/>
            </w:tcBorders>
            <w:vAlign w:val="center"/>
          </w:tcPr>
          <w:p w14:paraId="67F348B2">
            <w:pPr>
              <w:pStyle w:val="42"/>
              <w:bidi w:val="0"/>
              <w:jc w:val="center"/>
            </w:pPr>
            <w:r>
              <w:t>70</w:t>
            </w:r>
          </w:p>
        </w:tc>
        <w:tc>
          <w:tcPr>
            <w:tcW w:w="555" w:type="pct"/>
            <w:tcBorders>
              <w:tl2br w:val="nil"/>
              <w:tr2bl w:val="nil"/>
            </w:tcBorders>
            <w:vAlign w:val="center"/>
          </w:tcPr>
          <w:p w14:paraId="4273756F">
            <w:pPr>
              <w:pStyle w:val="42"/>
              <w:bidi w:val="0"/>
              <w:jc w:val="center"/>
            </w:pPr>
            <w:r>
              <w:rPr>
                <w:rFonts w:hint="eastAsia"/>
                <w:lang w:val="en-US" w:eastAsia="zh-CN"/>
              </w:rPr>
              <w:t>是</w:t>
            </w:r>
          </w:p>
        </w:tc>
      </w:tr>
      <w:tr w14:paraId="4A2C56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39C11C63">
            <w:pPr>
              <w:pStyle w:val="42"/>
              <w:bidi w:val="0"/>
              <w:jc w:val="center"/>
            </w:pPr>
          </w:p>
        </w:tc>
        <w:tc>
          <w:tcPr>
            <w:tcW w:w="1044" w:type="pct"/>
            <w:vMerge w:val="restart"/>
            <w:tcBorders>
              <w:tl2br w:val="nil"/>
              <w:tr2bl w:val="nil"/>
            </w:tcBorders>
            <w:vAlign w:val="center"/>
          </w:tcPr>
          <w:p w14:paraId="7104702E">
            <w:pPr>
              <w:pStyle w:val="42"/>
              <w:bidi w:val="0"/>
              <w:jc w:val="center"/>
            </w:pPr>
            <w:r>
              <w:t>T2项目厂界内2#</w:t>
            </w:r>
          </w:p>
        </w:tc>
        <w:tc>
          <w:tcPr>
            <w:tcW w:w="366" w:type="pct"/>
            <w:vMerge w:val="restart"/>
            <w:tcBorders>
              <w:tl2br w:val="nil"/>
              <w:tr2bl w:val="nil"/>
            </w:tcBorders>
            <w:vAlign w:val="center"/>
          </w:tcPr>
          <w:p w14:paraId="11FD5732">
            <w:pPr>
              <w:pStyle w:val="42"/>
              <w:bidi w:val="0"/>
              <w:jc w:val="center"/>
            </w:pPr>
            <w:r>
              <w:t>0-0.2m</w:t>
            </w:r>
          </w:p>
        </w:tc>
        <w:tc>
          <w:tcPr>
            <w:tcW w:w="940" w:type="pct"/>
            <w:gridSpan w:val="2"/>
            <w:tcBorders>
              <w:tl2br w:val="nil"/>
              <w:tr2bl w:val="nil"/>
            </w:tcBorders>
            <w:vAlign w:val="center"/>
          </w:tcPr>
          <w:p w14:paraId="640D2738">
            <w:pPr>
              <w:pStyle w:val="42"/>
              <w:bidi w:val="0"/>
              <w:jc w:val="center"/>
            </w:pPr>
            <w:r>
              <w:t>pH值</w:t>
            </w:r>
          </w:p>
        </w:tc>
        <w:tc>
          <w:tcPr>
            <w:tcW w:w="388" w:type="pct"/>
            <w:tcBorders>
              <w:tl2br w:val="nil"/>
              <w:tr2bl w:val="nil"/>
            </w:tcBorders>
            <w:vAlign w:val="center"/>
          </w:tcPr>
          <w:p w14:paraId="7569FA84">
            <w:pPr>
              <w:pStyle w:val="42"/>
              <w:bidi w:val="0"/>
              <w:jc w:val="center"/>
            </w:pPr>
            <w:r>
              <w:t>无量纲</w:t>
            </w:r>
          </w:p>
        </w:tc>
        <w:tc>
          <w:tcPr>
            <w:tcW w:w="560" w:type="pct"/>
            <w:tcBorders>
              <w:tl2br w:val="nil"/>
              <w:tr2bl w:val="nil"/>
            </w:tcBorders>
            <w:vAlign w:val="center"/>
          </w:tcPr>
          <w:p w14:paraId="18189467">
            <w:pPr>
              <w:pStyle w:val="42"/>
              <w:bidi w:val="0"/>
              <w:jc w:val="center"/>
            </w:pPr>
            <w:r>
              <w:t>7.28</w:t>
            </w:r>
          </w:p>
        </w:tc>
        <w:tc>
          <w:tcPr>
            <w:tcW w:w="562" w:type="pct"/>
            <w:tcBorders>
              <w:tl2br w:val="nil"/>
              <w:tr2bl w:val="nil"/>
            </w:tcBorders>
            <w:vAlign w:val="center"/>
          </w:tcPr>
          <w:p w14:paraId="5930B576">
            <w:pPr>
              <w:pStyle w:val="42"/>
              <w:bidi w:val="0"/>
              <w:jc w:val="center"/>
              <w:rPr>
                <w:rFonts w:hint="eastAsia" w:eastAsia="宋体"/>
                <w:lang w:val="en-US" w:eastAsia="zh-CN"/>
              </w:rPr>
            </w:pPr>
            <w:r>
              <w:rPr>
                <w:rFonts w:hint="eastAsia"/>
                <w:lang w:val="en-US" w:eastAsia="zh-CN"/>
              </w:rPr>
              <w:t>/</w:t>
            </w:r>
          </w:p>
        </w:tc>
        <w:tc>
          <w:tcPr>
            <w:tcW w:w="555" w:type="pct"/>
            <w:tcBorders>
              <w:tl2br w:val="nil"/>
              <w:tr2bl w:val="nil"/>
            </w:tcBorders>
            <w:vAlign w:val="center"/>
          </w:tcPr>
          <w:p w14:paraId="47AF3BA7">
            <w:pPr>
              <w:pStyle w:val="42"/>
              <w:bidi w:val="0"/>
              <w:jc w:val="center"/>
            </w:pPr>
            <w:r>
              <w:rPr>
                <w:rFonts w:hint="eastAsia"/>
                <w:lang w:val="en-US" w:eastAsia="zh-CN"/>
              </w:rPr>
              <w:t>是</w:t>
            </w:r>
          </w:p>
        </w:tc>
      </w:tr>
      <w:tr w14:paraId="2EB530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2F747221">
            <w:pPr>
              <w:pStyle w:val="42"/>
              <w:bidi w:val="0"/>
              <w:jc w:val="center"/>
            </w:pPr>
          </w:p>
        </w:tc>
        <w:tc>
          <w:tcPr>
            <w:tcW w:w="1044" w:type="pct"/>
            <w:vMerge w:val="continue"/>
            <w:tcBorders>
              <w:tl2br w:val="nil"/>
              <w:tr2bl w:val="nil"/>
            </w:tcBorders>
            <w:vAlign w:val="center"/>
          </w:tcPr>
          <w:p w14:paraId="1FBD986B">
            <w:pPr>
              <w:pStyle w:val="42"/>
              <w:bidi w:val="0"/>
              <w:jc w:val="center"/>
            </w:pPr>
          </w:p>
        </w:tc>
        <w:tc>
          <w:tcPr>
            <w:tcW w:w="366" w:type="pct"/>
            <w:vMerge w:val="continue"/>
            <w:tcBorders>
              <w:tl2br w:val="nil"/>
              <w:tr2bl w:val="nil"/>
            </w:tcBorders>
            <w:vAlign w:val="center"/>
          </w:tcPr>
          <w:p w14:paraId="44396AF6">
            <w:pPr>
              <w:pStyle w:val="42"/>
              <w:bidi w:val="0"/>
              <w:jc w:val="center"/>
            </w:pPr>
          </w:p>
        </w:tc>
        <w:tc>
          <w:tcPr>
            <w:tcW w:w="940" w:type="pct"/>
            <w:gridSpan w:val="2"/>
            <w:tcBorders>
              <w:tl2br w:val="nil"/>
              <w:tr2bl w:val="nil"/>
            </w:tcBorders>
            <w:vAlign w:val="center"/>
          </w:tcPr>
          <w:p w14:paraId="588437EA">
            <w:pPr>
              <w:pStyle w:val="42"/>
              <w:bidi w:val="0"/>
              <w:jc w:val="center"/>
            </w:pPr>
            <w:r>
              <w:t>砷</w:t>
            </w:r>
          </w:p>
        </w:tc>
        <w:tc>
          <w:tcPr>
            <w:tcW w:w="388" w:type="pct"/>
            <w:tcBorders>
              <w:tl2br w:val="nil"/>
              <w:tr2bl w:val="nil"/>
            </w:tcBorders>
            <w:vAlign w:val="center"/>
          </w:tcPr>
          <w:p w14:paraId="230F1483">
            <w:pPr>
              <w:pStyle w:val="42"/>
              <w:bidi w:val="0"/>
              <w:jc w:val="center"/>
            </w:pPr>
            <w:r>
              <w:t>mg/kg</w:t>
            </w:r>
          </w:p>
        </w:tc>
        <w:tc>
          <w:tcPr>
            <w:tcW w:w="560" w:type="pct"/>
            <w:tcBorders>
              <w:tl2br w:val="nil"/>
              <w:tr2bl w:val="nil"/>
            </w:tcBorders>
            <w:vAlign w:val="center"/>
          </w:tcPr>
          <w:p w14:paraId="21789E77">
            <w:pPr>
              <w:pStyle w:val="42"/>
              <w:bidi w:val="0"/>
              <w:jc w:val="center"/>
            </w:pPr>
            <w:r>
              <w:t>4.98</w:t>
            </w:r>
          </w:p>
        </w:tc>
        <w:tc>
          <w:tcPr>
            <w:tcW w:w="562" w:type="pct"/>
            <w:tcBorders>
              <w:tl2br w:val="nil"/>
              <w:tr2bl w:val="nil"/>
            </w:tcBorders>
            <w:vAlign w:val="center"/>
          </w:tcPr>
          <w:p w14:paraId="0600C241">
            <w:pPr>
              <w:pStyle w:val="42"/>
              <w:bidi w:val="0"/>
              <w:jc w:val="center"/>
            </w:pPr>
            <w:r>
              <w:t>60</w:t>
            </w:r>
          </w:p>
        </w:tc>
        <w:tc>
          <w:tcPr>
            <w:tcW w:w="555" w:type="pct"/>
            <w:tcBorders>
              <w:tl2br w:val="nil"/>
              <w:tr2bl w:val="nil"/>
            </w:tcBorders>
            <w:vAlign w:val="center"/>
          </w:tcPr>
          <w:p w14:paraId="4F30E1AB">
            <w:pPr>
              <w:pStyle w:val="42"/>
              <w:bidi w:val="0"/>
              <w:jc w:val="center"/>
            </w:pPr>
            <w:r>
              <w:rPr>
                <w:rFonts w:hint="eastAsia"/>
                <w:lang w:val="en-US" w:eastAsia="zh-CN"/>
              </w:rPr>
              <w:t>是</w:t>
            </w:r>
          </w:p>
        </w:tc>
      </w:tr>
      <w:tr w14:paraId="1B98E1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48" w:hRule="atLeast"/>
        </w:trPr>
        <w:tc>
          <w:tcPr>
            <w:tcW w:w="580" w:type="pct"/>
            <w:vMerge w:val="continue"/>
            <w:tcBorders>
              <w:tl2br w:val="nil"/>
              <w:tr2bl w:val="nil"/>
            </w:tcBorders>
            <w:vAlign w:val="center"/>
          </w:tcPr>
          <w:p w14:paraId="4E6B8ACF">
            <w:pPr>
              <w:pStyle w:val="42"/>
              <w:bidi w:val="0"/>
              <w:jc w:val="center"/>
            </w:pPr>
          </w:p>
        </w:tc>
        <w:tc>
          <w:tcPr>
            <w:tcW w:w="1044" w:type="pct"/>
            <w:vMerge w:val="continue"/>
            <w:tcBorders>
              <w:tl2br w:val="nil"/>
              <w:tr2bl w:val="nil"/>
            </w:tcBorders>
            <w:vAlign w:val="center"/>
          </w:tcPr>
          <w:p w14:paraId="4513F264">
            <w:pPr>
              <w:pStyle w:val="42"/>
              <w:bidi w:val="0"/>
              <w:jc w:val="center"/>
            </w:pPr>
          </w:p>
        </w:tc>
        <w:tc>
          <w:tcPr>
            <w:tcW w:w="366" w:type="pct"/>
            <w:vMerge w:val="continue"/>
            <w:tcBorders>
              <w:tl2br w:val="nil"/>
              <w:tr2bl w:val="nil"/>
            </w:tcBorders>
            <w:vAlign w:val="center"/>
          </w:tcPr>
          <w:p w14:paraId="7156688A">
            <w:pPr>
              <w:pStyle w:val="42"/>
              <w:bidi w:val="0"/>
              <w:jc w:val="center"/>
            </w:pPr>
          </w:p>
        </w:tc>
        <w:tc>
          <w:tcPr>
            <w:tcW w:w="940" w:type="pct"/>
            <w:gridSpan w:val="2"/>
            <w:tcBorders>
              <w:tl2br w:val="nil"/>
              <w:tr2bl w:val="nil"/>
            </w:tcBorders>
            <w:vAlign w:val="center"/>
          </w:tcPr>
          <w:p w14:paraId="1F821F81">
            <w:pPr>
              <w:pStyle w:val="42"/>
              <w:bidi w:val="0"/>
              <w:jc w:val="center"/>
            </w:pPr>
            <w:r>
              <w:t>镉</w:t>
            </w:r>
          </w:p>
        </w:tc>
        <w:tc>
          <w:tcPr>
            <w:tcW w:w="388" w:type="pct"/>
            <w:tcBorders>
              <w:tl2br w:val="nil"/>
              <w:tr2bl w:val="nil"/>
            </w:tcBorders>
            <w:vAlign w:val="center"/>
          </w:tcPr>
          <w:p w14:paraId="04034DD9">
            <w:pPr>
              <w:pStyle w:val="42"/>
              <w:bidi w:val="0"/>
              <w:jc w:val="center"/>
            </w:pPr>
            <w:r>
              <w:t>mg/kg</w:t>
            </w:r>
          </w:p>
        </w:tc>
        <w:tc>
          <w:tcPr>
            <w:tcW w:w="560" w:type="pct"/>
            <w:tcBorders>
              <w:tl2br w:val="nil"/>
              <w:tr2bl w:val="nil"/>
            </w:tcBorders>
            <w:vAlign w:val="center"/>
          </w:tcPr>
          <w:p w14:paraId="01D509F3">
            <w:pPr>
              <w:pStyle w:val="42"/>
              <w:bidi w:val="0"/>
              <w:jc w:val="center"/>
            </w:pPr>
            <w:r>
              <w:t>0.15</w:t>
            </w:r>
          </w:p>
        </w:tc>
        <w:tc>
          <w:tcPr>
            <w:tcW w:w="562" w:type="pct"/>
            <w:tcBorders>
              <w:tl2br w:val="nil"/>
              <w:tr2bl w:val="nil"/>
            </w:tcBorders>
            <w:vAlign w:val="center"/>
          </w:tcPr>
          <w:p w14:paraId="6B69F92F">
            <w:pPr>
              <w:pStyle w:val="42"/>
              <w:bidi w:val="0"/>
              <w:jc w:val="center"/>
            </w:pPr>
            <w:r>
              <w:t>65</w:t>
            </w:r>
          </w:p>
        </w:tc>
        <w:tc>
          <w:tcPr>
            <w:tcW w:w="555" w:type="pct"/>
            <w:tcBorders>
              <w:tl2br w:val="nil"/>
              <w:tr2bl w:val="nil"/>
            </w:tcBorders>
            <w:vAlign w:val="center"/>
          </w:tcPr>
          <w:p w14:paraId="3253F9C7">
            <w:pPr>
              <w:pStyle w:val="42"/>
              <w:bidi w:val="0"/>
              <w:jc w:val="center"/>
            </w:pPr>
            <w:r>
              <w:rPr>
                <w:rFonts w:hint="eastAsia"/>
                <w:lang w:val="en-US" w:eastAsia="zh-CN"/>
              </w:rPr>
              <w:t>是</w:t>
            </w:r>
          </w:p>
        </w:tc>
      </w:tr>
      <w:tr w14:paraId="220320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continue"/>
            <w:tcBorders>
              <w:tl2br w:val="nil"/>
              <w:tr2bl w:val="nil"/>
            </w:tcBorders>
            <w:vAlign w:val="center"/>
          </w:tcPr>
          <w:p w14:paraId="08C47005">
            <w:pPr>
              <w:pStyle w:val="42"/>
              <w:bidi w:val="0"/>
              <w:jc w:val="center"/>
            </w:pPr>
          </w:p>
        </w:tc>
        <w:tc>
          <w:tcPr>
            <w:tcW w:w="1044" w:type="pct"/>
            <w:vMerge w:val="continue"/>
            <w:tcBorders>
              <w:tl2br w:val="nil"/>
              <w:tr2bl w:val="nil"/>
            </w:tcBorders>
            <w:vAlign w:val="center"/>
          </w:tcPr>
          <w:p w14:paraId="31CD71E7">
            <w:pPr>
              <w:pStyle w:val="42"/>
              <w:bidi w:val="0"/>
              <w:jc w:val="center"/>
            </w:pPr>
          </w:p>
        </w:tc>
        <w:tc>
          <w:tcPr>
            <w:tcW w:w="366" w:type="pct"/>
            <w:vMerge w:val="continue"/>
            <w:tcBorders>
              <w:tl2br w:val="nil"/>
              <w:tr2bl w:val="nil"/>
            </w:tcBorders>
            <w:vAlign w:val="center"/>
          </w:tcPr>
          <w:p w14:paraId="62A3CDB0">
            <w:pPr>
              <w:pStyle w:val="42"/>
              <w:bidi w:val="0"/>
              <w:jc w:val="center"/>
            </w:pPr>
          </w:p>
        </w:tc>
        <w:tc>
          <w:tcPr>
            <w:tcW w:w="940" w:type="pct"/>
            <w:gridSpan w:val="2"/>
            <w:tcBorders>
              <w:tl2br w:val="nil"/>
              <w:tr2bl w:val="nil"/>
            </w:tcBorders>
            <w:vAlign w:val="center"/>
          </w:tcPr>
          <w:p w14:paraId="74912F9F">
            <w:pPr>
              <w:pStyle w:val="42"/>
              <w:bidi w:val="0"/>
              <w:jc w:val="center"/>
            </w:pPr>
            <w:r>
              <w:t>六价铬</w:t>
            </w:r>
          </w:p>
        </w:tc>
        <w:tc>
          <w:tcPr>
            <w:tcW w:w="388" w:type="pct"/>
            <w:tcBorders>
              <w:tl2br w:val="nil"/>
              <w:tr2bl w:val="nil"/>
            </w:tcBorders>
            <w:vAlign w:val="center"/>
          </w:tcPr>
          <w:p w14:paraId="5CB51838">
            <w:pPr>
              <w:pStyle w:val="42"/>
              <w:bidi w:val="0"/>
              <w:jc w:val="center"/>
            </w:pPr>
            <w:r>
              <w:t>mg/kg</w:t>
            </w:r>
          </w:p>
        </w:tc>
        <w:tc>
          <w:tcPr>
            <w:tcW w:w="560" w:type="pct"/>
            <w:tcBorders>
              <w:tl2br w:val="nil"/>
              <w:tr2bl w:val="nil"/>
            </w:tcBorders>
            <w:vAlign w:val="center"/>
          </w:tcPr>
          <w:p w14:paraId="4F273483">
            <w:pPr>
              <w:pStyle w:val="42"/>
              <w:bidi w:val="0"/>
              <w:jc w:val="center"/>
            </w:pPr>
            <w:r>
              <w:t>0.5L</w:t>
            </w:r>
          </w:p>
        </w:tc>
        <w:tc>
          <w:tcPr>
            <w:tcW w:w="562" w:type="pct"/>
            <w:tcBorders>
              <w:tl2br w:val="nil"/>
              <w:tr2bl w:val="nil"/>
            </w:tcBorders>
            <w:vAlign w:val="center"/>
          </w:tcPr>
          <w:p w14:paraId="51370654">
            <w:pPr>
              <w:pStyle w:val="42"/>
              <w:bidi w:val="0"/>
              <w:jc w:val="center"/>
            </w:pPr>
            <w:r>
              <w:t>5.7</w:t>
            </w:r>
          </w:p>
        </w:tc>
        <w:tc>
          <w:tcPr>
            <w:tcW w:w="555" w:type="pct"/>
            <w:tcBorders>
              <w:tl2br w:val="nil"/>
              <w:tr2bl w:val="nil"/>
            </w:tcBorders>
            <w:vAlign w:val="center"/>
          </w:tcPr>
          <w:p w14:paraId="6097B3E0">
            <w:pPr>
              <w:pStyle w:val="42"/>
              <w:bidi w:val="0"/>
              <w:jc w:val="center"/>
            </w:pPr>
            <w:r>
              <w:rPr>
                <w:rFonts w:hint="eastAsia"/>
                <w:lang w:val="en-US" w:eastAsia="zh-CN"/>
              </w:rPr>
              <w:t>是</w:t>
            </w:r>
          </w:p>
        </w:tc>
      </w:tr>
      <w:tr w14:paraId="37CCE8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continue"/>
            <w:tcBorders>
              <w:tl2br w:val="nil"/>
              <w:tr2bl w:val="nil"/>
            </w:tcBorders>
            <w:vAlign w:val="center"/>
          </w:tcPr>
          <w:p w14:paraId="338A1247">
            <w:pPr>
              <w:pStyle w:val="42"/>
              <w:bidi w:val="0"/>
              <w:jc w:val="center"/>
            </w:pPr>
          </w:p>
        </w:tc>
        <w:tc>
          <w:tcPr>
            <w:tcW w:w="1044" w:type="pct"/>
            <w:vMerge w:val="continue"/>
            <w:tcBorders>
              <w:tl2br w:val="nil"/>
              <w:tr2bl w:val="nil"/>
            </w:tcBorders>
            <w:vAlign w:val="center"/>
          </w:tcPr>
          <w:p w14:paraId="0BF87CEB">
            <w:pPr>
              <w:pStyle w:val="42"/>
              <w:bidi w:val="0"/>
              <w:jc w:val="center"/>
            </w:pPr>
          </w:p>
        </w:tc>
        <w:tc>
          <w:tcPr>
            <w:tcW w:w="366" w:type="pct"/>
            <w:vMerge w:val="continue"/>
            <w:tcBorders>
              <w:tl2br w:val="nil"/>
              <w:tr2bl w:val="nil"/>
            </w:tcBorders>
            <w:vAlign w:val="center"/>
          </w:tcPr>
          <w:p w14:paraId="2E33583C">
            <w:pPr>
              <w:pStyle w:val="42"/>
              <w:bidi w:val="0"/>
              <w:jc w:val="center"/>
            </w:pPr>
          </w:p>
        </w:tc>
        <w:tc>
          <w:tcPr>
            <w:tcW w:w="940" w:type="pct"/>
            <w:gridSpan w:val="2"/>
            <w:tcBorders>
              <w:tl2br w:val="nil"/>
              <w:tr2bl w:val="nil"/>
            </w:tcBorders>
            <w:vAlign w:val="center"/>
          </w:tcPr>
          <w:p w14:paraId="25129496">
            <w:pPr>
              <w:pStyle w:val="42"/>
              <w:bidi w:val="0"/>
              <w:jc w:val="center"/>
            </w:pPr>
            <w:r>
              <w:t>铜</w:t>
            </w:r>
          </w:p>
        </w:tc>
        <w:tc>
          <w:tcPr>
            <w:tcW w:w="388" w:type="pct"/>
            <w:tcBorders>
              <w:tl2br w:val="nil"/>
              <w:tr2bl w:val="nil"/>
            </w:tcBorders>
            <w:vAlign w:val="center"/>
          </w:tcPr>
          <w:p w14:paraId="75096AD8">
            <w:pPr>
              <w:pStyle w:val="42"/>
              <w:bidi w:val="0"/>
              <w:jc w:val="center"/>
            </w:pPr>
            <w:r>
              <w:t>mg/kg</w:t>
            </w:r>
          </w:p>
        </w:tc>
        <w:tc>
          <w:tcPr>
            <w:tcW w:w="560" w:type="pct"/>
            <w:tcBorders>
              <w:tl2br w:val="nil"/>
              <w:tr2bl w:val="nil"/>
            </w:tcBorders>
            <w:vAlign w:val="center"/>
          </w:tcPr>
          <w:p w14:paraId="3C5BC905">
            <w:pPr>
              <w:pStyle w:val="42"/>
              <w:bidi w:val="0"/>
              <w:jc w:val="center"/>
            </w:pPr>
            <w:r>
              <w:t>32</w:t>
            </w:r>
          </w:p>
        </w:tc>
        <w:tc>
          <w:tcPr>
            <w:tcW w:w="562" w:type="pct"/>
            <w:tcBorders>
              <w:tl2br w:val="nil"/>
              <w:tr2bl w:val="nil"/>
            </w:tcBorders>
            <w:vAlign w:val="center"/>
          </w:tcPr>
          <w:p w14:paraId="3424C188">
            <w:pPr>
              <w:pStyle w:val="42"/>
              <w:bidi w:val="0"/>
              <w:jc w:val="center"/>
            </w:pPr>
            <w:r>
              <w:t>18000</w:t>
            </w:r>
          </w:p>
        </w:tc>
        <w:tc>
          <w:tcPr>
            <w:tcW w:w="555" w:type="pct"/>
            <w:tcBorders>
              <w:tl2br w:val="nil"/>
              <w:tr2bl w:val="nil"/>
            </w:tcBorders>
            <w:vAlign w:val="center"/>
          </w:tcPr>
          <w:p w14:paraId="548C1CAB">
            <w:pPr>
              <w:pStyle w:val="42"/>
              <w:bidi w:val="0"/>
              <w:jc w:val="center"/>
            </w:pPr>
            <w:r>
              <w:rPr>
                <w:rFonts w:hint="eastAsia"/>
                <w:lang w:val="en-US" w:eastAsia="zh-CN"/>
              </w:rPr>
              <w:t>是</w:t>
            </w:r>
          </w:p>
        </w:tc>
      </w:tr>
      <w:tr w14:paraId="645769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continue"/>
            <w:tcBorders>
              <w:tl2br w:val="nil"/>
              <w:tr2bl w:val="nil"/>
            </w:tcBorders>
            <w:vAlign w:val="center"/>
          </w:tcPr>
          <w:p w14:paraId="33196C80">
            <w:pPr>
              <w:pStyle w:val="42"/>
              <w:bidi w:val="0"/>
              <w:jc w:val="center"/>
            </w:pPr>
          </w:p>
        </w:tc>
        <w:tc>
          <w:tcPr>
            <w:tcW w:w="1044" w:type="pct"/>
            <w:vMerge w:val="continue"/>
            <w:tcBorders>
              <w:tl2br w:val="nil"/>
              <w:tr2bl w:val="nil"/>
            </w:tcBorders>
            <w:vAlign w:val="center"/>
          </w:tcPr>
          <w:p w14:paraId="3C4E0605">
            <w:pPr>
              <w:pStyle w:val="42"/>
              <w:bidi w:val="0"/>
              <w:jc w:val="center"/>
            </w:pPr>
          </w:p>
        </w:tc>
        <w:tc>
          <w:tcPr>
            <w:tcW w:w="366" w:type="pct"/>
            <w:vMerge w:val="continue"/>
            <w:tcBorders>
              <w:tl2br w:val="nil"/>
              <w:tr2bl w:val="nil"/>
            </w:tcBorders>
            <w:vAlign w:val="center"/>
          </w:tcPr>
          <w:p w14:paraId="27AF506B">
            <w:pPr>
              <w:pStyle w:val="42"/>
              <w:bidi w:val="0"/>
              <w:jc w:val="center"/>
            </w:pPr>
          </w:p>
        </w:tc>
        <w:tc>
          <w:tcPr>
            <w:tcW w:w="940" w:type="pct"/>
            <w:gridSpan w:val="2"/>
            <w:tcBorders>
              <w:tl2br w:val="nil"/>
              <w:tr2bl w:val="nil"/>
            </w:tcBorders>
            <w:vAlign w:val="center"/>
          </w:tcPr>
          <w:p w14:paraId="3C945C2E">
            <w:pPr>
              <w:pStyle w:val="42"/>
              <w:bidi w:val="0"/>
              <w:jc w:val="center"/>
            </w:pPr>
            <w:r>
              <w:t>铅</w:t>
            </w:r>
          </w:p>
        </w:tc>
        <w:tc>
          <w:tcPr>
            <w:tcW w:w="388" w:type="pct"/>
            <w:tcBorders>
              <w:tl2br w:val="nil"/>
              <w:tr2bl w:val="nil"/>
            </w:tcBorders>
            <w:vAlign w:val="center"/>
          </w:tcPr>
          <w:p w14:paraId="0E070F46">
            <w:pPr>
              <w:pStyle w:val="42"/>
              <w:bidi w:val="0"/>
              <w:jc w:val="center"/>
            </w:pPr>
            <w:r>
              <w:t>mg/kg</w:t>
            </w:r>
          </w:p>
        </w:tc>
        <w:tc>
          <w:tcPr>
            <w:tcW w:w="560" w:type="pct"/>
            <w:tcBorders>
              <w:tl2br w:val="nil"/>
              <w:tr2bl w:val="nil"/>
            </w:tcBorders>
            <w:vAlign w:val="center"/>
          </w:tcPr>
          <w:p w14:paraId="4C8E0C84">
            <w:pPr>
              <w:pStyle w:val="42"/>
              <w:bidi w:val="0"/>
              <w:jc w:val="center"/>
            </w:pPr>
            <w:r>
              <w:t>39</w:t>
            </w:r>
          </w:p>
        </w:tc>
        <w:tc>
          <w:tcPr>
            <w:tcW w:w="562" w:type="pct"/>
            <w:tcBorders>
              <w:tl2br w:val="nil"/>
              <w:tr2bl w:val="nil"/>
            </w:tcBorders>
            <w:vAlign w:val="center"/>
          </w:tcPr>
          <w:p w14:paraId="69D8E622">
            <w:pPr>
              <w:pStyle w:val="42"/>
              <w:bidi w:val="0"/>
              <w:jc w:val="center"/>
            </w:pPr>
            <w:r>
              <w:t>800</w:t>
            </w:r>
          </w:p>
        </w:tc>
        <w:tc>
          <w:tcPr>
            <w:tcW w:w="555" w:type="pct"/>
            <w:tcBorders>
              <w:tl2br w:val="nil"/>
              <w:tr2bl w:val="nil"/>
            </w:tcBorders>
            <w:vAlign w:val="center"/>
          </w:tcPr>
          <w:p w14:paraId="713D781E">
            <w:pPr>
              <w:pStyle w:val="42"/>
              <w:bidi w:val="0"/>
              <w:jc w:val="center"/>
            </w:pPr>
            <w:r>
              <w:rPr>
                <w:rFonts w:hint="eastAsia"/>
                <w:lang w:val="en-US" w:eastAsia="zh-CN"/>
              </w:rPr>
              <w:t>是</w:t>
            </w:r>
          </w:p>
        </w:tc>
      </w:tr>
      <w:tr w14:paraId="246F8F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7EC34058">
            <w:pPr>
              <w:pStyle w:val="42"/>
              <w:bidi w:val="0"/>
              <w:jc w:val="center"/>
            </w:pPr>
          </w:p>
        </w:tc>
        <w:tc>
          <w:tcPr>
            <w:tcW w:w="1044" w:type="pct"/>
            <w:vMerge w:val="continue"/>
            <w:tcBorders>
              <w:tl2br w:val="nil"/>
              <w:tr2bl w:val="nil"/>
            </w:tcBorders>
            <w:vAlign w:val="center"/>
          </w:tcPr>
          <w:p w14:paraId="7A06C533">
            <w:pPr>
              <w:pStyle w:val="42"/>
              <w:bidi w:val="0"/>
              <w:jc w:val="center"/>
            </w:pPr>
          </w:p>
        </w:tc>
        <w:tc>
          <w:tcPr>
            <w:tcW w:w="366" w:type="pct"/>
            <w:vMerge w:val="continue"/>
            <w:tcBorders>
              <w:tl2br w:val="nil"/>
              <w:tr2bl w:val="nil"/>
            </w:tcBorders>
            <w:vAlign w:val="center"/>
          </w:tcPr>
          <w:p w14:paraId="58EB4C1E">
            <w:pPr>
              <w:pStyle w:val="42"/>
              <w:bidi w:val="0"/>
              <w:jc w:val="center"/>
            </w:pPr>
          </w:p>
        </w:tc>
        <w:tc>
          <w:tcPr>
            <w:tcW w:w="940" w:type="pct"/>
            <w:gridSpan w:val="2"/>
            <w:tcBorders>
              <w:tl2br w:val="nil"/>
              <w:tr2bl w:val="nil"/>
            </w:tcBorders>
            <w:vAlign w:val="center"/>
          </w:tcPr>
          <w:p w14:paraId="7D9A1C7E">
            <w:pPr>
              <w:pStyle w:val="42"/>
              <w:bidi w:val="0"/>
              <w:jc w:val="center"/>
            </w:pPr>
            <w:r>
              <w:t>汞</w:t>
            </w:r>
          </w:p>
        </w:tc>
        <w:tc>
          <w:tcPr>
            <w:tcW w:w="388" w:type="pct"/>
            <w:tcBorders>
              <w:tl2br w:val="nil"/>
              <w:tr2bl w:val="nil"/>
            </w:tcBorders>
            <w:vAlign w:val="center"/>
          </w:tcPr>
          <w:p w14:paraId="3C750A72">
            <w:pPr>
              <w:pStyle w:val="42"/>
              <w:bidi w:val="0"/>
              <w:jc w:val="center"/>
            </w:pPr>
            <w:r>
              <w:t>mg/kg</w:t>
            </w:r>
          </w:p>
        </w:tc>
        <w:tc>
          <w:tcPr>
            <w:tcW w:w="560" w:type="pct"/>
            <w:tcBorders>
              <w:tl2br w:val="nil"/>
              <w:tr2bl w:val="nil"/>
            </w:tcBorders>
            <w:vAlign w:val="center"/>
          </w:tcPr>
          <w:p w14:paraId="09AE748E">
            <w:pPr>
              <w:pStyle w:val="42"/>
              <w:bidi w:val="0"/>
              <w:jc w:val="center"/>
            </w:pPr>
            <w:r>
              <w:t>0.148</w:t>
            </w:r>
          </w:p>
        </w:tc>
        <w:tc>
          <w:tcPr>
            <w:tcW w:w="562" w:type="pct"/>
            <w:tcBorders>
              <w:tl2br w:val="nil"/>
              <w:tr2bl w:val="nil"/>
            </w:tcBorders>
            <w:vAlign w:val="center"/>
          </w:tcPr>
          <w:p w14:paraId="68A459AD">
            <w:pPr>
              <w:pStyle w:val="42"/>
              <w:bidi w:val="0"/>
              <w:jc w:val="center"/>
            </w:pPr>
            <w:r>
              <w:t>38</w:t>
            </w:r>
          </w:p>
        </w:tc>
        <w:tc>
          <w:tcPr>
            <w:tcW w:w="555" w:type="pct"/>
            <w:tcBorders>
              <w:tl2br w:val="nil"/>
              <w:tr2bl w:val="nil"/>
            </w:tcBorders>
            <w:vAlign w:val="center"/>
          </w:tcPr>
          <w:p w14:paraId="14C448F4">
            <w:pPr>
              <w:pStyle w:val="42"/>
              <w:bidi w:val="0"/>
              <w:jc w:val="center"/>
            </w:pPr>
            <w:r>
              <w:rPr>
                <w:rFonts w:hint="eastAsia"/>
                <w:lang w:val="en-US" w:eastAsia="zh-CN"/>
              </w:rPr>
              <w:t>是</w:t>
            </w:r>
          </w:p>
        </w:tc>
      </w:tr>
      <w:tr w14:paraId="4CDE64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580" w:type="pct"/>
            <w:vMerge w:val="continue"/>
            <w:tcBorders>
              <w:tl2br w:val="nil"/>
              <w:tr2bl w:val="nil"/>
            </w:tcBorders>
            <w:vAlign w:val="center"/>
          </w:tcPr>
          <w:p w14:paraId="64251C58">
            <w:pPr>
              <w:pStyle w:val="42"/>
              <w:bidi w:val="0"/>
              <w:jc w:val="center"/>
            </w:pPr>
          </w:p>
        </w:tc>
        <w:tc>
          <w:tcPr>
            <w:tcW w:w="1044" w:type="pct"/>
            <w:vMerge w:val="continue"/>
            <w:tcBorders>
              <w:tl2br w:val="nil"/>
              <w:tr2bl w:val="nil"/>
            </w:tcBorders>
            <w:vAlign w:val="center"/>
          </w:tcPr>
          <w:p w14:paraId="796308B2">
            <w:pPr>
              <w:pStyle w:val="42"/>
              <w:bidi w:val="0"/>
              <w:jc w:val="center"/>
            </w:pPr>
          </w:p>
        </w:tc>
        <w:tc>
          <w:tcPr>
            <w:tcW w:w="366" w:type="pct"/>
            <w:vMerge w:val="continue"/>
            <w:tcBorders>
              <w:tl2br w:val="nil"/>
              <w:tr2bl w:val="nil"/>
            </w:tcBorders>
            <w:vAlign w:val="center"/>
          </w:tcPr>
          <w:p w14:paraId="6222E4DB">
            <w:pPr>
              <w:pStyle w:val="42"/>
              <w:bidi w:val="0"/>
              <w:jc w:val="center"/>
            </w:pPr>
          </w:p>
        </w:tc>
        <w:tc>
          <w:tcPr>
            <w:tcW w:w="940" w:type="pct"/>
            <w:gridSpan w:val="2"/>
            <w:tcBorders>
              <w:tl2br w:val="nil"/>
              <w:tr2bl w:val="nil"/>
            </w:tcBorders>
            <w:vAlign w:val="center"/>
          </w:tcPr>
          <w:p w14:paraId="008512B8">
            <w:pPr>
              <w:pStyle w:val="42"/>
              <w:bidi w:val="0"/>
              <w:jc w:val="center"/>
            </w:pPr>
            <w:r>
              <w:t>镍</w:t>
            </w:r>
          </w:p>
        </w:tc>
        <w:tc>
          <w:tcPr>
            <w:tcW w:w="388" w:type="pct"/>
            <w:tcBorders>
              <w:tl2br w:val="nil"/>
              <w:tr2bl w:val="nil"/>
            </w:tcBorders>
            <w:vAlign w:val="center"/>
          </w:tcPr>
          <w:p w14:paraId="3E27C420">
            <w:pPr>
              <w:pStyle w:val="42"/>
              <w:bidi w:val="0"/>
              <w:jc w:val="center"/>
            </w:pPr>
            <w:r>
              <w:t>mg/kg</w:t>
            </w:r>
          </w:p>
        </w:tc>
        <w:tc>
          <w:tcPr>
            <w:tcW w:w="560" w:type="pct"/>
            <w:tcBorders>
              <w:tl2br w:val="nil"/>
              <w:tr2bl w:val="nil"/>
            </w:tcBorders>
            <w:vAlign w:val="center"/>
          </w:tcPr>
          <w:p w14:paraId="7F1EB18A">
            <w:pPr>
              <w:pStyle w:val="42"/>
              <w:bidi w:val="0"/>
              <w:jc w:val="center"/>
            </w:pPr>
            <w:r>
              <w:t>49</w:t>
            </w:r>
          </w:p>
        </w:tc>
        <w:tc>
          <w:tcPr>
            <w:tcW w:w="562" w:type="pct"/>
            <w:tcBorders>
              <w:tl2br w:val="nil"/>
              <w:tr2bl w:val="nil"/>
            </w:tcBorders>
            <w:vAlign w:val="center"/>
          </w:tcPr>
          <w:p w14:paraId="5A657452">
            <w:pPr>
              <w:pStyle w:val="42"/>
              <w:bidi w:val="0"/>
              <w:jc w:val="center"/>
            </w:pPr>
            <w:r>
              <w:t>900</w:t>
            </w:r>
          </w:p>
        </w:tc>
        <w:tc>
          <w:tcPr>
            <w:tcW w:w="555" w:type="pct"/>
            <w:tcBorders>
              <w:tl2br w:val="nil"/>
              <w:tr2bl w:val="nil"/>
            </w:tcBorders>
            <w:vAlign w:val="center"/>
          </w:tcPr>
          <w:p w14:paraId="6F18DBD1">
            <w:pPr>
              <w:pStyle w:val="42"/>
              <w:bidi w:val="0"/>
              <w:jc w:val="center"/>
            </w:pPr>
            <w:r>
              <w:rPr>
                <w:rFonts w:hint="eastAsia"/>
                <w:lang w:val="en-US" w:eastAsia="zh-CN"/>
              </w:rPr>
              <w:t>是</w:t>
            </w:r>
          </w:p>
        </w:tc>
      </w:tr>
      <w:tr w14:paraId="32DCA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restart"/>
            <w:tcBorders>
              <w:tl2br w:val="nil"/>
              <w:tr2bl w:val="nil"/>
            </w:tcBorders>
            <w:vAlign w:val="center"/>
          </w:tcPr>
          <w:p w14:paraId="523DC4CF">
            <w:pPr>
              <w:pStyle w:val="42"/>
              <w:bidi w:val="0"/>
              <w:jc w:val="center"/>
            </w:pPr>
            <w:r>
              <w:t>2025.02.24</w:t>
            </w:r>
          </w:p>
        </w:tc>
        <w:tc>
          <w:tcPr>
            <w:tcW w:w="1044" w:type="pct"/>
            <w:vMerge w:val="restart"/>
            <w:tcBorders>
              <w:tl2br w:val="nil"/>
              <w:tr2bl w:val="nil"/>
            </w:tcBorders>
            <w:vAlign w:val="center"/>
          </w:tcPr>
          <w:p w14:paraId="4FC74EEF">
            <w:pPr>
              <w:pStyle w:val="42"/>
              <w:bidi w:val="0"/>
              <w:jc w:val="center"/>
            </w:pPr>
            <w:r>
              <w:t>T3项目厂界内3#</w:t>
            </w:r>
          </w:p>
        </w:tc>
        <w:tc>
          <w:tcPr>
            <w:tcW w:w="366" w:type="pct"/>
            <w:vMerge w:val="restart"/>
            <w:tcBorders>
              <w:tl2br w:val="nil"/>
              <w:tr2bl w:val="nil"/>
            </w:tcBorders>
            <w:vAlign w:val="center"/>
          </w:tcPr>
          <w:p w14:paraId="21C16FB3">
            <w:pPr>
              <w:pStyle w:val="42"/>
              <w:bidi w:val="0"/>
              <w:jc w:val="center"/>
            </w:pPr>
            <w:r>
              <w:t>0-0.2m</w:t>
            </w:r>
          </w:p>
        </w:tc>
        <w:tc>
          <w:tcPr>
            <w:tcW w:w="940" w:type="pct"/>
            <w:gridSpan w:val="2"/>
            <w:tcBorders>
              <w:tl2br w:val="nil"/>
              <w:tr2bl w:val="nil"/>
            </w:tcBorders>
            <w:vAlign w:val="center"/>
          </w:tcPr>
          <w:p w14:paraId="3BB469A5">
            <w:pPr>
              <w:pStyle w:val="42"/>
              <w:bidi w:val="0"/>
              <w:jc w:val="center"/>
            </w:pPr>
            <w:r>
              <w:t>pH值</w:t>
            </w:r>
          </w:p>
        </w:tc>
        <w:tc>
          <w:tcPr>
            <w:tcW w:w="388" w:type="pct"/>
            <w:tcBorders>
              <w:tl2br w:val="nil"/>
              <w:tr2bl w:val="nil"/>
            </w:tcBorders>
            <w:vAlign w:val="center"/>
          </w:tcPr>
          <w:p w14:paraId="0D686994">
            <w:pPr>
              <w:pStyle w:val="42"/>
              <w:bidi w:val="0"/>
              <w:jc w:val="center"/>
            </w:pPr>
            <w:r>
              <w:t>无量纲</w:t>
            </w:r>
          </w:p>
        </w:tc>
        <w:tc>
          <w:tcPr>
            <w:tcW w:w="560" w:type="pct"/>
            <w:tcBorders>
              <w:tl2br w:val="nil"/>
              <w:tr2bl w:val="nil"/>
            </w:tcBorders>
            <w:vAlign w:val="center"/>
          </w:tcPr>
          <w:p w14:paraId="36EE8BD6">
            <w:pPr>
              <w:pStyle w:val="42"/>
              <w:bidi w:val="0"/>
              <w:jc w:val="center"/>
            </w:pPr>
            <w:r>
              <w:t>7.26</w:t>
            </w:r>
          </w:p>
        </w:tc>
        <w:tc>
          <w:tcPr>
            <w:tcW w:w="562" w:type="pct"/>
            <w:tcBorders>
              <w:tl2br w:val="nil"/>
              <w:tr2bl w:val="nil"/>
            </w:tcBorders>
            <w:vAlign w:val="center"/>
          </w:tcPr>
          <w:p w14:paraId="654209BC">
            <w:pPr>
              <w:pStyle w:val="42"/>
              <w:bidi w:val="0"/>
              <w:jc w:val="center"/>
              <w:rPr>
                <w:rFonts w:hint="eastAsia" w:eastAsia="宋体"/>
                <w:lang w:val="en-US" w:eastAsia="zh-CN"/>
              </w:rPr>
            </w:pPr>
            <w:r>
              <w:rPr>
                <w:rFonts w:hint="eastAsia"/>
                <w:lang w:val="en-US" w:eastAsia="zh-CN"/>
              </w:rPr>
              <w:t>/</w:t>
            </w:r>
          </w:p>
        </w:tc>
        <w:tc>
          <w:tcPr>
            <w:tcW w:w="555" w:type="pct"/>
            <w:tcBorders>
              <w:tl2br w:val="nil"/>
              <w:tr2bl w:val="nil"/>
            </w:tcBorders>
            <w:vAlign w:val="center"/>
          </w:tcPr>
          <w:p w14:paraId="7B935560">
            <w:pPr>
              <w:pStyle w:val="42"/>
              <w:bidi w:val="0"/>
              <w:jc w:val="center"/>
            </w:pPr>
            <w:r>
              <w:rPr>
                <w:rFonts w:hint="eastAsia"/>
                <w:lang w:val="en-US" w:eastAsia="zh-CN"/>
              </w:rPr>
              <w:t>是</w:t>
            </w:r>
          </w:p>
        </w:tc>
      </w:tr>
      <w:tr w14:paraId="504CAE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2A566F8C">
            <w:pPr>
              <w:pStyle w:val="42"/>
              <w:bidi w:val="0"/>
              <w:jc w:val="center"/>
            </w:pPr>
          </w:p>
        </w:tc>
        <w:tc>
          <w:tcPr>
            <w:tcW w:w="1044" w:type="pct"/>
            <w:vMerge w:val="continue"/>
            <w:tcBorders>
              <w:tl2br w:val="nil"/>
              <w:tr2bl w:val="nil"/>
            </w:tcBorders>
            <w:vAlign w:val="center"/>
          </w:tcPr>
          <w:p w14:paraId="4BC5BCE3">
            <w:pPr>
              <w:pStyle w:val="42"/>
              <w:bidi w:val="0"/>
              <w:jc w:val="center"/>
            </w:pPr>
          </w:p>
        </w:tc>
        <w:tc>
          <w:tcPr>
            <w:tcW w:w="366" w:type="pct"/>
            <w:vMerge w:val="continue"/>
            <w:tcBorders>
              <w:tl2br w:val="nil"/>
              <w:tr2bl w:val="nil"/>
            </w:tcBorders>
            <w:vAlign w:val="center"/>
          </w:tcPr>
          <w:p w14:paraId="3BB0EAEC">
            <w:pPr>
              <w:pStyle w:val="42"/>
              <w:bidi w:val="0"/>
              <w:jc w:val="center"/>
            </w:pPr>
          </w:p>
        </w:tc>
        <w:tc>
          <w:tcPr>
            <w:tcW w:w="940" w:type="pct"/>
            <w:gridSpan w:val="2"/>
            <w:tcBorders>
              <w:tl2br w:val="nil"/>
              <w:tr2bl w:val="nil"/>
            </w:tcBorders>
            <w:vAlign w:val="center"/>
          </w:tcPr>
          <w:p w14:paraId="66EBECAC">
            <w:pPr>
              <w:pStyle w:val="42"/>
              <w:bidi w:val="0"/>
              <w:jc w:val="center"/>
            </w:pPr>
            <w:r>
              <w:t>砷</w:t>
            </w:r>
          </w:p>
        </w:tc>
        <w:tc>
          <w:tcPr>
            <w:tcW w:w="388" w:type="pct"/>
            <w:tcBorders>
              <w:tl2br w:val="nil"/>
              <w:tr2bl w:val="nil"/>
            </w:tcBorders>
            <w:vAlign w:val="center"/>
          </w:tcPr>
          <w:p w14:paraId="0DF34E3F">
            <w:pPr>
              <w:pStyle w:val="42"/>
              <w:bidi w:val="0"/>
              <w:jc w:val="center"/>
            </w:pPr>
            <w:r>
              <w:t>mg/kg</w:t>
            </w:r>
          </w:p>
        </w:tc>
        <w:tc>
          <w:tcPr>
            <w:tcW w:w="560" w:type="pct"/>
            <w:tcBorders>
              <w:tl2br w:val="nil"/>
              <w:tr2bl w:val="nil"/>
            </w:tcBorders>
            <w:vAlign w:val="center"/>
          </w:tcPr>
          <w:p w14:paraId="3CDBBC69">
            <w:pPr>
              <w:pStyle w:val="42"/>
              <w:bidi w:val="0"/>
              <w:jc w:val="center"/>
            </w:pPr>
            <w:r>
              <w:t>6.70</w:t>
            </w:r>
          </w:p>
        </w:tc>
        <w:tc>
          <w:tcPr>
            <w:tcW w:w="562" w:type="pct"/>
            <w:tcBorders>
              <w:tl2br w:val="nil"/>
              <w:tr2bl w:val="nil"/>
            </w:tcBorders>
            <w:vAlign w:val="center"/>
          </w:tcPr>
          <w:p w14:paraId="61605647">
            <w:pPr>
              <w:pStyle w:val="42"/>
              <w:bidi w:val="0"/>
              <w:jc w:val="center"/>
            </w:pPr>
            <w:r>
              <w:t>60</w:t>
            </w:r>
          </w:p>
        </w:tc>
        <w:tc>
          <w:tcPr>
            <w:tcW w:w="555" w:type="pct"/>
            <w:tcBorders>
              <w:tl2br w:val="nil"/>
              <w:tr2bl w:val="nil"/>
            </w:tcBorders>
            <w:vAlign w:val="center"/>
          </w:tcPr>
          <w:p w14:paraId="34F5578B">
            <w:pPr>
              <w:pStyle w:val="42"/>
              <w:bidi w:val="0"/>
              <w:jc w:val="center"/>
            </w:pPr>
            <w:r>
              <w:rPr>
                <w:rFonts w:hint="eastAsia"/>
                <w:lang w:val="en-US" w:eastAsia="zh-CN"/>
              </w:rPr>
              <w:t>是</w:t>
            </w:r>
          </w:p>
        </w:tc>
      </w:tr>
      <w:tr w14:paraId="154F43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3E0B06BC">
            <w:pPr>
              <w:pStyle w:val="42"/>
              <w:bidi w:val="0"/>
              <w:jc w:val="center"/>
            </w:pPr>
          </w:p>
        </w:tc>
        <w:tc>
          <w:tcPr>
            <w:tcW w:w="1044" w:type="pct"/>
            <w:vMerge w:val="continue"/>
            <w:tcBorders>
              <w:tl2br w:val="nil"/>
              <w:tr2bl w:val="nil"/>
            </w:tcBorders>
            <w:vAlign w:val="center"/>
          </w:tcPr>
          <w:p w14:paraId="3D36BF90">
            <w:pPr>
              <w:pStyle w:val="42"/>
              <w:bidi w:val="0"/>
              <w:jc w:val="center"/>
            </w:pPr>
          </w:p>
        </w:tc>
        <w:tc>
          <w:tcPr>
            <w:tcW w:w="366" w:type="pct"/>
            <w:vMerge w:val="continue"/>
            <w:tcBorders>
              <w:tl2br w:val="nil"/>
              <w:tr2bl w:val="nil"/>
            </w:tcBorders>
            <w:vAlign w:val="center"/>
          </w:tcPr>
          <w:p w14:paraId="41D76E1D">
            <w:pPr>
              <w:pStyle w:val="42"/>
              <w:bidi w:val="0"/>
              <w:jc w:val="center"/>
            </w:pPr>
          </w:p>
        </w:tc>
        <w:tc>
          <w:tcPr>
            <w:tcW w:w="940" w:type="pct"/>
            <w:gridSpan w:val="2"/>
            <w:tcBorders>
              <w:tl2br w:val="nil"/>
              <w:tr2bl w:val="nil"/>
            </w:tcBorders>
            <w:vAlign w:val="center"/>
          </w:tcPr>
          <w:p w14:paraId="5F9FAF9B">
            <w:pPr>
              <w:pStyle w:val="42"/>
              <w:bidi w:val="0"/>
              <w:jc w:val="center"/>
            </w:pPr>
            <w:r>
              <w:t>镉</w:t>
            </w:r>
          </w:p>
        </w:tc>
        <w:tc>
          <w:tcPr>
            <w:tcW w:w="388" w:type="pct"/>
            <w:tcBorders>
              <w:tl2br w:val="nil"/>
              <w:tr2bl w:val="nil"/>
            </w:tcBorders>
            <w:vAlign w:val="center"/>
          </w:tcPr>
          <w:p w14:paraId="4F6FB469">
            <w:pPr>
              <w:pStyle w:val="42"/>
              <w:bidi w:val="0"/>
              <w:jc w:val="center"/>
            </w:pPr>
            <w:r>
              <w:t>mg/kg</w:t>
            </w:r>
          </w:p>
        </w:tc>
        <w:tc>
          <w:tcPr>
            <w:tcW w:w="560" w:type="pct"/>
            <w:tcBorders>
              <w:tl2br w:val="nil"/>
              <w:tr2bl w:val="nil"/>
            </w:tcBorders>
            <w:vAlign w:val="center"/>
          </w:tcPr>
          <w:p w14:paraId="5F0DAB4C">
            <w:pPr>
              <w:pStyle w:val="42"/>
              <w:bidi w:val="0"/>
              <w:jc w:val="center"/>
            </w:pPr>
            <w:r>
              <w:t>0.16</w:t>
            </w:r>
          </w:p>
        </w:tc>
        <w:tc>
          <w:tcPr>
            <w:tcW w:w="562" w:type="pct"/>
            <w:tcBorders>
              <w:tl2br w:val="nil"/>
              <w:tr2bl w:val="nil"/>
            </w:tcBorders>
            <w:vAlign w:val="center"/>
          </w:tcPr>
          <w:p w14:paraId="5734276E">
            <w:pPr>
              <w:pStyle w:val="42"/>
              <w:bidi w:val="0"/>
              <w:jc w:val="center"/>
            </w:pPr>
            <w:r>
              <w:t>65</w:t>
            </w:r>
          </w:p>
        </w:tc>
        <w:tc>
          <w:tcPr>
            <w:tcW w:w="555" w:type="pct"/>
            <w:tcBorders>
              <w:tl2br w:val="nil"/>
              <w:tr2bl w:val="nil"/>
            </w:tcBorders>
            <w:vAlign w:val="center"/>
          </w:tcPr>
          <w:p w14:paraId="7EC24529">
            <w:pPr>
              <w:pStyle w:val="42"/>
              <w:bidi w:val="0"/>
              <w:jc w:val="center"/>
            </w:pPr>
            <w:r>
              <w:rPr>
                <w:rFonts w:hint="eastAsia"/>
                <w:lang w:val="en-US" w:eastAsia="zh-CN"/>
              </w:rPr>
              <w:t>是</w:t>
            </w:r>
          </w:p>
        </w:tc>
      </w:tr>
      <w:tr w14:paraId="45B3EE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continue"/>
            <w:tcBorders>
              <w:tl2br w:val="nil"/>
              <w:tr2bl w:val="nil"/>
            </w:tcBorders>
            <w:vAlign w:val="center"/>
          </w:tcPr>
          <w:p w14:paraId="168FC226">
            <w:pPr>
              <w:pStyle w:val="42"/>
              <w:bidi w:val="0"/>
              <w:jc w:val="center"/>
            </w:pPr>
          </w:p>
        </w:tc>
        <w:tc>
          <w:tcPr>
            <w:tcW w:w="1044" w:type="pct"/>
            <w:vMerge w:val="continue"/>
            <w:tcBorders>
              <w:tl2br w:val="nil"/>
              <w:tr2bl w:val="nil"/>
            </w:tcBorders>
            <w:vAlign w:val="center"/>
          </w:tcPr>
          <w:p w14:paraId="3EE66A43">
            <w:pPr>
              <w:pStyle w:val="42"/>
              <w:bidi w:val="0"/>
              <w:jc w:val="center"/>
            </w:pPr>
          </w:p>
        </w:tc>
        <w:tc>
          <w:tcPr>
            <w:tcW w:w="366" w:type="pct"/>
            <w:vMerge w:val="continue"/>
            <w:tcBorders>
              <w:tl2br w:val="nil"/>
              <w:tr2bl w:val="nil"/>
            </w:tcBorders>
            <w:vAlign w:val="center"/>
          </w:tcPr>
          <w:p w14:paraId="0153CDD8">
            <w:pPr>
              <w:pStyle w:val="42"/>
              <w:bidi w:val="0"/>
              <w:jc w:val="center"/>
            </w:pPr>
          </w:p>
        </w:tc>
        <w:tc>
          <w:tcPr>
            <w:tcW w:w="940" w:type="pct"/>
            <w:gridSpan w:val="2"/>
            <w:tcBorders>
              <w:tl2br w:val="nil"/>
              <w:tr2bl w:val="nil"/>
            </w:tcBorders>
            <w:vAlign w:val="center"/>
          </w:tcPr>
          <w:p w14:paraId="4D0D8A48">
            <w:pPr>
              <w:pStyle w:val="42"/>
              <w:bidi w:val="0"/>
              <w:jc w:val="center"/>
            </w:pPr>
            <w:r>
              <w:t>六价铬</w:t>
            </w:r>
          </w:p>
        </w:tc>
        <w:tc>
          <w:tcPr>
            <w:tcW w:w="388" w:type="pct"/>
            <w:tcBorders>
              <w:tl2br w:val="nil"/>
              <w:tr2bl w:val="nil"/>
            </w:tcBorders>
            <w:vAlign w:val="center"/>
          </w:tcPr>
          <w:p w14:paraId="0B192F08">
            <w:pPr>
              <w:pStyle w:val="42"/>
              <w:bidi w:val="0"/>
              <w:jc w:val="center"/>
            </w:pPr>
            <w:r>
              <w:t>mg/kg</w:t>
            </w:r>
          </w:p>
        </w:tc>
        <w:tc>
          <w:tcPr>
            <w:tcW w:w="560" w:type="pct"/>
            <w:tcBorders>
              <w:tl2br w:val="nil"/>
              <w:tr2bl w:val="nil"/>
            </w:tcBorders>
            <w:vAlign w:val="center"/>
          </w:tcPr>
          <w:p w14:paraId="18401B4A">
            <w:pPr>
              <w:pStyle w:val="42"/>
              <w:bidi w:val="0"/>
              <w:jc w:val="center"/>
            </w:pPr>
            <w:r>
              <w:t>0.5L</w:t>
            </w:r>
          </w:p>
        </w:tc>
        <w:tc>
          <w:tcPr>
            <w:tcW w:w="562" w:type="pct"/>
            <w:tcBorders>
              <w:tl2br w:val="nil"/>
              <w:tr2bl w:val="nil"/>
            </w:tcBorders>
            <w:vAlign w:val="center"/>
          </w:tcPr>
          <w:p w14:paraId="2B762263">
            <w:pPr>
              <w:pStyle w:val="42"/>
              <w:bidi w:val="0"/>
              <w:jc w:val="center"/>
            </w:pPr>
            <w:r>
              <w:t>5.7</w:t>
            </w:r>
          </w:p>
        </w:tc>
        <w:tc>
          <w:tcPr>
            <w:tcW w:w="555" w:type="pct"/>
            <w:tcBorders>
              <w:tl2br w:val="nil"/>
              <w:tr2bl w:val="nil"/>
            </w:tcBorders>
            <w:vAlign w:val="center"/>
          </w:tcPr>
          <w:p w14:paraId="231E21C0">
            <w:pPr>
              <w:pStyle w:val="42"/>
              <w:bidi w:val="0"/>
              <w:jc w:val="center"/>
            </w:pPr>
            <w:r>
              <w:rPr>
                <w:rFonts w:hint="eastAsia"/>
                <w:lang w:val="en-US" w:eastAsia="zh-CN"/>
              </w:rPr>
              <w:t>是</w:t>
            </w:r>
          </w:p>
        </w:tc>
      </w:tr>
      <w:tr w14:paraId="290DCC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1E6A354D">
            <w:pPr>
              <w:pStyle w:val="42"/>
              <w:bidi w:val="0"/>
              <w:jc w:val="center"/>
            </w:pPr>
          </w:p>
        </w:tc>
        <w:tc>
          <w:tcPr>
            <w:tcW w:w="1044" w:type="pct"/>
            <w:vMerge w:val="continue"/>
            <w:tcBorders>
              <w:tl2br w:val="nil"/>
              <w:tr2bl w:val="nil"/>
            </w:tcBorders>
            <w:vAlign w:val="center"/>
          </w:tcPr>
          <w:p w14:paraId="758AC153">
            <w:pPr>
              <w:pStyle w:val="42"/>
              <w:bidi w:val="0"/>
              <w:jc w:val="center"/>
            </w:pPr>
          </w:p>
        </w:tc>
        <w:tc>
          <w:tcPr>
            <w:tcW w:w="366" w:type="pct"/>
            <w:vMerge w:val="continue"/>
            <w:tcBorders>
              <w:tl2br w:val="nil"/>
              <w:tr2bl w:val="nil"/>
            </w:tcBorders>
            <w:vAlign w:val="center"/>
          </w:tcPr>
          <w:p w14:paraId="3C201934">
            <w:pPr>
              <w:pStyle w:val="42"/>
              <w:bidi w:val="0"/>
              <w:jc w:val="center"/>
            </w:pPr>
          </w:p>
        </w:tc>
        <w:tc>
          <w:tcPr>
            <w:tcW w:w="940" w:type="pct"/>
            <w:gridSpan w:val="2"/>
            <w:tcBorders>
              <w:tl2br w:val="nil"/>
              <w:tr2bl w:val="nil"/>
            </w:tcBorders>
            <w:vAlign w:val="center"/>
          </w:tcPr>
          <w:p w14:paraId="3F526A1A">
            <w:pPr>
              <w:pStyle w:val="42"/>
              <w:bidi w:val="0"/>
              <w:jc w:val="center"/>
            </w:pPr>
            <w:r>
              <w:t>铜</w:t>
            </w:r>
          </w:p>
        </w:tc>
        <w:tc>
          <w:tcPr>
            <w:tcW w:w="388" w:type="pct"/>
            <w:tcBorders>
              <w:tl2br w:val="nil"/>
              <w:tr2bl w:val="nil"/>
            </w:tcBorders>
            <w:vAlign w:val="center"/>
          </w:tcPr>
          <w:p w14:paraId="5C061016">
            <w:pPr>
              <w:pStyle w:val="42"/>
              <w:bidi w:val="0"/>
              <w:jc w:val="center"/>
            </w:pPr>
            <w:r>
              <w:t>mg/kg</w:t>
            </w:r>
          </w:p>
        </w:tc>
        <w:tc>
          <w:tcPr>
            <w:tcW w:w="560" w:type="pct"/>
            <w:tcBorders>
              <w:tl2br w:val="nil"/>
              <w:tr2bl w:val="nil"/>
            </w:tcBorders>
            <w:vAlign w:val="center"/>
          </w:tcPr>
          <w:p w14:paraId="1E258B01">
            <w:pPr>
              <w:pStyle w:val="42"/>
              <w:bidi w:val="0"/>
              <w:jc w:val="center"/>
            </w:pPr>
            <w:r>
              <w:t>28</w:t>
            </w:r>
          </w:p>
        </w:tc>
        <w:tc>
          <w:tcPr>
            <w:tcW w:w="562" w:type="pct"/>
            <w:tcBorders>
              <w:tl2br w:val="nil"/>
              <w:tr2bl w:val="nil"/>
            </w:tcBorders>
            <w:vAlign w:val="center"/>
          </w:tcPr>
          <w:p w14:paraId="57ECB284">
            <w:pPr>
              <w:pStyle w:val="42"/>
              <w:bidi w:val="0"/>
              <w:jc w:val="center"/>
            </w:pPr>
            <w:r>
              <w:t>18000</w:t>
            </w:r>
          </w:p>
        </w:tc>
        <w:tc>
          <w:tcPr>
            <w:tcW w:w="555" w:type="pct"/>
            <w:tcBorders>
              <w:tl2br w:val="nil"/>
              <w:tr2bl w:val="nil"/>
            </w:tcBorders>
            <w:vAlign w:val="center"/>
          </w:tcPr>
          <w:p w14:paraId="46A7BBA3">
            <w:pPr>
              <w:pStyle w:val="42"/>
              <w:bidi w:val="0"/>
              <w:jc w:val="center"/>
            </w:pPr>
            <w:r>
              <w:rPr>
                <w:rFonts w:hint="eastAsia"/>
                <w:lang w:val="en-US" w:eastAsia="zh-CN"/>
              </w:rPr>
              <w:t>是</w:t>
            </w:r>
          </w:p>
        </w:tc>
      </w:tr>
      <w:tr w14:paraId="35A07D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80" w:type="pct"/>
            <w:vMerge w:val="continue"/>
            <w:tcBorders>
              <w:tl2br w:val="nil"/>
              <w:tr2bl w:val="nil"/>
            </w:tcBorders>
            <w:vAlign w:val="center"/>
          </w:tcPr>
          <w:p w14:paraId="2A9777EC">
            <w:pPr>
              <w:pStyle w:val="42"/>
              <w:bidi w:val="0"/>
              <w:jc w:val="center"/>
            </w:pPr>
          </w:p>
        </w:tc>
        <w:tc>
          <w:tcPr>
            <w:tcW w:w="1044" w:type="pct"/>
            <w:vMerge w:val="continue"/>
            <w:tcBorders>
              <w:tl2br w:val="nil"/>
              <w:tr2bl w:val="nil"/>
            </w:tcBorders>
            <w:vAlign w:val="center"/>
          </w:tcPr>
          <w:p w14:paraId="26B56F79">
            <w:pPr>
              <w:pStyle w:val="42"/>
              <w:bidi w:val="0"/>
              <w:jc w:val="center"/>
            </w:pPr>
          </w:p>
        </w:tc>
        <w:tc>
          <w:tcPr>
            <w:tcW w:w="366" w:type="pct"/>
            <w:vMerge w:val="continue"/>
            <w:tcBorders>
              <w:tl2br w:val="nil"/>
              <w:tr2bl w:val="nil"/>
            </w:tcBorders>
            <w:vAlign w:val="center"/>
          </w:tcPr>
          <w:p w14:paraId="3335E8D6">
            <w:pPr>
              <w:pStyle w:val="42"/>
              <w:bidi w:val="0"/>
              <w:jc w:val="center"/>
            </w:pPr>
          </w:p>
        </w:tc>
        <w:tc>
          <w:tcPr>
            <w:tcW w:w="940" w:type="pct"/>
            <w:gridSpan w:val="2"/>
            <w:tcBorders>
              <w:tl2br w:val="nil"/>
              <w:tr2bl w:val="nil"/>
            </w:tcBorders>
            <w:vAlign w:val="center"/>
          </w:tcPr>
          <w:p w14:paraId="39B13AF3">
            <w:pPr>
              <w:pStyle w:val="42"/>
              <w:bidi w:val="0"/>
              <w:jc w:val="center"/>
            </w:pPr>
            <w:r>
              <w:t>铅</w:t>
            </w:r>
          </w:p>
        </w:tc>
        <w:tc>
          <w:tcPr>
            <w:tcW w:w="388" w:type="pct"/>
            <w:tcBorders>
              <w:tl2br w:val="nil"/>
              <w:tr2bl w:val="nil"/>
            </w:tcBorders>
            <w:vAlign w:val="center"/>
          </w:tcPr>
          <w:p w14:paraId="6D02D4A3">
            <w:pPr>
              <w:pStyle w:val="42"/>
              <w:bidi w:val="0"/>
              <w:jc w:val="center"/>
            </w:pPr>
            <w:r>
              <w:t>mg/kg</w:t>
            </w:r>
          </w:p>
        </w:tc>
        <w:tc>
          <w:tcPr>
            <w:tcW w:w="560" w:type="pct"/>
            <w:tcBorders>
              <w:tl2br w:val="nil"/>
              <w:tr2bl w:val="nil"/>
            </w:tcBorders>
            <w:vAlign w:val="center"/>
          </w:tcPr>
          <w:p w14:paraId="68BC33BD">
            <w:pPr>
              <w:pStyle w:val="42"/>
              <w:bidi w:val="0"/>
              <w:jc w:val="center"/>
            </w:pPr>
            <w:r>
              <w:t>41</w:t>
            </w:r>
          </w:p>
        </w:tc>
        <w:tc>
          <w:tcPr>
            <w:tcW w:w="562" w:type="pct"/>
            <w:tcBorders>
              <w:tl2br w:val="nil"/>
              <w:tr2bl w:val="nil"/>
            </w:tcBorders>
            <w:vAlign w:val="center"/>
          </w:tcPr>
          <w:p w14:paraId="54D26C48">
            <w:pPr>
              <w:pStyle w:val="42"/>
              <w:bidi w:val="0"/>
              <w:jc w:val="center"/>
            </w:pPr>
            <w:r>
              <w:t>800</w:t>
            </w:r>
          </w:p>
        </w:tc>
        <w:tc>
          <w:tcPr>
            <w:tcW w:w="555" w:type="pct"/>
            <w:tcBorders>
              <w:tl2br w:val="nil"/>
              <w:tr2bl w:val="nil"/>
            </w:tcBorders>
            <w:vAlign w:val="center"/>
          </w:tcPr>
          <w:p w14:paraId="03DEE270">
            <w:pPr>
              <w:pStyle w:val="42"/>
              <w:bidi w:val="0"/>
              <w:jc w:val="center"/>
            </w:pPr>
            <w:r>
              <w:rPr>
                <w:rFonts w:hint="eastAsia"/>
                <w:lang w:val="en-US" w:eastAsia="zh-CN"/>
              </w:rPr>
              <w:t>是</w:t>
            </w:r>
          </w:p>
        </w:tc>
      </w:tr>
      <w:tr w14:paraId="3C8F7E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580" w:type="pct"/>
            <w:vMerge w:val="continue"/>
            <w:tcBorders>
              <w:tl2br w:val="nil"/>
              <w:tr2bl w:val="nil"/>
            </w:tcBorders>
            <w:vAlign w:val="center"/>
          </w:tcPr>
          <w:p w14:paraId="0F2A841B">
            <w:pPr>
              <w:pStyle w:val="42"/>
              <w:bidi w:val="0"/>
              <w:jc w:val="center"/>
            </w:pPr>
          </w:p>
        </w:tc>
        <w:tc>
          <w:tcPr>
            <w:tcW w:w="1044" w:type="pct"/>
            <w:vMerge w:val="continue"/>
            <w:tcBorders>
              <w:tl2br w:val="nil"/>
              <w:tr2bl w:val="nil"/>
            </w:tcBorders>
            <w:vAlign w:val="center"/>
          </w:tcPr>
          <w:p w14:paraId="7D99D558">
            <w:pPr>
              <w:pStyle w:val="42"/>
              <w:bidi w:val="0"/>
              <w:jc w:val="center"/>
            </w:pPr>
          </w:p>
        </w:tc>
        <w:tc>
          <w:tcPr>
            <w:tcW w:w="366" w:type="pct"/>
            <w:vMerge w:val="continue"/>
            <w:tcBorders>
              <w:tl2br w:val="nil"/>
              <w:tr2bl w:val="nil"/>
            </w:tcBorders>
            <w:vAlign w:val="center"/>
          </w:tcPr>
          <w:p w14:paraId="45D4AB6C">
            <w:pPr>
              <w:pStyle w:val="42"/>
              <w:bidi w:val="0"/>
              <w:jc w:val="center"/>
            </w:pPr>
          </w:p>
        </w:tc>
        <w:tc>
          <w:tcPr>
            <w:tcW w:w="940" w:type="pct"/>
            <w:gridSpan w:val="2"/>
            <w:tcBorders>
              <w:tl2br w:val="nil"/>
              <w:tr2bl w:val="nil"/>
            </w:tcBorders>
            <w:vAlign w:val="center"/>
          </w:tcPr>
          <w:p w14:paraId="2FB10086">
            <w:pPr>
              <w:pStyle w:val="42"/>
              <w:bidi w:val="0"/>
              <w:jc w:val="center"/>
            </w:pPr>
            <w:r>
              <w:t>汞</w:t>
            </w:r>
          </w:p>
        </w:tc>
        <w:tc>
          <w:tcPr>
            <w:tcW w:w="388" w:type="pct"/>
            <w:tcBorders>
              <w:tl2br w:val="nil"/>
              <w:tr2bl w:val="nil"/>
            </w:tcBorders>
            <w:vAlign w:val="center"/>
          </w:tcPr>
          <w:p w14:paraId="3F47A95C">
            <w:pPr>
              <w:pStyle w:val="42"/>
              <w:bidi w:val="0"/>
              <w:jc w:val="center"/>
            </w:pPr>
            <w:r>
              <w:t>mg/kg</w:t>
            </w:r>
          </w:p>
        </w:tc>
        <w:tc>
          <w:tcPr>
            <w:tcW w:w="560" w:type="pct"/>
            <w:tcBorders>
              <w:tl2br w:val="nil"/>
              <w:tr2bl w:val="nil"/>
            </w:tcBorders>
            <w:vAlign w:val="center"/>
          </w:tcPr>
          <w:p w14:paraId="2A876803">
            <w:pPr>
              <w:pStyle w:val="42"/>
              <w:bidi w:val="0"/>
              <w:jc w:val="center"/>
            </w:pPr>
            <w:r>
              <w:t>0.231</w:t>
            </w:r>
          </w:p>
        </w:tc>
        <w:tc>
          <w:tcPr>
            <w:tcW w:w="562" w:type="pct"/>
            <w:tcBorders>
              <w:tl2br w:val="nil"/>
              <w:tr2bl w:val="nil"/>
            </w:tcBorders>
            <w:vAlign w:val="center"/>
          </w:tcPr>
          <w:p w14:paraId="58521208">
            <w:pPr>
              <w:pStyle w:val="42"/>
              <w:bidi w:val="0"/>
              <w:jc w:val="center"/>
            </w:pPr>
            <w:r>
              <w:t>38</w:t>
            </w:r>
          </w:p>
        </w:tc>
        <w:tc>
          <w:tcPr>
            <w:tcW w:w="555" w:type="pct"/>
            <w:tcBorders>
              <w:tl2br w:val="nil"/>
              <w:tr2bl w:val="nil"/>
            </w:tcBorders>
            <w:vAlign w:val="center"/>
          </w:tcPr>
          <w:p w14:paraId="7E7000A9">
            <w:pPr>
              <w:pStyle w:val="42"/>
              <w:bidi w:val="0"/>
              <w:jc w:val="center"/>
            </w:pPr>
            <w:r>
              <w:rPr>
                <w:rFonts w:hint="eastAsia"/>
                <w:lang w:val="en-US" w:eastAsia="zh-CN"/>
              </w:rPr>
              <w:t>是</w:t>
            </w:r>
          </w:p>
        </w:tc>
      </w:tr>
      <w:tr w14:paraId="34AD20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580" w:type="pct"/>
            <w:vMerge w:val="continue"/>
            <w:tcBorders>
              <w:tl2br w:val="nil"/>
              <w:tr2bl w:val="nil"/>
            </w:tcBorders>
            <w:vAlign w:val="center"/>
          </w:tcPr>
          <w:p w14:paraId="572118F3">
            <w:pPr>
              <w:pStyle w:val="42"/>
              <w:bidi w:val="0"/>
              <w:jc w:val="center"/>
            </w:pPr>
          </w:p>
        </w:tc>
        <w:tc>
          <w:tcPr>
            <w:tcW w:w="1044" w:type="pct"/>
            <w:vMerge w:val="continue"/>
            <w:tcBorders>
              <w:tl2br w:val="nil"/>
              <w:tr2bl w:val="nil"/>
            </w:tcBorders>
            <w:vAlign w:val="center"/>
          </w:tcPr>
          <w:p w14:paraId="033047FD">
            <w:pPr>
              <w:pStyle w:val="42"/>
              <w:bidi w:val="0"/>
              <w:jc w:val="center"/>
            </w:pPr>
          </w:p>
        </w:tc>
        <w:tc>
          <w:tcPr>
            <w:tcW w:w="366" w:type="pct"/>
            <w:vMerge w:val="continue"/>
            <w:tcBorders>
              <w:tl2br w:val="nil"/>
              <w:tr2bl w:val="nil"/>
            </w:tcBorders>
            <w:vAlign w:val="center"/>
          </w:tcPr>
          <w:p w14:paraId="7D97FCEF">
            <w:pPr>
              <w:pStyle w:val="42"/>
              <w:bidi w:val="0"/>
              <w:jc w:val="center"/>
            </w:pPr>
          </w:p>
        </w:tc>
        <w:tc>
          <w:tcPr>
            <w:tcW w:w="940" w:type="pct"/>
            <w:gridSpan w:val="2"/>
            <w:tcBorders>
              <w:tl2br w:val="nil"/>
              <w:tr2bl w:val="nil"/>
            </w:tcBorders>
            <w:vAlign w:val="center"/>
          </w:tcPr>
          <w:p w14:paraId="4FA062D1">
            <w:pPr>
              <w:pStyle w:val="42"/>
              <w:bidi w:val="0"/>
              <w:jc w:val="center"/>
            </w:pPr>
            <w:r>
              <w:t>镍</w:t>
            </w:r>
          </w:p>
        </w:tc>
        <w:tc>
          <w:tcPr>
            <w:tcW w:w="388" w:type="pct"/>
            <w:tcBorders>
              <w:tl2br w:val="nil"/>
              <w:tr2bl w:val="nil"/>
            </w:tcBorders>
            <w:vAlign w:val="center"/>
          </w:tcPr>
          <w:p w14:paraId="23B67DF1">
            <w:pPr>
              <w:pStyle w:val="42"/>
              <w:bidi w:val="0"/>
              <w:jc w:val="center"/>
            </w:pPr>
            <w:r>
              <w:t>mg/kg</w:t>
            </w:r>
          </w:p>
        </w:tc>
        <w:tc>
          <w:tcPr>
            <w:tcW w:w="560" w:type="pct"/>
            <w:tcBorders>
              <w:tl2br w:val="nil"/>
              <w:tr2bl w:val="nil"/>
            </w:tcBorders>
            <w:vAlign w:val="center"/>
          </w:tcPr>
          <w:p w14:paraId="311D6588">
            <w:pPr>
              <w:pStyle w:val="42"/>
              <w:bidi w:val="0"/>
              <w:jc w:val="center"/>
            </w:pPr>
            <w:r>
              <w:t>41</w:t>
            </w:r>
          </w:p>
        </w:tc>
        <w:tc>
          <w:tcPr>
            <w:tcW w:w="562" w:type="pct"/>
            <w:tcBorders>
              <w:tl2br w:val="nil"/>
              <w:tr2bl w:val="nil"/>
            </w:tcBorders>
            <w:vAlign w:val="center"/>
          </w:tcPr>
          <w:p w14:paraId="53C23482">
            <w:pPr>
              <w:pStyle w:val="42"/>
              <w:bidi w:val="0"/>
              <w:jc w:val="center"/>
            </w:pPr>
            <w:r>
              <w:t>900</w:t>
            </w:r>
          </w:p>
        </w:tc>
        <w:tc>
          <w:tcPr>
            <w:tcW w:w="555" w:type="pct"/>
            <w:tcBorders>
              <w:tl2br w:val="nil"/>
              <w:tr2bl w:val="nil"/>
            </w:tcBorders>
            <w:vAlign w:val="center"/>
          </w:tcPr>
          <w:p w14:paraId="170B661C">
            <w:pPr>
              <w:pStyle w:val="42"/>
              <w:bidi w:val="0"/>
              <w:jc w:val="center"/>
            </w:pPr>
            <w:r>
              <w:rPr>
                <w:rFonts w:hint="eastAsia"/>
                <w:lang w:val="en-US" w:eastAsia="zh-CN"/>
              </w:rPr>
              <w:t>是</w:t>
            </w:r>
          </w:p>
        </w:tc>
      </w:tr>
    </w:tbl>
    <w:p w14:paraId="2FBE02D5">
      <w:pPr>
        <w:shd w:val="clear"/>
        <w:ind w:firstLine="480"/>
        <w:rPr>
          <w:rFonts w:hint="default" w:ascii="Times New Roman" w:hAnsi="Times New Roman" w:cs="Times New Roman"/>
          <w:bCs/>
          <w:color w:val="auto"/>
          <w:kern w:val="0"/>
          <w:highlight w:val="none"/>
          <w:u w:val="none" w:color="auto"/>
        </w:rPr>
      </w:pPr>
      <w:r>
        <w:rPr>
          <w:rFonts w:hint="default" w:ascii="Times New Roman" w:hAnsi="Times New Roman" w:cs="Times New Roman"/>
          <w:bCs/>
          <w:color w:val="auto"/>
          <w:kern w:val="0"/>
          <w:highlight w:val="none"/>
          <w:u w:val="none" w:color="auto"/>
        </w:rPr>
        <w:t>备注：ND为未检出。</w:t>
      </w:r>
    </w:p>
    <w:p w14:paraId="525E600A">
      <w:pPr>
        <w:shd w:val="clear"/>
        <w:ind w:firstLine="480"/>
        <w:rPr>
          <w:rFonts w:hint="default" w:ascii="Times New Roman" w:hAnsi="Times New Roman" w:cs="Times New Roman"/>
          <w:bCs/>
          <w:color w:val="auto"/>
          <w:kern w:val="0"/>
          <w:highlight w:val="none"/>
          <w:u w:val="none" w:color="auto"/>
          <w:lang w:eastAsia="zh-CN"/>
        </w:rPr>
      </w:pPr>
      <w:r>
        <w:rPr>
          <w:rFonts w:hint="default" w:ascii="Times New Roman" w:hAnsi="Times New Roman" w:cs="Times New Roman"/>
          <w:bCs/>
          <w:color w:val="auto"/>
          <w:kern w:val="0"/>
          <w:highlight w:val="none"/>
          <w:u w:val="none" w:color="auto"/>
        </w:rPr>
        <w:t>由上表可知，项目所在地监测点位</w:t>
      </w:r>
      <w:r>
        <w:rPr>
          <w:rFonts w:hint="default" w:ascii="Times New Roman" w:hAnsi="Times New Roman" w:cs="Times New Roman"/>
          <w:bCs/>
          <w:color w:val="auto"/>
          <w:kern w:val="0"/>
          <w:highlight w:val="none"/>
          <w:u w:val="none" w:color="auto"/>
          <w:lang w:val="en-US" w:eastAsia="zh-CN"/>
        </w:rPr>
        <w:t>T1-T</w:t>
      </w:r>
      <w:r>
        <w:rPr>
          <w:rFonts w:hint="eastAsia" w:ascii="Times New Roman" w:hAnsi="Times New Roman" w:cs="Times New Roman"/>
          <w:bCs/>
          <w:color w:val="auto"/>
          <w:kern w:val="0"/>
          <w:highlight w:val="none"/>
          <w:u w:val="none" w:color="auto"/>
          <w:lang w:val="en-US" w:eastAsia="zh-CN"/>
        </w:rPr>
        <w:t>3</w:t>
      </w:r>
      <w:r>
        <w:rPr>
          <w:rFonts w:hint="default" w:ascii="Times New Roman" w:hAnsi="Times New Roman" w:cs="Times New Roman"/>
          <w:bCs/>
          <w:color w:val="auto"/>
          <w:kern w:val="0"/>
          <w:highlight w:val="none"/>
          <w:u w:val="none" w:color="auto"/>
        </w:rPr>
        <w:t>各监测因子均达到《土壤环境质量建设用地土壤污染风险管控标准（试行）》（GB36600-2018）风险筛选值中的第二类用地的标准限值。项目区域土壤环境质量较好</w:t>
      </w:r>
      <w:r>
        <w:rPr>
          <w:rFonts w:hint="default" w:ascii="Times New Roman" w:hAnsi="Times New Roman" w:cs="Times New Roman"/>
          <w:bCs/>
          <w:color w:val="auto"/>
          <w:kern w:val="0"/>
          <w:highlight w:val="none"/>
          <w:u w:val="none" w:color="auto"/>
          <w:lang w:eastAsia="zh-CN"/>
        </w:rPr>
        <w:t>。</w:t>
      </w:r>
    </w:p>
    <w:p w14:paraId="2748E84E">
      <w:pPr>
        <w:pStyle w:val="39"/>
        <w:bidi w:val="0"/>
        <w:rPr>
          <w:rFonts w:hint="default"/>
          <w:lang w:eastAsia="zh-CN"/>
        </w:rPr>
      </w:pPr>
      <w:r>
        <w:rPr>
          <w:rFonts w:hint="default"/>
          <w:lang w:eastAsia="zh-CN"/>
        </w:rPr>
        <w:t>表</w:t>
      </w:r>
      <w:r>
        <w:rPr>
          <w:rFonts w:hint="eastAsia"/>
          <w:lang w:val="en-US" w:eastAsia="zh-CN"/>
        </w:rPr>
        <w:t>5.3-15</w:t>
      </w:r>
      <w:r>
        <w:rPr>
          <w:rFonts w:hint="default"/>
          <w:lang w:eastAsia="zh-CN"/>
        </w:rPr>
        <w:t xml:space="preserve"> 土壤理化特性调查</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48"/>
        <w:gridCol w:w="2236"/>
        <w:gridCol w:w="1916"/>
        <w:gridCol w:w="1916"/>
        <w:gridCol w:w="1918"/>
      </w:tblGrid>
      <w:tr w14:paraId="068BB7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1550" w:type="pct"/>
            <w:gridSpan w:val="2"/>
            <w:tcBorders>
              <w:top w:val="single" w:color="000000" w:sz="12" w:space="0"/>
              <w:left w:val="single" w:color="000000" w:sz="12" w:space="0"/>
              <w:bottom w:val="single" w:color="000000" w:sz="4" w:space="0"/>
              <w:right w:val="single" w:color="000000" w:sz="4" w:space="0"/>
            </w:tcBorders>
            <w:vAlign w:val="center"/>
          </w:tcPr>
          <w:p w14:paraId="42E880CD">
            <w:pPr>
              <w:pStyle w:val="42"/>
              <w:bidi w:val="0"/>
              <w:jc w:val="center"/>
            </w:pPr>
            <w:r>
              <w:t>采样点位</w:t>
            </w:r>
          </w:p>
        </w:tc>
        <w:tc>
          <w:tcPr>
            <w:tcW w:w="1149" w:type="pct"/>
            <w:tcBorders>
              <w:top w:val="single" w:color="000000" w:sz="12" w:space="0"/>
              <w:left w:val="single" w:color="000000" w:sz="4" w:space="0"/>
              <w:bottom w:val="single" w:color="000000" w:sz="4" w:space="0"/>
              <w:right w:val="single" w:color="000000" w:sz="4" w:space="0"/>
            </w:tcBorders>
            <w:vAlign w:val="center"/>
          </w:tcPr>
          <w:p w14:paraId="6307198D">
            <w:pPr>
              <w:pStyle w:val="42"/>
              <w:bidi w:val="0"/>
              <w:jc w:val="center"/>
            </w:pPr>
            <w:r>
              <w:t>T 1项目厂界内1#</w:t>
            </w:r>
          </w:p>
        </w:tc>
        <w:tc>
          <w:tcPr>
            <w:tcW w:w="1149" w:type="pct"/>
            <w:tcBorders>
              <w:top w:val="single" w:color="000000" w:sz="12" w:space="0"/>
              <w:left w:val="single" w:color="000000" w:sz="4" w:space="0"/>
              <w:bottom w:val="single" w:color="000000" w:sz="4" w:space="0"/>
              <w:right w:val="single" w:color="000000" w:sz="4" w:space="0"/>
            </w:tcBorders>
            <w:vAlign w:val="center"/>
          </w:tcPr>
          <w:p w14:paraId="69A8CAF2">
            <w:pPr>
              <w:pStyle w:val="42"/>
              <w:bidi w:val="0"/>
              <w:jc w:val="center"/>
            </w:pPr>
            <w:r>
              <w:t>T2项目厂界内2#</w:t>
            </w:r>
          </w:p>
        </w:tc>
        <w:tc>
          <w:tcPr>
            <w:tcW w:w="1150" w:type="pct"/>
            <w:tcBorders>
              <w:top w:val="single" w:color="000000" w:sz="12" w:space="0"/>
              <w:left w:val="single" w:color="000000" w:sz="4" w:space="0"/>
              <w:bottom w:val="single" w:color="000000" w:sz="4" w:space="0"/>
              <w:right w:val="single" w:color="000000" w:sz="12" w:space="0"/>
            </w:tcBorders>
            <w:vAlign w:val="center"/>
          </w:tcPr>
          <w:p w14:paraId="796890E6">
            <w:pPr>
              <w:pStyle w:val="42"/>
              <w:bidi w:val="0"/>
              <w:jc w:val="center"/>
            </w:pPr>
            <w:r>
              <w:t>T3项目厂界内3#</w:t>
            </w:r>
          </w:p>
        </w:tc>
      </w:tr>
      <w:tr w14:paraId="110693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550" w:type="pct"/>
            <w:gridSpan w:val="2"/>
            <w:tcBorders>
              <w:top w:val="single" w:color="000000" w:sz="4" w:space="0"/>
              <w:left w:val="single" w:color="000000" w:sz="12" w:space="0"/>
              <w:bottom w:val="single" w:color="000000" w:sz="4" w:space="0"/>
              <w:right w:val="single" w:color="000000" w:sz="4" w:space="0"/>
            </w:tcBorders>
            <w:vAlign w:val="center"/>
          </w:tcPr>
          <w:p w14:paraId="214AEBB4">
            <w:pPr>
              <w:pStyle w:val="42"/>
              <w:bidi w:val="0"/>
              <w:jc w:val="center"/>
            </w:pPr>
            <w:r>
              <w:t>采样深度（m）</w:t>
            </w:r>
          </w:p>
        </w:tc>
        <w:tc>
          <w:tcPr>
            <w:tcW w:w="1149" w:type="pct"/>
            <w:tcBorders>
              <w:top w:val="single" w:color="000000" w:sz="4" w:space="0"/>
              <w:left w:val="single" w:color="000000" w:sz="4" w:space="0"/>
              <w:bottom w:val="single" w:color="000000" w:sz="4" w:space="0"/>
              <w:right w:val="single" w:color="000000" w:sz="4" w:space="0"/>
            </w:tcBorders>
            <w:vAlign w:val="center"/>
          </w:tcPr>
          <w:p w14:paraId="36C6F2E0">
            <w:pPr>
              <w:pStyle w:val="42"/>
              <w:bidi w:val="0"/>
              <w:jc w:val="center"/>
            </w:pPr>
            <w:r>
              <w:t>0m-0.2m</w:t>
            </w:r>
          </w:p>
        </w:tc>
        <w:tc>
          <w:tcPr>
            <w:tcW w:w="1149" w:type="pct"/>
            <w:tcBorders>
              <w:top w:val="single" w:color="000000" w:sz="4" w:space="0"/>
              <w:left w:val="single" w:color="000000" w:sz="4" w:space="0"/>
              <w:bottom w:val="single" w:color="000000" w:sz="4" w:space="0"/>
              <w:right w:val="single" w:color="000000" w:sz="4" w:space="0"/>
            </w:tcBorders>
            <w:vAlign w:val="center"/>
          </w:tcPr>
          <w:p w14:paraId="619D79CC">
            <w:pPr>
              <w:pStyle w:val="42"/>
              <w:bidi w:val="0"/>
              <w:jc w:val="center"/>
            </w:pPr>
            <w:r>
              <w:t>0m-0.2m</w:t>
            </w:r>
          </w:p>
        </w:tc>
        <w:tc>
          <w:tcPr>
            <w:tcW w:w="1150" w:type="pct"/>
            <w:tcBorders>
              <w:top w:val="single" w:color="000000" w:sz="4" w:space="0"/>
              <w:left w:val="single" w:color="000000" w:sz="4" w:space="0"/>
              <w:bottom w:val="single" w:color="000000" w:sz="4" w:space="0"/>
              <w:right w:val="single" w:color="000000" w:sz="12" w:space="0"/>
            </w:tcBorders>
            <w:vAlign w:val="center"/>
          </w:tcPr>
          <w:p w14:paraId="2D69B4C4">
            <w:pPr>
              <w:pStyle w:val="42"/>
              <w:bidi w:val="0"/>
              <w:jc w:val="center"/>
            </w:pPr>
            <w:r>
              <w:t>0m-0.2m</w:t>
            </w:r>
          </w:p>
        </w:tc>
      </w:tr>
      <w:tr w14:paraId="3A177F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restart"/>
            <w:tcBorders>
              <w:top w:val="single" w:color="000000" w:sz="4" w:space="0"/>
              <w:left w:val="single" w:color="000000" w:sz="12" w:space="0"/>
              <w:right w:val="single" w:color="000000" w:sz="4" w:space="0"/>
            </w:tcBorders>
            <w:vAlign w:val="center"/>
          </w:tcPr>
          <w:p w14:paraId="1B7E4CC5">
            <w:pPr>
              <w:pStyle w:val="42"/>
              <w:bidi w:val="0"/>
              <w:jc w:val="center"/>
            </w:pPr>
            <w:r>
              <w:t>现</w:t>
            </w:r>
          </w:p>
          <w:p w14:paraId="6A1AE0A9">
            <w:pPr>
              <w:pStyle w:val="42"/>
              <w:bidi w:val="0"/>
              <w:jc w:val="center"/>
            </w:pPr>
            <w:r>
              <w:t>场记</w:t>
            </w:r>
          </w:p>
          <w:p w14:paraId="1BA00389">
            <w:pPr>
              <w:pStyle w:val="42"/>
              <w:bidi w:val="0"/>
              <w:jc w:val="center"/>
            </w:pPr>
            <w:r>
              <w:t>录</w:t>
            </w:r>
          </w:p>
          <w:p w14:paraId="297F80B2">
            <w:pPr>
              <w:pStyle w:val="42"/>
              <w:bidi w:val="0"/>
              <w:jc w:val="center"/>
            </w:pPr>
            <w:r>
              <w:t>实验</w:t>
            </w:r>
          </w:p>
          <w:p w14:paraId="6EEBE52B">
            <w:pPr>
              <w:pStyle w:val="42"/>
              <w:bidi w:val="0"/>
              <w:jc w:val="center"/>
            </w:pPr>
            <w:r>
              <w:t>室记录</w:t>
            </w:r>
          </w:p>
        </w:tc>
        <w:tc>
          <w:tcPr>
            <w:tcW w:w="1340" w:type="pct"/>
            <w:tcBorders>
              <w:top w:val="single" w:color="000000" w:sz="4" w:space="0"/>
              <w:left w:val="single" w:color="000000" w:sz="4" w:space="0"/>
              <w:bottom w:val="single" w:color="000000" w:sz="4" w:space="0"/>
              <w:right w:val="single" w:color="000000" w:sz="4" w:space="0"/>
            </w:tcBorders>
            <w:vAlign w:val="center"/>
          </w:tcPr>
          <w:p w14:paraId="47F660FC">
            <w:pPr>
              <w:pStyle w:val="42"/>
              <w:bidi w:val="0"/>
              <w:jc w:val="center"/>
            </w:pPr>
            <w:r>
              <w:t>颜色</w:t>
            </w:r>
          </w:p>
        </w:tc>
        <w:tc>
          <w:tcPr>
            <w:tcW w:w="1149" w:type="pct"/>
            <w:tcBorders>
              <w:top w:val="single" w:color="000000" w:sz="4" w:space="0"/>
              <w:left w:val="single" w:color="000000" w:sz="4" w:space="0"/>
              <w:bottom w:val="single" w:color="000000" w:sz="4" w:space="0"/>
              <w:right w:val="single" w:color="000000" w:sz="4" w:space="0"/>
            </w:tcBorders>
            <w:vAlign w:val="center"/>
          </w:tcPr>
          <w:p w14:paraId="4A067CB4">
            <w:pPr>
              <w:pStyle w:val="42"/>
              <w:bidi w:val="0"/>
              <w:jc w:val="center"/>
            </w:pPr>
            <w:r>
              <w:t>黄棕</w:t>
            </w:r>
          </w:p>
        </w:tc>
        <w:tc>
          <w:tcPr>
            <w:tcW w:w="1149" w:type="pct"/>
            <w:tcBorders>
              <w:top w:val="single" w:color="000000" w:sz="4" w:space="0"/>
              <w:left w:val="single" w:color="000000" w:sz="4" w:space="0"/>
              <w:bottom w:val="single" w:color="000000" w:sz="4" w:space="0"/>
              <w:right w:val="single" w:color="000000" w:sz="4" w:space="0"/>
            </w:tcBorders>
            <w:vAlign w:val="center"/>
          </w:tcPr>
          <w:p w14:paraId="1859EABC">
            <w:pPr>
              <w:pStyle w:val="42"/>
              <w:bidi w:val="0"/>
              <w:jc w:val="center"/>
            </w:pPr>
            <w:r>
              <w:t>黄棕</w:t>
            </w:r>
          </w:p>
        </w:tc>
        <w:tc>
          <w:tcPr>
            <w:tcW w:w="1150" w:type="pct"/>
            <w:tcBorders>
              <w:top w:val="single" w:color="000000" w:sz="4" w:space="0"/>
              <w:left w:val="single" w:color="000000" w:sz="4" w:space="0"/>
              <w:bottom w:val="single" w:color="000000" w:sz="4" w:space="0"/>
              <w:right w:val="single" w:color="000000" w:sz="12" w:space="0"/>
            </w:tcBorders>
            <w:vAlign w:val="center"/>
          </w:tcPr>
          <w:p w14:paraId="1F777431">
            <w:pPr>
              <w:pStyle w:val="42"/>
              <w:bidi w:val="0"/>
              <w:jc w:val="center"/>
            </w:pPr>
            <w:r>
              <w:t>黄棕</w:t>
            </w:r>
          </w:p>
        </w:tc>
      </w:tr>
      <w:tr w14:paraId="7EE5C4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3A136CE4">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4793797C">
            <w:pPr>
              <w:pStyle w:val="42"/>
              <w:bidi w:val="0"/>
              <w:jc w:val="center"/>
            </w:pPr>
            <w:r>
              <w:t>结构</w:t>
            </w:r>
          </w:p>
        </w:tc>
        <w:tc>
          <w:tcPr>
            <w:tcW w:w="1149" w:type="pct"/>
            <w:tcBorders>
              <w:top w:val="single" w:color="000000" w:sz="4" w:space="0"/>
              <w:left w:val="single" w:color="000000" w:sz="4" w:space="0"/>
              <w:bottom w:val="single" w:color="000000" w:sz="4" w:space="0"/>
              <w:right w:val="single" w:color="000000" w:sz="4" w:space="0"/>
            </w:tcBorders>
            <w:vAlign w:val="center"/>
          </w:tcPr>
          <w:p w14:paraId="6FD3CFCE">
            <w:pPr>
              <w:pStyle w:val="42"/>
              <w:bidi w:val="0"/>
              <w:jc w:val="center"/>
            </w:pPr>
            <w:r>
              <w:t>块状</w:t>
            </w:r>
          </w:p>
        </w:tc>
        <w:tc>
          <w:tcPr>
            <w:tcW w:w="1149" w:type="pct"/>
            <w:tcBorders>
              <w:top w:val="single" w:color="000000" w:sz="4" w:space="0"/>
              <w:left w:val="single" w:color="000000" w:sz="4" w:space="0"/>
              <w:bottom w:val="single" w:color="000000" w:sz="4" w:space="0"/>
              <w:right w:val="single" w:color="000000" w:sz="4" w:space="0"/>
            </w:tcBorders>
            <w:vAlign w:val="center"/>
          </w:tcPr>
          <w:p w14:paraId="74D43DC9">
            <w:pPr>
              <w:pStyle w:val="42"/>
              <w:bidi w:val="0"/>
              <w:jc w:val="center"/>
            </w:pPr>
            <w:r>
              <w:t>块状</w:t>
            </w:r>
          </w:p>
        </w:tc>
        <w:tc>
          <w:tcPr>
            <w:tcW w:w="1150" w:type="pct"/>
            <w:tcBorders>
              <w:top w:val="single" w:color="000000" w:sz="4" w:space="0"/>
              <w:left w:val="single" w:color="000000" w:sz="4" w:space="0"/>
              <w:bottom w:val="single" w:color="000000" w:sz="4" w:space="0"/>
              <w:right w:val="single" w:color="000000" w:sz="12" w:space="0"/>
            </w:tcBorders>
            <w:vAlign w:val="center"/>
          </w:tcPr>
          <w:p w14:paraId="6603BD79">
            <w:pPr>
              <w:pStyle w:val="42"/>
              <w:bidi w:val="0"/>
              <w:jc w:val="center"/>
            </w:pPr>
            <w:r>
              <w:t>块状</w:t>
            </w:r>
          </w:p>
        </w:tc>
      </w:tr>
      <w:tr w14:paraId="023C63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78827EEF">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7FDAFA7B">
            <w:pPr>
              <w:pStyle w:val="42"/>
              <w:bidi w:val="0"/>
              <w:jc w:val="center"/>
            </w:pPr>
            <w:r>
              <w:t>质地</w:t>
            </w:r>
          </w:p>
        </w:tc>
        <w:tc>
          <w:tcPr>
            <w:tcW w:w="1149" w:type="pct"/>
            <w:tcBorders>
              <w:top w:val="single" w:color="000000" w:sz="4" w:space="0"/>
              <w:left w:val="single" w:color="000000" w:sz="4" w:space="0"/>
              <w:bottom w:val="single" w:color="000000" w:sz="4" w:space="0"/>
              <w:right w:val="single" w:color="000000" w:sz="4" w:space="0"/>
            </w:tcBorders>
            <w:vAlign w:val="center"/>
          </w:tcPr>
          <w:p w14:paraId="6889BC77">
            <w:pPr>
              <w:pStyle w:val="42"/>
              <w:bidi w:val="0"/>
              <w:jc w:val="center"/>
            </w:pPr>
            <w:r>
              <w:t>壤土</w:t>
            </w:r>
          </w:p>
        </w:tc>
        <w:tc>
          <w:tcPr>
            <w:tcW w:w="1149" w:type="pct"/>
            <w:tcBorders>
              <w:top w:val="single" w:color="000000" w:sz="4" w:space="0"/>
              <w:left w:val="single" w:color="000000" w:sz="4" w:space="0"/>
              <w:bottom w:val="single" w:color="000000" w:sz="4" w:space="0"/>
              <w:right w:val="single" w:color="000000" w:sz="4" w:space="0"/>
            </w:tcBorders>
            <w:vAlign w:val="center"/>
          </w:tcPr>
          <w:p w14:paraId="537EBEEA">
            <w:pPr>
              <w:pStyle w:val="42"/>
              <w:bidi w:val="0"/>
              <w:jc w:val="center"/>
            </w:pPr>
            <w:r>
              <w:t>壤土</w:t>
            </w:r>
          </w:p>
        </w:tc>
        <w:tc>
          <w:tcPr>
            <w:tcW w:w="1150" w:type="pct"/>
            <w:tcBorders>
              <w:top w:val="single" w:color="000000" w:sz="4" w:space="0"/>
              <w:left w:val="single" w:color="000000" w:sz="4" w:space="0"/>
              <w:bottom w:val="single" w:color="000000" w:sz="4" w:space="0"/>
              <w:right w:val="single" w:color="000000" w:sz="12" w:space="0"/>
            </w:tcBorders>
            <w:vAlign w:val="center"/>
          </w:tcPr>
          <w:p w14:paraId="7D8EDE14">
            <w:pPr>
              <w:pStyle w:val="42"/>
              <w:bidi w:val="0"/>
              <w:jc w:val="center"/>
            </w:pPr>
            <w:r>
              <w:t>壤土</w:t>
            </w:r>
          </w:p>
        </w:tc>
      </w:tr>
      <w:tr w14:paraId="2945C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0D546B73">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300FDAD0">
            <w:pPr>
              <w:pStyle w:val="42"/>
              <w:bidi w:val="0"/>
              <w:jc w:val="center"/>
            </w:pPr>
            <w:r>
              <w:t>氧化还原电位（mv）</w:t>
            </w:r>
          </w:p>
        </w:tc>
        <w:tc>
          <w:tcPr>
            <w:tcW w:w="1149" w:type="pct"/>
            <w:tcBorders>
              <w:top w:val="single" w:color="000000" w:sz="4" w:space="0"/>
              <w:left w:val="single" w:color="000000" w:sz="4" w:space="0"/>
              <w:bottom w:val="single" w:color="000000" w:sz="4" w:space="0"/>
              <w:right w:val="single" w:color="000000" w:sz="4" w:space="0"/>
            </w:tcBorders>
            <w:vAlign w:val="center"/>
          </w:tcPr>
          <w:p w14:paraId="24DF8BE0">
            <w:pPr>
              <w:pStyle w:val="42"/>
              <w:bidi w:val="0"/>
              <w:jc w:val="center"/>
            </w:pPr>
            <w:r>
              <w:t>106</w:t>
            </w:r>
          </w:p>
        </w:tc>
        <w:tc>
          <w:tcPr>
            <w:tcW w:w="1149" w:type="pct"/>
            <w:tcBorders>
              <w:top w:val="single" w:color="000000" w:sz="4" w:space="0"/>
              <w:left w:val="single" w:color="000000" w:sz="4" w:space="0"/>
              <w:bottom w:val="single" w:color="000000" w:sz="4" w:space="0"/>
              <w:right w:val="single" w:color="000000" w:sz="4" w:space="0"/>
            </w:tcBorders>
            <w:vAlign w:val="center"/>
          </w:tcPr>
          <w:p w14:paraId="622E6AEE">
            <w:pPr>
              <w:pStyle w:val="42"/>
              <w:bidi w:val="0"/>
              <w:jc w:val="center"/>
            </w:pPr>
            <w:r>
              <w:t>102</w:t>
            </w:r>
          </w:p>
        </w:tc>
        <w:tc>
          <w:tcPr>
            <w:tcW w:w="1150" w:type="pct"/>
            <w:tcBorders>
              <w:top w:val="single" w:color="000000" w:sz="4" w:space="0"/>
              <w:left w:val="single" w:color="000000" w:sz="4" w:space="0"/>
              <w:bottom w:val="single" w:color="000000" w:sz="4" w:space="0"/>
              <w:right w:val="single" w:color="000000" w:sz="12" w:space="0"/>
            </w:tcBorders>
            <w:vAlign w:val="center"/>
          </w:tcPr>
          <w:p w14:paraId="2973E9EA">
            <w:pPr>
              <w:pStyle w:val="42"/>
              <w:bidi w:val="0"/>
              <w:jc w:val="center"/>
            </w:pPr>
            <w:r>
              <w:t>104</w:t>
            </w:r>
          </w:p>
        </w:tc>
      </w:tr>
      <w:tr w14:paraId="40E72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213BD3BB">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6292BFCE">
            <w:pPr>
              <w:pStyle w:val="42"/>
              <w:bidi w:val="0"/>
              <w:jc w:val="center"/>
            </w:pPr>
            <w:r>
              <w:t>砂砾含量（%）</w:t>
            </w:r>
          </w:p>
        </w:tc>
        <w:tc>
          <w:tcPr>
            <w:tcW w:w="1149" w:type="pct"/>
            <w:tcBorders>
              <w:top w:val="single" w:color="000000" w:sz="4" w:space="0"/>
              <w:left w:val="single" w:color="000000" w:sz="4" w:space="0"/>
              <w:bottom w:val="single" w:color="000000" w:sz="4" w:space="0"/>
              <w:right w:val="single" w:color="000000" w:sz="4" w:space="0"/>
            </w:tcBorders>
            <w:vAlign w:val="center"/>
          </w:tcPr>
          <w:p w14:paraId="6D87179E">
            <w:pPr>
              <w:pStyle w:val="42"/>
              <w:bidi w:val="0"/>
              <w:jc w:val="center"/>
            </w:pPr>
            <w:r>
              <w:t>2</w:t>
            </w:r>
          </w:p>
        </w:tc>
        <w:tc>
          <w:tcPr>
            <w:tcW w:w="1149" w:type="pct"/>
            <w:tcBorders>
              <w:top w:val="single" w:color="000000" w:sz="4" w:space="0"/>
              <w:left w:val="single" w:color="000000" w:sz="4" w:space="0"/>
              <w:bottom w:val="single" w:color="000000" w:sz="4" w:space="0"/>
              <w:right w:val="single" w:color="000000" w:sz="4" w:space="0"/>
            </w:tcBorders>
            <w:vAlign w:val="center"/>
          </w:tcPr>
          <w:p w14:paraId="341376AB">
            <w:pPr>
              <w:pStyle w:val="42"/>
              <w:bidi w:val="0"/>
              <w:jc w:val="center"/>
            </w:pPr>
            <w:r>
              <w:t>5</w:t>
            </w:r>
          </w:p>
        </w:tc>
        <w:tc>
          <w:tcPr>
            <w:tcW w:w="1150" w:type="pct"/>
            <w:tcBorders>
              <w:top w:val="single" w:color="000000" w:sz="4" w:space="0"/>
              <w:left w:val="single" w:color="000000" w:sz="4" w:space="0"/>
              <w:bottom w:val="single" w:color="000000" w:sz="4" w:space="0"/>
              <w:right w:val="single" w:color="000000" w:sz="12" w:space="0"/>
            </w:tcBorders>
            <w:vAlign w:val="center"/>
          </w:tcPr>
          <w:p w14:paraId="384A6006">
            <w:pPr>
              <w:pStyle w:val="42"/>
              <w:bidi w:val="0"/>
              <w:jc w:val="center"/>
            </w:pPr>
            <w:r>
              <w:t>4</w:t>
            </w:r>
          </w:p>
        </w:tc>
      </w:tr>
      <w:tr w14:paraId="100821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0810508B">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14AC0A77">
            <w:pPr>
              <w:pStyle w:val="42"/>
              <w:bidi w:val="0"/>
              <w:jc w:val="center"/>
            </w:pPr>
            <w:r>
              <w:t>土壤容重（g/cm3）</w:t>
            </w:r>
          </w:p>
        </w:tc>
        <w:tc>
          <w:tcPr>
            <w:tcW w:w="1149" w:type="pct"/>
            <w:tcBorders>
              <w:top w:val="single" w:color="000000" w:sz="4" w:space="0"/>
              <w:left w:val="single" w:color="000000" w:sz="4" w:space="0"/>
              <w:bottom w:val="single" w:color="000000" w:sz="4" w:space="0"/>
              <w:right w:val="single" w:color="000000" w:sz="4" w:space="0"/>
            </w:tcBorders>
            <w:vAlign w:val="center"/>
          </w:tcPr>
          <w:p w14:paraId="5A55FDDB">
            <w:pPr>
              <w:pStyle w:val="42"/>
              <w:bidi w:val="0"/>
              <w:jc w:val="center"/>
            </w:pPr>
            <w:r>
              <w:t>1.13</w:t>
            </w:r>
          </w:p>
        </w:tc>
        <w:tc>
          <w:tcPr>
            <w:tcW w:w="1149" w:type="pct"/>
            <w:tcBorders>
              <w:top w:val="single" w:color="000000" w:sz="4" w:space="0"/>
              <w:left w:val="single" w:color="000000" w:sz="4" w:space="0"/>
              <w:bottom w:val="single" w:color="000000" w:sz="4" w:space="0"/>
              <w:right w:val="single" w:color="000000" w:sz="4" w:space="0"/>
            </w:tcBorders>
            <w:vAlign w:val="center"/>
          </w:tcPr>
          <w:p w14:paraId="09CEF3DF">
            <w:pPr>
              <w:pStyle w:val="42"/>
              <w:bidi w:val="0"/>
              <w:jc w:val="center"/>
            </w:pPr>
            <w:r>
              <w:t>1.06</w:t>
            </w:r>
          </w:p>
        </w:tc>
        <w:tc>
          <w:tcPr>
            <w:tcW w:w="1150" w:type="pct"/>
            <w:tcBorders>
              <w:top w:val="single" w:color="000000" w:sz="4" w:space="0"/>
              <w:left w:val="single" w:color="000000" w:sz="4" w:space="0"/>
              <w:bottom w:val="single" w:color="000000" w:sz="4" w:space="0"/>
              <w:right w:val="single" w:color="000000" w:sz="12" w:space="0"/>
            </w:tcBorders>
            <w:vAlign w:val="center"/>
          </w:tcPr>
          <w:p w14:paraId="058E4404">
            <w:pPr>
              <w:pStyle w:val="42"/>
              <w:bidi w:val="0"/>
              <w:jc w:val="center"/>
            </w:pPr>
            <w:r>
              <w:t>1.02</w:t>
            </w:r>
          </w:p>
        </w:tc>
      </w:tr>
      <w:tr w14:paraId="5E484B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2CED8321">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5CB977A1">
            <w:pPr>
              <w:pStyle w:val="42"/>
              <w:bidi w:val="0"/>
              <w:jc w:val="center"/>
            </w:pPr>
            <w:r>
              <w:t>阳离子交换量cmol（+）/kg</w:t>
            </w:r>
          </w:p>
        </w:tc>
        <w:tc>
          <w:tcPr>
            <w:tcW w:w="1149" w:type="pct"/>
            <w:tcBorders>
              <w:top w:val="single" w:color="000000" w:sz="4" w:space="0"/>
              <w:left w:val="single" w:color="000000" w:sz="4" w:space="0"/>
              <w:bottom w:val="single" w:color="000000" w:sz="4" w:space="0"/>
              <w:right w:val="single" w:color="000000" w:sz="4" w:space="0"/>
            </w:tcBorders>
            <w:vAlign w:val="center"/>
          </w:tcPr>
          <w:p w14:paraId="0BA59CAA">
            <w:pPr>
              <w:pStyle w:val="42"/>
              <w:bidi w:val="0"/>
              <w:jc w:val="center"/>
            </w:pPr>
            <w:r>
              <w:t>8.92</w:t>
            </w:r>
          </w:p>
        </w:tc>
        <w:tc>
          <w:tcPr>
            <w:tcW w:w="1149" w:type="pct"/>
            <w:tcBorders>
              <w:top w:val="single" w:color="000000" w:sz="4" w:space="0"/>
              <w:left w:val="single" w:color="000000" w:sz="4" w:space="0"/>
              <w:bottom w:val="single" w:color="000000" w:sz="4" w:space="0"/>
              <w:right w:val="single" w:color="000000" w:sz="4" w:space="0"/>
            </w:tcBorders>
            <w:vAlign w:val="center"/>
          </w:tcPr>
          <w:p w14:paraId="0D2BF94A">
            <w:pPr>
              <w:pStyle w:val="42"/>
              <w:bidi w:val="0"/>
              <w:jc w:val="center"/>
            </w:pPr>
            <w:r>
              <w:t>7.87</w:t>
            </w:r>
          </w:p>
        </w:tc>
        <w:tc>
          <w:tcPr>
            <w:tcW w:w="1150" w:type="pct"/>
            <w:tcBorders>
              <w:top w:val="single" w:color="000000" w:sz="4" w:space="0"/>
              <w:left w:val="single" w:color="000000" w:sz="4" w:space="0"/>
              <w:bottom w:val="single" w:color="000000" w:sz="4" w:space="0"/>
              <w:right w:val="single" w:color="000000" w:sz="12" w:space="0"/>
            </w:tcBorders>
            <w:vAlign w:val="center"/>
          </w:tcPr>
          <w:p w14:paraId="19D74A81">
            <w:pPr>
              <w:pStyle w:val="42"/>
              <w:bidi w:val="0"/>
              <w:jc w:val="center"/>
            </w:pPr>
            <w:r>
              <w:t>9.46</w:t>
            </w:r>
          </w:p>
        </w:tc>
      </w:tr>
      <w:tr w14:paraId="7B9486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right w:val="single" w:color="000000" w:sz="4" w:space="0"/>
            </w:tcBorders>
            <w:vAlign w:val="center"/>
          </w:tcPr>
          <w:p w14:paraId="211CCC24">
            <w:pPr>
              <w:pStyle w:val="42"/>
              <w:bidi w:val="0"/>
              <w:jc w:val="center"/>
            </w:pPr>
          </w:p>
        </w:tc>
        <w:tc>
          <w:tcPr>
            <w:tcW w:w="1340" w:type="pct"/>
            <w:tcBorders>
              <w:top w:val="single" w:color="000000" w:sz="4" w:space="0"/>
              <w:left w:val="single" w:color="000000" w:sz="4" w:space="0"/>
              <w:bottom w:val="single" w:color="000000" w:sz="4" w:space="0"/>
              <w:right w:val="single" w:color="000000" w:sz="4" w:space="0"/>
            </w:tcBorders>
            <w:vAlign w:val="center"/>
          </w:tcPr>
          <w:p w14:paraId="746417E6">
            <w:pPr>
              <w:pStyle w:val="42"/>
              <w:bidi w:val="0"/>
              <w:jc w:val="center"/>
            </w:pPr>
            <w:r>
              <w:t>饱和导水率（mm/min）</w:t>
            </w:r>
          </w:p>
        </w:tc>
        <w:tc>
          <w:tcPr>
            <w:tcW w:w="1149" w:type="pct"/>
            <w:tcBorders>
              <w:top w:val="single" w:color="000000" w:sz="4" w:space="0"/>
              <w:left w:val="single" w:color="000000" w:sz="4" w:space="0"/>
              <w:bottom w:val="single" w:color="000000" w:sz="4" w:space="0"/>
              <w:right w:val="single" w:color="000000" w:sz="4" w:space="0"/>
            </w:tcBorders>
            <w:vAlign w:val="center"/>
          </w:tcPr>
          <w:p w14:paraId="2F947858">
            <w:pPr>
              <w:pStyle w:val="42"/>
              <w:bidi w:val="0"/>
              <w:jc w:val="center"/>
            </w:pPr>
            <w:r>
              <w:t>0.20</w:t>
            </w:r>
          </w:p>
        </w:tc>
        <w:tc>
          <w:tcPr>
            <w:tcW w:w="1149" w:type="pct"/>
            <w:tcBorders>
              <w:top w:val="single" w:color="000000" w:sz="4" w:space="0"/>
              <w:left w:val="single" w:color="000000" w:sz="4" w:space="0"/>
              <w:bottom w:val="single" w:color="000000" w:sz="4" w:space="0"/>
              <w:right w:val="single" w:color="000000" w:sz="4" w:space="0"/>
            </w:tcBorders>
            <w:vAlign w:val="center"/>
          </w:tcPr>
          <w:p w14:paraId="3C20B2A6">
            <w:pPr>
              <w:pStyle w:val="42"/>
              <w:bidi w:val="0"/>
              <w:jc w:val="center"/>
            </w:pPr>
            <w:r>
              <w:t>0.10</w:t>
            </w:r>
          </w:p>
        </w:tc>
        <w:tc>
          <w:tcPr>
            <w:tcW w:w="1150" w:type="pct"/>
            <w:tcBorders>
              <w:top w:val="single" w:color="000000" w:sz="4" w:space="0"/>
              <w:left w:val="single" w:color="000000" w:sz="4" w:space="0"/>
              <w:bottom w:val="single" w:color="000000" w:sz="4" w:space="0"/>
              <w:right w:val="single" w:color="000000" w:sz="12" w:space="0"/>
            </w:tcBorders>
            <w:vAlign w:val="center"/>
          </w:tcPr>
          <w:p w14:paraId="56ED463A">
            <w:pPr>
              <w:pStyle w:val="42"/>
              <w:bidi w:val="0"/>
              <w:jc w:val="center"/>
            </w:pPr>
            <w:r>
              <w:t>0.12</w:t>
            </w:r>
          </w:p>
        </w:tc>
      </w:tr>
      <w:tr w14:paraId="0138CE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9" w:type="pct"/>
            <w:vMerge w:val="continue"/>
            <w:tcBorders>
              <w:left w:val="single" w:color="000000" w:sz="12" w:space="0"/>
              <w:bottom w:val="single" w:color="000000" w:sz="12" w:space="0"/>
              <w:right w:val="single" w:color="000000" w:sz="4" w:space="0"/>
            </w:tcBorders>
            <w:vAlign w:val="center"/>
          </w:tcPr>
          <w:p w14:paraId="0F0CC9BF">
            <w:pPr>
              <w:pStyle w:val="42"/>
              <w:bidi w:val="0"/>
              <w:jc w:val="center"/>
            </w:pPr>
          </w:p>
        </w:tc>
        <w:tc>
          <w:tcPr>
            <w:tcW w:w="1340" w:type="pct"/>
            <w:tcBorders>
              <w:top w:val="single" w:color="000000" w:sz="4" w:space="0"/>
              <w:left w:val="single" w:color="000000" w:sz="4" w:space="0"/>
              <w:bottom w:val="single" w:color="000000" w:sz="12" w:space="0"/>
              <w:right w:val="single" w:color="000000" w:sz="4" w:space="0"/>
            </w:tcBorders>
            <w:vAlign w:val="center"/>
          </w:tcPr>
          <w:p w14:paraId="51AC69BF">
            <w:pPr>
              <w:pStyle w:val="42"/>
              <w:bidi w:val="0"/>
              <w:jc w:val="center"/>
            </w:pPr>
            <w:r>
              <w:t>孔隙度（%）</w:t>
            </w:r>
          </w:p>
        </w:tc>
        <w:tc>
          <w:tcPr>
            <w:tcW w:w="1149" w:type="pct"/>
            <w:tcBorders>
              <w:top w:val="single" w:color="000000" w:sz="4" w:space="0"/>
              <w:left w:val="single" w:color="000000" w:sz="4" w:space="0"/>
              <w:bottom w:val="single" w:color="000000" w:sz="12" w:space="0"/>
              <w:right w:val="single" w:color="000000" w:sz="4" w:space="0"/>
            </w:tcBorders>
            <w:vAlign w:val="center"/>
          </w:tcPr>
          <w:p w14:paraId="0D56EF1C">
            <w:pPr>
              <w:pStyle w:val="42"/>
              <w:bidi w:val="0"/>
              <w:jc w:val="center"/>
            </w:pPr>
            <w:r>
              <w:t>50.8</w:t>
            </w:r>
          </w:p>
        </w:tc>
        <w:tc>
          <w:tcPr>
            <w:tcW w:w="1149" w:type="pct"/>
            <w:tcBorders>
              <w:top w:val="single" w:color="000000" w:sz="4" w:space="0"/>
              <w:left w:val="single" w:color="000000" w:sz="4" w:space="0"/>
              <w:bottom w:val="single" w:color="000000" w:sz="12" w:space="0"/>
              <w:right w:val="single" w:color="000000" w:sz="4" w:space="0"/>
            </w:tcBorders>
            <w:vAlign w:val="center"/>
          </w:tcPr>
          <w:p w14:paraId="6216FFE8">
            <w:pPr>
              <w:pStyle w:val="42"/>
              <w:bidi w:val="0"/>
              <w:jc w:val="center"/>
            </w:pPr>
            <w:r>
              <w:t>51.4</w:t>
            </w:r>
          </w:p>
        </w:tc>
        <w:tc>
          <w:tcPr>
            <w:tcW w:w="1150" w:type="pct"/>
            <w:tcBorders>
              <w:top w:val="single" w:color="000000" w:sz="4" w:space="0"/>
              <w:left w:val="single" w:color="000000" w:sz="4" w:space="0"/>
              <w:bottom w:val="single" w:color="000000" w:sz="12" w:space="0"/>
              <w:right w:val="single" w:color="000000" w:sz="12" w:space="0"/>
            </w:tcBorders>
            <w:vAlign w:val="center"/>
          </w:tcPr>
          <w:p w14:paraId="0F2EA6C0">
            <w:pPr>
              <w:pStyle w:val="42"/>
              <w:bidi w:val="0"/>
              <w:jc w:val="center"/>
            </w:pPr>
            <w:r>
              <w:t>51.9</w:t>
            </w:r>
          </w:p>
        </w:tc>
      </w:tr>
    </w:tbl>
    <w:p w14:paraId="796496BD">
      <w:pPr>
        <w:pStyle w:val="39"/>
        <w:bidi w:val="0"/>
        <w:rPr>
          <w:rFonts w:hint="default"/>
          <w:lang w:eastAsia="zh-CN"/>
        </w:rPr>
      </w:pPr>
    </w:p>
    <w:p w14:paraId="3851C3AF">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生态环境现状调查</w:t>
      </w:r>
    </w:p>
    <w:p w14:paraId="1199819B">
      <w:pPr>
        <w:keepNext w:val="0"/>
        <w:keepLines w:val="0"/>
        <w:widowControl/>
        <w:suppressLineNumbers w:val="0"/>
        <w:jc w:val="left"/>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kern w:val="0"/>
          <w:sz w:val="24"/>
          <w:szCs w:val="24"/>
          <w:highlight w:val="none"/>
          <w:u w:val="none" w:color="auto"/>
          <w:lang w:val="en-US" w:eastAsia="zh-CN" w:bidi="ar"/>
        </w:rPr>
        <w:t>根据现场调查，项目所在区域为工业园区，用地范围内均已完成三通一平，项目及周边均为常见植物，总体地表植被保持良好，生态环境没有明显恶化。</w:t>
      </w:r>
    </w:p>
    <w:p w14:paraId="40E72B34">
      <w:pPr>
        <w:pStyle w:val="4"/>
        <w:ind w:firstLine="643"/>
        <w:rPr>
          <w:rFonts w:hint="default" w:ascii="Times New Roman" w:hAnsi="Times New Roman" w:cs="Times New Roman"/>
          <w:color w:val="auto"/>
          <w:highlight w:val="none"/>
          <w:u w:val="none" w:color="auto"/>
        </w:rPr>
      </w:pPr>
      <w:bookmarkStart w:id="148" w:name="_Toc3796"/>
      <w:r>
        <w:rPr>
          <w:rFonts w:hint="default" w:ascii="Times New Roman" w:hAnsi="Times New Roman" w:cs="Times New Roman"/>
          <w:color w:val="auto"/>
          <w:highlight w:val="none"/>
          <w:u w:val="none" w:color="auto"/>
        </w:rPr>
        <w:t>环境影响预测与评价</w:t>
      </w:r>
      <w:bookmarkEnd w:id="137"/>
      <w:bookmarkEnd w:id="148"/>
    </w:p>
    <w:p w14:paraId="78F9D746">
      <w:pPr>
        <w:pStyle w:val="5"/>
        <w:bidi w:val="0"/>
        <w:rPr>
          <w:rFonts w:hint="default" w:ascii="Times New Roman" w:hAnsi="Times New Roman" w:cs="Times New Roman"/>
          <w:highlight w:val="none"/>
          <w:lang w:val="en-US" w:eastAsia="zh-CN"/>
        </w:rPr>
      </w:pPr>
      <w:bookmarkStart w:id="149" w:name="_Toc31449"/>
      <w:bookmarkStart w:id="150" w:name="_Toc27191"/>
      <w:bookmarkStart w:id="151" w:name="_Toc13838"/>
      <w:r>
        <w:rPr>
          <w:rFonts w:hint="default" w:ascii="Times New Roman" w:hAnsi="Times New Roman" w:cs="Times New Roman"/>
          <w:highlight w:val="none"/>
          <w:lang w:val="en-US" w:eastAsia="zh-CN"/>
        </w:rPr>
        <w:t>施工期环境影响预测及分析</w:t>
      </w:r>
      <w:bookmarkEnd w:id="149"/>
    </w:p>
    <w:p w14:paraId="65D05097">
      <w:pPr>
        <w:pStyle w:val="6"/>
        <w:bidi w:val="0"/>
        <w:rPr>
          <w:rFonts w:hint="default"/>
        </w:rPr>
      </w:pPr>
      <w:r>
        <w:rPr>
          <w:rFonts w:hint="default"/>
        </w:rPr>
        <w:t>施工期水环境影响评价</w:t>
      </w:r>
    </w:p>
    <w:p w14:paraId="3230F02B">
      <w:pPr>
        <w:bidi w:val="0"/>
        <w:rPr>
          <w:rFonts w:hint="default"/>
        </w:rPr>
      </w:pPr>
      <w:r>
        <w:rPr>
          <w:rFonts w:hint="eastAsia"/>
          <w:lang w:eastAsia="zh-CN"/>
        </w:rPr>
        <w:t>（</w:t>
      </w:r>
      <w:r>
        <w:rPr>
          <w:rFonts w:hint="eastAsia"/>
          <w:lang w:val="en-US" w:eastAsia="zh-CN"/>
        </w:rPr>
        <w:t>1）</w:t>
      </w:r>
      <w:r>
        <w:rPr>
          <w:rFonts w:hint="default"/>
        </w:rPr>
        <w:t>施工废水</w:t>
      </w:r>
    </w:p>
    <w:p w14:paraId="3C17E148">
      <w:pPr>
        <w:bidi w:val="0"/>
        <w:rPr>
          <w:rFonts w:hint="default"/>
        </w:rPr>
      </w:pPr>
      <w:r>
        <w:rPr>
          <w:rFonts w:hint="default"/>
        </w:rPr>
        <w:t>施工废水主要来源于施工车辆以及机械设备的清洗、建材清洗、混凝土养护产生的废水等，另外还有场地雨污水。施工废水主要污染物为SS，施工车辆以及设备冲洗废水还含有少量油污。施工废水的排放特点是间歇式排放，废水量不稳定。因此，施工中往往用水量无节制、废水排放量大，若不采取措施，将会在施工现场随意流淌，对周围水环境造成一定影响。施工期生活污水的水量相当少，对周围水环境影响甚微。</w:t>
      </w:r>
    </w:p>
    <w:p w14:paraId="0433BBD6">
      <w:pPr>
        <w:bidi w:val="0"/>
        <w:rPr>
          <w:rFonts w:hint="default"/>
        </w:rPr>
      </w:pPr>
      <w:r>
        <w:rPr>
          <w:rFonts w:hint="default"/>
        </w:rPr>
        <w:t>对于施工废水，要求在施工现场设置隔油沉淀池一座，收集施工中所排放的各类废水，废水经隔油沉淀后，仍可作为施工用水的一部分重复使用，这样既节约了水资源，又减轻了对地表水环境的污染。</w:t>
      </w:r>
    </w:p>
    <w:p w14:paraId="223A7CED">
      <w:pPr>
        <w:bidi w:val="0"/>
        <w:rPr>
          <w:rFonts w:hint="default"/>
        </w:rPr>
      </w:pPr>
      <w:r>
        <w:rPr>
          <w:rFonts w:hint="eastAsia"/>
          <w:lang w:eastAsia="zh-CN"/>
        </w:rPr>
        <w:t>（</w:t>
      </w:r>
      <w:r>
        <w:rPr>
          <w:rFonts w:hint="eastAsia"/>
          <w:lang w:val="en-US" w:eastAsia="zh-CN"/>
        </w:rPr>
        <w:t>2）</w:t>
      </w:r>
      <w:r>
        <w:rPr>
          <w:rFonts w:hint="default"/>
        </w:rPr>
        <w:t>施工人员生活污水</w:t>
      </w:r>
    </w:p>
    <w:p w14:paraId="4C1A66E9">
      <w:pPr>
        <w:bidi w:val="0"/>
        <w:rPr>
          <w:rFonts w:hint="default"/>
        </w:rPr>
      </w:pPr>
      <w:r>
        <w:rPr>
          <w:rFonts w:hint="default"/>
        </w:rPr>
        <w:t>项目设置施工营地，施工人员生活过程将有废水产生，废水种类主要有粪便污水、浴室污水等，主要污染物是COD、</w:t>
      </w:r>
      <w:r>
        <w:rPr>
          <w:rFonts w:hint="eastAsia"/>
          <w:lang w:eastAsia="zh-CN"/>
        </w:rPr>
        <w:t>BOD</w:t>
      </w:r>
      <w:r>
        <w:rPr>
          <w:rFonts w:hint="eastAsia"/>
          <w:vertAlign w:val="subscript"/>
          <w:lang w:eastAsia="zh-CN"/>
        </w:rPr>
        <w:t>5</w:t>
      </w:r>
      <w:r>
        <w:rPr>
          <w:rFonts w:hint="default"/>
        </w:rPr>
        <w:t>等。施工人员生活污水如不妥善处理，也会造成施工区域的环境恶化。尤其在夏天，会造成蚊、蝇滋生，传染疾病，甚至影响到施工人员身体健康。项目施工营地产生的施工废水经</w:t>
      </w:r>
      <w:r>
        <w:rPr>
          <w:rFonts w:hint="eastAsia"/>
          <w:lang w:val="en-US" w:eastAsia="zh-CN"/>
        </w:rPr>
        <w:t>化粪池处理后</w:t>
      </w:r>
      <w:r>
        <w:rPr>
          <w:rFonts w:hint="default"/>
        </w:rPr>
        <w:t>进入市政污水管网。</w:t>
      </w:r>
    </w:p>
    <w:p w14:paraId="09CABE12">
      <w:pPr>
        <w:bidi w:val="0"/>
        <w:rPr>
          <w:rFonts w:hint="default"/>
        </w:rPr>
      </w:pPr>
      <w:r>
        <w:rPr>
          <w:rFonts w:hint="default"/>
        </w:rPr>
        <w:t>通过以上措施，项目施工废水做到处理后回用不外排，项目施工人员生活污水经处理后可实现达标排放，对地表水环境影响不大。</w:t>
      </w:r>
    </w:p>
    <w:p w14:paraId="7D92B844">
      <w:pPr>
        <w:pStyle w:val="6"/>
        <w:bidi w:val="0"/>
        <w:rPr>
          <w:rFonts w:hint="default"/>
        </w:rPr>
      </w:pPr>
      <w:r>
        <w:rPr>
          <w:rFonts w:hint="default"/>
        </w:rPr>
        <w:t>施工期大气环境影响评价</w:t>
      </w:r>
    </w:p>
    <w:p w14:paraId="4457B53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施工期对大气环境的影响主要表现为各类扬尘、施工机械以及车辆排放的尾气。</w:t>
      </w:r>
    </w:p>
    <w:p w14:paraId="16295675">
      <w:pPr>
        <w:bidi w:val="0"/>
        <w:rPr>
          <w:rFonts w:hint="default"/>
          <w:highlight w:val="none"/>
        </w:rPr>
      </w:pPr>
      <w:r>
        <w:rPr>
          <w:rFonts w:hint="eastAsia"/>
          <w:highlight w:val="none"/>
          <w:lang w:val="en-US" w:eastAsia="zh-CN"/>
        </w:rPr>
        <w:t>1、</w:t>
      </w:r>
      <w:r>
        <w:rPr>
          <w:rFonts w:hint="default"/>
          <w:highlight w:val="none"/>
        </w:rPr>
        <w:t>施工扬尘影响分析</w:t>
      </w:r>
    </w:p>
    <w:p w14:paraId="50347270">
      <w:pPr>
        <w:bidi w:val="0"/>
        <w:rPr>
          <w:rFonts w:hint="default"/>
        </w:rPr>
      </w:pPr>
      <w:r>
        <w:rPr>
          <w:rFonts w:hint="default"/>
        </w:rPr>
        <w:t>（1）扬尘</w:t>
      </w:r>
    </w:p>
    <w:p w14:paraId="01950050">
      <w:pPr>
        <w:bidi w:val="0"/>
        <w:rPr>
          <w:rFonts w:hint="default"/>
        </w:rPr>
      </w:pPr>
      <w:r>
        <w:rPr>
          <w:rFonts w:hint="default"/>
        </w:rPr>
        <w:t>施工扬尘主要来源于汽车行驶扬尘、施工场地材料堆放及裸露地表产生的扬尘等，主要污染因子为TSP。例如：地表开挖、平整、道路修筑破坏地表原土层和植被，开挖后裸露的地表在干燥、大风等天气情况下，可能产生扬尘；建筑材料装卸以及堆放若不采取覆篷、洒水等措施，在干燥、大风等天气情况下，可能产生扬尘；施工场地以及周边道路若未清理，汽车运输过程产生二次扬尘，严重情况下尘埃会飘至下风向数百米，给施工场地周边环境带来较大影响；此外，建筑施工时，墙面处理后砌筑等过程也会带来扬尘影响。</w:t>
      </w:r>
    </w:p>
    <w:p w14:paraId="23182E09">
      <w:pPr>
        <w:bidi w:val="0"/>
        <w:rPr>
          <w:rFonts w:hint="default"/>
        </w:rPr>
      </w:pPr>
      <w:r>
        <w:rPr>
          <w:rFonts w:hint="default"/>
        </w:rPr>
        <w:t>对整个施工期而言，施工产生的扬尘主要集中在土建施工阶段。按起尘的原因可分为风力起尘和动力起尘，其中风力起尘主要是由于露天堆放的建材（如黄沙、水泥等）及裸露的施工区表层浮尘因天气干燥及大风，产生风力扬尘；而动力起尘，主要是在建材的装卸、搅拌过程中，由于外力而产生的尘粒悬浮造成的，其中施工及装卸车辆造成的扬尘最为严重。</w:t>
      </w:r>
    </w:p>
    <w:p w14:paraId="11E28818">
      <w:pPr>
        <w:bidi w:val="0"/>
        <w:rPr>
          <w:rFonts w:hint="default"/>
          <w:highlight w:val="none"/>
        </w:rPr>
      </w:pPr>
      <w:r>
        <w:rPr>
          <w:rFonts w:hint="default"/>
        </w:rPr>
        <w:t>通过限速行驶、保持路面及车辆的清洁、适当洒水是减少汽车扬尘的有效手段。风力扬尘主要为露天堆场和裸露场地产生的风力扬尘，由于施工需要，一些建材需露天堆放，一些施工点表层土壤需人工开挖、堆放，</w:t>
      </w:r>
      <w:r>
        <w:rPr>
          <w:rFonts w:hint="default"/>
          <w:highlight w:val="none"/>
        </w:rPr>
        <w:t>在天气干燥又有风的情况下，会产生扬尘。</w:t>
      </w:r>
    </w:p>
    <w:p w14:paraId="2457724D">
      <w:pPr>
        <w:bidi w:val="0"/>
        <w:rPr>
          <w:rFonts w:hint="default"/>
          <w:highlight w:val="none"/>
        </w:rPr>
      </w:pPr>
      <w:r>
        <w:rPr>
          <w:rFonts w:hint="default"/>
          <w:highlight w:val="none"/>
        </w:rPr>
        <w:t>粉尘的沉降速度随着粒径的增大而迅速增大。当粒径大于250μm时，主要影响范围在扬尘产生点下风向近距离范围内，而对外环境影响较大的是一些粒径微小的粉尘。不同粒径尘粒的沉降速度详见下表：</w:t>
      </w:r>
    </w:p>
    <w:p w14:paraId="1DE43B65">
      <w:pPr>
        <w:pStyle w:val="39"/>
        <w:bidi w:val="0"/>
        <w:rPr>
          <w:rFonts w:hint="default"/>
          <w:highlight w:val="none"/>
        </w:rPr>
      </w:pPr>
      <w:r>
        <w:rPr>
          <w:rFonts w:hint="default"/>
          <w:highlight w:val="none"/>
        </w:rPr>
        <w:t>表6.1-1    不同粒径尘粒的沉降速度</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76"/>
        <w:gridCol w:w="964"/>
        <w:gridCol w:w="968"/>
        <w:gridCol w:w="964"/>
        <w:gridCol w:w="964"/>
        <w:gridCol w:w="964"/>
        <w:gridCol w:w="964"/>
        <w:gridCol w:w="970"/>
      </w:tblGrid>
      <w:tr w14:paraId="3E2F91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945" w:type="pct"/>
            <w:tcBorders>
              <w:top w:val="single" w:color="000000" w:sz="12" w:space="0"/>
              <w:left w:val="single" w:color="000000" w:sz="12" w:space="0"/>
              <w:bottom w:val="single" w:color="000000" w:sz="4" w:space="0"/>
              <w:right w:val="single" w:color="000000" w:sz="4" w:space="0"/>
            </w:tcBorders>
            <w:vAlign w:val="top"/>
          </w:tcPr>
          <w:p w14:paraId="0C01FD29">
            <w:pPr>
              <w:pStyle w:val="42"/>
              <w:bidi w:val="0"/>
              <w:rPr>
                <w:highlight w:val="none"/>
              </w:rPr>
            </w:pPr>
            <w:r>
              <w:rPr>
                <w:highlight w:val="none"/>
              </w:rPr>
              <w:t>类型</w:t>
            </w:r>
          </w:p>
        </w:tc>
        <w:tc>
          <w:tcPr>
            <w:tcW w:w="578" w:type="pct"/>
            <w:tcBorders>
              <w:top w:val="single" w:color="000000" w:sz="12" w:space="0"/>
              <w:left w:val="single" w:color="000000" w:sz="4" w:space="0"/>
              <w:bottom w:val="single" w:color="000000" w:sz="4" w:space="0"/>
              <w:right w:val="single" w:color="000000" w:sz="4" w:space="0"/>
            </w:tcBorders>
            <w:vAlign w:val="top"/>
          </w:tcPr>
          <w:p w14:paraId="0DA01DE4">
            <w:pPr>
              <w:pStyle w:val="42"/>
              <w:bidi w:val="0"/>
              <w:rPr>
                <w:highlight w:val="none"/>
              </w:rPr>
            </w:pPr>
            <w:r>
              <w:rPr>
                <w:highlight w:val="none"/>
              </w:rPr>
              <w:t>10</w:t>
            </w:r>
          </w:p>
        </w:tc>
        <w:tc>
          <w:tcPr>
            <w:tcW w:w="580" w:type="pct"/>
            <w:tcBorders>
              <w:top w:val="single" w:color="000000" w:sz="12" w:space="0"/>
              <w:left w:val="single" w:color="000000" w:sz="4" w:space="0"/>
              <w:bottom w:val="single" w:color="000000" w:sz="4" w:space="0"/>
              <w:right w:val="single" w:color="000000" w:sz="4" w:space="0"/>
            </w:tcBorders>
            <w:vAlign w:val="top"/>
          </w:tcPr>
          <w:p w14:paraId="09C07100">
            <w:pPr>
              <w:pStyle w:val="42"/>
              <w:bidi w:val="0"/>
              <w:rPr>
                <w:highlight w:val="none"/>
              </w:rPr>
            </w:pPr>
            <w:r>
              <w:rPr>
                <w:highlight w:val="none"/>
              </w:rPr>
              <w:t>20</w:t>
            </w:r>
          </w:p>
        </w:tc>
        <w:tc>
          <w:tcPr>
            <w:tcW w:w="578" w:type="pct"/>
            <w:tcBorders>
              <w:top w:val="single" w:color="000000" w:sz="12" w:space="0"/>
              <w:left w:val="single" w:color="000000" w:sz="4" w:space="0"/>
              <w:bottom w:val="single" w:color="000000" w:sz="4" w:space="0"/>
              <w:right w:val="single" w:color="000000" w:sz="4" w:space="0"/>
            </w:tcBorders>
            <w:vAlign w:val="top"/>
          </w:tcPr>
          <w:p w14:paraId="2B123E82">
            <w:pPr>
              <w:pStyle w:val="42"/>
              <w:bidi w:val="0"/>
              <w:rPr>
                <w:highlight w:val="none"/>
              </w:rPr>
            </w:pPr>
            <w:r>
              <w:rPr>
                <w:highlight w:val="none"/>
              </w:rPr>
              <w:t>30</w:t>
            </w:r>
          </w:p>
        </w:tc>
        <w:tc>
          <w:tcPr>
            <w:tcW w:w="578" w:type="pct"/>
            <w:tcBorders>
              <w:top w:val="single" w:color="000000" w:sz="12" w:space="0"/>
              <w:left w:val="single" w:color="000000" w:sz="4" w:space="0"/>
              <w:bottom w:val="single" w:color="000000" w:sz="4" w:space="0"/>
              <w:right w:val="single" w:color="000000" w:sz="4" w:space="0"/>
            </w:tcBorders>
            <w:vAlign w:val="top"/>
          </w:tcPr>
          <w:p w14:paraId="6D2A4B20">
            <w:pPr>
              <w:pStyle w:val="42"/>
              <w:bidi w:val="0"/>
              <w:rPr>
                <w:highlight w:val="none"/>
              </w:rPr>
            </w:pPr>
            <w:r>
              <w:rPr>
                <w:highlight w:val="none"/>
              </w:rPr>
              <w:t>40</w:t>
            </w:r>
          </w:p>
        </w:tc>
        <w:tc>
          <w:tcPr>
            <w:tcW w:w="578" w:type="pct"/>
            <w:tcBorders>
              <w:top w:val="single" w:color="000000" w:sz="12" w:space="0"/>
              <w:left w:val="single" w:color="000000" w:sz="4" w:space="0"/>
              <w:bottom w:val="single" w:color="000000" w:sz="4" w:space="0"/>
              <w:right w:val="single" w:color="000000" w:sz="4" w:space="0"/>
            </w:tcBorders>
            <w:vAlign w:val="top"/>
          </w:tcPr>
          <w:p w14:paraId="0A6F7C00">
            <w:pPr>
              <w:pStyle w:val="42"/>
              <w:bidi w:val="0"/>
              <w:rPr>
                <w:highlight w:val="none"/>
              </w:rPr>
            </w:pPr>
            <w:r>
              <w:rPr>
                <w:highlight w:val="none"/>
              </w:rPr>
              <w:t>50</w:t>
            </w:r>
          </w:p>
        </w:tc>
        <w:tc>
          <w:tcPr>
            <w:tcW w:w="578" w:type="pct"/>
            <w:tcBorders>
              <w:top w:val="single" w:color="000000" w:sz="12" w:space="0"/>
              <w:left w:val="single" w:color="000000" w:sz="4" w:space="0"/>
              <w:bottom w:val="single" w:color="000000" w:sz="4" w:space="0"/>
              <w:right w:val="single" w:color="000000" w:sz="4" w:space="0"/>
            </w:tcBorders>
            <w:vAlign w:val="top"/>
          </w:tcPr>
          <w:p w14:paraId="32377196">
            <w:pPr>
              <w:pStyle w:val="42"/>
              <w:bidi w:val="0"/>
              <w:rPr>
                <w:highlight w:val="none"/>
              </w:rPr>
            </w:pPr>
            <w:r>
              <w:rPr>
                <w:highlight w:val="none"/>
              </w:rPr>
              <w:t>60</w:t>
            </w:r>
          </w:p>
        </w:tc>
        <w:tc>
          <w:tcPr>
            <w:tcW w:w="581" w:type="pct"/>
            <w:tcBorders>
              <w:top w:val="single" w:color="000000" w:sz="12" w:space="0"/>
              <w:left w:val="single" w:color="000000" w:sz="4" w:space="0"/>
              <w:bottom w:val="single" w:color="000000" w:sz="4" w:space="0"/>
              <w:right w:val="single" w:color="000000" w:sz="12" w:space="0"/>
            </w:tcBorders>
            <w:vAlign w:val="top"/>
          </w:tcPr>
          <w:p w14:paraId="7DF5B034">
            <w:pPr>
              <w:pStyle w:val="42"/>
              <w:bidi w:val="0"/>
              <w:rPr>
                <w:highlight w:val="none"/>
              </w:rPr>
            </w:pPr>
            <w:r>
              <w:rPr>
                <w:highlight w:val="none"/>
              </w:rPr>
              <w:t>70</w:t>
            </w:r>
          </w:p>
        </w:tc>
      </w:tr>
      <w:tr w14:paraId="6E86F3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945" w:type="pct"/>
            <w:tcBorders>
              <w:top w:val="single" w:color="000000" w:sz="4" w:space="0"/>
              <w:left w:val="single" w:color="000000" w:sz="12" w:space="0"/>
              <w:bottom w:val="single" w:color="000000" w:sz="4" w:space="0"/>
              <w:right w:val="single" w:color="000000" w:sz="4" w:space="0"/>
            </w:tcBorders>
            <w:vAlign w:val="top"/>
          </w:tcPr>
          <w:p w14:paraId="4D152EC9">
            <w:pPr>
              <w:pStyle w:val="42"/>
              <w:bidi w:val="0"/>
              <w:rPr>
                <w:highlight w:val="none"/>
              </w:rPr>
            </w:pPr>
            <w:r>
              <w:rPr>
                <w:highlight w:val="none"/>
              </w:rPr>
              <w:t>沉降速度，m/s</w:t>
            </w:r>
          </w:p>
        </w:tc>
        <w:tc>
          <w:tcPr>
            <w:tcW w:w="578" w:type="pct"/>
            <w:tcBorders>
              <w:top w:val="single" w:color="000000" w:sz="4" w:space="0"/>
              <w:left w:val="single" w:color="000000" w:sz="4" w:space="0"/>
              <w:bottom w:val="single" w:color="000000" w:sz="4" w:space="0"/>
              <w:right w:val="single" w:color="000000" w:sz="4" w:space="0"/>
            </w:tcBorders>
            <w:vAlign w:val="top"/>
          </w:tcPr>
          <w:p w14:paraId="47B5C441">
            <w:pPr>
              <w:pStyle w:val="42"/>
              <w:bidi w:val="0"/>
              <w:rPr>
                <w:highlight w:val="none"/>
              </w:rPr>
            </w:pPr>
            <w:r>
              <w:rPr>
                <w:highlight w:val="none"/>
              </w:rPr>
              <w:t>0.003</w:t>
            </w:r>
          </w:p>
        </w:tc>
        <w:tc>
          <w:tcPr>
            <w:tcW w:w="580" w:type="pct"/>
            <w:tcBorders>
              <w:top w:val="single" w:color="000000" w:sz="4" w:space="0"/>
              <w:left w:val="single" w:color="000000" w:sz="4" w:space="0"/>
              <w:bottom w:val="single" w:color="000000" w:sz="4" w:space="0"/>
              <w:right w:val="single" w:color="000000" w:sz="4" w:space="0"/>
            </w:tcBorders>
            <w:vAlign w:val="top"/>
          </w:tcPr>
          <w:p w14:paraId="7E7C4FDC">
            <w:pPr>
              <w:pStyle w:val="42"/>
              <w:bidi w:val="0"/>
              <w:rPr>
                <w:highlight w:val="none"/>
              </w:rPr>
            </w:pPr>
            <w:r>
              <w:rPr>
                <w:highlight w:val="none"/>
              </w:rPr>
              <w:t>0.012</w:t>
            </w:r>
          </w:p>
        </w:tc>
        <w:tc>
          <w:tcPr>
            <w:tcW w:w="578" w:type="pct"/>
            <w:tcBorders>
              <w:top w:val="single" w:color="000000" w:sz="4" w:space="0"/>
              <w:left w:val="single" w:color="000000" w:sz="4" w:space="0"/>
              <w:bottom w:val="single" w:color="000000" w:sz="4" w:space="0"/>
              <w:right w:val="single" w:color="000000" w:sz="4" w:space="0"/>
            </w:tcBorders>
            <w:vAlign w:val="top"/>
          </w:tcPr>
          <w:p w14:paraId="2C8E390F">
            <w:pPr>
              <w:pStyle w:val="42"/>
              <w:bidi w:val="0"/>
              <w:rPr>
                <w:highlight w:val="none"/>
              </w:rPr>
            </w:pPr>
            <w:r>
              <w:rPr>
                <w:highlight w:val="none"/>
              </w:rPr>
              <w:t>0.027</w:t>
            </w:r>
          </w:p>
        </w:tc>
        <w:tc>
          <w:tcPr>
            <w:tcW w:w="578" w:type="pct"/>
            <w:tcBorders>
              <w:top w:val="single" w:color="000000" w:sz="4" w:space="0"/>
              <w:left w:val="single" w:color="000000" w:sz="4" w:space="0"/>
              <w:bottom w:val="single" w:color="000000" w:sz="4" w:space="0"/>
              <w:right w:val="single" w:color="000000" w:sz="4" w:space="0"/>
            </w:tcBorders>
            <w:vAlign w:val="top"/>
          </w:tcPr>
          <w:p w14:paraId="1412C0DE">
            <w:pPr>
              <w:pStyle w:val="42"/>
              <w:bidi w:val="0"/>
              <w:rPr>
                <w:highlight w:val="none"/>
              </w:rPr>
            </w:pPr>
            <w:r>
              <w:rPr>
                <w:highlight w:val="none"/>
              </w:rPr>
              <w:t>0.048</w:t>
            </w:r>
          </w:p>
        </w:tc>
        <w:tc>
          <w:tcPr>
            <w:tcW w:w="578" w:type="pct"/>
            <w:tcBorders>
              <w:top w:val="single" w:color="000000" w:sz="4" w:space="0"/>
              <w:left w:val="single" w:color="000000" w:sz="4" w:space="0"/>
              <w:bottom w:val="single" w:color="000000" w:sz="4" w:space="0"/>
              <w:right w:val="single" w:color="000000" w:sz="4" w:space="0"/>
            </w:tcBorders>
            <w:vAlign w:val="top"/>
          </w:tcPr>
          <w:p w14:paraId="04507186">
            <w:pPr>
              <w:pStyle w:val="42"/>
              <w:bidi w:val="0"/>
              <w:rPr>
                <w:highlight w:val="none"/>
              </w:rPr>
            </w:pPr>
            <w:r>
              <w:rPr>
                <w:highlight w:val="none"/>
              </w:rPr>
              <w:t>0.075</w:t>
            </w:r>
          </w:p>
        </w:tc>
        <w:tc>
          <w:tcPr>
            <w:tcW w:w="578" w:type="pct"/>
            <w:tcBorders>
              <w:top w:val="single" w:color="000000" w:sz="4" w:space="0"/>
              <w:left w:val="single" w:color="000000" w:sz="4" w:space="0"/>
              <w:bottom w:val="single" w:color="000000" w:sz="4" w:space="0"/>
              <w:right w:val="single" w:color="000000" w:sz="4" w:space="0"/>
            </w:tcBorders>
            <w:vAlign w:val="top"/>
          </w:tcPr>
          <w:p w14:paraId="081128DF">
            <w:pPr>
              <w:pStyle w:val="42"/>
              <w:bidi w:val="0"/>
              <w:rPr>
                <w:highlight w:val="none"/>
              </w:rPr>
            </w:pPr>
            <w:r>
              <w:rPr>
                <w:highlight w:val="none"/>
              </w:rPr>
              <w:t>0.108</w:t>
            </w:r>
          </w:p>
        </w:tc>
        <w:tc>
          <w:tcPr>
            <w:tcW w:w="581" w:type="pct"/>
            <w:tcBorders>
              <w:top w:val="single" w:color="000000" w:sz="4" w:space="0"/>
              <w:left w:val="single" w:color="000000" w:sz="4" w:space="0"/>
              <w:bottom w:val="single" w:color="000000" w:sz="4" w:space="0"/>
              <w:right w:val="single" w:color="000000" w:sz="12" w:space="0"/>
            </w:tcBorders>
            <w:vAlign w:val="top"/>
          </w:tcPr>
          <w:p w14:paraId="3FE41570">
            <w:pPr>
              <w:pStyle w:val="42"/>
              <w:bidi w:val="0"/>
              <w:rPr>
                <w:highlight w:val="none"/>
              </w:rPr>
            </w:pPr>
            <w:r>
              <w:rPr>
                <w:highlight w:val="none"/>
              </w:rPr>
              <w:t>0.147</w:t>
            </w:r>
          </w:p>
        </w:tc>
      </w:tr>
      <w:tr w14:paraId="29531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945" w:type="pct"/>
            <w:tcBorders>
              <w:top w:val="single" w:color="000000" w:sz="4" w:space="0"/>
              <w:left w:val="single" w:color="000000" w:sz="12" w:space="0"/>
              <w:bottom w:val="single" w:color="000000" w:sz="4" w:space="0"/>
              <w:right w:val="single" w:color="000000" w:sz="4" w:space="0"/>
            </w:tcBorders>
            <w:vAlign w:val="top"/>
          </w:tcPr>
          <w:p w14:paraId="5969E46C">
            <w:pPr>
              <w:pStyle w:val="42"/>
              <w:bidi w:val="0"/>
              <w:rPr>
                <w:highlight w:val="none"/>
              </w:rPr>
            </w:pPr>
            <w:r>
              <w:rPr>
                <w:highlight w:val="none"/>
              </w:rPr>
              <w:t>粒径，μm</w:t>
            </w:r>
          </w:p>
        </w:tc>
        <w:tc>
          <w:tcPr>
            <w:tcW w:w="578" w:type="pct"/>
            <w:tcBorders>
              <w:top w:val="single" w:color="000000" w:sz="4" w:space="0"/>
              <w:left w:val="single" w:color="000000" w:sz="4" w:space="0"/>
              <w:bottom w:val="single" w:color="000000" w:sz="4" w:space="0"/>
              <w:right w:val="single" w:color="000000" w:sz="4" w:space="0"/>
            </w:tcBorders>
            <w:vAlign w:val="top"/>
          </w:tcPr>
          <w:p w14:paraId="19FAD554">
            <w:pPr>
              <w:pStyle w:val="42"/>
              <w:bidi w:val="0"/>
              <w:rPr>
                <w:highlight w:val="none"/>
              </w:rPr>
            </w:pPr>
            <w:r>
              <w:rPr>
                <w:highlight w:val="none"/>
              </w:rPr>
              <w:t>80</w:t>
            </w:r>
          </w:p>
        </w:tc>
        <w:tc>
          <w:tcPr>
            <w:tcW w:w="580" w:type="pct"/>
            <w:tcBorders>
              <w:top w:val="single" w:color="000000" w:sz="4" w:space="0"/>
              <w:left w:val="single" w:color="000000" w:sz="4" w:space="0"/>
              <w:bottom w:val="single" w:color="000000" w:sz="4" w:space="0"/>
              <w:right w:val="single" w:color="000000" w:sz="4" w:space="0"/>
            </w:tcBorders>
            <w:vAlign w:val="top"/>
          </w:tcPr>
          <w:p w14:paraId="375916D2">
            <w:pPr>
              <w:pStyle w:val="42"/>
              <w:bidi w:val="0"/>
              <w:rPr>
                <w:highlight w:val="none"/>
              </w:rPr>
            </w:pPr>
            <w:r>
              <w:rPr>
                <w:highlight w:val="none"/>
              </w:rPr>
              <w:t>90</w:t>
            </w:r>
          </w:p>
        </w:tc>
        <w:tc>
          <w:tcPr>
            <w:tcW w:w="578" w:type="pct"/>
            <w:tcBorders>
              <w:top w:val="single" w:color="000000" w:sz="4" w:space="0"/>
              <w:left w:val="single" w:color="000000" w:sz="4" w:space="0"/>
              <w:bottom w:val="single" w:color="000000" w:sz="4" w:space="0"/>
              <w:right w:val="single" w:color="000000" w:sz="4" w:space="0"/>
            </w:tcBorders>
            <w:vAlign w:val="top"/>
          </w:tcPr>
          <w:p w14:paraId="6B69612F">
            <w:pPr>
              <w:pStyle w:val="42"/>
              <w:bidi w:val="0"/>
              <w:rPr>
                <w:highlight w:val="none"/>
              </w:rPr>
            </w:pPr>
            <w:r>
              <w:rPr>
                <w:highlight w:val="none"/>
              </w:rPr>
              <w:t>100</w:t>
            </w:r>
          </w:p>
        </w:tc>
        <w:tc>
          <w:tcPr>
            <w:tcW w:w="578" w:type="pct"/>
            <w:tcBorders>
              <w:top w:val="single" w:color="000000" w:sz="4" w:space="0"/>
              <w:left w:val="single" w:color="000000" w:sz="4" w:space="0"/>
              <w:bottom w:val="single" w:color="000000" w:sz="4" w:space="0"/>
              <w:right w:val="single" w:color="000000" w:sz="4" w:space="0"/>
            </w:tcBorders>
            <w:vAlign w:val="top"/>
          </w:tcPr>
          <w:p w14:paraId="6DAA0F77">
            <w:pPr>
              <w:pStyle w:val="42"/>
              <w:bidi w:val="0"/>
              <w:rPr>
                <w:highlight w:val="none"/>
              </w:rPr>
            </w:pPr>
            <w:r>
              <w:rPr>
                <w:highlight w:val="none"/>
              </w:rPr>
              <w:t>150</w:t>
            </w:r>
          </w:p>
        </w:tc>
        <w:tc>
          <w:tcPr>
            <w:tcW w:w="578" w:type="pct"/>
            <w:tcBorders>
              <w:top w:val="single" w:color="000000" w:sz="4" w:space="0"/>
              <w:left w:val="single" w:color="000000" w:sz="4" w:space="0"/>
              <w:bottom w:val="single" w:color="000000" w:sz="4" w:space="0"/>
              <w:right w:val="single" w:color="000000" w:sz="4" w:space="0"/>
            </w:tcBorders>
            <w:vAlign w:val="top"/>
          </w:tcPr>
          <w:p w14:paraId="26D7B9E4">
            <w:pPr>
              <w:pStyle w:val="42"/>
              <w:bidi w:val="0"/>
              <w:rPr>
                <w:highlight w:val="none"/>
              </w:rPr>
            </w:pPr>
            <w:r>
              <w:rPr>
                <w:highlight w:val="none"/>
              </w:rPr>
              <w:t>200</w:t>
            </w:r>
          </w:p>
        </w:tc>
        <w:tc>
          <w:tcPr>
            <w:tcW w:w="578" w:type="pct"/>
            <w:tcBorders>
              <w:top w:val="single" w:color="000000" w:sz="4" w:space="0"/>
              <w:left w:val="single" w:color="000000" w:sz="4" w:space="0"/>
              <w:bottom w:val="single" w:color="000000" w:sz="4" w:space="0"/>
              <w:right w:val="single" w:color="000000" w:sz="4" w:space="0"/>
            </w:tcBorders>
            <w:vAlign w:val="top"/>
          </w:tcPr>
          <w:p w14:paraId="47B7F5C4">
            <w:pPr>
              <w:pStyle w:val="42"/>
              <w:bidi w:val="0"/>
              <w:rPr>
                <w:highlight w:val="none"/>
              </w:rPr>
            </w:pPr>
            <w:r>
              <w:rPr>
                <w:highlight w:val="none"/>
              </w:rPr>
              <w:t>250</w:t>
            </w:r>
          </w:p>
        </w:tc>
        <w:tc>
          <w:tcPr>
            <w:tcW w:w="581" w:type="pct"/>
            <w:tcBorders>
              <w:top w:val="single" w:color="000000" w:sz="4" w:space="0"/>
              <w:left w:val="single" w:color="000000" w:sz="4" w:space="0"/>
              <w:bottom w:val="single" w:color="000000" w:sz="4" w:space="0"/>
              <w:right w:val="single" w:color="000000" w:sz="12" w:space="0"/>
            </w:tcBorders>
            <w:vAlign w:val="top"/>
          </w:tcPr>
          <w:p w14:paraId="1B00B3A6">
            <w:pPr>
              <w:pStyle w:val="42"/>
              <w:bidi w:val="0"/>
              <w:rPr>
                <w:highlight w:val="none"/>
              </w:rPr>
            </w:pPr>
            <w:r>
              <w:rPr>
                <w:highlight w:val="none"/>
              </w:rPr>
              <w:t>350</w:t>
            </w:r>
          </w:p>
        </w:tc>
      </w:tr>
      <w:tr w14:paraId="21547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945" w:type="pct"/>
            <w:tcBorders>
              <w:top w:val="single" w:color="000000" w:sz="4" w:space="0"/>
              <w:left w:val="single" w:color="000000" w:sz="12" w:space="0"/>
              <w:bottom w:val="single" w:color="000000" w:sz="4" w:space="0"/>
              <w:right w:val="single" w:color="000000" w:sz="4" w:space="0"/>
            </w:tcBorders>
            <w:vAlign w:val="top"/>
          </w:tcPr>
          <w:p w14:paraId="4AB18963">
            <w:pPr>
              <w:pStyle w:val="42"/>
              <w:bidi w:val="0"/>
              <w:rPr>
                <w:highlight w:val="none"/>
              </w:rPr>
            </w:pPr>
            <w:r>
              <w:rPr>
                <w:highlight w:val="none"/>
              </w:rPr>
              <w:t>沉降速度，m/s</w:t>
            </w:r>
          </w:p>
        </w:tc>
        <w:tc>
          <w:tcPr>
            <w:tcW w:w="578" w:type="pct"/>
            <w:tcBorders>
              <w:top w:val="single" w:color="000000" w:sz="4" w:space="0"/>
              <w:left w:val="single" w:color="000000" w:sz="4" w:space="0"/>
              <w:bottom w:val="single" w:color="000000" w:sz="4" w:space="0"/>
              <w:right w:val="single" w:color="000000" w:sz="4" w:space="0"/>
            </w:tcBorders>
            <w:vAlign w:val="top"/>
          </w:tcPr>
          <w:p w14:paraId="5CFE2A38">
            <w:pPr>
              <w:pStyle w:val="42"/>
              <w:bidi w:val="0"/>
              <w:rPr>
                <w:highlight w:val="none"/>
              </w:rPr>
            </w:pPr>
            <w:r>
              <w:rPr>
                <w:highlight w:val="none"/>
              </w:rPr>
              <w:t>0.158</w:t>
            </w:r>
          </w:p>
        </w:tc>
        <w:tc>
          <w:tcPr>
            <w:tcW w:w="580" w:type="pct"/>
            <w:tcBorders>
              <w:top w:val="single" w:color="000000" w:sz="4" w:space="0"/>
              <w:left w:val="single" w:color="000000" w:sz="4" w:space="0"/>
              <w:bottom w:val="single" w:color="000000" w:sz="4" w:space="0"/>
              <w:right w:val="single" w:color="000000" w:sz="4" w:space="0"/>
            </w:tcBorders>
            <w:vAlign w:val="top"/>
          </w:tcPr>
          <w:p w14:paraId="028D1A5E">
            <w:pPr>
              <w:pStyle w:val="42"/>
              <w:bidi w:val="0"/>
              <w:rPr>
                <w:highlight w:val="none"/>
              </w:rPr>
            </w:pPr>
            <w:r>
              <w:rPr>
                <w:highlight w:val="none"/>
              </w:rPr>
              <w:t>0.170</w:t>
            </w:r>
          </w:p>
        </w:tc>
        <w:tc>
          <w:tcPr>
            <w:tcW w:w="578" w:type="pct"/>
            <w:tcBorders>
              <w:top w:val="single" w:color="000000" w:sz="4" w:space="0"/>
              <w:left w:val="single" w:color="000000" w:sz="4" w:space="0"/>
              <w:bottom w:val="single" w:color="000000" w:sz="4" w:space="0"/>
              <w:right w:val="single" w:color="000000" w:sz="4" w:space="0"/>
            </w:tcBorders>
            <w:vAlign w:val="top"/>
          </w:tcPr>
          <w:p w14:paraId="48FFFA09">
            <w:pPr>
              <w:pStyle w:val="42"/>
              <w:bidi w:val="0"/>
              <w:rPr>
                <w:highlight w:val="none"/>
              </w:rPr>
            </w:pPr>
            <w:r>
              <w:rPr>
                <w:highlight w:val="none"/>
              </w:rPr>
              <w:t>0.182</w:t>
            </w:r>
          </w:p>
        </w:tc>
        <w:tc>
          <w:tcPr>
            <w:tcW w:w="578" w:type="pct"/>
            <w:tcBorders>
              <w:top w:val="single" w:color="000000" w:sz="4" w:space="0"/>
              <w:left w:val="single" w:color="000000" w:sz="4" w:space="0"/>
              <w:bottom w:val="single" w:color="000000" w:sz="4" w:space="0"/>
              <w:right w:val="single" w:color="000000" w:sz="4" w:space="0"/>
            </w:tcBorders>
            <w:vAlign w:val="top"/>
          </w:tcPr>
          <w:p w14:paraId="50826D4F">
            <w:pPr>
              <w:pStyle w:val="42"/>
              <w:bidi w:val="0"/>
              <w:rPr>
                <w:highlight w:val="none"/>
              </w:rPr>
            </w:pPr>
            <w:r>
              <w:rPr>
                <w:highlight w:val="none"/>
              </w:rPr>
              <w:t>0.239</w:t>
            </w:r>
          </w:p>
        </w:tc>
        <w:tc>
          <w:tcPr>
            <w:tcW w:w="578" w:type="pct"/>
            <w:tcBorders>
              <w:top w:val="single" w:color="000000" w:sz="4" w:space="0"/>
              <w:left w:val="single" w:color="000000" w:sz="4" w:space="0"/>
              <w:bottom w:val="single" w:color="000000" w:sz="4" w:space="0"/>
              <w:right w:val="single" w:color="000000" w:sz="4" w:space="0"/>
            </w:tcBorders>
            <w:vAlign w:val="top"/>
          </w:tcPr>
          <w:p w14:paraId="7C7BC3A7">
            <w:pPr>
              <w:pStyle w:val="42"/>
              <w:bidi w:val="0"/>
              <w:rPr>
                <w:highlight w:val="none"/>
              </w:rPr>
            </w:pPr>
            <w:r>
              <w:rPr>
                <w:highlight w:val="none"/>
              </w:rPr>
              <w:t>0.804</w:t>
            </w:r>
          </w:p>
        </w:tc>
        <w:tc>
          <w:tcPr>
            <w:tcW w:w="578" w:type="pct"/>
            <w:tcBorders>
              <w:top w:val="single" w:color="000000" w:sz="4" w:space="0"/>
              <w:left w:val="single" w:color="000000" w:sz="4" w:space="0"/>
              <w:bottom w:val="single" w:color="000000" w:sz="4" w:space="0"/>
              <w:right w:val="single" w:color="000000" w:sz="4" w:space="0"/>
            </w:tcBorders>
            <w:vAlign w:val="top"/>
          </w:tcPr>
          <w:p w14:paraId="3A23DF3F">
            <w:pPr>
              <w:pStyle w:val="42"/>
              <w:bidi w:val="0"/>
              <w:rPr>
                <w:highlight w:val="none"/>
              </w:rPr>
            </w:pPr>
            <w:r>
              <w:rPr>
                <w:highlight w:val="none"/>
              </w:rPr>
              <w:t>1.005</w:t>
            </w:r>
          </w:p>
        </w:tc>
        <w:tc>
          <w:tcPr>
            <w:tcW w:w="581" w:type="pct"/>
            <w:tcBorders>
              <w:top w:val="single" w:color="000000" w:sz="4" w:space="0"/>
              <w:left w:val="single" w:color="000000" w:sz="4" w:space="0"/>
              <w:bottom w:val="single" w:color="000000" w:sz="4" w:space="0"/>
              <w:right w:val="single" w:color="000000" w:sz="12" w:space="0"/>
            </w:tcBorders>
            <w:vAlign w:val="top"/>
          </w:tcPr>
          <w:p w14:paraId="5B204C08">
            <w:pPr>
              <w:pStyle w:val="42"/>
              <w:bidi w:val="0"/>
              <w:rPr>
                <w:highlight w:val="none"/>
              </w:rPr>
            </w:pPr>
            <w:r>
              <w:rPr>
                <w:highlight w:val="none"/>
              </w:rPr>
              <w:t>1.829</w:t>
            </w:r>
          </w:p>
        </w:tc>
      </w:tr>
      <w:tr w14:paraId="5DA55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945" w:type="pct"/>
            <w:tcBorders>
              <w:top w:val="single" w:color="000000" w:sz="4" w:space="0"/>
              <w:left w:val="single" w:color="000000" w:sz="12" w:space="0"/>
              <w:bottom w:val="single" w:color="000000" w:sz="4" w:space="0"/>
              <w:right w:val="single" w:color="000000" w:sz="4" w:space="0"/>
            </w:tcBorders>
            <w:vAlign w:val="top"/>
          </w:tcPr>
          <w:p w14:paraId="66628E4D">
            <w:pPr>
              <w:pStyle w:val="42"/>
              <w:bidi w:val="0"/>
              <w:rPr>
                <w:highlight w:val="none"/>
              </w:rPr>
            </w:pPr>
            <w:r>
              <w:rPr>
                <w:highlight w:val="none"/>
              </w:rPr>
              <w:t>粒径，μm</w:t>
            </w:r>
          </w:p>
        </w:tc>
        <w:tc>
          <w:tcPr>
            <w:tcW w:w="578" w:type="pct"/>
            <w:tcBorders>
              <w:top w:val="single" w:color="000000" w:sz="4" w:space="0"/>
              <w:left w:val="single" w:color="000000" w:sz="4" w:space="0"/>
              <w:bottom w:val="single" w:color="000000" w:sz="4" w:space="0"/>
              <w:right w:val="single" w:color="000000" w:sz="4" w:space="0"/>
            </w:tcBorders>
            <w:vAlign w:val="top"/>
          </w:tcPr>
          <w:p w14:paraId="71CEAE5B">
            <w:pPr>
              <w:pStyle w:val="42"/>
              <w:bidi w:val="0"/>
              <w:rPr>
                <w:highlight w:val="none"/>
              </w:rPr>
            </w:pPr>
            <w:r>
              <w:rPr>
                <w:highlight w:val="none"/>
              </w:rPr>
              <w:t>450</w:t>
            </w:r>
          </w:p>
        </w:tc>
        <w:tc>
          <w:tcPr>
            <w:tcW w:w="580" w:type="pct"/>
            <w:tcBorders>
              <w:top w:val="single" w:color="000000" w:sz="4" w:space="0"/>
              <w:left w:val="single" w:color="000000" w:sz="4" w:space="0"/>
              <w:bottom w:val="single" w:color="000000" w:sz="4" w:space="0"/>
              <w:right w:val="single" w:color="000000" w:sz="4" w:space="0"/>
            </w:tcBorders>
            <w:vAlign w:val="top"/>
          </w:tcPr>
          <w:p w14:paraId="41316AE8">
            <w:pPr>
              <w:pStyle w:val="42"/>
              <w:bidi w:val="0"/>
              <w:rPr>
                <w:highlight w:val="none"/>
              </w:rPr>
            </w:pPr>
            <w:r>
              <w:rPr>
                <w:highlight w:val="none"/>
              </w:rPr>
              <w:t>550</w:t>
            </w:r>
          </w:p>
        </w:tc>
        <w:tc>
          <w:tcPr>
            <w:tcW w:w="578" w:type="pct"/>
            <w:tcBorders>
              <w:top w:val="single" w:color="000000" w:sz="4" w:space="0"/>
              <w:left w:val="single" w:color="000000" w:sz="4" w:space="0"/>
              <w:bottom w:val="single" w:color="000000" w:sz="4" w:space="0"/>
              <w:right w:val="single" w:color="000000" w:sz="4" w:space="0"/>
            </w:tcBorders>
            <w:vAlign w:val="top"/>
          </w:tcPr>
          <w:p w14:paraId="6711F174">
            <w:pPr>
              <w:pStyle w:val="42"/>
              <w:bidi w:val="0"/>
              <w:rPr>
                <w:highlight w:val="none"/>
              </w:rPr>
            </w:pPr>
            <w:r>
              <w:rPr>
                <w:highlight w:val="none"/>
              </w:rPr>
              <w:t>650</w:t>
            </w:r>
          </w:p>
        </w:tc>
        <w:tc>
          <w:tcPr>
            <w:tcW w:w="578" w:type="pct"/>
            <w:tcBorders>
              <w:top w:val="single" w:color="000000" w:sz="4" w:space="0"/>
              <w:left w:val="single" w:color="000000" w:sz="4" w:space="0"/>
              <w:bottom w:val="single" w:color="000000" w:sz="4" w:space="0"/>
              <w:right w:val="single" w:color="000000" w:sz="4" w:space="0"/>
            </w:tcBorders>
            <w:vAlign w:val="top"/>
          </w:tcPr>
          <w:p w14:paraId="08621E51">
            <w:pPr>
              <w:pStyle w:val="42"/>
              <w:bidi w:val="0"/>
              <w:rPr>
                <w:highlight w:val="none"/>
              </w:rPr>
            </w:pPr>
            <w:r>
              <w:rPr>
                <w:highlight w:val="none"/>
              </w:rPr>
              <w:t>750</w:t>
            </w:r>
          </w:p>
        </w:tc>
        <w:tc>
          <w:tcPr>
            <w:tcW w:w="578" w:type="pct"/>
            <w:tcBorders>
              <w:top w:val="single" w:color="000000" w:sz="4" w:space="0"/>
              <w:left w:val="single" w:color="000000" w:sz="4" w:space="0"/>
              <w:bottom w:val="single" w:color="000000" w:sz="4" w:space="0"/>
              <w:right w:val="single" w:color="000000" w:sz="4" w:space="0"/>
            </w:tcBorders>
            <w:vAlign w:val="top"/>
          </w:tcPr>
          <w:p w14:paraId="07696249">
            <w:pPr>
              <w:pStyle w:val="42"/>
              <w:bidi w:val="0"/>
              <w:rPr>
                <w:highlight w:val="none"/>
              </w:rPr>
            </w:pPr>
            <w:r>
              <w:rPr>
                <w:highlight w:val="none"/>
              </w:rPr>
              <w:t>850</w:t>
            </w:r>
          </w:p>
        </w:tc>
        <w:tc>
          <w:tcPr>
            <w:tcW w:w="578" w:type="pct"/>
            <w:tcBorders>
              <w:top w:val="single" w:color="000000" w:sz="4" w:space="0"/>
              <w:left w:val="single" w:color="000000" w:sz="4" w:space="0"/>
              <w:bottom w:val="single" w:color="000000" w:sz="4" w:space="0"/>
              <w:right w:val="single" w:color="000000" w:sz="4" w:space="0"/>
            </w:tcBorders>
            <w:vAlign w:val="top"/>
          </w:tcPr>
          <w:p w14:paraId="1228630D">
            <w:pPr>
              <w:pStyle w:val="42"/>
              <w:bidi w:val="0"/>
              <w:rPr>
                <w:highlight w:val="none"/>
              </w:rPr>
            </w:pPr>
            <w:r>
              <w:rPr>
                <w:highlight w:val="none"/>
              </w:rPr>
              <w:t>950</w:t>
            </w:r>
          </w:p>
        </w:tc>
        <w:tc>
          <w:tcPr>
            <w:tcW w:w="581" w:type="pct"/>
            <w:tcBorders>
              <w:top w:val="single" w:color="000000" w:sz="4" w:space="0"/>
              <w:left w:val="single" w:color="000000" w:sz="4" w:space="0"/>
              <w:bottom w:val="single" w:color="000000" w:sz="4" w:space="0"/>
              <w:right w:val="single" w:color="000000" w:sz="12" w:space="0"/>
            </w:tcBorders>
            <w:vAlign w:val="top"/>
          </w:tcPr>
          <w:p w14:paraId="350FDD5C">
            <w:pPr>
              <w:pStyle w:val="42"/>
              <w:bidi w:val="0"/>
              <w:rPr>
                <w:highlight w:val="none"/>
              </w:rPr>
            </w:pPr>
            <w:r>
              <w:rPr>
                <w:highlight w:val="none"/>
              </w:rPr>
              <w:t>1050</w:t>
            </w:r>
          </w:p>
        </w:tc>
      </w:tr>
      <w:tr w14:paraId="7398A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945" w:type="pct"/>
            <w:tcBorders>
              <w:top w:val="single" w:color="000000" w:sz="4" w:space="0"/>
              <w:left w:val="single" w:color="000000" w:sz="12" w:space="0"/>
              <w:bottom w:val="single" w:color="000000" w:sz="12" w:space="0"/>
              <w:right w:val="single" w:color="000000" w:sz="4" w:space="0"/>
            </w:tcBorders>
            <w:vAlign w:val="top"/>
          </w:tcPr>
          <w:p w14:paraId="3E1AEDCC">
            <w:pPr>
              <w:pStyle w:val="42"/>
              <w:bidi w:val="0"/>
              <w:rPr>
                <w:highlight w:val="none"/>
              </w:rPr>
            </w:pPr>
            <w:r>
              <w:rPr>
                <w:highlight w:val="none"/>
              </w:rPr>
              <w:t>沉降速度，m/s</w:t>
            </w:r>
          </w:p>
        </w:tc>
        <w:tc>
          <w:tcPr>
            <w:tcW w:w="578" w:type="pct"/>
            <w:tcBorders>
              <w:top w:val="single" w:color="000000" w:sz="4" w:space="0"/>
              <w:left w:val="single" w:color="000000" w:sz="4" w:space="0"/>
              <w:bottom w:val="single" w:color="000000" w:sz="12" w:space="0"/>
              <w:right w:val="single" w:color="000000" w:sz="4" w:space="0"/>
            </w:tcBorders>
            <w:vAlign w:val="top"/>
          </w:tcPr>
          <w:p w14:paraId="22F906CB">
            <w:pPr>
              <w:pStyle w:val="42"/>
              <w:bidi w:val="0"/>
              <w:rPr>
                <w:highlight w:val="none"/>
              </w:rPr>
            </w:pPr>
            <w:r>
              <w:rPr>
                <w:highlight w:val="none"/>
              </w:rPr>
              <w:t>2.211</w:t>
            </w:r>
          </w:p>
        </w:tc>
        <w:tc>
          <w:tcPr>
            <w:tcW w:w="580" w:type="pct"/>
            <w:tcBorders>
              <w:top w:val="single" w:color="000000" w:sz="4" w:space="0"/>
              <w:left w:val="single" w:color="000000" w:sz="4" w:space="0"/>
              <w:bottom w:val="single" w:color="000000" w:sz="12" w:space="0"/>
              <w:right w:val="single" w:color="000000" w:sz="4" w:space="0"/>
            </w:tcBorders>
            <w:vAlign w:val="top"/>
          </w:tcPr>
          <w:p w14:paraId="49741C82">
            <w:pPr>
              <w:pStyle w:val="42"/>
              <w:bidi w:val="0"/>
              <w:rPr>
                <w:highlight w:val="none"/>
              </w:rPr>
            </w:pPr>
            <w:r>
              <w:rPr>
                <w:highlight w:val="none"/>
              </w:rPr>
              <w:t>2.614</w:t>
            </w:r>
          </w:p>
        </w:tc>
        <w:tc>
          <w:tcPr>
            <w:tcW w:w="578" w:type="pct"/>
            <w:tcBorders>
              <w:top w:val="single" w:color="000000" w:sz="4" w:space="0"/>
              <w:left w:val="single" w:color="000000" w:sz="4" w:space="0"/>
              <w:bottom w:val="single" w:color="000000" w:sz="12" w:space="0"/>
              <w:right w:val="single" w:color="000000" w:sz="4" w:space="0"/>
            </w:tcBorders>
            <w:vAlign w:val="top"/>
          </w:tcPr>
          <w:p w14:paraId="2E3B0B51">
            <w:pPr>
              <w:pStyle w:val="42"/>
              <w:bidi w:val="0"/>
              <w:rPr>
                <w:highlight w:val="none"/>
              </w:rPr>
            </w:pPr>
            <w:r>
              <w:rPr>
                <w:highlight w:val="none"/>
              </w:rPr>
              <w:t>3.016</w:t>
            </w:r>
          </w:p>
        </w:tc>
        <w:tc>
          <w:tcPr>
            <w:tcW w:w="578" w:type="pct"/>
            <w:tcBorders>
              <w:top w:val="single" w:color="000000" w:sz="4" w:space="0"/>
              <w:left w:val="single" w:color="000000" w:sz="4" w:space="0"/>
              <w:bottom w:val="single" w:color="000000" w:sz="12" w:space="0"/>
              <w:right w:val="single" w:color="000000" w:sz="4" w:space="0"/>
            </w:tcBorders>
            <w:vAlign w:val="top"/>
          </w:tcPr>
          <w:p w14:paraId="47C0319D">
            <w:pPr>
              <w:pStyle w:val="42"/>
              <w:bidi w:val="0"/>
              <w:rPr>
                <w:highlight w:val="none"/>
              </w:rPr>
            </w:pPr>
            <w:r>
              <w:rPr>
                <w:highlight w:val="none"/>
              </w:rPr>
              <w:t>3.418</w:t>
            </w:r>
          </w:p>
        </w:tc>
        <w:tc>
          <w:tcPr>
            <w:tcW w:w="578" w:type="pct"/>
            <w:tcBorders>
              <w:top w:val="single" w:color="000000" w:sz="4" w:space="0"/>
              <w:left w:val="single" w:color="000000" w:sz="4" w:space="0"/>
              <w:bottom w:val="single" w:color="000000" w:sz="12" w:space="0"/>
              <w:right w:val="single" w:color="000000" w:sz="4" w:space="0"/>
            </w:tcBorders>
            <w:vAlign w:val="top"/>
          </w:tcPr>
          <w:p w14:paraId="6BDA7A3A">
            <w:pPr>
              <w:pStyle w:val="42"/>
              <w:bidi w:val="0"/>
              <w:rPr>
                <w:highlight w:val="none"/>
              </w:rPr>
            </w:pPr>
            <w:r>
              <w:rPr>
                <w:highlight w:val="none"/>
              </w:rPr>
              <w:t>3.820</w:t>
            </w:r>
          </w:p>
        </w:tc>
        <w:tc>
          <w:tcPr>
            <w:tcW w:w="578" w:type="pct"/>
            <w:tcBorders>
              <w:top w:val="single" w:color="000000" w:sz="4" w:space="0"/>
              <w:left w:val="single" w:color="000000" w:sz="4" w:space="0"/>
              <w:bottom w:val="single" w:color="000000" w:sz="12" w:space="0"/>
              <w:right w:val="single" w:color="000000" w:sz="4" w:space="0"/>
            </w:tcBorders>
            <w:vAlign w:val="top"/>
          </w:tcPr>
          <w:p w14:paraId="02D52923">
            <w:pPr>
              <w:pStyle w:val="42"/>
              <w:bidi w:val="0"/>
              <w:rPr>
                <w:highlight w:val="none"/>
              </w:rPr>
            </w:pPr>
            <w:r>
              <w:rPr>
                <w:highlight w:val="none"/>
              </w:rPr>
              <w:t>4.222</w:t>
            </w:r>
          </w:p>
        </w:tc>
        <w:tc>
          <w:tcPr>
            <w:tcW w:w="581" w:type="pct"/>
            <w:tcBorders>
              <w:top w:val="single" w:color="000000" w:sz="4" w:space="0"/>
              <w:left w:val="single" w:color="000000" w:sz="4" w:space="0"/>
              <w:bottom w:val="single" w:color="000000" w:sz="12" w:space="0"/>
              <w:right w:val="single" w:color="000000" w:sz="12" w:space="0"/>
            </w:tcBorders>
            <w:vAlign w:val="top"/>
          </w:tcPr>
          <w:p w14:paraId="1EDF6755">
            <w:pPr>
              <w:pStyle w:val="42"/>
              <w:bidi w:val="0"/>
              <w:rPr>
                <w:highlight w:val="none"/>
              </w:rPr>
            </w:pPr>
            <w:r>
              <w:rPr>
                <w:highlight w:val="none"/>
              </w:rPr>
              <w:t>4.624</w:t>
            </w:r>
          </w:p>
        </w:tc>
      </w:tr>
    </w:tbl>
    <w:p w14:paraId="5EEF38B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（2）施工扬尘防治措施</w:t>
      </w:r>
    </w:p>
    <w:p w14:paraId="4341902E">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本项目施工阶段，伴随着土方的挖掘、装卸和运输等施工活动，其扬尘对周边环境有一定影响。为减缓施工扬尘对周边影响，建设单位应在施工中采取以下措施：</w:t>
      </w:r>
    </w:p>
    <w:p w14:paraId="1E9E1386">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1）基础开挖、取土堆存、回填、运输流程设计应布局合理，运距最小，存填土 量计算精确，大风及雨季停止施工。</w:t>
      </w:r>
    </w:p>
    <w:p w14:paraId="7D492156">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2）水泥、砂石等建筑材料根据当天施工情况定量运输，避免大量建筑材料堆放在厂区内。</w:t>
      </w:r>
    </w:p>
    <w:p w14:paraId="78CB1964">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3）运输道路均需清洁、湿润，防止扬尘，并加强管理，使运输车辆尽可能减缓行驶速度。</w:t>
      </w:r>
    </w:p>
    <w:p w14:paraId="453E8D8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4）建筑物四周设置防尘布网，防尘网顶端高于施工作业面2米以上；裸露的施工地闲置时间在3个月以内的，应采取防尘布网覆盖，并加强管理确保覆盖到位；限定物料堆放场地；施工现场易飞扬的细颗粒散体材料应密闭存放；</w:t>
      </w:r>
    </w:p>
    <w:p w14:paraId="45B033BE">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5）使用商品混凝土。</w:t>
      </w:r>
    </w:p>
    <w:p w14:paraId="203ABF87">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6）运输车辆必须实行封闭式运输，避免在运输过程中的抛洒现象。</w:t>
      </w:r>
    </w:p>
    <w:p w14:paraId="2D1672A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7）建材堆放点要相对集中，并采取一定的防尘措施，抑制扬尘量。</w:t>
      </w:r>
    </w:p>
    <w:p w14:paraId="0CC6D58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8）在施工场地出口放置防尘垫，对运输车辆现场设置洗车场，用清水洗车体和轮胎。</w:t>
      </w:r>
    </w:p>
    <w:p w14:paraId="510AD26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通过采取以上措施后，项目施工期扬尘对大气环境影响较小。</w:t>
      </w:r>
    </w:p>
    <w:p w14:paraId="709CC294">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eastAsia" w:ascii="Times New Roman" w:hAnsi="Times New Roman" w:cs="Times New Roman"/>
          <w:kern w:val="2"/>
          <w:sz w:val="24"/>
          <w:szCs w:val="24"/>
          <w:highlight w:val="none"/>
          <w:lang w:val="en-US" w:eastAsia="zh-CN"/>
        </w:rPr>
        <w:t>2、</w:t>
      </w:r>
      <w:r>
        <w:rPr>
          <w:rFonts w:hint="default" w:ascii="Times New Roman" w:hAnsi="Times New Roman" w:cs="Times New Roman"/>
          <w:kern w:val="2"/>
          <w:sz w:val="24"/>
          <w:szCs w:val="24"/>
          <w:highlight w:val="none"/>
        </w:rPr>
        <w:t>施工车辆和机械尾气排放影响分析</w:t>
      </w:r>
    </w:p>
    <w:p w14:paraId="4BD1961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施工车辆（工程车）、施工机械（挖掘机）等一般均采用柴油为燃料，产生CO、HC、</w:t>
      </w:r>
      <w:r>
        <w:rPr>
          <w:rFonts w:hint="eastAsia" w:ascii="Times New Roman" w:hAnsi="Times New Roman" w:cs="Times New Roman"/>
          <w:kern w:val="2"/>
          <w:sz w:val="24"/>
          <w:szCs w:val="24"/>
          <w:highlight w:val="none"/>
          <w:lang w:eastAsia="zh-CN"/>
        </w:rPr>
        <w:t>NO</w:t>
      </w:r>
      <w:r>
        <w:rPr>
          <w:rFonts w:hint="eastAsia" w:ascii="Times New Roman" w:hAnsi="Times New Roman" w:cs="Times New Roman"/>
          <w:kern w:val="2"/>
          <w:sz w:val="24"/>
          <w:szCs w:val="24"/>
          <w:highlight w:val="none"/>
          <w:vertAlign w:val="subscript"/>
          <w:lang w:eastAsia="zh-CN"/>
        </w:rPr>
        <w:t>X</w:t>
      </w:r>
      <w:r>
        <w:rPr>
          <w:rFonts w:hint="default" w:ascii="Times New Roman" w:hAnsi="Times New Roman" w:cs="Times New Roman"/>
          <w:kern w:val="2"/>
          <w:sz w:val="24"/>
          <w:szCs w:val="24"/>
          <w:highlight w:val="none"/>
        </w:rPr>
        <w:t>等尾气污染物。</w:t>
      </w:r>
    </w:p>
    <w:p w14:paraId="619684F6">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尾气污染产生情况主要决定因素为燃料油品种、机械性能、作业方式和风力等，其中机械性能、作业方式因素的影响最大。运输车辆和部分施工机械在怠速、减速和加速的时候产生的污染最严重。经调查，在一般气象条件下，平均风速为2.5m/s时，建筑工地的</w:t>
      </w:r>
      <w:r>
        <w:rPr>
          <w:rFonts w:hint="eastAsia" w:ascii="Times New Roman" w:hAnsi="Times New Roman" w:cs="Times New Roman"/>
          <w:kern w:val="2"/>
          <w:sz w:val="24"/>
          <w:szCs w:val="24"/>
          <w:highlight w:val="none"/>
          <w:lang w:eastAsia="zh-CN"/>
        </w:rPr>
        <w:t>NO</w:t>
      </w:r>
      <w:r>
        <w:rPr>
          <w:rFonts w:hint="eastAsia" w:ascii="Times New Roman" w:hAnsi="Times New Roman" w:cs="Times New Roman"/>
          <w:kern w:val="2"/>
          <w:sz w:val="24"/>
          <w:szCs w:val="24"/>
          <w:highlight w:val="none"/>
          <w:vertAlign w:val="subscript"/>
          <w:lang w:eastAsia="zh-CN"/>
        </w:rPr>
        <w:t>X</w:t>
      </w:r>
      <w:r>
        <w:rPr>
          <w:rFonts w:hint="default" w:ascii="Times New Roman" w:hAnsi="Times New Roman" w:cs="Times New Roman"/>
          <w:kern w:val="2"/>
          <w:sz w:val="24"/>
          <w:szCs w:val="24"/>
          <w:highlight w:val="none"/>
        </w:rPr>
        <w:t>、CO和烃类物的浓度为其上风向的5.4-6.0倍，其</w:t>
      </w:r>
      <w:r>
        <w:rPr>
          <w:rFonts w:hint="eastAsia" w:ascii="Times New Roman" w:hAnsi="Times New Roman" w:cs="Times New Roman"/>
          <w:kern w:val="2"/>
          <w:sz w:val="24"/>
          <w:szCs w:val="24"/>
          <w:highlight w:val="none"/>
          <w:lang w:eastAsia="zh-CN"/>
        </w:rPr>
        <w:t>NO</w:t>
      </w:r>
      <w:r>
        <w:rPr>
          <w:rFonts w:hint="eastAsia" w:ascii="Times New Roman" w:hAnsi="Times New Roman" w:cs="Times New Roman"/>
          <w:kern w:val="2"/>
          <w:sz w:val="24"/>
          <w:szCs w:val="24"/>
          <w:highlight w:val="none"/>
          <w:vertAlign w:val="subscript"/>
          <w:lang w:eastAsia="zh-CN"/>
        </w:rPr>
        <w:t>X</w:t>
      </w:r>
      <w:r>
        <w:rPr>
          <w:rFonts w:hint="default" w:ascii="Times New Roman" w:hAnsi="Times New Roman" w:cs="Times New Roman"/>
          <w:kern w:val="2"/>
          <w:sz w:val="24"/>
          <w:szCs w:val="24"/>
          <w:highlight w:val="none"/>
        </w:rPr>
        <w:t>、CO和烃类物影响范围在下风向可达100m，影响范围内</w:t>
      </w:r>
      <w:r>
        <w:rPr>
          <w:rFonts w:hint="eastAsia" w:ascii="Times New Roman" w:hAnsi="Times New Roman" w:cs="Times New Roman"/>
          <w:kern w:val="2"/>
          <w:sz w:val="24"/>
          <w:szCs w:val="24"/>
          <w:highlight w:val="none"/>
          <w:lang w:eastAsia="zh-CN"/>
        </w:rPr>
        <w:t>NO</w:t>
      </w:r>
      <w:r>
        <w:rPr>
          <w:rFonts w:hint="eastAsia" w:ascii="Times New Roman" w:hAnsi="Times New Roman" w:cs="Times New Roman"/>
          <w:kern w:val="2"/>
          <w:sz w:val="24"/>
          <w:szCs w:val="24"/>
          <w:highlight w:val="none"/>
          <w:vertAlign w:val="subscript"/>
          <w:lang w:eastAsia="zh-CN"/>
        </w:rPr>
        <w:t>X</w:t>
      </w:r>
      <w:r>
        <w:rPr>
          <w:rFonts w:hint="default" w:ascii="Times New Roman" w:hAnsi="Times New Roman" w:cs="Times New Roman"/>
          <w:kern w:val="2"/>
          <w:sz w:val="24"/>
          <w:szCs w:val="24"/>
          <w:highlight w:val="none"/>
        </w:rPr>
        <w:t>、CO和烃类物的浓度可达0.216mg/m³、10.03mg/m³和1.05mg/m³。</w:t>
      </w:r>
    </w:p>
    <w:p w14:paraId="4EEF21EE">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施工单位应加强对施工机械、车辆的维修保养，禁止以柴油为燃料的施工机械超负荷工作，减少烟尘和颗粒物的排放。</w:t>
      </w:r>
    </w:p>
    <w:p w14:paraId="4F1D471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kern w:val="2"/>
          <w:sz w:val="24"/>
          <w:szCs w:val="24"/>
          <w:highlight w:val="none"/>
        </w:rPr>
      </w:pPr>
      <w:r>
        <w:rPr>
          <w:rFonts w:hint="default" w:ascii="Times New Roman" w:hAnsi="Times New Roman" w:cs="Times New Roman"/>
          <w:kern w:val="2"/>
          <w:sz w:val="24"/>
          <w:szCs w:val="24"/>
          <w:highlight w:val="none"/>
        </w:rPr>
        <w:t>综上所述，项目施工期废气采取相应措施后对周边环境影响较小。</w:t>
      </w:r>
    </w:p>
    <w:p w14:paraId="3AA88603">
      <w:pPr>
        <w:pStyle w:val="6"/>
        <w:bidi w:val="0"/>
        <w:rPr>
          <w:rFonts w:hint="default"/>
        </w:rPr>
      </w:pPr>
      <w:r>
        <w:rPr>
          <w:rFonts w:hint="default"/>
        </w:rPr>
        <w:t>施工期声环境影响分析</w:t>
      </w:r>
    </w:p>
    <w:p w14:paraId="78651AD5">
      <w:pPr>
        <w:rPr>
          <w:rFonts w:hint="default"/>
        </w:rPr>
      </w:pPr>
      <w:r>
        <w:rPr>
          <w:rFonts w:hint="default"/>
        </w:rPr>
        <w:t>施工期的噪声主要来源于施工现场的各类机械设备和物料运输的交通噪声。施工场地噪声主要是施工机械设备噪声，物料装卸碰撞噪声及施工人员的活动噪声。施工噪声对周围地区声环境的影响，采用《建筑施工场界环境噪声排放标准》（GB12523-2011）进行评价，即昼间70dB（A），夜间55dB（A）。</w:t>
      </w:r>
    </w:p>
    <w:p w14:paraId="463901F1">
      <w:pPr>
        <w:rPr>
          <w:rFonts w:hint="default"/>
        </w:rPr>
      </w:pPr>
      <w:r>
        <w:rPr>
          <w:rFonts w:hint="eastAsia"/>
          <w:lang w:val="en-US" w:eastAsia="zh-CN"/>
        </w:rPr>
        <w:t>1、</w:t>
      </w:r>
      <w:r>
        <w:rPr>
          <w:rFonts w:hint="default"/>
        </w:rPr>
        <w:t>预测模式</w:t>
      </w:r>
    </w:p>
    <w:p w14:paraId="43FEA490">
      <w:pPr>
        <w:rPr>
          <w:rFonts w:hint="default"/>
        </w:rPr>
      </w:pPr>
      <w:r>
        <w:rPr>
          <w:rFonts w:hint="default"/>
        </w:rPr>
        <w:t>根据类比调查，本项目施工阶段的主要噪声源及其声级见下表：</w:t>
      </w:r>
    </w:p>
    <w:p w14:paraId="2AF53B4A">
      <w:pPr>
        <w:pStyle w:val="39"/>
        <w:bidi w:val="0"/>
        <w:rPr>
          <w:rFonts w:hint="default"/>
        </w:rPr>
      </w:pPr>
      <w:r>
        <w:rPr>
          <w:rFonts w:hint="default"/>
        </w:rPr>
        <w:t xml:space="preserve">表6.1-2 </w:t>
      </w:r>
      <w:r>
        <w:rPr>
          <w:rFonts w:hint="eastAsia"/>
          <w:lang w:val="en-US" w:eastAsia="zh-CN"/>
        </w:rPr>
        <w:t xml:space="preserve"> </w:t>
      </w:r>
      <w:r>
        <w:rPr>
          <w:rFonts w:hint="default"/>
        </w:rPr>
        <w:t>各施工阶段的主要噪声源及其声级  单位：dB（A）</w:t>
      </w:r>
    </w:p>
    <w:tbl>
      <w:tblPr>
        <w:tblStyle w:val="51"/>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03"/>
        <w:gridCol w:w="1386"/>
        <w:gridCol w:w="1414"/>
        <w:gridCol w:w="1386"/>
        <w:gridCol w:w="1386"/>
        <w:gridCol w:w="1419"/>
      </w:tblGrid>
      <w:tr w14:paraId="172378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835" w:type="pct"/>
            <w:tcBorders>
              <w:tl2br w:val="nil"/>
              <w:tr2bl w:val="nil"/>
            </w:tcBorders>
            <w:vAlign w:val="center"/>
          </w:tcPr>
          <w:p w14:paraId="550D9E99">
            <w:pPr>
              <w:pStyle w:val="42"/>
              <w:bidi w:val="0"/>
              <w:jc w:val="center"/>
            </w:pPr>
            <w:r>
              <w:t>施工阶段</w:t>
            </w:r>
          </w:p>
        </w:tc>
        <w:tc>
          <w:tcPr>
            <w:tcW w:w="825" w:type="pct"/>
            <w:tcBorders>
              <w:tl2br w:val="nil"/>
              <w:tr2bl w:val="nil"/>
            </w:tcBorders>
            <w:vAlign w:val="center"/>
          </w:tcPr>
          <w:p w14:paraId="5BE3BFF9">
            <w:pPr>
              <w:pStyle w:val="42"/>
              <w:bidi w:val="0"/>
              <w:jc w:val="center"/>
            </w:pPr>
            <w:r>
              <w:t>噪声源</w:t>
            </w:r>
          </w:p>
        </w:tc>
        <w:tc>
          <w:tcPr>
            <w:tcW w:w="842" w:type="pct"/>
            <w:tcBorders>
              <w:tl2br w:val="nil"/>
              <w:tr2bl w:val="nil"/>
            </w:tcBorders>
            <w:vAlign w:val="center"/>
          </w:tcPr>
          <w:p w14:paraId="46EF8D50">
            <w:pPr>
              <w:pStyle w:val="42"/>
              <w:bidi w:val="0"/>
              <w:jc w:val="center"/>
            </w:pPr>
            <w:r>
              <w:t>声级/dB（A）</w:t>
            </w:r>
          </w:p>
        </w:tc>
        <w:tc>
          <w:tcPr>
            <w:tcW w:w="825" w:type="pct"/>
            <w:tcBorders>
              <w:tl2br w:val="nil"/>
              <w:tr2bl w:val="nil"/>
            </w:tcBorders>
            <w:vAlign w:val="center"/>
          </w:tcPr>
          <w:p w14:paraId="28D5D011">
            <w:pPr>
              <w:pStyle w:val="42"/>
              <w:bidi w:val="0"/>
              <w:jc w:val="center"/>
            </w:pPr>
            <w:r>
              <w:t>施工阶段</w:t>
            </w:r>
          </w:p>
        </w:tc>
        <w:tc>
          <w:tcPr>
            <w:tcW w:w="825" w:type="pct"/>
            <w:tcBorders>
              <w:tl2br w:val="nil"/>
              <w:tr2bl w:val="nil"/>
            </w:tcBorders>
            <w:vAlign w:val="center"/>
          </w:tcPr>
          <w:p w14:paraId="1B8E3E8E">
            <w:pPr>
              <w:pStyle w:val="42"/>
              <w:bidi w:val="0"/>
              <w:jc w:val="center"/>
            </w:pPr>
            <w:r>
              <w:t>噪声源</w:t>
            </w:r>
          </w:p>
        </w:tc>
        <w:tc>
          <w:tcPr>
            <w:tcW w:w="845" w:type="pct"/>
            <w:tcBorders>
              <w:tl2br w:val="nil"/>
              <w:tr2bl w:val="nil"/>
            </w:tcBorders>
            <w:vAlign w:val="center"/>
          </w:tcPr>
          <w:p w14:paraId="57EFF87D">
            <w:pPr>
              <w:pStyle w:val="42"/>
              <w:bidi w:val="0"/>
              <w:jc w:val="center"/>
            </w:pPr>
            <w:r>
              <w:t>声级/dB（A）</w:t>
            </w:r>
          </w:p>
        </w:tc>
      </w:tr>
      <w:tr w14:paraId="76C19B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835" w:type="pct"/>
            <w:vMerge w:val="restart"/>
            <w:tcBorders>
              <w:tl2br w:val="nil"/>
              <w:tr2bl w:val="nil"/>
            </w:tcBorders>
            <w:vAlign w:val="center"/>
          </w:tcPr>
          <w:p w14:paraId="1F3BA989">
            <w:pPr>
              <w:pStyle w:val="42"/>
              <w:bidi w:val="0"/>
              <w:jc w:val="center"/>
            </w:pPr>
            <w:r>
              <w:t>土石方阶段</w:t>
            </w:r>
          </w:p>
        </w:tc>
        <w:tc>
          <w:tcPr>
            <w:tcW w:w="825" w:type="pct"/>
            <w:tcBorders>
              <w:tl2br w:val="nil"/>
              <w:tr2bl w:val="nil"/>
            </w:tcBorders>
            <w:vAlign w:val="center"/>
          </w:tcPr>
          <w:p w14:paraId="1B07B4D2">
            <w:pPr>
              <w:pStyle w:val="42"/>
              <w:bidi w:val="0"/>
              <w:jc w:val="center"/>
            </w:pPr>
            <w:r>
              <w:t>挖土机</w:t>
            </w:r>
          </w:p>
        </w:tc>
        <w:tc>
          <w:tcPr>
            <w:tcW w:w="842" w:type="pct"/>
            <w:tcBorders>
              <w:tl2br w:val="nil"/>
              <w:tr2bl w:val="nil"/>
            </w:tcBorders>
            <w:vAlign w:val="center"/>
          </w:tcPr>
          <w:p w14:paraId="1F9E3E63">
            <w:pPr>
              <w:pStyle w:val="42"/>
              <w:bidi w:val="0"/>
              <w:jc w:val="center"/>
            </w:pPr>
            <w:r>
              <w:t>78-95</w:t>
            </w:r>
          </w:p>
        </w:tc>
        <w:tc>
          <w:tcPr>
            <w:tcW w:w="825" w:type="pct"/>
            <w:vMerge w:val="restart"/>
            <w:tcBorders>
              <w:tl2br w:val="nil"/>
              <w:tr2bl w:val="nil"/>
            </w:tcBorders>
            <w:vAlign w:val="center"/>
          </w:tcPr>
          <w:p w14:paraId="52AC88CE">
            <w:pPr>
              <w:pStyle w:val="42"/>
              <w:bidi w:val="0"/>
              <w:jc w:val="center"/>
            </w:pPr>
            <w:r>
              <w:t>结构阶段</w:t>
            </w:r>
          </w:p>
        </w:tc>
        <w:tc>
          <w:tcPr>
            <w:tcW w:w="825" w:type="pct"/>
            <w:tcBorders>
              <w:tl2br w:val="nil"/>
              <w:tr2bl w:val="nil"/>
            </w:tcBorders>
            <w:vAlign w:val="center"/>
          </w:tcPr>
          <w:p w14:paraId="67E6D13F">
            <w:pPr>
              <w:pStyle w:val="42"/>
              <w:bidi w:val="0"/>
              <w:jc w:val="center"/>
            </w:pPr>
            <w:r>
              <w:t>混凝土搅拌机</w:t>
            </w:r>
          </w:p>
        </w:tc>
        <w:tc>
          <w:tcPr>
            <w:tcW w:w="845" w:type="pct"/>
            <w:tcBorders>
              <w:tl2br w:val="nil"/>
              <w:tr2bl w:val="nil"/>
            </w:tcBorders>
            <w:vAlign w:val="center"/>
          </w:tcPr>
          <w:p w14:paraId="4265BC4B">
            <w:pPr>
              <w:pStyle w:val="42"/>
              <w:bidi w:val="0"/>
              <w:jc w:val="center"/>
            </w:pPr>
            <w:r>
              <w:t>100-110</w:t>
            </w:r>
          </w:p>
        </w:tc>
      </w:tr>
      <w:tr w14:paraId="77687F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835" w:type="pct"/>
            <w:vMerge w:val="continue"/>
            <w:tcBorders>
              <w:tl2br w:val="nil"/>
              <w:tr2bl w:val="nil"/>
            </w:tcBorders>
            <w:vAlign w:val="center"/>
          </w:tcPr>
          <w:p w14:paraId="3938706A">
            <w:pPr>
              <w:pStyle w:val="42"/>
              <w:bidi w:val="0"/>
              <w:jc w:val="center"/>
            </w:pPr>
          </w:p>
        </w:tc>
        <w:tc>
          <w:tcPr>
            <w:tcW w:w="825" w:type="pct"/>
            <w:tcBorders>
              <w:tl2br w:val="nil"/>
              <w:tr2bl w:val="nil"/>
            </w:tcBorders>
            <w:vAlign w:val="center"/>
          </w:tcPr>
          <w:p w14:paraId="79A0B81F">
            <w:pPr>
              <w:pStyle w:val="42"/>
              <w:bidi w:val="0"/>
              <w:jc w:val="center"/>
            </w:pPr>
            <w:r>
              <w:t>钻孔机</w:t>
            </w:r>
          </w:p>
        </w:tc>
        <w:tc>
          <w:tcPr>
            <w:tcW w:w="842" w:type="pct"/>
            <w:tcBorders>
              <w:tl2br w:val="nil"/>
              <w:tr2bl w:val="nil"/>
            </w:tcBorders>
            <w:vAlign w:val="center"/>
          </w:tcPr>
          <w:p w14:paraId="0F4FFBDD">
            <w:pPr>
              <w:pStyle w:val="42"/>
              <w:bidi w:val="0"/>
              <w:jc w:val="center"/>
            </w:pPr>
            <w:r>
              <w:t>105</w:t>
            </w:r>
          </w:p>
        </w:tc>
        <w:tc>
          <w:tcPr>
            <w:tcW w:w="825" w:type="pct"/>
            <w:vMerge w:val="continue"/>
            <w:tcBorders>
              <w:tl2br w:val="nil"/>
              <w:tr2bl w:val="nil"/>
            </w:tcBorders>
            <w:vAlign w:val="center"/>
          </w:tcPr>
          <w:p w14:paraId="5379032E">
            <w:pPr>
              <w:pStyle w:val="42"/>
              <w:bidi w:val="0"/>
              <w:jc w:val="center"/>
            </w:pPr>
          </w:p>
        </w:tc>
        <w:tc>
          <w:tcPr>
            <w:tcW w:w="825" w:type="pct"/>
            <w:tcBorders>
              <w:tl2br w:val="nil"/>
              <w:tr2bl w:val="nil"/>
            </w:tcBorders>
            <w:vAlign w:val="center"/>
          </w:tcPr>
          <w:p w14:paraId="07295E4B">
            <w:pPr>
              <w:pStyle w:val="42"/>
              <w:bidi w:val="0"/>
              <w:jc w:val="center"/>
            </w:pPr>
            <w:r>
              <w:t>混凝土输送泵</w:t>
            </w:r>
          </w:p>
        </w:tc>
        <w:tc>
          <w:tcPr>
            <w:tcW w:w="845" w:type="pct"/>
            <w:tcBorders>
              <w:tl2br w:val="nil"/>
              <w:tr2bl w:val="nil"/>
            </w:tcBorders>
            <w:vAlign w:val="center"/>
          </w:tcPr>
          <w:p w14:paraId="733CCA3E">
            <w:pPr>
              <w:pStyle w:val="42"/>
              <w:bidi w:val="0"/>
              <w:jc w:val="center"/>
            </w:pPr>
            <w:r>
              <w:t>90-100</w:t>
            </w:r>
          </w:p>
        </w:tc>
      </w:tr>
      <w:tr w14:paraId="782077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835" w:type="pct"/>
            <w:vMerge w:val="continue"/>
            <w:tcBorders>
              <w:tl2br w:val="nil"/>
              <w:tr2bl w:val="nil"/>
            </w:tcBorders>
            <w:vAlign w:val="center"/>
          </w:tcPr>
          <w:p w14:paraId="37D9CD69">
            <w:pPr>
              <w:pStyle w:val="42"/>
              <w:bidi w:val="0"/>
              <w:jc w:val="center"/>
            </w:pPr>
          </w:p>
        </w:tc>
        <w:tc>
          <w:tcPr>
            <w:tcW w:w="825" w:type="pct"/>
            <w:tcBorders>
              <w:tl2br w:val="nil"/>
              <w:tr2bl w:val="nil"/>
            </w:tcBorders>
            <w:vAlign w:val="center"/>
          </w:tcPr>
          <w:p w14:paraId="30FA93AE">
            <w:pPr>
              <w:pStyle w:val="42"/>
              <w:bidi w:val="0"/>
              <w:jc w:val="center"/>
            </w:pPr>
            <w:r>
              <w:t>空压机</w:t>
            </w:r>
          </w:p>
        </w:tc>
        <w:tc>
          <w:tcPr>
            <w:tcW w:w="842" w:type="pct"/>
            <w:tcBorders>
              <w:tl2br w:val="nil"/>
              <w:tr2bl w:val="nil"/>
            </w:tcBorders>
            <w:vAlign w:val="center"/>
          </w:tcPr>
          <w:p w14:paraId="07DCECF0">
            <w:pPr>
              <w:pStyle w:val="42"/>
              <w:bidi w:val="0"/>
              <w:jc w:val="center"/>
            </w:pPr>
            <w:r>
              <w:t>75-85</w:t>
            </w:r>
          </w:p>
        </w:tc>
        <w:tc>
          <w:tcPr>
            <w:tcW w:w="825" w:type="pct"/>
            <w:vMerge w:val="continue"/>
            <w:tcBorders>
              <w:tl2br w:val="nil"/>
              <w:tr2bl w:val="nil"/>
            </w:tcBorders>
            <w:vAlign w:val="center"/>
          </w:tcPr>
          <w:p w14:paraId="36CFFA2A">
            <w:pPr>
              <w:pStyle w:val="42"/>
              <w:bidi w:val="0"/>
              <w:jc w:val="center"/>
            </w:pPr>
          </w:p>
        </w:tc>
        <w:tc>
          <w:tcPr>
            <w:tcW w:w="825" w:type="pct"/>
            <w:tcBorders>
              <w:tl2br w:val="nil"/>
              <w:tr2bl w:val="nil"/>
            </w:tcBorders>
            <w:vAlign w:val="center"/>
          </w:tcPr>
          <w:p w14:paraId="613E407B">
            <w:pPr>
              <w:pStyle w:val="42"/>
              <w:bidi w:val="0"/>
              <w:jc w:val="center"/>
            </w:pPr>
            <w:r>
              <w:t>振捣器</w:t>
            </w:r>
          </w:p>
        </w:tc>
        <w:tc>
          <w:tcPr>
            <w:tcW w:w="845" w:type="pct"/>
            <w:tcBorders>
              <w:tl2br w:val="nil"/>
              <w:tr2bl w:val="nil"/>
            </w:tcBorders>
            <w:vAlign w:val="center"/>
          </w:tcPr>
          <w:p w14:paraId="7A2D9D89">
            <w:pPr>
              <w:pStyle w:val="42"/>
              <w:bidi w:val="0"/>
              <w:jc w:val="center"/>
            </w:pPr>
            <w:r>
              <w:t>100-105</w:t>
            </w:r>
          </w:p>
        </w:tc>
      </w:tr>
      <w:tr w14:paraId="56C033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835" w:type="pct"/>
            <w:vMerge w:val="continue"/>
            <w:tcBorders>
              <w:tl2br w:val="nil"/>
              <w:tr2bl w:val="nil"/>
            </w:tcBorders>
            <w:vAlign w:val="center"/>
          </w:tcPr>
          <w:p w14:paraId="28975479">
            <w:pPr>
              <w:pStyle w:val="42"/>
              <w:bidi w:val="0"/>
              <w:jc w:val="center"/>
            </w:pPr>
          </w:p>
        </w:tc>
        <w:tc>
          <w:tcPr>
            <w:tcW w:w="825" w:type="pct"/>
            <w:tcBorders>
              <w:tl2br w:val="nil"/>
              <w:tr2bl w:val="nil"/>
            </w:tcBorders>
            <w:vAlign w:val="center"/>
          </w:tcPr>
          <w:p w14:paraId="00ECB3DC">
            <w:pPr>
              <w:pStyle w:val="42"/>
              <w:bidi w:val="0"/>
              <w:jc w:val="center"/>
            </w:pPr>
            <w:r>
              <w:t>打桩机</w:t>
            </w:r>
          </w:p>
        </w:tc>
        <w:tc>
          <w:tcPr>
            <w:tcW w:w="842" w:type="pct"/>
            <w:tcBorders>
              <w:tl2br w:val="nil"/>
              <w:tr2bl w:val="nil"/>
            </w:tcBorders>
            <w:vAlign w:val="center"/>
          </w:tcPr>
          <w:p w14:paraId="4924A603">
            <w:pPr>
              <w:pStyle w:val="42"/>
              <w:bidi w:val="0"/>
              <w:jc w:val="center"/>
            </w:pPr>
            <w:r>
              <w:t>95-100</w:t>
            </w:r>
          </w:p>
        </w:tc>
        <w:tc>
          <w:tcPr>
            <w:tcW w:w="825" w:type="pct"/>
            <w:vMerge w:val="continue"/>
            <w:tcBorders>
              <w:tl2br w:val="nil"/>
              <w:tr2bl w:val="nil"/>
            </w:tcBorders>
            <w:vAlign w:val="center"/>
          </w:tcPr>
          <w:p w14:paraId="16DBD5B3">
            <w:pPr>
              <w:pStyle w:val="42"/>
              <w:bidi w:val="0"/>
              <w:jc w:val="center"/>
            </w:pPr>
          </w:p>
        </w:tc>
        <w:tc>
          <w:tcPr>
            <w:tcW w:w="825" w:type="pct"/>
            <w:tcBorders>
              <w:tl2br w:val="nil"/>
              <w:tr2bl w:val="nil"/>
            </w:tcBorders>
            <w:vAlign w:val="center"/>
          </w:tcPr>
          <w:p w14:paraId="3C38E69E">
            <w:pPr>
              <w:pStyle w:val="42"/>
              <w:bidi w:val="0"/>
              <w:jc w:val="center"/>
            </w:pPr>
            <w:r>
              <w:t>电锯</w:t>
            </w:r>
          </w:p>
        </w:tc>
        <w:tc>
          <w:tcPr>
            <w:tcW w:w="845" w:type="pct"/>
            <w:tcBorders>
              <w:tl2br w:val="nil"/>
              <w:tr2bl w:val="nil"/>
            </w:tcBorders>
            <w:vAlign w:val="center"/>
          </w:tcPr>
          <w:p w14:paraId="71A3A168">
            <w:pPr>
              <w:pStyle w:val="42"/>
              <w:bidi w:val="0"/>
              <w:jc w:val="center"/>
            </w:pPr>
            <w:r>
              <w:t>100-110</w:t>
            </w:r>
          </w:p>
        </w:tc>
      </w:tr>
      <w:tr w14:paraId="6057E2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835" w:type="pct"/>
            <w:vMerge w:val="restart"/>
            <w:tcBorders>
              <w:tl2br w:val="nil"/>
              <w:tr2bl w:val="nil"/>
            </w:tcBorders>
            <w:vAlign w:val="center"/>
          </w:tcPr>
          <w:p w14:paraId="4228F3BB">
            <w:pPr>
              <w:pStyle w:val="42"/>
              <w:bidi w:val="0"/>
              <w:jc w:val="center"/>
            </w:pPr>
            <w:r>
              <w:t>装修、安装阶 段</w:t>
            </w:r>
          </w:p>
        </w:tc>
        <w:tc>
          <w:tcPr>
            <w:tcW w:w="825" w:type="pct"/>
            <w:tcBorders>
              <w:tl2br w:val="nil"/>
              <w:tr2bl w:val="nil"/>
            </w:tcBorders>
            <w:vAlign w:val="center"/>
          </w:tcPr>
          <w:p w14:paraId="34D0BF48">
            <w:pPr>
              <w:pStyle w:val="42"/>
              <w:bidi w:val="0"/>
              <w:jc w:val="center"/>
            </w:pPr>
            <w:r>
              <w:t>电钻</w:t>
            </w:r>
          </w:p>
        </w:tc>
        <w:tc>
          <w:tcPr>
            <w:tcW w:w="842" w:type="pct"/>
            <w:tcBorders>
              <w:tl2br w:val="nil"/>
              <w:tr2bl w:val="nil"/>
            </w:tcBorders>
            <w:vAlign w:val="center"/>
          </w:tcPr>
          <w:p w14:paraId="3583F34E">
            <w:pPr>
              <w:pStyle w:val="42"/>
              <w:bidi w:val="0"/>
              <w:jc w:val="center"/>
            </w:pPr>
            <w:r>
              <w:t>100-115</w:t>
            </w:r>
          </w:p>
        </w:tc>
        <w:tc>
          <w:tcPr>
            <w:tcW w:w="825" w:type="pct"/>
            <w:vMerge w:val="continue"/>
            <w:tcBorders>
              <w:tl2br w:val="nil"/>
              <w:tr2bl w:val="nil"/>
            </w:tcBorders>
            <w:vAlign w:val="center"/>
          </w:tcPr>
          <w:p w14:paraId="56FFE8D1">
            <w:pPr>
              <w:pStyle w:val="42"/>
              <w:bidi w:val="0"/>
              <w:jc w:val="center"/>
            </w:pPr>
          </w:p>
        </w:tc>
        <w:tc>
          <w:tcPr>
            <w:tcW w:w="825" w:type="pct"/>
            <w:tcBorders>
              <w:tl2br w:val="nil"/>
              <w:tr2bl w:val="nil"/>
            </w:tcBorders>
            <w:vAlign w:val="center"/>
          </w:tcPr>
          <w:p w14:paraId="2623213B">
            <w:pPr>
              <w:pStyle w:val="42"/>
              <w:bidi w:val="0"/>
              <w:jc w:val="center"/>
            </w:pPr>
            <w:r>
              <w:t>电焊机</w:t>
            </w:r>
          </w:p>
        </w:tc>
        <w:tc>
          <w:tcPr>
            <w:tcW w:w="845" w:type="pct"/>
            <w:tcBorders>
              <w:tl2br w:val="nil"/>
              <w:tr2bl w:val="nil"/>
            </w:tcBorders>
            <w:vAlign w:val="center"/>
          </w:tcPr>
          <w:p w14:paraId="2E4881F7">
            <w:pPr>
              <w:pStyle w:val="42"/>
              <w:bidi w:val="0"/>
              <w:jc w:val="center"/>
            </w:pPr>
            <w:r>
              <w:t>90-95</w:t>
            </w:r>
          </w:p>
        </w:tc>
      </w:tr>
      <w:tr w14:paraId="1A4F69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835" w:type="pct"/>
            <w:vMerge w:val="continue"/>
            <w:tcBorders>
              <w:tl2br w:val="nil"/>
              <w:tr2bl w:val="nil"/>
            </w:tcBorders>
            <w:vAlign w:val="center"/>
          </w:tcPr>
          <w:p w14:paraId="33A6DD8E">
            <w:pPr>
              <w:pStyle w:val="42"/>
              <w:bidi w:val="0"/>
              <w:jc w:val="center"/>
            </w:pPr>
          </w:p>
        </w:tc>
        <w:tc>
          <w:tcPr>
            <w:tcW w:w="825" w:type="pct"/>
            <w:tcBorders>
              <w:tl2br w:val="nil"/>
              <w:tr2bl w:val="nil"/>
            </w:tcBorders>
            <w:vAlign w:val="center"/>
          </w:tcPr>
          <w:p w14:paraId="168BD29E">
            <w:pPr>
              <w:pStyle w:val="42"/>
              <w:bidi w:val="0"/>
              <w:jc w:val="center"/>
            </w:pPr>
            <w:r>
              <w:t>电锤</w:t>
            </w:r>
          </w:p>
        </w:tc>
        <w:tc>
          <w:tcPr>
            <w:tcW w:w="842" w:type="pct"/>
            <w:tcBorders>
              <w:tl2br w:val="nil"/>
              <w:tr2bl w:val="nil"/>
            </w:tcBorders>
            <w:vAlign w:val="center"/>
          </w:tcPr>
          <w:p w14:paraId="64B80389">
            <w:pPr>
              <w:pStyle w:val="42"/>
              <w:bidi w:val="0"/>
              <w:jc w:val="center"/>
            </w:pPr>
            <w:r>
              <w:t>100-105</w:t>
            </w:r>
          </w:p>
        </w:tc>
        <w:tc>
          <w:tcPr>
            <w:tcW w:w="825" w:type="pct"/>
            <w:vMerge w:val="continue"/>
            <w:tcBorders>
              <w:tl2br w:val="nil"/>
              <w:tr2bl w:val="nil"/>
            </w:tcBorders>
            <w:vAlign w:val="center"/>
          </w:tcPr>
          <w:p w14:paraId="2602B5AD">
            <w:pPr>
              <w:pStyle w:val="42"/>
              <w:bidi w:val="0"/>
              <w:jc w:val="center"/>
            </w:pPr>
          </w:p>
        </w:tc>
        <w:tc>
          <w:tcPr>
            <w:tcW w:w="825" w:type="pct"/>
            <w:tcBorders>
              <w:tl2br w:val="nil"/>
              <w:tr2bl w:val="nil"/>
            </w:tcBorders>
            <w:vAlign w:val="center"/>
          </w:tcPr>
          <w:p w14:paraId="34328C45">
            <w:pPr>
              <w:pStyle w:val="42"/>
              <w:bidi w:val="0"/>
              <w:jc w:val="center"/>
            </w:pPr>
            <w:r>
              <w:t>空压机</w:t>
            </w:r>
          </w:p>
        </w:tc>
        <w:tc>
          <w:tcPr>
            <w:tcW w:w="845" w:type="pct"/>
            <w:tcBorders>
              <w:tl2br w:val="nil"/>
              <w:tr2bl w:val="nil"/>
            </w:tcBorders>
            <w:vAlign w:val="center"/>
          </w:tcPr>
          <w:p w14:paraId="248E60C0">
            <w:pPr>
              <w:pStyle w:val="42"/>
              <w:bidi w:val="0"/>
              <w:jc w:val="center"/>
            </w:pPr>
            <w:r>
              <w:t>75-85</w:t>
            </w:r>
          </w:p>
        </w:tc>
      </w:tr>
      <w:tr w14:paraId="2BF892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835" w:type="pct"/>
            <w:vMerge w:val="continue"/>
            <w:tcBorders>
              <w:tl2br w:val="nil"/>
              <w:tr2bl w:val="nil"/>
            </w:tcBorders>
            <w:vAlign w:val="center"/>
          </w:tcPr>
          <w:p w14:paraId="4ABCD950">
            <w:pPr>
              <w:pStyle w:val="42"/>
              <w:bidi w:val="0"/>
              <w:jc w:val="center"/>
            </w:pPr>
          </w:p>
        </w:tc>
        <w:tc>
          <w:tcPr>
            <w:tcW w:w="825" w:type="pct"/>
            <w:tcBorders>
              <w:tl2br w:val="nil"/>
              <w:tr2bl w:val="nil"/>
            </w:tcBorders>
            <w:vAlign w:val="center"/>
          </w:tcPr>
          <w:p w14:paraId="144C798A">
            <w:pPr>
              <w:pStyle w:val="42"/>
              <w:bidi w:val="0"/>
              <w:jc w:val="center"/>
            </w:pPr>
            <w:r>
              <w:t>无齿锯</w:t>
            </w:r>
          </w:p>
        </w:tc>
        <w:tc>
          <w:tcPr>
            <w:tcW w:w="842" w:type="pct"/>
            <w:tcBorders>
              <w:tl2br w:val="nil"/>
              <w:tr2bl w:val="nil"/>
            </w:tcBorders>
            <w:vAlign w:val="center"/>
          </w:tcPr>
          <w:p w14:paraId="30FA27E9">
            <w:pPr>
              <w:pStyle w:val="42"/>
              <w:bidi w:val="0"/>
              <w:jc w:val="center"/>
            </w:pPr>
            <w:r>
              <w:t>105</w:t>
            </w:r>
          </w:p>
        </w:tc>
        <w:tc>
          <w:tcPr>
            <w:tcW w:w="825" w:type="pct"/>
            <w:vMerge w:val="continue"/>
            <w:tcBorders>
              <w:tl2br w:val="nil"/>
              <w:tr2bl w:val="nil"/>
            </w:tcBorders>
            <w:vAlign w:val="center"/>
          </w:tcPr>
          <w:p w14:paraId="24EBB8DD">
            <w:pPr>
              <w:pStyle w:val="42"/>
              <w:bidi w:val="0"/>
              <w:jc w:val="center"/>
            </w:pPr>
          </w:p>
        </w:tc>
        <w:tc>
          <w:tcPr>
            <w:tcW w:w="825" w:type="pct"/>
            <w:tcBorders>
              <w:tl2br w:val="nil"/>
              <w:tr2bl w:val="nil"/>
            </w:tcBorders>
            <w:vAlign w:val="center"/>
          </w:tcPr>
          <w:p w14:paraId="03721A15">
            <w:pPr>
              <w:pStyle w:val="42"/>
              <w:bidi w:val="0"/>
              <w:jc w:val="center"/>
            </w:pPr>
          </w:p>
        </w:tc>
        <w:tc>
          <w:tcPr>
            <w:tcW w:w="845" w:type="pct"/>
            <w:tcBorders>
              <w:tl2br w:val="nil"/>
              <w:tr2bl w:val="nil"/>
            </w:tcBorders>
            <w:vAlign w:val="center"/>
          </w:tcPr>
          <w:p w14:paraId="7AE7C2B9">
            <w:pPr>
              <w:pStyle w:val="42"/>
              <w:bidi w:val="0"/>
              <w:jc w:val="center"/>
            </w:pPr>
          </w:p>
        </w:tc>
      </w:tr>
    </w:tbl>
    <w:p w14:paraId="787E3CFC">
      <w:pPr>
        <w:rPr>
          <w:rFonts w:hint="default"/>
        </w:rPr>
      </w:pPr>
      <w:r>
        <w:rPr>
          <w:rFonts w:hint="default"/>
        </w:rPr>
        <w:t>由于本工程非特殊工程，不需特殊的施工机械，施工过程产生的噪声主要属于中低频噪声，因此在预测其影响时可单独考虑其扩散衰减，即预模型可选用：</w:t>
      </w:r>
    </w:p>
    <w:p w14:paraId="383573B1">
      <w:pPr>
        <w:jc w:val="center"/>
        <w:rPr>
          <w:rFonts w:hint="default"/>
        </w:rPr>
      </w:pPr>
      <w:r>
        <w:rPr>
          <w:rFonts w:hint="default"/>
        </w:rPr>
        <w:t>L2=L1-20lgr2/r1      （r2&gt;r1）</w:t>
      </w:r>
    </w:p>
    <w:p w14:paraId="2AC9B2F9">
      <w:pPr>
        <w:rPr>
          <w:rFonts w:hint="default"/>
        </w:rPr>
      </w:pPr>
      <w:r>
        <w:rPr>
          <w:rFonts w:hint="default"/>
        </w:rPr>
        <w:t>式中：L1、L2分别为距声源r1、r2处的等效A声级，dBA；</w:t>
      </w:r>
    </w:p>
    <w:p w14:paraId="16846D85">
      <w:pPr>
        <w:rPr>
          <w:rFonts w:hint="default"/>
        </w:rPr>
      </w:pPr>
      <w:r>
        <w:rPr>
          <w:rFonts w:hint="default"/>
        </w:rPr>
        <w:t>r1、r2为接受点距声源的距离（m）。</w:t>
      </w:r>
    </w:p>
    <w:p w14:paraId="77A28C79">
      <w:pPr>
        <w:rPr>
          <w:rFonts w:hint="default"/>
        </w:rPr>
      </w:pPr>
      <w:r>
        <w:rPr>
          <w:rFonts w:hint="default"/>
        </w:rPr>
        <w:t>经计算，施工设备噪声达标排放距离详见下表：</w:t>
      </w:r>
    </w:p>
    <w:p w14:paraId="6402F187">
      <w:pPr>
        <w:pStyle w:val="39"/>
        <w:bidi w:val="0"/>
        <w:rPr>
          <w:rFonts w:hint="default"/>
        </w:rPr>
      </w:pPr>
      <w:r>
        <w:rPr>
          <w:rFonts w:hint="default"/>
        </w:rPr>
        <w:t>表 6.1-3      施工设备噪声排放达标距离</w:t>
      </w:r>
    </w:p>
    <w:tbl>
      <w:tblPr>
        <w:tblStyle w:val="51"/>
        <w:tblW w:w="898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8"/>
        <w:gridCol w:w="1253"/>
        <w:gridCol w:w="763"/>
        <w:gridCol w:w="628"/>
        <w:gridCol w:w="731"/>
        <w:gridCol w:w="730"/>
        <w:gridCol w:w="731"/>
        <w:gridCol w:w="731"/>
        <w:gridCol w:w="731"/>
        <w:gridCol w:w="735"/>
        <w:gridCol w:w="731"/>
        <w:gridCol w:w="679"/>
      </w:tblGrid>
      <w:tr w14:paraId="0A84A4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538" w:type="dxa"/>
            <w:vMerge w:val="restart"/>
            <w:tcBorders>
              <w:top w:val="single" w:color="000000" w:sz="12" w:space="0"/>
              <w:left w:val="single" w:color="000000" w:sz="12" w:space="0"/>
              <w:bottom w:val="single" w:color="000000" w:sz="4" w:space="0"/>
              <w:right w:val="single" w:color="000000" w:sz="4" w:space="0"/>
            </w:tcBorders>
            <w:vAlign w:val="center"/>
          </w:tcPr>
          <w:p w14:paraId="23296A86">
            <w:pPr>
              <w:pStyle w:val="42"/>
              <w:bidi w:val="0"/>
              <w:jc w:val="center"/>
            </w:pPr>
            <w:r>
              <w:t>序号</w:t>
            </w:r>
          </w:p>
        </w:tc>
        <w:tc>
          <w:tcPr>
            <w:tcW w:w="1253" w:type="dxa"/>
            <w:vMerge w:val="restart"/>
            <w:tcBorders>
              <w:top w:val="single" w:color="000000" w:sz="12" w:space="0"/>
              <w:left w:val="single" w:color="000000" w:sz="4" w:space="0"/>
              <w:bottom w:val="single" w:color="000000" w:sz="4" w:space="0"/>
              <w:right w:val="single" w:color="000000" w:sz="4" w:space="0"/>
            </w:tcBorders>
            <w:vAlign w:val="center"/>
          </w:tcPr>
          <w:p w14:paraId="1191326D">
            <w:pPr>
              <w:pStyle w:val="42"/>
              <w:bidi w:val="0"/>
              <w:jc w:val="center"/>
            </w:pPr>
            <w:r>
              <w:t>设备名称</w:t>
            </w:r>
          </w:p>
        </w:tc>
        <w:tc>
          <w:tcPr>
            <w:tcW w:w="763" w:type="dxa"/>
            <w:vMerge w:val="restart"/>
            <w:tcBorders>
              <w:top w:val="single" w:color="000000" w:sz="12" w:space="0"/>
              <w:left w:val="single" w:color="000000" w:sz="4" w:space="0"/>
              <w:bottom w:val="single" w:color="000000" w:sz="4" w:space="0"/>
              <w:right w:val="single" w:color="000000" w:sz="4" w:space="0"/>
            </w:tcBorders>
            <w:vAlign w:val="center"/>
          </w:tcPr>
          <w:p w14:paraId="19F19F83">
            <w:pPr>
              <w:pStyle w:val="42"/>
              <w:bidi w:val="0"/>
              <w:jc w:val="center"/>
            </w:pPr>
            <w:r>
              <w:t>声功能等级</w:t>
            </w:r>
          </w:p>
        </w:tc>
        <w:tc>
          <w:tcPr>
            <w:tcW w:w="6427" w:type="dxa"/>
            <w:gridSpan w:val="9"/>
            <w:tcBorders>
              <w:top w:val="single" w:color="000000" w:sz="12" w:space="0"/>
              <w:left w:val="single" w:color="000000" w:sz="4" w:space="0"/>
              <w:bottom w:val="single" w:color="000000" w:sz="4" w:space="0"/>
              <w:right w:val="single" w:color="000000" w:sz="12" w:space="0"/>
            </w:tcBorders>
            <w:vAlign w:val="center"/>
          </w:tcPr>
          <w:p w14:paraId="3BF120DD">
            <w:pPr>
              <w:pStyle w:val="42"/>
              <w:bidi w:val="0"/>
              <w:jc w:val="center"/>
            </w:pPr>
            <w:r>
              <w:t>不同距离（m）处的噪声值</w:t>
            </w:r>
          </w:p>
        </w:tc>
      </w:tr>
      <w:tr w14:paraId="7C068D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538" w:type="dxa"/>
            <w:vMerge w:val="continue"/>
            <w:tcBorders>
              <w:top w:val="single" w:color="000000" w:sz="4" w:space="0"/>
              <w:left w:val="single" w:color="000000" w:sz="12" w:space="0"/>
              <w:bottom w:val="single" w:color="000000" w:sz="4" w:space="0"/>
              <w:right w:val="single" w:color="000000" w:sz="4" w:space="0"/>
            </w:tcBorders>
            <w:vAlign w:val="center"/>
          </w:tcPr>
          <w:p w14:paraId="03A722BB">
            <w:pPr>
              <w:pStyle w:val="42"/>
              <w:bidi w:val="0"/>
              <w:jc w:val="center"/>
            </w:pPr>
          </w:p>
        </w:tc>
        <w:tc>
          <w:tcPr>
            <w:tcW w:w="1253" w:type="dxa"/>
            <w:vMerge w:val="continue"/>
            <w:tcBorders>
              <w:top w:val="single" w:color="000000" w:sz="4" w:space="0"/>
              <w:left w:val="single" w:color="000000" w:sz="4" w:space="0"/>
              <w:bottom w:val="single" w:color="000000" w:sz="4" w:space="0"/>
              <w:right w:val="single" w:color="000000" w:sz="4" w:space="0"/>
            </w:tcBorders>
            <w:vAlign w:val="center"/>
          </w:tcPr>
          <w:p w14:paraId="3F59DE07">
            <w:pPr>
              <w:pStyle w:val="42"/>
              <w:bidi w:val="0"/>
              <w:jc w:val="center"/>
            </w:pPr>
          </w:p>
        </w:tc>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76CB3B28">
            <w:pPr>
              <w:pStyle w:val="42"/>
              <w:bidi w:val="0"/>
              <w:jc w:val="center"/>
            </w:pPr>
          </w:p>
        </w:tc>
        <w:tc>
          <w:tcPr>
            <w:tcW w:w="628" w:type="dxa"/>
            <w:tcBorders>
              <w:top w:val="single" w:color="000000" w:sz="4" w:space="0"/>
              <w:left w:val="single" w:color="000000" w:sz="4" w:space="0"/>
              <w:bottom w:val="single" w:color="000000" w:sz="4" w:space="0"/>
              <w:right w:val="single" w:color="000000" w:sz="4" w:space="0"/>
            </w:tcBorders>
            <w:vAlign w:val="center"/>
          </w:tcPr>
          <w:p w14:paraId="5FEC39EE">
            <w:pPr>
              <w:pStyle w:val="42"/>
              <w:bidi w:val="0"/>
              <w:jc w:val="center"/>
            </w:pPr>
            <w:r>
              <w:t>5</w:t>
            </w:r>
          </w:p>
        </w:tc>
        <w:tc>
          <w:tcPr>
            <w:tcW w:w="731" w:type="dxa"/>
            <w:tcBorders>
              <w:top w:val="single" w:color="000000" w:sz="4" w:space="0"/>
              <w:left w:val="single" w:color="000000" w:sz="4" w:space="0"/>
              <w:bottom w:val="single" w:color="000000" w:sz="4" w:space="0"/>
              <w:right w:val="single" w:color="000000" w:sz="4" w:space="0"/>
            </w:tcBorders>
            <w:vAlign w:val="center"/>
          </w:tcPr>
          <w:p w14:paraId="4A816EDF">
            <w:pPr>
              <w:pStyle w:val="42"/>
              <w:bidi w:val="0"/>
              <w:jc w:val="center"/>
            </w:pPr>
            <w:r>
              <w:t>10</w:t>
            </w:r>
          </w:p>
        </w:tc>
        <w:tc>
          <w:tcPr>
            <w:tcW w:w="730" w:type="dxa"/>
            <w:tcBorders>
              <w:top w:val="single" w:color="000000" w:sz="4" w:space="0"/>
              <w:left w:val="single" w:color="000000" w:sz="4" w:space="0"/>
              <w:bottom w:val="single" w:color="000000" w:sz="4" w:space="0"/>
              <w:right w:val="single" w:color="000000" w:sz="4" w:space="0"/>
            </w:tcBorders>
            <w:vAlign w:val="center"/>
          </w:tcPr>
          <w:p w14:paraId="7E1C15EA">
            <w:pPr>
              <w:pStyle w:val="42"/>
              <w:bidi w:val="0"/>
              <w:jc w:val="center"/>
            </w:pPr>
            <w:r>
              <w:t>20</w:t>
            </w:r>
          </w:p>
        </w:tc>
        <w:tc>
          <w:tcPr>
            <w:tcW w:w="731" w:type="dxa"/>
            <w:tcBorders>
              <w:top w:val="single" w:color="000000" w:sz="4" w:space="0"/>
              <w:left w:val="single" w:color="000000" w:sz="4" w:space="0"/>
              <w:bottom w:val="single" w:color="000000" w:sz="4" w:space="0"/>
              <w:right w:val="single" w:color="000000" w:sz="4" w:space="0"/>
            </w:tcBorders>
            <w:vAlign w:val="center"/>
          </w:tcPr>
          <w:p w14:paraId="11AA137F">
            <w:pPr>
              <w:pStyle w:val="42"/>
              <w:bidi w:val="0"/>
              <w:jc w:val="center"/>
            </w:pPr>
            <w:r>
              <w:t>40</w:t>
            </w:r>
          </w:p>
        </w:tc>
        <w:tc>
          <w:tcPr>
            <w:tcW w:w="731" w:type="dxa"/>
            <w:tcBorders>
              <w:top w:val="single" w:color="000000" w:sz="4" w:space="0"/>
              <w:left w:val="single" w:color="000000" w:sz="4" w:space="0"/>
              <w:bottom w:val="single" w:color="000000" w:sz="4" w:space="0"/>
              <w:right w:val="single" w:color="000000" w:sz="4" w:space="0"/>
            </w:tcBorders>
            <w:vAlign w:val="center"/>
          </w:tcPr>
          <w:p w14:paraId="63E97A4F">
            <w:pPr>
              <w:pStyle w:val="42"/>
              <w:bidi w:val="0"/>
              <w:jc w:val="center"/>
            </w:pPr>
            <w:r>
              <w:t>60</w:t>
            </w:r>
          </w:p>
        </w:tc>
        <w:tc>
          <w:tcPr>
            <w:tcW w:w="731" w:type="dxa"/>
            <w:tcBorders>
              <w:top w:val="single" w:color="000000" w:sz="4" w:space="0"/>
              <w:left w:val="single" w:color="000000" w:sz="4" w:space="0"/>
              <w:bottom w:val="single" w:color="000000" w:sz="4" w:space="0"/>
              <w:right w:val="single" w:color="000000" w:sz="4" w:space="0"/>
            </w:tcBorders>
            <w:vAlign w:val="center"/>
          </w:tcPr>
          <w:p w14:paraId="01D09483">
            <w:pPr>
              <w:pStyle w:val="42"/>
              <w:bidi w:val="0"/>
              <w:jc w:val="center"/>
            </w:pPr>
            <w:r>
              <w:t>80</w:t>
            </w:r>
          </w:p>
        </w:tc>
        <w:tc>
          <w:tcPr>
            <w:tcW w:w="735" w:type="dxa"/>
            <w:tcBorders>
              <w:top w:val="single" w:color="000000" w:sz="4" w:space="0"/>
              <w:left w:val="single" w:color="000000" w:sz="4" w:space="0"/>
              <w:bottom w:val="single" w:color="000000" w:sz="4" w:space="0"/>
              <w:right w:val="single" w:color="000000" w:sz="4" w:space="0"/>
            </w:tcBorders>
            <w:vAlign w:val="center"/>
          </w:tcPr>
          <w:p w14:paraId="464501EB">
            <w:pPr>
              <w:pStyle w:val="42"/>
              <w:bidi w:val="0"/>
              <w:jc w:val="center"/>
            </w:pPr>
            <w:r>
              <w:t>100</w:t>
            </w:r>
          </w:p>
        </w:tc>
        <w:tc>
          <w:tcPr>
            <w:tcW w:w="731" w:type="dxa"/>
            <w:tcBorders>
              <w:top w:val="single" w:color="000000" w:sz="4" w:space="0"/>
              <w:left w:val="single" w:color="000000" w:sz="4" w:space="0"/>
              <w:bottom w:val="single" w:color="000000" w:sz="4" w:space="0"/>
              <w:right w:val="single" w:color="000000" w:sz="4" w:space="0"/>
            </w:tcBorders>
            <w:vAlign w:val="center"/>
          </w:tcPr>
          <w:p w14:paraId="0E16708C">
            <w:pPr>
              <w:pStyle w:val="42"/>
              <w:bidi w:val="0"/>
              <w:jc w:val="center"/>
            </w:pPr>
            <w:r>
              <w:t>150</w:t>
            </w:r>
          </w:p>
        </w:tc>
        <w:tc>
          <w:tcPr>
            <w:tcW w:w="679" w:type="dxa"/>
            <w:tcBorders>
              <w:top w:val="single" w:color="000000" w:sz="4" w:space="0"/>
              <w:left w:val="single" w:color="000000" w:sz="4" w:space="0"/>
              <w:bottom w:val="single" w:color="000000" w:sz="4" w:space="0"/>
              <w:right w:val="single" w:color="000000" w:sz="12" w:space="0"/>
            </w:tcBorders>
            <w:vAlign w:val="center"/>
          </w:tcPr>
          <w:p w14:paraId="5B92C260">
            <w:pPr>
              <w:pStyle w:val="42"/>
              <w:bidi w:val="0"/>
              <w:jc w:val="center"/>
            </w:pPr>
            <w:r>
              <w:t>200</w:t>
            </w:r>
          </w:p>
        </w:tc>
      </w:tr>
      <w:tr w14:paraId="491A87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6158D565">
            <w:pPr>
              <w:pStyle w:val="42"/>
              <w:bidi w:val="0"/>
              <w:jc w:val="center"/>
            </w:pPr>
            <w:r>
              <w:t>1</w:t>
            </w:r>
          </w:p>
        </w:tc>
        <w:tc>
          <w:tcPr>
            <w:tcW w:w="1253" w:type="dxa"/>
            <w:tcBorders>
              <w:top w:val="single" w:color="000000" w:sz="4" w:space="0"/>
              <w:left w:val="single" w:color="000000" w:sz="4" w:space="0"/>
              <w:bottom w:val="single" w:color="000000" w:sz="4" w:space="0"/>
              <w:right w:val="single" w:color="000000" w:sz="4" w:space="0"/>
            </w:tcBorders>
            <w:vAlign w:val="center"/>
          </w:tcPr>
          <w:p w14:paraId="1D14EA47">
            <w:pPr>
              <w:pStyle w:val="42"/>
              <w:bidi w:val="0"/>
              <w:jc w:val="center"/>
            </w:pPr>
            <w:r>
              <w:t>挖土机</w:t>
            </w:r>
          </w:p>
        </w:tc>
        <w:tc>
          <w:tcPr>
            <w:tcW w:w="763" w:type="dxa"/>
            <w:tcBorders>
              <w:top w:val="single" w:color="000000" w:sz="4" w:space="0"/>
              <w:left w:val="single" w:color="000000" w:sz="4" w:space="0"/>
              <w:bottom w:val="single" w:color="000000" w:sz="4" w:space="0"/>
              <w:right w:val="single" w:color="000000" w:sz="4" w:space="0"/>
            </w:tcBorders>
            <w:vAlign w:val="center"/>
          </w:tcPr>
          <w:p w14:paraId="71A3848C">
            <w:pPr>
              <w:pStyle w:val="42"/>
              <w:bidi w:val="0"/>
              <w:jc w:val="center"/>
            </w:pPr>
            <w:r>
              <w:t>95</w:t>
            </w:r>
          </w:p>
        </w:tc>
        <w:tc>
          <w:tcPr>
            <w:tcW w:w="628" w:type="dxa"/>
            <w:tcBorders>
              <w:top w:val="single" w:color="000000" w:sz="4" w:space="0"/>
              <w:left w:val="single" w:color="000000" w:sz="4" w:space="0"/>
              <w:bottom w:val="single" w:color="000000" w:sz="4" w:space="0"/>
              <w:right w:val="single" w:color="000000" w:sz="4" w:space="0"/>
            </w:tcBorders>
            <w:vAlign w:val="center"/>
          </w:tcPr>
          <w:p w14:paraId="716CEC10">
            <w:pPr>
              <w:pStyle w:val="42"/>
              <w:bidi w:val="0"/>
              <w:jc w:val="center"/>
            </w:pPr>
            <w:r>
              <w:t>81</w:t>
            </w:r>
          </w:p>
        </w:tc>
        <w:tc>
          <w:tcPr>
            <w:tcW w:w="731" w:type="dxa"/>
            <w:tcBorders>
              <w:top w:val="single" w:color="000000" w:sz="4" w:space="0"/>
              <w:left w:val="single" w:color="000000" w:sz="4" w:space="0"/>
              <w:bottom w:val="single" w:color="000000" w:sz="4" w:space="0"/>
              <w:right w:val="single" w:color="000000" w:sz="4" w:space="0"/>
            </w:tcBorders>
            <w:vAlign w:val="center"/>
          </w:tcPr>
          <w:p w14:paraId="47F71951">
            <w:pPr>
              <w:pStyle w:val="42"/>
              <w:bidi w:val="0"/>
              <w:jc w:val="center"/>
            </w:pPr>
            <w:r>
              <w:t>75</w:t>
            </w:r>
          </w:p>
        </w:tc>
        <w:tc>
          <w:tcPr>
            <w:tcW w:w="730" w:type="dxa"/>
            <w:tcBorders>
              <w:top w:val="single" w:color="000000" w:sz="4" w:space="0"/>
              <w:left w:val="single" w:color="000000" w:sz="4" w:space="0"/>
              <w:bottom w:val="single" w:color="000000" w:sz="4" w:space="0"/>
              <w:right w:val="single" w:color="000000" w:sz="4" w:space="0"/>
            </w:tcBorders>
            <w:vAlign w:val="center"/>
          </w:tcPr>
          <w:p w14:paraId="44FC1EB6">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078CEBD3">
            <w:pPr>
              <w:pStyle w:val="42"/>
              <w:bidi w:val="0"/>
              <w:jc w:val="center"/>
            </w:pPr>
            <w:r>
              <w:t>63</w:t>
            </w:r>
          </w:p>
        </w:tc>
        <w:tc>
          <w:tcPr>
            <w:tcW w:w="731" w:type="dxa"/>
            <w:tcBorders>
              <w:top w:val="single" w:color="000000" w:sz="4" w:space="0"/>
              <w:left w:val="single" w:color="000000" w:sz="4" w:space="0"/>
              <w:bottom w:val="single" w:color="000000" w:sz="4" w:space="0"/>
              <w:right w:val="single" w:color="000000" w:sz="4" w:space="0"/>
            </w:tcBorders>
            <w:vAlign w:val="center"/>
          </w:tcPr>
          <w:p w14:paraId="287117D4">
            <w:pPr>
              <w:pStyle w:val="42"/>
              <w:bidi w:val="0"/>
              <w:jc w:val="center"/>
            </w:pPr>
            <w:r>
              <w:t>59</w:t>
            </w:r>
          </w:p>
        </w:tc>
        <w:tc>
          <w:tcPr>
            <w:tcW w:w="731" w:type="dxa"/>
            <w:tcBorders>
              <w:top w:val="single" w:color="000000" w:sz="4" w:space="0"/>
              <w:left w:val="single" w:color="000000" w:sz="4" w:space="0"/>
              <w:bottom w:val="single" w:color="000000" w:sz="4" w:space="0"/>
              <w:right w:val="single" w:color="000000" w:sz="4" w:space="0"/>
            </w:tcBorders>
            <w:vAlign w:val="center"/>
          </w:tcPr>
          <w:p w14:paraId="759D3512">
            <w:pPr>
              <w:pStyle w:val="42"/>
              <w:bidi w:val="0"/>
              <w:jc w:val="center"/>
            </w:pPr>
            <w:r>
              <w:t>57</w:t>
            </w:r>
          </w:p>
        </w:tc>
        <w:tc>
          <w:tcPr>
            <w:tcW w:w="735" w:type="dxa"/>
            <w:tcBorders>
              <w:top w:val="single" w:color="000000" w:sz="4" w:space="0"/>
              <w:left w:val="single" w:color="000000" w:sz="4" w:space="0"/>
              <w:bottom w:val="single" w:color="000000" w:sz="4" w:space="0"/>
              <w:right w:val="single" w:color="000000" w:sz="4" w:space="0"/>
            </w:tcBorders>
            <w:vAlign w:val="center"/>
          </w:tcPr>
          <w:p w14:paraId="11AE3A3E">
            <w:pPr>
              <w:pStyle w:val="42"/>
              <w:bidi w:val="0"/>
              <w:jc w:val="center"/>
            </w:pPr>
            <w:r>
              <w:t>55</w:t>
            </w:r>
          </w:p>
        </w:tc>
        <w:tc>
          <w:tcPr>
            <w:tcW w:w="731" w:type="dxa"/>
            <w:tcBorders>
              <w:top w:val="single" w:color="000000" w:sz="4" w:space="0"/>
              <w:left w:val="single" w:color="000000" w:sz="4" w:space="0"/>
              <w:bottom w:val="single" w:color="000000" w:sz="4" w:space="0"/>
              <w:right w:val="single" w:color="000000" w:sz="4" w:space="0"/>
            </w:tcBorders>
            <w:vAlign w:val="center"/>
          </w:tcPr>
          <w:p w14:paraId="41B19D96">
            <w:pPr>
              <w:pStyle w:val="42"/>
              <w:bidi w:val="0"/>
              <w:jc w:val="center"/>
            </w:pPr>
            <w:r>
              <w:t>51</w:t>
            </w:r>
          </w:p>
        </w:tc>
        <w:tc>
          <w:tcPr>
            <w:tcW w:w="679" w:type="dxa"/>
            <w:tcBorders>
              <w:top w:val="single" w:color="000000" w:sz="4" w:space="0"/>
              <w:left w:val="single" w:color="000000" w:sz="4" w:space="0"/>
              <w:bottom w:val="single" w:color="000000" w:sz="4" w:space="0"/>
              <w:right w:val="single" w:color="000000" w:sz="12" w:space="0"/>
            </w:tcBorders>
            <w:vAlign w:val="center"/>
          </w:tcPr>
          <w:p w14:paraId="652A108D">
            <w:pPr>
              <w:pStyle w:val="42"/>
              <w:bidi w:val="0"/>
              <w:jc w:val="center"/>
            </w:pPr>
            <w:r>
              <w:t>49</w:t>
            </w:r>
          </w:p>
        </w:tc>
      </w:tr>
      <w:tr w14:paraId="0BDA3B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07F086B8">
            <w:pPr>
              <w:pStyle w:val="42"/>
              <w:bidi w:val="0"/>
              <w:jc w:val="center"/>
            </w:pPr>
            <w:r>
              <w:t>2</w:t>
            </w:r>
          </w:p>
        </w:tc>
        <w:tc>
          <w:tcPr>
            <w:tcW w:w="1253" w:type="dxa"/>
            <w:tcBorders>
              <w:top w:val="single" w:color="000000" w:sz="4" w:space="0"/>
              <w:left w:val="single" w:color="000000" w:sz="4" w:space="0"/>
              <w:bottom w:val="single" w:color="000000" w:sz="4" w:space="0"/>
              <w:right w:val="single" w:color="000000" w:sz="4" w:space="0"/>
            </w:tcBorders>
            <w:vAlign w:val="center"/>
          </w:tcPr>
          <w:p w14:paraId="474C4C5E">
            <w:pPr>
              <w:pStyle w:val="42"/>
              <w:bidi w:val="0"/>
              <w:jc w:val="center"/>
            </w:pPr>
            <w:r>
              <w:t>钻孔机</w:t>
            </w:r>
          </w:p>
        </w:tc>
        <w:tc>
          <w:tcPr>
            <w:tcW w:w="763" w:type="dxa"/>
            <w:tcBorders>
              <w:top w:val="single" w:color="000000" w:sz="4" w:space="0"/>
              <w:left w:val="single" w:color="000000" w:sz="4" w:space="0"/>
              <w:bottom w:val="single" w:color="000000" w:sz="4" w:space="0"/>
              <w:right w:val="single" w:color="000000" w:sz="4" w:space="0"/>
            </w:tcBorders>
            <w:vAlign w:val="center"/>
          </w:tcPr>
          <w:p w14:paraId="30620426">
            <w:pPr>
              <w:pStyle w:val="42"/>
              <w:bidi w:val="0"/>
              <w:jc w:val="center"/>
            </w:pPr>
            <w:r>
              <w:t>105</w:t>
            </w:r>
          </w:p>
        </w:tc>
        <w:tc>
          <w:tcPr>
            <w:tcW w:w="628" w:type="dxa"/>
            <w:tcBorders>
              <w:top w:val="single" w:color="000000" w:sz="4" w:space="0"/>
              <w:left w:val="single" w:color="000000" w:sz="4" w:space="0"/>
              <w:bottom w:val="single" w:color="000000" w:sz="4" w:space="0"/>
              <w:right w:val="single" w:color="000000" w:sz="4" w:space="0"/>
            </w:tcBorders>
            <w:vAlign w:val="center"/>
          </w:tcPr>
          <w:p w14:paraId="3F0F8F8E">
            <w:pPr>
              <w:pStyle w:val="42"/>
              <w:bidi w:val="0"/>
              <w:jc w:val="center"/>
            </w:pPr>
            <w:r>
              <w:t>91</w:t>
            </w:r>
          </w:p>
        </w:tc>
        <w:tc>
          <w:tcPr>
            <w:tcW w:w="731" w:type="dxa"/>
            <w:tcBorders>
              <w:top w:val="single" w:color="000000" w:sz="4" w:space="0"/>
              <w:left w:val="single" w:color="000000" w:sz="4" w:space="0"/>
              <w:bottom w:val="single" w:color="000000" w:sz="4" w:space="0"/>
              <w:right w:val="single" w:color="000000" w:sz="4" w:space="0"/>
            </w:tcBorders>
            <w:vAlign w:val="center"/>
          </w:tcPr>
          <w:p w14:paraId="46B2F31D">
            <w:pPr>
              <w:pStyle w:val="42"/>
              <w:bidi w:val="0"/>
              <w:jc w:val="center"/>
            </w:pPr>
            <w:r>
              <w:t>85</w:t>
            </w:r>
          </w:p>
        </w:tc>
        <w:tc>
          <w:tcPr>
            <w:tcW w:w="730" w:type="dxa"/>
            <w:tcBorders>
              <w:top w:val="single" w:color="000000" w:sz="4" w:space="0"/>
              <w:left w:val="single" w:color="000000" w:sz="4" w:space="0"/>
              <w:bottom w:val="single" w:color="000000" w:sz="4" w:space="0"/>
              <w:right w:val="single" w:color="000000" w:sz="4" w:space="0"/>
            </w:tcBorders>
            <w:vAlign w:val="center"/>
          </w:tcPr>
          <w:p w14:paraId="1867F51A">
            <w:pPr>
              <w:pStyle w:val="42"/>
              <w:bidi w:val="0"/>
              <w:jc w:val="center"/>
            </w:pPr>
            <w:r>
              <w:t>79</w:t>
            </w:r>
          </w:p>
        </w:tc>
        <w:tc>
          <w:tcPr>
            <w:tcW w:w="731" w:type="dxa"/>
            <w:tcBorders>
              <w:top w:val="single" w:color="000000" w:sz="4" w:space="0"/>
              <w:left w:val="single" w:color="000000" w:sz="4" w:space="0"/>
              <w:bottom w:val="single" w:color="000000" w:sz="4" w:space="0"/>
              <w:right w:val="single" w:color="000000" w:sz="4" w:space="0"/>
            </w:tcBorders>
            <w:vAlign w:val="center"/>
          </w:tcPr>
          <w:p w14:paraId="494AB383">
            <w:pPr>
              <w:pStyle w:val="42"/>
              <w:bidi w:val="0"/>
              <w:jc w:val="center"/>
            </w:pPr>
            <w:r>
              <w:t>73</w:t>
            </w:r>
          </w:p>
        </w:tc>
        <w:tc>
          <w:tcPr>
            <w:tcW w:w="731" w:type="dxa"/>
            <w:tcBorders>
              <w:top w:val="single" w:color="000000" w:sz="4" w:space="0"/>
              <w:left w:val="single" w:color="000000" w:sz="4" w:space="0"/>
              <w:bottom w:val="single" w:color="000000" w:sz="4" w:space="0"/>
              <w:right w:val="single" w:color="000000" w:sz="4" w:space="0"/>
            </w:tcBorders>
            <w:vAlign w:val="center"/>
          </w:tcPr>
          <w:p w14:paraId="6B67608A">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1D6BF3CE">
            <w:pPr>
              <w:pStyle w:val="42"/>
              <w:bidi w:val="0"/>
              <w:jc w:val="center"/>
            </w:pPr>
            <w:r>
              <w:t>67</w:t>
            </w:r>
          </w:p>
        </w:tc>
        <w:tc>
          <w:tcPr>
            <w:tcW w:w="735" w:type="dxa"/>
            <w:tcBorders>
              <w:top w:val="single" w:color="000000" w:sz="4" w:space="0"/>
              <w:left w:val="single" w:color="000000" w:sz="4" w:space="0"/>
              <w:bottom w:val="single" w:color="000000" w:sz="4" w:space="0"/>
              <w:right w:val="single" w:color="000000" w:sz="4" w:space="0"/>
            </w:tcBorders>
            <w:vAlign w:val="center"/>
          </w:tcPr>
          <w:p w14:paraId="48CABA02">
            <w:pPr>
              <w:pStyle w:val="42"/>
              <w:bidi w:val="0"/>
              <w:jc w:val="center"/>
            </w:pPr>
            <w:r>
              <w:t>65</w:t>
            </w:r>
          </w:p>
        </w:tc>
        <w:tc>
          <w:tcPr>
            <w:tcW w:w="731" w:type="dxa"/>
            <w:tcBorders>
              <w:top w:val="single" w:color="000000" w:sz="4" w:space="0"/>
              <w:left w:val="single" w:color="000000" w:sz="4" w:space="0"/>
              <w:bottom w:val="single" w:color="000000" w:sz="4" w:space="0"/>
              <w:right w:val="single" w:color="000000" w:sz="4" w:space="0"/>
            </w:tcBorders>
            <w:vAlign w:val="center"/>
          </w:tcPr>
          <w:p w14:paraId="79E41FBB">
            <w:pPr>
              <w:pStyle w:val="42"/>
              <w:bidi w:val="0"/>
              <w:jc w:val="center"/>
            </w:pPr>
            <w:r>
              <w:t>61</w:t>
            </w:r>
          </w:p>
        </w:tc>
        <w:tc>
          <w:tcPr>
            <w:tcW w:w="679" w:type="dxa"/>
            <w:tcBorders>
              <w:top w:val="single" w:color="000000" w:sz="4" w:space="0"/>
              <w:left w:val="single" w:color="000000" w:sz="4" w:space="0"/>
              <w:bottom w:val="single" w:color="000000" w:sz="4" w:space="0"/>
              <w:right w:val="single" w:color="000000" w:sz="12" w:space="0"/>
            </w:tcBorders>
            <w:vAlign w:val="center"/>
          </w:tcPr>
          <w:p w14:paraId="2AA66459">
            <w:pPr>
              <w:pStyle w:val="42"/>
              <w:bidi w:val="0"/>
              <w:jc w:val="center"/>
            </w:pPr>
            <w:r>
              <w:t>59</w:t>
            </w:r>
          </w:p>
        </w:tc>
      </w:tr>
      <w:tr w14:paraId="2B642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30962D84">
            <w:pPr>
              <w:pStyle w:val="42"/>
              <w:bidi w:val="0"/>
              <w:jc w:val="center"/>
            </w:pPr>
            <w:r>
              <w:t>3</w:t>
            </w:r>
          </w:p>
        </w:tc>
        <w:tc>
          <w:tcPr>
            <w:tcW w:w="1253" w:type="dxa"/>
            <w:tcBorders>
              <w:top w:val="single" w:color="000000" w:sz="4" w:space="0"/>
              <w:left w:val="single" w:color="000000" w:sz="4" w:space="0"/>
              <w:bottom w:val="single" w:color="000000" w:sz="4" w:space="0"/>
              <w:right w:val="single" w:color="000000" w:sz="4" w:space="0"/>
            </w:tcBorders>
            <w:vAlign w:val="center"/>
          </w:tcPr>
          <w:p w14:paraId="308A2250">
            <w:pPr>
              <w:pStyle w:val="42"/>
              <w:bidi w:val="0"/>
              <w:jc w:val="center"/>
            </w:pPr>
            <w:r>
              <w:t>空压机</w:t>
            </w:r>
          </w:p>
        </w:tc>
        <w:tc>
          <w:tcPr>
            <w:tcW w:w="763" w:type="dxa"/>
            <w:tcBorders>
              <w:top w:val="single" w:color="000000" w:sz="4" w:space="0"/>
              <w:left w:val="single" w:color="000000" w:sz="4" w:space="0"/>
              <w:bottom w:val="single" w:color="000000" w:sz="4" w:space="0"/>
              <w:right w:val="single" w:color="000000" w:sz="4" w:space="0"/>
            </w:tcBorders>
            <w:vAlign w:val="center"/>
          </w:tcPr>
          <w:p w14:paraId="3BDE5C18">
            <w:pPr>
              <w:pStyle w:val="42"/>
              <w:bidi w:val="0"/>
              <w:jc w:val="center"/>
            </w:pPr>
            <w:r>
              <w:t>85</w:t>
            </w:r>
          </w:p>
        </w:tc>
        <w:tc>
          <w:tcPr>
            <w:tcW w:w="628" w:type="dxa"/>
            <w:tcBorders>
              <w:top w:val="single" w:color="000000" w:sz="4" w:space="0"/>
              <w:left w:val="single" w:color="000000" w:sz="4" w:space="0"/>
              <w:bottom w:val="single" w:color="000000" w:sz="4" w:space="0"/>
              <w:right w:val="single" w:color="000000" w:sz="4" w:space="0"/>
            </w:tcBorders>
            <w:vAlign w:val="center"/>
          </w:tcPr>
          <w:p w14:paraId="68D7F039">
            <w:pPr>
              <w:pStyle w:val="42"/>
              <w:bidi w:val="0"/>
              <w:jc w:val="center"/>
            </w:pPr>
            <w:r>
              <w:t>71</w:t>
            </w:r>
          </w:p>
        </w:tc>
        <w:tc>
          <w:tcPr>
            <w:tcW w:w="731" w:type="dxa"/>
            <w:tcBorders>
              <w:top w:val="single" w:color="000000" w:sz="4" w:space="0"/>
              <w:left w:val="single" w:color="000000" w:sz="4" w:space="0"/>
              <w:bottom w:val="single" w:color="000000" w:sz="4" w:space="0"/>
              <w:right w:val="single" w:color="000000" w:sz="4" w:space="0"/>
            </w:tcBorders>
            <w:vAlign w:val="center"/>
          </w:tcPr>
          <w:p w14:paraId="70A92279">
            <w:pPr>
              <w:pStyle w:val="42"/>
              <w:bidi w:val="0"/>
              <w:jc w:val="center"/>
            </w:pPr>
            <w:r>
              <w:t>65</w:t>
            </w:r>
          </w:p>
        </w:tc>
        <w:tc>
          <w:tcPr>
            <w:tcW w:w="730" w:type="dxa"/>
            <w:tcBorders>
              <w:top w:val="single" w:color="000000" w:sz="4" w:space="0"/>
              <w:left w:val="single" w:color="000000" w:sz="4" w:space="0"/>
              <w:bottom w:val="single" w:color="000000" w:sz="4" w:space="0"/>
              <w:right w:val="single" w:color="000000" w:sz="4" w:space="0"/>
            </w:tcBorders>
            <w:vAlign w:val="center"/>
          </w:tcPr>
          <w:p w14:paraId="1D38F1D3">
            <w:pPr>
              <w:pStyle w:val="42"/>
              <w:bidi w:val="0"/>
              <w:jc w:val="center"/>
            </w:pPr>
            <w:r>
              <w:t>59</w:t>
            </w:r>
          </w:p>
        </w:tc>
        <w:tc>
          <w:tcPr>
            <w:tcW w:w="731" w:type="dxa"/>
            <w:tcBorders>
              <w:top w:val="single" w:color="000000" w:sz="4" w:space="0"/>
              <w:left w:val="single" w:color="000000" w:sz="4" w:space="0"/>
              <w:bottom w:val="single" w:color="000000" w:sz="4" w:space="0"/>
              <w:right w:val="single" w:color="000000" w:sz="4" w:space="0"/>
            </w:tcBorders>
            <w:vAlign w:val="center"/>
          </w:tcPr>
          <w:p w14:paraId="40024FC9">
            <w:pPr>
              <w:pStyle w:val="42"/>
              <w:bidi w:val="0"/>
              <w:jc w:val="center"/>
            </w:pPr>
            <w:r>
              <w:t>53</w:t>
            </w:r>
          </w:p>
        </w:tc>
        <w:tc>
          <w:tcPr>
            <w:tcW w:w="731" w:type="dxa"/>
            <w:tcBorders>
              <w:top w:val="single" w:color="000000" w:sz="4" w:space="0"/>
              <w:left w:val="single" w:color="000000" w:sz="4" w:space="0"/>
              <w:bottom w:val="single" w:color="000000" w:sz="4" w:space="0"/>
              <w:right w:val="single" w:color="000000" w:sz="4" w:space="0"/>
            </w:tcBorders>
            <w:vAlign w:val="center"/>
          </w:tcPr>
          <w:p w14:paraId="1EEF2099">
            <w:pPr>
              <w:pStyle w:val="42"/>
              <w:bidi w:val="0"/>
              <w:jc w:val="center"/>
            </w:pPr>
            <w:r>
              <w:t>49</w:t>
            </w:r>
          </w:p>
        </w:tc>
        <w:tc>
          <w:tcPr>
            <w:tcW w:w="731" w:type="dxa"/>
            <w:tcBorders>
              <w:top w:val="single" w:color="000000" w:sz="4" w:space="0"/>
              <w:left w:val="single" w:color="000000" w:sz="4" w:space="0"/>
              <w:bottom w:val="single" w:color="000000" w:sz="4" w:space="0"/>
              <w:right w:val="single" w:color="000000" w:sz="4" w:space="0"/>
            </w:tcBorders>
            <w:vAlign w:val="center"/>
          </w:tcPr>
          <w:p w14:paraId="7C20A325">
            <w:pPr>
              <w:pStyle w:val="42"/>
              <w:bidi w:val="0"/>
              <w:jc w:val="center"/>
            </w:pPr>
            <w:r>
              <w:t>47</w:t>
            </w:r>
          </w:p>
        </w:tc>
        <w:tc>
          <w:tcPr>
            <w:tcW w:w="735" w:type="dxa"/>
            <w:tcBorders>
              <w:top w:val="single" w:color="000000" w:sz="4" w:space="0"/>
              <w:left w:val="single" w:color="000000" w:sz="4" w:space="0"/>
              <w:bottom w:val="single" w:color="000000" w:sz="4" w:space="0"/>
              <w:right w:val="single" w:color="000000" w:sz="4" w:space="0"/>
            </w:tcBorders>
            <w:vAlign w:val="center"/>
          </w:tcPr>
          <w:p w14:paraId="6A11D1EF">
            <w:pPr>
              <w:pStyle w:val="42"/>
              <w:bidi w:val="0"/>
              <w:jc w:val="center"/>
            </w:pPr>
            <w:r>
              <w:t>45</w:t>
            </w:r>
          </w:p>
        </w:tc>
        <w:tc>
          <w:tcPr>
            <w:tcW w:w="731" w:type="dxa"/>
            <w:tcBorders>
              <w:top w:val="single" w:color="000000" w:sz="4" w:space="0"/>
              <w:left w:val="single" w:color="000000" w:sz="4" w:space="0"/>
              <w:bottom w:val="single" w:color="000000" w:sz="4" w:space="0"/>
              <w:right w:val="single" w:color="000000" w:sz="4" w:space="0"/>
            </w:tcBorders>
            <w:vAlign w:val="center"/>
          </w:tcPr>
          <w:p w14:paraId="6CDCF4CA">
            <w:pPr>
              <w:pStyle w:val="42"/>
              <w:bidi w:val="0"/>
              <w:jc w:val="center"/>
            </w:pPr>
            <w:r>
              <w:t>41</w:t>
            </w:r>
          </w:p>
        </w:tc>
        <w:tc>
          <w:tcPr>
            <w:tcW w:w="679" w:type="dxa"/>
            <w:tcBorders>
              <w:top w:val="single" w:color="000000" w:sz="4" w:space="0"/>
              <w:left w:val="single" w:color="000000" w:sz="4" w:space="0"/>
              <w:bottom w:val="single" w:color="000000" w:sz="4" w:space="0"/>
              <w:right w:val="single" w:color="000000" w:sz="12" w:space="0"/>
            </w:tcBorders>
            <w:vAlign w:val="center"/>
          </w:tcPr>
          <w:p w14:paraId="4361A5C3">
            <w:pPr>
              <w:pStyle w:val="42"/>
              <w:bidi w:val="0"/>
              <w:jc w:val="center"/>
            </w:pPr>
            <w:r>
              <w:t>39</w:t>
            </w:r>
          </w:p>
        </w:tc>
      </w:tr>
      <w:tr w14:paraId="1783E5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12EE87D4">
            <w:pPr>
              <w:pStyle w:val="42"/>
              <w:bidi w:val="0"/>
              <w:jc w:val="center"/>
            </w:pPr>
            <w:r>
              <w:t>4</w:t>
            </w:r>
          </w:p>
        </w:tc>
        <w:tc>
          <w:tcPr>
            <w:tcW w:w="1253" w:type="dxa"/>
            <w:tcBorders>
              <w:top w:val="single" w:color="000000" w:sz="4" w:space="0"/>
              <w:left w:val="single" w:color="000000" w:sz="4" w:space="0"/>
              <w:bottom w:val="single" w:color="000000" w:sz="4" w:space="0"/>
              <w:right w:val="single" w:color="000000" w:sz="4" w:space="0"/>
            </w:tcBorders>
            <w:vAlign w:val="center"/>
          </w:tcPr>
          <w:p w14:paraId="036B07D4">
            <w:pPr>
              <w:pStyle w:val="42"/>
              <w:bidi w:val="0"/>
              <w:jc w:val="center"/>
            </w:pPr>
            <w:r>
              <w:t>打桩机</w:t>
            </w:r>
          </w:p>
        </w:tc>
        <w:tc>
          <w:tcPr>
            <w:tcW w:w="763" w:type="dxa"/>
            <w:tcBorders>
              <w:top w:val="single" w:color="000000" w:sz="4" w:space="0"/>
              <w:left w:val="single" w:color="000000" w:sz="4" w:space="0"/>
              <w:bottom w:val="single" w:color="000000" w:sz="4" w:space="0"/>
              <w:right w:val="single" w:color="000000" w:sz="4" w:space="0"/>
            </w:tcBorders>
            <w:vAlign w:val="center"/>
          </w:tcPr>
          <w:p w14:paraId="5CB320D7">
            <w:pPr>
              <w:pStyle w:val="42"/>
              <w:bidi w:val="0"/>
              <w:jc w:val="center"/>
            </w:pPr>
            <w:r>
              <w:t>100</w:t>
            </w:r>
          </w:p>
        </w:tc>
        <w:tc>
          <w:tcPr>
            <w:tcW w:w="628" w:type="dxa"/>
            <w:tcBorders>
              <w:top w:val="single" w:color="000000" w:sz="4" w:space="0"/>
              <w:left w:val="single" w:color="000000" w:sz="4" w:space="0"/>
              <w:bottom w:val="single" w:color="000000" w:sz="4" w:space="0"/>
              <w:right w:val="single" w:color="000000" w:sz="4" w:space="0"/>
            </w:tcBorders>
            <w:vAlign w:val="center"/>
          </w:tcPr>
          <w:p w14:paraId="7C2A76BC">
            <w:pPr>
              <w:pStyle w:val="42"/>
              <w:bidi w:val="0"/>
              <w:jc w:val="center"/>
            </w:pPr>
            <w:r>
              <w:t>86</w:t>
            </w:r>
          </w:p>
        </w:tc>
        <w:tc>
          <w:tcPr>
            <w:tcW w:w="731" w:type="dxa"/>
            <w:tcBorders>
              <w:top w:val="single" w:color="000000" w:sz="4" w:space="0"/>
              <w:left w:val="single" w:color="000000" w:sz="4" w:space="0"/>
              <w:bottom w:val="single" w:color="000000" w:sz="4" w:space="0"/>
              <w:right w:val="single" w:color="000000" w:sz="4" w:space="0"/>
            </w:tcBorders>
            <w:vAlign w:val="center"/>
          </w:tcPr>
          <w:p w14:paraId="0F82D51F">
            <w:pPr>
              <w:pStyle w:val="42"/>
              <w:bidi w:val="0"/>
              <w:jc w:val="center"/>
            </w:pPr>
            <w:r>
              <w:t>80</w:t>
            </w:r>
          </w:p>
        </w:tc>
        <w:tc>
          <w:tcPr>
            <w:tcW w:w="730" w:type="dxa"/>
            <w:tcBorders>
              <w:top w:val="single" w:color="000000" w:sz="4" w:space="0"/>
              <w:left w:val="single" w:color="000000" w:sz="4" w:space="0"/>
              <w:bottom w:val="single" w:color="000000" w:sz="4" w:space="0"/>
              <w:right w:val="single" w:color="000000" w:sz="4" w:space="0"/>
            </w:tcBorders>
            <w:vAlign w:val="center"/>
          </w:tcPr>
          <w:p w14:paraId="2C90D6CA">
            <w:pPr>
              <w:pStyle w:val="42"/>
              <w:bidi w:val="0"/>
              <w:jc w:val="center"/>
            </w:pPr>
            <w:r>
              <w:t>74</w:t>
            </w:r>
          </w:p>
        </w:tc>
        <w:tc>
          <w:tcPr>
            <w:tcW w:w="731" w:type="dxa"/>
            <w:tcBorders>
              <w:top w:val="single" w:color="000000" w:sz="4" w:space="0"/>
              <w:left w:val="single" w:color="000000" w:sz="4" w:space="0"/>
              <w:bottom w:val="single" w:color="000000" w:sz="4" w:space="0"/>
              <w:right w:val="single" w:color="000000" w:sz="4" w:space="0"/>
            </w:tcBorders>
            <w:vAlign w:val="center"/>
          </w:tcPr>
          <w:p w14:paraId="2043245E">
            <w:pPr>
              <w:pStyle w:val="42"/>
              <w:bidi w:val="0"/>
              <w:jc w:val="center"/>
            </w:pPr>
            <w:r>
              <w:t>68</w:t>
            </w:r>
          </w:p>
        </w:tc>
        <w:tc>
          <w:tcPr>
            <w:tcW w:w="731" w:type="dxa"/>
            <w:tcBorders>
              <w:top w:val="single" w:color="000000" w:sz="4" w:space="0"/>
              <w:left w:val="single" w:color="000000" w:sz="4" w:space="0"/>
              <w:bottom w:val="single" w:color="000000" w:sz="4" w:space="0"/>
              <w:right w:val="single" w:color="000000" w:sz="4" w:space="0"/>
            </w:tcBorders>
            <w:vAlign w:val="center"/>
          </w:tcPr>
          <w:p w14:paraId="3FDACF5D">
            <w:pPr>
              <w:pStyle w:val="42"/>
              <w:bidi w:val="0"/>
              <w:jc w:val="center"/>
            </w:pPr>
            <w:r>
              <w:t>64</w:t>
            </w:r>
          </w:p>
        </w:tc>
        <w:tc>
          <w:tcPr>
            <w:tcW w:w="731" w:type="dxa"/>
            <w:tcBorders>
              <w:top w:val="single" w:color="000000" w:sz="4" w:space="0"/>
              <w:left w:val="single" w:color="000000" w:sz="4" w:space="0"/>
              <w:bottom w:val="single" w:color="000000" w:sz="4" w:space="0"/>
              <w:right w:val="single" w:color="000000" w:sz="4" w:space="0"/>
            </w:tcBorders>
            <w:vAlign w:val="center"/>
          </w:tcPr>
          <w:p w14:paraId="75DEAA5E">
            <w:pPr>
              <w:pStyle w:val="42"/>
              <w:bidi w:val="0"/>
              <w:jc w:val="center"/>
            </w:pPr>
            <w:r>
              <w:t>62</w:t>
            </w:r>
          </w:p>
        </w:tc>
        <w:tc>
          <w:tcPr>
            <w:tcW w:w="735" w:type="dxa"/>
            <w:tcBorders>
              <w:top w:val="single" w:color="000000" w:sz="4" w:space="0"/>
              <w:left w:val="single" w:color="000000" w:sz="4" w:space="0"/>
              <w:bottom w:val="single" w:color="000000" w:sz="4" w:space="0"/>
              <w:right w:val="single" w:color="000000" w:sz="4" w:space="0"/>
            </w:tcBorders>
            <w:vAlign w:val="center"/>
          </w:tcPr>
          <w:p w14:paraId="46E60FBB">
            <w:pPr>
              <w:pStyle w:val="42"/>
              <w:bidi w:val="0"/>
              <w:jc w:val="center"/>
            </w:pPr>
            <w:r>
              <w:t>60</w:t>
            </w:r>
          </w:p>
        </w:tc>
        <w:tc>
          <w:tcPr>
            <w:tcW w:w="731" w:type="dxa"/>
            <w:tcBorders>
              <w:top w:val="single" w:color="000000" w:sz="4" w:space="0"/>
              <w:left w:val="single" w:color="000000" w:sz="4" w:space="0"/>
              <w:bottom w:val="single" w:color="000000" w:sz="4" w:space="0"/>
              <w:right w:val="single" w:color="000000" w:sz="4" w:space="0"/>
            </w:tcBorders>
            <w:vAlign w:val="center"/>
          </w:tcPr>
          <w:p w14:paraId="3D2F5279">
            <w:pPr>
              <w:pStyle w:val="42"/>
              <w:bidi w:val="0"/>
              <w:jc w:val="center"/>
            </w:pPr>
            <w:r>
              <w:t>56</w:t>
            </w:r>
          </w:p>
        </w:tc>
        <w:tc>
          <w:tcPr>
            <w:tcW w:w="679" w:type="dxa"/>
            <w:tcBorders>
              <w:top w:val="single" w:color="000000" w:sz="4" w:space="0"/>
              <w:left w:val="single" w:color="000000" w:sz="4" w:space="0"/>
              <w:bottom w:val="single" w:color="000000" w:sz="4" w:space="0"/>
              <w:right w:val="single" w:color="000000" w:sz="12" w:space="0"/>
            </w:tcBorders>
            <w:vAlign w:val="center"/>
          </w:tcPr>
          <w:p w14:paraId="7716836C">
            <w:pPr>
              <w:pStyle w:val="42"/>
              <w:bidi w:val="0"/>
              <w:jc w:val="center"/>
            </w:pPr>
            <w:r>
              <w:t>54</w:t>
            </w:r>
          </w:p>
        </w:tc>
      </w:tr>
      <w:tr w14:paraId="56639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3DAE5656">
            <w:pPr>
              <w:pStyle w:val="42"/>
              <w:bidi w:val="0"/>
              <w:jc w:val="center"/>
            </w:pPr>
            <w:r>
              <w:t>5</w:t>
            </w:r>
          </w:p>
        </w:tc>
        <w:tc>
          <w:tcPr>
            <w:tcW w:w="1253" w:type="dxa"/>
            <w:tcBorders>
              <w:top w:val="single" w:color="000000" w:sz="4" w:space="0"/>
              <w:left w:val="single" w:color="000000" w:sz="4" w:space="0"/>
              <w:bottom w:val="single" w:color="000000" w:sz="4" w:space="0"/>
              <w:right w:val="single" w:color="000000" w:sz="4" w:space="0"/>
            </w:tcBorders>
            <w:vAlign w:val="center"/>
          </w:tcPr>
          <w:p w14:paraId="0F43718C">
            <w:pPr>
              <w:pStyle w:val="42"/>
              <w:bidi w:val="0"/>
              <w:jc w:val="center"/>
            </w:pPr>
            <w:r>
              <w:t>电钻</w:t>
            </w:r>
          </w:p>
        </w:tc>
        <w:tc>
          <w:tcPr>
            <w:tcW w:w="763" w:type="dxa"/>
            <w:tcBorders>
              <w:top w:val="single" w:color="000000" w:sz="4" w:space="0"/>
              <w:left w:val="single" w:color="000000" w:sz="4" w:space="0"/>
              <w:bottom w:val="single" w:color="000000" w:sz="4" w:space="0"/>
              <w:right w:val="single" w:color="000000" w:sz="4" w:space="0"/>
            </w:tcBorders>
            <w:vAlign w:val="center"/>
          </w:tcPr>
          <w:p w14:paraId="0F8C45DF">
            <w:pPr>
              <w:pStyle w:val="42"/>
              <w:bidi w:val="0"/>
              <w:jc w:val="center"/>
            </w:pPr>
            <w:r>
              <w:t>115</w:t>
            </w:r>
          </w:p>
        </w:tc>
        <w:tc>
          <w:tcPr>
            <w:tcW w:w="628" w:type="dxa"/>
            <w:tcBorders>
              <w:top w:val="single" w:color="000000" w:sz="4" w:space="0"/>
              <w:left w:val="single" w:color="000000" w:sz="4" w:space="0"/>
              <w:bottom w:val="single" w:color="000000" w:sz="4" w:space="0"/>
              <w:right w:val="single" w:color="000000" w:sz="4" w:space="0"/>
            </w:tcBorders>
            <w:vAlign w:val="center"/>
          </w:tcPr>
          <w:p w14:paraId="2CA6B0DB">
            <w:pPr>
              <w:pStyle w:val="42"/>
              <w:bidi w:val="0"/>
              <w:jc w:val="center"/>
            </w:pPr>
            <w:r>
              <w:t>101</w:t>
            </w:r>
          </w:p>
        </w:tc>
        <w:tc>
          <w:tcPr>
            <w:tcW w:w="731" w:type="dxa"/>
            <w:tcBorders>
              <w:top w:val="single" w:color="000000" w:sz="4" w:space="0"/>
              <w:left w:val="single" w:color="000000" w:sz="4" w:space="0"/>
              <w:bottom w:val="single" w:color="000000" w:sz="4" w:space="0"/>
              <w:right w:val="single" w:color="000000" w:sz="4" w:space="0"/>
            </w:tcBorders>
            <w:vAlign w:val="center"/>
          </w:tcPr>
          <w:p w14:paraId="61B14EEA">
            <w:pPr>
              <w:pStyle w:val="42"/>
              <w:bidi w:val="0"/>
              <w:jc w:val="center"/>
            </w:pPr>
            <w:r>
              <w:t>95</w:t>
            </w:r>
          </w:p>
        </w:tc>
        <w:tc>
          <w:tcPr>
            <w:tcW w:w="730" w:type="dxa"/>
            <w:tcBorders>
              <w:top w:val="single" w:color="000000" w:sz="4" w:space="0"/>
              <w:left w:val="single" w:color="000000" w:sz="4" w:space="0"/>
              <w:bottom w:val="single" w:color="000000" w:sz="4" w:space="0"/>
              <w:right w:val="single" w:color="000000" w:sz="4" w:space="0"/>
            </w:tcBorders>
            <w:vAlign w:val="center"/>
          </w:tcPr>
          <w:p w14:paraId="08BE94D8">
            <w:pPr>
              <w:pStyle w:val="42"/>
              <w:bidi w:val="0"/>
              <w:jc w:val="center"/>
            </w:pPr>
            <w:r>
              <w:t>89</w:t>
            </w:r>
          </w:p>
        </w:tc>
        <w:tc>
          <w:tcPr>
            <w:tcW w:w="731" w:type="dxa"/>
            <w:tcBorders>
              <w:top w:val="single" w:color="000000" w:sz="4" w:space="0"/>
              <w:left w:val="single" w:color="000000" w:sz="4" w:space="0"/>
              <w:bottom w:val="single" w:color="000000" w:sz="4" w:space="0"/>
              <w:right w:val="single" w:color="000000" w:sz="4" w:space="0"/>
            </w:tcBorders>
            <w:vAlign w:val="center"/>
          </w:tcPr>
          <w:p w14:paraId="1E12F0B6">
            <w:pPr>
              <w:pStyle w:val="42"/>
              <w:bidi w:val="0"/>
              <w:jc w:val="center"/>
            </w:pPr>
            <w:r>
              <w:t>83</w:t>
            </w:r>
          </w:p>
        </w:tc>
        <w:tc>
          <w:tcPr>
            <w:tcW w:w="731" w:type="dxa"/>
            <w:tcBorders>
              <w:top w:val="single" w:color="000000" w:sz="4" w:space="0"/>
              <w:left w:val="single" w:color="000000" w:sz="4" w:space="0"/>
              <w:bottom w:val="single" w:color="000000" w:sz="4" w:space="0"/>
              <w:right w:val="single" w:color="000000" w:sz="4" w:space="0"/>
            </w:tcBorders>
            <w:vAlign w:val="center"/>
          </w:tcPr>
          <w:p w14:paraId="0AEF2705">
            <w:pPr>
              <w:pStyle w:val="42"/>
              <w:bidi w:val="0"/>
              <w:jc w:val="center"/>
            </w:pPr>
            <w:r>
              <w:t>79</w:t>
            </w:r>
          </w:p>
        </w:tc>
        <w:tc>
          <w:tcPr>
            <w:tcW w:w="731" w:type="dxa"/>
            <w:tcBorders>
              <w:top w:val="single" w:color="000000" w:sz="4" w:space="0"/>
              <w:left w:val="single" w:color="000000" w:sz="4" w:space="0"/>
              <w:bottom w:val="single" w:color="000000" w:sz="4" w:space="0"/>
              <w:right w:val="single" w:color="000000" w:sz="4" w:space="0"/>
            </w:tcBorders>
            <w:vAlign w:val="center"/>
          </w:tcPr>
          <w:p w14:paraId="17931327">
            <w:pPr>
              <w:pStyle w:val="42"/>
              <w:bidi w:val="0"/>
              <w:jc w:val="center"/>
            </w:pPr>
            <w:r>
              <w:t>77</w:t>
            </w:r>
          </w:p>
        </w:tc>
        <w:tc>
          <w:tcPr>
            <w:tcW w:w="735" w:type="dxa"/>
            <w:tcBorders>
              <w:top w:val="single" w:color="000000" w:sz="4" w:space="0"/>
              <w:left w:val="single" w:color="000000" w:sz="4" w:space="0"/>
              <w:bottom w:val="single" w:color="000000" w:sz="4" w:space="0"/>
              <w:right w:val="single" w:color="000000" w:sz="4" w:space="0"/>
            </w:tcBorders>
            <w:vAlign w:val="center"/>
          </w:tcPr>
          <w:p w14:paraId="21B77F19">
            <w:pPr>
              <w:pStyle w:val="42"/>
              <w:bidi w:val="0"/>
              <w:jc w:val="center"/>
            </w:pPr>
            <w:r>
              <w:t>75</w:t>
            </w:r>
          </w:p>
        </w:tc>
        <w:tc>
          <w:tcPr>
            <w:tcW w:w="731" w:type="dxa"/>
            <w:tcBorders>
              <w:top w:val="single" w:color="000000" w:sz="4" w:space="0"/>
              <w:left w:val="single" w:color="000000" w:sz="4" w:space="0"/>
              <w:bottom w:val="single" w:color="000000" w:sz="4" w:space="0"/>
              <w:right w:val="single" w:color="000000" w:sz="4" w:space="0"/>
            </w:tcBorders>
            <w:vAlign w:val="center"/>
          </w:tcPr>
          <w:p w14:paraId="4460D555">
            <w:pPr>
              <w:pStyle w:val="42"/>
              <w:bidi w:val="0"/>
              <w:jc w:val="center"/>
            </w:pPr>
            <w:r>
              <w:t>71</w:t>
            </w:r>
          </w:p>
        </w:tc>
        <w:tc>
          <w:tcPr>
            <w:tcW w:w="679" w:type="dxa"/>
            <w:tcBorders>
              <w:top w:val="single" w:color="000000" w:sz="4" w:space="0"/>
              <w:left w:val="single" w:color="000000" w:sz="4" w:space="0"/>
              <w:bottom w:val="single" w:color="000000" w:sz="4" w:space="0"/>
              <w:right w:val="single" w:color="000000" w:sz="12" w:space="0"/>
            </w:tcBorders>
            <w:vAlign w:val="center"/>
          </w:tcPr>
          <w:p w14:paraId="7D79DBF0">
            <w:pPr>
              <w:pStyle w:val="42"/>
              <w:bidi w:val="0"/>
              <w:jc w:val="center"/>
            </w:pPr>
            <w:r>
              <w:t>69</w:t>
            </w:r>
          </w:p>
        </w:tc>
      </w:tr>
      <w:tr w14:paraId="2878F7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0E4A8BCA">
            <w:pPr>
              <w:pStyle w:val="42"/>
              <w:bidi w:val="0"/>
              <w:jc w:val="center"/>
            </w:pPr>
            <w:r>
              <w:t>6</w:t>
            </w:r>
          </w:p>
        </w:tc>
        <w:tc>
          <w:tcPr>
            <w:tcW w:w="1253" w:type="dxa"/>
            <w:tcBorders>
              <w:top w:val="single" w:color="000000" w:sz="4" w:space="0"/>
              <w:left w:val="single" w:color="000000" w:sz="4" w:space="0"/>
              <w:bottom w:val="single" w:color="000000" w:sz="4" w:space="0"/>
              <w:right w:val="single" w:color="000000" w:sz="4" w:space="0"/>
            </w:tcBorders>
            <w:vAlign w:val="center"/>
          </w:tcPr>
          <w:p w14:paraId="56AEA0F3">
            <w:pPr>
              <w:pStyle w:val="42"/>
              <w:bidi w:val="0"/>
              <w:jc w:val="center"/>
            </w:pPr>
            <w:r>
              <w:t>电锤</w:t>
            </w:r>
          </w:p>
        </w:tc>
        <w:tc>
          <w:tcPr>
            <w:tcW w:w="763" w:type="dxa"/>
            <w:tcBorders>
              <w:top w:val="single" w:color="000000" w:sz="4" w:space="0"/>
              <w:left w:val="single" w:color="000000" w:sz="4" w:space="0"/>
              <w:bottom w:val="single" w:color="000000" w:sz="4" w:space="0"/>
              <w:right w:val="single" w:color="000000" w:sz="4" w:space="0"/>
            </w:tcBorders>
            <w:vAlign w:val="center"/>
          </w:tcPr>
          <w:p w14:paraId="1D63DABC">
            <w:pPr>
              <w:pStyle w:val="42"/>
              <w:bidi w:val="0"/>
              <w:jc w:val="center"/>
            </w:pPr>
            <w:r>
              <w:t>105</w:t>
            </w:r>
          </w:p>
        </w:tc>
        <w:tc>
          <w:tcPr>
            <w:tcW w:w="628" w:type="dxa"/>
            <w:tcBorders>
              <w:top w:val="single" w:color="000000" w:sz="4" w:space="0"/>
              <w:left w:val="single" w:color="000000" w:sz="4" w:space="0"/>
              <w:bottom w:val="single" w:color="000000" w:sz="4" w:space="0"/>
              <w:right w:val="single" w:color="000000" w:sz="4" w:space="0"/>
            </w:tcBorders>
            <w:vAlign w:val="center"/>
          </w:tcPr>
          <w:p w14:paraId="1C45D674">
            <w:pPr>
              <w:pStyle w:val="42"/>
              <w:bidi w:val="0"/>
              <w:jc w:val="center"/>
            </w:pPr>
            <w:r>
              <w:t>91</w:t>
            </w:r>
          </w:p>
        </w:tc>
        <w:tc>
          <w:tcPr>
            <w:tcW w:w="731" w:type="dxa"/>
            <w:tcBorders>
              <w:top w:val="single" w:color="000000" w:sz="4" w:space="0"/>
              <w:left w:val="single" w:color="000000" w:sz="4" w:space="0"/>
              <w:bottom w:val="single" w:color="000000" w:sz="4" w:space="0"/>
              <w:right w:val="single" w:color="000000" w:sz="4" w:space="0"/>
            </w:tcBorders>
            <w:vAlign w:val="center"/>
          </w:tcPr>
          <w:p w14:paraId="30D71655">
            <w:pPr>
              <w:pStyle w:val="42"/>
              <w:bidi w:val="0"/>
              <w:jc w:val="center"/>
            </w:pPr>
            <w:r>
              <w:t>85</w:t>
            </w:r>
          </w:p>
        </w:tc>
        <w:tc>
          <w:tcPr>
            <w:tcW w:w="730" w:type="dxa"/>
            <w:tcBorders>
              <w:top w:val="single" w:color="000000" w:sz="4" w:space="0"/>
              <w:left w:val="single" w:color="000000" w:sz="4" w:space="0"/>
              <w:bottom w:val="single" w:color="000000" w:sz="4" w:space="0"/>
              <w:right w:val="single" w:color="000000" w:sz="4" w:space="0"/>
            </w:tcBorders>
            <w:vAlign w:val="center"/>
          </w:tcPr>
          <w:p w14:paraId="5035E237">
            <w:pPr>
              <w:pStyle w:val="42"/>
              <w:bidi w:val="0"/>
              <w:jc w:val="center"/>
            </w:pPr>
            <w:r>
              <w:t>79</w:t>
            </w:r>
          </w:p>
        </w:tc>
        <w:tc>
          <w:tcPr>
            <w:tcW w:w="731" w:type="dxa"/>
            <w:tcBorders>
              <w:top w:val="single" w:color="000000" w:sz="4" w:space="0"/>
              <w:left w:val="single" w:color="000000" w:sz="4" w:space="0"/>
              <w:bottom w:val="single" w:color="000000" w:sz="4" w:space="0"/>
              <w:right w:val="single" w:color="000000" w:sz="4" w:space="0"/>
            </w:tcBorders>
            <w:vAlign w:val="center"/>
          </w:tcPr>
          <w:p w14:paraId="10361567">
            <w:pPr>
              <w:pStyle w:val="42"/>
              <w:bidi w:val="0"/>
              <w:jc w:val="center"/>
            </w:pPr>
            <w:r>
              <w:t>73</w:t>
            </w:r>
          </w:p>
        </w:tc>
        <w:tc>
          <w:tcPr>
            <w:tcW w:w="731" w:type="dxa"/>
            <w:tcBorders>
              <w:top w:val="single" w:color="000000" w:sz="4" w:space="0"/>
              <w:left w:val="single" w:color="000000" w:sz="4" w:space="0"/>
              <w:bottom w:val="single" w:color="000000" w:sz="4" w:space="0"/>
              <w:right w:val="single" w:color="000000" w:sz="4" w:space="0"/>
            </w:tcBorders>
            <w:vAlign w:val="center"/>
          </w:tcPr>
          <w:p w14:paraId="6C28CCED">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1714FA94">
            <w:pPr>
              <w:pStyle w:val="42"/>
              <w:bidi w:val="0"/>
              <w:jc w:val="center"/>
            </w:pPr>
            <w:r>
              <w:t>67</w:t>
            </w:r>
          </w:p>
        </w:tc>
        <w:tc>
          <w:tcPr>
            <w:tcW w:w="735" w:type="dxa"/>
            <w:tcBorders>
              <w:top w:val="single" w:color="000000" w:sz="4" w:space="0"/>
              <w:left w:val="single" w:color="000000" w:sz="4" w:space="0"/>
              <w:bottom w:val="single" w:color="000000" w:sz="4" w:space="0"/>
              <w:right w:val="single" w:color="000000" w:sz="4" w:space="0"/>
            </w:tcBorders>
            <w:vAlign w:val="center"/>
          </w:tcPr>
          <w:p w14:paraId="0A19E7BF">
            <w:pPr>
              <w:pStyle w:val="42"/>
              <w:bidi w:val="0"/>
              <w:jc w:val="center"/>
            </w:pPr>
            <w:r>
              <w:t>65</w:t>
            </w:r>
          </w:p>
        </w:tc>
        <w:tc>
          <w:tcPr>
            <w:tcW w:w="731" w:type="dxa"/>
            <w:tcBorders>
              <w:top w:val="single" w:color="000000" w:sz="4" w:space="0"/>
              <w:left w:val="single" w:color="000000" w:sz="4" w:space="0"/>
              <w:bottom w:val="single" w:color="000000" w:sz="4" w:space="0"/>
              <w:right w:val="single" w:color="000000" w:sz="4" w:space="0"/>
            </w:tcBorders>
            <w:vAlign w:val="center"/>
          </w:tcPr>
          <w:p w14:paraId="37863D7E">
            <w:pPr>
              <w:pStyle w:val="42"/>
              <w:bidi w:val="0"/>
              <w:jc w:val="center"/>
            </w:pPr>
            <w:r>
              <w:t>61</w:t>
            </w:r>
          </w:p>
        </w:tc>
        <w:tc>
          <w:tcPr>
            <w:tcW w:w="679" w:type="dxa"/>
            <w:tcBorders>
              <w:top w:val="single" w:color="000000" w:sz="4" w:space="0"/>
              <w:left w:val="single" w:color="000000" w:sz="4" w:space="0"/>
              <w:bottom w:val="single" w:color="000000" w:sz="4" w:space="0"/>
              <w:right w:val="single" w:color="000000" w:sz="12" w:space="0"/>
            </w:tcBorders>
            <w:vAlign w:val="center"/>
          </w:tcPr>
          <w:p w14:paraId="7430B200">
            <w:pPr>
              <w:pStyle w:val="42"/>
              <w:bidi w:val="0"/>
              <w:jc w:val="center"/>
            </w:pPr>
            <w:r>
              <w:t>59</w:t>
            </w:r>
          </w:p>
        </w:tc>
      </w:tr>
      <w:tr w14:paraId="708089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756363AE">
            <w:pPr>
              <w:pStyle w:val="42"/>
              <w:bidi w:val="0"/>
              <w:jc w:val="center"/>
            </w:pPr>
            <w:r>
              <w:t>7</w:t>
            </w:r>
          </w:p>
        </w:tc>
        <w:tc>
          <w:tcPr>
            <w:tcW w:w="1253" w:type="dxa"/>
            <w:tcBorders>
              <w:top w:val="single" w:color="000000" w:sz="4" w:space="0"/>
              <w:left w:val="single" w:color="000000" w:sz="4" w:space="0"/>
              <w:bottom w:val="single" w:color="000000" w:sz="4" w:space="0"/>
              <w:right w:val="single" w:color="000000" w:sz="4" w:space="0"/>
            </w:tcBorders>
            <w:vAlign w:val="center"/>
          </w:tcPr>
          <w:p w14:paraId="078EDB4B">
            <w:pPr>
              <w:pStyle w:val="42"/>
              <w:bidi w:val="0"/>
              <w:jc w:val="center"/>
            </w:pPr>
            <w:r>
              <w:t>无齿锯</w:t>
            </w:r>
          </w:p>
        </w:tc>
        <w:tc>
          <w:tcPr>
            <w:tcW w:w="763" w:type="dxa"/>
            <w:tcBorders>
              <w:top w:val="single" w:color="000000" w:sz="4" w:space="0"/>
              <w:left w:val="single" w:color="000000" w:sz="4" w:space="0"/>
              <w:bottom w:val="single" w:color="000000" w:sz="4" w:space="0"/>
              <w:right w:val="single" w:color="000000" w:sz="4" w:space="0"/>
            </w:tcBorders>
            <w:vAlign w:val="center"/>
          </w:tcPr>
          <w:p w14:paraId="7C54F49D">
            <w:pPr>
              <w:pStyle w:val="42"/>
              <w:bidi w:val="0"/>
              <w:jc w:val="center"/>
            </w:pPr>
            <w:r>
              <w:t>105</w:t>
            </w:r>
          </w:p>
        </w:tc>
        <w:tc>
          <w:tcPr>
            <w:tcW w:w="628" w:type="dxa"/>
            <w:tcBorders>
              <w:top w:val="single" w:color="000000" w:sz="4" w:space="0"/>
              <w:left w:val="single" w:color="000000" w:sz="4" w:space="0"/>
              <w:bottom w:val="single" w:color="000000" w:sz="4" w:space="0"/>
              <w:right w:val="single" w:color="000000" w:sz="4" w:space="0"/>
            </w:tcBorders>
            <w:vAlign w:val="center"/>
          </w:tcPr>
          <w:p w14:paraId="582BB1AD">
            <w:pPr>
              <w:pStyle w:val="42"/>
              <w:bidi w:val="0"/>
              <w:jc w:val="center"/>
            </w:pPr>
            <w:r>
              <w:t>91</w:t>
            </w:r>
          </w:p>
        </w:tc>
        <w:tc>
          <w:tcPr>
            <w:tcW w:w="731" w:type="dxa"/>
            <w:tcBorders>
              <w:top w:val="single" w:color="000000" w:sz="4" w:space="0"/>
              <w:left w:val="single" w:color="000000" w:sz="4" w:space="0"/>
              <w:bottom w:val="single" w:color="000000" w:sz="4" w:space="0"/>
              <w:right w:val="single" w:color="000000" w:sz="4" w:space="0"/>
            </w:tcBorders>
            <w:vAlign w:val="center"/>
          </w:tcPr>
          <w:p w14:paraId="0BD5E735">
            <w:pPr>
              <w:pStyle w:val="42"/>
              <w:bidi w:val="0"/>
              <w:jc w:val="center"/>
            </w:pPr>
            <w:r>
              <w:t>85</w:t>
            </w:r>
          </w:p>
        </w:tc>
        <w:tc>
          <w:tcPr>
            <w:tcW w:w="730" w:type="dxa"/>
            <w:tcBorders>
              <w:top w:val="single" w:color="000000" w:sz="4" w:space="0"/>
              <w:left w:val="single" w:color="000000" w:sz="4" w:space="0"/>
              <w:bottom w:val="single" w:color="000000" w:sz="4" w:space="0"/>
              <w:right w:val="single" w:color="000000" w:sz="4" w:space="0"/>
            </w:tcBorders>
            <w:vAlign w:val="center"/>
          </w:tcPr>
          <w:p w14:paraId="784A4322">
            <w:pPr>
              <w:pStyle w:val="42"/>
              <w:bidi w:val="0"/>
              <w:jc w:val="center"/>
            </w:pPr>
            <w:r>
              <w:t>79</w:t>
            </w:r>
          </w:p>
        </w:tc>
        <w:tc>
          <w:tcPr>
            <w:tcW w:w="731" w:type="dxa"/>
            <w:tcBorders>
              <w:top w:val="single" w:color="000000" w:sz="4" w:space="0"/>
              <w:left w:val="single" w:color="000000" w:sz="4" w:space="0"/>
              <w:bottom w:val="single" w:color="000000" w:sz="4" w:space="0"/>
              <w:right w:val="single" w:color="000000" w:sz="4" w:space="0"/>
            </w:tcBorders>
            <w:vAlign w:val="center"/>
          </w:tcPr>
          <w:p w14:paraId="1E6C273A">
            <w:pPr>
              <w:pStyle w:val="42"/>
              <w:bidi w:val="0"/>
              <w:jc w:val="center"/>
            </w:pPr>
            <w:r>
              <w:t>73</w:t>
            </w:r>
          </w:p>
        </w:tc>
        <w:tc>
          <w:tcPr>
            <w:tcW w:w="731" w:type="dxa"/>
            <w:tcBorders>
              <w:top w:val="single" w:color="000000" w:sz="4" w:space="0"/>
              <w:left w:val="single" w:color="000000" w:sz="4" w:space="0"/>
              <w:bottom w:val="single" w:color="000000" w:sz="4" w:space="0"/>
              <w:right w:val="single" w:color="000000" w:sz="4" w:space="0"/>
            </w:tcBorders>
            <w:vAlign w:val="center"/>
          </w:tcPr>
          <w:p w14:paraId="53421089">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3E020C6E">
            <w:pPr>
              <w:pStyle w:val="42"/>
              <w:bidi w:val="0"/>
              <w:jc w:val="center"/>
            </w:pPr>
            <w:r>
              <w:t>67</w:t>
            </w:r>
          </w:p>
        </w:tc>
        <w:tc>
          <w:tcPr>
            <w:tcW w:w="735" w:type="dxa"/>
            <w:tcBorders>
              <w:top w:val="single" w:color="000000" w:sz="4" w:space="0"/>
              <w:left w:val="single" w:color="000000" w:sz="4" w:space="0"/>
              <w:bottom w:val="single" w:color="000000" w:sz="4" w:space="0"/>
              <w:right w:val="single" w:color="000000" w:sz="4" w:space="0"/>
            </w:tcBorders>
            <w:vAlign w:val="center"/>
          </w:tcPr>
          <w:p w14:paraId="147DAAD2">
            <w:pPr>
              <w:pStyle w:val="42"/>
              <w:bidi w:val="0"/>
              <w:jc w:val="center"/>
            </w:pPr>
            <w:r>
              <w:t>65</w:t>
            </w:r>
          </w:p>
        </w:tc>
        <w:tc>
          <w:tcPr>
            <w:tcW w:w="731" w:type="dxa"/>
            <w:tcBorders>
              <w:top w:val="single" w:color="000000" w:sz="4" w:space="0"/>
              <w:left w:val="single" w:color="000000" w:sz="4" w:space="0"/>
              <w:bottom w:val="single" w:color="000000" w:sz="4" w:space="0"/>
              <w:right w:val="single" w:color="000000" w:sz="4" w:space="0"/>
            </w:tcBorders>
            <w:vAlign w:val="center"/>
          </w:tcPr>
          <w:p w14:paraId="48764A6F">
            <w:pPr>
              <w:pStyle w:val="42"/>
              <w:bidi w:val="0"/>
              <w:jc w:val="center"/>
            </w:pPr>
            <w:r>
              <w:t>61</w:t>
            </w:r>
          </w:p>
        </w:tc>
        <w:tc>
          <w:tcPr>
            <w:tcW w:w="679" w:type="dxa"/>
            <w:tcBorders>
              <w:top w:val="single" w:color="000000" w:sz="4" w:space="0"/>
              <w:left w:val="single" w:color="000000" w:sz="4" w:space="0"/>
              <w:bottom w:val="single" w:color="000000" w:sz="4" w:space="0"/>
              <w:right w:val="single" w:color="000000" w:sz="12" w:space="0"/>
            </w:tcBorders>
            <w:vAlign w:val="center"/>
          </w:tcPr>
          <w:p w14:paraId="41F37A1C">
            <w:pPr>
              <w:pStyle w:val="42"/>
              <w:bidi w:val="0"/>
              <w:jc w:val="center"/>
            </w:pPr>
            <w:r>
              <w:t>59</w:t>
            </w:r>
          </w:p>
        </w:tc>
      </w:tr>
      <w:tr w14:paraId="774996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155F0AD7">
            <w:pPr>
              <w:pStyle w:val="42"/>
              <w:bidi w:val="0"/>
              <w:jc w:val="center"/>
            </w:pPr>
            <w:r>
              <w:t>8</w:t>
            </w:r>
          </w:p>
        </w:tc>
        <w:tc>
          <w:tcPr>
            <w:tcW w:w="1253" w:type="dxa"/>
            <w:tcBorders>
              <w:top w:val="single" w:color="000000" w:sz="4" w:space="0"/>
              <w:left w:val="single" w:color="000000" w:sz="4" w:space="0"/>
              <w:bottom w:val="single" w:color="000000" w:sz="4" w:space="0"/>
              <w:right w:val="single" w:color="000000" w:sz="4" w:space="0"/>
            </w:tcBorders>
            <w:vAlign w:val="center"/>
          </w:tcPr>
          <w:p w14:paraId="68919E41">
            <w:pPr>
              <w:pStyle w:val="42"/>
              <w:bidi w:val="0"/>
              <w:jc w:val="center"/>
            </w:pPr>
            <w:r>
              <w:t>混凝土搅拌机</w:t>
            </w:r>
          </w:p>
        </w:tc>
        <w:tc>
          <w:tcPr>
            <w:tcW w:w="763" w:type="dxa"/>
            <w:tcBorders>
              <w:top w:val="single" w:color="000000" w:sz="4" w:space="0"/>
              <w:left w:val="single" w:color="000000" w:sz="4" w:space="0"/>
              <w:bottom w:val="single" w:color="000000" w:sz="4" w:space="0"/>
              <w:right w:val="single" w:color="000000" w:sz="4" w:space="0"/>
            </w:tcBorders>
            <w:vAlign w:val="center"/>
          </w:tcPr>
          <w:p w14:paraId="74CEC4B0">
            <w:pPr>
              <w:pStyle w:val="42"/>
              <w:bidi w:val="0"/>
              <w:jc w:val="center"/>
            </w:pPr>
            <w:r>
              <w:t>110</w:t>
            </w:r>
          </w:p>
        </w:tc>
        <w:tc>
          <w:tcPr>
            <w:tcW w:w="628" w:type="dxa"/>
            <w:tcBorders>
              <w:top w:val="single" w:color="000000" w:sz="4" w:space="0"/>
              <w:left w:val="single" w:color="000000" w:sz="4" w:space="0"/>
              <w:bottom w:val="single" w:color="000000" w:sz="4" w:space="0"/>
              <w:right w:val="single" w:color="000000" w:sz="4" w:space="0"/>
            </w:tcBorders>
            <w:vAlign w:val="center"/>
          </w:tcPr>
          <w:p w14:paraId="5BD21A44">
            <w:pPr>
              <w:pStyle w:val="42"/>
              <w:bidi w:val="0"/>
              <w:jc w:val="center"/>
            </w:pPr>
            <w:r>
              <w:t>96</w:t>
            </w:r>
          </w:p>
        </w:tc>
        <w:tc>
          <w:tcPr>
            <w:tcW w:w="731" w:type="dxa"/>
            <w:tcBorders>
              <w:top w:val="single" w:color="000000" w:sz="4" w:space="0"/>
              <w:left w:val="single" w:color="000000" w:sz="4" w:space="0"/>
              <w:bottom w:val="single" w:color="000000" w:sz="4" w:space="0"/>
              <w:right w:val="single" w:color="000000" w:sz="4" w:space="0"/>
            </w:tcBorders>
            <w:vAlign w:val="center"/>
          </w:tcPr>
          <w:p w14:paraId="0975D002">
            <w:pPr>
              <w:pStyle w:val="42"/>
              <w:bidi w:val="0"/>
              <w:jc w:val="center"/>
            </w:pPr>
            <w:r>
              <w:t>90</w:t>
            </w:r>
          </w:p>
        </w:tc>
        <w:tc>
          <w:tcPr>
            <w:tcW w:w="730" w:type="dxa"/>
            <w:tcBorders>
              <w:top w:val="single" w:color="000000" w:sz="4" w:space="0"/>
              <w:left w:val="single" w:color="000000" w:sz="4" w:space="0"/>
              <w:bottom w:val="single" w:color="000000" w:sz="4" w:space="0"/>
              <w:right w:val="single" w:color="000000" w:sz="4" w:space="0"/>
            </w:tcBorders>
            <w:vAlign w:val="center"/>
          </w:tcPr>
          <w:p w14:paraId="6EF1AAD3">
            <w:pPr>
              <w:pStyle w:val="42"/>
              <w:bidi w:val="0"/>
              <w:jc w:val="center"/>
            </w:pPr>
            <w:r>
              <w:t>84</w:t>
            </w:r>
          </w:p>
        </w:tc>
        <w:tc>
          <w:tcPr>
            <w:tcW w:w="731" w:type="dxa"/>
            <w:tcBorders>
              <w:top w:val="single" w:color="000000" w:sz="4" w:space="0"/>
              <w:left w:val="single" w:color="000000" w:sz="4" w:space="0"/>
              <w:bottom w:val="single" w:color="000000" w:sz="4" w:space="0"/>
              <w:right w:val="single" w:color="000000" w:sz="4" w:space="0"/>
            </w:tcBorders>
            <w:vAlign w:val="center"/>
          </w:tcPr>
          <w:p w14:paraId="3047D181">
            <w:pPr>
              <w:pStyle w:val="42"/>
              <w:bidi w:val="0"/>
              <w:jc w:val="center"/>
            </w:pPr>
            <w:r>
              <w:t>78</w:t>
            </w:r>
          </w:p>
        </w:tc>
        <w:tc>
          <w:tcPr>
            <w:tcW w:w="731" w:type="dxa"/>
            <w:tcBorders>
              <w:top w:val="single" w:color="000000" w:sz="4" w:space="0"/>
              <w:left w:val="single" w:color="000000" w:sz="4" w:space="0"/>
              <w:bottom w:val="single" w:color="000000" w:sz="4" w:space="0"/>
              <w:right w:val="single" w:color="000000" w:sz="4" w:space="0"/>
            </w:tcBorders>
            <w:vAlign w:val="center"/>
          </w:tcPr>
          <w:p w14:paraId="4CCD4B76">
            <w:pPr>
              <w:pStyle w:val="42"/>
              <w:bidi w:val="0"/>
              <w:jc w:val="center"/>
            </w:pPr>
            <w:r>
              <w:t>74</w:t>
            </w:r>
          </w:p>
        </w:tc>
        <w:tc>
          <w:tcPr>
            <w:tcW w:w="731" w:type="dxa"/>
            <w:tcBorders>
              <w:top w:val="single" w:color="000000" w:sz="4" w:space="0"/>
              <w:left w:val="single" w:color="000000" w:sz="4" w:space="0"/>
              <w:bottom w:val="single" w:color="000000" w:sz="4" w:space="0"/>
              <w:right w:val="single" w:color="000000" w:sz="4" w:space="0"/>
            </w:tcBorders>
            <w:vAlign w:val="center"/>
          </w:tcPr>
          <w:p w14:paraId="52002497">
            <w:pPr>
              <w:pStyle w:val="42"/>
              <w:bidi w:val="0"/>
              <w:jc w:val="center"/>
            </w:pPr>
            <w:r>
              <w:t>72</w:t>
            </w:r>
          </w:p>
        </w:tc>
        <w:tc>
          <w:tcPr>
            <w:tcW w:w="735" w:type="dxa"/>
            <w:tcBorders>
              <w:top w:val="single" w:color="000000" w:sz="4" w:space="0"/>
              <w:left w:val="single" w:color="000000" w:sz="4" w:space="0"/>
              <w:bottom w:val="single" w:color="000000" w:sz="4" w:space="0"/>
              <w:right w:val="single" w:color="000000" w:sz="4" w:space="0"/>
            </w:tcBorders>
            <w:vAlign w:val="center"/>
          </w:tcPr>
          <w:p w14:paraId="68B96C82">
            <w:pPr>
              <w:pStyle w:val="42"/>
              <w:bidi w:val="0"/>
              <w:jc w:val="center"/>
            </w:pPr>
            <w:r>
              <w:t>70</w:t>
            </w:r>
          </w:p>
        </w:tc>
        <w:tc>
          <w:tcPr>
            <w:tcW w:w="731" w:type="dxa"/>
            <w:tcBorders>
              <w:top w:val="single" w:color="000000" w:sz="4" w:space="0"/>
              <w:left w:val="single" w:color="000000" w:sz="4" w:space="0"/>
              <w:bottom w:val="single" w:color="000000" w:sz="4" w:space="0"/>
              <w:right w:val="single" w:color="000000" w:sz="4" w:space="0"/>
            </w:tcBorders>
            <w:vAlign w:val="center"/>
          </w:tcPr>
          <w:p w14:paraId="18C8012C">
            <w:pPr>
              <w:pStyle w:val="42"/>
              <w:bidi w:val="0"/>
              <w:jc w:val="center"/>
            </w:pPr>
            <w:r>
              <w:t>66</w:t>
            </w:r>
          </w:p>
        </w:tc>
        <w:tc>
          <w:tcPr>
            <w:tcW w:w="679" w:type="dxa"/>
            <w:tcBorders>
              <w:top w:val="single" w:color="000000" w:sz="4" w:space="0"/>
              <w:left w:val="single" w:color="000000" w:sz="4" w:space="0"/>
              <w:bottom w:val="single" w:color="000000" w:sz="4" w:space="0"/>
              <w:right w:val="single" w:color="000000" w:sz="12" w:space="0"/>
            </w:tcBorders>
            <w:vAlign w:val="center"/>
          </w:tcPr>
          <w:p w14:paraId="71329EE7">
            <w:pPr>
              <w:pStyle w:val="42"/>
              <w:bidi w:val="0"/>
              <w:jc w:val="center"/>
            </w:pPr>
            <w:r>
              <w:t>64</w:t>
            </w:r>
          </w:p>
        </w:tc>
      </w:tr>
      <w:tr w14:paraId="02561F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0828169B">
            <w:pPr>
              <w:pStyle w:val="42"/>
              <w:bidi w:val="0"/>
              <w:jc w:val="center"/>
            </w:pPr>
            <w:r>
              <w:t>9</w:t>
            </w:r>
          </w:p>
        </w:tc>
        <w:tc>
          <w:tcPr>
            <w:tcW w:w="1253" w:type="dxa"/>
            <w:tcBorders>
              <w:top w:val="single" w:color="000000" w:sz="4" w:space="0"/>
              <w:left w:val="single" w:color="000000" w:sz="4" w:space="0"/>
              <w:bottom w:val="single" w:color="000000" w:sz="4" w:space="0"/>
              <w:right w:val="single" w:color="000000" w:sz="4" w:space="0"/>
            </w:tcBorders>
            <w:vAlign w:val="center"/>
          </w:tcPr>
          <w:p w14:paraId="5D2D7F6E">
            <w:pPr>
              <w:pStyle w:val="42"/>
              <w:bidi w:val="0"/>
              <w:jc w:val="center"/>
            </w:pPr>
            <w:r>
              <w:t>混凝土输送泵</w:t>
            </w:r>
          </w:p>
        </w:tc>
        <w:tc>
          <w:tcPr>
            <w:tcW w:w="763" w:type="dxa"/>
            <w:tcBorders>
              <w:top w:val="single" w:color="000000" w:sz="4" w:space="0"/>
              <w:left w:val="single" w:color="000000" w:sz="4" w:space="0"/>
              <w:bottom w:val="single" w:color="000000" w:sz="4" w:space="0"/>
              <w:right w:val="single" w:color="000000" w:sz="4" w:space="0"/>
            </w:tcBorders>
            <w:vAlign w:val="center"/>
          </w:tcPr>
          <w:p w14:paraId="1781691F">
            <w:pPr>
              <w:pStyle w:val="42"/>
              <w:bidi w:val="0"/>
              <w:jc w:val="center"/>
            </w:pPr>
            <w:r>
              <w:t>100</w:t>
            </w:r>
          </w:p>
        </w:tc>
        <w:tc>
          <w:tcPr>
            <w:tcW w:w="628" w:type="dxa"/>
            <w:tcBorders>
              <w:top w:val="single" w:color="000000" w:sz="4" w:space="0"/>
              <w:left w:val="single" w:color="000000" w:sz="4" w:space="0"/>
              <w:bottom w:val="single" w:color="000000" w:sz="4" w:space="0"/>
              <w:right w:val="single" w:color="000000" w:sz="4" w:space="0"/>
            </w:tcBorders>
            <w:vAlign w:val="center"/>
          </w:tcPr>
          <w:p w14:paraId="4C1496A3">
            <w:pPr>
              <w:pStyle w:val="42"/>
              <w:bidi w:val="0"/>
              <w:jc w:val="center"/>
            </w:pPr>
            <w:r>
              <w:t>86</w:t>
            </w:r>
          </w:p>
        </w:tc>
        <w:tc>
          <w:tcPr>
            <w:tcW w:w="731" w:type="dxa"/>
            <w:tcBorders>
              <w:top w:val="single" w:color="000000" w:sz="4" w:space="0"/>
              <w:left w:val="single" w:color="000000" w:sz="4" w:space="0"/>
              <w:bottom w:val="single" w:color="000000" w:sz="4" w:space="0"/>
              <w:right w:val="single" w:color="000000" w:sz="4" w:space="0"/>
            </w:tcBorders>
            <w:vAlign w:val="center"/>
          </w:tcPr>
          <w:p w14:paraId="50E636FE">
            <w:pPr>
              <w:pStyle w:val="42"/>
              <w:bidi w:val="0"/>
              <w:jc w:val="center"/>
            </w:pPr>
            <w:r>
              <w:t>80</w:t>
            </w:r>
          </w:p>
        </w:tc>
        <w:tc>
          <w:tcPr>
            <w:tcW w:w="730" w:type="dxa"/>
            <w:tcBorders>
              <w:top w:val="single" w:color="000000" w:sz="4" w:space="0"/>
              <w:left w:val="single" w:color="000000" w:sz="4" w:space="0"/>
              <w:bottom w:val="single" w:color="000000" w:sz="4" w:space="0"/>
              <w:right w:val="single" w:color="000000" w:sz="4" w:space="0"/>
            </w:tcBorders>
            <w:vAlign w:val="center"/>
          </w:tcPr>
          <w:p w14:paraId="79916AB3">
            <w:pPr>
              <w:pStyle w:val="42"/>
              <w:bidi w:val="0"/>
              <w:jc w:val="center"/>
            </w:pPr>
            <w:r>
              <w:t>74</w:t>
            </w:r>
          </w:p>
        </w:tc>
        <w:tc>
          <w:tcPr>
            <w:tcW w:w="731" w:type="dxa"/>
            <w:tcBorders>
              <w:top w:val="single" w:color="000000" w:sz="4" w:space="0"/>
              <w:left w:val="single" w:color="000000" w:sz="4" w:space="0"/>
              <w:bottom w:val="single" w:color="000000" w:sz="4" w:space="0"/>
              <w:right w:val="single" w:color="000000" w:sz="4" w:space="0"/>
            </w:tcBorders>
            <w:vAlign w:val="center"/>
          </w:tcPr>
          <w:p w14:paraId="182BD4B0">
            <w:pPr>
              <w:pStyle w:val="42"/>
              <w:bidi w:val="0"/>
              <w:jc w:val="center"/>
            </w:pPr>
            <w:r>
              <w:t>68</w:t>
            </w:r>
          </w:p>
        </w:tc>
        <w:tc>
          <w:tcPr>
            <w:tcW w:w="731" w:type="dxa"/>
            <w:tcBorders>
              <w:top w:val="single" w:color="000000" w:sz="4" w:space="0"/>
              <w:left w:val="single" w:color="000000" w:sz="4" w:space="0"/>
              <w:bottom w:val="single" w:color="000000" w:sz="4" w:space="0"/>
              <w:right w:val="single" w:color="000000" w:sz="4" w:space="0"/>
            </w:tcBorders>
            <w:vAlign w:val="center"/>
          </w:tcPr>
          <w:p w14:paraId="4CCAD22D">
            <w:pPr>
              <w:pStyle w:val="42"/>
              <w:bidi w:val="0"/>
              <w:jc w:val="center"/>
            </w:pPr>
            <w:r>
              <w:t>64</w:t>
            </w:r>
          </w:p>
        </w:tc>
        <w:tc>
          <w:tcPr>
            <w:tcW w:w="731" w:type="dxa"/>
            <w:tcBorders>
              <w:top w:val="single" w:color="000000" w:sz="4" w:space="0"/>
              <w:left w:val="single" w:color="000000" w:sz="4" w:space="0"/>
              <w:bottom w:val="single" w:color="000000" w:sz="4" w:space="0"/>
              <w:right w:val="single" w:color="000000" w:sz="4" w:space="0"/>
            </w:tcBorders>
            <w:vAlign w:val="center"/>
          </w:tcPr>
          <w:p w14:paraId="2D16DC5D">
            <w:pPr>
              <w:pStyle w:val="42"/>
              <w:bidi w:val="0"/>
              <w:jc w:val="center"/>
            </w:pPr>
            <w:r>
              <w:t>62</w:t>
            </w:r>
          </w:p>
        </w:tc>
        <w:tc>
          <w:tcPr>
            <w:tcW w:w="735" w:type="dxa"/>
            <w:tcBorders>
              <w:top w:val="single" w:color="000000" w:sz="4" w:space="0"/>
              <w:left w:val="single" w:color="000000" w:sz="4" w:space="0"/>
              <w:bottom w:val="single" w:color="000000" w:sz="4" w:space="0"/>
              <w:right w:val="single" w:color="000000" w:sz="4" w:space="0"/>
            </w:tcBorders>
            <w:vAlign w:val="center"/>
          </w:tcPr>
          <w:p w14:paraId="204FBCE6">
            <w:pPr>
              <w:pStyle w:val="42"/>
              <w:bidi w:val="0"/>
              <w:jc w:val="center"/>
            </w:pPr>
            <w:r>
              <w:t>60</w:t>
            </w:r>
          </w:p>
        </w:tc>
        <w:tc>
          <w:tcPr>
            <w:tcW w:w="731" w:type="dxa"/>
            <w:tcBorders>
              <w:top w:val="single" w:color="000000" w:sz="4" w:space="0"/>
              <w:left w:val="single" w:color="000000" w:sz="4" w:space="0"/>
              <w:bottom w:val="single" w:color="000000" w:sz="4" w:space="0"/>
              <w:right w:val="single" w:color="000000" w:sz="4" w:space="0"/>
            </w:tcBorders>
            <w:vAlign w:val="center"/>
          </w:tcPr>
          <w:p w14:paraId="423B49DA">
            <w:pPr>
              <w:pStyle w:val="42"/>
              <w:bidi w:val="0"/>
              <w:jc w:val="center"/>
            </w:pPr>
            <w:r>
              <w:t>56</w:t>
            </w:r>
          </w:p>
        </w:tc>
        <w:tc>
          <w:tcPr>
            <w:tcW w:w="679" w:type="dxa"/>
            <w:tcBorders>
              <w:top w:val="single" w:color="000000" w:sz="4" w:space="0"/>
              <w:left w:val="single" w:color="000000" w:sz="4" w:space="0"/>
              <w:bottom w:val="single" w:color="000000" w:sz="4" w:space="0"/>
              <w:right w:val="single" w:color="000000" w:sz="12" w:space="0"/>
            </w:tcBorders>
            <w:vAlign w:val="center"/>
          </w:tcPr>
          <w:p w14:paraId="408A8605">
            <w:pPr>
              <w:pStyle w:val="42"/>
              <w:bidi w:val="0"/>
              <w:jc w:val="center"/>
            </w:pPr>
            <w:r>
              <w:t>54</w:t>
            </w:r>
          </w:p>
        </w:tc>
      </w:tr>
      <w:tr w14:paraId="3C4545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37EB284B">
            <w:pPr>
              <w:pStyle w:val="42"/>
              <w:bidi w:val="0"/>
              <w:jc w:val="center"/>
            </w:pPr>
            <w:r>
              <w:t>10</w:t>
            </w:r>
          </w:p>
        </w:tc>
        <w:tc>
          <w:tcPr>
            <w:tcW w:w="1253" w:type="dxa"/>
            <w:tcBorders>
              <w:top w:val="single" w:color="000000" w:sz="4" w:space="0"/>
              <w:left w:val="single" w:color="000000" w:sz="4" w:space="0"/>
              <w:bottom w:val="single" w:color="000000" w:sz="4" w:space="0"/>
              <w:right w:val="single" w:color="000000" w:sz="4" w:space="0"/>
            </w:tcBorders>
            <w:vAlign w:val="center"/>
          </w:tcPr>
          <w:p w14:paraId="2562A811">
            <w:pPr>
              <w:pStyle w:val="42"/>
              <w:bidi w:val="0"/>
              <w:jc w:val="center"/>
            </w:pPr>
            <w:r>
              <w:t>振捣器</w:t>
            </w:r>
          </w:p>
        </w:tc>
        <w:tc>
          <w:tcPr>
            <w:tcW w:w="763" w:type="dxa"/>
            <w:tcBorders>
              <w:top w:val="single" w:color="000000" w:sz="4" w:space="0"/>
              <w:left w:val="single" w:color="000000" w:sz="4" w:space="0"/>
              <w:bottom w:val="single" w:color="000000" w:sz="4" w:space="0"/>
              <w:right w:val="single" w:color="000000" w:sz="4" w:space="0"/>
            </w:tcBorders>
            <w:vAlign w:val="center"/>
          </w:tcPr>
          <w:p w14:paraId="2C03E6EB">
            <w:pPr>
              <w:pStyle w:val="42"/>
              <w:bidi w:val="0"/>
              <w:jc w:val="center"/>
            </w:pPr>
            <w:r>
              <w:t>105</w:t>
            </w:r>
          </w:p>
        </w:tc>
        <w:tc>
          <w:tcPr>
            <w:tcW w:w="628" w:type="dxa"/>
            <w:tcBorders>
              <w:top w:val="single" w:color="000000" w:sz="4" w:space="0"/>
              <w:left w:val="single" w:color="000000" w:sz="4" w:space="0"/>
              <w:bottom w:val="single" w:color="000000" w:sz="4" w:space="0"/>
              <w:right w:val="single" w:color="000000" w:sz="4" w:space="0"/>
            </w:tcBorders>
            <w:vAlign w:val="center"/>
          </w:tcPr>
          <w:p w14:paraId="633243A3">
            <w:pPr>
              <w:pStyle w:val="42"/>
              <w:bidi w:val="0"/>
              <w:jc w:val="center"/>
            </w:pPr>
            <w:r>
              <w:t>91</w:t>
            </w:r>
          </w:p>
        </w:tc>
        <w:tc>
          <w:tcPr>
            <w:tcW w:w="731" w:type="dxa"/>
            <w:tcBorders>
              <w:top w:val="single" w:color="000000" w:sz="4" w:space="0"/>
              <w:left w:val="single" w:color="000000" w:sz="4" w:space="0"/>
              <w:bottom w:val="single" w:color="000000" w:sz="4" w:space="0"/>
              <w:right w:val="single" w:color="000000" w:sz="4" w:space="0"/>
            </w:tcBorders>
            <w:vAlign w:val="center"/>
          </w:tcPr>
          <w:p w14:paraId="1F801FA6">
            <w:pPr>
              <w:pStyle w:val="42"/>
              <w:bidi w:val="0"/>
              <w:jc w:val="center"/>
            </w:pPr>
            <w:r>
              <w:t>85</w:t>
            </w:r>
          </w:p>
        </w:tc>
        <w:tc>
          <w:tcPr>
            <w:tcW w:w="730" w:type="dxa"/>
            <w:tcBorders>
              <w:top w:val="single" w:color="000000" w:sz="4" w:space="0"/>
              <w:left w:val="single" w:color="000000" w:sz="4" w:space="0"/>
              <w:bottom w:val="single" w:color="000000" w:sz="4" w:space="0"/>
              <w:right w:val="single" w:color="000000" w:sz="4" w:space="0"/>
            </w:tcBorders>
            <w:vAlign w:val="center"/>
          </w:tcPr>
          <w:p w14:paraId="2214471C">
            <w:pPr>
              <w:pStyle w:val="42"/>
              <w:bidi w:val="0"/>
              <w:jc w:val="center"/>
            </w:pPr>
            <w:r>
              <w:t>79</w:t>
            </w:r>
          </w:p>
        </w:tc>
        <w:tc>
          <w:tcPr>
            <w:tcW w:w="731" w:type="dxa"/>
            <w:tcBorders>
              <w:top w:val="single" w:color="000000" w:sz="4" w:space="0"/>
              <w:left w:val="single" w:color="000000" w:sz="4" w:space="0"/>
              <w:bottom w:val="single" w:color="000000" w:sz="4" w:space="0"/>
              <w:right w:val="single" w:color="000000" w:sz="4" w:space="0"/>
            </w:tcBorders>
            <w:vAlign w:val="center"/>
          </w:tcPr>
          <w:p w14:paraId="1FB15E55">
            <w:pPr>
              <w:pStyle w:val="42"/>
              <w:bidi w:val="0"/>
              <w:jc w:val="center"/>
            </w:pPr>
            <w:r>
              <w:t>73</w:t>
            </w:r>
          </w:p>
        </w:tc>
        <w:tc>
          <w:tcPr>
            <w:tcW w:w="731" w:type="dxa"/>
            <w:tcBorders>
              <w:top w:val="single" w:color="000000" w:sz="4" w:space="0"/>
              <w:left w:val="single" w:color="000000" w:sz="4" w:space="0"/>
              <w:bottom w:val="single" w:color="000000" w:sz="4" w:space="0"/>
              <w:right w:val="single" w:color="000000" w:sz="4" w:space="0"/>
            </w:tcBorders>
            <w:vAlign w:val="center"/>
          </w:tcPr>
          <w:p w14:paraId="0A0AF0BA">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67A28D65">
            <w:pPr>
              <w:pStyle w:val="42"/>
              <w:bidi w:val="0"/>
              <w:jc w:val="center"/>
            </w:pPr>
            <w:r>
              <w:t>67</w:t>
            </w:r>
          </w:p>
        </w:tc>
        <w:tc>
          <w:tcPr>
            <w:tcW w:w="735" w:type="dxa"/>
            <w:tcBorders>
              <w:top w:val="single" w:color="000000" w:sz="4" w:space="0"/>
              <w:left w:val="single" w:color="000000" w:sz="4" w:space="0"/>
              <w:bottom w:val="single" w:color="000000" w:sz="4" w:space="0"/>
              <w:right w:val="single" w:color="000000" w:sz="4" w:space="0"/>
            </w:tcBorders>
            <w:vAlign w:val="center"/>
          </w:tcPr>
          <w:p w14:paraId="5312C71F">
            <w:pPr>
              <w:pStyle w:val="42"/>
              <w:bidi w:val="0"/>
              <w:jc w:val="center"/>
            </w:pPr>
            <w:r>
              <w:t>65</w:t>
            </w:r>
          </w:p>
        </w:tc>
        <w:tc>
          <w:tcPr>
            <w:tcW w:w="731" w:type="dxa"/>
            <w:tcBorders>
              <w:top w:val="single" w:color="000000" w:sz="4" w:space="0"/>
              <w:left w:val="single" w:color="000000" w:sz="4" w:space="0"/>
              <w:bottom w:val="single" w:color="000000" w:sz="4" w:space="0"/>
              <w:right w:val="single" w:color="000000" w:sz="4" w:space="0"/>
            </w:tcBorders>
            <w:vAlign w:val="center"/>
          </w:tcPr>
          <w:p w14:paraId="3FDED346">
            <w:pPr>
              <w:pStyle w:val="42"/>
              <w:bidi w:val="0"/>
              <w:jc w:val="center"/>
            </w:pPr>
            <w:r>
              <w:t>61</w:t>
            </w:r>
          </w:p>
        </w:tc>
        <w:tc>
          <w:tcPr>
            <w:tcW w:w="679" w:type="dxa"/>
            <w:tcBorders>
              <w:top w:val="single" w:color="000000" w:sz="4" w:space="0"/>
              <w:left w:val="single" w:color="000000" w:sz="4" w:space="0"/>
              <w:bottom w:val="single" w:color="000000" w:sz="4" w:space="0"/>
              <w:right w:val="single" w:color="000000" w:sz="12" w:space="0"/>
            </w:tcBorders>
            <w:vAlign w:val="center"/>
          </w:tcPr>
          <w:p w14:paraId="4ABA3127">
            <w:pPr>
              <w:pStyle w:val="42"/>
              <w:bidi w:val="0"/>
              <w:jc w:val="center"/>
            </w:pPr>
            <w:r>
              <w:t>59</w:t>
            </w:r>
          </w:p>
        </w:tc>
      </w:tr>
      <w:tr w14:paraId="08F8EE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787C6826">
            <w:pPr>
              <w:pStyle w:val="42"/>
              <w:bidi w:val="0"/>
              <w:jc w:val="center"/>
            </w:pPr>
            <w:r>
              <w:t>11</w:t>
            </w:r>
          </w:p>
        </w:tc>
        <w:tc>
          <w:tcPr>
            <w:tcW w:w="1253" w:type="dxa"/>
            <w:tcBorders>
              <w:top w:val="single" w:color="000000" w:sz="4" w:space="0"/>
              <w:left w:val="single" w:color="000000" w:sz="4" w:space="0"/>
              <w:bottom w:val="single" w:color="000000" w:sz="4" w:space="0"/>
              <w:right w:val="single" w:color="000000" w:sz="4" w:space="0"/>
            </w:tcBorders>
            <w:vAlign w:val="center"/>
          </w:tcPr>
          <w:p w14:paraId="60FC9718">
            <w:pPr>
              <w:pStyle w:val="42"/>
              <w:bidi w:val="0"/>
              <w:jc w:val="center"/>
            </w:pPr>
            <w:r>
              <w:t>电锯</w:t>
            </w:r>
          </w:p>
        </w:tc>
        <w:tc>
          <w:tcPr>
            <w:tcW w:w="763" w:type="dxa"/>
            <w:tcBorders>
              <w:top w:val="single" w:color="000000" w:sz="4" w:space="0"/>
              <w:left w:val="single" w:color="000000" w:sz="4" w:space="0"/>
              <w:bottom w:val="single" w:color="000000" w:sz="4" w:space="0"/>
              <w:right w:val="single" w:color="000000" w:sz="4" w:space="0"/>
            </w:tcBorders>
            <w:vAlign w:val="center"/>
          </w:tcPr>
          <w:p w14:paraId="01EA1109">
            <w:pPr>
              <w:pStyle w:val="42"/>
              <w:bidi w:val="0"/>
              <w:jc w:val="center"/>
            </w:pPr>
            <w:r>
              <w:t>110</w:t>
            </w:r>
          </w:p>
        </w:tc>
        <w:tc>
          <w:tcPr>
            <w:tcW w:w="628" w:type="dxa"/>
            <w:tcBorders>
              <w:top w:val="single" w:color="000000" w:sz="4" w:space="0"/>
              <w:left w:val="single" w:color="000000" w:sz="4" w:space="0"/>
              <w:bottom w:val="single" w:color="000000" w:sz="4" w:space="0"/>
              <w:right w:val="single" w:color="000000" w:sz="4" w:space="0"/>
            </w:tcBorders>
            <w:vAlign w:val="center"/>
          </w:tcPr>
          <w:p w14:paraId="1FC21E53">
            <w:pPr>
              <w:pStyle w:val="42"/>
              <w:bidi w:val="0"/>
              <w:jc w:val="center"/>
            </w:pPr>
            <w:r>
              <w:t>96</w:t>
            </w:r>
          </w:p>
        </w:tc>
        <w:tc>
          <w:tcPr>
            <w:tcW w:w="731" w:type="dxa"/>
            <w:tcBorders>
              <w:top w:val="single" w:color="000000" w:sz="4" w:space="0"/>
              <w:left w:val="single" w:color="000000" w:sz="4" w:space="0"/>
              <w:bottom w:val="single" w:color="000000" w:sz="4" w:space="0"/>
              <w:right w:val="single" w:color="000000" w:sz="4" w:space="0"/>
            </w:tcBorders>
            <w:vAlign w:val="center"/>
          </w:tcPr>
          <w:p w14:paraId="5E694151">
            <w:pPr>
              <w:pStyle w:val="42"/>
              <w:bidi w:val="0"/>
              <w:jc w:val="center"/>
            </w:pPr>
            <w:r>
              <w:t>90</w:t>
            </w:r>
          </w:p>
        </w:tc>
        <w:tc>
          <w:tcPr>
            <w:tcW w:w="730" w:type="dxa"/>
            <w:tcBorders>
              <w:top w:val="single" w:color="000000" w:sz="4" w:space="0"/>
              <w:left w:val="single" w:color="000000" w:sz="4" w:space="0"/>
              <w:bottom w:val="single" w:color="000000" w:sz="4" w:space="0"/>
              <w:right w:val="single" w:color="000000" w:sz="4" w:space="0"/>
            </w:tcBorders>
            <w:vAlign w:val="center"/>
          </w:tcPr>
          <w:p w14:paraId="1B2F3DF5">
            <w:pPr>
              <w:pStyle w:val="42"/>
              <w:bidi w:val="0"/>
              <w:jc w:val="center"/>
            </w:pPr>
            <w:r>
              <w:t>84</w:t>
            </w:r>
          </w:p>
        </w:tc>
        <w:tc>
          <w:tcPr>
            <w:tcW w:w="731" w:type="dxa"/>
            <w:tcBorders>
              <w:top w:val="single" w:color="000000" w:sz="4" w:space="0"/>
              <w:left w:val="single" w:color="000000" w:sz="4" w:space="0"/>
              <w:bottom w:val="single" w:color="000000" w:sz="4" w:space="0"/>
              <w:right w:val="single" w:color="000000" w:sz="4" w:space="0"/>
            </w:tcBorders>
            <w:vAlign w:val="center"/>
          </w:tcPr>
          <w:p w14:paraId="2C7EF188">
            <w:pPr>
              <w:pStyle w:val="42"/>
              <w:bidi w:val="0"/>
              <w:jc w:val="center"/>
            </w:pPr>
            <w:r>
              <w:t>78</w:t>
            </w:r>
          </w:p>
        </w:tc>
        <w:tc>
          <w:tcPr>
            <w:tcW w:w="731" w:type="dxa"/>
            <w:tcBorders>
              <w:top w:val="single" w:color="000000" w:sz="4" w:space="0"/>
              <w:left w:val="single" w:color="000000" w:sz="4" w:space="0"/>
              <w:bottom w:val="single" w:color="000000" w:sz="4" w:space="0"/>
              <w:right w:val="single" w:color="000000" w:sz="4" w:space="0"/>
            </w:tcBorders>
            <w:vAlign w:val="center"/>
          </w:tcPr>
          <w:p w14:paraId="2177FA68">
            <w:pPr>
              <w:pStyle w:val="42"/>
              <w:bidi w:val="0"/>
              <w:jc w:val="center"/>
            </w:pPr>
            <w:r>
              <w:t>74</w:t>
            </w:r>
          </w:p>
        </w:tc>
        <w:tc>
          <w:tcPr>
            <w:tcW w:w="731" w:type="dxa"/>
            <w:tcBorders>
              <w:top w:val="single" w:color="000000" w:sz="4" w:space="0"/>
              <w:left w:val="single" w:color="000000" w:sz="4" w:space="0"/>
              <w:bottom w:val="single" w:color="000000" w:sz="4" w:space="0"/>
              <w:right w:val="single" w:color="000000" w:sz="4" w:space="0"/>
            </w:tcBorders>
            <w:vAlign w:val="center"/>
          </w:tcPr>
          <w:p w14:paraId="76B1AEB6">
            <w:pPr>
              <w:pStyle w:val="42"/>
              <w:bidi w:val="0"/>
              <w:jc w:val="center"/>
            </w:pPr>
            <w:r>
              <w:t>72</w:t>
            </w:r>
          </w:p>
        </w:tc>
        <w:tc>
          <w:tcPr>
            <w:tcW w:w="735" w:type="dxa"/>
            <w:tcBorders>
              <w:top w:val="single" w:color="000000" w:sz="4" w:space="0"/>
              <w:left w:val="single" w:color="000000" w:sz="4" w:space="0"/>
              <w:bottom w:val="single" w:color="000000" w:sz="4" w:space="0"/>
              <w:right w:val="single" w:color="000000" w:sz="4" w:space="0"/>
            </w:tcBorders>
            <w:vAlign w:val="center"/>
          </w:tcPr>
          <w:p w14:paraId="008DF3B7">
            <w:pPr>
              <w:pStyle w:val="42"/>
              <w:bidi w:val="0"/>
              <w:jc w:val="center"/>
            </w:pPr>
            <w:r>
              <w:t>70</w:t>
            </w:r>
          </w:p>
        </w:tc>
        <w:tc>
          <w:tcPr>
            <w:tcW w:w="731" w:type="dxa"/>
            <w:tcBorders>
              <w:top w:val="single" w:color="000000" w:sz="4" w:space="0"/>
              <w:left w:val="single" w:color="000000" w:sz="4" w:space="0"/>
              <w:bottom w:val="single" w:color="000000" w:sz="4" w:space="0"/>
              <w:right w:val="single" w:color="000000" w:sz="4" w:space="0"/>
            </w:tcBorders>
            <w:vAlign w:val="center"/>
          </w:tcPr>
          <w:p w14:paraId="0F26E592">
            <w:pPr>
              <w:pStyle w:val="42"/>
              <w:bidi w:val="0"/>
              <w:jc w:val="center"/>
            </w:pPr>
            <w:r>
              <w:t>66</w:t>
            </w:r>
          </w:p>
        </w:tc>
        <w:tc>
          <w:tcPr>
            <w:tcW w:w="679" w:type="dxa"/>
            <w:tcBorders>
              <w:top w:val="single" w:color="000000" w:sz="4" w:space="0"/>
              <w:left w:val="single" w:color="000000" w:sz="4" w:space="0"/>
              <w:bottom w:val="single" w:color="000000" w:sz="4" w:space="0"/>
              <w:right w:val="single" w:color="000000" w:sz="12" w:space="0"/>
            </w:tcBorders>
            <w:vAlign w:val="center"/>
          </w:tcPr>
          <w:p w14:paraId="06622F29">
            <w:pPr>
              <w:pStyle w:val="42"/>
              <w:bidi w:val="0"/>
              <w:jc w:val="center"/>
            </w:pPr>
            <w:r>
              <w:t>64</w:t>
            </w:r>
          </w:p>
        </w:tc>
      </w:tr>
      <w:tr w14:paraId="67E43F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7" w:hRule="atLeast"/>
        </w:trPr>
        <w:tc>
          <w:tcPr>
            <w:tcW w:w="538" w:type="dxa"/>
            <w:tcBorders>
              <w:top w:val="single" w:color="000000" w:sz="4" w:space="0"/>
              <w:left w:val="single" w:color="000000" w:sz="12" w:space="0"/>
              <w:bottom w:val="single" w:color="000000" w:sz="4" w:space="0"/>
              <w:right w:val="single" w:color="000000" w:sz="4" w:space="0"/>
            </w:tcBorders>
            <w:vAlign w:val="center"/>
          </w:tcPr>
          <w:p w14:paraId="149E1DFB">
            <w:pPr>
              <w:pStyle w:val="42"/>
              <w:bidi w:val="0"/>
              <w:jc w:val="center"/>
            </w:pPr>
            <w:r>
              <w:t>12</w:t>
            </w:r>
          </w:p>
        </w:tc>
        <w:tc>
          <w:tcPr>
            <w:tcW w:w="1253" w:type="dxa"/>
            <w:tcBorders>
              <w:top w:val="single" w:color="000000" w:sz="4" w:space="0"/>
              <w:left w:val="single" w:color="000000" w:sz="4" w:space="0"/>
              <w:bottom w:val="single" w:color="000000" w:sz="4" w:space="0"/>
              <w:right w:val="single" w:color="000000" w:sz="4" w:space="0"/>
            </w:tcBorders>
            <w:vAlign w:val="center"/>
          </w:tcPr>
          <w:p w14:paraId="7E52C46D">
            <w:pPr>
              <w:pStyle w:val="42"/>
              <w:bidi w:val="0"/>
              <w:jc w:val="center"/>
            </w:pPr>
            <w:r>
              <w:t>电焊机</w:t>
            </w:r>
          </w:p>
        </w:tc>
        <w:tc>
          <w:tcPr>
            <w:tcW w:w="763" w:type="dxa"/>
            <w:tcBorders>
              <w:top w:val="single" w:color="000000" w:sz="4" w:space="0"/>
              <w:left w:val="single" w:color="000000" w:sz="4" w:space="0"/>
              <w:bottom w:val="single" w:color="000000" w:sz="4" w:space="0"/>
              <w:right w:val="single" w:color="000000" w:sz="4" w:space="0"/>
            </w:tcBorders>
            <w:vAlign w:val="center"/>
          </w:tcPr>
          <w:p w14:paraId="1DC20D82">
            <w:pPr>
              <w:pStyle w:val="42"/>
              <w:bidi w:val="0"/>
              <w:jc w:val="center"/>
            </w:pPr>
            <w:r>
              <w:t>95</w:t>
            </w:r>
          </w:p>
        </w:tc>
        <w:tc>
          <w:tcPr>
            <w:tcW w:w="628" w:type="dxa"/>
            <w:tcBorders>
              <w:top w:val="single" w:color="000000" w:sz="4" w:space="0"/>
              <w:left w:val="single" w:color="000000" w:sz="4" w:space="0"/>
              <w:bottom w:val="single" w:color="000000" w:sz="4" w:space="0"/>
              <w:right w:val="single" w:color="000000" w:sz="4" w:space="0"/>
            </w:tcBorders>
            <w:vAlign w:val="center"/>
          </w:tcPr>
          <w:p w14:paraId="6AAEC079">
            <w:pPr>
              <w:pStyle w:val="42"/>
              <w:bidi w:val="0"/>
              <w:jc w:val="center"/>
            </w:pPr>
            <w:r>
              <w:t>81</w:t>
            </w:r>
          </w:p>
        </w:tc>
        <w:tc>
          <w:tcPr>
            <w:tcW w:w="731" w:type="dxa"/>
            <w:tcBorders>
              <w:top w:val="single" w:color="000000" w:sz="4" w:space="0"/>
              <w:left w:val="single" w:color="000000" w:sz="4" w:space="0"/>
              <w:bottom w:val="single" w:color="000000" w:sz="4" w:space="0"/>
              <w:right w:val="single" w:color="000000" w:sz="4" w:space="0"/>
            </w:tcBorders>
            <w:vAlign w:val="center"/>
          </w:tcPr>
          <w:p w14:paraId="7968AE5D">
            <w:pPr>
              <w:pStyle w:val="42"/>
              <w:bidi w:val="0"/>
              <w:jc w:val="center"/>
            </w:pPr>
            <w:r>
              <w:t>75</w:t>
            </w:r>
          </w:p>
        </w:tc>
        <w:tc>
          <w:tcPr>
            <w:tcW w:w="730" w:type="dxa"/>
            <w:tcBorders>
              <w:top w:val="single" w:color="000000" w:sz="4" w:space="0"/>
              <w:left w:val="single" w:color="000000" w:sz="4" w:space="0"/>
              <w:bottom w:val="single" w:color="000000" w:sz="4" w:space="0"/>
              <w:right w:val="single" w:color="000000" w:sz="4" w:space="0"/>
            </w:tcBorders>
            <w:vAlign w:val="center"/>
          </w:tcPr>
          <w:p w14:paraId="78C3DDCC">
            <w:pPr>
              <w:pStyle w:val="42"/>
              <w:bidi w:val="0"/>
              <w:jc w:val="center"/>
            </w:pPr>
            <w:r>
              <w:t>69</w:t>
            </w:r>
          </w:p>
        </w:tc>
        <w:tc>
          <w:tcPr>
            <w:tcW w:w="731" w:type="dxa"/>
            <w:tcBorders>
              <w:top w:val="single" w:color="000000" w:sz="4" w:space="0"/>
              <w:left w:val="single" w:color="000000" w:sz="4" w:space="0"/>
              <w:bottom w:val="single" w:color="000000" w:sz="4" w:space="0"/>
              <w:right w:val="single" w:color="000000" w:sz="4" w:space="0"/>
            </w:tcBorders>
            <w:vAlign w:val="center"/>
          </w:tcPr>
          <w:p w14:paraId="57AB29EE">
            <w:pPr>
              <w:pStyle w:val="42"/>
              <w:bidi w:val="0"/>
              <w:jc w:val="center"/>
            </w:pPr>
            <w:r>
              <w:t>63</w:t>
            </w:r>
          </w:p>
        </w:tc>
        <w:tc>
          <w:tcPr>
            <w:tcW w:w="731" w:type="dxa"/>
            <w:tcBorders>
              <w:top w:val="single" w:color="000000" w:sz="4" w:space="0"/>
              <w:left w:val="single" w:color="000000" w:sz="4" w:space="0"/>
              <w:bottom w:val="single" w:color="000000" w:sz="4" w:space="0"/>
              <w:right w:val="single" w:color="000000" w:sz="4" w:space="0"/>
            </w:tcBorders>
            <w:vAlign w:val="center"/>
          </w:tcPr>
          <w:p w14:paraId="7C82860E">
            <w:pPr>
              <w:pStyle w:val="42"/>
              <w:bidi w:val="0"/>
              <w:jc w:val="center"/>
            </w:pPr>
            <w:r>
              <w:t>59</w:t>
            </w:r>
          </w:p>
        </w:tc>
        <w:tc>
          <w:tcPr>
            <w:tcW w:w="731" w:type="dxa"/>
            <w:tcBorders>
              <w:top w:val="single" w:color="000000" w:sz="4" w:space="0"/>
              <w:left w:val="single" w:color="000000" w:sz="4" w:space="0"/>
              <w:bottom w:val="single" w:color="000000" w:sz="4" w:space="0"/>
              <w:right w:val="single" w:color="000000" w:sz="4" w:space="0"/>
            </w:tcBorders>
            <w:vAlign w:val="center"/>
          </w:tcPr>
          <w:p w14:paraId="4BD96962">
            <w:pPr>
              <w:pStyle w:val="42"/>
              <w:bidi w:val="0"/>
              <w:jc w:val="center"/>
            </w:pPr>
            <w:r>
              <w:t>57</w:t>
            </w:r>
          </w:p>
        </w:tc>
        <w:tc>
          <w:tcPr>
            <w:tcW w:w="735" w:type="dxa"/>
            <w:tcBorders>
              <w:top w:val="single" w:color="000000" w:sz="4" w:space="0"/>
              <w:left w:val="single" w:color="000000" w:sz="4" w:space="0"/>
              <w:bottom w:val="single" w:color="000000" w:sz="4" w:space="0"/>
              <w:right w:val="single" w:color="000000" w:sz="4" w:space="0"/>
            </w:tcBorders>
            <w:vAlign w:val="center"/>
          </w:tcPr>
          <w:p w14:paraId="48C59653">
            <w:pPr>
              <w:pStyle w:val="42"/>
              <w:bidi w:val="0"/>
              <w:jc w:val="center"/>
            </w:pPr>
            <w:r>
              <w:t>55</w:t>
            </w:r>
          </w:p>
        </w:tc>
        <w:tc>
          <w:tcPr>
            <w:tcW w:w="731" w:type="dxa"/>
            <w:tcBorders>
              <w:top w:val="single" w:color="000000" w:sz="4" w:space="0"/>
              <w:left w:val="single" w:color="000000" w:sz="4" w:space="0"/>
              <w:bottom w:val="single" w:color="000000" w:sz="4" w:space="0"/>
              <w:right w:val="single" w:color="000000" w:sz="4" w:space="0"/>
            </w:tcBorders>
            <w:vAlign w:val="center"/>
          </w:tcPr>
          <w:p w14:paraId="0BBF563C">
            <w:pPr>
              <w:pStyle w:val="42"/>
              <w:bidi w:val="0"/>
              <w:jc w:val="center"/>
            </w:pPr>
            <w:r>
              <w:t>51</w:t>
            </w:r>
          </w:p>
        </w:tc>
        <w:tc>
          <w:tcPr>
            <w:tcW w:w="679" w:type="dxa"/>
            <w:tcBorders>
              <w:top w:val="single" w:color="000000" w:sz="4" w:space="0"/>
              <w:left w:val="single" w:color="000000" w:sz="4" w:space="0"/>
              <w:bottom w:val="single" w:color="000000" w:sz="4" w:space="0"/>
              <w:right w:val="single" w:color="000000" w:sz="12" w:space="0"/>
            </w:tcBorders>
            <w:vAlign w:val="center"/>
          </w:tcPr>
          <w:p w14:paraId="3BA50F60">
            <w:pPr>
              <w:pStyle w:val="42"/>
              <w:bidi w:val="0"/>
              <w:jc w:val="center"/>
            </w:pPr>
            <w:r>
              <w:t>49</w:t>
            </w:r>
          </w:p>
        </w:tc>
      </w:tr>
      <w:tr w14:paraId="5B491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538" w:type="dxa"/>
            <w:tcBorders>
              <w:top w:val="single" w:color="000000" w:sz="4" w:space="0"/>
              <w:left w:val="single" w:color="000000" w:sz="12" w:space="0"/>
              <w:bottom w:val="single" w:color="000000" w:sz="12" w:space="0"/>
              <w:right w:val="single" w:color="000000" w:sz="4" w:space="0"/>
            </w:tcBorders>
            <w:vAlign w:val="center"/>
          </w:tcPr>
          <w:p w14:paraId="359BCDD9">
            <w:pPr>
              <w:pStyle w:val="42"/>
              <w:bidi w:val="0"/>
              <w:jc w:val="center"/>
            </w:pPr>
            <w:r>
              <w:t>13</w:t>
            </w:r>
          </w:p>
        </w:tc>
        <w:tc>
          <w:tcPr>
            <w:tcW w:w="1253" w:type="dxa"/>
            <w:tcBorders>
              <w:top w:val="single" w:color="000000" w:sz="4" w:space="0"/>
              <w:left w:val="single" w:color="000000" w:sz="4" w:space="0"/>
              <w:bottom w:val="single" w:color="000000" w:sz="12" w:space="0"/>
              <w:right w:val="single" w:color="000000" w:sz="4" w:space="0"/>
            </w:tcBorders>
            <w:vAlign w:val="center"/>
          </w:tcPr>
          <w:p w14:paraId="5CA0B725">
            <w:pPr>
              <w:pStyle w:val="42"/>
              <w:bidi w:val="0"/>
              <w:jc w:val="center"/>
            </w:pPr>
            <w:r>
              <w:t>空压机</w:t>
            </w:r>
          </w:p>
        </w:tc>
        <w:tc>
          <w:tcPr>
            <w:tcW w:w="763" w:type="dxa"/>
            <w:tcBorders>
              <w:top w:val="single" w:color="000000" w:sz="4" w:space="0"/>
              <w:left w:val="single" w:color="000000" w:sz="4" w:space="0"/>
              <w:bottom w:val="single" w:color="000000" w:sz="12" w:space="0"/>
              <w:right w:val="single" w:color="000000" w:sz="4" w:space="0"/>
            </w:tcBorders>
            <w:vAlign w:val="center"/>
          </w:tcPr>
          <w:p w14:paraId="7A372313">
            <w:pPr>
              <w:pStyle w:val="42"/>
              <w:bidi w:val="0"/>
              <w:jc w:val="center"/>
            </w:pPr>
            <w:r>
              <w:t>85</w:t>
            </w:r>
          </w:p>
        </w:tc>
        <w:tc>
          <w:tcPr>
            <w:tcW w:w="628" w:type="dxa"/>
            <w:tcBorders>
              <w:top w:val="single" w:color="000000" w:sz="4" w:space="0"/>
              <w:left w:val="single" w:color="000000" w:sz="4" w:space="0"/>
              <w:bottom w:val="single" w:color="000000" w:sz="12" w:space="0"/>
              <w:right w:val="single" w:color="000000" w:sz="4" w:space="0"/>
            </w:tcBorders>
            <w:vAlign w:val="center"/>
          </w:tcPr>
          <w:p w14:paraId="4D29A415">
            <w:pPr>
              <w:pStyle w:val="42"/>
              <w:bidi w:val="0"/>
              <w:jc w:val="center"/>
            </w:pPr>
            <w:r>
              <w:t>71</w:t>
            </w:r>
          </w:p>
        </w:tc>
        <w:tc>
          <w:tcPr>
            <w:tcW w:w="731" w:type="dxa"/>
            <w:tcBorders>
              <w:top w:val="single" w:color="000000" w:sz="4" w:space="0"/>
              <w:left w:val="single" w:color="000000" w:sz="4" w:space="0"/>
              <w:bottom w:val="single" w:color="000000" w:sz="12" w:space="0"/>
              <w:right w:val="single" w:color="000000" w:sz="4" w:space="0"/>
            </w:tcBorders>
            <w:vAlign w:val="center"/>
          </w:tcPr>
          <w:p w14:paraId="6DB77398">
            <w:pPr>
              <w:pStyle w:val="42"/>
              <w:bidi w:val="0"/>
              <w:jc w:val="center"/>
            </w:pPr>
            <w:r>
              <w:t>65</w:t>
            </w:r>
          </w:p>
        </w:tc>
        <w:tc>
          <w:tcPr>
            <w:tcW w:w="730" w:type="dxa"/>
            <w:tcBorders>
              <w:top w:val="single" w:color="000000" w:sz="4" w:space="0"/>
              <w:left w:val="single" w:color="000000" w:sz="4" w:space="0"/>
              <w:bottom w:val="single" w:color="000000" w:sz="12" w:space="0"/>
              <w:right w:val="single" w:color="000000" w:sz="4" w:space="0"/>
            </w:tcBorders>
            <w:vAlign w:val="center"/>
          </w:tcPr>
          <w:p w14:paraId="6C13B5A1">
            <w:pPr>
              <w:pStyle w:val="42"/>
              <w:bidi w:val="0"/>
              <w:jc w:val="center"/>
            </w:pPr>
            <w:r>
              <w:t>59</w:t>
            </w:r>
          </w:p>
        </w:tc>
        <w:tc>
          <w:tcPr>
            <w:tcW w:w="731" w:type="dxa"/>
            <w:tcBorders>
              <w:top w:val="single" w:color="000000" w:sz="4" w:space="0"/>
              <w:left w:val="single" w:color="000000" w:sz="4" w:space="0"/>
              <w:bottom w:val="single" w:color="000000" w:sz="12" w:space="0"/>
              <w:right w:val="single" w:color="000000" w:sz="4" w:space="0"/>
            </w:tcBorders>
            <w:vAlign w:val="center"/>
          </w:tcPr>
          <w:p w14:paraId="4299D02D">
            <w:pPr>
              <w:pStyle w:val="42"/>
              <w:bidi w:val="0"/>
              <w:jc w:val="center"/>
            </w:pPr>
            <w:r>
              <w:t>53</w:t>
            </w:r>
          </w:p>
        </w:tc>
        <w:tc>
          <w:tcPr>
            <w:tcW w:w="731" w:type="dxa"/>
            <w:tcBorders>
              <w:top w:val="single" w:color="000000" w:sz="4" w:space="0"/>
              <w:left w:val="single" w:color="000000" w:sz="4" w:space="0"/>
              <w:bottom w:val="single" w:color="000000" w:sz="12" w:space="0"/>
              <w:right w:val="single" w:color="000000" w:sz="4" w:space="0"/>
            </w:tcBorders>
            <w:vAlign w:val="center"/>
          </w:tcPr>
          <w:p w14:paraId="2AAF6627">
            <w:pPr>
              <w:pStyle w:val="42"/>
              <w:bidi w:val="0"/>
              <w:jc w:val="center"/>
            </w:pPr>
            <w:r>
              <w:t>49</w:t>
            </w:r>
          </w:p>
        </w:tc>
        <w:tc>
          <w:tcPr>
            <w:tcW w:w="731" w:type="dxa"/>
            <w:tcBorders>
              <w:top w:val="single" w:color="000000" w:sz="4" w:space="0"/>
              <w:left w:val="single" w:color="000000" w:sz="4" w:space="0"/>
              <w:bottom w:val="single" w:color="000000" w:sz="12" w:space="0"/>
              <w:right w:val="single" w:color="000000" w:sz="4" w:space="0"/>
            </w:tcBorders>
            <w:vAlign w:val="center"/>
          </w:tcPr>
          <w:p w14:paraId="56E82F30">
            <w:pPr>
              <w:pStyle w:val="42"/>
              <w:bidi w:val="0"/>
              <w:jc w:val="center"/>
            </w:pPr>
            <w:r>
              <w:t>47</w:t>
            </w:r>
          </w:p>
        </w:tc>
        <w:tc>
          <w:tcPr>
            <w:tcW w:w="735" w:type="dxa"/>
            <w:tcBorders>
              <w:top w:val="single" w:color="000000" w:sz="4" w:space="0"/>
              <w:left w:val="single" w:color="000000" w:sz="4" w:space="0"/>
              <w:bottom w:val="single" w:color="000000" w:sz="12" w:space="0"/>
              <w:right w:val="single" w:color="000000" w:sz="4" w:space="0"/>
            </w:tcBorders>
            <w:vAlign w:val="center"/>
          </w:tcPr>
          <w:p w14:paraId="4D80FDA4">
            <w:pPr>
              <w:pStyle w:val="42"/>
              <w:bidi w:val="0"/>
              <w:jc w:val="center"/>
            </w:pPr>
            <w:r>
              <w:t>45</w:t>
            </w:r>
          </w:p>
        </w:tc>
        <w:tc>
          <w:tcPr>
            <w:tcW w:w="731" w:type="dxa"/>
            <w:tcBorders>
              <w:top w:val="single" w:color="000000" w:sz="4" w:space="0"/>
              <w:left w:val="single" w:color="000000" w:sz="4" w:space="0"/>
              <w:bottom w:val="single" w:color="000000" w:sz="12" w:space="0"/>
              <w:right w:val="single" w:color="000000" w:sz="4" w:space="0"/>
            </w:tcBorders>
            <w:vAlign w:val="center"/>
          </w:tcPr>
          <w:p w14:paraId="7F0AF2D8">
            <w:pPr>
              <w:pStyle w:val="42"/>
              <w:bidi w:val="0"/>
              <w:jc w:val="center"/>
            </w:pPr>
            <w:r>
              <w:t>41</w:t>
            </w:r>
          </w:p>
        </w:tc>
        <w:tc>
          <w:tcPr>
            <w:tcW w:w="679" w:type="dxa"/>
            <w:tcBorders>
              <w:top w:val="single" w:color="000000" w:sz="4" w:space="0"/>
              <w:left w:val="single" w:color="000000" w:sz="4" w:space="0"/>
              <w:bottom w:val="single" w:color="000000" w:sz="12" w:space="0"/>
              <w:right w:val="single" w:color="000000" w:sz="12" w:space="0"/>
            </w:tcBorders>
            <w:vAlign w:val="center"/>
          </w:tcPr>
          <w:p w14:paraId="78E7ADF4">
            <w:pPr>
              <w:pStyle w:val="42"/>
              <w:bidi w:val="0"/>
              <w:jc w:val="center"/>
            </w:pPr>
            <w:r>
              <w:t>39</w:t>
            </w:r>
          </w:p>
        </w:tc>
      </w:tr>
    </w:tbl>
    <w:p w14:paraId="4D6FBD80">
      <w:pPr>
        <w:bidi w:val="0"/>
        <w:rPr>
          <w:rFonts w:hint="default"/>
        </w:rPr>
      </w:pPr>
      <w:r>
        <w:rPr>
          <w:rFonts w:hint="default"/>
        </w:rPr>
        <w:t>注：项目夜间不施工，因此只考虑白天施工噪声的影响。</w:t>
      </w:r>
    </w:p>
    <w:p w14:paraId="267FF0C4">
      <w:pPr>
        <w:bidi w:val="0"/>
        <w:rPr>
          <w:rFonts w:hint="default"/>
        </w:rPr>
      </w:pPr>
      <w:r>
        <w:rPr>
          <w:rFonts w:hint="default"/>
        </w:rPr>
        <w:t>由上表计算结果可知，除电钻以外，白天施工机械噪声超标范围为100m以内，考虑到噪声的叠加影响，噪声影响范围将更大，但项目设备只是偶尔运行，不处于一直运行状态。根据目前的机械制造水平，装修机械的噪声既不可避免又不可能采取措施从根本上予以消除。为最大限度减少施工噪声对周边环境保护的影响，施工单位应依据《建筑施工场界环境噪声排放标准》（GB12523-2011）中有关规定做好噪声污染防治措施，严格加强施工管理。</w:t>
      </w:r>
    </w:p>
    <w:p w14:paraId="11364C8A">
      <w:pPr>
        <w:bidi w:val="0"/>
        <w:rPr>
          <w:rFonts w:hint="eastAsia"/>
          <w:lang w:val="en-US" w:eastAsia="zh-CN"/>
        </w:rPr>
      </w:pPr>
      <w:r>
        <w:rPr>
          <w:rFonts w:hint="eastAsia"/>
          <w:lang w:val="en-US" w:eastAsia="zh-CN"/>
        </w:rPr>
        <w:t>2、噪声污染防治措施</w:t>
      </w:r>
    </w:p>
    <w:p w14:paraId="245ED815">
      <w:pPr>
        <w:bidi w:val="0"/>
        <w:rPr>
          <w:rFonts w:hint="eastAsia"/>
          <w:lang w:val="en-US" w:eastAsia="zh-CN"/>
        </w:rPr>
      </w:pPr>
      <w:r>
        <w:rPr>
          <w:rFonts w:hint="eastAsia"/>
          <w:lang w:val="en-US" w:eastAsia="zh-CN"/>
        </w:rPr>
        <w:t>针对施工期噪声特征，为进一步减轻噪声对外环境的不利影响，最大限度地避免对敏感目标的影响，施工期应根据施工特点制定相应的噪声控制措施，以下措施均由施工建设单位实施：</w:t>
      </w:r>
    </w:p>
    <w:p w14:paraId="42179EEB">
      <w:pPr>
        <w:bidi w:val="0"/>
        <w:rPr>
          <w:rFonts w:hint="eastAsia"/>
          <w:lang w:val="en-US" w:eastAsia="zh-CN"/>
        </w:rPr>
      </w:pPr>
      <w:r>
        <w:rPr>
          <w:rFonts w:hint="eastAsia"/>
          <w:lang w:val="en-US" w:eastAsia="zh-CN"/>
        </w:rPr>
        <w:t>（1）施工单位尽量选用先进的低噪声设备，在高噪声设备周围适当设置隔声屏障以减轻噪声对噪声敏感建筑的影响，控制施工场界噪声不超过《建筑施工场界环境噪声排放标准》（GB12523-2011）。</w:t>
      </w:r>
    </w:p>
    <w:p w14:paraId="6E50CDD5">
      <w:pPr>
        <w:bidi w:val="0"/>
        <w:rPr>
          <w:rFonts w:hint="eastAsia"/>
          <w:lang w:val="en-US" w:eastAsia="zh-CN"/>
        </w:rPr>
      </w:pPr>
      <w:r>
        <w:rPr>
          <w:rFonts w:hint="eastAsia"/>
          <w:lang w:val="en-US" w:eastAsia="zh-CN"/>
        </w:rPr>
        <w:t>（2）精心安排施工，减少施工噪声影响时间，禁止夜间和午间施工，加强施工期管理，尽量缩短高噪声设备的使用时间。</w:t>
      </w:r>
    </w:p>
    <w:p w14:paraId="7ECE1548">
      <w:pPr>
        <w:bidi w:val="0"/>
        <w:rPr>
          <w:rFonts w:hint="eastAsia"/>
          <w:lang w:val="en-US" w:eastAsia="zh-CN"/>
        </w:rPr>
      </w:pPr>
      <w:r>
        <w:rPr>
          <w:rFonts w:hint="eastAsia"/>
          <w:lang w:val="en-US" w:eastAsia="zh-CN"/>
        </w:rPr>
        <w:t>（3）施工中加强对施工机械的维护保养，避免由于设备性能差而增大机械噪声的现象产生。</w:t>
      </w:r>
    </w:p>
    <w:p w14:paraId="3B601C4A">
      <w:pPr>
        <w:bidi w:val="0"/>
        <w:rPr>
          <w:rFonts w:hint="eastAsia"/>
          <w:lang w:val="en-US" w:eastAsia="zh-CN"/>
        </w:rPr>
      </w:pPr>
      <w:r>
        <w:rPr>
          <w:rFonts w:hint="eastAsia"/>
          <w:lang w:val="en-US" w:eastAsia="zh-CN"/>
        </w:rPr>
        <w:t>（4）运输材料的车辆进入施工现场，严禁鸣笛，装卸材料做到轻拿轻放。</w:t>
      </w:r>
    </w:p>
    <w:p w14:paraId="62F82565">
      <w:pPr>
        <w:bidi w:val="0"/>
        <w:rPr>
          <w:rFonts w:hint="eastAsia"/>
          <w:lang w:val="en-US" w:eastAsia="zh-CN"/>
        </w:rPr>
      </w:pPr>
      <w:r>
        <w:rPr>
          <w:rFonts w:hint="eastAsia"/>
          <w:lang w:val="en-US" w:eastAsia="zh-CN"/>
        </w:rPr>
        <w:t>项目施工区域近距离范围内无居民小区、医院、学校等建筑，同时项目夜间不进行施工作业，施工期噪声对环境的影响相对较小。加之采取以上措施后，施工期间的噪声对周边环境影响将进一步减小。</w:t>
      </w:r>
    </w:p>
    <w:p w14:paraId="41DC22DB">
      <w:pPr>
        <w:pStyle w:val="6"/>
        <w:bidi w:val="0"/>
        <w:rPr>
          <w:rFonts w:hint="eastAsia"/>
          <w:lang w:val="en-US" w:eastAsia="zh-CN"/>
        </w:rPr>
      </w:pPr>
      <w:r>
        <w:rPr>
          <w:rFonts w:hint="eastAsia"/>
          <w:lang w:val="en-US" w:eastAsia="zh-CN"/>
        </w:rPr>
        <w:t>施工期固体废弃物影响分析</w:t>
      </w:r>
    </w:p>
    <w:p w14:paraId="1D1DEFB9">
      <w:pPr>
        <w:bidi w:val="0"/>
        <w:rPr>
          <w:rFonts w:hint="eastAsia"/>
          <w:lang w:val="en-US" w:eastAsia="zh-CN"/>
        </w:rPr>
      </w:pPr>
      <w:r>
        <w:rPr>
          <w:rFonts w:hint="eastAsia"/>
          <w:lang w:val="en-US" w:eastAsia="zh-CN"/>
        </w:rPr>
        <w:t>1、固废来源</w:t>
      </w:r>
    </w:p>
    <w:p w14:paraId="000408BB">
      <w:pPr>
        <w:bidi w:val="0"/>
        <w:rPr>
          <w:rFonts w:hint="eastAsia"/>
          <w:lang w:val="en-US" w:eastAsia="zh-CN"/>
        </w:rPr>
      </w:pPr>
      <w:r>
        <w:rPr>
          <w:rFonts w:hint="eastAsia"/>
          <w:lang w:val="en-US" w:eastAsia="zh-CN"/>
        </w:rPr>
        <w:t>项目施工期产生的固体废物主要为废弃的碎砖石、各类建材的包装箱、袋和施工人员的生活垃圾。施工期间对废弃的碎砖石等建筑垃圾基本就地处置，作填筑地基用；包装物也基本上回收利用或销售给废品收购站。生活垃圾若按每人每天1.0kg、10人计，施工期约3个月，则施工期生活垃圾产生量为0.9t，生活垃圾经统一收集后，由环卫部门定期清运处理，不会对周围环境产生影响。</w:t>
      </w:r>
    </w:p>
    <w:p w14:paraId="47A2F40C">
      <w:pPr>
        <w:bidi w:val="0"/>
        <w:rPr>
          <w:rFonts w:hint="eastAsia"/>
          <w:lang w:val="en-US" w:eastAsia="zh-CN"/>
        </w:rPr>
      </w:pPr>
      <w:r>
        <w:rPr>
          <w:rFonts w:hint="eastAsia"/>
          <w:lang w:val="en-US" w:eastAsia="zh-CN"/>
        </w:rPr>
        <w:t>（2）固体废物控制措施</w:t>
      </w:r>
    </w:p>
    <w:p w14:paraId="760B3F4F">
      <w:pPr>
        <w:bidi w:val="0"/>
        <w:rPr>
          <w:rFonts w:hint="eastAsia"/>
          <w:lang w:val="en-US" w:eastAsia="zh-CN"/>
        </w:rPr>
      </w:pPr>
      <w:r>
        <w:rPr>
          <w:rFonts w:hint="eastAsia"/>
          <w:lang w:val="en-US" w:eastAsia="zh-CN"/>
        </w:rPr>
        <w:t>为避免施工期产生固体废物对环境造成影响，建设单位及施工单位应采取以下措施：</w:t>
      </w:r>
    </w:p>
    <w:p w14:paraId="6660305D">
      <w:pPr>
        <w:bidi w:val="0"/>
        <w:rPr>
          <w:rFonts w:hint="eastAsia"/>
          <w:lang w:val="en-US" w:eastAsia="zh-CN"/>
        </w:rPr>
      </w:pPr>
      <w:r>
        <w:rPr>
          <w:rFonts w:hint="eastAsia"/>
          <w:lang w:val="en-US" w:eastAsia="zh-CN"/>
        </w:rPr>
        <w:t>（1）施工过程中产生的建筑垃圾要严格实行定点堆放，并及时清运处理，建设单位应与运输部门做好驾驶员的职业道德教育，按规定路线运输，并不定期地检查计划执行情况。</w:t>
      </w:r>
    </w:p>
    <w:p w14:paraId="12A92C0B">
      <w:pPr>
        <w:bidi w:val="0"/>
        <w:rPr>
          <w:rFonts w:hint="eastAsia"/>
          <w:lang w:val="en-US" w:eastAsia="zh-CN"/>
        </w:rPr>
      </w:pPr>
      <w:r>
        <w:rPr>
          <w:rFonts w:hint="eastAsia"/>
          <w:lang w:val="en-US" w:eastAsia="zh-CN"/>
        </w:rPr>
        <w:t>（2）生活垃圾应分类回收，做到日产日清，严禁随地丢弃。</w:t>
      </w:r>
    </w:p>
    <w:p w14:paraId="38EE3CB0">
      <w:pPr>
        <w:bidi w:val="0"/>
        <w:rPr>
          <w:rFonts w:hint="eastAsia"/>
          <w:lang w:val="en-US" w:eastAsia="zh-CN"/>
        </w:rPr>
      </w:pPr>
      <w:r>
        <w:rPr>
          <w:rFonts w:hint="eastAsia"/>
          <w:lang w:val="en-US" w:eastAsia="zh-CN"/>
        </w:rPr>
        <w:t>（3）对施工开挖的土壤应有计划的分层回填，并尽量将表土回填表层。对于因建设破坏的植被，待施工完成后尽快按厂区绿化方案恢复。</w:t>
      </w:r>
    </w:p>
    <w:p w14:paraId="5FBFBA95">
      <w:pPr>
        <w:bidi w:val="0"/>
        <w:rPr>
          <w:rFonts w:hint="eastAsia"/>
          <w:lang w:val="en-US" w:eastAsia="zh-CN"/>
        </w:rPr>
      </w:pPr>
      <w:r>
        <w:rPr>
          <w:rFonts w:hint="eastAsia"/>
          <w:lang w:val="en-US" w:eastAsia="zh-CN"/>
        </w:rPr>
        <w:t>（4）施工中如遇到有毒有害废弃物应暂时停止施工并及时与地方环保部门联系，经他们采取措施处理后方能继续施工。</w:t>
      </w:r>
    </w:p>
    <w:p w14:paraId="3D434653">
      <w:pPr>
        <w:bidi w:val="0"/>
        <w:rPr>
          <w:rFonts w:hint="eastAsia"/>
          <w:lang w:val="en-US" w:eastAsia="zh-CN"/>
        </w:rPr>
      </w:pPr>
      <w:r>
        <w:rPr>
          <w:rFonts w:hint="eastAsia"/>
          <w:lang w:val="en-US" w:eastAsia="zh-CN"/>
        </w:rPr>
        <w:t>（5）在工程竣工以后，施工单位应同时拆除各种临时施工设施，并负责将工地的剩余建筑垃圾、工程渣土处理干净，做到“工完、料尽、场地清”。建设单位应负责督促施工单位的固体废物处置清理工作。</w:t>
      </w:r>
    </w:p>
    <w:p w14:paraId="3DCC1023">
      <w:pPr>
        <w:bidi w:val="0"/>
        <w:rPr>
          <w:rFonts w:hint="eastAsia"/>
          <w:lang w:val="en-US" w:eastAsia="zh-CN"/>
        </w:rPr>
      </w:pPr>
      <w:r>
        <w:rPr>
          <w:rFonts w:hint="eastAsia"/>
          <w:lang w:val="en-US" w:eastAsia="zh-CN"/>
        </w:rPr>
        <w:t>综上所述，施工期固体废物去向明确，对环境造成影响较小。</w:t>
      </w:r>
    </w:p>
    <w:p w14:paraId="77AC0060">
      <w:pPr>
        <w:pStyle w:val="6"/>
        <w:bidi w:val="0"/>
        <w:rPr>
          <w:rFonts w:hint="eastAsia"/>
          <w:lang w:val="en-US" w:eastAsia="zh-CN"/>
        </w:rPr>
      </w:pPr>
      <w:r>
        <w:rPr>
          <w:rFonts w:hint="eastAsia"/>
          <w:lang w:val="en-US" w:eastAsia="zh-CN"/>
        </w:rPr>
        <w:t>施工期生态环境影响分析</w:t>
      </w:r>
    </w:p>
    <w:p w14:paraId="3926AFC9">
      <w:pPr>
        <w:rPr>
          <w:rFonts w:hint="eastAsia"/>
          <w:lang w:val="en-US" w:eastAsia="zh-CN"/>
        </w:rPr>
      </w:pPr>
      <w:r>
        <w:rPr>
          <w:rFonts w:hint="eastAsia"/>
          <w:lang w:val="en-US" w:eastAsia="zh-CN"/>
        </w:rPr>
        <w:t>项目工程施工期占地均在用地范围内，不占用临时用地。项目周围为乡镇建成区，对项目所在地生态环境扰动极小，基本无水土流失。但是施工开挖形成的弃土，土壤裸露，结构松散，易被雨水冲刷，如不采取合理的防护措施，遇到大风、暴雨等特殊气候条件，极易形成水土流失。</w:t>
      </w:r>
    </w:p>
    <w:p w14:paraId="451E1BC7">
      <w:pPr>
        <w:rPr>
          <w:rFonts w:hint="eastAsia"/>
          <w:lang w:val="en-US" w:eastAsia="zh-CN"/>
        </w:rPr>
      </w:pPr>
      <w:r>
        <w:rPr>
          <w:rFonts w:hint="eastAsia"/>
          <w:lang w:val="en-US" w:eastAsia="zh-CN"/>
        </w:rPr>
        <w:t>项目占地内植被稀少，多为当地常见草本植物，项目施工将不可避免的破坏地表植被，对占地范围内植被资源有一定影响，但通过场地内绿化工程的实施，可在一定程度上缓解对其影响，项目施工对区域整体植物资源影响较小。</w:t>
      </w:r>
    </w:p>
    <w:p w14:paraId="07E2A755">
      <w:pPr>
        <w:rPr>
          <w:rFonts w:hint="eastAsia"/>
          <w:lang w:val="en-US" w:eastAsia="zh-CN"/>
        </w:rPr>
      </w:pPr>
      <w:r>
        <w:rPr>
          <w:rFonts w:hint="eastAsia"/>
          <w:lang w:val="en-US" w:eastAsia="zh-CN"/>
        </w:rPr>
        <w:t>施工期对野生动物的影响主要表现为施工人员的施工活动、生活活动对动物栖息地生境的干扰和破坏；施工机械噪声对动物的干扰。一部分鸟类和爬行类动物会通过迁移来避免项目施工影响，导致占地区域动物数量有所减少，但是距离施工区较远的区域中被施工驱赶的动物会相对集中而重新分布，因此项目区施工对动物种类多样性和种群数量不会产生大的影响，不会导致动物多样性明显降低。工程建成后施工噪声等影响消失后又会回到原来比较适宜生存和活动的地域。</w:t>
      </w:r>
    </w:p>
    <w:p w14:paraId="790C42B2">
      <w:pPr>
        <w:rPr>
          <w:rFonts w:hint="eastAsia"/>
          <w:lang w:val="en-US" w:eastAsia="zh-CN"/>
        </w:rPr>
      </w:pPr>
      <w:r>
        <w:rPr>
          <w:rFonts w:hint="eastAsia"/>
          <w:lang w:val="en-US" w:eastAsia="zh-CN"/>
        </w:rPr>
        <w:t>主要采取：避开雨季施工，强降雨来临前做好预防措施；制定合理的土石方施工措施，临时堆土必须做好预防措施，如排水沟、沉淀池、防雨布遮盖等，尽力减少施工期水土流失；根据主体工程施工进展，施工结束后及时对施工场地进行清理，尽快实施绿化，以改善项目的生态环境。</w:t>
      </w:r>
    </w:p>
    <w:p w14:paraId="7AEC95A3">
      <w:pPr>
        <w:shd w:val="clear"/>
        <w:rPr>
          <w:rFonts w:hint="eastAsia"/>
          <w:highlight w:val="none"/>
          <w:lang w:val="en-US" w:eastAsia="zh-CN"/>
        </w:rPr>
      </w:pPr>
      <w:r>
        <w:rPr>
          <w:rFonts w:hint="eastAsia"/>
          <w:lang w:val="en-US" w:eastAsia="zh-CN"/>
        </w:rPr>
        <w:t>综上所述，项目施工期对周围</w:t>
      </w:r>
      <w:r>
        <w:rPr>
          <w:rFonts w:hint="eastAsia"/>
          <w:highlight w:val="none"/>
          <w:lang w:val="en-US" w:eastAsia="zh-CN"/>
        </w:rPr>
        <w:t>生态环境影响较小。</w:t>
      </w:r>
    </w:p>
    <w:p w14:paraId="3E8ABC7C">
      <w:pPr>
        <w:pStyle w:val="5"/>
        <w:shd w:val="clear"/>
        <w:rPr>
          <w:rFonts w:hint="default" w:ascii="Times New Roman" w:hAnsi="Times New Roman" w:cs="Times New Roman"/>
          <w:color w:val="auto"/>
          <w:szCs w:val="30"/>
          <w:highlight w:val="none"/>
          <w:u w:val="none" w:color="auto"/>
        </w:rPr>
      </w:pPr>
      <w:bookmarkStart w:id="152" w:name="_Toc2108"/>
      <w:r>
        <w:rPr>
          <w:rFonts w:hint="default" w:ascii="Times New Roman" w:hAnsi="Times New Roman" w:cs="Times New Roman"/>
          <w:color w:val="auto"/>
          <w:szCs w:val="30"/>
          <w:highlight w:val="none"/>
          <w:u w:val="none" w:color="auto"/>
        </w:rPr>
        <w:t>营运期环境影响预测及分析</w:t>
      </w:r>
      <w:bookmarkEnd w:id="150"/>
      <w:bookmarkEnd w:id="151"/>
      <w:bookmarkEnd w:id="152"/>
    </w:p>
    <w:p w14:paraId="01B05BF1">
      <w:pPr>
        <w:pStyle w:val="6"/>
        <w:shd w:val="clear"/>
        <w:rPr>
          <w:rFonts w:hint="default" w:ascii="Times New Roman" w:hAnsi="Times New Roman" w:cs="Times New Roman"/>
          <w:color w:val="auto"/>
          <w:highlight w:val="none"/>
          <w:u w:val="none" w:color="auto"/>
        </w:rPr>
      </w:pPr>
      <w:bookmarkStart w:id="153" w:name="_Toc1776"/>
      <w:r>
        <w:rPr>
          <w:rFonts w:hint="default" w:ascii="Times New Roman" w:hAnsi="Times New Roman" w:cs="Times New Roman"/>
          <w:color w:val="auto"/>
          <w:highlight w:val="none"/>
          <w:u w:val="none" w:color="auto"/>
        </w:rPr>
        <w:t>营运期大气环境影响分析</w:t>
      </w:r>
      <w:bookmarkEnd w:id="153"/>
    </w:p>
    <w:p w14:paraId="2E479D36">
      <w:pPr>
        <w:pStyle w:val="7"/>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基本气象资料</w:t>
      </w:r>
    </w:p>
    <w:p w14:paraId="0411936A">
      <w:pPr>
        <w:shd w:val="clear"/>
        <w:spacing w:line="360" w:lineRule="auto"/>
        <w:ind w:firstLine="480" w:firstLineChars="20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highlight w:val="none"/>
          <w:u w:val="none" w:color="auto"/>
        </w:rPr>
        <w:t>（1）气象资料来源</w:t>
      </w:r>
    </w:p>
    <w:p w14:paraId="6B1CA9CE">
      <w:pPr>
        <w:keepNext w:val="0"/>
        <w:keepLines w:val="0"/>
        <w:widowControl w:val="0"/>
        <w:suppressLineNumbers w:val="0"/>
        <w:shd w:val="clear"/>
        <w:spacing w:before="0" w:beforeAutospacing="0" w:after="0" w:afterAutospacing="0" w:line="360" w:lineRule="auto"/>
        <w:ind w:left="0" w:right="0" w:firstLine="480" w:firstLineChars="200"/>
        <w:jc w:val="both"/>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项目选址位于</w:t>
      </w:r>
      <w:r>
        <w:rPr>
          <w:rFonts w:hint="eastAsia" w:ascii="Times New Roman" w:hAnsi="Times New Roman" w:cs="Times New Roman"/>
          <w:kern w:val="2"/>
          <w:sz w:val="24"/>
          <w:szCs w:val="24"/>
          <w:highlight w:val="none"/>
          <w:lang w:val="en-US" w:eastAsia="zh-CN" w:bidi="ar"/>
        </w:rPr>
        <w:t>湘阴工业园产业园片区</w:t>
      </w:r>
      <w:r>
        <w:rPr>
          <w:rFonts w:hint="default" w:ascii="Times New Roman" w:hAnsi="Times New Roman" w:cs="Times New Roman"/>
          <w:color w:val="auto"/>
          <w:sz w:val="24"/>
          <w:highlight w:val="none"/>
          <w:u w:val="none" w:color="auto"/>
        </w:rPr>
        <w:t>，</w:t>
      </w:r>
      <w:r>
        <w:rPr>
          <w:rFonts w:hint="eastAsia" w:ascii="Times New Roman" w:hAnsi="Times New Roman" w:cs="Times New Roman"/>
          <w:color w:val="auto"/>
          <w:sz w:val="24"/>
          <w:highlight w:val="none"/>
          <w:u w:val="none" w:color="auto"/>
          <w:lang w:val="en-US" w:eastAsia="zh-CN"/>
        </w:rPr>
        <w:t>距离</w:t>
      </w:r>
      <w:r>
        <w:rPr>
          <w:rFonts w:hint="default" w:ascii="Times New Roman" w:hAnsi="Times New Roman" w:cs="Times New Roman"/>
          <w:color w:val="auto"/>
          <w:sz w:val="24"/>
          <w:highlight w:val="none"/>
          <w:u w:val="none" w:color="auto"/>
        </w:rPr>
        <w:t>厂址最近的气象站为湘阴县气象站（北纬28.7283°，东经112.9253°），位于本项目厂址东北方向，相距约</w:t>
      </w:r>
      <w:r>
        <w:rPr>
          <w:rFonts w:hint="eastAsia" w:ascii="Times New Roman" w:hAnsi="Times New Roman" w:cs="Times New Roman"/>
          <w:color w:val="auto"/>
          <w:sz w:val="24"/>
          <w:highlight w:val="none"/>
          <w:u w:val="none" w:color="auto"/>
          <w:lang w:val="en-US" w:eastAsia="zh-CN"/>
        </w:rPr>
        <w:t>11</w:t>
      </w:r>
      <w:r>
        <w:rPr>
          <w:rFonts w:hint="default" w:ascii="Times New Roman" w:hAnsi="Times New Roman" w:cs="Times New Roman"/>
          <w:color w:val="auto"/>
          <w:sz w:val="24"/>
          <w:highlight w:val="none"/>
          <w:u w:val="none" w:color="auto"/>
        </w:rPr>
        <w:t>km，且地理特征相似，可以用作本项目气象资料使用，采用</w:t>
      </w:r>
      <w:r>
        <w:rPr>
          <w:rFonts w:hint="eastAsia" w:ascii="Times New Roman" w:hAnsi="Times New Roman" w:cs="Times New Roman"/>
          <w:color w:val="auto"/>
          <w:sz w:val="24"/>
          <w:highlight w:val="none"/>
          <w:u w:val="none" w:color="auto"/>
          <w:lang w:val="en-US" w:eastAsia="zh-CN"/>
        </w:rPr>
        <w:t>湘阴</w:t>
      </w:r>
      <w:r>
        <w:rPr>
          <w:rFonts w:hint="default" w:ascii="Times New Roman" w:hAnsi="Times New Roman" w:cs="Times New Roman"/>
          <w:color w:val="auto"/>
          <w:sz w:val="24"/>
          <w:highlight w:val="none"/>
          <w:u w:val="none" w:color="auto"/>
        </w:rPr>
        <w:t>气象站近20年来气象资料。</w:t>
      </w:r>
    </w:p>
    <w:p w14:paraId="48CAD4A2">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根据湘阴气象站（2003.1.1~2022.12.31）的气象观测资料，得到该地区20年的气象数据资料，具体资料如下：</w:t>
      </w:r>
    </w:p>
    <w:p w14:paraId="09DDA5C8">
      <w:pPr>
        <w:pStyle w:val="39"/>
        <w:bidi w:val="0"/>
        <w:rPr>
          <w:rFonts w:hint="default"/>
        </w:rPr>
      </w:pPr>
      <w:r>
        <w:rPr>
          <w:rFonts w:hint="default"/>
        </w:rPr>
        <w:t>表</w:t>
      </w:r>
      <w:r>
        <w:rPr>
          <w:rFonts w:hint="eastAsia"/>
          <w:lang w:val="en-US" w:eastAsia="zh-CN"/>
        </w:rPr>
        <w:t>6.2-1</w:t>
      </w:r>
      <w:r>
        <w:rPr>
          <w:rFonts w:hint="default"/>
        </w:rPr>
        <w:t xml:space="preserve">  2003年~2022年各年平均风速（单位：m/s）、平均气温（单位：℃）</w:t>
      </w:r>
    </w:p>
    <w:tbl>
      <w:tblPr>
        <w:tblStyle w:val="3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78"/>
        <w:gridCol w:w="1328"/>
        <w:gridCol w:w="1329"/>
        <w:gridCol w:w="1329"/>
        <w:gridCol w:w="1329"/>
        <w:gridCol w:w="1329"/>
      </w:tblGrid>
      <w:tr w14:paraId="314BA4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6C5A8979">
            <w:pPr>
              <w:pStyle w:val="42"/>
              <w:keepNext w:val="0"/>
              <w:keepLines w:val="0"/>
              <w:suppressLineNumbers w:val="0"/>
              <w:bidi w:val="0"/>
              <w:spacing w:before="0" w:beforeAutospacing="0" w:after="0" w:afterAutospacing="0"/>
              <w:rPr>
                <w:rFonts w:hint="default"/>
                <w:lang w:val="en-US"/>
              </w:rPr>
            </w:pPr>
            <w:r>
              <w:rPr>
                <w:rFonts w:hint="default"/>
                <w:lang w:val="en-US" w:eastAsia="zh-CN"/>
              </w:rPr>
              <w:t>年</w:t>
            </w:r>
            <w:r>
              <w:rPr>
                <w:rFonts w:hint="default"/>
                <w:lang w:val="en-US"/>
              </w:rPr>
              <w:t>份</w:t>
            </w:r>
          </w:p>
        </w:tc>
        <w:tc>
          <w:tcPr>
            <w:tcW w:w="1328" w:type="dxa"/>
            <w:noWrap/>
            <w:vAlign w:val="center"/>
          </w:tcPr>
          <w:p w14:paraId="5EAB8CA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平均</w:t>
            </w:r>
            <w:r>
              <w:rPr>
                <w:rFonts w:hint="default"/>
                <w:lang w:val="en-US"/>
              </w:rPr>
              <w:t>风速</w:t>
            </w:r>
          </w:p>
        </w:tc>
        <w:tc>
          <w:tcPr>
            <w:tcW w:w="1329" w:type="dxa"/>
            <w:noWrap/>
            <w:vAlign w:val="center"/>
          </w:tcPr>
          <w:p w14:paraId="2D554AC0">
            <w:pPr>
              <w:pStyle w:val="42"/>
              <w:keepNext w:val="0"/>
              <w:keepLines w:val="0"/>
              <w:suppressLineNumbers w:val="0"/>
              <w:bidi w:val="0"/>
              <w:spacing w:before="0" w:beforeAutospacing="0" w:after="0" w:afterAutospacing="0"/>
              <w:rPr>
                <w:rFonts w:hint="default"/>
                <w:lang w:val="en-US"/>
              </w:rPr>
            </w:pPr>
            <w:r>
              <w:rPr>
                <w:rFonts w:hint="default"/>
                <w:lang w:val="en-US" w:eastAsia="zh-CN"/>
              </w:rPr>
              <w:t>平均</w:t>
            </w:r>
            <w:r>
              <w:rPr>
                <w:rFonts w:hint="default"/>
                <w:lang w:val="en-US"/>
              </w:rPr>
              <w:t>气温</w:t>
            </w:r>
          </w:p>
        </w:tc>
        <w:tc>
          <w:tcPr>
            <w:tcW w:w="1329" w:type="dxa"/>
            <w:noWrap/>
            <w:vAlign w:val="center"/>
          </w:tcPr>
          <w:p w14:paraId="5756C75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w:t>
            </w:r>
            <w:r>
              <w:rPr>
                <w:rFonts w:hint="default"/>
                <w:lang w:val="en-US"/>
              </w:rPr>
              <w:t>份</w:t>
            </w:r>
          </w:p>
        </w:tc>
        <w:tc>
          <w:tcPr>
            <w:tcW w:w="1329" w:type="dxa"/>
            <w:noWrap/>
            <w:vAlign w:val="center"/>
          </w:tcPr>
          <w:p w14:paraId="12B4329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平均</w:t>
            </w:r>
            <w:r>
              <w:rPr>
                <w:rFonts w:hint="default"/>
                <w:lang w:val="en-US"/>
              </w:rPr>
              <w:t>风速</w:t>
            </w:r>
          </w:p>
        </w:tc>
        <w:tc>
          <w:tcPr>
            <w:tcW w:w="1329" w:type="dxa"/>
            <w:noWrap/>
            <w:vAlign w:val="center"/>
          </w:tcPr>
          <w:p w14:paraId="2E7139F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平均</w:t>
            </w:r>
            <w:r>
              <w:rPr>
                <w:rFonts w:hint="default"/>
                <w:lang w:val="en-US"/>
              </w:rPr>
              <w:t>气温</w:t>
            </w:r>
          </w:p>
        </w:tc>
      </w:tr>
      <w:tr w14:paraId="261DA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3CF6E3FE">
            <w:pPr>
              <w:pStyle w:val="42"/>
              <w:keepNext w:val="0"/>
              <w:keepLines w:val="0"/>
              <w:suppressLineNumbers w:val="0"/>
              <w:bidi w:val="0"/>
              <w:spacing w:before="0" w:beforeAutospacing="0" w:after="0" w:afterAutospacing="0"/>
              <w:rPr>
                <w:rFonts w:hint="default"/>
                <w:lang w:val="en-US"/>
              </w:rPr>
            </w:pPr>
            <w:r>
              <w:rPr>
                <w:rFonts w:hint="default"/>
                <w:lang w:val="en-US" w:eastAsia="zh-CN"/>
              </w:rPr>
              <w:t>2003年</w:t>
            </w:r>
          </w:p>
        </w:tc>
        <w:tc>
          <w:tcPr>
            <w:tcW w:w="1328" w:type="dxa"/>
            <w:noWrap/>
            <w:vAlign w:val="center"/>
          </w:tcPr>
          <w:p w14:paraId="57123B7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2.3</w:t>
            </w:r>
          </w:p>
        </w:tc>
        <w:tc>
          <w:tcPr>
            <w:tcW w:w="1329" w:type="dxa"/>
            <w:noWrap/>
            <w:vAlign w:val="center"/>
          </w:tcPr>
          <w:p w14:paraId="10F47C7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17.4</w:t>
            </w:r>
          </w:p>
        </w:tc>
        <w:tc>
          <w:tcPr>
            <w:tcW w:w="1329" w:type="dxa"/>
            <w:noWrap/>
            <w:vAlign w:val="center"/>
          </w:tcPr>
          <w:p w14:paraId="66B1105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2013年</w:t>
            </w:r>
          </w:p>
        </w:tc>
        <w:tc>
          <w:tcPr>
            <w:tcW w:w="1329" w:type="dxa"/>
            <w:noWrap/>
            <w:vAlign w:val="center"/>
          </w:tcPr>
          <w:p w14:paraId="40B14C9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1.9</w:t>
            </w:r>
          </w:p>
        </w:tc>
        <w:tc>
          <w:tcPr>
            <w:tcW w:w="1329" w:type="dxa"/>
            <w:noWrap/>
            <w:vAlign w:val="center"/>
          </w:tcPr>
          <w:p w14:paraId="5D6010D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18.6</w:t>
            </w:r>
          </w:p>
        </w:tc>
      </w:tr>
      <w:tr w14:paraId="75D158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2ED0B1EB">
            <w:pPr>
              <w:pStyle w:val="42"/>
              <w:keepNext w:val="0"/>
              <w:keepLines w:val="0"/>
              <w:suppressLineNumbers w:val="0"/>
              <w:bidi w:val="0"/>
              <w:spacing w:before="0" w:beforeAutospacing="0" w:after="0" w:afterAutospacing="0"/>
              <w:rPr>
                <w:rFonts w:hint="default"/>
                <w:lang w:val="en-US"/>
              </w:rPr>
            </w:pPr>
            <w:r>
              <w:rPr>
                <w:rFonts w:hint="default"/>
                <w:lang w:val="en-US" w:eastAsia="zh-CN"/>
              </w:rPr>
              <w:t>2004年</w:t>
            </w:r>
          </w:p>
        </w:tc>
        <w:tc>
          <w:tcPr>
            <w:tcW w:w="1328" w:type="dxa"/>
            <w:noWrap/>
            <w:vAlign w:val="center"/>
          </w:tcPr>
          <w:p w14:paraId="3500777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w:t>
            </w:r>
          </w:p>
        </w:tc>
        <w:tc>
          <w:tcPr>
            <w:tcW w:w="1329" w:type="dxa"/>
            <w:noWrap/>
            <w:vAlign w:val="center"/>
          </w:tcPr>
          <w:p w14:paraId="39DEC80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17.9</w:t>
            </w:r>
          </w:p>
        </w:tc>
        <w:tc>
          <w:tcPr>
            <w:tcW w:w="1329" w:type="dxa"/>
            <w:noWrap/>
            <w:vAlign w:val="center"/>
          </w:tcPr>
          <w:p w14:paraId="3D14B50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2014年</w:t>
            </w:r>
          </w:p>
        </w:tc>
        <w:tc>
          <w:tcPr>
            <w:tcW w:w="1329" w:type="dxa"/>
            <w:noWrap/>
            <w:vAlign w:val="center"/>
          </w:tcPr>
          <w:p w14:paraId="14E2FDB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w:t>
            </w:r>
          </w:p>
        </w:tc>
        <w:tc>
          <w:tcPr>
            <w:tcW w:w="1329" w:type="dxa"/>
            <w:noWrap/>
            <w:vAlign w:val="center"/>
          </w:tcPr>
          <w:p w14:paraId="65C5B6E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17.9</w:t>
            </w:r>
          </w:p>
        </w:tc>
      </w:tr>
      <w:tr w14:paraId="6CA83C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757BA6B6">
            <w:pPr>
              <w:pStyle w:val="42"/>
              <w:keepNext w:val="0"/>
              <w:keepLines w:val="0"/>
              <w:suppressLineNumbers w:val="0"/>
              <w:bidi w:val="0"/>
              <w:spacing w:before="0" w:beforeAutospacing="0" w:after="0" w:afterAutospacing="0"/>
              <w:rPr>
                <w:rFonts w:hint="default"/>
                <w:lang w:val="en-US"/>
              </w:rPr>
            </w:pPr>
            <w:r>
              <w:rPr>
                <w:rFonts w:hint="default"/>
                <w:lang w:val="en-US" w:eastAsia="zh-CN"/>
              </w:rPr>
              <w:t>2005年</w:t>
            </w:r>
          </w:p>
        </w:tc>
        <w:tc>
          <w:tcPr>
            <w:tcW w:w="1328" w:type="dxa"/>
            <w:noWrap/>
            <w:vAlign w:val="center"/>
          </w:tcPr>
          <w:p w14:paraId="0E898F9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2.3</w:t>
            </w:r>
          </w:p>
        </w:tc>
        <w:tc>
          <w:tcPr>
            <w:tcW w:w="1329" w:type="dxa"/>
            <w:noWrap/>
            <w:vAlign w:val="center"/>
          </w:tcPr>
          <w:p w14:paraId="1DD12F1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w:t>
            </w:r>
          </w:p>
        </w:tc>
        <w:tc>
          <w:tcPr>
            <w:tcW w:w="1329" w:type="dxa"/>
            <w:noWrap/>
            <w:vAlign w:val="center"/>
          </w:tcPr>
          <w:p w14:paraId="3308E40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2015年</w:t>
            </w:r>
          </w:p>
        </w:tc>
        <w:tc>
          <w:tcPr>
            <w:tcW w:w="1329" w:type="dxa"/>
            <w:noWrap/>
            <w:vAlign w:val="center"/>
          </w:tcPr>
          <w:p w14:paraId="267D33B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w:t>
            </w:r>
          </w:p>
        </w:tc>
        <w:tc>
          <w:tcPr>
            <w:tcW w:w="1329" w:type="dxa"/>
            <w:noWrap/>
            <w:vAlign w:val="center"/>
          </w:tcPr>
          <w:p w14:paraId="440CD2C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18.1</w:t>
            </w:r>
          </w:p>
        </w:tc>
      </w:tr>
      <w:tr w14:paraId="4944AC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303757D4">
            <w:pPr>
              <w:pStyle w:val="42"/>
              <w:keepNext w:val="0"/>
              <w:keepLines w:val="0"/>
              <w:suppressLineNumbers w:val="0"/>
              <w:bidi w:val="0"/>
              <w:spacing w:before="0" w:beforeAutospacing="0" w:after="0" w:afterAutospacing="0"/>
              <w:rPr>
                <w:rFonts w:hint="default"/>
                <w:lang w:val="en-US"/>
              </w:rPr>
            </w:pPr>
            <w:r>
              <w:rPr>
                <w:rFonts w:hint="default"/>
                <w:lang w:val="en-US" w:eastAsia="zh-CN"/>
              </w:rPr>
              <w:t>2006年</w:t>
            </w:r>
          </w:p>
        </w:tc>
        <w:tc>
          <w:tcPr>
            <w:tcW w:w="1328" w:type="dxa"/>
            <w:noWrap/>
            <w:vAlign w:val="center"/>
          </w:tcPr>
          <w:p w14:paraId="1C7EDDC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2.3</w:t>
            </w:r>
          </w:p>
        </w:tc>
        <w:tc>
          <w:tcPr>
            <w:tcW w:w="1329" w:type="dxa"/>
            <w:noWrap/>
            <w:vAlign w:val="center"/>
          </w:tcPr>
          <w:p w14:paraId="7DEC53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18.2</w:t>
            </w:r>
          </w:p>
        </w:tc>
        <w:tc>
          <w:tcPr>
            <w:tcW w:w="1329" w:type="dxa"/>
            <w:noWrap/>
            <w:vAlign w:val="center"/>
          </w:tcPr>
          <w:p w14:paraId="0385DD3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2016年</w:t>
            </w:r>
          </w:p>
        </w:tc>
        <w:tc>
          <w:tcPr>
            <w:tcW w:w="1329" w:type="dxa"/>
            <w:noWrap/>
            <w:vAlign w:val="center"/>
          </w:tcPr>
          <w:p w14:paraId="7F1EFF5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w:t>
            </w:r>
          </w:p>
        </w:tc>
        <w:tc>
          <w:tcPr>
            <w:tcW w:w="1329" w:type="dxa"/>
            <w:noWrap/>
            <w:vAlign w:val="center"/>
          </w:tcPr>
          <w:p w14:paraId="221A962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18.2</w:t>
            </w:r>
          </w:p>
        </w:tc>
      </w:tr>
      <w:tr w14:paraId="3A98B8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3B974619">
            <w:pPr>
              <w:pStyle w:val="42"/>
              <w:keepNext w:val="0"/>
              <w:keepLines w:val="0"/>
              <w:suppressLineNumbers w:val="0"/>
              <w:bidi w:val="0"/>
              <w:spacing w:before="0" w:beforeAutospacing="0" w:after="0" w:afterAutospacing="0"/>
              <w:rPr>
                <w:rFonts w:hint="default"/>
                <w:lang w:val="en-US"/>
              </w:rPr>
            </w:pPr>
            <w:r>
              <w:rPr>
                <w:rFonts w:hint="default"/>
                <w:lang w:val="en-US" w:eastAsia="zh-CN"/>
              </w:rPr>
              <w:t>2007年</w:t>
            </w:r>
          </w:p>
        </w:tc>
        <w:tc>
          <w:tcPr>
            <w:tcW w:w="1328" w:type="dxa"/>
            <w:noWrap/>
            <w:vAlign w:val="center"/>
          </w:tcPr>
          <w:p w14:paraId="008F88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w:t>
            </w:r>
          </w:p>
        </w:tc>
        <w:tc>
          <w:tcPr>
            <w:tcW w:w="1329" w:type="dxa"/>
            <w:noWrap/>
            <w:vAlign w:val="center"/>
          </w:tcPr>
          <w:p w14:paraId="29E137B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18.3</w:t>
            </w:r>
          </w:p>
        </w:tc>
        <w:tc>
          <w:tcPr>
            <w:tcW w:w="1329" w:type="dxa"/>
            <w:noWrap/>
            <w:vAlign w:val="center"/>
          </w:tcPr>
          <w:p w14:paraId="4E4FE21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2017年</w:t>
            </w:r>
          </w:p>
        </w:tc>
        <w:tc>
          <w:tcPr>
            <w:tcW w:w="1329" w:type="dxa"/>
            <w:noWrap/>
            <w:vAlign w:val="center"/>
          </w:tcPr>
          <w:p w14:paraId="5D0B6F5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w:t>
            </w:r>
          </w:p>
        </w:tc>
        <w:tc>
          <w:tcPr>
            <w:tcW w:w="1329" w:type="dxa"/>
            <w:noWrap/>
            <w:vAlign w:val="center"/>
          </w:tcPr>
          <w:p w14:paraId="6A5BA81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18.4</w:t>
            </w:r>
          </w:p>
        </w:tc>
      </w:tr>
      <w:tr w14:paraId="738E61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5A9AEE18">
            <w:pPr>
              <w:pStyle w:val="42"/>
              <w:keepNext w:val="0"/>
              <w:keepLines w:val="0"/>
              <w:suppressLineNumbers w:val="0"/>
              <w:bidi w:val="0"/>
              <w:spacing w:before="0" w:beforeAutospacing="0" w:after="0" w:afterAutospacing="0"/>
              <w:rPr>
                <w:rFonts w:hint="default"/>
                <w:lang w:val="en-US"/>
              </w:rPr>
            </w:pPr>
            <w:r>
              <w:rPr>
                <w:rFonts w:hint="default"/>
                <w:lang w:val="en-US" w:eastAsia="zh-CN"/>
              </w:rPr>
              <w:t>2008年</w:t>
            </w:r>
          </w:p>
        </w:tc>
        <w:tc>
          <w:tcPr>
            <w:tcW w:w="1328" w:type="dxa"/>
            <w:noWrap/>
            <w:vAlign w:val="center"/>
          </w:tcPr>
          <w:p w14:paraId="3E629C0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w:t>
            </w:r>
          </w:p>
        </w:tc>
        <w:tc>
          <w:tcPr>
            <w:tcW w:w="1329" w:type="dxa"/>
            <w:noWrap/>
            <w:vAlign w:val="center"/>
          </w:tcPr>
          <w:p w14:paraId="0911275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17.9</w:t>
            </w:r>
          </w:p>
        </w:tc>
        <w:tc>
          <w:tcPr>
            <w:tcW w:w="1329" w:type="dxa"/>
            <w:noWrap/>
            <w:vAlign w:val="center"/>
          </w:tcPr>
          <w:p w14:paraId="14E3FC8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2018年</w:t>
            </w:r>
          </w:p>
        </w:tc>
        <w:tc>
          <w:tcPr>
            <w:tcW w:w="1329" w:type="dxa"/>
            <w:noWrap/>
            <w:vAlign w:val="center"/>
          </w:tcPr>
          <w:p w14:paraId="07A6348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2.7</w:t>
            </w:r>
          </w:p>
        </w:tc>
        <w:tc>
          <w:tcPr>
            <w:tcW w:w="1329" w:type="dxa"/>
            <w:noWrap/>
            <w:vAlign w:val="center"/>
          </w:tcPr>
          <w:p w14:paraId="65E5EFD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17.8</w:t>
            </w:r>
          </w:p>
        </w:tc>
      </w:tr>
      <w:tr w14:paraId="43D4A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1116B5A5">
            <w:pPr>
              <w:pStyle w:val="42"/>
              <w:keepNext w:val="0"/>
              <w:keepLines w:val="0"/>
              <w:suppressLineNumbers w:val="0"/>
              <w:bidi w:val="0"/>
              <w:spacing w:before="0" w:beforeAutospacing="0" w:after="0" w:afterAutospacing="0"/>
              <w:rPr>
                <w:rFonts w:hint="default"/>
                <w:lang w:val="en-US"/>
              </w:rPr>
            </w:pPr>
            <w:r>
              <w:rPr>
                <w:rFonts w:hint="default"/>
                <w:lang w:val="en-US" w:eastAsia="zh-CN"/>
              </w:rPr>
              <w:t>2009年</w:t>
            </w:r>
          </w:p>
        </w:tc>
        <w:tc>
          <w:tcPr>
            <w:tcW w:w="1328" w:type="dxa"/>
            <w:noWrap/>
            <w:vAlign w:val="center"/>
          </w:tcPr>
          <w:p w14:paraId="6B66080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w:t>
            </w:r>
          </w:p>
        </w:tc>
        <w:tc>
          <w:tcPr>
            <w:tcW w:w="1329" w:type="dxa"/>
            <w:noWrap/>
            <w:vAlign w:val="center"/>
          </w:tcPr>
          <w:p w14:paraId="4E0418F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w:t>
            </w:r>
          </w:p>
        </w:tc>
        <w:tc>
          <w:tcPr>
            <w:tcW w:w="1329" w:type="dxa"/>
            <w:noWrap/>
            <w:vAlign w:val="center"/>
          </w:tcPr>
          <w:p w14:paraId="63CA1BB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2019年</w:t>
            </w:r>
          </w:p>
        </w:tc>
        <w:tc>
          <w:tcPr>
            <w:tcW w:w="1329" w:type="dxa"/>
            <w:noWrap/>
            <w:vAlign w:val="center"/>
          </w:tcPr>
          <w:p w14:paraId="798C7E1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2.5</w:t>
            </w:r>
          </w:p>
        </w:tc>
        <w:tc>
          <w:tcPr>
            <w:tcW w:w="1329" w:type="dxa"/>
            <w:noWrap/>
            <w:vAlign w:val="center"/>
          </w:tcPr>
          <w:p w14:paraId="41E25C1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17.6</w:t>
            </w:r>
          </w:p>
        </w:tc>
      </w:tr>
      <w:tr w14:paraId="1C881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51358938">
            <w:pPr>
              <w:pStyle w:val="42"/>
              <w:keepNext w:val="0"/>
              <w:keepLines w:val="0"/>
              <w:suppressLineNumbers w:val="0"/>
              <w:bidi w:val="0"/>
              <w:spacing w:before="0" w:beforeAutospacing="0" w:after="0" w:afterAutospacing="0"/>
              <w:rPr>
                <w:rFonts w:hint="default"/>
                <w:lang w:val="en-US"/>
              </w:rPr>
            </w:pPr>
            <w:r>
              <w:rPr>
                <w:rFonts w:hint="default"/>
                <w:lang w:val="en-US" w:eastAsia="zh-CN"/>
              </w:rPr>
              <w:t>2010年</w:t>
            </w:r>
          </w:p>
        </w:tc>
        <w:tc>
          <w:tcPr>
            <w:tcW w:w="1328" w:type="dxa"/>
            <w:noWrap/>
            <w:vAlign w:val="center"/>
          </w:tcPr>
          <w:p w14:paraId="1DE0B4D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w:t>
            </w:r>
          </w:p>
        </w:tc>
        <w:tc>
          <w:tcPr>
            <w:tcW w:w="1329" w:type="dxa"/>
            <w:noWrap/>
            <w:vAlign w:val="center"/>
          </w:tcPr>
          <w:p w14:paraId="3F335D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17.7</w:t>
            </w:r>
          </w:p>
        </w:tc>
        <w:tc>
          <w:tcPr>
            <w:tcW w:w="1329" w:type="dxa"/>
            <w:noWrap/>
            <w:vAlign w:val="center"/>
          </w:tcPr>
          <w:p w14:paraId="2503AA9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2020年</w:t>
            </w:r>
          </w:p>
        </w:tc>
        <w:tc>
          <w:tcPr>
            <w:tcW w:w="1329" w:type="dxa"/>
            <w:noWrap/>
            <w:vAlign w:val="center"/>
          </w:tcPr>
          <w:p w14:paraId="5700BC4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w:t>
            </w:r>
          </w:p>
        </w:tc>
        <w:tc>
          <w:tcPr>
            <w:tcW w:w="1329" w:type="dxa"/>
            <w:noWrap/>
            <w:vAlign w:val="center"/>
          </w:tcPr>
          <w:p w14:paraId="5D333AD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w:t>
            </w:r>
          </w:p>
        </w:tc>
      </w:tr>
      <w:tr w14:paraId="74D847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01172FC5">
            <w:pPr>
              <w:pStyle w:val="42"/>
              <w:keepNext w:val="0"/>
              <w:keepLines w:val="0"/>
              <w:suppressLineNumbers w:val="0"/>
              <w:bidi w:val="0"/>
              <w:spacing w:before="0" w:beforeAutospacing="0" w:after="0" w:afterAutospacing="0"/>
              <w:rPr>
                <w:rFonts w:hint="default"/>
                <w:lang w:val="en-US"/>
              </w:rPr>
            </w:pPr>
            <w:r>
              <w:rPr>
                <w:rFonts w:hint="default"/>
                <w:lang w:val="en-US" w:eastAsia="zh-CN"/>
              </w:rPr>
              <w:t>2011年</w:t>
            </w:r>
          </w:p>
        </w:tc>
        <w:tc>
          <w:tcPr>
            <w:tcW w:w="1328" w:type="dxa"/>
            <w:noWrap/>
            <w:vAlign w:val="center"/>
          </w:tcPr>
          <w:p w14:paraId="5208953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w:t>
            </w:r>
          </w:p>
        </w:tc>
        <w:tc>
          <w:tcPr>
            <w:tcW w:w="1329" w:type="dxa"/>
            <w:noWrap/>
            <w:vAlign w:val="center"/>
          </w:tcPr>
          <w:p w14:paraId="67A9B17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w:t>
            </w:r>
          </w:p>
        </w:tc>
        <w:tc>
          <w:tcPr>
            <w:tcW w:w="1329" w:type="dxa"/>
            <w:noWrap/>
            <w:vAlign w:val="center"/>
          </w:tcPr>
          <w:p w14:paraId="5F94B3A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2021年</w:t>
            </w:r>
          </w:p>
        </w:tc>
        <w:tc>
          <w:tcPr>
            <w:tcW w:w="1329" w:type="dxa"/>
            <w:noWrap/>
            <w:vAlign w:val="center"/>
          </w:tcPr>
          <w:p w14:paraId="580A549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2.5</w:t>
            </w:r>
          </w:p>
        </w:tc>
        <w:tc>
          <w:tcPr>
            <w:tcW w:w="1329" w:type="dxa"/>
            <w:noWrap/>
            <w:vAlign w:val="center"/>
          </w:tcPr>
          <w:p w14:paraId="7F67CE2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17.4</w:t>
            </w:r>
          </w:p>
        </w:tc>
      </w:tr>
      <w:tr w14:paraId="409C7B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8" w:type="dxa"/>
            <w:noWrap/>
            <w:vAlign w:val="center"/>
          </w:tcPr>
          <w:p w14:paraId="04C94F36">
            <w:pPr>
              <w:pStyle w:val="42"/>
              <w:keepNext w:val="0"/>
              <w:keepLines w:val="0"/>
              <w:suppressLineNumbers w:val="0"/>
              <w:bidi w:val="0"/>
              <w:spacing w:before="0" w:beforeAutospacing="0" w:after="0" w:afterAutospacing="0"/>
              <w:rPr>
                <w:rFonts w:hint="default"/>
                <w:lang w:val="en-US"/>
              </w:rPr>
            </w:pPr>
            <w:r>
              <w:rPr>
                <w:rFonts w:hint="default"/>
                <w:lang w:val="en-US" w:eastAsia="zh-CN"/>
              </w:rPr>
              <w:t>2012年</w:t>
            </w:r>
          </w:p>
        </w:tc>
        <w:tc>
          <w:tcPr>
            <w:tcW w:w="1328" w:type="dxa"/>
            <w:noWrap/>
            <w:vAlign w:val="center"/>
          </w:tcPr>
          <w:p w14:paraId="164BB03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w:t>
            </w:r>
          </w:p>
        </w:tc>
        <w:tc>
          <w:tcPr>
            <w:tcW w:w="1329" w:type="dxa"/>
            <w:noWrap/>
            <w:vAlign w:val="center"/>
          </w:tcPr>
          <w:p w14:paraId="5876A2E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17.1</w:t>
            </w:r>
          </w:p>
        </w:tc>
        <w:tc>
          <w:tcPr>
            <w:tcW w:w="1329" w:type="dxa"/>
            <w:noWrap/>
            <w:vAlign w:val="center"/>
          </w:tcPr>
          <w:p w14:paraId="47CE0F3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2022年</w:t>
            </w:r>
          </w:p>
        </w:tc>
        <w:tc>
          <w:tcPr>
            <w:tcW w:w="1329" w:type="dxa"/>
            <w:noWrap/>
            <w:vAlign w:val="center"/>
          </w:tcPr>
          <w:p w14:paraId="50AEB15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w:t>
            </w:r>
          </w:p>
        </w:tc>
        <w:tc>
          <w:tcPr>
            <w:tcW w:w="1329" w:type="dxa"/>
            <w:noWrap/>
            <w:vAlign w:val="center"/>
          </w:tcPr>
          <w:p w14:paraId="4A87FCC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18.2</w:t>
            </w:r>
          </w:p>
        </w:tc>
      </w:tr>
    </w:tbl>
    <w:p w14:paraId="6FFB53F5">
      <w:pPr>
        <w:pStyle w:val="39"/>
        <w:bidi w:val="0"/>
        <w:rPr>
          <w:rFonts w:hint="default"/>
        </w:rPr>
      </w:pPr>
      <w:r>
        <w:rPr>
          <w:rFonts w:hint="default"/>
        </w:rPr>
        <w:t>表</w:t>
      </w:r>
      <w:r>
        <w:rPr>
          <w:rFonts w:hint="eastAsia"/>
          <w:lang w:val="en-US" w:eastAsia="zh-CN"/>
        </w:rPr>
        <w:t>6.2-2</w:t>
      </w:r>
      <w:r>
        <w:rPr>
          <w:rFonts w:hint="default"/>
        </w:rPr>
        <w:t xml:space="preserve">  2003年~2022年年风向频率（单位：次）</w:t>
      </w:r>
    </w:p>
    <w:tbl>
      <w:tblPr>
        <w:tblStyle w:val="30"/>
        <w:tblW w:w="853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6"/>
        <w:gridCol w:w="508"/>
        <w:gridCol w:w="483"/>
        <w:gridCol w:w="443"/>
        <w:gridCol w:w="468"/>
        <w:gridCol w:w="443"/>
        <w:gridCol w:w="447"/>
        <w:gridCol w:w="443"/>
        <w:gridCol w:w="443"/>
        <w:gridCol w:w="508"/>
        <w:gridCol w:w="483"/>
        <w:gridCol w:w="443"/>
        <w:gridCol w:w="533"/>
        <w:gridCol w:w="443"/>
        <w:gridCol w:w="555"/>
        <w:gridCol w:w="443"/>
        <w:gridCol w:w="526"/>
        <w:gridCol w:w="444"/>
      </w:tblGrid>
      <w:tr w14:paraId="4845E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10E1CDE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年份</w:t>
            </w:r>
          </w:p>
        </w:tc>
        <w:tc>
          <w:tcPr>
            <w:tcW w:w="508" w:type="dxa"/>
            <w:noWrap/>
            <w:vAlign w:val="center"/>
          </w:tcPr>
          <w:p w14:paraId="0971F455">
            <w:pPr>
              <w:pStyle w:val="42"/>
              <w:keepNext w:val="0"/>
              <w:keepLines w:val="0"/>
              <w:suppressLineNumbers w:val="0"/>
              <w:bidi w:val="0"/>
              <w:spacing w:before="0" w:beforeAutospacing="0" w:after="0" w:afterAutospacing="0"/>
              <w:rPr>
                <w:rFonts w:hint="default"/>
              </w:rPr>
            </w:pPr>
            <w:r>
              <w:rPr>
                <w:rFonts w:hint="default"/>
                <w:lang w:val="en-US" w:eastAsia="zh-CN"/>
              </w:rPr>
              <w:t>N</w:t>
            </w:r>
          </w:p>
        </w:tc>
        <w:tc>
          <w:tcPr>
            <w:tcW w:w="483" w:type="dxa"/>
            <w:noWrap/>
            <w:vAlign w:val="center"/>
          </w:tcPr>
          <w:p w14:paraId="7823410B">
            <w:pPr>
              <w:pStyle w:val="42"/>
              <w:keepNext w:val="0"/>
              <w:keepLines w:val="0"/>
              <w:suppressLineNumbers w:val="0"/>
              <w:bidi w:val="0"/>
              <w:spacing w:before="0" w:beforeAutospacing="0" w:after="0" w:afterAutospacing="0"/>
              <w:rPr>
                <w:rFonts w:hint="default"/>
              </w:rPr>
            </w:pPr>
            <w:r>
              <w:rPr>
                <w:rFonts w:hint="default"/>
                <w:lang w:val="en-US" w:eastAsia="zh-CN"/>
              </w:rPr>
              <w:t>NNE</w:t>
            </w:r>
          </w:p>
        </w:tc>
        <w:tc>
          <w:tcPr>
            <w:tcW w:w="443" w:type="dxa"/>
            <w:noWrap/>
            <w:vAlign w:val="center"/>
          </w:tcPr>
          <w:p w14:paraId="7ED69CC9">
            <w:pPr>
              <w:pStyle w:val="42"/>
              <w:keepNext w:val="0"/>
              <w:keepLines w:val="0"/>
              <w:suppressLineNumbers w:val="0"/>
              <w:bidi w:val="0"/>
              <w:spacing w:before="0" w:beforeAutospacing="0" w:after="0" w:afterAutospacing="0"/>
              <w:rPr>
                <w:rFonts w:hint="default"/>
              </w:rPr>
            </w:pPr>
            <w:r>
              <w:rPr>
                <w:rFonts w:hint="default"/>
                <w:lang w:val="en-US" w:eastAsia="zh-CN"/>
              </w:rPr>
              <w:t>NE</w:t>
            </w:r>
          </w:p>
        </w:tc>
        <w:tc>
          <w:tcPr>
            <w:tcW w:w="468" w:type="dxa"/>
            <w:noWrap/>
            <w:vAlign w:val="center"/>
          </w:tcPr>
          <w:p w14:paraId="63A6791B">
            <w:pPr>
              <w:pStyle w:val="42"/>
              <w:keepNext w:val="0"/>
              <w:keepLines w:val="0"/>
              <w:suppressLineNumbers w:val="0"/>
              <w:bidi w:val="0"/>
              <w:spacing w:before="0" w:beforeAutospacing="0" w:after="0" w:afterAutospacing="0"/>
              <w:rPr>
                <w:rFonts w:hint="default"/>
              </w:rPr>
            </w:pPr>
            <w:r>
              <w:rPr>
                <w:rFonts w:hint="default"/>
                <w:lang w:val="en-US" w:eastAsia="zh-CN"/>
              </w:rPr>
              <w:t>ENE</w:t>
            </w:r>
          </w:p>
        </w:tc>
        <w:tc>
          <w:tcPr>
            <w:tcW w:w="443" w:type="dxa"/>
            <w:noWrap/>
            <w:vAlign w:val="center"/>
          </w:tcPr>
          <w:p w14:paraId="51701F84">
            <w:pPr>
              <w:pStyle w:val="42"/>
              <w:keepNext w:val="0"/>
              <w:keepLines w:val="0"/>
              <w:suppressLineNumbers w:val="0"/>
              <w:bidi w:val="0"/>
              <w:spacing w:before="0" w:beforeAutospacing="0" w:after="0" w:afterAutospacing="0"/>
              <w:rPr>
                <w:rFonts w:hint="default"/>
              </w:rPr>
            </w:pPr>
            <w:r>
              <w:rPr>
                <w:rFonts w:hint="default"/>
                <w:lang w:val="en-US" w:eastAsia="zh-CN"/>
              </w:rPr>
              <w:t>E</w:t>
            </w:r>
          </w:p>
        </w:tc>
        <w:tc>
          <w:tcPr>
            <w:tcW w:w="447" w:type="dxa"/>
            <w:noWrap/>
            <w:vAlign w:val="center"/>
          </w:tcPr>
          <w:p w14:paraId="3B7E5E08">
            <w:pPr>
              <w:pStyle w:val="42"/>
              <w:keepNext w:val="0"/>
              <w:keepLines w:val="0"/>
              <w:suppressLineNumbers w:val="0"/>
              <w:bidi w:val="0"/>
              <w:spacing w:before="0" w:beforeAutospacing="0" w:after="0" w:afterAutospacing="0"/>
              <w:rPr>
                <w:rFonts w:hint="default"/>
              </w:rPr>
            </w:pPr>
            <w:r>
              <w:rPr>
                <w:rFonts w:hint="default"/>
                <w:lang w:val="en-US" w:eastAsia="zh-CN"/>
              </w:rPr>
              <w:t>ESE</w:t>
            </w:r>
          </w:p>
        </w:tc>
        <w:tc>
          <w:tcPr>
            <w:tcW w:w="443" w:type="dxa"/>
            <w:noWrap/>
            <w:vAlign w:val="center"/>
          </w:tcPr>
          <w:p w14:paraId="1FE69EBB">
            <w:pPr>
              <w:pStyle w:val="42"/>
              <w:keepNext w:val="0"/>
              <w:keepLines w:val="0"/>
              <w:suppressLineNumbers w:val="0"/>
              <w:bidi w:val="0"/>
              <w:spacing w:before="0" w:beforeAutospacing="0" w:after="0" w:afterAutospacing="0"/>
              <w:rPr>
                <w:rFonts w:hint="default"/>
              </w:rPr>
            </w:pPr>
            <w:r>
              <w:rPr>
                <w:rFonts w:hint="default"/>
                <w:lang w:val="en-US" w:eastAsia="zh-CN"/>
              </w:rPr>
              <w:t>SE</w:t>
            </w:r>
          </w:p>
        </w:tc>
        <w:tc>
          <w:tcPr>
            <w:tcW w:w="443" w:type="dxa"/>
            <w:noWrap/>
            <w:vAlign w:val="center"/>
          </w:tcPr>
          <w:p w14:paraId="250F4D42">
            <w:pPr>
              <w:pStyle w:val="42"/>
              <w:keepNext w:val="0"/>
              <w:keepLines w:val="0"/>
              <w:suppressLineNumbers w:val="0"/>
              <w:bidi w:val="0"/>
              <w:spacing w:before="0" w:beforeAutospacing="0" w:after="0" w:afterAutospacing="0"/>
              <w:rPr>
                <w:rFonts w:hint="default"/>
              </w:rPr>
            </w:pPr>
            <w:r>
              <w:rPr>
                <w:rFonts w:hint="default"/>
                <w:lang w:val="en-US" w:eastAsia="zh-CN"/>
              </w:rPr>
              <w:t>SSE</w:t>
            </w:r>
          </w:p>
        </w:tc>
        <w:tc>
          <w:tcPr>
            <w:tcW w:w="508" w:type="dxa"/>
            <w:noWrap/>
            <w:vAlign w:val="center"/>
          </w:tcPr>
          <w:p w14:paraId="3EABF6EB">
            <w:pPr>
              <w:pStyle w:val="42"/>
              <w:keepNext w:val="0"/>
              <w:keepLines w:val="0"/>
              <w:suppressLineNumbers w:val="0"/>
              <w:bidi w:val="0"/>
              <w:spacing w:before="0" w:beforeAutospacing="0" w:after="0" w:afterAutospacing="0"/>
              <w:rPr>
                <w:rFonts w:hint="default"/>
              </w:rPr>
            </w:pPr>
            <w:r>
              <w:rPr>
                <w:rFonts w:hint="default"/>
                <w:lang w:val="en-US" w:eastAsia="zh-CN"/>
              </w:rPr>
              <w:t>S</w:t>
            </w:r>
          </w:p>
        </w:tc>
        <w:tc>
          <w:tcPr>
            <w:tcW w:w="483" w:type="dxa"/>
            <w:noWrap/>
            <w:vAlign w:val="center"/>
          </w:tcPr>
          <w:p w14:paraId="01F96506">
            <w:pPr>
              <w:pStyle w:val="42"/>
              <w:keepNext w:val="0"/>
              <w:keepLines w:val="0"/>
              <w:suppressLineNumbers w:val="0"/>
              <w:bidi w:val="0"/>
              <w:spacing w:before="0" w:beforeAutospacing="0" w:after="0" w:afterAutospacing="0"/>
              <w:rPr>
                <w:rFonts w:hint="default"/>
              </w:rPr>
            </w:pPr>
            <w:r>
              <w:rPr>
                <w:rFonts w:hint="default"/>
                <w:lang w:val="en-US" w:eastAsia="zh-CN"/>
              </w:rPr>
              <w:t>SSW</w:t>
            </w:r>
          </w:p>
        </w:tc>
        <w:tc>
          <w:tcPr>
            <w:tcW w:w="443" w:type="dxa"/>
            <w:noWrap/>
            <w:vAlign w:val="center"/>
          </w:tcPr>
          <w:p w14:paraId="1B6CDF9B">
            <w:pPr>
              <w:pStyle w:val="42"/>
              <w:keepNext w:val="0"/>
              <w:keepLines w:val="0"/>
              <w:suppressLineNumbers w:val="0"/>
              <w:bidi w:val="0"/>
              <w:spacing w:before="0" w:beforeAutospacing="0" w:after="0" w:afterAutospacing="0"/>
              <w:rPr>
                <w:rFonts w:hint="default"/>
              </w:rPr>
            </w:pPr>
            <w:r>
              <w:rPr>
                <w:rFonts w:hint="default"/>
                <w:lang w:val="en-US" w:eastAsia="zh-CN"/>
              </w:rPr>
              <w:t>SW</w:t>
            </w:r>
          </w:p>
        </w:tc>
        <w:tc>
          <w:tcPr>
            <w:tcW w:w="533" w:type="dxa"/>
            <w:noWrap/>
            <w:vAlign w:val="center"/>
          </w:tcPr>
          <w:p w14:paraId="6144321B">
            <w:pPr>
              <w:pStyle w:val="42"/>
              <w:keepNext w:val="0"/>
              <w:keepLines w:val="0"/>
              <w:suppressLineNumbers w:val="0"/>
              <w:bidi w:val="0"/>
              <w:spacing w:before="0" w:beforeAutospacing="0" w:after="0" w:afterAutospacing="0"/>
              <w:rPr>
                <w:rFonts w:hint="default"/>
              </w:rPr>
            </w:pPr>
            <w:r>
              <w:rPr>
                <w:rFonts w:hint="default"/>
                <w:lang w:val="en-US" w:eastAsia="zh-CN"/>
              </w:rPr>
              <w:t>WSW</w:t>
            </w:r>
          </w:p>
        </w:tc>
        <w:tc>
          <w:tcPr>
            <w:tcW w:w="443" w:type="dxa"/>
            <w:noWrap/>
            <w:vAlign w:val="center"/>
          </w:tcPr>
          <w:p w14:paraId="259B986B">
            <w:pPr>
              <w:pStyle w:val="42"/>
              <w:keepNext w:val="0"/>
              <w:keepLines w:val="0"/>
              <w:suppressLineNumbers w:val="0"/>
              <w:bidi w:val="0"/>
              <w:spacing w:before="0" w:beforeAutospacing="0" w:after="0" w:afterAutospacing="0"/>
              <w:rPr>
                <w:rFonts w:hint="default"/>
              </w:rPr>
            </w:pPr>
            <w:r>
              <w:rPr>
                <w:rFonts w:hint="default"/>
                <w:lang w:val="en-US" w:eastAsia="zh-CN"/>
              </w:rPr>
              <w:t>W</w:t>
            </w:r>
          </w:p>
        </w:tc>
        <w:tc>
          <w:tcPr>
            <w:tcW w:w="555" w:type="dxa"/>
            <w:noWrap/>
            <w:vAlign w:val="center"/>
          </w:tcPr>
          <w:p w14:paraId="403C27C4">
            <w:pPr>
              <w:pStyle w:val="42"/>
              <w:keepNext w:val="0"/>
              <w:keepLines w:val="0"/>
              <w:suppressLineNumbers w:val="0"/>
              <w:bidi w:val="0"/>
              <w:spacing w:before="0" w:beforeAutospacing="0" w:after="0" w:afterAutospacing="0"/>
              <w:rPr>
                <w:rFonts w:hint="default"/>
              </w:rPr>
            </w:pPr>
            <w:r>
              <w:rPr>
                <w:rFonts w:hint="default"/>
                <w:lang w:val="en-US" w:eastAsia="zh-CN"/>
              </w:rPr>
              <w:t>WNW</w:t>
            </w:r>
          </w:p>
        </w:tc>
        <w:tc>
          <w:tcPr>
            <w:tcW w:w="443" w:type="dxa"/>
            <w:noWrap/>
            <w:vAlign w:val="center"/>
          </w:tcPr>
          <w:p w14:paraId="7F03BAFE">
            <w:pPr>
              <w:pStyle w:val="42"/>
              <w:keepNext w:val="0"/>
              <w:keepLines w:val="0"/>
              <w:suppressLineNumbers w:val="0"/>
              <w:bidi w:val="0"/>
              <w:spacing w:before="0" w:beforeAutospacing="0" w:after="0" w:afterAutospacing="0"/>
              <w:rPr>
                <w:rFonts w:hint="default"/>
              </w:rPr>
            </w:pPr>
            <w:r>
              <w:rPr>
                <w:rFonts w:hint="default"/>
                <w:lang w:val="en-US" w:eastAsia="zh-CN"/>
              </w:rPr>
              <w:t>NW</w:t>
            </w:r>
          </w:p>
        </w:tc>
        <w:tc>
          <w:tcPr>
            <w:tcW w:w="526" w:type="dxa"/>
            <w:noWrap/>
            <w:vAlign w:val="center"/>
          </w:tcPr>
          <w:p w14:paraId="5C1AC659">
            <w:pPr>
              <w:pStyle w:val="42"/>
              <w:keepNext w:val="0"/>
              <w:keepLines w:val="0"/>
              <w:suppressLineNumbers w:val="0"/>
              <w:bidi w:val="0"/>
              <w:spacing w:before="0" w:beforeAutospacing="0" w:after="0" w:afterAutospacing="0"/>
              <w:rPr>
                <w:rFonts w:hint="default"/>
              </w:rPr>
            </w:pPr>
            <w:r>
              <w:rPr>
                <w:rFonts w:hint="default"/>
                <w:lang w:val="en-US" w:eastAsia="zh-CN"/>
              </w:rPr>
              <w:t>NNW</w:t>
            </w:r>
          </w:p>
        </w:tc>
        <w:tc>
          <w:tcPr>
            <w:tcW w:w="444" w:type="dxa"/>
            <w:noWrap/>
            <w:vAlign w:val="center"/>
          </w:tcPr>
          <w:p w14:paraId="463AF99B">
            <w:pPr>
              <w:pStyle w:val="42"/>
              <w:keepNext w:val="0"/>
              <w:keepLines w:val="0"/>
              <w:suppressLineNumbers w:val="0"/>
              <w:bidi w:val="0"/>
              <w:spacing w:before="0" w:beforeAutospacing="0" w:after="0" w:afterAutospacing="0"/>
              <w:rPr>
                <w:rFonts w:hint="default"/>
              </w:rPr>
            </w:pPr>
            <w:r>
              <w:rPr>
                <w:rFonts w:hint="default"/>
                <w:lang w:val="en-US" w:eastAsia="zh-CN"/>
              </w:rPr>
              <w:t>C</w:t>
            </w:r>
          </w:p>
        </w:tc>
      </w:tr>
      <w:tr w14:paraId="3D173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2E57A9D2">
            <w:pPr>
              <w:pStyle w:val="42"/>
              <w:keepNext w:val="0"/>
              <w:keepLines w:val="0"/>
              <w:suppressLineNumbers w:val="0"/>
              <w:bidi w:val="0"/>
              <w:spacing w:before="0" w:beforeAutospacing="0" w:after="0" w:afterAutospacing="0"/>
              <w:rPr>
                <w:rFonts w:hint="default"/>
              </w:rPr>
            </w:pPr>
            <w:r>
              <w:rPr>
                <w:rFonts w:hint="default"/>
                <w:lang w:val="en-US" w:eastAsia="zh-CN"/>
              </w:rPr>
              <w:t>2003</w:t>
            </w:r>
          </w:p>
        </w:tc>
        <w:tc>
          <w:tcPr>
            <w:tcW w:w="508" w:type="dxa"/>
            <w:noWrap/>
            <w:vAlign w:val="center"/>
          </w:tcPr>
          <w:p w14:paraId="3D061515">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71D84F2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804333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68" w:type="dxa"/>
            <w:noWrap/>
            <w:vAlign w:val="center"/>
          </w:tcPr>
          <w:p w14:paraId="100660CF">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36EEE80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413639D6">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4626A4B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0022899">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08" w:type="dxa"/>
            <w:noWrap/>
            <w:vAlign w:val="center"/>
          </w:tcPr>
          <w:p w14:paraId="7B564EBE">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483" w:type="dxa"/>
            <w:noWrap/>
            <w:vAlign w:val="center"/>
          </w:tcPr>
          <w:p w14:paraId="0FD4DFF1">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63E19A68">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533" w:type="dxa"/>
            <w:noWrap/>
            <w:vAlign w:val="center"/>
          </w:tcPr>
          <w:p w14:paraId="0EBA5DB0">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C3A44F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69DC8D1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37B930D">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26" w:type="dxa"/>
            <w:noWrap/>
            <w:vAlign w:val="center"/>
          </w:tcPr>
          <w:p w14:paraId="6D5A4CCF">
            <w:pPr>
              <w:pStyle w:val="42"/>
              <w:keepNext w:val="0"/>
              <w:keepLines w:val="0"/>
              <w:suppressLineNumbers w:val="0"/>
              <w:bidi w:val="0"/>
              <w:spacing w:before="0" w:beforeAutospacing="0" w:after="0" w:afterAutospacing="0"/>
              <w:rPr>
                <w:rFonts w:hint="default"/>
              </w:rPr>
            </w:pPr>
            <w:r>
              <w:rPr>
                <w:rFonts w:hint="default"/>
                <w:lang w:val="en-US" w:eastAsia="zh-CN"/>
              </w:rPr>
              <w:t>25</w:t>
            </w:r>
          </w:p>
        </w:tc>
        <w:tc>
          <w:tcPr>
            <w:tcW w:w="444" w:type="dxa"/>
            <w:noWrap/>
            <w:vAlign w:val="center"/>
          </w:tcPr>
          <w:p w14:paraId="27B4DFEF">
            <w:pPr>
              <w:pStyle w:val="42"/>
              <w:keepNext w:val="0"/>
              <w:keepLines w:val="0"/>
              <w:suppressLineNumbers w:val="0"/>
              <w:bidi w:val="0"/>
              <w:spacing w:before="0" w:beforeAutospacing="0" w:after="0" w:afterAutospacing="0"/>
              <w:rPr>
                <w:rFonts w:hint="default"/>
              </w:rPr>
            </w:pPr>
            <w:r>
              <w:rPr>
                <w:rFonts w:hint="default"/>
                <w:lang w:val="en-US" w:eastAsia="zh-CN"/>
              </w:rPr>
              <w:t>17</w:t>
            </w:r>
          </w:p>
        </w:tc>
      </w:tr>
      <w:tr w14:paraId="5B14D4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5" w:hRule="atLeast"/>
        </w:trPr>
        <w:tc>
          <w:tcPr>
            <w:tcW w:w="476" w:type="dxa"/>
            <w:noWrap/>
            <w:vAlign w:val="center"/>
          </w:tcPr>
          <w:p w14:paraId="63F35912">
            <w:pPr>
              <w:pStyle w:val="42"/>
              <w:keepNext w:val="0"/>
              <w:keepLines w:val="0"/>
              <w:suppressLineNumbers w:val="0"/>
              <w:bidi w:val="0"/>
              <w:spacing w:before="0" w:beforeAutospacing="0" w:after="0" w:afterAutospacing="0"/>
              <w:rPr>
                <w:rFonts w:hint="default"/>
              </w:rPr>
            </w:pPr>
            <w:r>
              <w:rPr>
                <w:rFonts w:hint="default"/>
                <w:lang w:val="en-US" w:eastAsia="zh-CN"/>
              </w:rPr>
              <w:t>2004</w:t>
            </w:r>
          </w:p>
        </w:tc>
        <w:tc>
          <w:tcPr>
            <w:tcW w:w="508" w:type="dxa"/>
            <w:noWrap/>
            <w:vAlign w:val="center"/>
          </w:tcPr>
          <w:p w14:paraId="72F3C641">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483" w:type="dxa"/>
            <w:noWrap/>
            <w:vAlign w:val="center"/>
          </w:tcPr>
          <w:p w14:paraId="0EA8FC82">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300DED2D">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68" w:type="dxa"/>
            <w:noWrap/>
            <w:vAlign w:val="center"/>
          </w:tcPr>
          <w:p w14:paraId="420725B9">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378F7D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6775B8A2">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10666DC8">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BDBC18B">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08" w:type="dxa"/>
            <w:noWrap/>
            <w:vAlign w:val="center"/>
          </w:tcPr>
          <w:p w14:paraId="3028570B">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483" w:type="dxa"/>
            <w:noWrap/>
            <w:vAlign w:val="center"/>
          </w:tcPr>
          <w:p w14:paraId="07346AD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2CD494ED">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533" w:type="dxa"/>
            <w:noWrap/>
            <w:vAlign w:val="center"/>
          </w:tcPr>
          <w:p w14:paraId="4464098E">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265AC1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3F6B724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6EAB1F7">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26" w:type="dxa"/>
            <w:noWrap/>
            <w:vAlign w:val="center"/>
          </w:tcPr>
          <w:p w14:paraId="678E0A4A">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44" w:type="dxa"/>
            <w:noWrap/>
            <w:vAlign w:val="center"/>
          </w:tcPr>
          <w:p w14:paraId="3B82F590">
            <w:pPr>
              <w:pStyle w:val="42"/>
              <w:keepNext w:val="0"/>
              <w:keepLines w:val="0"/>
              <w:suppressLineNumbers w:val="0"/>
              <w:bidi w:val="0"/>
              <w:spacing w:before="0" w:beforeAutospacing="0" w:after="0" w:afterAutospacing="0"/>
              <w:rPr>
                <w:rFonts w:hint="default"/>
              </w:rPr>
            </w:pPr>
            <w:r>
              <w:rPr>
                <w:rFonts w:hint="default"/>
                <w:lang w:val="en-US" w:eastAsia="zh-CN"/>
              </w:rPr>
              <w:t>20</w:t>
            </w:r>
          </w:p>
        </w:tc>
      </w:tr>
      <w:tr w14:paraId="74CBDE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0F1B8C2E">
            <w:pPr>
              <w:pStyle w:val="42"/>
              <w:keepNext w:val="0"/>
              <w:keepLines w:val="0"/>
              <w:suppressLineNumbers w:val="0"/>
              <w:bidi w:val="0"/>
              <w:spacing w:before="0" w:beforeAutospacing="0" w:after="0" w:afterAutospacing="0"/>
              <w:rPr>
                <w:rFonts w:hint="default"/>
              </w:rPr>
            </w:pPr>
            <w:r>
              <w:rPr>
                <w:rFonts w:hint="default"/>
                <w:lang w:val="en-US" w:eastAsia="zh-CN"/>
              </w:rPr>
              <w:t>2005</w:t>
            </w:r>
          </w:p>
        </w:tc>
        <w:tc>
          <w:tcPr>
            <w:tcW w:w="508" w:type="dxa"/>
            <w:noWrap/>
            <w:vAlign w:val="center"/>
          </w:tcPr>
          <w:p w14:paraId="74E60853">
            <w:pPr>
              <w:pStyle w:val="42"/>
              <w:keepNext w:val="0"/>
              <w:keepLines w:val="0"/>
              <w:suppressLineNumbers w:val="0"/>
              <w:bidi w:val="0"/>
              <w:spacing w:before="0" w:beforeAutospacing="0" w:after="0" w:afterAutospacing="0"/>
              <w:rPr>
                <w:rFonts w:hint="default"/>
              </w:rPr>
            </w:pPr>
            <w:r>
              <w:rPr>
                <w:rFonts w:hint="default"/>
                <w:lang w:val="en-US" w:eastAsia="zh-CN"/>
              </w:rPr>
              <w:t>13</w:t>
            </w:r>
          </w:p>
        </w:tc>
        <w:tc>
          <w:tcPr>
            <w:tcW w:w="483" w:type="dxa"/>
            <w:noWrap/>
            <w:vAlign w:val="center"/>
          </w:tcPr>
          <w:p w14:paraId="07892194">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4C07E23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52478DF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919C948">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7" w:type="dxa"/>
            <w:noWrap/>
            <w:vAlign w:val="center"/>
          </w:tcPr>
          <w:p w14:paraId="7779138C">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407827B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3355345F">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0DD17A03">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483" w:type="dxa"/>
            <w:noWrap/>
            <w:vAlign w:val="center"/>
          </w:tcPr>
          <w:p w14:paraId="2995944D">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3420D61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005EDF38">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4BA971B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082A4C6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48A9D302">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26" w:type="dxa"/>
            <w:noWrap/>
            <w:vAlign w:val="center"/>
          </w:tcPr>
          <w:p w14:paraId="18289EEC">
            <w:pPr>
              <w:pStyle w:val="42"/>
              <w:keepNext w:val="0"/>
              <w:keepLines w:val="0"/>
              <w:suppressLineNumbers w:val="0"/>
              <w:bidi w:val="0"/>
              <w:spacing w:before="0" w:beforeAutospacing="0" w:after="0" w:afterAutospacing="0"/>
              <w:rPr>
                <w:rFonts w:hint="default"/>
              </w:rPr>
            </w:pPr>
            <w:r>
              <w:rPr>
                <w:rFonts w:hint="default"/>
                <w:lang w:val="en-US" w:eastAsia="zh-CN"/>
              </w:rPr>
              <w:t>20</w:t>
            </w:r>
          </w:p>
        </w:tc>
        <w:tc>
          <w:tcPr>
            <w:tcW w:w="444" w:type="dxa"/>
            <w:noWrap/>
            <w:vAlign w:val="center"/>
          </w:tcPr>
          <w:p w14:paraId="228FF47B">
            <w:pPr>
              <w:pStyle w:val="42"/>
              <w:keepNext w:val="0"/>
              <w:keepLines w:val="0"/>
              <w:suppressLineNumbers w:val="0"/>
              <w:bidi w:val="0"/>
              <w:spacing w:before="0" w:beforeAutospacing="0" w:after="0" w:afterAutospacing="0"/>
              <w:rPr>
                <w:rFonts w:hint="default"/>
              </w:rPr>
            </w:pPr>
            <w:r>
              <w:rPr>
                <w:rFonts w:hint="default"/>
                <w:lang w:val="en-US" w:eastAsia="zh-CN"/>
              </w:rPr>
              <w:t>16</w:t>
            </w:r>
          </w:p>
        </w:tc>
      </w:tr>
      <w:tr w14:paraId="4071D3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2AE758F2">
            <w:pPr>
              <w:pStyle w:val="42"/>
              <w:keepNext w:val="0"/>
              <w:keepLines w:val="0"/>
              <w:suppressLineNumbers w:val="0"/>
              <w:bidi w:val="0"/>
              <w:spacing w:before="0" w:beforeAutospacing="0" w:after="0" w:afterAutospacing="0"/>
              <w:rPr>
                <w:rFonts w:hint="default"/>
              </w:rPr>
            </w:pPr>
            <w:r>
              <w:rPr>
                <w:rFonts w:hint="default"/>
                <w:lang w:val="en-US" w:eastAsia="zh-CN"/>
              </w:rPr>
              <w:t>2006</w:t>
            </w:r>
          </w:p>
        </w:tc>
        <w:tc>
          <w:tcPr>
            <w:tcW w:w="508" w:type="dxa"/>
            <w:noWrap/>
            <w:vAlign w:val="center"/>
          </w:tcPr>
          <w:p w14:paraId="2AF108D3">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6304291A">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3120E04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1CBFA1B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1BBEB606">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7" w:type="dxa"/>
            <w:noWrap/>
            <w:vAlign w:val="center"/>
          </w:tcPr>
          <w:p w14:paraId="2F1847B7">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27505842">
            <w:pPr>
              <w:pStyle w:val="42"/>
              <w:keepNext w:val="0"/>
              <w:keepLines w:val="0"/>
              <w:suppressLineNumbers w:val="0"/>
              <w:bidi w:val="0"/>
              <w:spacing w:before="0" w:beforeAutospacing="0" w:after="0" w:afterAutospacing="0"/>
              <w:rPr>
                <w:rFonts w:hint="default"/>
              </w:rPr>
            </w:pPr>
            <w:r>
              <w:rPr>
                <w:rFonts w:hint="default"/>
                <w:lang w:val="en-US" w:eastAsia="zh-CN"/>
              </w:rPr>
              <w:t>15</w:t>
            </w:r>
          </w:p>
        </w:tc>
        <w:tc>
          <w:tcPr>
            <w:tcW w:w="443" w:type="dxa"/>
            <w:noWrap/>
            <w:vAlign w:val="center"/>
          </w:tcPr>
          <w:p w14:paraId="673ADD25">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508" w:type="dxa"/>
            <w:noWrap/>
            <w:vAlign w:val="center"/>
          </w:tcPr>
          <w:p w14:paraId="33B813F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83" w:type="dxa"/>
            <w:noWrap/>
            <w:vAlign w:val="center"/>
          </w:tcPr>
          <w:p w14:paraId="2EAE42BB">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7C92310A">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33" w:type="dxa"/>
            <w:noWrap/>
            <w:vAlign w:val="center"/>
          </w:tcPr>
          <w:p w14:paraId="1C4D5E2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9DEB4E6">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55135608">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4184F03">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26" w:type="dxa"/>
            <w:noWrap/>
            <w:vAlign w:val="center"/>
          </w:tcPr>
          <w:p w14:paraId="6E9AD351">
            <w:pPr>
              <w:pStyle w:val="42"/>
              <w:keepNext w:val="0"/>
              <w:keepLines w:val="0"/>
              <w:suppressLineNumbers w:val="0"/>
              <w:bidi w:val="0"/>
              <w:spacing w:before="0" w:beforeAutospacing="0" w:after="0" w:afterAutospacing="0"/>
              <w:rPr>
                <w:rFonts w:hint="default"/>
              </w:rPr>
            </w:pPr>
            <w:r>
              <w:rPr>
                <w:rFonts w:hint="default"/>
                <w:lang w:val="en-US" w:eastAsia="zh-CN"/>
              </w:rPr>
              <w:t>22</w:t>
            </w:r>
          </w:p>
        </w:tc>
        <w:tc>
          <w:tcPr>
            <w:tcW w:w="444" w:type="dxa"/>
            <w:noWrap/>
            <w:vAlign w:val="center"/>
          </w:tcPr>
          <w:p w14:paraId="719025F4">
            <w:pPr>
              <w:pStyle w:val="42"/>
              <w:keepNext w:val="0"/>
              <w:keepLines w:val="0"/>
              <w:suppressLineNumbers w:val="0"/>
              <w:bidi w:val="0"/>
              <w:spacing w:before="0" w:beforeAutospacing="0" w:after="0" w:afterAutospacing="0"/>
              <w:rPr>
                <w:rFonts w:hint="default"/>
              </w:rPr>
            </w:pPr>
            <w:r>
              <w:rPr>
                <w:rFonts w:hint="default"/>
                <w:lang w:val="en-US" w:eastAsia="zh-CN"/>
              </w:rPr>
              <w:t>16</w:t>
            </w:r>
          </w:p>
        </w:tc>
      </w:tr>
      <w:tr w14:paraId="1C1B83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0062C53C">
            <w:pPr>
              <w:pStyle w:val="42"/>
              <w:keepNext w:val="0"/>
              <w:keepLines w:val="0"/>
              <w:suppressLineNumbers w:val="0"/>
              <w:bidi w:val="0"/>
              <w:spacing w:before="0" w:beforeAutospacing="0" w:after="0" w:afterAutospacing="0"/>
              <w:rPr>
                <w:rFonts w:hint="default"/>
              </w:rPr>
            </w:pPr>
            <w:r>
              <w:rPr>
                <w:rFonts w:hint="default"/>
                <w:lang w:val="en-US" w:eastAsia="zh-CN"/>
              </w:rPr>
              <w:t>2007</w:t>
            </w:r>
          </w:p>
        </w:tc>
        <w:tc>
          <w:tcPr>
            <w:tcW w:w="508" w:type="dxa"/>
            <w:noWrap/>
            <w:vAlign w:val="center"/>
          </w:tcPr>
          <w:p w14:paraId="350E8E4E">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2D12A16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6C7E3A2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2A003E71">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198EF99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5C03C6EE">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257A0BAA">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051F0D2">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08" w:type="dxa"/>
            <w:noWrap/>
            <w:vAlign w:val="center"/>
          </w:tcPr>
          <w:p w14:paraId="383CFFBD">
            <w:pPr>
              <w:pStyle w:val="42"/>
              <w:keepNext w:val="0"/>
              <w:keepLines w:val="0"/>
              <w:suppressLineNumbers w:val="0"/>
              <w:bidi w:val="0"/>
              <w:spacing w:before="0" w:beforeAutospacing="0" w:after="0" w:afterAutospacing="0"/>
              <w:rPr>
                <w:rFonts w:hint="default"/>
              </w:rPr>
            </w:pPr>
            <w:r>
              <w:rPr>
                <w:rFonts w:hint="default"/>
                <w:lang w:val="en-US" w:eastAsia="zh-CN"/>
              </w:rPr>
              <w:t>15</w:t>
            </w:r>
          </w:p>
        </w:tc>
        <w:tc>
          <w:tcPr>
            <w:tcW w:w="483" w:type="dxa"/>
            <w:noWrap/>
            <w:vAlign w:val="center"/>
          </w:tcPr>
          <w:p w14:paraId="0E6A07F2">
            <w:pPr>
              <w:pStyle w:val="42"/>
              <w:keepNext w:val="0"/>
              <w:keepLines w:val="0"/>
              <w:suppressLineNumbers w:val="0"/>
              <w:bidi w:val="0"/>
              <w:spacing w:before="0" w:beforeAutospacing="0" w:after="0" w:afterAutospacing="0"/>
              <w:rPr>
                <w:rFonts w:hint="default"/>
              </w:rPr>
            </w:pPr>
            <w:r>
              <w:rPr>
                <w:rFonts w:hint="default"/>
                <w:lang w:val="en-US" w:eastAsia="zh-CN"/>
              </w:rPr>
              <w:t>0</w:t>
            </w:r>
          </w:p>
        </w:tc>
        <w:tc>
          <w:tcPr>
            <w:tcW w:w="443" w:type="dxa"/>
            <w:noWrap/>
            <w:vAlign w:val="center"/>
          </w:tcPr>
          <w:p w14:paraId="370EBD00">
            <w:pPr>
              <w:pStyle w:val="42"/>
              <w:keepNext w:val="0"/>
              <w:keepLines w:val="0"/>
              <w:suppressLineNumbers w:val="0"/>
              <w:bidi w:val="0"/>
              <w:spacing w:before="0" w:beforeAutospacing="0" w:after="0" w:afterAutospacing="0"/>
              <w:rPr>
                <w:rFonts w:hint="default"/>
              </w:rPr>
            </w:pPr>
            <w:r>
              <w:rPr>
                <w:rFonts w:hint="default"/>
                <w:lang w:val="en-US" w:eastAsia="zh-CN"/>
              </w:rPr>
              <w:t>0</w:t>
            </w:r>
          </w:p>
        </w:tc>
        <w:tc>
          <w:tcPr>
            <w:tcW w:w="533" w:type="dxa"/>
            <w:noWrap/>
            <w:vAlign w:val="center"/>
          </w:tcPr>
          <w:p w14:paraId="73669F0A">
            <w:pPr>
              <w:pStyle w:val="42"/>
              <w:keepNext w:val="0"/>
              <w:keepLines w:val="0"/>
              <w:suppressLineNumbers w:val="0"/>
              <w:bidi w:val="0"/>
              <w:spacing w:before="0" w:beforeAutospacing="0" w:after="0" w:afterAutospacing="0"/>
              <w:rPr>
                <w:rFonts w:hint="default"/>
              </w:rPr>
            </w:pPr>
            <w:r>
              <w:rPr>
                <w:rFonts w:hint="default"/>
                <w:lang w:val="en-US" w:eastAsia="zh-CN"/>
              </w:rPr>
              <w:t>0</w:t>
            </w:r>
          </w:p>
        </w:tc>
        <w:tc>
          <w:tcPr>
            <w:tcW w:w="443" w:type="dxa"/>
            <w:noWrap/>
            <w:vAlign w:val="center"/>
          </w:tcPr>
          <w:p w14:paraId="51605ECF">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555" w:type="dxa"/>
            <w:noWrap/>
            <w:vAlign w:val="center"/>
          </w:tcPr>
          <w:p w14:paraId="039E78C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F52D28C">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526" w:type="dxa"/>
            <w:noWrap/>
            <w:vAlign w:val="center"/>
          </w:tcPr>
          <w:p w14:paraId="75913882">
            <w:pPr>
              <w:pStyle w:val="42"/>
              <w:keepNext w:val="0"/>
              <w:keepLines w:val="0"/>
              <w:suppressLineNumbers w:val="0"/>
              <w:bidi w:val="0"/>
              <w:spacing w:before="0" w:beforeAutospacing="0" w:after="0" w:afterAutospacing="0"/>
              <w:rPr>
                <w:rFonts w:hint="default"/>
              </w:rPr>
            </w:pPr>
            <w:r>
              <w:rPr>
                <w:rFonts w:hint="default"/>
                <w:lang w:val="en-US" w:eastAsia="zh-CN"/>
              </w:rPr>
              <w:t>23</w:t>
            </w:r>
          </w:p>
        </w:tc>
        <w:tc>
          <w:tcPr>
            <w:tcW w:w="444" w:type="dxa"/>
            <w:noWrap/>
            <w:vAlign w:val="center"/>
          </w:tcPr>
          <w:p w14:paraId="1C643C9C">
            <w:pPr>
              <w:pStyle w:val="42"/>
              <w:keepNext w:val="0"/>
              <w:keepLines w:val="0"/>
              <w:suppressLineNumbers w:val="0"/>
              <w:bidi w:val="0"/>
              <w:spacing w:before="0" w:beforeAutospacing="0" w:after="0" w:afterAutospacing="0"/>
              <w:rPr>
                <w:rFonts w:hint="default"/>
              </w:rPr>
            </w:pPr>
            <w:r>
              <w:rPr>
                <w:rFonts w:hint="default"/>
                <w:lang w:val="en-US" w:eastAsia="zh-CN"/>
              </w:rPr>
              <w:t>16</w:t>
            </w:r>
          </w:p>
        </w:tc>
      </w:tr>
      <w:tr w14:paraId="0E0D3B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61F0FFB0">
            <w:pPr>
              <w:pStyle w:val="42"/>
              <w:keepNext w:val="0"/>
              <w:keepLines w:val="0"/>
              <w:suppressLineNumbers w:val="0"/>
              <w:bidi w:val="0"/>
              <w:spacing w:before="0" w:beforeAutospacing="0" w:after="0" w:afterAutospacing="0"/>
              <w:rPr>
                <w:rFonts w:hint="default"/>
              </w:rPr>
            </w:pPr>
            <w:r>
              <w:rPr>
                <w:rFonts w:hint="default"/>
                <w:lang w:val="en-US" w:eastAsia="zh-CN"/>
              </w:rPr>
              <w:t>2008</w:t>
            </w:r>
          </w:p>
        </w:tc>
        <w:tc>
          <w:tcPr>
            <w:tcW w:w="508" w:type="dxa"/>
            <w:noWrap/>
            <w:vAlign w:val="center"/>
          </w:tcPr>
          <w:p w14:paraId="432DDA36">
            <w:pPr>
              <w:pStyle w:val="42"/>
              <w:keepNext w:val="0"/>
              <w:keepLines w:val="0"/>
              <w:suppressLineNumbers w:val="0"/>
              <w:bidi w:val="0"/>
              <w:spacing w:before="0" w:beforeAutospacing="0" w:after="0" w:afterAutospacing="0"/>
              <w:rPr>
                <w:rFonts w:hint="default"/>
              </w:rPr>
            </w:pPr>
            <w:r>
              <w:rPr>
                <w:rFonts w:hint="default"/>
                <w:lang w:val="en-US" w:eastAsia="zh-CN"/>
              </w:rPr>
              <w:t>20</w:t>
            </w:r>
          </w:p>
        </w:tc>
        <w:tc>
          <w:tcPr>
            <w:tcW w:w="483" w:type="dxa"/>
            <w:noWrap/>
            <w:vAlign w:val="center"/>
          </w:tcPr>
          <w:p w14:paraId="165BEC87">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45B0F664">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68" w:type="dxa"/>
            <w:noWrap/>
            <w:vAlign w:val="center"/>
          </w:tcPr>
          <w:p w14:paraId="6CD0ACA5">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3CAB7E2A">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7" w:type="dxa"/>
            <w:noWrap/>
            <w:vAlign w:val="center"/>
          </w:tcPr>
          <w:p w14:paraId="7CA3F659">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2F35E80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FB394D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08" w:type="dxa"/>
            <w:noWrap/>
            <w:vAlign w:val="center"/>
          </w:tcPr>
          <w:p w14:paraId="716B64D4">
            <w:pPr>
              <w:pStyle w:val="42"/>
              <w:keepNext w:val="0"/>
              <w:keepLines w:val="0"/>
              <w:suppressLineNumbers w:val="0"/>
              <w:bidi w:val="0"/>
              <w:spacing w:before="0" w:beforeAutospacing="0" w:after="0" w:afterAutospacing="0"/>
              <w:rPr>
                <w:rFonts w:hint="default"/>
              </w:rPr>
            </w:pPr>
            <w:r>
              <w:rPr>
                <w:rFonts w:hint="default"/>
                <w:lang w:val="en-US" w:eastAsia="zh-CN"/>
              </w:rPr>
              <w:t>16</w:t>
            </w:r>
          </w:p>
        </w:tc>
        <w:tc>
          <w:tcPr>
            <w:tcW w:w="483" w:type="dxa"/>
            <w:noWrap/>
            <w:vAlign w:val="center"/>
          </w:tcPr>
          <w:p w14:paraId="5DB1274D">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3BBAE5FA">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533" w:type="dxa"/>
            <w:noWrap/>
            <w:vAlign w:val="center"/>
          </w:tcPr>
          <w:p w14:paraId="23679D27">
            <w:pPr>
              <w:pStyle w:val="42"/>
              <w:keepNext w:val="0"/>
              <w:keepLines w:val="0"/>
              <w:suppressLineNumbers w:val="0"/>
              <w:bidi w:val="0"/>
              <w:spacing w:before="0" w:beforeAutospacing="0" w:after="0" w:afterAutospacing="0"/>
              <w:rPr>
                <w:rFonts w:hint="default"/>
              </w:rPr>
            </w:pPr>
            <w:r>
              <w:rPr>
                <w:rFonts w:hint="default"/>
                <w:lang w:val="en-US" w:eastAsia="zh-CN"/>
              </w:rPr>
              <w:t>1</w:t>
            </w:r>
          </w:p>
        </w:tc>
        <w:tc>
          <w:tcPr>
            <w:tcW w:w="443" w:type="dxa"/>
            <w:noWrap/>
            <w:vAlign w:val="center"/>
          </w:tcPr>
          <w:p w14:paraId="27F0E6F6">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55" w:type="dxa"/>
            <w:noWrap/>
            <w:vAlign w:val="center"/>
          </w:tcPr>
          <w:p w14:paraId="2194D7B2">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3E6BA9E0">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526" w:type="dxa"/>
            <w:noWrap/>
            <w:vAlign w:val="center"/>
          </w:tcPr>
          <w:p w14:paraId="039DAFD0">
            <w:pPr>
              <w:pStyle w:val="42"/>
              <w:keepNext w:val="0"/>
              <w:keepLines w:val="0"/>
              <w:suppressLineNumbers w:val="0"/>
              <w:bidi w:val="0"/>
              <w:spacing w:before="0" w:beforeAutospacing="0" w:after="0" w:afterAutospacing="0"/>
              <w:rPr>
                <w:rFonts w:hint="default"/>
              </w:rPr>
            </w:pPr>
            <w:r>
              <w:rPr>
                <w:rFonts w:hint="default"/>
                <w:lang w:val="en-US" w:eastAsia="zh-CN"/>
              </w:rPr>
              <w:t>14</w:t>
            </w:r>
          </w:p>
        </w:tc>
        <w:tc>
          <w:tcPr>
            <w:tcW w:w="444" w:type="dxa"/>
            <w:noWrap/>
            <w:vAlign w:val="center"/>
          </w:tcPr>
          <w:p w14:paraId="47F39D54">
            <w:pPr>
              <w:pStyle w:val="42"/>
              <w:keepNext w:val="0"/>
              <w:keepLines w:val="0"/>
              <w:suppressLineNumbers w:val="0"/>
              <w:bidi w:val="0"/>
              <w:spacing w:before="0" w:beforeAutospacing="0" w:after="0" w:afterAutospacing="0"/>
              <w:rPr>
                <w:rFonts w:hint="default"/>
              </w:rPr>
            </w:pPr>
            <w:r>
              <w:rPr>
                <w:rFonts w:hint="default"/>
                <w:lang w:val="en-US" w:eastAsia="zh-CN"/>
              </w:rPr>
              <w:t>18</w:t>
            </w:r>
          </w:p>
        </w:tc>
      </w:tr>
      <w:tr w14:paraId="4D897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61D920EE">
            <w:pPr>
              <w:pStyle w:val="42"/>
              <w:keepNext w:val="0"/>
              <w:keepLines w:val="0"/>
              <w:suppressLineNumbers w:val="0"/>
              <w:bidi w:val="0"/>
              <w:spacing w:before="0" w:beforeAutospacing="0" w:after="0" w:afterAutospacing="0"/>
              <w:rPr>
                <w:rFonts w:hint="default"/>
              </w:rPr>
            </w:pPr>
            <w:r>
              <w:rPr>
                <w:rFonts w:hint="default"/>
                <w:lang w:val="en-US" w:eastAsia="zh-CN"/>
              </w:rPr>
              <w:t>2009</w:t>
            </w:r>
          </w:p>
        </w:tc>
        <w:tc>
          <w:tcPr>
            <w:tcW w:w="508" w:type="dxa"/>
            <w:noWrap/>
            <w:vAlign w:val="center"/>
          </w:tcPr>
          <w:p w14:paraId="29120D0A">
            <w:pPr>
              <w:pStyle w:val="42"/>
              <w:keepNext w:val="0"/>
              <w:keepLines w:val="0"/>
              <w:suppressLineNumbers w:val="0"/>
              <w:bidi w:val="0"/>
              <w:spacing w:before="0" w:beforeAutospacing="0" w:after="0" w:afterAutospacing="0"/>
              <w:rPr>
                <w:rFonts w:hint="default"/>
              </w:rPr>
            </w:pPr>
            <w:r>
              <w:rPr>
                <w:rFonts w:hint="default"/>
                <w:lang w:val="en-US" w:eastAsia="zh-CN"/>
              </w:rPr>
              <w:t>20</w:t>
            </w:r>
          </w:p>
        </w:tc>
        <w:tc>
          <w:tcPr>
            <w:tcW w:w="483" w:type="dxa"/>
            <w:noWrap/>
            <w:vAlign w:val="center"/>
          </w:tcPr>
          <w:p w14:paraId="16432D35">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697DB95F">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75E10AF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FE4B919">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737BD79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21F4E858">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38733D88">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08" w:type="dxa"/>
            <w:noWrap/>
            <w:vAlign w:val="center"/>
          </w:tcPr>
          <w:p w14:paraId="3D3F9B4A">
            <w:pPr>
              <w:pStyle w:val="42"/>
              <w:keepNext w:val="0"/>
              <w:keepLines w:val="0"/>
              <w:suppressLineNumbers w:val="0"/>
              <w:bidi w:val="0"/>
              <w:spacing w:before="0" w:beforeAutospacing="0" w:after="0" w:afterAutospacing="0"/>
              <w:rPr>
                <w:rFonts w:hint="default"/>
              </w:rPr>
            </w:pPr>
            <w:r>
              <w:rPr>
                <w:rFonts w:hint="default"/>
                <w:lang w:val="en-US" w:eastAsia="zh-CN"/>
              </w:rPr>
              <w:t>13</w:t>
            </w:r>
          </w:p>
        </w:tc>
        <w:tc>
          <w:tcPr>
            <w:tcW w:w="483" w:type="dxa"/>
            <w:noWrap/>
            <w:vAlign w:val="center"/>
          </w:tcPr>
          <w:p w14:paraId="29BCFA27">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26AFFD99">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5F5D794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A18F112">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55" w:type="dxa"/>
            <w:noWrap/>
            <w:vAlign w:val="center"/>
          </w:tcPr>
          <w:p w14:paraId="59052662">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4F495E11">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26" w:type="dxa"/>
            <w:noWrap/>
            <w:vAlign w:val="center"/>
          </w:tcPr>
          <w:p w14:paraId="189000BA">
            <w:pPr>
              <w:pStyle w:val="42"/>
              <w:keepNext w:val="0"/>
              <w:keepLines w:val="0"/>
              <w:suppressLineNumbers w:val="0"/>
              <w:bidi w:val="0"/>
              <w:spacing w:before="0" w:beforeAutospacing="0" w:after="0" w:afterAutospacing="0"/>
              <w:rPr>
                <w:rFonts w:hint="default"/>
              </w:rPr>
            </w:pPr>
            <w:r>
              <w:rPr>
                <w:rFonts w:hint="default"/>
                <w:lang w:val="en-US" w:eastAsia="zh-CN"/>
              </w:rPr>
              <w:t>18</w:t>
            </w:r>
          </w:p>
        </w:tc>
        <w:tc>
          <w:tcPr>
            <w:tcW w:w="444" w:type="dxa"/>
            <w:noWrap/>
            <w:vAlign w:val="center"/>
          </w:tcPr>
          <w:p w14:paraId="68132B20">
            <w:pPr>
              <w:pStyle w:val="42"/>
              <w:keepNext w:val="0"/>
              <w:keepLines w:val="0"/>
              <w:suppressLineNumbers w:val="0"/>
              <w:bidi w:val="0"/>
              <w:spacing w:before="0" w:beforeAutospacing="0" w:after="0" w:afterAutospacing="0"/>
              <w:rPr>
                <w:rFonts w:hint="default"/>
              </w:rPr>
            </w:pPr>
            <w:r>
              <w:rPr>
                <w:rFonts w:hint="default"/>
                <w:lang w:val="en-US" w:eastAsia="zh-CN"/>
              </w:rPr>
              <w:t>2</w:t>
            </w:r>
          </w:p>
        </w:tc>
      </w:tr>
      <w:tr w14:paraId="54710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0376E9B1">
            <w:pPr>
              <w:pStyle w:val="42"/>
              <w:keepNext w:val="0"/>
              <w:keepLines w:val="0"/>
              <w:suppressLineNumbers w:val="0"/>
              <w:bidi w:val="0"/>
              <w:spacing w:before="0" w:beforeAutospacing="0" w:after="0" w:afterAutospacing="0"/>
              <w:rPr>
                <w:rFonts w:hint="default"/>
              </w:rPr>
            </w:pPr>
            <w:r>
              <w:rPr>
                <w:rFonts w:hint="default"/>
                <w:lang w:val="en-US" w:eastAsia="zh-CN"/>
              </w:rPr>
              <w:t>2010</w:t>
            </w:r>
          </w:p>
        </w:tc>
        <w:tc>
          <w:tcPr>
            <w:tcW w:w="508" w:type="dxa"/>
            <w:noWrap/>
            <w:vAlign w:val="center"/>
          </w:tcPr>
          <w:p w14:paraId="482FA135">
            <w:pPr>
              <w:pStyle w:val="42"/>
              <w:keepNext w:val="0"/>
              <w:keepLines w:val="0"/>
              <w:suppressLineNumbers w:val="0"/>
              <w:bidi w:val="0"/>
              <w:spacing w:before="0" w:beforeAutospacing="0" w:after="0" w:afterAutospacing="0"/>
              <w:rPr>
                <w:rFonts w:hint="default"/>
              </w:rPr>
            </w:pPr>
            <w:r>
              <w:rPr>
                <w:rFonts w:hint="default"/>
                <w:lang w:val="en-US" w:eastAsia="zh-CN"/>
              </w:rPr>
              <w:t>19</w:t>
            </w:r>
          </w:p>
        </w:tc>
        <w:tc>
          <w:tcPr>
            <w:tcW w:w="483" w:type="dxa"/>
            <w:noWrap/>
            <w:vAlign w:val="center"/>
          </w:tcPr>
          <w:p w14:paraId="243DDED4">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3E00AFC6">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797AB98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75FD51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6497618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14EF025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5FBF9A24">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508" w:type="dxa"/>
            <w:noWrap/>
            <w:vAlign w:val="center"/>
          </w:tcPr>
          <w:p w14:paraId="27B340BE">
            <w:pPr>
              <w:pStyle w:val="42"/>
              <w:keepNext w:val="0"/>
              <w:keepLines w:val="0"/>
              <w:suppressLineNumbers w:val="0"/>
              <w:bidi w:val="0"/>
              <w:spacing w:before="0" w:beforeAutospacing="0" w:after="0" w:afterAutospacing="0"/>
              <w:rPr>
                <w:rFonts w:hint="default"/>
              </w:rPr>
            </w:pPr>
            <w:r>
              <w:rPr>
                <w:rFonts w:hint="default"/>
                <w:lang w:val="en-US" w:eastAsia="zh-CN"/>
              </w:rPr>
              <w:t>17</w:t>
            </w:r>
          </w:p>
        </w:tc>
        <w:tc>
          <w:tcPr>
            <w:tcW w:w="483" w:type="dxa"/>
            <w:noWrap/>
            <w:vAlign w:val="center"/>
          </w:tcPr>
          <w:p w14:paraId="4BAC97E9">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167894DE">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00452BE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2F8F1C99">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7494C06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1E5E2C7">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26" w:type="dxa"/>
            <w:noWrap/>
            <w:vAlign w:val="center"/>
          </w:tcPr>
          <w:p w14:paraId="3AB46A1D">
            <w:pPr>
              <w:pStyle w:val="42"/>
              <w:keepNext w:val="0"/>
              <w:keepLines w:val="0"/>
              <w:suppressLineNumbers w:val="0"/>
              <w:bidi w:val="0"/>
              <w:spacing w:before="0" w:beforeAutospacing="0" w:after="0" w:afterAutospacing="0"/>
              <w:rPr>
                <w:rFonts w:hint="default"/>
              </w:rPr>
            </w:pPr>
            <w:r>
              <w:rPr>
                <w:rFonts w:hint="default"/>
                <w:lang w:val="en-US" w:eastAsia="zh-CN"/>
              </w:rPr>
              <w:t>17</w:t>
            </w:r>
          </w:p>
        </w:tc>
        <w:tc>
          <w:tcPr>
            <w:tcW w:w="444" w:type="dxa"/>
            <w:noWrap/>
            <w:vAlign w:val="center"/>
          </w:tcPr>
          <w:p w14:paraId="23905A60">
            <w:pPr>
              <w:pStyle w:val="42"/>
              <w:keepNext w:val="0"/>
              <w:keepLines w:val="0"/>
              <w:suppressLineNumbers w:val="0"/>
              <w:bidi w:val="0"/>
              <w:spacing w:before="0" w:beforeAutospacing="0" w:after="0" w:afterAutospacing="0"/>
              <w:rPr>
                <w:rFonts w:hint="default"/>
              </w:rPr>
            </w:pPr>
            <w:r>
              <w:rPr>
                <w:rFonts w:hint="default"/>
                <w:lang w:val="en-US" w:eastAsia="zh-CN"/>
              </w:rPr>
              <w:t>1</w:t>
            </w:r>
          </w:p>
        </w:tc>
      </w:tr>
      <w:tr w14:paraId="15079C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18DA809C">
            <w:pPr>
              <w:pStyle w:val="42"/>
              <w:keepNext w:val="0"/>
              <w:keepLines w:val="0"/>
              <w:suppressLineNumbers w:val="0"/>
              <w:bidi w:val="0"/>
              <w:spacing w:before="0" w:beforeAutospacing="0" w:after="0" w:afterAutospacing="0"/>
              <w:rPr>
                <w:rFonts w:hint="default"/>
              </w:rPr>
            </w:pPr>
            <w:r>
              <w:rPr>
                <w:rFonts w:hint="default"/>
                <w:lang w:val="en-US" w:eastAsia="zh-CN"/>
              </w:rPr>
              <w:t>2011</w:t>
            </w:r>
          </w:p>
        </w:tc>
        <w:tc>
          <w:tcPr>
            <w:tcW w:w="508" w:type="dxa"/>
            <w:noWrap/>
            <w:vAlign w:val="center"/>
          </w:tcPr>
          <w:p w14:paraId="5CB040CA">
            <w:pPr>
              <w:pStyle w:val="42"/>
              <w:keepNext w:val="0"/>
              <w:keepLines w:val="0"/>
              <w:suppressLineNumbers w:val="0"/>
              <w:bidi w:val="0"/>
              <w:spacing w:before="0" w:beforeAutospacing="0" w:after="0" w:afterAutospacing="0"/>
              <w:rPr>
                <w:rFonts w:hint="default"/>
              </w:rPr>
            </w:pPr>
            <w:r>
              <w:rPr>
                <w:rFonts w:hint="default"/>
                <w:lang w:val="en-US" w:eastAsia="zh-CN"/>
              </w:rPr>
              <w:t>16</w:t>
            </w:r>
          </w:p>
        </w:tc>
        <w:tc>
          <w:tcPr>
            <w:tcW w:w="483" w:type="dxa"/>
            <w:noWrap/>
            <w:vAlign w:val="center"/>
          </w:tcPr>
          <w:p w14:paraId="3398F941">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24A4B05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59585A9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66D0355">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0D7A0222">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317C6D9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C462481">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44C0B300">
            <w:pPr>
              <w:pStyle w:val="42"/>
              <w:keepNext w:val="0"/>
              <w:keepLines w:val="0"/>
              <w:suppressLineNumbers w:val="0"/>
              <w:bidi w:val="0"/>
              <w:spacing w:before="0" w:beforeAutospacing="0" w:after="0" w:afterAutospacing="0"/>
              <w:rPr>
                <w:rFonts w:hint="default"/>
              </w:rPr>
            </w:pPr>
            <w:r>
              <w:rPr>
                <w:rFonts w:hint="default"/>
                <w:lang w:val="en-US" w:eastAsia="zh-CN"/>
              </w:rPr>
              <w:t>13</w:t>
            </w:r>
          </w:p>
        </w:tc>
        <w:tc>
          <w:tcPr>
            <w:tcW w:w="483" w:type="dxa"/>
            <w:noWrap/>
            <w:vAlign w:val="center"/>
          </w:tcPr>
          <w:p w14:paraId="133244A0">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7AFBF6FF">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7BF9332E">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918A187">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55" w:type="dxa"/>
            <w:noWrap/>
            <w:vAlign w:val="center"/>
          </w:tcPr>
          <w:p w14:paraId="32CC1F7A">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4E63713A">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526" w:type="dxa"/>
            <w:noWrap/>
            <w:vAlign w:val="center"/>
          </w:tcPr>
          <w:p w14:paraId="535584B1">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44" w:type="dxa"/>
            <w:noWrap/>
            <w:vAlign w:val="center"/>
          </w:tcPr>
          <w:p w14:paraId="453677DF">
            <w:pPr>
              <w:pStyle w:val="42"/>
              <w:keepNext w:val="0"/>
              <w:keepLines w:val="0"/>
              <w:suppressLineNumbers w:val="0"/>
              <w:bidi w:val="0"/>
              <w:spacing w:before="0" w:beforeAutospacing="0" w:after="0" w:afterAutospacing="0"/>
              <w:rPr>
                <w:rFonts w:hint="default"/>
              </w:rPr>
            </w:pPr>
            <w:r>
              <w:rPr>
                <w:rFonts w:hint="default"/>
                <w:lang w:val="en-US" w:eastAsia="zh-CN"/>
              </w:rPr>
              <w:t>1</w:t>
            </w:r>
          </w:p>
        </w:tc>
      </w:tr>
      <w:tr w14:paraId="789F9F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2BD194BC">
            <w:pPr>
              <w:pStyle w:val="42"/>
              <w:keepNext w:val="0"/>
              <w:keepLines w:val="0"/>
              <w:suppressLineNumbers w:val="0"/>
              <w:bidi w:val="0"/>
              <w:spacing w:before="0" w:beforeAutospacing="0" w:after="0" w:afterAutospacing="0"/>
              <w:rPr>
                <w:rFonts w:hint="default"/>
              </w:rPr>
            </w:pPr>
            <w:r>
              <w:rPr>
                <w:rFonts w:hint="default"/>
                <w:lang w:val="en-US" w:eastAsia="zh-CN"/>
              </w:rPr>
              <w:t>2012</w:t>
            </w:r>
          </w:p>
        </w:tc>
        <w:tc>
          <w:tcPr>
            <w:tcW w:w="508" w:type="dxa"/>
            <w:noWrap/>
            <w:vAlign w:val="center"/>
          </w:tcPr>
          <w:p w14:paraId="67DEB59F">
            <w:pPr>
              <w:pStyle w:val="42"/>
              <w:keepNext w:val="0"/>
              <w:keepLines w:val="0"/>
              <w:suppressLineNumbers w:val="0"/>
              <w:bidi w:val="0"/>
              <w:spacing w:before="0" w:beforeAutospacing="0" w:after="0" w:afterAutospacing="0"/>
              <w:rPr>
                <w:rFonts w:hint="default"/>
              </w:rPr>
            </w:pPr>
            <w:r>
              <w:rPr>
                <w:rFonts w:hint="default"/>
                <w:lang w:val="en-US" w:eastAsia="zh-CN"/>
              </w:rPr>
              <w:t>19</w:t>
            </w:r>
          </w:p>
        </w:tc>
        <w:tc>
          <w:tcPr>
            <w:tcW w:w="483" w:type="dxa"/>
            <w:noWrap/>
            <w:vAlign w:val="center"/>
          </w:tcPr>
          <w:p w14:paraId="22607865">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443" w:type="dxa"/>
            <w:noWrap/>
            <w:vAlign w:val="center"/>
          </w:tcPr>
          <w:p w14:paraId="3B05817E">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68" w:type="dxa"/>
            <w:noWrap/>
            <w:vAlign w:val="center"/>
          </w:tcPr>
          <w:p w14:paraId="66648C9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D0719DF">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4143C229">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7C7E2D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589B1D7">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508" w:type="dxa"/>
            <w:noWrap/>
            <w:vAlign w:val="center"/>
          </w:tcPr>
          <w:p w14:paraId="7CDF94FD">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483" w:type="dxa"/>
            <w:noWrap/>
            <w:vAlign w:val="center"/>
          </w:tcPr>
          <w:p w14:paraId="6372F132">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03DD572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64A94F2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2705F2D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02E250B0">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398D24C7">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26" w:type="dxa"/>
            <w:noWrap/>
            <w:vAlign w:val="center"/>
          </w:tcPr>
          <w:p w14:paraId="6D21C83C">
            <w:pPr>
              <w:pStyle w:val="42"/>
              <w:keepNext w:val="0"/>
              <w:keepLines w:val="0"/>
              <w:suppressLineNumbers w:val="0"/>
              <w:bidi w:val="0"/>
              <w:spacing w:before="0" w:beforeAutospacing="0" w:after="0" w:afterAutospacing="0"/>
              <w:rPr>
                <w:rFonts w:hint="default"/>
              </w:rPr>
            </w:pPr>
            <w:r>
              <w:rPr>
                <w:rFonts w:hint="default"/>
                <w:lang w:val="en-US" w:eastAsia="zh-CN"/>
              </w:rPr>
              <w:t>20</w:t>
            </w:r>
          </w:p>
        </w:tc>
        <w:tc>
          <w:tcPr>
            <w:tcW w:w="444" w:type="dxa"/>
            <w:noWrap/>
            <w:vAlign w:val="center"/>
          </w:tcPr>
          <w:p w14:paraId="492224C7">
            <w:pPr>
              <w:pStyle w:val="42"/>
              <w:keepNext w:val="0"/>
              <w:keepLines w:val="0"/>
              <w:suppressLineNumbers w:val="0"/>
              <w:bidi w:val="0"/>
              <w:spacing w:before="0" w:beforeAutospacing="0" w:after="0" w:afterAutospacing="0"/>
              <w:rPr>
                <w:rFonts w:hint="default"/>
              </w:rPr>
            </w:pPr>
            <w:r>
              <w:rPr>
                <w:rFonts w:hint="default"/>
                <w:lang w:val="en-US" w:eastAsia="zh-CN"/>
              </w:rPr>
              <w:t>3</w:t>
            </w:r>
          </w:p>
        </w:tc>
      </w:tr>
      <w:tr w14:paraId="33598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5" w:hRule="atLeast"/>
        </w:trPr>
        <w:tc>
          <w:tcPr>
            <w:tcW w:w="476" w:type="dxa"/>
            <w:noWrap/>
            <w:vAlign w:val="center"/>
          </w:tcPr>
          <w:p w14:paraId="19F874F5">
            <w:pPr>
              <w:pStyle w:val="42"/>
              <w:keepNext w:val="0"/>
              <w:keepLines w:val="0"/>
              <w:suppressLineNumbers w:val="0"/>
              <w:bidi w:val="0"/>
              <w:spacing w:before="0" w:beforeAutospacing="0" w:after="0" w:afterAutospacing="0"/>
              <w:rPr>
                <w:rFonts w:hint="default"/>
              </w:rPr>
            </w:pPr>
            <w:r>
              <w:rPr>
                <w:rFonts w:hint="default"/>
                <w:lang w:val="en-US" w:eastAsia="zh-CN"/>
              </w:rPr>
              <w:t>2013</w:t>
            </w:r>
          </w:p>
        </w:tc>
        <w:tc>
          <w:tcPr>
            <w:tcW w:w="508" w:type="dxa"/>
            <w:noWrap/>
            <w:vAlign w:val="center"/>
          </w:tcPr>
          <w:p w14:paraId="137FDC0C">
            <w:pPr>
              <w:pStyle w:val="42"/>
              <w:keepNext w:val="0"/>
              <w:keepLines w:val="0"/>
              <w:suppressLineNumbers w:val="0"/>
              <w:bidi w:val="0"/>
              <w:spacing w:before="0" w:beforeAutospacing="0" w:after="0" w:afterAutospacing="0"/>
              <w:rPr>
                <w:rFonts w:hint="default"/>
              </w:rPr>
            </w:pPr>
            <w:r>
              <w:rPr>
                <w:rFonts w:hint="default"/>
                <w:lang w:val="en-US" w:eastAsia="zh-CN"/>
              </w:rPr>
              <w:t>14</w:t>
            </w:r>
          </w:p>
        </w:tc>
        <w:tc>
          <w:tcPr>
            <w:tcW w:w="483" w:type="dxa"/>
            <w:noWrap/>
            <w:vAlign w:val="center"/>
          </w:tcPr>
          <w:p w14:paraId="52F1B42C">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1FFC6A8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1BF0DAF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1FBC7936">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2225698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5B6E9FEF">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39E001AF">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08" w:type="dxa"/>
            <w:noWrap/>
            <w:vAlign w:val="center"/>
          </w:tcPr>
          <w:p w14:paraId="67DD90FB">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483" w:type="dxa"/>
            <w:noWrap/>
            <w:vAlign w:val="center"/>
          </w:tcPr>
          <w:p w14:paraId="11660269">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2EE511C5">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765113CF">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0F42AD99">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55" w:type="dxa"/>
            <w:noWrap/>
            <w:vAlign w:val="center"/>
          </w:tcPr>
          <w:p w14:paraId="3D389681">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CA224CA">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26" w:type="dxa"/>
            <w:noWrap/>
            <w:vAlign w:val="center"/>
          </w:tcPr>
          <w:p w14:paraId="6D5C39B3">
            <w:pPr>
              <w:pStyle w:val="42"/>
              <w:keepNext w:val="0"/>
              <w:keepLines w:val="0"/>
              <w:suppressLineNumbers w:val="0"/>
              <w:bidi w:val="0"/>
              <w:spacing w:before="0" w:beforeAutospacing="0" w:after="0" w:afterAutospacing="0"/>
              <w:rPr>
                <w:rFonts w:hint="default"/>
              </w:rPr>
            </w:pPr>
            <w:r>
              <w:rPr>
                <w:rFonts w:hint="default"/>
                <w:lang w:val="en-US" w:eastAsia="zh-CN"/>
              </w:rPr>
              <w:t>17</w:t>
            </w:r>
          </w:p>
        </w:tc>
        <w:tc>
          <w:tcPr>
            <w:tcW w:w="444" w:type="dxa"/>
            <w:noWrap/>
            <w:vAlign w:val="center"/>
          </w:tcPr>
          <w:p w14:paraId="54B8A297">
            <w:pPr>
              <w:pStyle w:val="42"/>
              <w:keepNext w:val="0"/>
              <w:keepLines w:val="0"/>
              <w:suppressLineNumbers w:val="0"/>
              <w:bidi w:val="0"/>
              <w:spacing w:before="0" w:beforeAutospacing="0" w:after="0" w:afterAutospacing="0"/>
              <w:rPr>
                <w:rFonts w:hint="default"/>
              </w:rPr>
            </w:pPr>
            <w:r>
              <w:rPr>
                <w:rFonts w:hint="default"/>
                <w:lang w:val="en-US" w:eastAsia="zh-CN"/>
              </w:rPr>
              <w:t>5</w:t>
            </w:r>
          </w:p>
        </w:tc>
      </w:tr>
      <w:tr w14:paraId="7D32D6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35BA12CC">
            <w:pPr>
              <w:pStyle w:val="42"/>
              <w:keepNext w:val="0"/>
              <w:keepLines w:val="0"/>
              <w:suppressLineNumbers w:val="0"/>
              <w:bidi w:val="0"/>
              <w:spacing w:before="0" w:beforeAutospacing="0" w:after="0" w:afterAutospacing="0"/>
              <w:rPr>
                <w:rFonts w:hint="default"/>
              </w:rPr>
            </w:pPr>
            <w:r>
              <w:rPr>
                <w:rFonts w:hint="default"/>
                <w:lang w:val="en-US" w:eastAsia="zh-CN"/>
              </w:rPr>
              <w:t>2014</w:t>
            </w:r>
          </w:p>
        </w:tc>
        <w:tc>
          <w:tcPr>
            <w:tcW w:w="508" w:type="dxa"/>
            <w:noWrap/>
            <w:vAlign w:val="center"/>
          </w:tcPr>
          <w:p w14:paraId="05C07425">
            <w:pPr>
              <w:pStyle w:val="42"/>
              <w:keepNext w:val="0"/>
              <w:keepLines w:val="0"/>
              <w:suppressLineNumbers w:val="0"/>
              <w:bidi w:val="0"/>
              <w:spacing w:before="0" w:beforeAutospacing="0" w:after="0" w:afterAutospacing="0"/>
              <w:rPr>
                <w:rFonts w:hint="default"/>
              </w:rPr>
            </w:pPr>
            <w:r>
              <w:rPr>
                <w:rFonts w:hint="default"/>
                <w:lang w:val="en-US" w:eastAsia="zh-CN"/>
              </w:rPr>
              <w:t>13</w:t>
            </w:r>
          </w:p>
        </w:tc>
        <w:tc>
          <w:tcPr>
            <w:tcW w:w="483" w:type="dxa"/>
            <w:noWrap/>
            <w:vAlign w:val="center"/>
          </w:tcPr>
          <w:p w14:paraId="503A154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1E04C80">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55C1E36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6D46C1A0">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6C54FD9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493650C8">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0C9E464D">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508" w:type="dxa"/>
            <w:noWrap/>
            <w:vAlign w:val="center"/>
          </w:tcPr>
          <w:p w14:paraId="128496FC">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483" w:type="dxa"/>
            <w:noWrap/>
            <w:vAlign w:val="center"/>
          </w:tcPr>
          <w:p w14:paraId="566EF18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6C19B682">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283FBFA9">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BA09CE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10CC699D">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66FC6CB3">
            <w:pPr>
              <w:pStyle w:val="42"/>
              <w:keepNext w:val="0"/>
              <w:keepLines w:val="0"/>
              <w:suppressLineNumbers w:val="0"/>
              <w:bidi w:val="0"/>
              <w:spacing w:before="0" w:beforeAutospacing="0" w:after="0" w:afterAutospacing="0"/>
              <w:rPr>
                <w:rFonts w:hint="default"/>
              </w:rPr>
            </w:pPr>
            <w:r>
              <w:rPr>
                <w:rFonts w:hint="default"/>
                <w:lang w:val="en-US" w:eastAsia="zh-CN"/>
              </w:rPr>
              <w:t>13</w:t>
            </w:r>
          </w:p>
        </w:tc>
        <w:tc>
          <w:tcPr>
            <w:tcW w:w="526" w:type="dxa"/>
            <w:noWrap/>
            <w:vAlign w:val="center"/>
          </w:tcPr>
          <w:p w14:paraId="5FCB5864">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44" w:type="dxa"/>
            <w:noWrap/>
            <w:vAlign w:val="center"/>
          </w:tcPr>
          <w:p w14:paraId="4E1AEEA1">
            <w:pPr>
              <w:pStyle w:val="42"/>
              <w:keepNext w:val="0"/>
              <w:keepLines w:val="0"/>
              <w:suppressLineNumbers w:val="0"/>
              <w:bidi w:val="0"/>
              <w:spacing w:before="0" w:beforeAutospacing="0" w:after="0" w:afterAutospacing="0"/>
              <w:rPr>
                <w:rFonts w:hint="default"/>
              </w:rPr>
            </w:pPr>
            <w:r>
              <w:rPr>
                <w:rFonts w:hint="default"/>
                <w:lang w:val="en-US" w:eastAsia="zh-CN"/>
              </w:rPr>
              <w:t>10</w:t>
            </w:r>
          </w:p>
        </w:tc>
      </w:tr>
      <w:tr w14:paraId="62612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44B2D1C4">
            <w:pPr>
              <w:pStyle w:val="42"/>
              <w:keepNext w:val="0"/>
              <w:keepLines w:val="0"/>
              <w:suppressLineNumbers w:val="0"/>
              <w:bidi w:val="0"/>
              <w:spacing w:before="0" w:beforeAutospacing="0" w:after="0" w:afterAutospacing="0"/>
              <w:rPr>
                <w:rFonts w:hint="default"/>
              </w:rPr>
            </w:pPr>
            <w:r>
              <w:rPr>
                <w:rFonts w:hint="default"/>
                <w:lang w:val="en-US" w:eastAsia="zh-CN"/>
              </w:rPr>
              <w:t>2015</w:t>
            </w:r>
          </w:p>
        </w:tc>
        <w:tc>
          <w:tcPr>
            <w:tcW w:w="508" w:type="dxa"/>
            <w:noWrap/>
            <w:vAlign w:val="center"/>
          </w:tcPr>
          <w:p w14:paraId="424AD0CE">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483" w:type="dxa"/>
            <w:noWrap/>
            <w:vAlign w:val="center"/>
          </w:tcPr>
          <w:p w14:paraId="006603F1">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4AA2E256">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68" w:type="dxa"/>
            <w:noWrap/>
            <w:vAlign w:val="center"/>
          </w:tcPr>
          <w:p w14:paraId="007E8776">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6A5223BF">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44F0AF3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B0394B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25DEBD33">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508" w:type="dxa"/>
            <w:noWrap/>
            <w:vAlign w:val="center"/>
          </w:tcPr>
          <w:p w14:paraId="1DE52D1F">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483" w:type="dxa"/>
            <w:noWrap/>
            <w:vAlign w:val="center"/>
          </w:tcPr>
          <w:p w14:paraId="472071B2">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34468BC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0CEEC460">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277D7CC3">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555" w:type="dxa"/>
            <w:noWrap/>
            <w:vAlign w:val="center"/>
          </w:tcPr>
          <w:p w14:paraId="0B19FDDD">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6015D4B0">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526" w:type="dxa"/>
            <w:noWrap/>
            <w:vAlign w:val="center"/>
          </w:tcPr>
          <w:p w14:paraId="77250EB2">
            <w:pPr>
              <w:pStyle w:val="42"/>
              <w:keepNext w:val="0"/>
              <w:keepLines w:val="0"/>
              <w:suppressLineNumbers w:val="0"/>
              <w:bidi w:val="0"/>
              <w:spacing w:before="0" w:beforeAutospacing="0" w:after="0" w:afterAutospacing="0"/>
              <w:rPr>
                <w:rFonts w:hint="default"/>
              </w:rPr>
            </w:pPr>
            <w:r>
              <w:rPr>
                <w:rFonts w:hint="default"/>
                <w:lang w:val="en-US" w:eastAsia="zh-CN"/>
              </w:rPr>
              <w:t>20</w:t>
            </w:r>
          </w:p>
        </w:tc>
        <w:tc>
          <w:tcPr>
            <w:tcW w:w="444" w:type="dxa"/>
            <w:noWrap/>
            <w:vAlign w:val="center"/>
          </w:tcPr>
          <w:p w14:paraId="1C80EBCC">
            <w:pPr>
              <w:pStyle w:val="42"/>
              <w:keepNext w:val="0"/>
              <w:keepLines w:val="0"/>
              <w:suppressLineNumbers w:val="0"/>
              <w:bidi w:val="0"/>
              <w:spacing w:before="0" w:beforeAutospacing="0" w:after="0" w:afterAutospacing="0"/>
              <w:rPr>
                <w:rFonts w:hint="default"/>
              </w:rPr>
            </w:pPr>
            <w:r>
              <w:rPr>
                <w:rFonts w:hint="default"/>
                <w:lang w:val="en-US" w:eastAsia="zh-CN"/>
              </w:rPr>
              <w:t>7</w:t>
            </w:r>
          </w:p>
        </w:tc>
      </w:tr>
      <w:tr w14:paraId="1C3F8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5BCEE073">
            <w:pPr>
              <w:pStyle w:val="42"/>
              <w:keepNext w:val="0"/>
              <w:keepLines w:val="0"/>
              <w:suppressLineNumbers w:val="0"/>
              <w:bidi w:val="0"/>
              <w:spacing w:before="0" w:beforeAutospacing="0" w:after="0" w:afterAutospacing="0"/>
              <w:rPr>
                <w:rFonts w:hint="default"/>
              </w:rPr>
            </w:pPr>
            <w:r>
              <w:rPr>
                <w:rFonts w:hint="default"/>
                <w:lang w:val="en-US" w:eastAsia="zh-CN"/>
              </w:rPr>
              <w:t>2016</w:t>
            </w:r>
          </w:p>
        </w:tc>
        <w:tc>
          <w:tcPr>
            <w:tcW w:w="508" w:type="dxa"/>
            <w:noWrap/>
            <w:vAlign w:val="center"/>
          </w:tcPr>
          <w:p w14:paraId="45F89F0B">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219B255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B62D9FF">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5BD211A1">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232B59E">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62E21B35">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72BD3CD9">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585E7A70">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45D29810">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483" w:type="dxa"/>
            <w:noWrap/>
            <w:vAlign w:val="center"/>
          </w:tcPr>
          <w:p w14:paraId="65B1D92A">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20F0F04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78CCE94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161424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5714782E">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2C549677">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526" w:type="dxa"/>
            <w:noWrap/>
            <w:vAlign w:val="center"/>
          </w:tcPr>
          <w:p w14:paraId="5436BC02">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44" w:type="dxa"/>
            <w:noWrap/>
            <w:vAlign w:val="center"/>
          </w:tcPr>
          <w:p w14:paraId="1027CD97">
            <w:pPr>
              <w:pStyle w:val="42"/>
              <w:keepNext w:val="0"/>
              <w:keepLines w:val="0"/>
              <w:suppressLineNumbers w:val="0"/>
              <w:bidi w:val="0"/>
              <w:spacing w:before="0" w:beforeAutospacing="0" w:after="0" w:afterAutospacing="0"/>
              <w:rPr>
                <w:rFonts w:hint="default"/>
              </w:rPr>
            </w:pPr>
            <w:r>
              <w:rPr>
                <w:rFonts w:hint="default"/>
                <w:lang w:val="en-US" w:eastAsia="zh-CN"/>
              </w:rPr>
              <w:t>7</w:t>
            </w:r>
          </w:p>
        </w:tc>
      </w:tr>
      <w:tr w14:paraId="1C78C4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2AEE1A32">
            <w:pPr>
              <w:pStyle w:val="42"/>
              <w:keepNext w:val="0"/>
              <w:keepLines w:val="0"/>
              <w:suppressLineNumbers w:val="0"/>
              <w:bidi w:val="0"/>
              <w:spacing w:before="0" w:beforeAutospacing="0" w:after="0" w:afterAutospacing="0"/>
              <w:rPr>
                <w:rFonts w:hint="default"/>
              </w:rPr>
            </w:pPr>
            <w:r>
              <w:rPr>
                <w:rFonts w:hint="default"/>
                <w:lang w:val="en-US" w:eastAsia="zh-CN"/>
              </w:rPr>
              <w:t>2017</w:t>
            </w:r>
          </w:p>
        </w:tc>
        <w:tc>
          <w:tcPr>
            <w:tcW w:w="508" w:type="dxa"/>
            <w:noWrap/>
            <w:vAlign w:val="center"/>
          </w:tcPr>
          <w:p w14:paraId="34730B73">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435DFE21">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E568EE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49A91220">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1BE38E7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2A7AB13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A422584">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642F7405">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4F99119A">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483" w:type="dxa"/>
            <w:noWrap/>
            <w:vAlign w:val="center"/>
          </w:tcPr>
          <w:p w14:paraId="3E0F0CB5">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06333A7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5F6786F9">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C6B8C9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38E8CF86">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7D1C4813">
            <w:pPr>
              <w:pStyle w:val="42"/>
              <w:keepNext w:val="0"/>
              <w:keepLines w:val="0"/>
              <w:suppressLineNumbers w:val="0"/>
              <w:bidi w:val="0"/>
              <w:spacing w:before="0" w:beforeAutospacing="0" w:after="0" w:afterAutospacing="0"/>
              <w:rPr>
                <w:rFonts w:hint="default"/>
              </w:rPr>
            </w:pPr>
            <w:r>
              <w:rPr>
                <w:rFonts w:hint="default"/>
                <w:lang w:val="en-US" w:eastAsia="zh-CN"/>
              </w:rPr>
              <w:t>12</w:t>
            </w:r>
          </w:p>
        </w:tc>
        <w:tc>
          <w:tcPr>
            <w:tcW w:w="526" w:type="dxa"/>
            <w:noWrap/>
            <w:vAlign w:val="center"/>
          </w:tcPr>
          <w:p w14:paraId="6E3D8BA5">
            <w:pPr>
              <w:pStyle w:val="42"/>
              <w:keepNext w:val="0"/>
              <w:keepLines w:val="0"/>
              <w:suppressLineNumbers w:val="0"/>
              <w:bidi w:val="0"/>
              <w:spacing w:before="0" w:beforeAutospacing="0" w:after="0" w:afterAutospacing="0"/>
              <w:rPr>
                <w:rFonts w:hint="default"/>
              </w:rPr>
            </w:pPr>
            <w:r>
              <w:rPr>
                <w:rFonts w:hint="default"/>
                <w:lang w:val="en-US" w:eastAsia="zh-CN"/>
              </w:rPr>
              <w:t>22</w:t>
            </w:r>
          </w:p>
        </w:tc>
        <w:tc>
          <w:tcPr>
            <w:tcW w:w="444" w:type="dxa"/>
            <w:noWrap/>
            <w:vAlign w:val="center"/>
          </w:tcPr>
          <w:p w14:paraId="09AD8D9E">
            <w:pPr>
              <w:pStyle w:val="42"/>
              <w:keepNext w:val="0"/>
              <w:keepLines w:val="0"/>
              <w:suppressLineNumbers w:val="0"/>
              <w:bidi w:val="0"/>
              <w:spacing w:before="0" w:beforeAutospacing="0" w:after="0" w:afterAutospacing="0"/>
              <w:rPr>
                <w:rFonts w:hint="default"/>
              </w:rPr>
            </w:pPr>
            <w:r>
              <w:rPr>
                <w:rFonts w:hint="default"/>
                <w:lang w:val="en-US" w:eastAsia="zh-CN"/>
              </w:rPr>
              <w:t>5</w:t>
            </w:r>
          </w:p>
        </w:tc>
      </w:tr>
      <w:tr w14:paraId="0AE5E6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5554C287">
            <w:pPr>
              <w:pStyle w:val="42"/>
              <w:keepNext w:val="0"/>
              <w:keepLines w:val="0"/>
              <w:suppressLineNumbers w:val="0"/>
              <w:bidi w:val="0"/>
              <w:spacing w:before="0" w:beforeAutospacing="0" w:after="0" w:afterAutospacing="0"/>
              <w:rPr>
                <w:rFonts w:hint="default"/>
              </w:rPr>
            </w:pPr>
            <w:r>
              <w:rPr>
                <w:rFonts w:hint="default"/>
                <w:lang w:val="en-US" w:eastAsia="zh-CN"/>
              </w:rPr>
              <w:t>2018</w:t>
            </w:r>
          </w:p>
        </w:tc>
        <w:tc>
          <w:tcPr>
            <w:tcW w:w="508" w:type="dxa"/>
            <w:noWrap/>
            <w:vAlign w:val="center"/>
          </w:tcPr>
          <w:p w14:paraId="65A6AF26">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83" w:type="dxa"/>
            <w:noWrap/>
            <w:vAlign w:val="center"/>
          </w:tcPr>
          <w:p w14:paraId="45F6DAD1">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5C885B6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55A523D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438BBE3A">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0ABA3424">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8817109">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443" w:type="dxa"/>
            <w:noWrap/>
            <w:vAlign w:val="center"/>
          </w:tcPr>
          <w:p w14:paraId="32D1318A">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08" w:type="dxa"/>
            <w:noWrap/>
            <w:vAlign w:val="center"/>
          </w:tcPr>
          <w:p w14:paraId="7C93A1E8">
            <w:pPr>
              <w:pStyle w:val="42"/>
              <w:keepNext w:val="0"/>
              <w:keepLines w:val="0"/>
              <w:suppressLineNumbers w:val="0"/>
              <w:bidi w:val="0"/>
              <w:spacing w:before="0" w:beforeAutospacing="0" w:after="0" w:afterAutospacing="0"/>
              <w:rPr>
                <w:rFonts w:hint="default"/>
              </w:rPr>
            </w:pPr>
            <w:r>
              <w:rPr>
                <w:rFonts w:hint="default"/>
                <w:lang w:val="en-US" w:eastAsia="zh-CN"/>
              </w:rPr>
              <w:t>10</w:t>
            </w:r>
          </w:p>
        </w:tc>
        <w:tc>
          <w:tcPr>
            <w:tcW w:w="483" w:type="dxa"/>
            <w:noWrap/>
            <w:vAlign w:val="center"/>
          </w:tcPr>
          <w:p w14:paraId="5718E5FB">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2A372FC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787BD15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0F82D16">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55" w:type="dxa"/>
            <w:noWrap/>
            <w:vAlign w:val="center"/>
          </w:tcPr>
          <w:p w14:paraId="2B9754EF">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48A328B4">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26" w:type="dxa"/>
            <w:noWrap/>
            <w:vAlign w:val="center"/>
          </w:tcPr>
          <w:p w14:paraId="61485501">
            <w:pPr>
              <w:pStyle w:val="42"/>
              <w:keepNext w:val="0"/>
              <w:keepLines w:val="0"/>
              <w:suppressLineNumbers w:val="0"/>
              <w:bidi w:val="0"/>
              <w:spacing w:before="0" w:beforeAutospacing="0" w:after="0" w:afterAutospacing="0"/>
              <w:rPr>
                <w:rFonts w:hint="default"/>
              </w:rPr>
            </w:pPr>
            <w:r>
              <w:rPr>
                <w:rFonts w:hint="default"/>
                <w:lang w:val="en-US" w:eastAsia="zh-CN"/>
              </w:rPr>
              <w:t>15</w:t>
            </w:r>
          </w:p>
        </w:tc>
        <w:tc>
          <w:tcPr>
            <w:tcW w:w="444" w:type="dxa"/>
            <w:noWrap/>
            <w:vAlign w:val="center"/>
          </w:tcPr>
          <w:p w14:paraId="1AB3632A">
            <w:pPr>
              <w:pStyle w:val="42"/>
              <w:keepNext w:val="0"/>
              <w:keepLines w:val="0"/>
              <w:suppressLineNumbers w:val="0"/>
              <w:bidi w:val="0"/>
              <w:spacing w:before="0" w:beforeAutospacing="0" w:after="0" w:afterAutospacing="0"/>
              <w:rPr>
                <w:rFonts w:hint="default"/>
              </w:rPr>
            </w:pPr>
            <w:r>
              <w:rPr>
                <w:rFonts w:hint="default"/>
                <w:lang w:val="en-US" w:eastAsia="zh-CN"/>
              </w:rPr>
              <w:t>2</w:t>
            </w:r>
          </w:p>
        </w:tc>
      </w:tr>
      <w:tr w14:paraId="5AC74A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77D82293">
            <w:pPr>
              <w:pStyle w:val="42"/>
              <w:keepNext w:val="0"/>
              <w:keepLines w:val="0"/>
              <w:suppressLineNumbers w:val="0"/>
              <w:bidi w:val="0"/>
              <w:spacing w:before="0" w:beforeAutospacing="0" w:after="0" w:afterAutospacing="0"/>
              <w:rPr>
                <w:rFonts w:hint="default"/>
              </w:rPr>
            </w:pPr>
            <w:r>
              <w:rPr>
                <w:rFonts w:hint="default"/>
                <w:lang w:val="en-US" w:eastAsia="zh-CN"/>
              </w:rPr>
              <w:t>2019</w:t>
            </w:r>
          </w:p>
        </w:tc>
        <w:tc>
          <w:tcPr>
            <w:tcW w:w="508" w:type="dxa"/>
            <w:noWrap/>
            <w:vAlign w:val="center"/>
          </w:tcPr>
          <w:p w14:paraId="7EA1E87A">
            <w:pPr>
              <w:pStyle w:val="42"/>
              <w:keepNext w:val="0"/>
              <w:keepLines w:val="0"/>
              <w:suppressLineNumbers w:val="0"/>
              <w:bidi w:val="0"/>
              <w:spacing w:before="0" w:beforeAutospacing="0" w:after="0" w:afterAutospacing="0"/>
              <w:rPr>
                <w:rFonts w:hint="default"/>
              </w:rPr>
            </w:pPr>
            <w:r>
              <w:rPr>
                <w:rFonts w:hint="default"/>
                <w:lang w:val="en-US" w:eastAsia="zh-CN"/>
              </w:rPr>
              <w:t>19</w:t>
            </w:r>
          </w:p>
        </w:tc>
        <w:tc>
          <w:tcPr>
            <w:tcW w:w="483" w:type="dxa"/>
            <w:noWrap/>
            <w:vAlign w:val="center"/>
          </w:tcPr>
          <w:p w14:paraId="0DE845D0">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2FB9B1F5">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7AA8678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3855F3D">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7" w:type="dxa"/>
            <w:noWrap/>
            <w:vAlign w:val="center"/>
          </w:tcPr>
          <w:p w14:paraId="10F7A39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3E98991E">
            <w:pPr>
              <w:pStyle w:val="42"/>
              <w:keepNext w:val="0"/>
              <w:keepLines w:val="0"/>
              <w:suppressLineNumbers w:val="0"/>
              <w:bidi w:val="0"/>
              <w:spacing w:before="0" w:beforeAutospacing="0" w:after="0" w:afterAutospacing="0"/>
              <w:rPr>
                <w:rFonts w:hint="default"/>
              </w:rPr>
            </w:pPr>
            <w:r>
              <w:rPr>
                <w:rFonts w:hint="default"/>
                <w:lang w:val="en-US" w:eastAsia="zh-CN"/>
              </w:rPr>
              <w:t>5</w:t>
            </w:r>
          </w:p>
        </w:tc>
        <w:tc>
          <w:tcPr>
            <w:tcW w:w="443" w:type="dxa"/>
            <w:noWrap/>
            <w:vAlign w:val="center"/>
          </w:tcPr>
          <w:p w14:paraId="30E8C90E">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3C6FE458">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483" w:type="dxa"/>
            <w:noWrap/>
            <w:vAlign w:val="center"/>
          </w:tcPr>
          <w:p w14:paraId="27DED3F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1B19B9A5">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004D006E">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AA05A0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54ECBD1B">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7FD6CBB0">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526" w:type="dxa"/>
            <w:noWrap/>
            <w:vAlign w:val="center"/>
          </w:tcPr>
          <w:p w14:paraId="74DD61EA">
            <w:pPr>
              <w:pStyle w:val="42"/>
              <w:keepNext w:val="0"/>
              <w:keepLines w:val="0"/>
              <w:suppressLineNumbers w:val="0"/>
              <w:bidi w:val="0"/>
              <w:spacing w:before="0" w:beforeAutospacing="0" w:after="0" w:afterAutospacing="0"/>
              <w:rPr>
                <w:rFonts w:hint="default"/>
              </w:rPr>
            </w:pPr>
            <w:r>
              <w:rPr>
                <w:rFonts w:hint="default"/>
                <w:lang w:val="en-US" w:eastAsia="zh-CN"/>
              </w:rPr>
              <w:t>17</w:t>
            </w:r>
          </w:p>
        </w:tc>
        <w:tc>
          <w:tcPr>
            <w:tcW w:w="444" w:type="dxa"/>
            <w:noWrap/>
            <w:vAlign w:val="center"/>
          </w:tcPr>
          <w:p w14:paraId="584D5C6D">
            <w:pPr>
              <w:pStyle w:val="42"/>
              <w:keepNext w:val="0"/>
              <w:keepLines w:val="0"/>
              <w:suppressLineNumbers w:val="0"/>
              <w:bidi w:val="0"/>
              <w:spacing w:before="0" w:beforeAutospacing="0" w:after="0" w:afterAutospacing="0"/>
              <w:rPr>
                <w:rFonts w:hint="default"/>
              </w:rPr>
            </w:pPr>
            <w:r>
              <w:rPr>
                <w:rFonts w:hint="default"/>
                <w:lang w:val="en-US" w:eastAsia="zh-CN"/>
              </w:rPr>
              <w:t>2</w:t>
            </w:r>
          </w:p>
        </w:tc>
      </w:tr>
      <w:tr w14:paraId="76346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23E03509">
            <w:pPr>
              <w:pStyle w:val="42"/>
              <w:keepNext w:val="0"/>
              <w:keepLines w:val="0"/>
              <w:suppressLineNumbers w:val="0"/>
              <w:bidi w:val="0"/>
              <w:spacing w:before="0" w:beforeAutospacing="0" w:after="0" w:afterAutospacing="0"/>
              <w:rPr>
                <w:rFonts w:hint="default"/>
              </w:rPr>
            </w:pPr>
            <w:r>
              <w:rPr>
                <w:rFonts w:hint="default"/>
                <w:lang w:val="en-US" w:eastAsia="zh-CN"/>
              </w:rPr>
              <w:t>2020</w:t>
            </w:r>
          </w:p>
        </w:tc>
        <w:tc>
          <w:tcPr>
            <w:tcW w:w="508" w:type="dxa"/>
            <w:noWrap/>
            <w:vAlign w:val="center"/>
          </w:tcPr>
          <w:p w14:paraId="75795401">
            <w:pPr>
              <w:pStyle w:val="42"/>
              <w:keepNext w:val="0"/>
              <w:keepLines w:val="0"/>
              <w:suppressLineNumbers w:val="0"/>
              <w:bidi w:val="0"/>
              <w:spacing w:before="0" w:beforeAutospacing="0" w:after="0" w:afterAutospacing="0"/>
              <w:rPr>
                <w:rFonts w:hint="default"/>
              </w:rPr>
            </w:pPr>
            <w:r>
              <w:rPr>
                <w:rFonts w:hint="default"/>
                <w:lang w:val="en-US" w:eastAsia="zh-CN"/>
              </w:rPr>
              <w:t>22</w:t>
            </w:r>
          </w:p>
        </w:tc>
        <w:tc>
          <w:tcPr>
            <w:tcW w:w="483" w:type="dxa"/>
            <w:noWrap/>
            <w:vAlign w:val="center"/>
          </w:tcPr>
          <w:p w14:paraId="785ABDC9">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4AA4554C">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4A96FB76">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5FDEA92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228DC4A8">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E108963">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3C96E258">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508" w:type="dxa"/>
            <w:noWrap/>
            <w:vAlign w:val="center"/>
          </w:tcPr>
          <w:p w14:paraId="70AE2E20">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440684AE">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1C80A952">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741D9FCE">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2504198B">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55" w:type="dxa"/>
            <w:noWrap/>
            <w:vAlign w:val="center"/>
          </w:tcPr>
          <w:p w14:paraId="255621B9">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6B4F6897">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526" w:type="dxa"/>
            <w:noWrap/>
            <w:vAlign w:val="center"/>
          </w:tcPr>
          <w:p w14:paraId="460CCE30">
            <w:pPr>
              <w:pStyle w:val="42"/>
              <w:keepNext w:val="0"/>
              <w:keepLines w:val="0"/>
              <w:suppressLineNumbers w:val="0"/>
              <w:bidi w:val="0"/>
              <w:spacing w:before="0" w:beforeAutospacing="0" w:after="0" w:afterAutospacing="0"/>
              <w:rPr>
                <w:rFonts w:hint="default"/>
              </w:rPr>
            </w:pPr>
            <w:r>
              <w:rPr>
                <w:rFonts w:hint="default"/>
                <w:lang w:val="en-US" w:eastAsia="zh-CN"/>
              </w:rPr>
              <w:t>15</w:t>
            </w:r>
          </w:p>
        </w:tc>
        <w:tc>
          <w:tcPr>
            <w:tcW w:w="444" w:type="dxa"/>
            <w:noWrap/>
            <w:vAlign w:val="center"/>
          </w:tcPr>
          <w:p w14:paraId="6097C800">
            <w:pPr>
              <w:pStyle w:val="42"/>
              <w:keepNext w:val="0"/>
              <w:keepLines w:val="0"/>
              <w:suppressLineNumbers w:val="0"/>
              <w:bidi w:val="0"/>
              <w:spacing w:before="0" w:beforeAutospacing="0" w:after="0" w:afterAutospacing="0"/>
              <w:rPr>
                <w:rFonts w:hint="default"/>
              </w:rPr>
            </w:pPr>
            <w:r>
              <w:rPr>
                <w:rFonts w:hint="default"/>
                <w:lang w:val="en-US" w:eastAsia="zh-CN"/>
              </w:rPr>
              <w:t>1</w:t>
            </w:r>
          </w:p>
        </w:tc>
      </w:tr>
      <w:tr w14:paraId="3ABCDF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3C29E09A">
            <w:pPr>
              <w:pStyle w:val="42"/>
              <w:keepNext w:val="0"/>
              <w:keepLines w:val="0"/>
              <w:suppressLineNumbers w:val="0"/>
              <w:bidi w:val="0"/>
              <w:spacing w:before="0" w:beforeAutospacing="0" w:after="0" w:afterAutospacing="0"/>
              <w:rPr>
                <w:rFonts w:hint="default"/>
              </w:rPr>
            </w:pPr>
            <w:r>
              <w:rPr>
                <w:rFonts w:hint="default"/>
                <w:lang w:val="en-US" w:eastAsia="zh-CN"/>
              </w:rPr>
              <w:t>2021</w:t>
            </w:r>
          </w:p>
        </w:tc>
        <w:tc>
          <w:tcPr>
            <w:tcW w:w="508" w:type="dxa"/>
            <w:noWrap/>
            <w:vAlign w:val="center"/>
          </w:tcPr>
          <w:p w14:paraId="3A44D299">
            <w:pPr>
              <w:pStyle w:val="42"/>
              <w:keepNext w:val="0"/>
              <w:keepLines w:val="0"/>
              <w:suppressLineNumbers w:val="0"/>
              <w:bidi w:val="0"/>
              <w:spacing w:before="0" w:beforeAutospacing="0" w:after="0" w:afterAutospacing="0"/>
              <w:rPr>
                <w:rFonts w:hint="default"/>
              </w:rPr>
            </w:pPr>
            <w:r>
              <w:rPr>
                <w:rFonts w:hint="default"/>
                <w:lang w:val="en-US" w:eastAsia="zh-CN"/>
              </w:rPr>
              <w:t>21</w:t>
            </w:r>
          </w:p>
        </w:tc>
        <w:tc>
          <w:tcPr>
            <w:tcW w:w="483" w:type="dxa"/>
            <w:noWrap/>
            <w:vAlign w:val="center"/>
          </w:tcPr>
          <w:p w14:paraId="4D62F45D">
            <w:pPr>
              <w:pStyle w:val="42"/>
              <w:keepNext w:val="0"/>
              <w:keepLines w:val="0"/>
              <w:suppressLineNumbers w:val="0"/>
              <w:bidi w:val="0"/>
              <w:spacing w:before="0" w:beforeAutospacing="0" w:after="0" w:afterAutospacing="0"/>
              <w:rPr>
                <w:rFonts w:hint="default"/>
              </w:rPr>
            </w:pPr>
            <w:r>
              <w:rPr>
                <w:rFonts w:hint="default"/>
                <w:lang w:val="en-US" w:eastAsia="zh-CN"/>
              </w:rPr>
              <w:t>6</w:t>
            </w:r>
          </w:p>
        </w:tc>
        <w:tc>
          <w:tcPr>
            <w:tcW w:w="443" w:type="dxa"/>
            <w:noWrap/>
            <w:vAlign w:val="center"/>
          </w:tcPr>
          <w:p w14:paraId="75D8B7E2">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06FA4C34">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6DC51091">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67D6A003">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48E9E253">
            <w:pPr>
              <w:pStyle w:val="42"/>
              <w:keepNext w:val="0"/>
              <w:keepLines w:val="0"/>
              <w:suppressLineNumbers w:val="0"/>
              <w:bidi w:val="0"/>
              <w:spacing w:before="0" w:beforeAutospacing="0" w:after="0" w:afterAutospacing="0"/>
              <w:rPr>
                <w:rFonts w:hint="default"/>
              </w:rPr>
            </w:pPr>
            <w:r>
              <w:rPr>
                <w:rFonts w:hint="default"/>
                <w:lang w:val="en-US" w:eastAsia="zh-CN"/>
              </w:rPr>
              <w:t>7</w:t>
            </w:r>
          </w:p>
        </w:tc>
        <w:tc>
          <w:tcPr>
            <w:tcW w:w="443" w:type="dxa"/>
            <w:noWrap/>
            <w:vAlign w:val="center"/>
          </w:tcPr>
          <w:p w14:paraId="5A505DF7">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08" w:type="dxa"/>
            <w:noWrap/>
            <w:vAlign w:val="center"/>
          </w:tcPr>
          <w:p w14:paraId="1B4F4123">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483" w:type="dxa"/>
            <w:noWrap/>
            <w:vAlign w:val="center"/>
          </w:tcPr>
          <w:p w14:paraId="5C017BE7">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7B2C2AA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367D785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D2B3342">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555" w:type="dxa"/>
            <w:noWrap/>
            <w:vAlign w:val="center"/>
          </w:tcPr>
          <w:p w14:paraId="7E727608">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1B68AC53">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526" w:type="dxa"/>
            <w:noWrap/>
            <w:vAlign w:val="center"/>
          </w:tcPr>
          <w:p w14:paraId="67523B21">
            <w:pPr>
              <w:pStyle w:val="42"/>
              <w:keepNext w:val="0"/>
              <w:keepLines w:val="0"/>
              <w:suppressLineNumbers w:val="0"/>
              <w:bidi w:val="0"/>
              <w:spacing w:before="0" w:beforeAutospacing="0" w:after="0" w:afterAutospacing="0"/>
              <w:rPr>
                <w:rFonts w:hint="default"/>
              </w:rPr>
            </w:pPr>
            <w:r>
              <w:rPr>
                <w:rFonts w:hint="default"/>
                <w:lang w:val="en-US" w:eastAsia="zh-CN"/>
              </w:rPr>
              <w:t>14</w:t>
            </w:r>
          </w:p>
        </w:tc>
        <w:tc>
          <w:tcPr>
            <w:tcW w:w="444" w:type="dxa"/>
            <w:noWrap/>
            <w:vAlign w:val="center"/>
          </w:tcPr>
          <w:p w14:paraId="71648D08">
            <w:pPr>
              <w:pStyle w:val="42"/>
              <w:keepNext w:val="0"/>
              <w:keepLines w:val="0"/>
              <w:suppressLineNumbers w:val="0"/>
              <w:bidi w:val="0"/>
              <w:spacing w:before="0" w:beforeAutospacing="0" w:after="0" w:afterAutospacing="0"/>
              <w:rPr>
                <w:rFonts w:hint="default"/>
              </w:rPr>
            </w:pPr>
            <w:r>
              <w:rPr>
                <w:rFonts w:hint="default"/>
                <w:lang w:val="en-US" w:eastAsia="zh-CN"/>
              </w:rPr>
              <w:t>1</w:t>
            </w:r>
          </w:p>
        </w:tc>
      </w:tr>
      <w:tr w14:paraId="4115D0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71BA6E82">
            <w:pPr>
              <w:pStyle w:val="42"/>
              <w:keepNext w:val="0"/>
              <w:keepLines w:val="0"/>
              <w:suppressLineNumbers w:val="0"/>
              <w:bidi w:val="0"/>
              <w:spacing w:before="0" w:beforeAutospacing="0" w:after="0" w:afterAutospacing="0"/>
              <w:rPr>
                <w:rFonts w:hint="default"/>
              </w:rPr>
            </w:pPr>
            <w:r>
              <w:rPr>
                <w:rFonts w:hint="default"/>
                <w:lang w:val="en-US" w:eastAsia="zh-CN"/>
              </w:rPr>
              <w:t>2022</w:t>
            </w:r>
          </w:p>
        </w:tc>
        <w:tc>
          <w:tcPr>
            <w:tcW w:w="508" w:type="dxa"/>
            <w:noWrap/>
            <w:vAlign w:val="center"/>
          </w:tcPr>
          <w:p w14:paraId="610231CE">
            <w:pPr>
              <w:pStyle w:val="42"/>
              <w:keepNext w:val="0"/>
              <w:keepLines w:val="0"/>
              <w:suppressLineNumbers w:val="0"/>
              <w:bidi w:val="0"/>
              <w:spacing w:before="0" w:beforeAutospacing="0" w:after="0" w:afterAutospacing="0"/>
              <w:rPr>
                <w:rFonts w:hint="default"/>
              </w:rPr>
            </w:pPr>
            <w:r>
              <w:rPr>
                <w:rFonts w:hint="default"/>
                <w:lang w:val="en-US" w:eastAsia="zh-CN"/>
              </w:rPr>
              <w:t>17</w:t>
            </w:r>
          </w:p>
        </w:tc>
        <w:tc>
          <w:tcPr>
            <w:tcW w:w="483" w:type="dxa"/>
            <w:noWrap/>
            <w:vAlign w:val="center"/>
          </w:tcPr>
          <w:p w14:paraId="2D425937">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443" w:type="dxa"/>
            <w:noWrap/>
            <w:vAlign w:val="center"/>
          </w:tcPr>
          <w:p w14:paraId="149335F3">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68" w:type="dxa"/>
            <w:noWrap/>
            <w:vAlign w:val="center"/>
          </w:tcPr>
          <w:p w14:paraId="3EC30603">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02A7144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7" w:type="dxa"/>
            <w:noWrap/>
            <w:vAlign w:val="center"/>
          </w:tcPr>
          <w:p w14:paraId="44FDE42B">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4731B59F">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443" w:type="dxa"/>
            <w:noWrap/>
            <w:vAlign w:val="center"/>
          </w:tcPr>
          <w:p w14:paraId="2EEB455D">
            <w:pPr>
              <w:pStyle w:val="42"/>
              <w:keepNext w:val="0"/>
              <w:keepLines w:val="0"/>
              <w:suppressLineNumbers w:val="0"/>
              <w:bidi w:val="0"/>
              <w:spacing w:before="0" w:beforeAutospacing="0" w:after="0" w:afterAutospacing="0"/>
              <w:rPr>
                <w:rFonts w:hint="default"/>
              </w:rPr>
            </w:pPr>
            <w:r>
              <w:rPr>
                <w:rFonts w:hint="default"/>
                <w:lang w:val="en-US" w:eastAsia="zh-CN"/>
              </w:rPr>
              <w:t>9</w:t>
            </w:r>
          </w:p>
        </w:tc>
        <w:tc>
          <w:tcPr>
            <w:tcW w:w="508" w:type="dxa"/>
            <w:noWrap/>
            <w:vAlign w:val="center"/>
          </w:tcPr>
          <w:p w14:paraId="4363CC6D">
            <w:pPr>
              <w:pStyle w:val="42"/>
              <w:keepNext w:val="0"/>
              <w:keepLines w:val="0"/>
              <w:suppressLineNumbers w:val="0"/>
              <w:bidi w:val="0"/>
              <w:spacing w:before="0" w:beforeAutospacing="0" w:after="0" w:afterAutospacing="0"/>
              <w:rPr>
                <w:rFonts w:hint="default"/>
              </w:rPr>
            </w:pPr>
            <w:r>
              <w:rPr>
                <w:rFonts w:hint="default"/>
                <w:lang w:val="en-US" w:eastAsia="zh-CN"/>
              </w:rPr>
              <w:t>11</w:t>
            </w:r>
          </w:p>
        </w:tc>
        <w:tc>
          <w:tcPr>
            <w:tcW w:w="483" w:type="dxa"/>
            <w:noWrap/>
            <w:vAlign w:val="center"/>
          </w:tcPr>
          <w:p w14:paraId="5EC60831">
            <w:pPr>
              <w:pStyle w:val="42"/>
              <w:keepNext w:val="0"/>
              <w:keepLines w:val="0"/>
              <w:suppressLineNumbers w:val="0"/>
              <w:bidi w:val="0"/>
              <w:spacing w:before="0" w:beforeAutospacing="0" w:after="0" w:afterAutospacing="0"/>
              <w:rPr>
                <w:rFonts w:hint="default"/>
              </w:rPr>
            </w:pPr>
            <w:r>
              <w:rPr>
                <w:rFonts w:hint="default"/>
                <w:lang w:val="en-US" w:eastAsia="zh-CN"/>
              </w:rPr>
              <w:t>4</w:t>
            </w:r>
          </w:p>
        </w:tc>
        <w:tc>
          <w:tcPr>
            <w:tcW w:w="443" w:type="dxa"/>
            <w:noWrap/>
            <w:vAlign w:val="center"/>
          </w:tcPr>
          <w:p w14:paraId="5C3F307C">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33" w:type="dxa"/>
            <w:noWrap/>
            <w:vAlign w:val="center"/>
          </w:tcPr>
          <w:p w14:paraId="57F0CBB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443" w:type="dxa"/>
            <w:noWrap/>
            <w:vAlign w:val="center"/>
          </w:tcPr>
          <w:p w14:paraId="3FCD9967">
            <w:pPr>
              <w:pStyle w:val="42"/>
              <w:keepNext w:val="0"/>
              <w:keepLines w:val="0"/>
              <w:suppressLineNumbers w:val="0"/>
              <w:bidi w:val="0"/>
              <w:spacing w:before="0" w:beforeAutospacing="0" w:after="0" w:afterAutospacing="0"/>
              <w:rPr>
                <w:rFonts w:hint="default"/>
              </w:rPr>
            </w:pPr>
            <w:r>
              <w:rPr>
                <w:rFonts w:hint="default"/>
                <w:lang w:val="en-US" w:eastAsia="zh-CN"/>
              </w:rPr>
              <w:t>2</w:t>
            </w:r>
          </w:p>
        </w:tc>
        <w:tc>
          <w:tcPr>
            <w:tcW w:w="555" w:type="dxa"/>
            <w:noWrap/>
            <w:vAlign w:val="center"/>
          </w:tcPr>
          <w:p w14:paraId="1183C83A">
            <w:pPr>
              <w:pStyle w:val="42"/>
              <w:keepNext w:val="0"/>
              <w:keepLines w:val="0"/>
              <w:suppressLineNumbers w:val="0"/>
              <w:bidi w:val="0"/>
              <w:spacing w:before="0" w:beforeAutospacing="0" w:after="0" w:afterAutospacing="0"/>
              <w:rPr>
                <w:rFonts w:hint="default"/>
              </w:rPr>
            </w:pPr>
            <w:r>
              <w:rPr>
                <w:rFonts w:hint="default"/>
                <w:lang w:val="en-US" w:eastAsia="zh-CN"/>
              </w:rPr>
              <w:t>3</w:t>
            </w:r>
          </w:p>
        </w:tc>
        <w:tc>
          <w:tcPr>
            <w:tcW w:w="443" w:type="dxa"/>
            <w:noWrap/>
            <w:vAlign w:val="center"/>
          </w:tcPr>
          <w:p w14:paraId="75F7CFE5">
            <w:pPr>
              <w:pStyle w:val="42"/>
              <w:keepNext w:val="0"/>
              <w:keepLines w:val="0"/>
              <w:suppressLineNumbers w:val="0"/>
              <w:bidi w:val="0"/>
              <w:spacing w:before="0" w:beforeAutospacing="0" w:after="0" w:afterAutospacing="0"/>
              <w:rPr>
                <w:rFonts w:hint="default"/>
              </w:rPr>
            </w:pPr>
            <w:r>
              <w:rPr>
                <w:rFonts w:hint="default"/>
                <w:lang w:val="en-US" w:eastAsia="zh-CN"/>
              </w:rPr>
              <w:t>8</w:t>
            </w:r>
          </w:p>
        </w:tc>
        <w:tc>
          <w:tcPr>
            <w:tcW w:w="526" w:type="dxa"/>
            <w:noWrap/>
            <w:vAlign w:val="center"/>
          </w:tcPr>
          <w:p w14:paraId="5170C48F">
            <w:pPr>
              <w:pStyle w:val="42"/>
              <w:keepNext w:val="0"/>
              <w:keepLines w:val="0"/>
              <w:suppressLineNumbers w:val="0"/>
              <w:bidi w:val="0"/>
              <w:spacing w:before="0" w:beforeAutospacing="0" w:after="0" w:afterAutospacing="0"/>
              <w:rPr>
                <w:rFonts w:hint="default"/>
              </w:rPr>
            </w:pPr>
            <w:r>
              <w:rPr>
                <w:rFonts w:hint="default"/>
                <w:lang w:val="en-US" w:eastAsia="zh-CN"/>
              </w:rPr>
              <w:t>14</w:t>
            </w:r>
          </w:p>
        </w:tc>
        <w:tc>
          <w:tcPr>
            <w:tcW w:w="444" w:type="dxa"/>
            <w:noWrap/>
            <w:vAlign w:val="center"/>
          </w:tcPr>
          <w:p w14:paraId="74449C48">
            <w:pPr>
              <w:pStyle w:val="42"/>
              <w:keepNext w:val="0"/>
              <w:keepLines w:val="0"/>
              <w:suppressLineNumbers w:val="0"/>
              <w:bidi w:val="0"/>
              <w:spacing w:before="0" w:beforeAutospacing="0" w:after="0" w:afterAutospacing="0"/>
              <w:rPr>
                <w:rFonts w:hint="default"/>
              </w:rPr>
            </w:pPr>
            <w:r>
              <w:rPr>
                <w:rFonts w:hint="default"/>
                <w:lang w:val="en-US" w:eastAsia="zh-CN"/>
              </w:rPr>
              <w:t>1</w:t>
            </w:r>
          </w:p>
        </w:tc>
      </w:tr>
      <w:tr w14:paraId="6C07E9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6" w:type="dxa"/>
            <w:noWrap/>
            <w:vAlign w:val="center"/>
          </w:tcPr>
          <w:p w14:paraId="73CE3B9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平均</w:t>
            </w:r>
          </w:p>
        </w:tc>
        <w:tc>
          <w:tcPr>
            <w:tcW w:w="508" w:type="dxa"/>
            <w:noWrap/>
            <w:vAlign w:val="center"/>
          </w:tcPr>
          <w:p w14:paraId="4AE5DDF8">
            <w:pPr>
              <w:pStyle w:val="42"/>
              <w:keepNext w:val="0"/>
              <w:keepLines w:val="0"/>
              <w:suppressLineNumbers w:val="0"/>
              <w:bidi w:val="0"/>
              <w:spacing w:before="0" w:beforeAutospacing="0" w:after="0" w:afterAutospacing="0"/>
              <w:rPr>
                <w:rFonts w:hint="default"/>
              </w:rPr>
            </w:pPr>
            <w:r>
              <w:rPr>
                <w:rFonts w:hint="default"/>
                <w:lang w:val="en-US" w:eastAsia="zh-CN"/>
              </w:rPr>
              <w:t>15.55</w:t>
            </w:r>
          </w:p>
        </w:tc>
        <w:tc>
          <w:tcPr>
            <w:tcW w:w="483" w:type="dxa"/>
            <w:noWrap/>
            <w:vAlign w:val="center"/>
          </w:tcPr>
          <w:p w14:paraId="07EE4D10">
            <w:pPr>
              <w:pStyle w:val="42"/>
              <w:keepNext w:val="0"/>
              <w:keepLines w:val="0"/>
              <w:suppressLineNumbers w:val="0"/>
              <w:bidi w:val="0"/>
              <w:spacing w:before="0" w:beforeAutospacing="0" w:after="0" w:afterAutospacing="0"/>
              <w:rPr>
                <w:rFonts w:hint="default"/>
              </w:rPr>
            </w:pPr>
            <w:r>
              <w:rPr>
                <w:rFonts w:hint="default"/>
                <w:lang w:val="en-US" w:eastAsia="zh-CN"/>
              </w:rPr>
              <w:t>4.80</w:t>
            </w:r>
          </w:p>
        </w:tc>
        <w:tc>
          <w:tcPr>
            <w:tcW w:w="443" w:type="dxa"/>
            <w:noWrap/>
            <w:vAlign w:val="center"/>
          </w:tcPr>
          <w:p w14:paraId="665DEDE2">
            <w:pPr>
              <w:pStyle w:val="42"/>
              <w:keepNext w:val="0"/>
              <w:keepLines w:val="0"/>
              <w:suppressLineNumbers w:val="0"/>
              <w:bidi w:val="0"/>
              <w:spacing w:before="0" w:beforeAutospacing="0" w:after="0" w:afterAutospacing="0"/>
              <w:rPr>
                <w:rFonts w:hint="default"/>
              </w:rPr>
            </w:pPr>
            <w:r>
              <w:rPr>
                <w:rFonts w:hint="default"/>
                <w:lang w:val="en-US" w:eastAsia="zh-CN"/>
              </w:rPr>
              <w:t>3.05</w:t>
            </w:r>
          </w:p>
        </w:tc>
        <w:tc>
          <w:tcPr>
            <w:tcW w:w="468" w:type="dxa"/>
            <w:noWrap/>
            <w:vAlign w:val="center"/>
          </w:tcPr>
          <w:p w14:paraId="16EE9736">
            <w:pPr>
              <w:pStyle w:val="42"/>
              <w:keepNext w:val="0"/>
              <w:keepLines w:val="0"/>
              <w:suppressLineNumbers w:val="0"/>
              <w:bidi w:val="0"/>
              <w:spacing w:before="0" w:beforeAutospacing="0" w:after="0" w:afterAutospacing="0"/>
              <w:rPr>
                <w:rFonts w:hint="default"/>
              </w:rPr>
            </w:pPr>
            <w:r>
              <w:rPr>
                <w:rFonts w:hint="default"/>
                <w:lang w:val="en-US" w:eastAsia="zh-CN"/>
              </w:rPr>
              <w:t>2.05</w:t>
            </w:r>
          </w:p>
        </w:tc>
        <w:tc>
          <w:tcPr>
            <w:tcW w:w="443" w:type="dxa"/>
            <w:noWrap/>
            <w:vAlign w:val="center"/>
          </w:tcPr>
          <w:p w14:paraId="582A9F7A">
            <w:pPr>
              <w:pStyle w:val="42"/>
              <w:keepNext w:val="0"/>
              <w:keepLines w:val="0"/>
              <w:suppressLineNumbers w:val="0"/>
              <w:bidi w:val="0"/>
              <w:spacing w:before="0" w:beforeAutospacing="0" w:after="0" w:afterAutospacing="0"/>
              <w:rPr>
                <w:rFonts w:hint="default"/>
              </w:rPr>
            </w:pPr>
            <w:r>
              <w:rPr>
                <w:rFonts w:hint="default"/>
                <w:lang w:val="en-US" w:eastAsia="zh-CN"/>
              </w:rPr>
              <w:t>2.20</w:t>
            </w:r>
          </w:p>
        </w:tc>
        <w:tc>
          <w:tcPr>
            <w:tcW w:w="447" w:type="dxa"/>
            <w:noWrap/>
            <w:vAlign w:val="center"/>
          </w:tcPr>
          <w:p w14:paraId="72748A45">
            <w:pPr>
              <w:pStyle w:val="42"/>
              <w:keepNext w:val="0"/>
              <w:keepLines w:val="0"/>
              <w:suppressLineNumbers w:val="0"/>
              <w:bidi w:val="0"/>
              <w:spacing w:before="0" w:beforeAutospacing="0" w:after="0" w:afterAutospacing="0"/>
              <w:rPr>
                <w:rFonts w:hint="default"/>
              </w:rPr>
            </w:pPr>
            <w:r>
              <w:rPr>
                <w:rFonts w:hint="default"/>
                <w:lang w:val="en-US" w:eastAsia="zh-CN"/>
              </w:rPr>
              <w:t>2.20</w:t>
            </w:r>
          </w:p>
        </w:tc>
        <w:tc>
          <w:tcPr>
            <w:tcW w:w="443" w:type="dxa"/>
            <w:noWrap/>
            <w:vAlign w:val="center"/>
          </w:tcPr>
          <w:p w14:paraId="1F620105">
            <w:pPr>
              <w:pStyle w:val="42"/>
              <w:keepNext w:val="0"/>
              <w:keepLines w:val="0"/>
              <w:suppressLineNumbers w:val="0"/>
              <w:bidi w:val="0"/>
              <w:spacing w:before="0" w:beforeAutospacing="0" w:after="0" w:afterAutospacing="0"/>
              <w:rPr>
                <w:rFonts w:hint="default"/>
              </w:rPr>
            </w:pPr>
            <w:r>
              <w:rPr>
                <w:rFonts w:hint="default"/>
                <w:lang w:val="en-US" w:eastAsia="zh-CN"/>
              </w:rPr>
              <w:t>4.30</w:t>
            </w:r>
          </w:p>
        </w:tc>
        <w:tc>
          <w:tcPr>
            <w:tcW w:w="443" w:type="dxa"/>
            <w:noWrap/>
            <w:vAlign w:val="center"/>
          </w:tcPr>
          <w:p w14:paraId="2495E4F2">
            <w:pPr>
              <w:pStyle w:val="42"/>
              <w:keepNext w:val="0"/>
              <w:keepLines w:val="0"/>
              <w:suppressLineNumbers w:val="0"/>
              <w:bidi w:val="0"/>
              <w:spacing w:before="0" w:beforeAutospacing="0" w:after="0" w:afterAutospacing="0"/>
              <w:rPr>
                <w:rFonts w:hint="default"/>
              </w:rPr>
            </w:pPr>
            <w:r>
              <w:rPr>
                <w:rFonts w:hint="default"/>
                <w:lang w:val="en-US" w:eastAsia="zh-CN"/>
              </w:rPr>
              <w:t>6.00</w:t>
            </w:r>
          </w:p>
        </w:tc>
        <w:tc>
          <w:tcPr>
            <w:tcW w:w="508" w:type="dxa"/>
            <w:noWrap/>
            <w:vAlign w:val="center"/>
          </w:tcPr>
          <w:p w14:paraId="550270C6">
            <w:pPr>
              <w:pStyle w:val="42"/>
              <w:keepNext w:val="0"/>
              <w:keepLines w:val="0"/>
              <w:suppressLineNumbers w:val="0"/>
              <w:bidi w:val="0"/>
              <w:spacing w:before="0" w:beforeAutospacing="0" w:after="0" w:afterAutospacing="0"/>
              <w:rPr>
                <w:rFonts w:hint="default"/>
              </w:rPr>
            </w:pPr>
            <w:r>
              <w:rPr>
                <w:rFonts w:hint="default"/>
                <w:lang w:val="en-US" w:eastAsia="zh-CN"/>
              </w:rPr>
              <w:t>10.60</w:t>
            </w:r>
          </w:p>
        </w:tc>
        <w:tc>
          <w:tcPr>
            <w:tcW w:w="483" w:type="dxa"/>
            <w:noWrap/>
            <w:vAlign w:val="center"/>
          </w:tcPr>
          <w:p w14:paraId="4A9D73BB">
            <w:pPr>
              <w:pStyle w:val="42"/>
              <w:keepNext w:val="0"/>
              <w:keepLines w:val="0"/>
              <w:suppressLineNumbers w:val="0"/>
              <w:bidi w:val="0"/>
              <w:spacing w:before="0" w:beforeAutospacing="0" w:after="0" w:afterAutospacing="0"/>
              <w:rPr>
                <w:rFonts w:hint="default"/>
              </w:rPr>
            </w:pPr>
            <w:r>
              <w:rPr>
                <w:rFonts w:hint="default"/>
                <w:lang w:val="en-US" w:eastAsia="zh-CN"/>
              </w:rPr>
              <w:t>3.55</w:t>
            </w:r>
          </w:p>
        </w:tc>
        <w:tc>
          <w:tcPr>
            <w:tcW w:w="443" w:type="dxa"/>
            <w:noWrap/>
            <w:vAlign w:val="center"/>
          </w:tcPr>
          <w:p w14:paraId="26051BEC">
            <w:pPr>
              <w:pStyle w:val="42"/>
              <w:keepNext w:val="0"/>
              <w:keepLines w:val="0"/>
              <w:suppressLineNumbers w:val="0"/>
              <w:bidi w:val="0"/>
              <w:spacing w:before="0" w:beforeAutospacing="0" w:after="0" w:afterAutospacing="0"/>
              <w:rPr>
                <w:rFonts w:hint="default"/>
              </w:rPr>
            </w:pPr>
            <w:r>
              <w:rPr>
                <w:rFonts w:hint="default"/>
                <w:lang w:val="en-US" w:eastAsia="zh-CN"/>
              </w:rPr>
              <w:t>2.05</w:t>
            </w:r>
          </w:p>
        </w:tc>
        <w:tc>
          <w:tcPr>
            <w:tcW w:w="533" w:type="dxa"/>
            <w:noWrap/>
            <w:vAlign w:val="center"/>
          </w:tcPr>
          <w:p w14:paraId="2A58CC96">
            <w:pPr>
              <w:pStyle w:val="42"/>
              <w:keepNext w:val="0"/>
              <w:keepLines w:val="0"/>
              <w:suppressLineNumbers w:val="0"/>
              <w:bidi w:val="0"/>
              <w:spacing w:before="0" w:beforeAutospacing="0" w:after="0" w:afterAutospacing="0"/>
              <w:rPr>
                <w:rFonts w:hint="default"/>
              </w:rPr>
            </w:pPr>
            <w:r>
              <w:rPr>
                <w:rFonts w:hint="default"/>
                <w:lang w:val="en-US" w:eastAsia="zh-CN"/>
              </w:rPr>
              <w:t>2.15</w:t>
            </w:r>
          </w:p>
        </w:tc>
        <w:tc>
          <w:tcPr>
            <w:tcW w:w="443" w:type="dxa"/>
            <w:noWrap/>
            <w:vAlign w:val="center"/>
          </w:tcPr>
          <w:p w14:paraId="7BCA8A6C">
            <w:pPr>
              <w:pStyle w:val="42"/>
              <w:keepNext w:val="0"/>
              <w:keepLines w:val="0"/>
              <w:suppressLineNumbers w:val="0"/>
              <w:bidi w:val="0"/>
              <w:spacing w:before="0" w:beforeAutospacing="0" w:after="0" w:afterAutospacing="0"/>
              <w:rPr>
                <w:rFonts w:hint="default"/>
              </w:rPr>
            </w:pPr>
            <w:r>
              <w:rPr>
                <w:rFonts w:hint="default"/>
                <w:lang w:val="en-US" w:eastAsia="zh-CN"/>
              </w:rPr>
              <w:t>3.20</w:t>
            </w:r>
          </w:p>
        </w:tc>
        <w:tc>
          <w:tcPr>
            <w:tcW w:w="555" w:type="dxa"/>
            <w:noWrap/>
            <w:vAlign w:val="center"/>
          </w:tcPr>
          <w:p w14:paraId="252AC3C4">
            <w:pPr>
              <w:pStyle w:val="42"/>
              <w:keepNext w:val="0"/>
              <w:keepLines w:val="0"/>
              <w:suppressLineNumbers w:val="0"/>
              <w:bidi w:val="0"/>
              <w:spacing w:before="0" w:beforeAutospacing="0" w:after="0" w:afterAutospacing="0"/>
              <w:rPr>
                <w:rFonts w:hint="default"/>
              </w:rPr>
            </w:pPr>
            <w:r>
              <w:rPr>
                <w:rFonts w:hint="default"/>
                <w:lang w:val="en-US" w:eastAsia="zh-CN"/>
              </w:rPr>
              <w:t>3.35</w:t>
            </w:r>
          </w:p>
        </w:tc>
        <w:tc>
          <w:tcPr>
            <w:tcW w:w="443" w:type="dxa"/>
            <w:noWrap/>
            <w:vAlign w:val="center"/>
          </w:tcPr>
          <w:p w14:paraId="04D8624E">
            <w:pPr>
              <w:pStyle w:val="42"/>
              <w:keepNext w:val="0"/>
              <w:keepLines w:val="0"/>
              <w:suppressLineNumbers w:val="0"/>
              <w:bidi w:val="0"/>
              <w:spacing w:before="0" w:beforeAutospacing="0" w:after="0" w:afterAutospacing="0"/>
              <w:rPr>
                <w:rFonts w:hint="default"/>
              </w:rPr>
            </w:pPr>
            <w:r>
              <w:rPr>
                <w:rFonts w:hint="default"/>
                <w:lang w:val="en-US" w:eastAsia="zh-CN"/>
              </w:rPr>
              <w:t>8.55</w:t>
            </w:r>
          </w:p>
        </w:tc>
        <w:tc>
          <w:tcPr>
            <w:tcW w:w="526" w:type="dxa"/>
            <w:noWrap/>
            <w:vAlign w:val="center"/>
          </w:tcPr>
          <w:p w14:paraId="17C3AC31">
            <w:pPr>
              <w:pStyle w:val="42"/>
              <w:keepNext w:val="0"/>
              <w:keepLines w:val="0"/>
              <w:suppressLineNumbers w:val="0"/>
              <w:bidi w:val="0"/>
              <w:spacing w:before="0" w:beforeAutospacing="0" w:after="0" w:afterAutospacing="0"/>
              <w:rPr>
                <w:rFonts w:hint="default"/>
              </w:rPr>
            </w:pPr>
            <w:r>
              <w:rPr>
                <w:rFonts w:hint="default"/>
                <w:lang w:val="en-US" w:eastAsia="zh-CN"/>
              </w:rPr>
              <w:t>18.85</w:t>
            </w:r>
          </w:p>
        </w:tc>
        <w:tc>
          <w:tcPr>
            <w:tcW w:w="444" w:type="dxa"/>
            <w:noWrap/>
            <w:vAlign w:val="center"/>
          </w:tcPr>
          <w:p w14:paraId="56420F35">
            <w:pPr>
              <w:pStyle w:val="42"/>
              <w:keepNext w:val="0"/>
              <w:keepLines w:val="0"/>
              <w:suppressLineNumbers w:val="0"/>
              <w:bidi w:val="0"/>
              <w:spacing w:before="0" w:beforeAutospacing="0" w:after="0" w:afterAutospacing="0"/>
              <w:rPr>
                <w:rFonts w:hint="default"/>
              </w:rPr>
            </w:pPr>
            <w:r>
              <w:rPr>
                <w:rFonts w:hint="default"/>
                <w:lang w:val="en-US" w:eastAsia="zh-CN"/>
              </w:rPr>
              <w:t>7.55</w:t>
            </w:r>
          </w:p>
        </w:tc>
      </w:tr>
    </w:tbl>
    <w:p w14:paraId="5A7A6B29">
      <w:pPr>
        <w:pStyle w:val="39"/>
        <w:bidi w:val="0"/>
        <w:rPr>
          <w:rFonts w:hint="default" w:ascii="Times New Roman" w:hAnsi="Times New Roman" w:eastAsia="宋体" w:cs="Times New Roman"/>
          <w:color w:val="auto"/>
          <w:sz w:val="22"/>
          <w:szCs w:val="21"/>
        </w:rPr>
      </w:pPr>
      <w:r>
        <w:rPr>
          <w:rFonts w:hint="default" w:ascii="Times New Roman" w:hAnsi="Times New Roman" w:eastAsia="宋体" w:cs="Times New Roman"/>
          <w:color w:val="auto"/>
          <w:sz w:val="22"/>
          <w:szCs w:val="21"/>
        </w:rPr>
        <w:drawing>
          <wp:inline distT="0" distB="0" distL="114300" distR="114300">
            <wp:extent cx="1851660" cy="1911350"/>
            <wp:effectExtent l="0" t="0" r="15240" b="12700"/>
            <wp:docPr id="10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7"/>
                    <pic:cNvPicPr>
                      <a:picLocks noChangeAspect="1"/>
                    </pic:cNvPicPr>
                  </pic:nvPicPr>
                  <pic:blipFill>
                    <a:blip r:embed="rId41"/>
                    <a:stretch>
                      <a:fillRect/>
                    </a:stretch>
                  </pic:blipFill>
                  <pic:spPr>
                    <a:xfrm>
                      <a:off x="0" y="0"/>
                      <a:ext cx="1851660" cy="1911350"/>
                    </a:xfrm>
                    <a:prstGeom prst="rect">
                      <a:avLst/>
                    </a:prstGeom>
                    <a:noFill/>
                    <a:ln>
                      <a:noFill/>
                    </a:ln>
                  </pic:spPr>
                </pic:pic>
              </a:graphicData>
            </a:graphic>
          </wp:inline>
        </w:drawing>
      </w:r>
    </w:p>
    <w:p w14:paraId="7176D624">
      <w:pPr>
        <w:pStyle w:val="39"/>
        <w:bidi w:val="0"/>
        <w:rPr>
          <w:rFonts w:hint="default"/>
        </w:rPr>
      </w:pPr>
      <w:r>
        <w:rPr>
          <w:rFonts w:hint="default"/>
        </w:rPr>
        <w:t>图</w:t>
      </w:r>
      <w:r>
        <w:rPr>
          <w:rFonts w:hint="eastAsia"/>
          <w:lang w:val="en-US" w:eastAsia="zh-CN"/>
        </w:rPr>
        <w:t>6.2</w:t>
      </w:r>
      <w:r>
        <w:rPr>
          <w:rFonts w:hint="default"/>
        </w:rPr>
        <w:t>-1  湘阴县气象站风向玫瑰图（统计年限：2003年-2022年）</w:t>
      </w:r>
    </w:p>
    <w:p w14:paraId="36A63D10">
      <w:pPr>
        <w:shd w:val="clea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（2）气候特征</w:t>
      </w:r>
    </w:p>
    <w:p w14:paraId="4FBB9487">
      <w:pPr>
        <w:shd w:val="clea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区域属亚热带湿润气候，冬季寒冷，夏季炎热，春季多雨，秋季干旱，四季分明，常年多雾。年平均气温为1</w:t>
      </w:r>
      <w:r>
        <w:rPr>
          <w:rFonts w:hint="eastAsia" w:ascii="Times New Roman" w:hAnsi="Times New Roman" w:cs="Times New Roman"/>
          <w:color w:val="auto"/>
          <w:sz w:val="24"/>
          <w:highlight w:val="none"/>
          <w:u w:val="none" w:color="auto"/>
          <w:lang w:val="en-US" w:eastAsia="zh-CN"/>
        </w:rPr>
        <w:t>6</w:t>
      </w:r>
      <w:r>
        <w:rPr>
          <w:rFonts w:hint="default" w:ascii="Times New Roman" w:hAnsi="Times New Roman" w:cs="Times New Roman"/>
          <w:color w:val="auto"/>
          <w:sz w:val="24"/>
          <w:highlight w:val="none"/>
          <w:u w:val="none" w:color="auto"/>
        </w:rPr>
        <w:t>.</w:t>
      </w:r>
      <w:r>
        <w:rPr>
          <w:rFonts w:hint="eastAsia" w:ascii="Times New Roman" w:hAnsi="Times New Roman" w:cs="Times New Roman"/>
          <w:color w:val="auto"/>
          <w:sz w:val="24"/>
          <w:highlight w:val="none"/>
          <w:u w:val="none" w:color="auto"/>
          <w:lang w:val="en-US" w:eastAsia="zh-CN"/>
        </w:rPr>
        <w:t>9</w:t>
      </w:r>
      <w:r>
        <w:rPr>
          <w:rFonts w:hint="default" w:ascii="Times New Roman" w:hAnsi="Times New Roman" w:cs="Times New Roman"/>
          <w:color w:val="auto"/>
          <w:sz w:val="24"/>
          <w:highlight w:val="none"/>
          <w:u w:val="none" w:color="auto"/>
        </w:rPr>
        <w:t>℃；最高气温</w:t>
      </w:r>
      <w:r>
        <w:rPr>
          <w:rFonts w:hint="eastAsia" w:ascii="Times New Roman" w:hAnsi="Times New Roman" w:cs="Times New Roman"/>
          <w:color w:val="auto"/>
          <w:sz w:val="24"/>
          <w:highlight w:val="none"/>
          <w:u w:val="none" w:color="auto"/>
          <w:lang w:val="en-US" w:eastAsia="zh-CN"/>
        </w:rPr>
        <w:t>38.4</w:t>
      </w:r>
      <w:r>
        <w:rPr>
          <w:rFonts w:hint="default" w:ascii="Times New Roman" w:hAnsi="Times New Roman" w:cs="Times New Roman"/>
          <w:color w:val="auto"/>
          <w:sz w:val="24"/>
          <w:highlight w:val="none"/>
          <w:u w:val="none" w:color="auto"/>
        </w:rPr>
        <w:t>℃；最低气温为-1</w:t>
      </w:r>
      <w:r>
        <w:rPr>
          <w:rFonts w:hint="eastAsia" w:ascii="Times New Roman" w:hAnsi="Times New Roman" w:cs="Times New Roman"/>
          <w:color w:val="auto"/>
          <w:sz w:val="24"/>
          <w:highlight w:val="none"/>
          <w:u w:val="none" w:color="auto"/>
          <w:lang w:val="en-US" w:eastAsia="zh-CN"/>
        </w:rPr>
        <w:t>2.0</w:t>
      </w:r>
      <w:r>
        <w:rPr>
          <w:rFonts w:hint="default" w:ascii="Times New Roman" w:hAnsi="Times New Roman" w:cs="Times New Roman"/>
          <w:color w:val="auto"/>
          <w:sz w:val="24"/>
          <w:highlight w:val="none"/>
          <w:u w:val="none" w:color="auto"/>
        </w:rPr>
        <w:t>℃。年平均相对湿度</w:t>
      </w:r>
      <w:r>
        <w:rPr>
          <w:rFonts w:hint="eastAsia" w:ascii="Times New Roman" w:hAnsi="Times New Roman" w:cs="Times New Roman"/>
          <w:color w:val="auto"/>
          <w:sz w:val="24"/>
          <w:highlight w:val="none"/>
          <w:u w:val="none" w:color="auto"/>
          <w:lang w:val="en-US" w:eastAsia="zh-CN"/>
        </w:rPr>
        <w:t>81</w:t>
      </w:r>
      <w:r>
        <w:rPr>
          <w:rFonts w:hint="default" w:ascii="Times New Roman" w:hAnsi="Times New Roman" w:cs="Times New Roman"/>
          <w:color w:val="auto"/>
          <w:sz w:val="24"/>
          <w:highlight w:val="none"/>
          <w:u w:val="none" w:color="auto"/>
        </w:rPr>
        <w:t>%；年平均降雨量为</w:t>
      </w:r>
      <w:r>
        <w:rPr>
          <w:rFonts w:hint="eastAsia" w:ascii="Times New Roman" w:hAnsi="Times New Roman" w:cs="Times New Roman"/>
          <w:color w:val="auto"/>
          <w:sz w:val="24"/>
          <w:highlight w:val="none"/>
          <w:u w:val="none" w:color="auto"/>
          <w:lang w:val="en-US" w:eastAsia="zh-CN"/>
        </w:rPr>
        <w:t>1383</w:t>
      </w:r>
      <w:r>
        <w:rPr>
          <w:rFonts w:hint="default" w:ascii="Times New Roman" w:hAnsi="Times New Roman" w:cs="Times New Roman"/>
          <w:color w:val="auto"/>
          <w:sz w:val="24"/>
          <w:highlight w:val="none"/>
          <w:u w:val="none" w:color="auto"/>
        </w:rPr>
        <w:t>mm；常年主导风向为NN</w:t>
      </w:r>
      <w:r>
        <w:rPr>
          <w:rFonts w:hint="eastAsia" w:ascii="Times New Roman" w:hAnsi="Times New Roman" w:cs="Times New Roman"/>
          <w:color w:val="auto"/>
          <w:sz w:val="24"/>
          <w:highlight w:val="none"/>
          <w:u w:val="none" w:color="auto"/>
          <w:lang w:val="en-US" w:eastAsia="zh-CN"/>
        </w:rPr>
        <w:t>W</w:t>
      </w:r>
      <w:r>
        <w:rPr>
          <w:rFonts w:hint="default" w:ascii="Times New Roman" w:hAnsi="Times New Roman" w:cs="Times New Roman"/>
          <w:color w:val="auto"/>
          <w:sz w:val="24"/>
          <w:highlight w:val="none"/>
          <w:u w:val="none" w:color="auto"/>
        </w:rPr>
        <w:t>，频率为18%；冬季主导风向为</w:t>
      </w:r>
      <w:r>
        <w:rPr>
          <w:rFonts w:hint="eastAsia" w:ascii="Times New Roman" w:hAnsi="Times New Roman" w:cs="Times New Roman"/>
          <w:color w:val="auto"/>
          <w:sz w:val="24"/>
          <w:highlight w:val="none"/>
          <w:u w:val="none" w:color="auto"/>
          <w:lang w:val="en-US" w:eastAsia="zh-CN"/>
        </w:rPr>
        <w:t>NNW</w:t>
      </w:r>
      <w:r>
        <w:rPr>
          <w:rFonts w:hint="default" w:ascii="Times New Roman" w:hAnsi="Times New Roman" w:cs="Times New Roman"/>
          <w:color w:val="auto"/>
          <w:sz w:val="24"/>
          <w:highlight w:val="none"/>
          <w:u w:val="none" w:color="auto"/>
        </w:rPr>
        <w:t>，夏季主导风向为SS</w:t>
      </w:r>
      <w:r>
        <w:rPr>
          <w:rFonts w:hint="eastAsia" w:ascii="Times New Roman" w:hAnsi="Times New Roman" w:cs="Times New Roman"/>
          <w:color w:val="auto"/>
          <w:sz w:val="24"/>
          <w:highlight w:val="none"/>
          <w:u w:val="none" w:color="auto"/>
          <w:lang w:val="en-US" w:eastAsia="zh-CN"/>
        </w:rPr>
        <w:t>W</w:t>
      </w:r>
      <w:r>
        <w:rPr>
          <w:rFonts w:hint="default" w:ascii="Times New Roman" w:hAnsi="Times New Roman" w:cs="Times New Roman"/>
          <w:color w:val="auto"/>
          <w:sz w:val="24"/>
          <w:highlight w:val="none"/>
          <w:u w:val="none" w:color="auto"/>
        </w:rPr>
        <w:t>。</w:t>
      </w:r>
    </w:p>
    <w:p w14:paraId="31C2B8D0">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（3）地面气象要素</w:t>
      </w:r>
    </w:p>
    <w:p w14:paraId="700F352B">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根据湘阴县地面气象观测站2022年的常规地面气象观测资料，地面观测气象数据信息见下表。调查项目包括：调查项目包括：时间（年、月、日、时）、风向（按16个方位表示）、风速（m/s）、干球温度（℃）、低云量[十分制]、总云量[十分制]等。</w:t>
      </w:r>
    </w:p>
    <w:p w14:paraId="3D793EC0">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①平均温度</w:t>
      </w:r>
    </w:p>
    <w:p w14:paraId="533B4EB2">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湘阴县处于中亚热带向北亚热带过渡的季风气候区，东西两部分气候差异不显著，气候温和，雨量充沛，光照充足，四季分明。2022年湘阴县气温大致在4.9~29.7℃之间变化，平均气温为17.9℃，气温的季节性变化明显。</w:t>
      </w:r>
    </w:p>
    <w:p w14:paraId="15A1E261">
      <w:pPr>
        <w:pStyle w:val="39"/>
        <w:bidi w:val="0"/>
        <w:rPr>
          <w:rFonts w:hint="default"/>
          <w:highlight w:val="none"/>
        </w:rPr>
      </w:pPr>
      <w:r>
        <w:rPr>
          <w:rFonts w:hint="default"/>
          <w:highlight w:val="none"/>
        </w:rPr>
        <w:t>表</w:t>
      </w:r>
      <w:r>
        <w:rPr>
          <w:rFonts w:hint="eastAsia"/>
          <w:highlight w:val="none"/>
          <w:lang w:val="en-US" w:eastAsia="zh-CN"/>
        </w:rPr>
        <w:t xml:space="preserve">6.2-3 </w:t>
      </w:r>
      <w:r>
        <w:rPr>
          <w:rFonts w:hint="default"/>
          <w:highlight w:val="none"/>
        </w:rPr>
        <w:t xml:space="preserve"> 2022年湘阴县年平均气温的月变化</w:t>
      </w:r>
    </w:p>
    <w:tbl>
      <w:tblPr>
        <w:tblStyle w:val="3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6"/>
        <w:gridCol w:w="580"/>
        <w:gridCol w:w="585"/>
        <w:gridCol w:w="594"/>
        <w:gridCol w:w="597"/>
        <w:gridCol w:w="597"/>
        <w:gridCol w:w="597"/>
        <w:gridCol w:w="598"/>
        <w:gridCol w:w="598"/>
        <w:gridCol w:w="598"/>
        <w:gridCol w:w="598"/>
        <w:gridCol w:w="598"/>
        <w:gridCol w:w="583"/>
        <w:gridCol w:w="583"/>
      </w:tblGrid>
      <w:tr w14:paraId="1D8C1B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noWrap w:val="0"/>
            <w:vAlign w:val="center"/>
          </w:tcPr>
          <w:p w14:paraId="6BDF07F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月份</w:t>
            </w:r>
          </w:p>
        </w:tc>
        <w:tc>
          <w:tcPr>
            <w:tcW w:w="580" w:type="dxa"/>
            <w:noWrap w:val="0"/>
            <w:vAlign w:val="center"/>
          </w:tcPr>
          <w:p w14:paraId="6670E75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1月</w:t>
            </w:r>
          </w:p>
        </w:tc>
        <w:tc>
          <w:tcPr>
            <w:tcW w:w="585" w:type="dxa"/>
            <w:noWrap w:val="0"/>
            <w:vAlign w:val="center"/>
          </w:tcPr>
          <w:p w14:paraId="47F0C33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2月</w:t>
            </w:r>
          </w:p>
        </w:tc>
        <w:tc>
          <w:tcPr>
            <w:tcW w:w="594" w:type="dxa"/>
            <w:noWrap w:val="0"/>
            <w:vAlign w:val="center"/>
          </w:tcPr>
          <w:p w14:paraId="74E9BF6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3月</w:t>
            </w:r>
          </w:p>
        </w:tc>
        <w:tc>
          <w:tcPr>
            <w:tcW w:w="597" w:type="dxa"/>
            <w:noWrap w:val="0"/>
            <w:vAlign w:val="center"/>
          </w:tcPr>
          <w:p w14:paraId="545183B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4月</w:t>
            </w:r>
          </w:p>
        </w:tc>
        <w:tc>
          <w:tcPr>
            <w:tcW w:w="597" w:type="dxa"/>
            <w:noWrap w:val="0"/>
            <w:vAlign w:val="center"/>
          </w:tcPr>
          <w:p w14:paraId="4E3A4A6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5月</w:t>
            </w:r>
          </w:p>
        </w:tc>
        <w:tc>
          <w:tcPr>
            <w:tcW w:w="597" w:type="dxa"/>
            <w:noWrap w:val="0"/>
            <w:vAlign w:val="center"/>
          </w:tcPr>
          <w:p w14:paraId="18C1913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6月</w:t>
            </w:r>
          </w:p>
        </w:tc>
        <w:tc>
          <w:tcPr>
            <w:tcW w:w="598" w:type="dxa"/>
            <w:noWrap w:val="0"/>
            <w:vAlign w:val="center"/>
          </w:tcPr>
          <w:p w14:paraId="79F2055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7月</w:t>
            </w:r>
          </w:p>
        </w:tc>
        <w:tc>
          <w:tcPr>
            <w:tcW w:w="598" w:type="dxa"/>
            <w:noWrap w:val="0"/>
            <w:vAlign w:val="center"/>
          </w:tcPr>
          <w:p w14:paraId="4C94521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8月</w:t>
            </w:r>
          </w:p>
        </w:tc>
        <w:tc>
          <w:tcPr>
            <w:tcW w:w="598" w:type="dxa"/>
            <w:noWrap w:val="0"/>
            <w:vAlign w:val="center"/>
          </w:tcPr>
          <w:p w14:paraId="1D68292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9月</w:t>
            </w:r>
          </w:p>
        </w:tc>
        <w:tc>
          <w:tcPr>
            <w:tcW w:w="598" w:type="dxa"/>
            <w:noWrap w:val="0"/>
            <w:vAlign w:val="center"/>
          </w:tcPr>
          <w:p w14:paraId="1444339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10月</w:t>
            </w:r>
          </w:p>
        </w:tc>
        <w:tc>
          <w:tcPr>
            <w:tcW w:w="598" w:type="dxa"/>
            <w:noWrap w:val="0"/>
            <w:vAlign w:val="center"/>
          </w:tcPr>
          <w:p w14:paraId="3395D5C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11月</w:t>
            </w:r>
          </w:p>
        </w:tc>
        <w:tc>
          <w:tcPr>
            <w:tcW w:w="583" w:type="dxa"/>
            <w:noWrap w:val="0"/>
            <w:vAlign w:val="center"/>
          </w:tcPr>
          <w:p w14:paraId="252A424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rPr>
            </w:pPr>
            <w:r>
              <w:rPr>
                <w:rFonts w:hint="default" w:ascii="Times New Roman" w:hAnsi="Times New Roman" w:eastAsia="宋体" w:cs="Times New Roman"/>
                <w:b/>
                <w:bCs/>
                <w:color w:val="auto"/>
                <w:sz w:val="20"/>
                <w:szCs w:val="20"/>
                <w:highlight w:val="none"/>
                <w:u w:val="none" w:color="auto"/>
              </w:rPr>
              <w:t>12月</w:t>
            </w:r>
          </w:p>
        </w:tc>
        <w:tc>
          <w:tcPr>
            <w:tcW w:w="583" w:type="dxa"/>
            <w:noWrap w:val="0"/>
            <w:vAlign w:val="center"/>
          </w:tcPr>
          <w:p w14:paraId="273D1D5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20"/>
                <w:szCs w:val="20"/>
                <w:highlight w:val="none"/>
                <w:u w:val="none" w:color="auto"/>
                <w:lang w:val="en-US" w:eastAsia="zh-CN"/>
              </w:rPr>
            </w:pPr>
            <w:r>
              <w:rPr>
                <w:rFonts w:hint="default" w:ascii="Times New Roman" w:hAnsi="Times New Roman" w:eastAsia="宋体" w:cs="Times New Roman"/>
                <w:b/>
                <w:bCs/>
                <w:color w:val="auto"/>
                <w:sz w:val="20"/>
                <w:szCs w:val="20"/>
                <w:highlight w:val="none"/>
                <w:u w:val="none" w:color="auto"/>
                <w:lang w:val="en-US" w:eastAsia="zh-CN"/>
              </w:rPr>
              <w:t>平均</w:t>
            </w:r>
          </w:p>
        </w:tc>
      </w:tr>
      <w:tr w14:paraId="23767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noWrap w:val="0"/>
            <w:vAlign w:val="center"/>
          </w:tcPr>
          <w:p w14:paraId="7D90941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lang w:eastAsia="zh-CN"/>
              </w:rPr>
            </w:pPr>
            <w:r>
              <w:rPr>
                <w:rFonts w:hint="default" w:ascii="Times New Roman" w:hAnsi="Times New Roman" w:eastAsia="宋体" w:cs="Times New Roman"/>
                <w:color w:val="auto"/>
                <w:sz w:val="20"/>
                <w:szCs w:val="20"/>
                <w:highlight w:val="none"/>
                <w:u w:val="none" w:color="auto"/>
              </w:rPr>
              <w:t>温度</w:t>
            </w:r>
            <w:r>
              <w:rPr>
                <w:rFonts w:hint="default" w:ascii="Times New Roman" w:hAnsi="Times New Roman" w:eastAsia="宋体" w:cs="Times New Roman"/>
                <w:color w:val="auto"/>
                <w:sz w:val="20"/>
                <w:szCs w:val="20"/>
                <w:highlight w:val="none"/>
                <w:u w:val="none" w:color="auto"/>
                <w:lang w:eastAsia="zh-CN"/>
              </w:rPr>
              <w:t>（</w:t>
            </w:r>
            <w:r>
              <w:rPr>
                <w:rFonts w:hint="default" w:ascii="Times New Roman" w:hAnsi="Times New Roman" w:eastAsia="宋体" w:cs="Times New Roman"/>
                <w:color w:val="auto"/>
                <w:sz w:val="20"/>
                <w:szCs w:val="20"/>
                <w:highlight w:val="none"/>
                <w:u w:val="none" w:color="auto"/>
              </w:rPr>
              <w:t>℃</w:t>
            </w:r>
            <w:r>
              <w:rPr>
                <w:rFonts w:hint="default" w:ascii="Times New Roman" w:hAnsi="Times New Roman" w:eastAsia="宋体" w:cs="Times New Roman"/>
                <w:color w:val="auto"/>
                <w:sz w:val="20"/>
                <w:szCs w:val="20"/>
                <w:highlight w:val="none"/>
                <w:u w:val="none" w:color="auto"/>
                <w:lang w:eastAsia="zh-CN"/>
              </w:rPr>
              <w:t>）</w:t>
            </w:r>
          </w:p>
        </w:tc>
        <w:tc>
          <w:tcPr>
            <w:tcW w:w="580" w:type="dxa"/>
            <w:noWrap w:val="0"/>
            <w:vAlign w:val="center"/>
          </w:tcPr>
          <w:p w14:paraId="385836F4">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4.9</w:t>
            </w:r>
          </w:p>
        </w:tc>
        <w:tc>
          <w:tcPr>
            <w:tcW w:w="585" w:type="dxa"/>
            <w:noWrap w:val="0"/>
            <w:vAlign w:val="center"/>
          </w:tcPr>
          <w:p w14:paraId="77E2CA64">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7.6</w:t>
            </w:r>
          </w:p>
        </w:tc>
        <w:tc>
          <w:tcPr>
            <w:tcW w:w="594" w:type="dxa"/>
            <w:noWrap w:val="0"/>
            <w:vAlign w:val="center"/>
          </w:tcPr>
          <w:p w14:paraId="2AECE9BF">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12.6</w:t>
            </w:r>
          </w:p>
        </w:tc>
        <w:tc>
          <w:tcPr>
            <w:tcW w:w="597" w:type="dxa"/>
            <w:noWrap w:val="0"/>
            <w:vAlign w:val="center"/>
          </w:tcPr>
          <w:p w14:paraId="00C7494C">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18.3</w:t>
            </w:r>
          </w:p>
        </w:tc>
        <w:tc>
          <w:tcPr>
            <w:tcW w:w="597" w:type="dxa"/>
            <w:noWrap w:val="0"/>
            <w:vAlign w:val="center"/>
          </w:tcPr>
          <w:p w14:paraId="3FE91C63">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22.7</w:t>
            </w:r>
          </w:p>
        </w:tc>
        <w:tc>
          <w:tcPr>
            <w:tcW w:w="597" w:type="dxa"/>
            <w:noWrap w:val="0"/>
            <w:vAlign w:val="center"/>
          </w:tcPr>
          <w:p w14:paraId="16924C75">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26.4</w:t>
            </w:r>
          </w:p>
        </w:tc>
        <w:tc>
          <w:tcPr>
            <w:tcW w:w="598" w:type="dxa"/>
            <w:noWrap w:val="0"/>
            <w:vAlign w:val="center"/>
          </w:tcPr>
          <w:p w14:paraId="4C60592C">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29.7</w:t>
            </w:r>
          </w:p>
        </w:tc>
        <w:tc>
          <w:tcPr>
            <w:tcW w:w="598" w:type="dxa"/>
            <w:noWrap w:val="0"/>
            <w:vAlign w:val="center"/>
          </w:tcPr>
          <w:p w14:paraId="19AB9CB8">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28.9</w:t>
            </w:r>
          </w:p>
        </w:tc>
        <w:tc>
          <w:tcPr>
            <w:tcW w:w="598" w:type="dxa"/>
            <w:noWrap w:val="0"/>
            <w:vAlign w:val="center"/>
          </w:tcPr>
          <w:p w14:paraId="473BF554">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24.5</w:t>
            </w:r>
          </w:p>
        </w:tc>
        <w:tc>
          <w:tcPr>
            <w:tcW w:w="598" w:type="dxa"/>
            <w:noWrap w:val="0"/>
            <w:vAlign w:val="center"/>
          </w:tcPr>
          <w:p w14:paraId="3C3FF12A">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18.8</w:t>
            </w:r>
          </w:p>
        </w:tc>
        <w:tc>
          <w:tcPr>
            <w:tcW w:w="598" w:type="dxa"/>
            <w:noWrap w:val="0"/>
            <w:vAlign w:val="center"/>
          </w:tcPr>
          <w:p w14:paraId="05E522FC">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13.2</w:t>
            </w:r>
          </w:p>
        </w:tc>
        <w:tc>
          <w:tcPr>
            <w:tcW w:w="583" w:type="dxa"/>
            <w:noWrap w:val="0"/>
            <w:vAlign w:val="center"/>
          </w:tcPr>
          <w:p w14:paraId="308BE018">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0"/>
                <w:szCs w:val="20"/>
                <w:highlight w:val="none"/>
                <w:u w:val="none" w:color="auto"/>
                <w:lang w:val="en-US" w:eastAsia="zh-CN" w:bidi="ar-SA"/>
              </w:rPr>
            </w:pPr>
            <w:r>
              <w:rPr>
                <w:rFonts w:hint="default" w:ascii="Times New Roman" w:hAnsi="Times New Roman" w:eastAsia="宋体" w:cs="Times New Roman"/>
                <w:color w:val="auto"/>
                <w:sz w:val="20"/>
                <w:szCs w:val="20"/>
                <w:highlight w:val="none"/>
                <w:u w:val="none" w:color="auto"/>
                <w:lang w:val="en-US" w:eastAsia="zh-CN"/>
              </w:rPr>
              <w:t>7.2</w:t>
            </w:r>
          </w:p>
        </w:tc>
        <w:tc>
          <w:tcPr>
            <w:tcW w:w="583" w:type="dxa"/>
            <w:noWrap w:val="0"/>
            <w:vAlign w:val="center"/>
          </w:tcPr>
          <w:p w14:paraId="504DE6FA">
            <w:pPr>
              <w:keepNext/>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0"/>
                <w:szCs w:val="20"/>
                <w:highlight w:val="none"/>
                <w:u w:val="none" w:color="auto"/>
                <w:lang w:val="en-US" w:eastAsia="zh-CN"/>
              </w:rPr>
            </w:pPr>
            <w:r>
              <w:rPr>
                <w:rFonts w:hint="default" w:ascii="Times New Roman" w:hAnsi="Times New Roman" w:eastAsia="宋体" w:cs="Times New Roman"/>
                <w:color w:val="auto"/>
                <w:sz w:val="20"/>
                <w:szCs w:val="20"/>
                <w:highlight w:val="none"/>
                <w:u w:val="none" w:color="auto"/>
                <w:lang w:val="en-US" w:eastAsia="zh-CN"/>
              </w:rPr>
              <w:fldChar w:fldCharType="begin"/>
            </w:r>
            <w:r>
              <w:rPr>
                <w:rFonts w:hint="default" w:ascii="Times New Roman" w:hAnsi="Times New Roman" w:eastAsia="宋体" w:cs="Times New Roman"/>
                <w:color w:val="auto"/>
                <w:sz w:val="20"/>
                <w:szCs w:val="20"/>
                <w:highlight w:val="none"/>
                <w:u w:val="none" w:color="auto"/>
                <w:lang w:val="en-US" w:eastAsia="zh-CN"/>
              </w:rPr>
              <w:instrText xml:space="preserve"> = average(B2:M2) \* MERGEFORMAT </w:instrText>
            </w:r>
            <w:r>
              <w:rPr>
                <w:rFonts w:hint="default" w:ascii="Times New Roman" w:hAnsi="Times New Roman" w:eastAsia="宋体" w:cs="Times New Roman"/>
                <w:color w:val="auto"/>
                <w:sz w:val="20"/>
                <w:szCs w:val="20"/>
                <w:highlight w:val="none"/>
                <w:u w:val="none" w:color="auto"/>
                <w:lang w:val="en-US" w:eastAsia="zh-CN"/>
              </w:rPr>
              <w:fldChar w:fldCharType="separate"/>
            </w:r>
            <w:r>
              <w:rPr>
                <w:rFonts w:hint="default" w:ascii="Times New Roman" w:hAnsi="Times New Roman" w:eastAsia="宋体" w:cs="Times New Roman"/>
                <w:color w:val="auto"/>
                <w:sz w:val="20"/>
                <w:szCs w:val="20"/>
                <w:highlight w:val="none"/>
                <w:u w:val="none" w:color="auto"/>
                <w:lang w:val="en-US" w:eastAsia="zh-CN"/>
              </w:rPr>
              <w:t>17.9</w:t>
            </w:r>
            <w:r>
              <w:rPr>
                <w:rFonts w:hint="default" w:ascii="Times New Roman" w:hAnsi="Times New Roman" w:eastAsia="宋体" w:cs="Times New Roman"/>
                <w:color w:val="auto"/>
                <w:sz w:val="20"/>
                <w:szCs w:val="20"/>
                <w:highlight w:val="none"/>
                <w:u w:val="none" w:color="auto"/>
                <w:lang w:val="en-US" w:eastAsia="zh-CN"/>
              </w:rPr>
              <w:fldChar w:fldCharType="end"/>
            </w:r>
          </w:p>
        </w:tc>
      </w:tr>
    </w:tbl>
    <w:p w14:paraId="1BD6F77D">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②平均风速</w:t>
      </w:r>
    </w:p>
    <w:p w14:paraId="3FEBFCBE">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2022年湘阴县风速大致在1.9～2.6m/s之间变化，平均风速为2.16m/s。</w:t>
      </w:r>
    </w:p>
    <w:p w14:paraId="43591F94">
      <w:pPr>
        <w:pStyle w:val="39"/>
        <w:bidi w:val="0"/>
        <w:rPr>
          <w:rFonts w:hint="default"/>
          <w:highlight w:val="none"/>
          <w:lang w:val="en-US" w:eastAsia="zh-CN"/>
        </w:rPr>
      </w:pPr>
      <w:r>
        <w:rPr>
          <w:rFonts w:hint="eastAsia"/>
          <w:highlight w:val="none"/>
          <w:lang w:val="en-US" w:eastAsia="zh-CN"/>
        </w:rPr>
        <w:t xml:space="preserve">表6.2-4 </w:t>
      </w:r>
      <w:r>
        <w:rPr>
          <w:rFonts w:hint="default"/>
          <w:highlight w:val="none"/>
          <w:lang w:val="en-US" w:eastAsia="zh-CN"/>
        </w:rPr>
        <w:t xml:space="preserve"> 2022年湘阴县年平均风速的月变化</w:t>
      </w:r>
    </w:p>
    <w:tbl>
      <w:tblPr>
        <w:tblStyle w:val="30"/>
        <w:tblW w:w="85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543"/>
        <w:gridCol w:w="543"/>
        <w:gridCol w:w="543"/>
        <w:gridCol w:w="543"/>
        <w:gridCol w:w="543"/>
        <w:gridCol w:w="543"/>
        <w:gridCol w:w="543"/>
        <w:gridCol w:w="543"/>
        <w:gridCol w:w="543"/>
        <w:gridCol w:w="622"/>
        <w:gridCol w:w="615"/>
        <w:gridCol w:w="623"/>
        <w:gridCol w:w="623"/>
      </w:tblGrid>
      <w:tr w14:paraId="06D44C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noWrap w:val="0"/>
            <w:vAlign w:val="center"/>
          </w:tcPr>
          <w:p w14:paraId="1DBD22C9">
            <w:pPr>
              <w:pStyle w:val="42"/>
              <w:keepNext w:val="0"/>
              <w:keepLines w:val="0"/>
              <w:suppressLineNumbers w:val="0"/>
              <w:bidi w:val="0"/>
              <w:spacing w:before="0" w:beforeAutospacing="0" w:after="0" w:afterAutospacing="0"/>
              <w:rPr>
                <w:rFonts w:hint="default"/>
                <w:highlight w:val="none"/>
              </w:rPr>
            </w:pPr>
            <w:r>
              <w:rPr>
                <w:rFonts w:hint="default"/>
                <w:highlight w:val="none"/>
              </w:rPr>
              <w:t>月份</w:t>
            </w:r>
          </w:p>
        </w:tc>
        <w:tc>
          <w:tcPr>
            <w:tcW w:w="543" w:type="dxa"/>
            <w:noWrap w:val="0"/>
            <w:vAlign w:val="center"/>
          </w:tcPr>
          <w:p w14:paraId="1330ABA7">
            <w:pPr>
              <w:pStyle w:val="42"/>
              <w:keepNext w:val="0"/>
              <w:keepLines w:val="0"/>
              <w:suppressLineNumbers w:val="0"/>
              <w:bidi w:val="0"/>
              <w:spacing w:before="0" w:beforeAutospacing="0" w:after="0" w:afterAutospacing="0"/>
              <w:rPr>
                <w:rFonts w:hint="default"/>
                <w:highlight w:val="none"/>
              </w:rPr>
            </w:pPr>
            <w:r>
              <w:rPr>
                <w:rFonts w:hint="default"/>
                <w:highlight w:val="none"/>
              </w:rPr>
              <w:t>1月</w:t>
            </w:r>
          </w:p>
        </w:tc>
        <w:tc>
          <w:tcPr>
            <w:tcW w:w="543" w:type="dxa"/>
            <w:noWrap w:val="0"/>
            <w:vAlign w:val="center"/>
          </w:tcPr>
          <w:p w14:paraId="04BAD399">
            <w:pPr>
              <w:pStyle w:val="42"/>
              <w:keepNext w:val="0"/>
              <w:keepLines w:val="0"/>
              <w:suppressLineNumbers w:val="0"/>
              <w:bidi w:val="0"/>
              <w:spacing w:before="0" w:beforeAutospacing="0" w:after="0" w:afterAutospacing="0"/>
              <w:rPr>
                <w:rFonts w:hint="default"/>
                <w:highlight w:val="none"/>
              </w:rPr>
            </w:pPr>
            <w:r>
              <w:rPr>
                <w:rFonts w:hint="default"/>
                <w:highlight w:val="none"/>
              </w:rPr>
              <w:t>2月</w:t>
            </w:r>
          </w:p>
        </w:tc>
        <w:tc>
          <w:tcPr>
            <w:tcW w:w="543" w:type="dxa"/>
            <w:noWrap w:val="0"/>
            <w:vAlign w:val="center"/>
          </w:tcPr>
          <w:p w14:paraId="4223A94B">
            <w:pPr>
              <w:pStyle w:val="42"/>
              <w:keepNext w:val="0"/>
              <w:keepLines w:val="0"/>
              <w:suppressLineNumbers w:val="0"/>
              <w:bidi w:val="0"/>
              <w:spacing w:before="0" w:beforeAutospacing="0" w:after="0" w:afterAutospacing="0"/>
              <w:rPr>
                <w:rFonts w:hint="default"/>
                <w:highlight w:val="none"/>
              </w:rPr>
            </w:pPr>
            <w:r>
              <w:rPr>
                <w:rFonts w:hint="default"/>
                <w:highlight w:val="none"/>
              </w:rPr>
              <w:t>3月</w:t>
            </w:r>
          </w:p>
        </w:tc>
        <w:tc>
          <w:tcPr>
            <w:tcW w:w="543" w:type="dxa"/>
            <w:noWrap w:val="0"/>
            <w:vAlign w:val="center"/>
          </w:tcPr>
          <w:p w14:paraId="5F065CB0">
            <w:pPr>
              <w:pStyle w:val="42"/>
              <w:keepNext w:val="0"/>
              <w:keepLines w:val="0"/>
              <w:suppressLineNumbers w:val="0"/>
              <w:bidi w:val="0"/>
              <w:spacing w:before="0" w:beforeAutospacing="0" w:after="0" w:afterAutospacing="0"/>
              <w:rPr>
                <w:rFonts w:hint="default"/>
                <w:highlight w:val="none"/>
              </w:rPr>
            </w:pPr>
            <w:r>
              <w:rPr>
                <w:rFonts w:hint="default"/>
                <w:highlight w:val="none"/>
              </w:rPr>
              <w:t>4月</w:t>
            </w:r>
          </w:p>
        </w:tc>
        <w:tc>
          <w:tcPr>
            <w:tcW w:w="543" w:type="dxa"/>
            <w:noWrap w:val="0"/>
            <w:vAlign w:val="center"/>
          </w:tcPr>
          <w:p w14:paraId="782032A1">
            <w:pPr>
              <w:pStyle w:val="42"/>
              <w:keepNext w:val="0"/>
              <w:keepLines w:val="0"/>
              <w:suppressLineNumbers w:val="0"/>
              <w:bidi w:val="0"/>
              <w:spacing w:before="0" w:beforeAutospacing="0" w:after="0" w:afterAutospacing="0"/>
              <w:rPr>
                <w:rFonts w:hint="default"/>
                <w:highlight w:val="none"/>
              </w:rPr>
            </w:pPr>
            <w:r>
              <w:rPr>
                <w:rFonts w:hint="default"/>
                <w:highlight w:val="none"/>
              </w:rPr>
              <w:t>5月</w:t>
            </w:r>
          </w:p>
        </w:tc>
        <w:tc>
          <w:tcPr>
            <w:tcW w:w="543" w:type="dxa"/>
            <w:noWrap w:val="0"/>
            <w:vAlign w:val="center"/>
          </w:tcPr>
          <w:p w14:paraId="719E436A">
            <w:pPr>
              <w:pStyle w:val="42"/>
              <w:keepNext w:val="0"/>
              <w:keepLines w:val="0"/>
              <w:suppressLineNumbers w:val="0"/>
              <w:bidi w:val="0"/>
              <w:spacing w:before="0" w:beforeAutospacing="0" w:after="0" w:afterAutospacing="0"/>
              <w:rPr>
                <w:rFonts w:hint="default"/>
                <w:highlight w:val="none"/>
              </w:rPr>
            </w:pPr>
            <w:r>
              <w:rPr>
                <w:rFonts w:hint="default"/>
                <w:highlight w:val="none"/>
              </w:rPr>
              <w:t>6月</w:t>
            </w:r>
          </w:p>
        </w:tc>
        <w:tc>
          <w:tcPr>
            <w:tcW w:w="543" w:type="dxa"/>
            <w:noWrap w:val="0"/>
            <w:vAlign w:val="center"/>
          </w:tcPr>
          <w:p w14:paraId="6CFDDDA6">
            <w:pPr>
              <w:pStyle w:val="42"/>
              <w:keepNext w:val="0"/>
              <w:keepLines w:val="0"/>
              <w:suppressLineNumbers w:val="0"/>
              <w:bidi w:val="0"/>
              <w:spacing w:before="0" w:beforeAutospacing="0" w:after="0" w:afterAutospacing="0"/>
              <w:rPr>
                <w:rFonts w:hint="default"/>
                <w:highlight w:val="none"/>
              </w:rPr>
            </w:pPr>
            <w:r>
              <w:rPr>
                <w:rFonts w:hint="default"/>
                <w:highlight w:val="none"/>
              </w:rPr>
              <w:t>7月</w:t>
            </w:r>
          </w:p>
        </w:tc>
        <w:tc>
          <w:tcPr>
            <w:tcW w:w="543" w:type="dxa"/>
            <w:noWrap w:val="0"/>
            <w:vAlign w:val="center"/>
          </w:tcPr>
          <w:p w14:paraId="53F43592">
            <w:pPr>
              <w:pStyle w:val="42"/>
              <w:keepNext w:val="0"/>
              <w:keepLines w:val="0"/>
              <w:suppressLineNumbers w:val="0"/>
              <w:bidi w:val="0"/>
              <w:spacing w:before="0" w:beforeAutospacing="0" w:after="0" w:afterAutospacing="0"/>
              <w:rPr>
                <w:rFonts w:hint="default"/>
                <w:highlight w:val="none"/>
              </w:rPr>
            </w:pPr>
            <w:r>
              <w:rPr>
                <w:rFonts w:hint="default"/>
                <w:highlight w:val="none"/>
              </w:rPr>
              <w:t>8月</w:t>
            </w:r>
          </w:p>
        </w:tc>
        <w:tc>
          <w:tcPr>
            <w:tcW w:w="543" w:type="dxa"/>
            <w:noWrap w:val="0"/>
            <w:vAlign w:val="center"/>
          </w:tcPr>
          <w:p w14:paraId="177C1905">
            <w:pPr>
              <w:pStyle w:val="42"/>
              <w:keepNext w:val="0"/>
              <w:keepLines w:val="0"/>
              <w:suppressLineNumbers w:val="0"/>
              <w:bidi w:val="0"/>
              <w:spacing w:before="0" w:beforeAutospacing="0" w:after="0" w:afterAutospacing="0"/>
              <w:rPr>
                <w:rFonts w:hint="default"/>
                <w:highlight w:val="none"/>
              </w:rPr>
            </w:pPr>
            <w:r>
              <w:rPr>
                <w:rFonts w:hint="default"/>
                <w:highlight w:val="none"/>
              </w:rPr>
              <w:t>9月</w:t>
            </w:r>
          </w:p>
        </w:tc>
        <w:tc>
          <w:tcPr>
            <w:tcW w:w="622" w:type="dxa"/>
            <w:noWrap w:val="0"/>
            <w:vAlign w:val="center"/>
          </w:tcPr>
          <w:p w14:paraId="375EDE7F">
            <w:pPr>
              <w:pStyle w:val="42"/>
              <w:keepNext w:val="0"/>
              <w:keepLines w:val="0"/>
              <w:suppressLineNumbers w:val="0"/>
              <w:bidi w:val="0"/>
              <w:spacing w:before="0" w:beforeAutospacing="0" w:after="0" w:afterAutospacing="0"/>
              <w:rPr>
                <w:rFonts w:hint="default"/>
                <w:highlight w:val="none"/>
              </w:rPr>
            </w:pPr>
            <w:r>
              <w:rPr>
                <w:rFonts w:hint="default"/>
                <w:highlight w:val="none"/>
              </w:rPr>
              <w:t>10月</w:t>
            </w:r>
          </w:p>
        </w:tc>
        <w:tc>
          <w:tcPr>
            <w:tcW w:w="615" w:type="dxa"/>
            <w:noWrap w:val="0"/>
            <w:vAlign w:val="center"/>
          </w:tcPr>
          <w:p w14:paraId="7F6FFE41">
            <w:pPr>
              <w:pStyle w:val="42"/>
              <w:keepNext w:val="0"/>
              <w:keepLines w:val="0"/>
              <w:suppressLineNumbers w:val="0"/>
              <w:bidi w:val="0"/>
              <w:spacing w:before="0" w:beforeAutospacing="0" w:after="0" w:afterAutospacing="0"/>
              <w:rPr>
                <w:rFonts w:hint="default"/>
                <w:highlight w:val="none"/>
              </w:rPr>
            </w:pPr>
            <w:r>
              <w:rPr>
                <w:rFonts w:hint="default"/>
                <w:highlight w:val="none"/>
              </w:rPr>
              <w:t>11月</w:t>
            </w:r>
          </w:p>
        </w:tc>
        <w:tc>
          <w:tcPr>
            <w:tcW w:w="623" w:type="dxa"/>
            <w:noWrap w:val="0"/>
            <w:vAlign w:val="center"/>
          </w:tcPr>
          <w:p w14:paraId="2AC69244">
            <w:pPr>
              <w:pStyle w:val="42"/>
              <w:keepNext w:val="0"/>
              <w:keepLines w:val="0"/>
              <w:suppressLineNumbers w:val="0"/>
              <w:bidi w:val="0"/>
              <w:spacing w:before="0" w:beforeAutospacing="0" w:after="0" w:afterAutospacing="0"/>
              <w:rPr>
                <w:rFonts w:hint="default"/>
                <w:highlight w:val="none"/>
              </w:rPr>
            </w:pPr>
            <w:r>
              <w:rPr>
                <w:rFonts w:hint="default"/>
                <w:highlight w:val="none"/>
              </w:rPr>
              <w:t>12月</w:t>
            </w:r>
          </w:p>
        </w:tc>
        <w:tc>
          <w:tcPr>
            <w:tcW w:w="623" w:type="dxa"/>
            <w:noWrap w:val="0"/>
            <w:vAlign w:val="center"/>
          </w:tcPr>
          <w:p w14:paraId="22042F1A">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平均</w:t>
            </w:r>
          </w:p>
        </w:tc>
      </w:tr>
      <w:tr w14:paraId="529234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noWrap w:val="0"/>
            <w:vAlign w:val="center"/>
          </w:tcPr>
          <w:p w14:paraId="0FC2A02C">
            <w:pPr>
              <w:pStyle w:val="42"/>
              <w:keepNext w:val="0"/>
              <w:keepLines w:val="0"/>
              <w:suppressLineNumbers w:val="0"/>
              <w:bidi w:val="0"/>
              <w:spacing w:before="0" w:beforeAutospacing="0" w:after="0" w:afterAutospacing="0"/>
              <w:rPr>
                <w:rFonts w:hint="default"/>
                <w:highlight w:val="none"/>
              </w:rPr>
            </w:pPr>
            <w:r>
              <w:rPr>
                <w:rFonts w:hint="default"/>
                <w:highlight w:val="none"/>
              </w:rPr>
              <w:t>风速（m/s）</w:t>
            </w:r>
          </w:p>
        </w:tc>
        <w:tc>
          <w:tcPr>
            <w:tcW w:w="543" w:type="dxa"/>
            <w:noWrap w:val="0"/>
            <w:vAlign w:val="center"/>
          </w:tcPr>
          <w:p w14:paraId="6EFB793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w:t>
            </w:r>
          </w:p>
        </w:tc>
        <w:tc>
          <w:tcPr>
            <w:tcW w:w="543" w:type="dxa"/>
            <w:noWrap w:val="0"/>
            <w:vAlign w:val="center"/>
          </w:tcPr>
          <w:p w14:paraId="18DF51F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2.2</w:t>
            </w:r>
          </w:p>
        </w:tc>
        <w:tc>
          <w:tcPr>
            <w:tcW w:w="543" w:type="dxa"/>
            <w:noWrap w:val="0"/>
            <w:vAlign w:val="center"/>
          </w:tcPr>
          <w:p w14:paraId="0E2DD48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2.2</w:t>
            </w:r>
          </w:p>
        </w:tc>
        <w:tc>
          <w:tcPr>
            <w:tcW w:w="543" w:type="dxa"/>
            <w:noWrap w:val="0"/>
            <w:vAlign w:val="center"/>
          </w:tcPr>
          <w:p w14:paraId="530625D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2.3</w:t>
            </w:r>
          </w:p>
        </w:tc>
        <w:tc>
          <w:tcPr>
            <w:tcW w:w="543" w:type="dxa"/>
            <w:noWrap w:val="0"/>
            <w:vAlign w:val="center"/>
          </w:tcPr>
          <w:p w14:paraId="36FF363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2.2</w:t>
            </w:r>
          </w:p>
        </w:tc>
        <w:tc>
          <w:tcPr>
            <w:tcW w:w="543" w:type="dxa"/>
            <w:noWrap w:val="0"/>
            <w:vAlign w:val="center"/>
          </w:tcPr>
          <w:p w14:paraId="2582130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w:t>
            </w:r>
          </w:p>
        </w:tc>
        <w:tc>
          <w:tcPr>
            <w:tcW w:w="543" w:type="dxa"/>
            <w:noWrap w:val="0"/>
            <w:vAlign w:val="center"/>
          </w:tcPr>
          <w:p w14:paraId="2021C48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2.6</w:t>
            </w:r>
          </w:p>
        </w:tc>
        <w:tc>
          <w:tcPr>
            <w:tcW w:w="543" w:type="dxa"/>
            <w:noWrap w:val="0"/>
            <w:vAlign w:val="center"/>
          </w:tcPr>
          <w:p w14:paraId="473F486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2.3</w:t>
            </w:r>
          </w:p>
        </w:tc>
        <w:tc>
          <w:tcPr>
            <w:tcW w:w="543" w:type="dxa"/>
            <w:noWrap w:val="0"/>
            <w:vAlign w:val="center"/>
          </w:tcPr>
          <w:p w14:paraId="6400751A">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w:t>
            </w:r>
          </w:p>
        </w:tc>
        <w:tc>
          <w:tcPr>
            <w:tcW w:w="622" w:type="dxa"/>
            <w:noWrap w:val="0"/>
            <w:vAlign w:val="center"/>
          </w:tcPr>
          <w:p w14:paraId="3562E11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w:t>
            </w:r>
          </w:p>
        </w:tc>
        <w:tc>
          <w:tcPr>
            <w:tcW w:w="615" w:type="dxa"/>
            <w:noWrap w:val="0"/>
            <w:vAlign w:val="center"/>
          </w:tcPr>
          <w:p w14:paraId="495A68F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1.9</w:t>
            </w:r>
          </w:p>
        </w:tc>
        <w:tc>
          <w:tcPr>
            <w:tcW w:w="623" w:type="dxa"/>
            <w:noWrap w:val="0"/>
            <w:vAlign w:val="center"/>
          </w:tcPr>
          <w:p w14:paraId="7D64DD9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w:t>
            </w:r>
          </w:p>
        </w:tc>
        <w:tc>
          <w:tcPr>
            <w:tcW w:w="623" w:type="dxa"/>
            <w:noWrap w:val="0"/>
            <w:vAlign w:val="center"/>
          </w:tcPr>
          <w:p w14:paraId="06F88DD6">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2.16</w:t>
            </w:r>
          </w:p>
        </w:tc>
      </w:tr>
    </w:tbl>
    <w:p w14:paraId="127F9D99">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③各季小时平均风速的日变化</w:t>
      </w:r>
    </w:p>
    <w:p w14:paraId="25911A6B">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从下表可知，2022年春季的小时平均风速大致在1.99~3.62m/s之间变化；夏季的小时平均风速大致在2.01~3.47m/s之间变化；秋季的小时平均风速大致在1.9~4.16m/s之间变化；冬季的小时平均风速大致在1.82~2.9m/s之间变化。</w:t>
      </w:r>
    </w:p>
    <w:p w14:paraId="38F33EE9">
      <w:pPr>
        <w:pStyle w:val="39"/>
        <w:bidi w:val="0"/>
        <w:rPr>
          <w:rFonts w:hint="default"/>
          <w:highlight w:val="none"/>
        </w:rPr>
      </w:pPr>
      <w:r>
        <w:rPr>
          <w:rFonts w:hint="default"/>
          <w:highlight w:val="none"/>
        </w:rPr>
        <w:t>表</w:t>
      </w:r>
      <w:r>
        <w:rPr>
          <w:rFonts w:hint="eastAsia"/>
          <w:highlight w:val="none"/>
          <w:lang w:val="en-US" w:eastAsia="zh-CN"/>
        </w:rPr>
        <w:t xml:space="preserve">6.2-5  </w:t>
      </w:r>
      <w:r>
        <w:rPr>
          <w:rFonts w:hint="default"/>
          <w:highlight w:val="none"/>
        </w:rPr>
        <w:t>湘阴县2022年季小时平均风速变化</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573"/>
        <w:gridCol w:w="573"/>
        <w:gridCol w:w="573"/>
        <w:gridCol w:w="573"/>
        <w:gridCol w:w="573"/>
        <w:gridCol w:w="573"/>
        <w:gridCol w:w="573"/>
        <w:gridCol w:w="573"/>
        <w:gridCol w:w="574"/>
        <w:gridCol w:w="574"/>
        <w:gridCol w:w="574"/>
        <w:gridCol w:w="574"/>
      </w:tblGrid>
      <w:tr w14:paraId="512BBB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tcBorders>
              <w:tl2br w:val="single" w:color="auto" w:sz="4" w:space="0"/>
            </w:tcBorders>
            <w:noWrap/>
            <w:vAlign w:val="center"/>
          </w:tcPr>
          <w:p w14:paraId="727D01B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lang w:val="en-US" w:eastAsia="zh-CN"/>
              </w:rPr>
            </w:pPr>
            <w:r>
              <w:rPr>
                <w:rFonts w:hint="default" w:ascii="Times New Roman" w:hAnsi="Times New Roman" w:eastAsia="宋体" w:cs="Times New Roman"/>
                <w:color w:val="auto"/>
                <w:sz w:val="20"/>
                <w:szCs w:val="20"/>
                <w:highlight w:val="none"/>
                <w:u w:val="none" w:color="auto"/>
                <w:lang w:val="en-US" w:eastAsia="zh-CN"/>
              </w:rPr>
              <w:t xml:space="preserve">   </w:t>
            </w:r>
            <w:r>
              <w:rPr>
                <w:rFonts w:hint="default" w:ascii="Times New Roman" w:hAnsi="Times New Roman" w:eastAsia="宋体" w:cs="Times New Roman"/>
                <w:color w:val="auto"/>
                <w:sz w:val="20"/>
                <w:szCs w:val="20"/>
                <w:highlight w:val="none"/>
                <w:u w:val="none" w:color="auto"/>
              </w:rPr>
              <w:t>风速</w:t>
            </w:r>
            <w:r>
              <w:rPr>
                <w:rFonts w:hint="default" w:ascii="Times New Roman" w:hAnsi="Times New Roman" w:eastAsia="宋体" w:cs="Times New Roman"/>
                <w:color w:val="auto"/>
                <w:sz w:val="20"/>
                <w:szCs w:val="20"/>
                <w:highlight w:val="none"/>
                <w:u w:val="none" w:color="auto"/>
                <w:lang w:eastAsia="zh-CN"/>
              </w:rPr>
              <w:t>（</w:t>
            </w:r>
            <w:r>
              <w:rPr>
                <w:rFonts w:hint="default" w:ascii="Times New Roman" w:hAnsi="Times New Roman" w:eastAsia="宋体" w:cs="Times New Roman"/>
                <w:color w:val="auto"/>
                <w:sz w:val="20"/>
                <w:szCs w:val="20"/>
                <w:highlight w:val="none"/>
                <w:u w:val="none" w:color="auto"/>
              </w:rPr>
              <w:t>m/s</w:t>
            </w:r>
            <w:r>
              <w:rPr>
                <w:rFonts w:hint="default" w:ascii="Times New Roman" w:hAnsi="Times New Roman" w:eastAsia="宋体" w:cs="Times New Roman"/>
                <w:color w:val="auto"/>
                <w:sz w:val="20"/>
                <w:szCs w:val="20"/>
                <w:highlight w:val="none"/>
                <w:u w:val="none" w:color="auto"/>
                <w:lang w:eastAsia="zh-CN"/>
              </w:rPr>
              <w:t>）</w:t>
            </w:r>
          </w:p>
          <w:p w14:paraId="755B0CB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sz w:val="20"/>
                <w:szCs w:val="20"/>
                <w:highlight w:val="none"/>
                <w:u w:val="none" w:color="auto"/>
                <w:lang w:eastAsia="zh-CN"/>
              </w:rPr>
            </w:pPr>
            <w:r>
              <w:rPr>
                <w:rFonts w:hint="default" w:ascii="Times New Roman" w:hAnsi="Times New Roman" w:eastAsia="宋体" w:cs="Times New Roman"/>
                <w:color w:val="auto"/>
                <w:sz w:val="20"/>
                <w:szCs w:val="20"/>
                <w:highlight w:val="none"/>
                <w:u w:val="none" w:color="auto"/>
              </w:rPr>
              <w:t>小时</w:t>
            </w:r>
            <w:r>
              <w:rPr>
                <w:rFonts w:hint="default" w:ascii="Times New Roman" w:hAnsi="Times New Roman" w:eastAsia="宋体" w:cs="Times New Roman"/>
                <w:color w:val="auto"/>
                <w:sz w:val="20"/>
                <w:szCs w:val="20"/>
                <w:highlight w:val="none"/>
                <w:u w:val="none" w:color="auto"/>
                <w:lang w:eastAsia="zh-CN"/>
              </w:rPr>
              <w:t>（</w:t>
            </w:r>
            <w:r>
              <w:rPr>
                <w:rFonts w:hint="default" w:ascii="Times New Roman" w:hAnsi="Times New Roman" w:eastAsia="宋体" w:cs="Times New Roman"/>
                <w:color w:val="auto"/>
                <w:sz w:val="20"/>
                <w:szCs w:val="20"/>
                <w:highlight w:val="none"/>
                <w:u w:val="none" w:color="auto"/>
              </w:rPr>
              <w:t>h</w:t>
            </w:r>
            <w:r>
              <w:rPr>
                <w:rFonts w:hint="default" w:ascii="Times New Roman" w:hAnsi="Times New Roman" w:eastAsia="宋体" w:cs="Times New Roman"/>
                <w:color w:val="auto"/>
                <w:sz w:val="20"/>
                <w:szCs w:val="20"/>
                <w:highlight w:val="none"/>
                <w:u w:val="none" w:color="auto"/>
                <w:lang w:eastAsia="zh-CN"/>
              </w:rPr>
              <w:t>）</w:t>
            </w:r>
          </w:p>
        </w:tc>
        <w:tc>
          <w:tcPr>
            <w:tcW w:w="336" w:type="pct"/>
            <w:noWrap/>
            <w:vAlign w:val="center"/>
          </w:tcPr>
          <w:p w14:paraId="2D387C8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w:t>
            </w:r>
          </w:p>
        </w:tc>
        <w:tc>
          <w:tcPr>
            <w:tcW w:w="336" w:type="pct"/>
            <w:noWrap/>
            <w:vAlign w:val="center"/>
          </w:tcPr>
          <w:p w14:paraId="7A4374B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w:t>
            </w:r>
          </w:p>
        </w:tc>
        <w:tc>
          <w:tcPr>
            <w:tcW w:w="336" w:type="pct"/>
            <w:noWrap/>
            <w:vAlign w:val="center"/>
          </w:tcPr>
          <w:p w14:paraId="0164AD4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3</w:t>
            </w:r>
          </w:p>
        </w:tc>
        <w:tc>
          <w:tcPr>
            <w:tcW w:w="336" w:type="pct"/>
            <w:noWrap/>
            <w:vAlign w:val="center"/>
          </w:tcPr>
          <w:p w14:paraId="3F735D3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4</w:t>
            </w:r>
          </w:p>
        </w:tc>
        <w:tc>
          <w:tcPr>
            <w:tcW w:w="336" w:type="pct"/>
            <w:noWrap/>
            <w:vAlign w:val="center"/>
          </w:tcPr>
          <w:p w14:paraId="745668B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5</w:t>
            </w:r>
          </w:p>
        </w:tc>
        <w:tc>
          <w:tcPr>
            <w:tcW w:w="336" w:type="pct"/>
            <w:noWrap/>
            <w:vAlign w:val="center"/>
          </w:tcPr>
          <w:p w14:paraId="5D18DBE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6</w:t>
            </w:r>
          </w:p>
        </w:tc>
        <w:tc>
          <w:tcPr>
            <w:tcW w:w="336" w:type="pct"/>
            <w:noWrap/>
            <w:vAlign w:val="center"/>
          </w:tcPr>
          <w:p w14:paraId="32AE89B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7</w:t>
            </w:r>
          </w:p>
        </w:tc>
        <w:tc>
          <w:tcPr>
            <w:tcW w:w="336" w:type="pct"/>
            <w:noWrap/>
            <w:vAlign w:val="center"/>
          </w:tcPr>
          <w:p w14:paraId="0212781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8</w:t>
            </w:r>
          </w:p>
        </w:tc>
        <w:tc>
          <w:tcPr>
            <w:tcW w:w="336" w:type="pct"/>
            <w:noWrap/>
            <w:vAlign w:val="center"/>
          </w:tcPr>
          <w:p w14:paraId="0FDD349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9</w:t>
            </w:r>
          </w:p>
        </w:tc>
        <w:tc>
          <w:tcPr>
            <w:tcW w:w="336" w:type="pct"/>
            <w:noWrap/>
            <w:vAlign w:val="center"/>
          </w:tcPr>
          <w:p w14:paraId="74DB167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10</w:t>
            </w:r>
          </w:p>
        </w:tc>
        <w:tc>
          <w:tcPr>
            <w:tcW w:w="336" w:type="pct"/>
            <w:noWrap/>
            <w:vAlign w:val="center"/>
          </w:tcPr>
          <w:p w14:paraId="048D7AD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11</w:t>
            </w:r>
          </w:p>
        </w:tc>
        <w:tc>
          <w:tcPr>
            <w:tcW w:w="336" w:type="pct"/>
            <w:noWrap/>
            <w:vAlign w:val="center"/>
          </w:tcPr>
          <w:p w14:paraId="1D76745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12</w:t>
            </w:r>
          </w:p>
        </w:tc>
      </w:tr>
      <w:tr w14:paraId="2F2AF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663A714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春季</w:t>
            </w:r>
          </w:p>
        </w:tc>
        <w:tc>
          <w:tcPr>
            <w:tcW w:w="336" w:type="pct"/>
            <w:noWrap/>
            <w:vAlign w:val="center"/>
          </w:tcPr>
          <w:p w14:paraId="259207C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2.24</w:t>
            </w:r>
          </w:p>
        </w:tc>
        <w:tc>
          <w:tcPr>
            <w:tcW w:w="336" w:type="pct"/>
            <w:noWrap/>
            <w:vAlign w:val="center"/>
          </w:tcPr>
          <w:p w14:paraId="26411415">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2.31</w:t>
            </w:r>
          </w:p>
        </w:tc>
        <w:tc>
          <w:tcPr>
            <w:tcW w:w="336" w:type="pct"/>
            <w:noWrap/>
            <w:vAlign w:val="center"/>
          </w:tcPr>
          <w:p w14:paraId="7EEBF10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2.18</w:t>
            </w:r>
          </w:p>
        </w:tc>
        <w:tc>
          <w:tcPr>
            <w:tcW w:w="336" w:type="pct"/>
            <w:noWrap/>
            <w:vAlign w:val="center"/>
          </w:tcPr>
          <w:p w14:paraId="0E71F84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2.11</w:t>
            </w:r>
          </w:p>
        </w:tc>
        <w:tc>
          <w:tcPr>
            <w:tcW w:w="336" w:type="pct"/>
            <w:noWrap/>
            <w:vAlign w:val="center"/>
          </w:tcPr>
          <w:p w14:paraId="38864AC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2.15</w:t>
            </w:r>
          </w:p>
        </w:tc>
        <w:tc>
          <w:tcPr>
            <w:tcW w:w="336" w:type="pct"/>
            <w:noWrap/>
            <w:vAlign w:val="center"/>
          </w:tcPr>
          <w:p w14:paraId="00EDDF25">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2.03</w:t>
            </w:r>
          </w:p>
        </w:tc>
        <w:tc>
          <w:tcPr>
            <w:tcW w:w="336" w:type="pct"/>
            <w:noWrap/>
            <w:vAlign w:val="center"/>
          </w:tcPr>
          <w:p w14:paraId="5734C0D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1.99</w:t>
            </w:r>
          </w:p>
        </w:tc>
        <w:tc>
          <w:tcPr>
            <w:tcW w:w="336" w:type="pct"/>
            <w:noWrap/>
            <w:vAlign w:val="center"/>
          </w:tcPr>
          <w:p w14:paraId="6B4EE1A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2.16</w:t>
            </w:r>
          </w:p>
        </w:tc>
        <w:tc>
          <w:tcPr>
            <w:tcW w:w="336" w:type="pct"/>
            <w:noWrap/>
            <w:vAlign w:val="center"/>
          </w:tcPr>
          <w:p w14:paraId="5F6CAF0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2.46</w:t>
            </w:r>
          </w:p>
        </w:tc>
        <w:tc>
          <w:tcPr>
            <w:tcW w:w="336" w:type="pct"/>
            <w:noWrap/>
            <w:vAlign w:val="center"/>
          </w:tcPr>
          <w:p w14:paraId="27649FA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2.87</w:t>
            </w:r>
          </w:p>
        </w:tc>
        <w:tc>
          <w:tcPr>
            <w:tcW w:w="336" w:type="pct"/>
            <w:noWrap/>
            <w:vAlign w:val="center"/>
          </w:tcPr>
          <w:p w14:paraId="2B4C61F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w:t>
            </w:r>
          </w:p>
        </w:tc>
        <w:tc>
          <w:tcPr>
            <w:tcW w:w="336" w:type="pct"/>
            <w:noWrap/>
            <w:vAlign w:val="center"/>
          </w:tcPr>
          <w:p w14:paraId="330DEBE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3.12</w:t>
            </w:r>
          </w:p>
        </w:tc>
      </w:tr>
      <w:tr w14:paraId="6073A0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960" w:type="pct"/>
            <w:noWrap/>
            <w:vAlign w:val="center"/>
          </w:tcPr>
          <w:p w14:paraId="30831024">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夏季</w:t>
            </w:r>
          </w:p>
        </w:tc>
        <w:tc>
          <w:tcPr>
            <w:tcW w:w="336" w:type="pct"/>
            <w:noWrap/>
            <w:vAlign w:val="center"/>
          </w:tcPr>
          <w:p w14:paraId="033FD53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2.11</w:t>
            </w:r>
          </w:p>
        </w:tc>
        <w:tc>
          <w:tcPr>
            <w:tcW w:w="336" w:type="pct"/>
            <w:noWrap/>
            <w:vAlign w:val="center"/>
          </w:tcPr>
          <w:p w14:paraId="38E874B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2.17</w:t>
            </w:r>
          </w:p>
        </w:tc>
        <w:tc>
          <w:tcPr>
            <w:tcW w:w="336" w:type="pct"/>
            <w:noWrap/>
            <w:vAlign w:val="center"/>
          </w:tcPr>
          <w:p w14:paraId="3191AE9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w:t>
            </w:r>
          </w:p>
        </w:tc>
        <w:tc>
          <w:tcPr>
            <w:tcW w:w="336" w:type="pct"/>
            <w:noWrap/>
            <w:vAlign w:val="center"/>
          </w:tcPr>
          <w:p w14:paraId="5254498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2.25</w:t>
            </w:r>
          </w:p>
        </w:tc>
        <w:tc>
          <w:tcPr>
            <w:tcW w:w="336" w:type="pct"/>
            <w:noWrap/>
            <w:vAlign w:val="center"/>
          </w:tcPr>
          <w:p w14:paraId="4478C2D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2.29</w:t>
            </w:r>
          </w:p>
        </w:tc>
        <w:tc>
          <w:tcPr>
            <w:tcW w:w="336" w:type="pct"/>
            <w:noWrap/>
            <w:vAlign w:val="center"/>
          </w:tcPr>
          <w:p w14:paraId="3C1B700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2.41</w:t>
            </w:r>
          </w:p>
        </w:tc>
        <w:tc>
          <w:tcPr>
            <w:tcW w:w="336" w:type="pct"/>
            <w:noWrap/>
            <w:vAlign w:val="center"/>
          </w:tcPr>
          <w:p w14:paraId="5068C48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2.48</w:t>
            </w:r>
          </w:p>
        </w:tc>
        <w:tc>
          <w:tcPr>
            <w:tcW w:w="336" w:type="pct"/>
            <w:noWrap/>
            <w:vAlign w:val="center"/>
          </w:tcPr>
          <w:p w14:paraId="6948864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2.82</w:t>
            </w:r>
          </w:p>
        </w:tc>
        <w:tc>
          <w:tcPr>
            <w:tcW w:w="336" w:type="pct"/>
            <w:noWrap/>
            <w:vAlign w:val="center"/>
          </w:tcPr>
          <w:p w14:paraId="1AAA9B55">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3.47</w:t>
            </w:r>
          </w:p>
        </w:tc>
        <w:tc>
          <w:tcPr>
            <w:tcW w:w="336" w:type="pct"/>
            <w:noWrap/>
            <w:vAlign w:val="center"/>
          </w:tcPr>
          <w:p w14:paraId="403332C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3.46</w:t>
            </w:r>
          </w:p>
        </w:tc>
        <w:tc>
          <w:tcPr>
            <w:tcW w:w="336" w:type="pct"/>
            <w:noWrap/>
            <w:vAlign w:val="center"/>
          </w:tcPr>
          <w:p w14:paraId="341804A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3.37</w:t>
            </w:r>
          </w:p>
        </w:tc>
        <w:tc>
          <w:tcPr>
            <w:tcW w:w="336" w:type="pct"/>
            <w:noWrap/>
            <w:vAlign w:val="center"/>
          </w:tcPr>
          <w:p w14:paraId="69C99FA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3.35</w:t>
            </w:r>
          </w:p>
        </w:tc>
      </w:tr>
      <w:tr w14:paraId="358A3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27BF3314">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秋季</w:t>
            </w:r>
          </w:p>
        </w:tc>
        <w:tc>
          <w:tcPr>
            <w:tcW w:w="336" w:type="pct"/>
            <w:noWrap/>
            <w:vAlign w:val="center"/>
          </w:tcPr>
          <w:p w14:paraId="66BC315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w:t>
            </w:r>
          </w:p>
        </w:tc>
        <w:tc>
          <w:tcPr>
            <w:tcW w:w="336" w:type="pct"/>
            <w:noWrap/>
            <w:vAlign w:val="center"/>
          </w:tcPr>
          <w:p w14:paraId="0877F59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2.05</w:t>
            </w:r>
          </w:p>
        </w:tc>
        <w:tc>
          <w:tcPr>
            <w:tcW w:w="336" w:type="pct"/>
            <w:noWrap/>
            <w:vAlign w:val="center"/>
          </w:tcPr>
          <w:p w14:paraId="5C77CF3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w:t>
            </w:r>
          </w:p>
        </w:tc>
        <w:tc>
          <w:tcPr>
            <w:tcW w:w="336" w:type="pct"/>
            <w:noWrap/>
            <w:vAlign w:val="center"/>
          </w:tcPr>
          <w:p w14:paraId="46BFC514">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2.04</w:t>
            </w:r>
          </w:p>
        </w:tc>
        <w:tc>
          <w:tcPr>
            <w:tcW w:w="336" w:type="pct"/>
            <w:noWrap/>
            <w:vAlign w:val="center"/>
          </w:tcPr>
          <w:p w14:paraId="6DC4934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1.96</w:t>
            </w:r>
          </w:p>
        </w:tc>
        <w:tc>
          <w:tcPr>
            <w:tcW w:w="336" w:type="pct"/>
            <w:noWrap/>
            <w:vAlign w:val="center"/>
          </w:tcPr>
          <w:p w14:paraId="57CC6D2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1.94</w:t>
            </w:r>
          </w:p>
        </w:tc>
        <w:tc>
          <w:tcPr>
            <w:tcW w:w="336" w:type="pct"/>
            <w:noWrap/>
            <w:vAlign w:val="center"/>
          </w:tcPr>
          <w:p w14:paraId="1179F6B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w:t>
            </w:r>
          </w:p>
        </w:tc>
        <w:tc>
          <w:tcPr>
            <w:tcW w:w="336" w:type="pct"/>
            <w:noWrap/>
            <w:vAlign w:val="center"/>
          </w:tcPr>
          <w:p w14:paraId="0F65E9B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2.02</w:t>
            </w:r>
          </w:p>
        </w:tc>
        <w:tc>
          <w:tcPr>
            <w:tcW w:w="336" w:type="pct"/>
            <w:noWrap/>
            <w:vAlign w:val="center"/>
          </w:tcPr>
          <w:p w14:paraId="4B41E64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2.55</w:t>
            </w:r>
          </w:p>
        </w:tc>
        <w:tc>
          <w:tcPr>
            <w:tcW w:w="336" w:type="pct"/>
            <w:noWrap/>
            <w:vAlign w:val="center"/>
          </w:tcPr>
          <w:p w14:paraId="02AFB68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2.75</w:t>
            </w:r>
          </w:p>
        </w:tc>
        <w:tc>
          <w:tcPr>
            <w:tcW w:w="336" w:type="pct"/>
            <w:noWrap/>
            <w:vAlign w:val="center"/>
          </w:tcPr>
          <w:p w14:paraId="1BEDD79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3.09</w:t>
            </w:r>
          </w:p>
        </w:tc>
        <w:tc>
          <w:tcPr>
            <w:tcW w:w="336" w:type="pct"/>
            <w:noWrap/>
            <w:vAlign w:val="center"/>
          </w:tcPr>
          <w:p w14:paraId="2CCBE7B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3.47</w:t>
            </w:r>
          </w:p>
        </w:tc>
      </w:tr>
      <w:tr w14:paraId="0A7F6E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67A9453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冬季</w:t>
            </w:r>
          </w:p>
        </w:tc>
        <w:tc>
          <w:tcPr>
            <w:tcW w:w="336" w:type="pct"/>
            <w:noWrap/>
            <w:vAlign w:val="center"/>
          </w:tcPr>
          <w:p w14:paraId="55102E3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2.14</w:t>
            </w:r>
          </w:p>
        </w:tc>
        <w:tc>
          <w:tcPr>
            <w:tcW w:w="336" w:type="pct"/>
            <w:noWrap/>
            <w:vAlign w:val="center"/>
          </w:tcPr>
          <w:p w14:paraId="17E6DA4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2.13</w:t>
            </w:r>
          </w:p>
        </w:tc>
        <w:tc>
          <w:tcPr>
            <w:tcW w:w="336" w:type="pct"/>
            <w:noWrap/>
            <w:vAlign w:val="center"/>
          </w:tcPr>
          <w:p w14:paraId="5B4F51D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2.13</w:t>
            </w:r>
          </w:p>
        </w:tc>
        <w:tc>
          <w:tcPr>
            <w:tcW w:w="336" w:type="pct"/>
            <w:noWrap/>
            <w:vAlign w:val="center"/>
          </w:tcPr>
          <w:p w14:paraId="213E406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2.07</w:t>
            </w:r>
          </w:p>
        </w:tc>
        <w:tc>
          <w:tcPr>
            <w:tcW w:w="336" w:type="pct"/>
            <w:noWrap/>
            <w:vAlign w:val="center"/>
          </w:tcPr>
          <w:p w14:paraId="784175F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2.17</w:t>
            </w:r>
          </w:p>
        </w:tc>
        <w:tc>
          <w:tcPr>
            <w:tcW w:w="336" w:type="pct"/>
            <w:noWrap/>
            <w:vAlign w:val="center"/>
          </w:tcPr>
          <w:p w14:paraId="1B0C3B3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1.97</w:t>
            </w:r>
          </w:p>
        </w:tc>
        <w:tc>
          <w:tcPr>
            <w:tcW w:w="336" w:type="pct"/>
            <w:noWrap/>
            <w:vAlign w:val="center"/>
          </w:tcPr>
          <w:p w14:paraId="7EDA43F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1.84</w:t>
            </w:r>
          </w:p>
        </w:tc>
        <w:tc>
          <w:tcPr>
            <w:tcW w:w="336" w:type="pct"/>
            <w:noWrap/>
            <w:vAlign w:val="center"/>
          </w:tcPr>
          <w:p w14:paraId="791AE4B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1.82</w:t>
            </w:r>
          </w:p>
        </w:tc>
        <w:tc>
          <w:tcPr>
            <w:tcW w:w="336" w:type="pct"/>
            <w:noWrap/>
            <w:vAlign w:val="center"/>
          </w:tcPr>
          <w:p w14:paraId="0075D6B4">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1.99</w:t>
            </w:r>
          </w:p>
        </w:tc>
        <w:tc>
          <w:tcPr>
            <w:tcW w:w="336" w:type="pct"/>
            <w:noWrap/>
            <w:vAlign w:val="center"/>
          </w:tcPr>
          <w:p w14:paraId="22638F7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2.12</w:t>
            </w:r>
          </w:p>
        </w:tc>
        <w:tc>
          <w:tcPr>
            <w:tcW w:w="336" w:type="pct"/>
            <w:noWrap/>
            <w:vAlign w:val="center"/>
          </w:tcPr>
          <w:p w14:paraId="648D063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2.34</w:t>
            </w:r>
          </w:p>
        </w:tc>
        <w:tc>
          <w:tcPr>
            <w:tcW w:w="336" w:type="pct"/>
            <w:noWrap/>
            <w:vAlign w:val="center"/>
          </w:tcPr>
          <w:p w14:paraId="5C9797B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2.6</w:t>
            </w:r>
          </w:p>
        </w:tc>
      </w:tr>
      <w:tr w14:paraId="2400C0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tcBorders>
              <w:tl2br w:val="single" w:color="auto" w:sz="4" w:space="0"/>
            </w:tcBorders>
            <w:noWrap/>
            <w:vAlign w:val="center"/>
          </w:tcPr>
          <w:p w14:paraId="61957FD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lang w:eastAsia="zh-CN"/>
              </w:rPr>
            </w:pPr>
            <w:r>
              <w:rPr>
                <w:rFonts w:hint="default" w:ascii="Times New Roman" w:hAnsi="Times New Roman" w:eastAsia="宋体" w:cs="Times New Roman"/>
                <w:color w:val="auto"/>
                <w:sz w:val="20"/>
                <w:szCs w:val="20"/>
                <w:highlight w:val="none"/>
                <w:u w:val="none" w:color="auto"/>
                <w:lang w:val="en-US" w:eastAsia="zh-CN"/>
              </w:rPr>
              <w:t xml:space="preserve">   </w:t>
            </w:r>
            <w:r>
              <w:rPr>
                <w:rFonts w:hint="default" w:ascii="Times New Roman" w:hAnsi="Times New Roman" w:eastAsia="宋体" w:cs="Times New Roman"/>
                <w:color w:val="auto"/>
                <w:sz w:val="20"/>
                <w:szCs w:val="20"/>
                <w:highlight w:val="none"/>
                <w:u w:val="none" w:color="auto"/>
              </w:rPr>
              <w:t>风速</w:t>
            </w:r>
            <w:r>
              <w:rPr>
                <w:rFonts w:hint="default" w:ascii="Times New Roman" w:hAnsi="Times New Roman" w:eastAsia="宋体" w:cs="Times New Roman"/>
                <w:color w:val="auto"/>
                <w:sz w:val="20"/>
                <w:szCs w:val="20"/>
                <w:highlight w:val="none"/>
                <w:u w:val="none" w:color="auto"/>
                <w:lang w:eastAsia="zh-CN"/>
              </w:rPr>
              <w:t>（</w:t>
            </w:r>
            <w:r>
              <w:rPr>
                <w:rFonts w:hint="default" w:ascii="Times New Roman" w:hAnsi="Times New Roman" w:eastAsia="宋体" w:cs="Times New Roman"/>
                <w:color w:val="auto"/>
                <w:sz w:val="20"/>
                <w:szCs w:val="20"/>
                <w:highlight w:val="none"/>
                <w:u w:val="none" w:color="auto"/>
              </w:rPr>
              <w:t>m/s</w:t>
            </w:r>
            <w:r>
              <w:rPr>
                <w:rFonts w:hint="default" w:ascii="Times New Roman" w:hAnsi="Times New Roman" w:eastAsia="宋体" w:cs="Times New Roman"/>
                <w:color w:val="auto"/>
                <w:sz w:val="20"/>
                <w:szCs w:val="20"/>
                <w:highlight w:val="none"/>
                <w:u w:val="none" w:color="auto"/>
                <w:lang w:eastAsia="zh-CN"/>
              </w:rPr>
              <w:t>）</w:t>
            </w:r>
          </w:p>
          <w:p w14:paraId="0B58744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sz w:val="20"/>
                <w:szCs w:val="20"/>
                <w:highlight w:val="none"/>
                <w:u w:val="none" w:color="auto"/>
                <w:lang w:eastAsia="zh-CN"/>
              </w:rPr>
            </w:pPr>
            <w:r>
              <w:rPr>
                <w:rFonts w:hint="default" w:ascii="Times New Roman" w:hAnsi="Times New Roman" w:eastAsia="宋体" w:cs="Times New Roman"/>
                <w:color w:val="auto"/>
                <w:sz w:val="20"/>
                <w:szCs w:val="20"/>
                <w:highlight w:val="none"/>
                <w:u w:val="none" w:color="auto"/>
              </w:rPr>
              <w:t>小时</w:t>
            </w:r>
            <w:r>
              <w:rPr>
                <w:rFonts w:hint="default" w:ascii="Times New Roman" w:hAnsi="Times New Roman" w:eastAsia="宋体" w:cs="Times New Roman"/>
                <w:color w:val="auto"/>
                <w:sz w:val="20"/>
                <w:szCs w:val="20"/>
                <w:highlight w:val="none"/>
                <w:u w:val="none" w:color="auto"/>
                <w:lang w:eastAsia="zh-CN"/>
              </w:rPr>
              <w:t>（</w:t>
            </w:r>
            <w:r>
              <w:rPr>
                <w:rFonts w:hint="default" w:ascii="Times New Roman" w:hAnsi="Times New Roman" w:eastAsia="宋体" w:cs="Times New Roman"/>
                <w:color w:val="auto"/>
                <w:sz w:val="20"/>
                <w:szCs w:val="20"/>
                <w:highlight w:val="none"/>
                <w:u w:val="none" w:color="auto"/>
              </w:rPr>
              <w:t>h</w:t>
            </w:r>
            <w:r>
              <w:rPr>
                <w:rFonts w:hint="default" w:ascii="Times New Roman" w:hAnsi="Times New Roman" w:eastAsia="宋体" w:cs="Times New Roman"/>
                <w:color w:val="auto"/>
                <w:sz w:val="20"/>
                <w:szCs w:val="20"/>
                <w:highlight w:val="none"/>
                <w:u w:val="none" w:color="auto"/>
                <w:lang w:eastAsia="zh-CN"/>
              </w:rPr>
              <w:t>）</w:t>
            </w:r>
          </w:p>
        </w:tc>
        <w:tc>
          <w:tcPr>
            <w:tcW w:w="336" w:type="pct"/>
            <w:noWrap/>
            <w:vAlign w:val="center"/>
          </w:tcPr>
          <w:p w14:paraId="139525E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13</w:t>
            </w:r>
          </w:p>
        </w:tc>
        <w:tc>
          <w:tcPr>
            <w:tcW w:w="336" w:type="pct"/>
            <w:noWrap/>
            <w:vAlign w:val="center"/>
          </w:tcPr>
          <w:p w14:paraId="409D97E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14</w:t>
            </w:r>
          </w:p>
        </w:tc>
        <w:tc>
          <w:tcPr>
            <w:tcW w:w="336" w:type="pct"/>
            <w:noWrap/>
            <w:vAlign w:val="center"/>
          </w:tcPr>
          <w:p w14:paraId="734176D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15</w:t>
            </w:r>
          </w:p>
        </w:tc>
        <w:tc>
          <w:tcPr>
            <w:tcW w:w="336" w:type="pct"/>
            <w:noWrap/>
            <w:vAlign w:val="center"/>
          </w:tcPr>
          <w:p w14:paraId="5DCF814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16</w:t>
            </w:r>
          </w:p>
        </w:tc>
        <w:tc>
          <w:tcPr>
            <w:tcW w:w="336" w:type="pct"/>
            <w:noWrap/>
            <w:vAlign w:val="center"/>
          </w:tcPr>
          <w:p w14:paraId="3D6B2B7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17</w:t>
            </w:r>
          </w:p>
        </w:tc>
        <w:tc>
          <w:tcPr>
            <w:tcW w:w="336" w:type="pct"/>
            <w:noWrap/>
            <w:vAlign w:val="center"/>
          </w:tcPr>
          <w:p w14:paraId="346C36F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18</w:t>
            </w:r>
          </w:p>
        </w:tc>
        <w:tc>
          <w:tcPr>
            <w:tcW w:w="336" w:type="pct"/>
            <w:noWrap/>
            <w:vAlign w:val="center"/>
          </w:tcPr>
          <w:p w14:paraId="3FD155C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19</w:t>
            </w:r>
          </w:p>
        </w:tc>
        <w:tc>
          <w:tcPr>
            <w:tcW w:w="336" w:type="pct"/>
            <w:noWrap/>
            <w:vAlign w:val="center"/>
          </w:tcPr>
          <w:p w14:paraId="2901DE3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20</w:t>
            </w:r>
          </w:p>
        </w:tc>
        <w:tc>
          <w:tcPr>
            <w:tcW w:w="336" w:type="pct"/>
            <w:noWrap/>
            <w:vAlign w:val="center"/>
          </w:tcPr>
          <w:p w14:paraId="0C34CA7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21</w:t>
            </w:r>
          </w:p>
        </w:tc>
        <w:tc>
          <w:tcPr>
            <w:tcW w:w="336" w:type="pct"/>
            <w:noWrap/>
            <w:vAlign w:val="center"/>
          </w:tcPr>
          <w:p w14:paraId="41989C65">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22</w:t>
            </w:r>
          </w:p>
        </w:tc>
        <w:tc>
          <w:tcPr>
            <w:tcW w:w="336" w:type="pct"/>
            <w:noWrap/>
            <w:vAlign w:val="center"/>
          </w:tcPr>
          <w:p w14:paraId="1664B08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23</w:t>
            </w:r>
          </w:p>
        </w:tc>
        <w:tc>
          <w:tcPr>
            <w:tcW w:w="336" w:type="pct"/>
            <w:noWrap/>
            <w:vAlign w:val="center"/>
          </w:tcPr>
          <w:p w14:paraId="180EB1F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24</w:t>
            </w:r>
          </w:p>
        </w:tc>
      </w:tr>
      <w:tr w14:paraId="165FCD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1EB7E0E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春季</w:t>
            </w:r>
          </w:p>
        </w:tc>
        <w:tc>
          <w:tcPr>
            <w:tcW w:w="336" w:type="pct"/>
            <w:noWrap/>
            <w:vAlign w:val="center"/>
          </w:tcPr>
          <w:p w14:paraId="1970687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3.44</w:t>
            </w:r>
          </w:p>
        </w:tc>
        <w:tc>
          <w:tcPr>
            <w:tcW w:w="336" w:type="pct"/>
            <w:noWrap/>
            <w:vAlign w:val="center"/>
          </w:tcPr>
          <w:p w14:paraId="16D7C01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3.35</w:t>
            </w:r>
          </w:p>
        </w:tc>
        <w:tc>
          <w:tcPr>
            <w:tcW w:w="336" w:type="pct"/>
            <w:noWrap/>
            <w:vAlign w:val="center"/>
          </w:tcPr>
          <w:p w14:paraId="11D5CC24">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3.62</w:t>
            </w:r>
          </w:p>
        </w:tc>
        <w:tc>
          <w:tcPr>
            <w:tcW w:w="336" w:type="pct"/>
            <w:noWrap/>
            <w:vAlign w:val="center"/>
          </w:tcPr>
          <w:p w14:paraId="12E5E80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3.52</w:t>
            </w:r>
          </w:p>
        </w:tc>
        <w:tc>
          <w:tcPr>
            <w:tcW w:w="336" w:type="pct"/>
            <w:noWrap/>
            <w:vAlign w:val="center"/>
          </w:tcPr>
          <w:p w14:paraId="6E5FA22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3.17</w:t>
            </w:r>
          </w:p>
        </w:tc>
        <w:tc>
          <w:tcPr>
            <w:tcW w:w="336" w:type="pct"/>
            <w:noWrap/>
            <w:vAlign w:val="center"/>
          </w:tcPr>
          <w:p w14:paraId="779590A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2.84</w:t>
            </w:r>
          </w:p>
        </w:tc>
        <w:tc>
          <w:tcPr>
            <w:tcW w:w="336" w:type="pct"/>
            <w:noWrap/>
            <w:vAlign w:val="center"/>
          </w:tcPr>
          <w:p w14:paraId="101F8BE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2.44</w:t>
            </w:r>
          </w:p>
        </w:tc>
        <w:tc>
          <w:tcPr>
            <w:tcW w:w="336" w:type="pct"/>
            <w:noWrap/>
            <w:vAlign w:val="center"/>
          </w:tcPr>
          <w:p w14:paraId="1C50386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2.42</w:t>
            </w:r>
          </w:p>
        </w:tc>
        <w:tc>
          <w:tcPr>
            <w:tcW w:w="336" w:type="pct"/>
            <w:noWrap/>
            <w:vAlign w:val="center"/>
          </w:tcPr>
          <w:p w14:paraId="2B6D46E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2.39</w:t>
            </w:r>
          </w:p>
        </w:tc>
        <w:tc>
          <w:tcPr>
            <w:tcW w:w="336" w:type="pct"/>
            <w:noWrap/>
            <w:vAlign w:val="center"/>
          </w:tcPr>
          <w:p w14:paraId="02BC660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2.23</w:t>
            </w:r>
          </w:p>
        </w:tc>
        <w:tc>
          <w:tcPr>
            <w:tcW w:w="336" w:type="pct"/>
            <w:noWrap/>
            <w:vAlign w:val="center"/>
          </w:tcPr>
          <w:p w14:paraId="57F726A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2.37</w:t>
            </w:r>
          </w:p>
        </w:tc>
        <w:tc>
          <w:tcPr>
            <w:tcW w:w="336" w:type="pct"/>
            <w:noWrap/>
            <w:vAlign w:val="center"/>
          </w:tcPr>
          <w:p w14:paraId="1D89E77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2.37</w:t>
            </w:r>
          </w:p>
        </w:tc>
      </w:tr>
      <w:tr w14:paraId="3A38E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4CB87BC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夏季</w:t>
            </w:r>
          </w:p>
        </w:tc>
        <w:tc>
          <w:tcPr>
            <w:tcW w:w="336" w:type="pct"/>
            <w:noWrap/>
            <w:vAlign w:val="center"/>
          </w:tcPr>
          <w:p w14:paraId="34B8A88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3.36</w:t>
            </w:r>
          </w:p>
        </w:tc>
        <w:tc>
          <w:tcPr>
            <w:tcW w:w="336" w:type="pct"/>
            <w:noWrap/>
            <w:vAlign w:val="center"/>
          </w:tcPr>
          <w:p w14:paraId="3EC0F35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3.35</w:t>
            </w:r>
          </w:p>
        </w:tc>
        <w:tc>
          <w:tcPr>
            <w:tcW w:w="336" w:type="pct"/>
            <w:noWrap/>
            <w:vAlign w:val="center"/>
          </w:tcPr>
          <w:p w14:paraId="35F285F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3.41</w:t>
            </w:r>
          </w:p>
        </w:tc>
        <w:tc>
          <w:tcPr>
            <w:tcW w:w="336" w:type="pct"/>
            <w:noWrap/>
            <w:vAlign w:val="center"/>
          </w:tcPr>
          <w:p w14:paraId="4A4B048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3.46</w:t>
            </w:r>
          </w:p>
        </w:tc>
        <w:tc>
          <w:tcPr>
            <w:tcW w:w="336" w:type="pct"/>
            <w:noWrap/>
            <w:vAlign w:val="center"/>
          </w:tcPr>
          <w:p w14:paraId="4C88134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3.39</w:t>
            </w:r>
          </w:p>
        </w:tc>
        <w:tc>
          <w:tcPr>
            <w:tcW w:w="336" w:type="pct"/>
            <w:noWrap/>
            <w:vAlign w:val="center"/>
          </w:tcPr>
          <w:p w14:paraId="755FE0A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3.01</w:t>
            </w:r>
          </w:p>
        </w:tc>
        <w:tc>
          <w:tcPr>
            <w:tcW w:w="336" w:type="pct"/>
            <w:noWrap/>
            <w:vAlign w:val="center"/>
          </w:tcPr>
          <w:p w14:paraId="66990A7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2.41</w:t>
            </w:r>
          </w:p>
        </w:tc>
        <w:tc>
          <w:tcPr>
            <w:tcW w:w="336" w:type="pct"/>
            <w:noWrap/>
            <w:vAlign w:val="center"/>
          </w:tcPr>
          <w:p w14:paraId="63F772E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2.25</w:t>
            </w:r>
          </w:p>
        </w:tc>
        <w:tc>
          <w:tcPr>
            <w:tcW w:w="336" w:type="pct"/>
            <w:noWrap/>
            <w:vAlign w:val="center"/>
          </w:tcPr>
          <w:p w14:paraId="586C8BE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2.01</w:t>
            </w:r>
          </w:p>
        </w:tc>
        <w:tc>
          <w:tcPr>
            <w:tcW w:w="336" w:type="pct"/>
            <w:noWrap/>
            <w:vAlign w:val="center"/>
          </w:tcPr>
          <w:p w14:paraId="0AF869CD">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2.07</w:t>
            </w:r>
          </w:p>
        </w:tc>
        <w:tc>
          <w:tcPr>
            <w:tcW w:w="336" w:type="pct"/>
            <w:noWrap/>
            <w:vAlign w:val="center"/>
          </w:tcPr>
          <w:p w14:paraId="68599D6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2.06</w:t>
            </w:r>
          </w:p>
        </w:tc>
        <w:tc>
          <w:tcPr>
            <w:tcW w:w="336" w:type="pct"/>
            <w:noWrap/>
            <w:vAlign w:val="center"/>
          </w:tcPr>
          <w:p w14:paraId="04500D5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2.17</w:t>
            </w:r>
          </w:p>
        </w:tc>
      </w:tr>
      <w:tr w14:paraId="63074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5DF79D6F">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秋季</w:t>
            </w:r>
          </w:p>
        </w:tc>
        <w:tc>
          <w:tcPr>
            <w:tcW w:w="336" w:type="pct"/>
            <w:noWrap/>
            <w:vAlign w:val="center"/>
          </w:tcPr>
          <w:p w14:paraId="67246DC3">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3.86</w:t>
            </w:r>
          </w:p>
        </w:tc>
        <w:tc>
          <w:tcPr>
            <w:tcW w:w="336" w:type="pct"/>
            <w:noWrap/>
            <w:vAlign w:val="center"/>
          </w:tcPr>
          <w:p w14:paraId="03C1F5B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4.05</w:t>
            </w:r>
          </w:p>
        </w:tc>
        <w:tc>
          <w:tcPr>
            <w:tcW w:w="336" w:type="pct"/>
            <w:noWrap/>
            <w:vAlign w:val="center"/>
          </w:tcPr>
          <w:p w14:paraId="7FEBAA2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4.16</w:t>
            </w:r>
          </w:p>
        </w:tc>
        <w:tc>
          <w:tcPr>
            <w:tcW w:w="336" w:type="pct"/>
            <w:noWrap/>
            <w:vAlign w:val="center"/>
          </w:tcPr>
          <w:p w14:paraId="3556F86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4.15</w:t>
            </w:r>
          </w:p>
        </w:tc>
        <w:tc>
          <w:tcPr>
            <w:tcW w:w="336" w:type="pct"/>
            <w:noWrap/>
            <w:vAlign w:val="center"/>
          </w:tcPr>
          <w:p w14:paraId="71E9FC7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4.11</w:t>
            </w:r>
          </w:p>
        </w:tc>
        <w:tc>
          <w:tcPr>
            <w:tcW w:w="336" w:type="pct"/>
            <w:noWrap/>
            <w:vAlign w:val="center"/>
          </w:tcPr>
          <w:p w14:paraId="0913D6D9">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3.45</w:t>
            </w:r>
          </w:p>
        </w:tc>
        <w:tc>
          <w:tcPr>
            <w:tcW w:w="336" w:type="pct"/>
            <w:noWrap/>
            <w:vAlign w:val="center"/>
          </w:tcPr>
          <w:p w14:paraId="2297C7A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3.02</w:t>
            </w:r>
          </w:p>
        </w:tc>
        <w:tc>
          <w:tcPr>
            <w:tcW w:w="336" w:type="pct"/>
            <w:noWrap/>
            <w:vAlign w:val="center"/>
          </w:tcPr>
          <w:p w14:paraId="308C050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2.71</w:t>
            </w:r>
          </w:p>
        </w:tc>
        <w:tc>
          <w:tcPr>
            <w:tcW w:w="336" w:type="pct"/>
            <w:noWrap/>
            <w:vAlign w:val="center"/>
          </w:tcPr>
          <w:p w14:paraId="03F9664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2.51</w:t>
            </w:r>
          </w:p>
        </w:tc>
        <w:tc>
          <w:tcPr>
            <w:tcW w:w="336" w:type="pct"/>
            <w:noWrap/>
            <w:vAlign w:val="center"/>
          </w:tcPr>
          <w:p w14:paraId="3E159C71">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2.25</w:t>
            </w:r>
          </w:p>
        </w:tc>
        <w:tc>
          <w:tcPr>
            <w:tcW w:w="336" w:type="pct"/>
            <w:noWrap/>
            <w:vAlign w:val="center"/>
          </w:tcPr>
          <w:p w14:paraId="76BBAE5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2.11</w:t>
            </w:r>
          </w:p>
        </w:tc>
        <w:tc>
          <w:tcPr>
            <w:tcW w:w="336" w:type="pct"/>
            <w:noWrap/>
            <w:vAlign w:val="center"/>
          </w:tcPr>
          <w:p w14:paraId="4B8B200B">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w:t>
            </w:r>
          </w:p>
        </w:tc>
      </w:tr>
      <w:tr w14:paraId="1CF44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0" w:type="pct"/>
            <w:noWrap/>
            <w:vAlign w:val="center"/>
          </w:tcPr>
          <w:p w14:paraId="368750D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rPr>
              <w:t>冬季</w:t>
            </w:r>
          </w:p>
        </w:tc>
        <w:tc>
          <w:tcPr>
            <w:tcW w:w="336" w:type="pct"/>
            <w:noWrap/>
            <w:vAlign w:val="center"/>
          </w:tcPr>
          <w:p w14:paraId="7B16A2FC">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2.82</w:t>
            </w:r>
          </w:p>
        </w:tc>
        <w:tc>
          <w:tcPr>
            <w:tcW w:w="336" w:type="pct"/>
            <w:noWrap/>
            <w:vAlign w:val="center"/>
          </w:tcPr>
          <w:p w14:paraId="0411A2BA">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2.9</w:t>
            </w:r>
          </w:p>
        </w:tc>
        <w:tc>
          <w:tcPr>
            <w:tcW w:w="336" w:type="pct"/>
            <w:noWrap/>
            <w:vAlign w:val="center"/>
          </w:tcPr>
          <w:p w14:paraId="13EC0BA7">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2.83</w:t>
            </w:r>
          </w:p>
        </w:tc>
        <w:tc>
          <w:tcPr>
            <w:tcW w:w="336" w:type="pct"/>
            <w:noWrap/>
            <w:vAlign w:val="center"/>
          </w:tcPr>
          <w:p w14:paraId="2424B1F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2.79</w:t>
            </w:r>
          </w:p>
        </w:tc>
        <w:tc>
          <w:tcPr>
            <w:tcW w:w="336" w:type="pct"/>
            <w:noWrap/>
            <w:vAlign w:val="center"/>
          </w:tcPr>
          <w:p w14:paraId="7B13384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2.56</w:t>
            </w:r>
          </w:p>
        </w:tc>
        <w:tc>
          <w:tcPr>
            <w:tcW w:w="336" w:type="pct"/>
            <w:noWrap/>
            <w:vAlign w:val="center"/>
          </w:tcPr>
          <w:p w14:paraId="0BB59466">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2.23</w:t>
            </w:r>
          </w:p>
        </w:tc>
        <w:tc>
          <w:tcPr>
            <w:tcW w:w="336" w:type="pct"/>
            <w:noWrap/>
            <w:vAlign w:val="center"/>
          </w:tcPr>
          <w:p w14:paraId="3936CC28">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2.13</w:t>
            </w:r>
          </w:p>
        </w:tc>
        <w:tc>
          <w:tcPr>
            <w:tcW w:w="336" w:type="pct"/>
            <w:noWrap/>
            <w:vAlign w:val="center"/>
          </w:tcPr>
          <w:p w14:paraId="25758802">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2.08</w:t>
            </w:r>
          </w:p>
        </w:tc>
        <w:tc>
          <w:tcPr>
            <w:tcW w:w="336" w:type="pct"/>
            <w:noWrap/>
            <w:vAlign w:val="center"/>
          </w:tcPr>
          <w:p w14:paraId="2A44237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2.07</w:t>
            </w:r>
          </w:p>
        </w:tc>
        <w:tc>
          <w:tcPr>
            <w:tcW w:w="336" w:type="pct"/>
            <w:noWrap/>
            <w:vAlign w:val="center"/>
          </w:tcPr>
          <w:p w14:paraId="3DC18F50">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2.09</w:t>
            </w:r>
          </w:p>
        </w:tc>
        <w:tc>
          <w:tcPr>
            <w:tcW w:w="336" w:type="pct"/>
            <w:noWrap/>
            <w:vAlign w:val="center"/>
          </w:tcPr>
          <w:p w14:paraId="44645E6E">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2.06</w:t>
            </w:r>
          </w:p>
        </w:tc>
        <w:tc>
          <w:tcPr>
            <w:tcW w:w="336" w:type="pct"/>
            <w:noWrap/>
            <w:vAlign w:val="center"/>
          </w:tcPr>
          <w:p w14:paraId="38B7D375">
            <w:pPr>
              <w:keepNext/>
              <w:keepLines w:val="0"/>
              <w:pageBreakBefore w:val="0"/>
              <w:widowControl w:val="0"/>
              <w:suppressLineNumbers w:val="0"/>
              <w:wordWrap w:val="0"/>
              <w:topLinePunct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0"/>
                <w:szCs w:val="20"/>
                <w:highlight w:val="none"/>
                <w:u w:val="none" w:color="auto"/>
              </w:rPr>
            </w:pPr>
            <w:r>
              <w:rPr>
                <w:rFonts w:hint="default" w:ascii="Times New Roman" w:hAnsi="Times New Roman" w:eastAsia="宋体" w:cs="Times New Roman"/>
                <w:color w:val="auto"/>
                <w:sz w:val="20"/>
                <w:szCs w:val="20"/>
                <w:highlight w:val="none"/>
                <w:u w:val="none" w:color="auto"/>
                <w:lang w:val="en-US" w:eastAsia="zh-CN"/>
              </w:rPr>
              <w:t>2.09</w:t>
            </w:r>
          </w:p>
        </w:tc>
      </w:tr>
    </w:tbl>
    <w:p w14:paraId="4F648A62">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（4）风速、风向</w:t>
      </w:r>
    </w:p>
    <w:p w14:paraId="0CE9A768">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由下表分析可知，湘阴县2022年的主导风向为北风（N）；不利于大气扩散的静风和小风频率较低，仅为0.46%。从季节变化上看，春、秋、冬季的主导风向为北风，夏季的主导风向为南风。</w:t>
      </w:r>
    </w:p>
    <w:p w14:paraId="1B7257B3">
      <w:pPr>
        <w:spacing w:line="360" w:lineRule="auto"/>
        <w:ind w:left="0" w:leftChars="0" w:firstLine="0" w:firstLineChars="0"/>
        <w:jc w:val="center"/>
        <w:rPr>
          <w:rFonts w:hint="default" w:ascii="Times New Roman" w:hAnsi="Times New Roman" w:eastAsia="宋体" w:cs="Times New Roman"/>
          <w:color w:val="auto"/>
          <w:sz w:val="22"/>
          <w:szCs w:val="21"/>
        </w:rPr>
      </w:pPr>
      <w:r>
        <w:rPr>
          <w:rFonts w:hint="default" w:ascii="Times New Roman" w:hAnsi="Times New Roman" w:eastAsia="宋体" w:cs="Times New Roman"/>
          <w:color w:val="auto"/>
          <w:sz w:val="22"/>
          <w:szCs w:val="21"/>
        </w:rPr>
        <w:drawing>
          <wp:inline distT="0" distB="0" distL="114300" distR="114300">
            <wp:extent cx="5057775" cy="7038975"/>
            <wp:effectExtent l="0" t="0" r="9525" b="9525"/>
            <wp:docPr id="1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4"/>
                    <pic:cNvPicPr>
                      <a:picLocks noChangeAspect="1"/>
                    </pic:cNvPicPr>
                  </pic:nvPicPr>
                  <pic:blipFill>
                    <a:blip r:embed="rId42"/>
                    <a:stretch>
                      <a:fillRect/>
                    </a:stretch>
                  </pic:blipFill>
                  <pic:spPr>
                    <a:xfrm>
                      <a:off x="0" y="0"/>
                      <a:ext cx="5057775" cy="7038975"/>
                    </a:xfrm>
                    <a:prstGeom prst="rect">
                      <a:avLst/>
                    </a:prstGeom>
                    <a:noFill/>
                    <a:ln>
                      <a:noFill/>
                    </a:ln>
                  </pic:spPr>
                </pic:pic>
              </a:graphicData>
            </a:graphic>
          </wp:inline>
        </w:drawing>
      </w:r>
    </w:p>
    <w:p w14:paraId="1E4CAF8F">
      <w:pPr>
        <w:pStyle w:val="39"/>
        <w:bidi w:val="0"/>
        <w:rPr>
          <w:rFonts w:hint="default"/>
        </w:rPr>
        <w:sectPr>
          <w:headerReference r:id="rId12" w:type="default"/>
          <w:footerReference r:id="rId13" w:type="default"/>
          <w:pgSz w:w="11907" w:h="16840"/>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rPr>
        <w:t>图</w:t>
      </w:r>
      <w:r>
        <w:rPr>
          <w:rFonts w:hint="eastAsia"/>
          <w:lang w:val="en-US" w:eastAsia="zh-CN"/>
        </w:rPr>
        <w:t>6.2</w:t>
      </w:r>
      <w:r>
        <w:rPr>
          <w:rFonts w:hint="default"/>
        </w:rPr>
        <w:t>-2  湘阴县2022年风向玫瑰图</w:t>
      </w:r>
    </w:p>
    <w:p w14:paraId="2521F3B1">
      <w:pPr>
        <w:pStyle w:val="39"/>
        <w:bidi w:val="0"/>
        <w:rPr>
          <w:rFonts w:hint="default"/>
        </w:rPr>
      </w:pPr>
      <w:r>
        <w:rPr>
          <w:rFonts w:hint="default"/>
        </w:rPr>
        <w:t>表</w:t>
      </w:r>
      <w:r>
        <w:rPr>
          <w:rFonts w:hint="eastAsia"/>
          <w:lang w:val="en-US" w:eastAsia="zh-CN"/>
        </w:rPr>
        <w:t xml:space="preserve">6.2-6 </w:t>
      </w:r>
      <w:r>
        <w:rPr>
          <w:rFonts w:hint="default"/>
        </w:rPr>
        <w:t>湘阴县2022年年平均风频的月变化</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812"/>
        <w:gridCol w:w="852"/>
        <w:gridCol w:w="698"/>
        <w:gridCol w:w="761"/>
        <w:gridCol w:w="698"/>
        <w:gridCol w:w="713"/>
        <w:gridCol w:w="690"/>
        <w:gridCol w:w="701"/>
        <w:gridCol w:w="707"/>
        <w:gridCol w:w="789"/>
        <w:gridCol w:w="707"/>
        <w:gridCol w:w="903"/>
        <w:gridCol w:w="707"/>
        <w:gridCol w:w="948"/>
        <w:gridCol w:w="707"/>
        <w:gridCol w:w="886"/>
        <w:gridCol w:w="696"/>
      </w:tblGrid>
      <w:tr w14:paraId="47ABEF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tcBorders>
              <w:tl2br w:val="single" w:color="auto" w:sz="4" w:space="0"/>
            </w:tcBorders>
            <w:noWrap/>
            <w:vAlign w:val="center"/>
          </w:tcPr>
          <w:p w14:paraId="3415F9F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 xml:space="preserve">   风频%</w:t>
            </w:r>
          </w:p>
          <w:p w14:paraId="6BA1192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风向</w:t>
            </w:r>
          </w:p>
        </w:tc>
        <w:tc>
          <w:tcPr>
            <w:tcW w:w="286" w:type="pct"/>
            <w:noWrap/>
            <w:vAlign w:val="center"/>
          </w:tcPr>
          <w:p w14:paraId="6B06B4F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N</w:t>
            </w:r>
          </w:p>
        </w:tc>
        <w:tc>
          <w:tcPr>
            <w:tcW w:w="300" w:type="pct"/>
            <w:noWrap/>
            <w:vAlign w:val="center"/>
          </w:tcPr>
          <w:p w14:paraId="082C11E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NNE</w:t>
            </w:r>
          </w:p>
        </w:tc>
        <w:tc>
          <w:tcPr>
            <w:tcW w:w="246" w:type="pct"/>
            <w:noWrap/>
            <w:vAlign w:val="center"/>
          </w:tcPr>
          <w:p w14:paraId="0870051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NE</w:t>
            </w:r>
          </w:p>
        </w:tc>
        <w:tc>
          <w:tcPr>
            <w:tcW w:w="268" w:type="pct"/>
            <w:noWrap/>
            <w:vAlign w:val="center"/>
          </w:tcPr>
          <w:p w14:paraId="4602500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ENE</w:t>
            </w:r>
          </w:p>
        </w:tc>
        <w:tc>
          <w:tcPr>
            <w:tcW w:w="246" w:type="pct"/>
            <w:noWrap/>
            <w:vAlign w:val="center"/>
          </w:tcPr>
          <w:p w14:paraId="12EBC4A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E</w:t>
            </w:r>
          </w:p>
        </w:tc>
        <w:tc>
          <w:tcPr>
            <w:tcW w:w="251" w:type="pct"/>
            <w:noWrap/>
            <w:vAlign w:val="center"/>
          </w:tcPr>
          <w:p w14:paraId="03AB9A1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ESE</w:t>
            </w:r>
          </w:p>
        </w:tc>
        <w:tc>
          <w:tcPr>
            <w:tcW w:w="243" w:type="pct"/>
            <w:noWrap/>
            <w:vAlign w:val="center"/>
          </w:tcPr>
          <w:p w14:paraId="5ABE5BC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SE</w:t>
            </w:r>
          </w:p>
        </w:tc>
        <w:tc>
          <w:tcPr>
            <w:tcW w:w="247" w:type="pct"/>
            <w:noWrap/>
            <w:vAlign w:val="center"/>
          </w:tcPr>
          <w:p w14:paraId="0FEE126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SSE</w:t>
            </w:r>
          </w:p>
        </w:tc>
        <w:tc>
          <w:tcPr>
            <w:tcW w:w="249" w:type="pct"/>
            <w:noWrap/>
            <w:vAlign w:val="center"/>
          </w:tcPr>
          <w:p w14:paraId="474A7DC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w:t>
            </w:r>
          </w:p>
        </w:tc>
        <w:tc>
          <w:tcPr>
            <w:tcW w:w="278" w:type="pct"/>
            <w:noWrap/>
            <w:vAlign w:val="center"/>
          </w:tcPr>
          <w:p w14:paraId="29CE4F6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SSW</w:t>
            </w:r>
          </w:p>
        </w:tc>
        <w:tc>
          <w:tcPr>
            <w:tcW w:w="249" w:type="pct"/>
            <w:noWrap/>
            <w:vAlign w:val="center"/>
          </w:tcPr>
          <w:p w14:paraId="4ED861A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SW</w:t>
            </w:r>
          </w:p>
        </w:tc>
        <w:tc>
          <w:tcPr>
            <w:tcW w:w="318" w:type="pct"/>
            <w:noWrap/>
            <w:vAlign w:val="center"/>
          </w:tcPr>
          <w:p w14:paraId="7F5FDD9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WSW</w:t>
            </w:r>
          </w:p>
        </w:tc>
        <w:tc>
          <w:tcPr>
            <w:tcW w:w="249" w:type="pct"/>
            <w:noWrap/>
            <w:vAlign w:val="center"/>
          </w:tcPr>
          <w:p w14:paraId="1D8E4E4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w:t>
            </w:r>
          </w:p>
        </w:tc>
        <w:tc>
          <w:tcPr>
            <w:tcW w:w="334" w:type="pct"/>
            <w:noWrap/>
            <w:vAlign w:val="center"/>
          </w:tcPr>
          <w:p w14:paraId="201A171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WNW</w:t>
            </w:r>
          </w:p>
        </w:tc>
        <w:tc>
          <w:tcPr>
            <w:tcW w:w="249" w:type="pct"/>
            <w:noWrap/>
            <w:vAlign w:val="center"/>
          </w:tcPr>
          <w:p w14:paraId="101DBC8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NW</w:t>
            </w:r>
          </w:p>
        </w:tc>
        <w:tc>
          <w:tcPr>
            <w:tcW w:w="312" w:type="pct"/>
            <w:noWrap/>
            <w:vAlign w:val="center"/>
          </w:tcPr>
          <w:p w14:paraId="0C8A2D1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NNW</w:t>
            </w:r>
          </w:p>
        </w:tc>
        <w:tc>
          <w:tcPr>
            <w:tcW w:w="245" w:type="pct"/>
            <w:noWrap/>
            <w:vAlign w:val="center"/>
          </w:tcPr>
          <w:p w14:paraId="0DC306B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C</w:t>
            </w:r>
          </w:p>
        </w:tc>
      </w:tr>
      <w:tr w14:paraId="460A39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26F67B0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一月</w:t>
            </w:r>
          </w:p>
        </w:tc>
        <w:tc>
          <w:tcPr>
            <w:tcW w:w="286" w:type="pct"/>
            <w:noWrap/>
            <w:vAlign w:val="center"/>
          </w:tcPr>
          <w:p w14:paraId="2C74A0A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35.48</w:t>
            </w:r>
          </w:p>
        </w:tc>
        <w:tc>
          <w:tcPr>
            <w:tcW w:w="300" w:type="pct"/>
            <w:noWrap/>
            <w:vAlign w:val="center"/>
          </w:tcPr>
          <w:p w14:paraId="39574E2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3.36</w:t>
            </w:r>
          </w:p>
        </w:tc>
        <w:tc>
          <w:tcPr>
            <w:tcW w:w="246" w:type="pct"/>
            <w:noWrap/>
            <w:vAlign w:val="center"/>
          </w:tcPr>
          <w:p w14:paraId="44E66FD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3.63</w:t>
            </w:r>
          </w:p>
        </w:tc>
        <w:tc>
          <w:tcPr>
            <w:tcW w:w="268" w:type="pct"/>
            <w:noWrap/>
            <w:vAlign w:val="center"/>
          </w:tcPr>
          <w:p w14:paraId="450A6A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0.94</w:t>
            </w:r>
          </w:p>
        </w:tc>
        <w:tc>
          <w:tcPr>
            <w:tcW w:w="246" w:type="pct"/>
            <w:noWrap/>
            <w:vAlign w:val="center"/>
          </w:tcPr>
          <w:p w14:paraId="4A96A69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2.96</w:t>
            </w:r>
          </w:p>
        </w:tc>
        <w:tc>
          <w:tcPr>
            <w:tcW w:w="251" w:type="pct"/>
            <w:noWrap/>
            <w:vAlign w:val="center"/>
          </w:tcPr>
          <w:p w14:paraId="73844A2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2.15</w:t>
            </w:r>
          </w:p>
        </w:tc>
        <w:tc>
          <w:tcPr>
            <w:tcW w:w="243" w:type="pct"/>
            <w:noWrap/>
            <w:vAlign w:val="center"/>
          </w:tcPr>
          <w:p w14:paraId="2AD8C2B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4.70</w:t>
            </w:r>
          </w:p>
        </w:tc>
        <w:tc>
          <w:tcPr>
            <w:tcW w:w="247" w:type="pct"/>
            <w:noWrap/>
            <w:vAlign w:val="center"/>
          </w:tcPr>
          <w:p w14:paraId="4CEF8D4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3.09</w:t>
            </w:r>
          </w:p>
        </w:tc>
        <w:tc>
          <w:tcPr>
            <w:tcW w:w="249" w:type="pct"/>
            <w:noWrap/>
            <w:vAlign w:val="center"/>
          </w:tcPr>
          <w:p w14:paraId="580D14D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w:t>
            </w:r>
          </w:p>
        </w:tc>
        <w:tc>
          <w:tcPr>
            <w:tcW w:w="278" w:type="pct"/>
            <w:noWrap/>
            <w:vAlign w:val="center"/>
          </w:tcPr>
          <w:p w14:paraId="716AB2A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1.48</w:t>
            </w:r>
          </w:p>
        </w:tc>
        <w:tc>
          <w:tcPr>
            <w:tcW w:w="249" w:type="pct"/>
            <w:noWrap/>
            <w:vAlign w:val="center"/>
          </w:tcPr>
          <w:p w14:paraId="33F59B4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w:t>
            </w:r>
          </w:p>
        </w:tc>
        <w:tc>
          <w:tcPr>
            <w:tcW w:w="318" w:type="pct"/>
            <w:noWrap/>
            <w:vAlign w:val="center"/>
          </w:tcPr>
          <w:p w14:paraId="3596510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1.48</w:t>
            </w:r>
          </w:p>
        </w:tc>
        <w:tc>
          <w:tcPr>
            <w:tcW w:w="249" w:type="pct"/>
            <w:noWrap/>
            <w:vAlign w:val="center"/>
          </w:tcPr>
          <w:p w14:paraId="052EBCC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2.28</w:t>
            </w:r>
          </w:p>
        </w:tc>
        <w:tc>
          <w:tcPr>
            <w:tcW w:w="334" w:type="pct"/>
            <w:noWrap/>
            <w:vAlign w:val="center"/>
          </w:tcPr>
          <w:p w14:paraId="212DBB4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3.49</w:t>
            </w:r>
          </w:p>
        </w:tc>
        <w:tc>
          <w:tcPr>
            <w:tcW w:w="249" w:type="pct"/>
            <w:noWrap/>
            <w:vAlign w:val="center"/>
          </w:tcPr>
          <w:p w14:paraId="48AE6E3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7.53</w:t>
            </w:r>
          </w:p>
        </w:tc>
        <w:tc>
          <w:tcPr>
            <w:tcW w:w="312" w:type="pct"/>
            <w:noWrap/>
            <w:vAlign w:val="center"/>
          </w:tcPr>
          <w:p w14:paraId="1079BB2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22.58</w:t>
            </w:r>
          </w:p>
        </w:tc>
        <w:tc>
          <w:tcPr>
            <w:tcW w:w="245" w:type="pct"/>
            <w:noWrap/>
            <w:vAlign w:val="center"/>
          </w:tcPr>
          <w:p w14:paraId="2AD6927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0.81</w:t>
            </w:r>
          </w:p>
        </w:tc>
      </w:tr>
      <w:tr w14:paraId="7E0E9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5F7CA77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二月</w:t>
            </w:r>
          </w:p>
        </w:tc>
        <w:tc>
          <w:tcPr>
            <w:tcW w:w="286" w:type="pct"/>
            <w:noWrap/>
            <w:vAlign w:val="center"/>
          </w:tcPr>
          <w:p w14:paraId="5D15808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34.97</w:t>
            </w:r>
          </w:p>
        </w:tc>
        <w:tc>
          <w:tcPr>
            <w:tcW w:w="300" w:type="pct"/>
            <w:noWrap/>
            <w:vAlign w:val="center"/>
          </w:tcPr>
          <w:p w14:paraId="147A363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5.21</w:t>
            </w:r>
          </w:p>
        </w:tc>
        <w:tc>
          <w:tcPr>
            <w:tcW w:w="246" w:type="pct"/>
            <w:noWrap/>
            <w:vAlign w:val="center"/>
          </w:tcPr>
          <w:p w14:paraId="5B85D2A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3.27</w:t>
            </w:r>
          </w:p>
        </w:tc>
        <w:tc>
          <w:tcPr>
            <w:tcW w:w="268" w:type="pct"/>
            <w:noWrap/>
            <w:vAlign w:val="center"/>
          </w:tcPr>
          <w:p w14:paraId="5A26C06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2.08</w:t>
            </w:r>
          </w:p>
        </w:tc>
        <w:tc>
          <w:tcPr>
            <w:tcW w:w="246" w:type="pct"/>
            <w:noWrap/>
            <w:vAlign w:val="center"/>
          </w:tcPr>
          <w:p w14:paraId="7F13C7D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3.13</w:t>
            </w:r>
          </w:p>
        </w:tc>
        <w:tc>
          <w:tcPr>
            <w:tcW w:w="251" w:type="pct"/>
            <w:noWrap/>
            <w:vAlign w:val="center"/>
          </w:tcPr>
          <w:p w14:paraId="12DD991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4.17</w:t>
            </w:r>
          </w:p>
        </w:tc>
        <w:tc>
          <w:tcPr>
            <w:tcW w:w="243" w:type="pct"/>
            <w:noWrap/>
            <w:vAlign w:val="center"/>
          </w:tcPr>
          <w:p w14:paraId="6654BD0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4.02</w:t>
            </w:r>
          </w:p>
        </w:tc>
        <w:tc>
          <w:tcPr>
            <w:tcW w:w="247" w:type="pct"/>
            <w:noWrap/>
            <w:vAlign w:val="center"/>
          </w:tcPr>
          <w:p w14:paraId="14FE925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5.06</w:t>
            </w:r>
          </w:p>
        </w:tc>
        <w:tc>
          <w:tcPr>
            <w:tcW w:w="249" w:type="pct"/>
            <w:noWrap/>
            <w:vAlign w:val="center"/>
          </w:tcPr>
          <w:p w14:paraId="14D3477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8.33</w:t>
            </w:r>
          </w:p>
        </w:tc>
        <w:tc>
          <w:tcPr>
            <w:tcW w:w="278" w:type="pct"/>
            <w:noWrap/>
            <w:vAlign w:val="center"/>
          </w:tcPr>
          <w:p w14:paraId="5960DF0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2.08</w:t>
            </w:r>
          </w:p>
        </w:tc>
        <w:tc>
          <w:tcPr>
            <w:tcW w:w="249" w:type="pct"/>
            <w:noWrap/>
            <w:vAlign w:val="center"/>
          </w:tcPr>
          <w:p w14:paraId="35AD273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1.79</w:t>
            </w:r>
          </w:p>
        </w:tc>
        <w:tc>
          <w:tcPr>
            <w:tcW w:w="318" w:type="pct"/>
            <w:noWrap/>
            <w:vAlign w:val="center"/>
          </w:tcPr>
          <w:p w14:paraId="128D5D5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1.34</w:t>
            </w:r>
          </w:p>
        </w:tc>
        <w:tc>
          <w:tcPr>
            <w:tcW w:w="249" w:type="pct"/>
            <w:noWrap/>
            <w:vAlign w:val="center"/>
          </w:tcPr>
          <w:p w14:paraId="28D2203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2.38</w:t>
            </w:r>
          </w:p>
        </w:tc>
        <w:tc>
          <w:tcPr>
            <w:tcW w:w="334" w:type="pct"/>
            <w:noWrap/>
            <w:vAlign w:val="center"/>
          </w:tcPr>
          <w:p w14:paraId="1E0326B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2.83</w:t>
            </w:r>
          </w:p>
        </w:tc>
        <w:tc>
          <w:tcPr>
            <w:tcW w:w="249" w:type="pct"/>
            <w:noWrap/>
            <w:vAlign w:val="center"/>
          </w:tcPr>
          <w:p w14:paraId="026CBB9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7.59</w:t>
            </w:r>
          </w:p>
        </w:tc>
        <w:tc>
          <w:tcPr>
            <w:tcW w:w="312" w:type="pct"/>
            <w:noWrap/>
            <w:vAlign w:val="center"/>
          </w:tcPr>
          <w:p w14:paraId="2DBC768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10.86</w:t>
            </w:r>
          </w:p>
        </w:tc>
        <w:tc>
          <w:tcPr>
            <w:tcW w:w="245" w:type="pct"/>
            <w:noWrap/>
            <w:vAlign w:val="center"/>
          </w:tcPr>
          <w:p w14:paraId="550840B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0.89</w:t>
            </w:r>
          </w:p>
        </w:tc>
      </w:tr>
      <w:tr w14:paraId="30D9A6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1E17344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三月</w:t>
            </w:r>
          </w:p>
        </w:tc>
        <w:tc>
          <w:tcPr>
            <w:tcW w:w="286" w:type="pct"/>
            <w:noWrap/>
            <w:vAlign w:val="center"/>
          </w:tcPr>
          <w:p w14:paraId="4701CD0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23.39</w:t>
            </w:r>
          </w:p>
        </w:tc>
        <w:tc>
          <w:tcPr>
            <w:tcW w:w="300" w:type="pct"/>
            <w:noWrap/>
            <w:vAlign w:val="center"/>
          </w:tcPr>
          <w:p w14:paraId="1940A76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4.17</w:t>
            </w:r>
          </w:p>
        </w:tc>
        <w:tc>
          <w:tcPr>
            <w:tcW w:w="246" w:type="pct"/>
            <w:noWrap/>
            <w:vAlign w:val="center"/>
          </w:tcPr>
          <w:p w14:paraId="7883D88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1.61</w:t>
            </w:r>
          </w:p>
        </w:tc>
        <w:tc>
          <w:tcPr>
            <w:tcW w:w="268" w:type="pct"/>
            <w:noWrap/>
            <w:vAlign w:val="center"/>
          </w:tcPr>
          <w:p w14:paraId="739442E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0.94</w:t>
            </w:r>
          </w:p>
        </w:tc>
        <w:tc>
          <w:tcPr>
            <w:tcW w:w="246" w:type="pct"/>
            <w:noWrap/>
            <w:vAlign w:val="center"/>
          </w:tcPr>
          <w:p w14:paraId="1C8888B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3.23</w:t>
            </w:r>
          </w:p>
        </w:tc>
        <w:tc>
          <w:tcPr>
            <w:tcW w:w="251" w:type="pct"/>
            <w:noWrap/>
            <w:vAlign w:val="center"/>
          </w:tcPr>
          <w:p w14:paraId="559BDEF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3.63</w:t>
            </w:r>
          </w:p>
        </w:tc>
        <w:tc>
          <w:tcPr>
            <w:tcW w:w="243" w:type="pct"/>
            <w:noWrap/>
            <w:vAlign w:val="center"/>
          </w:tcPr>
          <w:p w14:paraId="30DD115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7.53</w:t>
            </w:r>
          </w:p>
        </w:tc>
        <w:tc>
          <w:tcPr>
            <w:tcW w:w="247" w:type="pct"/>
            <w:noWrap/>
            <w:vAlign w:val="center"/>
          </w:tcPr>
          <w:p w14:paraId="5386B0D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9.14</w:t>
            </w:r>
          </w:p>
        </w:tc>
        <w:tc>
          <w:tcPr>
            <w:tcW w:w="249" w:type="pct"/>
            <w:noWrap/>
            <w:vAlign w:val="center"/>
          </w:tcPr>
          <w:p w14:paraId="49EE2F8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14.78</w:t>
            </w:r>
          </w:p>
        </w:tc>
        <w:tc>
          <w:tcPr>
            <w:tcW w:w="278" w:type="pct"/>
            <w:noWrap/>
            <w:vAlign w:val="center"/>
          </w:tcPr>
          <w:p w14:paraId="75F9C01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5.11</w:t>
            </w:r>
          </w:p>
        </w:tc>
        <w:tc>
          <w:tcPr>
            <w:tcW w:w="249" w:type="pct"/>
            <w:noWrap/>
            <w:vAlign w:val="center"/>
          </w:tcPr>
          <w:p w14:paraId="281B169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w:t>
            </w:r>
          </w:p>
        </w:tc>
        <w:tc>
          <w:tcPr>
            <w:tcW w:w="318" w:type="pct"/>
            <w:noWrap/>
            <w:vAlign w:val="center"/>
          </w:tcPr>
          <w:p w14:paraId="003A999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1.75</w:t>
            </w:r>
          </w:p>
        </w:tc>
        <w:tc>
          <w:tcPr>
            <w:tcW w:w="249" w:type="pct"/>
            <w:noWrap/>
            <w:vAlign w:val="center"/>
          </w:tcPr>
          <w:p w14:paraId="199B48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2.69</w:t>
            </w:r>
          </w:p>
        </w:tc>
        <w:tc>
          <w:tcPr>
            <w:tcW w:w="334" w:type="pct"/>
            <w:noWrap/>
            <w:vAlign w:val="center"/>
          </w:tcPr>
          <w:p w14:paraId="463AE66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3.76</w:t>
            </w:r>
          </w:p>
        </w:tc>
        <w:tc>
          <w:tcPr>
            <w:tcW w:w="249" w:type="pct"/>
            <w:noWrap/>
            <w:vAlign w:val="center"/>
          </w:tcPr>
          <w:p w14:paraId="3DD99A1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5.51</w:t>
            </w:r>
          </w:p>
        </w:tc>
        <w:tc>
          <w:tcPr>
            <w:tcW w:w="312" w:type="pct"/>
            <w:noWrap/>
            <w:vAlign w:val="center"/>
          </w:tcPr>
          <w:p w14:paraId="3218BFC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10.35</w:t>
            </w:r>
          </w:p>
        </w:tc>
        <w:tc>
          <w:tcPr>
            <w:tcW w:w="245" w:type="pct"/>
            <w:noWrap/>
            <w:vAlign w:val="center"/>
          </w:tcPr>
          <w:p w14:paraId="37ED579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0.40</w:t>
            </w:r>
          </w:p>
        </w:tc>
      </w:tr>
      <w:tr w14:paraId="15054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62EF61F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四月</w:t>
            </w:r>
          </w:p>
        </w:tc>
        <w:tc>
          <w:tcPr>
            <w:tcW w:w="286" w:type="pct"/>
            <w:noWrap/>
            <w:vAlign w:val="center"/>
          </w:tcPr>
          <w:p w14:paraId="2E1AB9B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21.53</w:t>
            </w:r>
          </w:p>
        </w:tc>
        <w:tc>
          <w:tcPr>
            <w:tcW w:w="300" w:type="pct"/>
            <w:noWrap/>
            <w:vAlign w:val="center"/>
          </w:tcPr>
          <w:p w14:paraId="47493AC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5.69</w:t>
            </w:r>
          </w:p>
        </w:tc>
        <w:tc>
          <w:tcPr>
            <w:tcW w:w="246" w:type="pct"/>
            <w:noWrap/>
            <w:vAlign w:val="center"/>
          </w:tcPr>
          <w:p w14:paraId="0971759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2.78</w:t>
            </w:r>
          </w:p>
        </w:tc>
        <w:tc>
          <w:tcPr>
            <w:tcW w:w="268" w:type="pct"/>
            <w:noWrap/>
            <w:vAlign w:val="center"/>
          </w:tcPr>
          <w:p w14:paraId="143C419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1.39</w:t>
            </w:r>
          </w:p>
        </w:tc>
        <w:tc>
          <w:tcPr>
            <w:tcW w:w="246" w:type="pct"/>
            <w:noWrap/>
            <w:vAlign w:val="center"/>
          </w:tcPr>
          <w:p w14:paraId="622FE48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1.94</w:t>
            </w:r>
          </w:p>
        </w:tc>
        <w:tc>
          <w:tcPr>
            <w:tcW w:w="251" w:type="pct"/>
            <w:noWrap/>
            <w:vAlign w:val="center"/>
          </w:tcPr>
          <w:p w14:paraId="4CB95B4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2.78</w:t>
            </w:r>
          </w:p>
        </w:tc>
        <w:tc>
          <w:tcPr>
            <w:tcW w:w="243" w:type="pct"/>
            <w:noWrap/>
            <w:vAlign w:val="center"/>
          </w:tcPr>
          <w:p w14:paraId="47F16BA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9.17</w:t>
            </w:r>
          </w:p>
        </w:tc>
        <w:tc>
          <w:tcPr>
            <w:tcW w:w="247" w:type="pct"/>
            <w:noWrap/>
            <w:vAlign w:val="center"/>
          </w:tcPr>
          <w:p w14:paraId="39A3427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9.58</w:t>
            </w:r>
          </w:p>
        </w:tc>
        <w:tc>
          <w:tcPr>
            <w:tcW w:w="249" w:type="pct"/>
            <w:noWrap/>
            <w:vAlign w:val="center"/>
          </w:tcPr>
          <w:p w14:paraId="2AA6E8C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19.58</w:t>
            </w:r>
          </w:p>
        </w:tc>
        <w:tc>
          <w:tcPr>
            <w:tcW w:w="278" w:type="pct"/>
            <w:noWrap/>
            <w:vAlign w:val="center"/>
          </w:tcPr>
          <w:p w14:paraId="538E56C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3.75</w:t>
            </w:r>
          </w:p>
        </w:tc>
        <w:tc>
          <w:tcPr>
            <w:tcW w:w="249" w:type="pct"/>
            <w:noWrap/>
            <w:vAlign w:val="center"/>
          </w:tcPr>
          <w:p w14:paraId="4B552F8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1.11</w:t>
            </w:r>
          </w:p>
        </w:tc>
        <w:tc>
          <w:tcPr>
            <w:tcW w:w="318" w:type="pct"/>
            <w:noWrap/>
            <w:vAlign w:val="center"/>
          </w:tcPr>
          <w:p w14:paraId="4D90BE0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2.64</w:t>
            </w:r>
          </w:p>
        </w:tc>
        <w:tc>
          <w:tcPr>
            <w:tcW w:w="249" w:type="pct"/>
            <w:noWrap/>
            <w:vAlign w:val="center"/>
          </w:tcPr>
          <w:p w14:paraId="3AFFC60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1.11</w:t>
            </w:r>
          </w:p>
        </w:tc>
        <w:tc>
          <w:tcPr>
            <w:tcW w:w="334" w:type="pct"/>
            <w:noWrap/>
            <w:vAlign w:val="center"/>
          </w:tcPr>
          <w:p w14:paraId="46D3A2E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3.75</w:t>
            </w:r>
          </w:p>
        </w:tc>
        <w:tc>
          <w:tcPr>
            <w:tcW w:w="249" w:type="pct"/>
            <w:noWrap/>
            <w:vAlign w:val="center"/>
          </w:tcPr>
          <w:p w14:paraId="3676E3A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5.42</w:t>
            </w:r>
          </w:p>
        </w:tc>
        <w:tc>
          <w:tcPr>
            <w:tcW w:w="312" w:type="pct"/>
            <w:noWrap/>
            <w:vAlign w:val="center"/>
          </w:tcPr>
          <w:p w14:paraId="2BA4F42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7.36</w:t>
            </w:r>
          </w:p>
        </w:tc>
        <w:tc>
          <w:tcPr>
            <w:tcW w:w="245" w:type="pct"/>
            <w:noWrap/>
            <w:vAlign w:val="center"/>
          </w:tcPr>
          <w:p w14:paraId="102154E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0.42</w:t>
            </w:r>
          </w:p>
        </w:tc>
      </w:tr>
      <w:tr w14:paraId="31E0A3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06EB6BD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五月</w:t>
            </w:r>
          </w:p>
        </w:tc>
        <w:tc>
          <w:tcPr>
            <w:tcW w:w="286" w:type="pct"/>
            <w:noWrap/>
            <w:vAlign w:val="center"/>
          </w:tcPr>
          <w:p w14:paraId="7A83AF0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22.04</w:t>
            </w:r>
          </w:p>
        </w:tc>
        <w:tc>
          <w:tcPr>
            <w:tcW w:w="300" w:type="pct"/>
            <w:noWrap/>
            <w:vAlign w:val="center"/>
          </w:tcPr>
          <w:p w14:paraId="461B767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6.05</w:t>
            </w:r>
          </w:p>
        </w:tc>
        <w:tc>
          <w:tcPr>
            <w:tcW w:w="246" w:type="pct"/>
            <w:noWrap/>
            <w:vAlign w:val="center"/>
          </w:tcPr>
          <w:p w14:paraId="5248400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1.21</w:t>
            </w:r>
          </w:p>
        </w:tc>
        <w:tc>
          <w:tcPr>
            <w:tcW w:w="268" w:type="pct"/>
            <w:noWrap/>
            <w:vAlign w:val="center"/>
          </w:tcPr>
          <w:p w14:paraId="3C5C4F1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0.94</w:t>
            </w:r>
          </w:p>
        </w:tc>
        <w:tc>
          <w:tcPr>
            <w:tcW w:w="246" w:type="pct"/>
            <w:noWrap/>
            <w:vAlign w:val="center"/>
          </w:tcPr>
          <w:p w14:paraId="41AC869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51" w:type="pct"/>
            <w:noWrap/>
            <w:vAlign w:val="center"/>
          </w:tcPr>
          <w:p w14:paraId="33C29C0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2.69</w:t>
            </w:r>
          </w:p>
        </w:tc>
        <w:tc>
          <w:tcPr>
            <w:tcW w:w="243" w:type="pct"/>
            <w:noWrap/>
            <w:vAlign w:val="center"/>
          </w:tcPr>
          <w:p w14:paraId="4F93D62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8.47</w:t>
            </w:r>
          </w:p>
        </w:tc>
        <w:tc>
          <w:tcPr>
            <w:tcW w:w="247" w:type="pct"/>
            <w:noWrap/>
            <w:vAlign w:val="center"/>
          </w:tcPr>
          <w:p w14:paraId="7E996F4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8.87</w:t>
            </w:r>
          </w:p>
        </w:tc>
        <w:tc>
          <w:tcPr>
            <w:tcW w:w="249" w:type="pct"/>
            <w:noWrap/>
            <w:vAlign w:val="center"/>
          </w:tcPr>
          <w:p w14:paraId="7A4F624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13.31</w:t>
            </w:r>
          </w:p>
        </w:tc>
        <w:tc>
          <w:tcPr>
            <w:tcW w:w="278" w:type="pct"/>
            <w:noWrap/>
            <w:vAlign w:val="center"/>
          </w:tcPr>
          <w:p w14:paraId="46CA51A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3.76</w:t>
            </w:r>
          </w:p>
        </w:tc>
        <w:tc>
          <w:tcPr>
            <w:tcW w:w="249" w:type="pct"/>
            <w:noWrap/>
            <w:vAlign w:val="center"/>
          </w:tcPr>
          <w:p w14:paraId="412E8DF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3.23</w:t>
            </w:r>
          </w:p>
        </w:tc>
        <w:tc>
          <w:tcPr>
            <w:tcW w:w="318" w:type="pct"/>
            <w:noWrap/>
            <w:vAlign w:val="center"/>
          </w:tcPr>
          <w:p w14:paraId="79C28DF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2.28</w:t>
            </w:r>
          </w:p>
        </w:tc>
        <w:tc>
          <w:tcPr>
            <w:tcW w:w="249" w:type="pct"/>
            <w:noWrap/>
            <w:vAlign w:val="center"/>
          </w:tcPr>
          <w:p w14:paraId="4635800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4.70</w:t>
            </w:r>
          </w:p>
        </w:tc>
        <w:tc>
          <w:tcPr>
            <w:tcW w:w="334" w:type="pct"/>
            <w:noWrap/>
            <w:vAlign w:val="center"/>
          </w:tcPr>
          <w:p w14:paraId="48A2F44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4.57</w:t>
            </w:r>
          </w:p>
        </w:tc>
        <w:tc>
          <w:tcPr>
            <w:tcW w:w="249" w:type="pct"/>
            <w:noWrap/>
            <w:vAlign w:val="center"/>
          </w:tcPr>
          <w:p w14:paraId="6BCDD36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7.26</w:t>
            </w:r>
          </w:p>
        </w:tc>
        <w:tc>
          <w:tcPr>
            <w:tcW w:w="312" w:type="pct"/>
            <w:noWrap/>
            <w:vAlign w:val="center"/>
          </w:tcPr>
          <w:p w14:paraId="328D709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9.41</w:t>
            </w:r>
          </w:p>
        </w:tc>
        <w:tc>
          <w:tcPr>
            <w:tcW w:w="245" w:type="pct"/>
            <w:noWrap/>
            <w:vAlign w:val="center"/>
          </w:tcPr>
          <w:p w14:paraId="3E45CFF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0.13</w:t>
            </w:r>
          </w:p>
        </w:tc>
      </w:tr>
      <w:tr w14:paraId="5EAFC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35E5D75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六月</w:t>
            </w:r>
          </w:p>
        </w:tc>
        <w:tc>
          <w:tcPr>
            <w:tcW w:w="286" w:type="pct"/>
            <w:noWrap/>
            <w:vAlign w:val="center"/>
          </w:tcPr>
          <w:p w14:paraId="1F28801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5.97</w:t>
            </w:r>
          </w:p>
        </w:tc>
        <w:tc>
          <w:tcPr>
            <w:tcW w:w="300" w:type="pct"/>
            <w:noWrap/>
            <w:vAlign w:val="center"/>
          </w:tcPr>
          <w:p w14:paraId="0E88954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2.92</w:t>
            </w:r>
          </w:p>
        </w:tc>
        <w:tc>
          <w:tcPr>
            <w:tcW w:w="246" w:type="pct"/>
            <w:noWrap/>
            <w:vAlign w:val="center"/>
          </w:tcPr>
          <w:p w14:paraId="11F5737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2.50</w:t>
            </w:r>
          </w:p>
        </w:tc>
        <w:tc>
          <w:tcPr>
            <w:tcW w:w="268" w:type="pct"/>
            <w:noWrap/>
            <w:vAlign w:val="center"/>
          </w:tcPr>
          <w:p w14:paraId="45B377A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2.64</w:t>
            </w:r>
          </w:p>
        </w:tc>
        <w:tc>
          <w:tcPr>
            <w:tcW w:w="246" w:type="pct"/>
            <w:noWrap/>
            <w:vAlign w:val="center"/>
          </w:tcPr>
          <w:p w14:paraId="4AA39B8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2.64</w:t>
            </w:r>
          </w:p>
        </w:tc>
        <w:tc>
          <w:tcPr>
            <w:tcW w:w="251" w:type="pct"/>
            <w:noWrap/>
            <w:vAlign w:val="center"/>
          </w:tcPr>
          <w:p w14:paraId="018B78D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5.28</w:t>
            </w:r>
          </w:p>
        </w:tc>
        <w:tc>
          <w:tcPr>
            <w:tcW w:w="243" w:type="pct"/>
            <w:noWrap/>
            <w:vAlign w:val="center"/>
          </w:tcPr>
          <w:p w14:paraId="197EEBA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10.69</w:t>
            </w:r>
          </w:p>
        </w:tc>
        <w:tc>
          <w:tcPr>
            <w:tcW w:w="247" w:type="pct"/>
            <w:noWrap/>
            <w:vAlign w:val="center"/>
          </w:tcPr>
          <w:p w14:paraId="42F4389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10.97</w:t>
            </w:r>
          </w:p>
        </w:tc>
        <w:tc>
          <w:tcPr>
            <w:tcW w:w="249" w:type="pct"/>
            <w:noWrap/>
            <w:vAlign w:val="center"/>
          </w:tcPr>
          <w:p w14:paraId="6325DB6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33.61</w:t>
            </w:r>
          </w:p>
        </w:tc>
        <w:tc>
          <w:tcPr>
            <w:tcW w:w="278" w:type="pct"/>
            <w:noWrap/>
            <w:vAlign w:val="center"/>
          </w:tcPr>
          <w:p w14:paraId="086657E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5.42</w:t>
            </w:r>
          </w:p>
        </w:tc>
        <w:tc>
          <w:tcPr>
            <w:tcW w:w="249" w:type="pct"/>
            <w:noWrap/>
            <w:vAlign w:val="center"/>
          </w:tcPr>
          <w:p w14:paraId="685C8F3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1.67</w:t>
            </w:r>
          </w:p>
        </w:tc>
        <w:tc>
          <w:tcPr>
            <w:tcW w:w="318" w:type="pct"/>
            <w:noWrap/>
            <w:vAlign w:val="center"/>
          </w:tcPr>
          <w:p w14:paraId="4111345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1.11</w:t>
            </w:r>
          </w:p>
        </w:tc>
        <w:tc>
          <w:tcPr>
            <w:tcW w:w="249" w:type="pct"/>
            <w:noWrap/>
            <w:vAlign w:val="center"/>
          </w:tcPr>
          <w:p w14:paraId="056C5D3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1.53</w:t>
            </w:r>
          </w:p>
        </w:tc>
        <w:tc>
          <w:tcPr>
            <w:tcW w:w="334" w:type="pct"/>
            <w:noWrap/>
            <w:vAlign w:val="center"/>
          </w:tcPr>
          <w:p w14:paraId="6F37CB5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1.39</w:t>
            </w:r>
          </w:p>
        </w:tc>
        <w:tc>
          <w:tcPr>
            <w:tcW w:w="249" w:type="pct"/>
            <w:noWrap/>
            <w:vAlign w:val="center"/>
          </w:tcPr>
          <w:p w14:paraId="7C462F6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5.69</w:t>
            </w:r>
          </w:p>
        </w:tc>
        <w:tc>
          <w:tcPr>
            <w:tcW w:w="312" w:type="pct"/>
            <w:noWrap/>
            <w:vAlign w:val="center"/>
          </w:tcPr>
          <w:p w14:paraId="589CD5F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3.89</w:t>
            </w:r>
          </w:p>
        </w:tc>
        <w:tc>
          <w:tcPr>
            <w:tcW w:w="245" w:type="pct"/>
            <w:noWrap/>
            <w:vAlign w:val="center"/>
          </w:tcPr>
          <w:p w14:paraId="185371B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2.08</w:t>
            </w:r>
          </w:p>
        </w:tc>
      </w:tr>
      <w:tr w14:paraId="3DBE1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0C2CCAA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七月</w:t>
            </w:r>
          </w:p>
        </w:tc>
        <w:tc>
          <w:tcPr>
            <w:tcW w:w="286" w:type="pct"/>
            <w:noWrap/>
            <w:vAlign w:val="center"/>
          </w:tcPr>
          <w:p w14:paraId="24E4D4A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5.24</w:t>
            </w:r>
          </w:p>
        </w:tc>
        <w:tc>
          <w:tcPr>
            <w:tcW w:w="300" w:type="pct"/>
            <w:noWrap/>
            <w:vAlign w:val="center"/>
          </w:tcPr>
          <w:p w14:paraId="44985EA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2.96</w:t>
            </w:r>
          </w:p>
        </w:tc>
        <w:tc>
          <w:tcPr>
            <w:tcW w:w="246" w:type="pct"/>
            <w:noWrap/>
            <w:vAlign w:val="center"/>
          </w:tcPr>
          <w:p w14:paraId="02E8EB1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3.36</w:t>
            </w:r>
          </w:p>
        </w:tc>
        <w:tc>
          <w:tcPr>
            <w:tcW w:w="268" w:type="pct"/>
            <w:noWrap/>
            <w:vAlign w:val="center"/>
          </w:tcPr>
          <w:p w14:paraId="6B9C594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2.42</w:t>
            </w:r>
          </w:p>
        </w:tc>
        <w:tc>
          <w:tcPr>
            <w:tcW w:w="246" w:type="pct"/>
            <w:noWrap/>
            <w:vAlign w:val="center"/>
          </w:tcPr>
          <w:p w14:paraId="517CC26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2.96</w:t>
            </w:r>
          </w:p>
        </w:tc>
        <w:tc>
          <w:tcPr>
            <w:tcW w:w="251" w:type="pct"/>
            <w:noWrap/>
            <w:vAlign w:val="center"/>
          </w:tcPr>
          <w:p w14:paraId="0A1DB50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2.82</w:t>
            </w:r>
          </w:p>
        </w:tc>
        <w:tc>
          <w:tcPr>
            <w:tcW w:w="243" w:type="pct"/>
            <w:noWrap/>
            <w:vAlign w:val="center"/>
          </w:tcPr>
          <w:p w14:paraId="49B38B8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8.33</w:t>
            </w:r>
          </w:p>
        </w:tc>
        <w:tc>
          <w:tcPr>
            <w:tcW w:w="247" w:type="pct"/>
            <w:noWrap/>
            <w:vAlign w:val="center"/>
          </w:tcPr>
          <w:p w14:paraId="605461E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11.69</w:t>
            </w:r>
          </w:p>
        </w:tc>
        <w:tc>
          <w:tcPr>
            <w:tcW w:w="249" w:type="pct"/>
            <w:noWrap/>
            <w:vAlign w:val="center"/>
          </w:tcPr>
          <w:p w14:paraId="630CE60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35.89</w:t>
            </w:r>
          </w:p>
        </w:tc>
        <w:tc>
          <w:tcPr>
            <w:tcW w:w="278" w:type="pct"/>
            <w:noWrap/>
            <w:vAlign w:val="center"/>
          </w:tcPr>
          <w:p w14:paraId="49FDC85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8.06</w:t>
            </w:r>
          </w:p>
        </w:tc>
        <w:tc>
          <w:tcPr>
            <w:tcW w:w="249" w:type="pct"/>
            <w:noWrap/>
            <w:vAlign w:val="center"/>
          </w:tcPr>
          <w:p w14:paraId="19C30C2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3.23</w:t>
            </w:r>
          </w:p>
        </w:tc>
        <w:tc>
          <w:tcPr>
            <w:tcW w:w="318" w:type="pct"/>
            <w:noWrap/>
            <w:vAlign w:val="center"/>
          </w:tcPr>
          <w:p w14:paraId="1D63EA8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49" w:type="pct"/>
            <w:noWrap/>
            <w:vAlign w:val="center"/>
          </w:tcPr>
          <w:p w14:paraId="3080CD2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2.82</w:t>
            </w:r>
          </w:p>
        </w:tc>
        <w:tc>
          <w:tcPr>
            <w:tcW w:w="334" w:type="pct"/>
            <w:noWrap/>
            <w:vAlign w:val="center"/>
          </w:tcPr>
          <w:p w14:paraId="2312D0A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2.28</w:t>
            </w:r>
          </w:p>
        </w:tc>
        <w:tc>
          <w:tcPr>
            <w:tcW w:w="249" w:type="pct"/>
            <w:noWrap/>
            <w:vAlign w:val="center"/>
          </w:tcPr>
          <w:p w14:paraId="0CACFB6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3.36</w:t>
            </w:r>
          </w:p>
        </w:tc>
        <w:tc>
          <w:tcPr>
            <w:tcW w:w="312" w:type="pct"/>
            <w:noWrap/>
            <w:vAlign w:val="center"/>
          </w:tcPr>
          <w:p w14:paraId="428E55F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3.36</w:t>
            </w:r>
          </w:p>
        </w:tc>
        <w:tc>
          <w:tcPr>
            <w:tcW w:w="245" w:type="pct"/>
            <w:noWrap/>
            <w:vAlign w:val="center"/>
          </w:tcPr>
          <w:p w14:paraId="5FB5259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0.13</w:t>
            </w:r>
          </w:p>
        </w:tc>
      </w:tr>
      <w:tr w14:paraId="3B888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3C7008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八月</w:t>
            </w:r>
          </w:p>
        </w:tc>
        <w:tc>
          <w:tcPr>
            <w:tcW w:w="286" w:type="pct"/>
            <w:noWrap/>
            <w:vAlign w:val="center"/>
          </w:tcPr>
          <w:p w14:paraId="0EC043A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12.50</w:t>
            </w:r>
          </w:p>
        </w:tc>
        <w:tc>
          <w:tcPr>
            <w:tcW w:w="300" w:type="pct"/>
            <w:noWrap/>
            <w:vAlign w:val="center"/>
          </w:tcPr>
          <w:p w14:paraId="35A05F6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2.15</w:t>
            </w:r>
          </w:p>
        </w:tc>
        <w:tc>
          <w:tcPr>
            <w:tcW w:w="246" w:type="pct"/>
            <w:noWrap/>
            <w:vAlign w:val="center"/>
          </w:tcPr>
          <w:p w14:paraId="03289FD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0.54</w:t>
            </w:r>
          </w:p>
        </w:tc>
        <w:tc>
          <w:tcPr>
            <w:tcW w:w="268" w:type="pct"/>
            <w:noWrap/>
            <w:vAlign w:val="center"/>
          </w:tcPr>
          <w:p w14:paraId="2F784BC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0.67</w:t>
            </w:r>
          </w:p>
        </w:tc>
        <w:tc>
          <w:tcPr>
            <w:tcW w:w="246" w:type="pct"/>
            <w:noWrap/>
            <w:vAlign w:val="center"/>
          </w:tcPr>
          <w:p w14:paraId="3C188CB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2.55</w:t>
            </w:r>
          </w:p>
        </w:tc>
        <w:tc>
          <w:tcPr>
            <w:tcW w:w="251" w:type="pct"/>
            <w:noWrap/>
            <w:vAlign w:val="center"/>
          </w:tcPr>
          <w:p w14:paraId="3C6FC21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3.76</w:t>
            </w:r>
          </w:p>
        </w:tc>
        <w:tc>
          <w:tcPr>
            <w:tcW w:w="243" w:type="pct"/>
            <w:noWrap/>
            <w:vAlign w:val="center"/>
          </w:tcPr>
          <w:p w14:paraId="3DB955D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13.31</w:t>
            </w:r>
          </w:p>
        </w:tc>
        <w:tc>
          <w:tcPr>
            <w:tcW w:w="247" w:type="pct"/>
            <w:noWrap/>
            <w:vAlign w:val="center"/>
          </w:tcPr>
          <w:p w14:paraId="60B20AE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17.47</w:t>
            </w:r>
          </w:p>
        </w:tc>
        <w:tc>
          <w:tcPr>
            <w:tcW w:w="249" w:type="pct"/>
            <w:noWrap/>
            <w:vAlign w:val="center"/>
          </w:tcPr>
          <w:p w14:paraId="2CD34B4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30.11</w:t>
            </w:r>
          </w:p>
        </w:tc>
        <w:tc>
          <w:tcPr>
            <w:tcW w:w="278" w:type="pct"/>
            <w:noWrap/>
            <w:vAlign w:val="center"/>
          </w:tcPr>
          <w:p w14:paraId="6A993F1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5.78</w:t>
            </w:r>
          </w:p>
        </w:tc>
        <w:tc>
          <w:tcPr>
            <w:tcW w:w="249" w:type="pct"/>
            <w:noWrap/>
            <w:vAlign w:val="center"/>
          </w:tcPr>
          <w:p w14:paraId="786951F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1.34</w:t>
            </w:r>
          </w:p>
        </w:tc>
        <w:tc>
          <w:tcPr>
            <w:tcW w:w="318" w:type="pct"/>
            <w:noWrap/>
            <w:vAlign w:val="center"/>
          </w:tcPr>
          <w:p w14:paraId="3BC9E5A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1.21</w:t>
            </w:r>
          </w:p>
        </w:tc>
        <w:tc>
          <w:tcPr>
            <w:tcW w:w="249" w:type="pct"/>
            <w:noWrap/>
            <w:vAlign w:val="center"/>
          </w:tcPr>
          <w:p w14:paraId="4857B5F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0.40</w:t>
            </w:r>
          </w:p>
        </w:tc>
        <w:tc>
          <w:tcPr>
            <w:tcW w:w="334" w:type="pct"/>
            <w:noWrap/>
            <w:vAlign w:val="center"/>
          </w:tcPr>
          <w:p w14:paraId="7135290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49" w:type="pct"/>
            <w:noWrap/>
            <w:vAlign w:val="center"/>
          </w:tcPr>
          <w:p w14:paraId="7756D88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3.23</w:t>
            </w:r>
          </w:p>
        </w:tc>
        <w:tc>
          <w:tcPr>
            <w:tcW w:w="312" w:type="pct"/>
            <w:noWrap/>
            <w:vAlign w:val="center"/>
          </w:tcPr>
          <w:p w14:paraId="64F8FF0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3.90</w:t>
            </w:r>
          </w:p>
        </w:tc>
        <w:tc>
          <w:tcPr>
            <w:tcW w:w="245" w:type="pct"/>
            <w:noWrap/>
            <w:vAlign w:val="center"/>
          </w:tcPr>
          <w:p w14:paraId="56597A6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w:t>
            </w:r>
          </w:p>
        </w:tc>
      </w:tr>
      <w:tr w14:paraId="76F557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2990388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九月</w:t>
            </w:r>
          </w:p>
        </w:tc>
        <w:tc>
          <w:tcPr>
            <w:tcW w:w="286" w:type="pct"/>
            <w:noWrap/>
            <w:vAlign w:val="center"/>
          </w:tcPr>
          <w:p w14:paraId="40B60CF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42.64</w:t>
            </w:r>
          </w:p>
        </w:tc>
        <w:tc>
          <w:tcPr>
            <w:tcW w:w="300" w:type="pct"/>
            <w:noWrap/>
            <w:vAlign w:val="center"/>
          </w:tcPr>
          <w:p w14:paraId="1279C5A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6.25</w:t>
            </w:r>
          </w:p>
        </w:tc>
        <w:tc>
          <w:tcPr>
            <w:tcW w:w="246" w:type="pct"/>
            <w:noWrap/>
            <w:vAlign w:val="center"/>
          </w:tcPr>
          <w:p w14:paraId="48A3D9E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2.08</w:t>
            </w:r>
          </w:p>
        </w:tc>
        <w:tc>
          <w:tcPr>
            <w:tcW w:w="268" w:type="pct"/>
            <w:noWrap/>
            <w:vAlign w:val="center"/>
          </w:tcPr>
          <w:p w14:paraId="3287995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3.06</w:t>
            </w:r>
          </w:p>
        </w:tc>
        <w:tc>
          <w:tcPr>
            <w:tcW w:w="246" w:type="pct"/>
            <w:noWrap/>
            <w:vAlign w:val="center"/>
          </w:tcPr>
          <w:p w14:paraId="69004BB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3.33</w:t>
            </w:r>
          </w:p>
        </w:tc>
        <w:tc>
          <w:tcPr>
            <w:tcW w:w="251" w:type="pct"/>
            <w:noWrap/>
            <w:vAlign w:val="center"/>
          </w:tcPr>
          <w:p w14:paraId="7436DD8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1.11</w:t>
            </w:r>
          </w:p>
        </w:tc>
        <w:tc>
          <w:tcPr>
            <w:tcW w:w="243" w:type="pct"/>
            <w:noWrap/>
            <w:vAlign w:val="center"/>
          </w:tcPr>
          <w:p w14:paraId="6FBCD31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2.08</w:t>
            </w:r>
          </w:p>
        </w:tc>
        <w:tc>
          <w:tcPr>
            <w:tcW w:w="247" w:type="pct"/>
            <w:noWrap/>
            <w:vAlign w:val="center"/>
          </w:tcPr>
          <w:p w14:paraId="59DD92B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1.81</w:t>
            </w:r>
          </w:p>
        </w:tc>
        <w:tc>
          <w:tcPr>
            <w:tcW w:w="249" w:type="pct"/>
            <w:noWrap/>
            <w:vAlign w:val="center"/>
          </w:tcPr>
          <w:p w14:paraId="172A723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0.56</w:t>
            </w:r>
          </w:p>
        </w:tc>
        <w:tc>
          <w:tcPr>
            <w:tcW w:w="278" w:type="pct"/>
            <w:noWrap/>
            <w:vAlign w:val="center"/>
          </w:tcPr>
          <w:p w14:paraId="68884BB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0.83</w:t>
            </w:r>
          </w:p>
        </w:tc>
        <w:tc>
          <w:tcPr>
            <w:tcW w:w="249" w:type="pct"/>
            <w:noWrap/>
            <w:vAlign w:val="center"/>
          </w:tcPr>
          <w:p w14:paraId="0F292A7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0.56</w:t>
            </w:r>
          </w:p>
        </w:tc>
        <w:tc>
          <w:tcPr>
            <w:tcW w:w="318" w:type="pct"/>
            <w:noWrap/>
            <w:vAlign w:val="center"/>
          </w:tcPr>
          <w:p w14:paraId="506F26D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1.11</w:t>
            </w:r>
          </w:p>
        </w:tc>
        <w:tc>
          <w:tcPr>
            <w:tcW w:w="249" w:type="pct"/>
            <w:noWrap/>
            <w:vAlign w:val="center"/>
          </w:tcPr>
          <w:p w14:paraId="688FCFF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2.22</w:t>
            </w:r>
          </w:p>
        </w:tc>
        <w:tc>
          <w:tcPr>
            <w:tcW w:w="334" w:type="pct"/>
            <w:noWrap/>
            <w:vAlign w:val="center"/>
          </w:tcPr>
          <w:p w14:paraId="562F506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3.89</w:t>
            </w:r>
          </w:p>
        </w:tc>
        <w:tc>
          <w:tcPr>
            <w:tcW w:w="249" w:type="pct"/>
            <w:noWrap/>
            <w:vAlign w:val="center"/>
          </w:tcPr>
          <w:p w14:paraId="370ACC0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10.42</w:t>
            </w:r>
          </w:p>
        </w:tc>
        <w:tc>
          <w:tcPr>
            <w:tcW w:w="312" w:type="pct"/>
            <w:noWrap/>
            <w:vAlign w:val="center"/>
          </w:tcPr>
          <w:p w14:paraId="20909B0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18.06</w:t>
            </w:r>
          </w:p>
        </w:tc>
        <w:tc>
          <w:tcPr>
            <w:tcW w:w="245" w:type="pct"/>
            <w:noWrap/>
            <w:vAlign w:val="center"/>
          </w:tcPr>
          <w:p w14:paraId="06E2DBE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0.00</w:t>
            </w:r>
          </w:p>
        </w:tc>
      </w:tr>
      <w:tr w14:paraId="3B289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5C468DB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十月</w:t>
            </w:r>
          </w:p>
        </w:tc>
        <w:tc>
          <w:tcPr>
            <w:tcW w:w="286" w:type="pct"/>
            <w:noWrap/>
            <w:vAlign w:val="center"/>
          </w:tcPr>
          <w:p w14:paraId="4234C0B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43.01</w:t>
            </w:r>
          </w:p>
        </w:tc>
        <w:tc>
          <w:tcPr>
            <w:tcW w:w="300" w:type="pct"/>
            <w:noWrap/>
            <w:vAlign w:val="center"/>
          </w:tcPr>
          <w:p w14:paraId="43B628C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8.74</w:t>
            </w:r>
          </w:p>
        </w:tc>
        <w:tc>
          <w:tcPr>
            <w:tcW w:w="246" w:type="pct"/>
            <w:noWrap/>
            <w:vAlign w:val="center"/>
          </w:tcPr>
          <w:p w14:paraId="16FD866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2.82</w:t>
            </w:r>
          </w:p>
        </w:tc>
        <w:tc>
          <w:tcPr>
            <w:tcW w:w="268" w:type="pct"/>
            <w:noWrap/>
            <w:vAlign w:val="center"/>
          </w:tcPr>
          <w:p w14:paraId="0C433C6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1.88</w:t>
            </w:r>
          </w:p>
        </w:tc>
        <w:tc>
          <w:tcPr>
            <w:tcW w:w="246" w:type="pct"/>
            <w:noWrap/>
            <w:vAlign w:val="center"/>
          </w:tcPr>
          <w:p w14:paraId="7ED1492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1.21</w:t>
            </w:r>
          </w:p>
        </w:tc>
        <w:tc>
          <w:tcPr>
            <w:tcW w:w="251" w:type="pct"/>
            <w:noWrap/>
            <w:vAlign w:val="center"/>
          </w:tcPr>
          <w:p w14:paraId="3A2A9A6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0.27</w:t>
            </w:r>
          </w:p>
        </w:tc>
        <w:tc>
          <w:tcPr>
            <w:tcW w:w="243" w:type="pct"/>
            <w:noWrap/>
            <w:vAlign w:val="center"/>
          </w:tcPr>
          <w:p w14:paraId="75A4687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1.61</w:t>
            </w:r>
          </w:p>
        </w:tc>
        <w:tc>
          <w:tcPr>
            <w:tcW w:w="247" w:type="pct"/>
            <w:noWrap/>
            <w:vAlign w:val="center"/>
          </w:tcPr>
          <w:p w14:paraId="35A7EE1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2.82</w:t>
            </w:r>
          </w:p>
        </w:tc>
        <w:tc>
          <w:tcPr>
            <w:tcW w:w="249" w:type="pct"/>
            <w:noWrap/>
            <w:vAlign w:val="center"/>
          </w:tcPr>
          <w:p w14:paraId="6B0374E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6.32</w:t>
            </w:r>
          </w:p>
        </w:tc>
        <w:tc>
          <w:tcPr>
            <w:tcW w:w="278" w:type="pct"/>
            <w:noWrap/>
            <w:vAlign w:val="center"/>
          </w:tcPr>
          <w:p w14:paraId="087DFA8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49" w:type="pct"/>
            <w:noWrap/>
            <w:vAlign w:val="center"/>
          </w:tcPr>
          <w:p w14:paraId="0E28448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1.34</w:t>
            </w:r>
          </w:p>
        </w:tc>
        <w:tc>
          <w:tcPr>
            <w:tcW w:w="318" w:type="pct"/>
            <w:noWrap/>
            <w:vAlign w:val="center"/>
          </w:tcPr>
          <w:p w14:paraId="668D447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49" w:type="pct"/>
            <w:noWrap/>
            <w:vAlign w:val="center"/>
          </w:tcPr>
          <w:p w14:paraId="44E9BEE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1.88</w:t>
            </w:r>
          </w:p>
        </w:tc>
        <w:tc>
          <w:tcPr>
            <w:tcW w:w="334" w:type="pct"/>
            <w:noWrap/>
            <w:vAlign w:val="center"/>
          </w:tcPr>
          <w:p w14:paraId="2A9C6C6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4.17</w:t>
            </w:r>
          </w:p>
        </w:tc>
        <w:tc>
          <w:tcPr>
            <w:tcW w:w="249" w:type="pct"/>
            <w:noWrap/>
            <w:vAlign w:val="center"/>
          </w:tcPr>
          <w:p w14:paraId="174C8F0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6.59</w:t>
            </w:r>
          </w:p>
        </w:tc>
        <w:tc>
          <w:tcPr>
            <w:tcW w:w="312" w:type="pct"/>
            <w:noWrap/>
            <w:vAlign w:val="center"/>
          </w:tcPr>
          <w:p w14:paraId="0A1D7F2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15.05</w:t>
            </w:r>
          </w:p>
        </w:tc>
        <w:tc>
          <w:tcPr>
            <w:tcW w:w="245" w:type="pct"/>
            <w:noWrap/>
            <w:vAlign w:val="center"/>
          </w:tcPr>
          <w:p w14:paraId="1A0939C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0.13</w:t>
            </w:r>
          </w:p>
        </w:tc>
      </w:tr>
      <w:tr w14:paraId="56E42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7F1F06A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十一月</w:t>
            </w:r>
          </w:p>
        </w:tc>
        <w:tc>
          <w:tcPr>
            <w:tcW w:w="286" w:type="pct"/>
            <w:noWrap/>
            <w:vAlign w:val="center"/>
          </w:tcPr>
          <w:p w14:paraId="2A28056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33.47</w:t>
            </w:r>
          </w:p>
        </w:tc>
        <w:tc>
          <w:tcPr>
            <w:tcW w:w="300" w:type="pct"/>
            <w:noWrap/>
            <w:vAlign w:val="center"/>
          </w:tcPr>
          <w:p w14:paraId="62F28AC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4.03</w:t>
            </w:r>
          </w:p>
        </w:tc>
        <w:tc>
          <w:tcPr>
            <w:tcW w:w="246" w:type="pct"/>
            <w:noWrap/>
            <w:vAlign w:val="center"/>
          </w:tcPr>
          <w:p w14:paraId="76A24B1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2.64</w:t>
            </w:r>
          </w:p>
        </w:tc>
        <w:tc>
          <w:tcPr>
            <w:tcW w:w="268" w:type="pct"/>
            <w:noWrap/>
            <w:vAlign w:val="center"/>
          </w:tcPr>
          <w:p w14:paraId="3E90B4B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1.67</w:t>
            </w:r>
          </w:p>
        </w:tc>
        <w:tc>
          <w:tcPr>
            <w:tcW w:w="246" w:type="pct"/>
            <w:noWrap/>
            <w:vAlign w:val="center"/>
          </w:tcPr>
          <w:p w14:paraId="75945B4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3.61</w:t>
            </w:r>
          </w:p>
        </w:tc>
        <w:tc>
          <w:tcPr>
            <w:tcW w:w="251" w:type="pct"/>
            <w:noWrap/>
            <w:vAlign w:val="center"/>
          </w:tcPr>
          <w:p w14:paraId="375360E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3.75</w:t>
            </w:r>
          </w:p>
        </w:tc>
        <w:tc>
          <w:tcPr>
            <w:tcW w:w="243" w:type="pct"/>
            <w:noWrap/>
            <w:vAlign w:val="center"/>
          </w:tcPr>
          <w:p w14:paraId="059D46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5.83</w:t>
            </w:r>
          </w:p>
        </w:tc>
        <w:tc>
          <w:tcPr>
            <w:tcW w:w="247" w:type="pct"/>
            <w:noWrap/>
            <w:vAlign w:val="center"/>
          </w:tcPr>
          <w:p w14:paraId="423D5BB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5.14</w:t>
            </w:r>
          </w:p>
        </w:tc>
        <w:tc>
          <w:tcPr>
            <w:tcW w:w="249" w:type="pct"/>
            <w:noWrap/>
            <w:vAlign w:val="center"/>
          </w:tcPr>
          <w:p w14:paraId="62FA9CD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8.33</w:t>
            </w:r>
          </w:p>
        </w:tc>
        <w:tc>
          <w:tcPr>
            <w:tcW w:w="278" w:type="pct"/>
            <w:noWrap/>
            <w:vAlign w:val="center"/>
          </w:tcPr>
          <w:p w14:paraId="2B4CBBA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3.06</w:t>
            </w:r>
          </w:p>
        </w:tc>
        <w:tc>
          <w:tcPr>
            <w:tcW w:w="249" w:type="pct"/>
            <w:noWrap/>
            <w:vAlign w:val="center"/>
          </w:tcPr>
          <w:p w14:paraId="5F5F335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2.78</w:t>
            </w:r>
          </w:p>
        </w:tc>
        <w:tc>
          <w:tcPr>
            <w:tcW w:w="318" w:type="pct"/>
            <w:noWrap/>
            <w:vAlign w:val="center"/>
          </w:tcPr>
          <w:p w14:paraId="4C7B927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2.22</w:t>
            </w:r>
          </w:p>
        </w:tc>
        <w:tc>
          <w:tcPr>
            <w:tcW w:w="249" w:type="pct"/>
            <w:noWrap/>
            <w:vAlign w:val="center"/>
          </w:tcPr>
          <w:p w14:paraId="1B242BC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3.47</w:t>
            </w:r>
          </w:p>
        </w:tc>
        <w:tc>
          <w:tcPr>
            <w:tcW w:w="334" w:type="pct"/>
            <w:noWrap/>
            <w:vAlign w:val="center"/>
          </w:tcPr>
          <w:p w14:paraId="6DA8F3F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3.61</w:t>
            </w:r>
          </w:p>
        </w:tc>
        <w:tc>
          <w:tcPr>
            <w:tcW w:w="249" w:type="pct"/>
            <w:noWrap/>
            <w:vAlign w:val="center"/>
          </w:tcPr>
          <w:p w14:paraId="6BA4AFB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5.42</w:t>
            </w:r>
          </w:p>
        </w:tc>
        <w:tc>
          <w:tcPr>
            <w:tcW w:w="312" w:type="pct"/>
            <w:noWrap/>
            <w:vAlign w:val="center"/>
          </w:tcPr>
          <w:p w14:paraId="18F00FE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10.83</w:t>
            </w:r>
          </w:p>
        </w:tc>
        <w:tc>
          <w:tcPr>
            <w:tcW w:w="245" w:type="pct"/>
            <w:noWrap/>
            <w:vAlign w:val="center"/>
          </w:tcPr>
          <w:p w14:paraId="1800DF3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0.14</w:t>
            </w:r>
          </w:p>
        </w:tc>
      </w:tr>
      <w:tr w14:paraId="6E973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noWrap/>
            <w:vAlign w:val="center"/>
          </w:tcPr>
          <w:p w14:paraId="2EBE292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十二月</w:t>
            </w:r>
          </w:p>
        </w:tc>
        <w:tc>
          <w:tcPr>
            <w:tcW w:w="286" w:type="pct"/>
            <w:noWrap/>
            <w:vAlign w:val="center"/>
          </w:tcPr>
          <w:p w14:paraId="43C08B9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32.93</w:t>
            </w:r>
          </w:p>
        </w:tc>
        <w:tc>
          <w:tcPr>
            <w:tcW w:w="300" w:type="pct"/>
            <w:noWrap/>
            <w:vAlign w:val="center"/>
          </w:tcPr>
          <w:p w14:paraId="4E9A9149">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4.97</w:t>
            </w:r>
          </w:p>
        </w:tc>
        <w:tc>
          <w:tcPr>
            <w:tcW w:w="246" w:type="pct"/>
            <w:noWrap/>
            <w:vAlign w:val="center"/>
          </w:tcPr>
          <w:p w14:paraId="07CB8D6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2.02</w:t>
            </w:r>
          </w:p>
        </w:tc>
        <w:tc>
          <w:tcPr>
            <w:tcW w:w="268" w:type="pct"/>
            <w:noWrap/>
            <w:vAlign w:val="center"/>
          </w:tcPr>
          <w:p w14:paraId="79C626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1.21</w:t>
            </w:r>
          </w:p>
        </w:tc>
        <w:tc>
          <w:tcPr>
            <w:tcW w:w="246" w:type="pct"/>
            <w:noWrap/>
            <w:vAlign w:val="center"/>
          </w:tcPr>
          <w:p w14:paraId="25EFD71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3.49</w:t>
            </w:r>
          </w:p>
        </w:tc>
        <w:tc>
          <w:tcPr>
            <w:tcW w:w="251" w:type="pct"/>
            <w:noWrap/>
            <w:vAlign w:val="center"/>
          </w:tcPr>
          <w:p w14:paraId="4E79502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2.96</w:t>
            </w:r>
          </w:p>
        </w:tc>
        <w:tc>
          <w:tcPr>
            <w:tcW w:w="243" w:type="pct"/>
            <w:noWrap/>
            <w:vAlign w:val="center"/>
          </w:tcPr>
          <w:p w14:paraId="5ADEE70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3.90</w:t>
            </w:r>
          </w:p>
        </w:tc>
        <w:tc>
          <w:tcPr>
            <w:tcW w:w="247" w:type="pct"/>
            <w:noWrap/>
            <w:vAlign w:val="center"/>
          </w:tcPr>
          <w:p w14:paraId="3FD2DFA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5.91</w:t>
            </w:r>
          </w:p>
        </w:tc>
        <w:tc>
          <w:tcPr>
            <w:tcW w:w="249" w:type="pct"/>
            <w:noWrap/>
            <w:vAlign w:val="center"/>
          </w:tcPr>
          <w:p w14:paraId="3066EBC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6.18</w:t>
            </w:r>
          </w:p>
        </w:tc>
        <w:tc>
          <w:tcPr>
            <w:tcW w:w="278" w:type="pct"/>
            <w:noWrap/>
            <w:vAlign w:val="center"/>
          </w:tcPr>
          <w:p w14:paraId="7BB2364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1.61</w:t>
            </w:r>
          </w:p>
        </w:tc>
        <w:tc>
          <w:tcPr>
            <w:tcW w:w="249" w:type="pct"/>
            <w:noWrap/>
            <w:vAlign w:val="center"/>
          </w:tcPr>
          <w:p w14:paraId="2309379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318" w:type="pct"/>
            <w:noWrap/>
            <w:vAlign w:val="center"/>
          </w:tcPr>
          <w:p w14:paraId="1F891276">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1.08</w:t>
            </w:r>
          </w:p>
        </w:tc>
        <w:tc>
          <w:tcPr>
            <w:tcW w:w="249" w:type="pct"/>
            <w:noWrap/>
            <w:vAlign w:val="center"/>
          </w:tcPr>
          <w:p w14:paraId="160BA3F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4.03</w:t>
            </w:r>
          </w:p>
        </w:tc>
        <w:tc>
          <w:tcPr>
            <w:tcW w:w="334" w:type="pct"/>
            <w:noWrap/>
            <w:vAlign w:val="center"/>
          </w:tcPr>
          <w:p w14:paraId="067E8B0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5.51</w:t>
            </w:r>
          </w:p>
        </w:tc>
        <w:tc>
          <w:tcPr>
            <w:tcW w:w="249" w:type="pct"/>
            <w:noWrap/>
            <w:vAlign w:val="center"/>
          </w:tcPr>
          <w:p w14:paraId="48E2E15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9.54</w:t>
            </w:r>
          </w:p>
        </w:tc>
        <w:tc>
          <w:tcPr>
            <w:tcW w:w="312" w:type="pct"/>
            <w:noWrap/>
            <w:vAlign w:val="center"/>
          </w:tcPr>
          <w:p w14:paraId="7A7FE91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13.17</w:t>
            </w:r>
          </w:p>
        </w:tc>
        <w:tc>
          <w:tcPr>
            <w:tcW w:w="245" w:type="pct"/>
            <w:noWrap/>
            <w:vAlign w:val="center"/>
          </w:tcPr>
          <w:p w14:paraId="3D96A3C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0.40</w:t>
            </w:r>
          </w:p>
        </w:tc>
      </w:tr>
    </w:tbl>
    <w:p w14:paraId="44689EF4">
      <w:pPr>
        <w:pStyle w:val="39"/>
        <w:bidi w:val="0"/>
        <w:rPr>
          <w:rFonts w:hint="default"/>
        </w:rPr>
      </w:pPr>
      <w:r>
        <w:rPr>
          <w:rFonts w:hint="default"/>
        </w:rPr>
        <w:t>表</w:t>
      </w:r>
      <w:r>
        <w:rPr>
          <w:rFonts w:hint="eastAsia"/>
          <w:lang w:val="en-US" w:eastAsia="zh-CN"/>
        </w:rPr>
        <w:t xml:space="preserve">6.2-7 </w:t>
      </w:r>
      <w:r>
        <w:rPr>
          <w:rFonts w:hint="default"/>
        </w:rPr>
        <w:t>湘阴县2022年平均风频的季变化及年均风频</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695"/>
        <w:gridCol w:w="788"/>
        <w:gridCol w:w="695"/>
        <w:gridCol w:w="760"/>
        <w:gridCol w:w="695"/>
        <w:gridCol w:w="712"/>
        <w:gridCol w:w="689"/>
        <w:gridCol w:w="698"/>
        <w:gridCol w:w="692"/>
        <w:gridCol w:w="788"/>
        <w:gridCol w:w="695"/>
        <w:gridCol w:w="902"/>
        <w:gridCol w:w="695"/>
        <w:gridCol w:w="947"/>
        <w:gridCol w:w="696"/>
        <w:gridCol w:w="886"/>
        <w:gridCol w:w="690"/>
      </w:tblGrid>
      <w:tr w14:paraId="59AE8B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tcBorders>
              <w:tl2br w:val="single" w:color="auto" w:sz="4" w:space="0"/>
            </w:tcBorders>
            <w:noWrap/>
            <w:vAlign w:val="center"/>
          </w:tcPr>
          <w:p w14:paraId="3049F504">
            <w:pPr>
              <w:pStyle w:val="42"/>
              <w:keepNext w:val="0"/>
              <w:keepLines w:val="0"/>
              <w:suppressLineNumbers w:val="0"/>
              <w:bidi w:val="0"/>
              <w:spacing w:before="0" w:beforeAutospacing="0" w:after="0" w:afterAutospacing="0"/>
              <w:rPr>
                <w:rFonts w:hint="default"/>
                <w:lang w:eastAsia="zh-CN"/>
              </w:rPr>
            </w:pPr>
            <w:r>
              <w:rPr>
                <w:rFonts w:hint="default"/>
                <w:lang w:val="en-US" w:eastAsia="zh-CN"/>
              </w:rPr>
              <w:t xml:space="preserve">    </w:t>
            </w:r>
            <w:r>
              <w:rPr>
                <w:rFonts w:hint="default"/>
              </w:rPr>
              <w:t>风频%</w:t>
            </w:r>
          </w:p>
          <w:p w14:paraId="15F18A2F">
            <w:pPr>
              <w:pStyle w:val="42"/>
              <w:keepNext w:val="0"/>
              <w:keepLines w:val="0"/>
              <w:suppressLineNumbers w:val="0"/>
              <w:bidi w:val="0"/>
              <w:spacing w:before="0" w:beforeAutospacing="0" w:after="0" w:afterAutospacing="0"/>
              <w:rPr>
                <w:rFonts w:hint="default"/>
              </w:rPr>
            </w:pPr>
            <w:r>
              <w:rPr>
                <w:rFonts w:hint="default"/>
              </w:rPr>
              <w:t>风向</w:t>
            </w:r>
          </w:p>
        </w:tc>
        <w:tc>
          <w:tcPr>
            <w:tcW w:w="245" w:type="pct"/>
            <w:noWrap/>
            <w:vAlign w:val="center"/>
          </w:tcPr>
          <w:p w14:paraId="69CED3D0">
            <w:pPr>
              <w:pStyle w:val="42"/>
              <w:keepNext w:val="0"/>
              <w:keepLines w:val="0"/>
              <w:suppressLineNumbers w:val="0"/>
              <w:bidi w:val="0"/>
              <w:spacing w:before="0" w:beforeAutospacing="0" w:after="0" w:afterAutospacing="0"/>
              <w:rPr>
                <w:rFonts w:hint="default"/>
              </w:rPr>
            </w:pPr>
            <w:r>
              <w:rPr>
                <w:rFonts w:hint="default"/>
              </w:rPr>
              <w:t>N</w:t>
            </w:r>
          </w:p>
        </w:tc>
        <w:tc>
          <w:tcPr>
            <w:tcW w:w="278" w:type="pct"/>
            <w:noWrap/>
            <w:vAlign w:val="center"/>
          </w:tcPr>
          <w:p w14:paraId="46EE73F9">
            <w:pPr>
              <w:pStyle w:val="42"/>
              <w:keepNext w:val="0"/>
              <w:keepLines w:val="0"/>
              <w:suppressLineNumbers w:val="0"/>
              <w:bidi w:val="0"/>
              <w:spacing w:before="0" w:beforeAutospacing="0" w:after="0" w:afterAutospacing="0"/>
              <w:rPr>
                <w:rFonts w:hint="default"/>
              </w:rPr>
            </w:pPr>
            <w:r>
              <w:rPr>
                <w:rFonts w:hint="default"/>
              </w:rPr>
              <w:t>NNE</w:t>
            </w:r>
          </w:p>
        </w:tc>
        <w:tc>
          <w:tcPr>
            <w:tcW w:w="245" w:type="pct"/>
            <w:noWrap/>
            <w:vAlign w:val="center"/>
          </w:tcPr>
          <w:p w14:paraId="2FE168B1">
            <w:pPr>
              <w:pStyle w:val="42"/>
              <w:keepNext w:val="0"/>
              <w:keepLines w:val="0"/>
              <w:suppressLineNumbers w:val="0"/>
              <w:bidi w:val="0"/>
              <w:spacing w:before="0" w:beforeAutospacing="0" w:after="0" w:afterAutospacing="0"/>
              <w:rPr>
                <w:rFonts w:hint="default"/>
              </w:rPr>
            </w:pPr>
            <w:r>
              <w:rPr>
                <w:rFonts w:hint="default"/>
              </w:rPr>
              <w:t>NE</w:t>
            </w:r>
          </w:p>
        </w:tc>
        <w:tc>
          <w:tcPr>
            <w:tcW w:w="268" w:type="pct"/>
            <w:noWrap/>
            <w:vAlign w:val="center"/>
          </w:tcPr>
          <w:p w14:paraId="5F555893">
            <w:pPr>
              <w:pStyle w:val="42"/>
              <w:keepNext w:val="0"/>
              <w:keepLines w:val="0"/>
              <w:suppressLineNumbers w:val="0"/>
              <w:bidi w:val="0"/>
              <w:spacing w:before="0" w:beforeAutospacing="0" w:after="0" w:afterAutospacing="0"/>
              <w:rPr>
                <w:rFonts w:hint="default"/>
              </w:rPr>
            </w:pPr>
            <w:r>
              <w:rPr>
                <w:rFonts w:hint="default"/>
              </w:rPr>
              <w:t>ENE</w:t>
            </w:r>
          </w:p>
        </w:tc>
        <w:tc>
          <w:tcPr>
            <w:tcW w:w="245" w:type="pct"/>
            <w:noWrap/>
            <w:vAlign w:val="center"/>
          </w:tcPr>
          <w:p w14:paraId="03F1E6CF">
            <w:pPr>
              <w:pStyle w:val="42"/>
              <w:keepNext w:val="0"/>
              <w:keepLines w:val="0"/>
              <w:suppressLineNumbers w:val="0"/>
              <w:bidi w:val="0"/>
              <w:spacing w:before="0" w:beforeAutospacing="0" w:after="0" w:afterAutospacing="0"/>
              <w:rPr>
                <w:rFonts w:hint="default"/>
              </w:rPr>
            </w:pPr>
            <w:r>
              <w:rPr>
                <w:rFonts w:hint="default"/>
              </w:rPr>
              <w:t>E</w:t>
            </w:r>
          </w:p>
        </w:tc>
        <w:tc>
          <w:tcPr>
            <w:tcW w:w="251" w:type="pct"/>
            <w:noWrap/>
            <w:vAlign w:val="center"/>
          </w:tcPr>
          <w:p w14:paraId="3CF56D93">
            <w:pPr>
              <w:pStyle w:val="42"/>
              <w:keepNext w:val="0"/>
              <w:keepLines w:val="0"/>
              <w:suppressLineNumbers w:val="0"/>
              <w:bidi w:val="0"/>
              <w:spacing w:before="0" w:beforeAutospacing="0" w:after="0" w:afterAutospacing="0"/>
              <w:rPr>
                <w:rFonts w:hint="default"/>
              </w:rPr>
            </w:pPr>
            <w:r>
              <w:rPr>
                <w:rFonts w:hint="default"/>
              </w:rPr>
              <w:t>ESE</w:t>
            </w:r>
          </w:p>
        </w:tc>
        <w:tc>
          <w:tcPr>
            <w:tcW w:w="238" w:type="pct"/>
            <w:noWrap/>
            <w:vAlign w:val="center"/>
          </w:tcPr>
          <w:p w14:paraId="5FF8A3EB">
            <w:pPr>
              <w:pStyle w:val="42"/>
              <w:keepNext w:val="0"/>
              <w:keepLines w:val="0"/>
              <w:suppressLineNumbers w:val="0"/>
              <w:bidi w:val="0"/>
              <w:spacing w:before="0" w:beforeAutospacing="0" w:after="0" w:afterAutospacing="0"/>
              <w:rPr>
                <w:rFonts w:hint="default"/>
              </w:rPr>
            </w:pPr>
            <w:r>
              <w:rPr>
                <w:rFonts w:hint="default"/>
              </w:rPr>
              <w:t>SE</w:t>
            </w:r>
          </w:p>
        </w:tc>
        <w:tc>
          <w:tcPr>
            <w:tcW w:w="246" w:type="pct"/>
            <w:noWrap/>
            <w:vAlign w:val="center"/>
          </w:tcPr>
          <w:p w14:paraId="610756C3">
            <w:pPr>
              <w:pStyle w:val="42"/>
              <w:keepNext w:val="0"/>
              <w:keepLines w:val="0"/>
              <w:suppressLineNumbers w:val="0"/>
              <w:bidi w:val="0"/>
              <w:spacing w:before="0" w:beforeAutospacing="0" w:after="0" w:afterAutospacing="0"/>
              <w:rPr>
                <w:rFonts w:hint="default"/>
              </w:rPr>
            </w:pPr>
            <w:r>
              <w:rPr>
                <w:rFonts w:hint="default"/>
              </w:rPr>
              <w:t>SSE</w:t>
            </w:r>
          </w:p>
        </w:tc>
        <w:tc>
          <w:tcPr>
            <w:tcW w:w="244" w:type="pct"/>
            <w:noWrap/>
            <w:vAlign w:val="center"/>
          </w:tcPr>
          <w:p w14:paraId="4F7A5EA7">
            <w:pPr>
              <w:pStyle w:val="42"/>
              <w:keepNext w:val="0"/>
              <w:keepLines w:val="0"/>
              <w:suppressLineNumbers w:val="0"/>
              <w:bidi w:val="0"/>
              <w:spacing w:before="0" w:beforeAutospacing="0" w:after="0" w:afterAutospacing="0"/>
              <w:rPr>
                <w:rFonts w:hint="default"/>
              </w:rPr>
            </w:pPr>
            <w:r>
              <w:rPr>
                <w:rFonts w:hint="default"/>
              </w:rPr>
              <w:t>S</w:t>
            </w:r>
          </w:p>
        </w:tc>
        <w:tc>
          <w:tcPr>
            <w:tcW w:w="278" w:type="pct"/>
            <w:noWrap/>
            <w:vAlign w:val="center"/>
          </w:tcPr>
          <w:p w14:paraId="320FB5AC">
            <w:pPr>
              <w:pStyle w:val="42"/>
              <w:keepNext w:val="0"/>
              <w:keepLines w:val="0"/>
              <w:suppressLineNumbers w:val="0"/>
              <w:bidi w:val="0"/>
              <w:spacing w:before="0" w:beforeAutospacing="0" w:after="0" w:afterAutospacing="0"/>
              <w:rPr>
                <w:rFonts w:hint="default"/>
              </w:rPr>
            </w:pPr>
            <w:r>
              <w:rPr>
                <w:rFonts w:hint="default"/>
              </w:rPr>
              <w:t>SSW</w:t>
            </w:r>
          </w:p>
        </w:tc>
        <w:tc>
          <w:tcPr>
            <w:tcW w:w="245" w:type="pct"/>
            <w:noWrap/>
            <w:vAlign w:val="center"/>
          </w:tcPr>
          <w:p w14:paraId="3C4F84D5">
            <w:pPr>
              <w:pStyle w:val="42"/>
              <w:keepNext w:val="0"/>
              <w:keepLines w:val="0"/>
              <w:suppressLineNumbers w:val="0"/>
              <w:bidi w:val="0"/>
              <w:spacing w:before="0" w:beforeAutospacing="0" w:after="0" w:afterAutospacing="0"/>
              <w:rPr>
                <w:rFonts w:hint="default"/>
              </w:rPr>
            </w:pPr>
            <w:r>
              <w:rPr>
                <w:rFonts w:hint="default"/>
              </w:rPr>
              <w:t>SW</w:t>
            </w:r>
          </w:p>
        </w:tc>
        <w:tc>
          <w:tcPr>
            <w:tcW w:w="318" w:type="pct"/>
            <w:noWrap/>
            <w:vAlign w:val="center"/>
          </w:tcPr>
          <w:p w14:paraId="4FC0FC8F">
            <w:pPr>
              <w:pStyle w:val="42"/>
              <w:keepNext w:val="0"/>
              <w:keepLines w:val="0"/>
              <w:suppressLineNumbers w:val="0"/>
              <w:bidi w:val="0"/>
              <w:spacing w:before="0" w:beforeAutospacing="0" w:after="0" w:afterAutospacing="0"/>
              <w:rPr>
                <w:rFonts w:hint="default"/>
              </w:rPr>
            </w:pPr>
            <w:r>
              <w:rPr>
                <w:rFonts w:hint="default"/>
              </w:rPr>
              <w:t>WSW</w:t>
            </w:r>
          </w:p>
        </w:tc>
        <w:tc>
          <w:tcPr>
            <w:tcW w:w="245" w:type="pct"/>
            <w:noWrap/>
            <w:vAlign w:val="center"/>
          </w:tcPr>
          <w:p w14:paraId="1CF01A8B">
            <w:pPr>
              <w:pStyle w:val="42"/>
              <w:keepNext w:val="0"/>
              <w:keepLines w:val="0"/>
              <w:suppressLineNumbers w:val="0"/>
              <w:bidi w:val="0"/>
              <w:spacing w:before="0" w:beforeAutospacing="0" w:after="0" w:afterAutospacing="0"/>
              <w:rPr>
                <w:rFonts w:hint="default"/>
              </w:rPr>
            </w:pPr>
            <w:r>
              <w:rPr>
                <w:rFonts w:hint="default"/>
              </w:rPr>
              <w:t>W</w:t>
            </w:r>
          </w:p>
        </w:tc>
        <w:tc>
          <w:tcPr>
            <w:tcW w:w="334" w:type="pct"/>
            <w:noWrap/>
            <w:vAlign w:val="center"/>
          </w:tcPr>
          <w:p w14:paraId="054272A4">
            <w:pPr>
              <w:pStyle w:val="42"/>
              <w:keepNext w:val="0"/>
              <w:keepLines w:val="0"/>
              <w:suppressLineNumbers w:val="0"/>
              <w:bidi w:val="0"/>
              <w:spacing w:before="0" w:beforeAutospacing="0" w:after="0" w:afterAutospacing="0"/>
              <w:rPr>
                <w:rFonts w:hint="default"/>
              </w:rPr>
            </w:pPr>
            <w:r>
              <w:rPr>
                <w:rFonts w:hint="default"/>
              </w:rPr>
              <w:t>WNW</w:t>
            </w:r>
          </w:p>
        </w:tc>
        <w:tc>
          <w:tcPr>
            <w:tcW w:w="245" w:type="pct"/>
            <w:noWrap/>
            <w:vAlign w:val="center"/>
          </w:tcPr>
          <w:p w14:paraId="160F80C8">
            <w:pPr>
              <w:pStyle w:val="42"/>
              <w:keepNext w:val="0"/>
              <w:keepLines w:val="0"/>
              <w:suppressLineNumbers w:val="0"/>
              <w:bidi w:val="0"/>
              <w:spacing w:before="0" w:beforeAutospacing="0" w:after="0" w:afterAutospacing="0"/>
              <w:rPr>
                <w:rFonts w:hint="default"/>
              </w:rPr>
            </w:pPr>
            <w:r>
              <w:rPr>
                <w:rFonts w:hint="default"/>
              </w:rPr>
              <w:t>NW</w:t>
            </w:r>
          </w:p>
        </w:tc>
        <w:tc>
          <w:tcPr>
            <w:tcW w:w="312" w:type="pct"/>
            <w:noWrap/>
            <w:vAlign w:val="center"/>
          </w:tcPr>
          <w:p w14:paraId="6FDCA961">
            <w:pPr>
              <w:pStyle w:val="42"/>
              <w:keepNext w:val="0"/>
              <w:keepLines w:val="0"/>
              <w:suppressLineNumbers w:val="0"/>
              <w:bidi w:val="0"/>
              <w:spacing w:before="0" w:beforeAutospacing="0" w:after="0" w:afterAutospacing="0"/>
              <w:rPr>
                <w:rFonts w:hint="default"/>
              </w:rPr>
            </w:pPr>
            <w:r>
              <w:rPr>
                <w:rFonts w:hint="default"/>
              </w:rPr>
              <w:t>NNW</w:t>
            </w:r>
          </w:p>
        </w:tc>
        <w:tc>
          <w:tcPr>
            <w:tcW w:w="243" w:type="pct"/>
            <w:noWrap/>
            <w:vAlign w:val="center"/>
          </w:tcPr>
          <w:p w14:paraId="2F695100">
            <w:pPr>
              <w:pStyle w:val="42"/>
              <w:keepNext w:val="0"/>
              <w:keepLines w:val="0"/>
              <w:suppressLineNumbers w:val="0"/>
              <w:bidi w:val="0"/>
              <w:spacing w:before="0" w:beforeAutospacing="0" w:after="0" w:afterAutospacing="0"/>
              <w:rPr>
                <w:rFonts w:hint="default"/>
              </w:rPr>
            </w:pPr>
            <w:r>
              <w:rPr>
                <w:rFonts w:hint="default"/>
              </w:rPr>
              <w:t>C</w:t>
            </w:r>
          </w:p>
        </w:tc>
      </w:tr>
      <w:tr w14:paraId="389C2A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noWrap/>
            <w:vAlign w:val="center"/>
          </w:tcPr>
          <w:p w14:paraId="6C9D836E">
            <w:pPr>
              <w:pStyle w:val="42"/>
              <w:keepNext w:val="0"/>
              <w:keepLines w:val="0"/>
              <w:suppressLineNumbers w:val="0"/>
              <w:bidi w:val="0"/>
              <w:spacing w:before="0" w:beforeAutospacing="0" w:after="0" w:afterAutospacing="0"/>
              <w:rPr>
                <w:rFonts w:hint="default"/>
              </w:rPr>
            </w:pPr>
            <w:r>
              <w:rPr>
                <w:rFonts w:hint="default"/>
              </w:rPr>
              <w:t>春季</w:t>
            </w:r>
          </w:p>
        </w:tc>
        <w:tc>
          <w:tcPr>
            <w:tcW w:w="245" w:type="pct"/>
            <w:noWrap/>
            <w:vAlign w:val="center"/>
          </w:tcPr>
          <w:p w14:paraId="3EE6360F">
            <w:pPr>
              <w:pStyle w:val="42"/>
              <w:keepNext w:val="0"/>
              <w:keepLines w:val="0"/>
              <w:suppressLineNumbers w:val="0"/>
              <w:bidi w:val="0"/>
              <w:spacing w:before="0" w:beforeAutospacing="0" w:after="0" w:afterAutospacing="0"/>
              <w:rPr>
                <w:rFonts w:hint="default"/>
              </w:rPr>
            </w:pPr>
            <w:r>
              <w:rPr>
                <w:rFonts w:hint="default"/>
              </w:rPr>
              <w:t>22.33</w:t>
            </w:r>
          </w:p>
        </w:tc>
        <w:tc>
          <w:tcPr>
            <w:tcW w:w="278" w:type="pct"/>
            <w:noWrap/>
            <w:vAlign w:val="center"/>
          </w:tcPr>
          <w:p w14:paraId="020A5EA7">
            <w:pPr>
              <w:pStyle w:val="42"/>
              <w:keepNext w:val="0"/>
              <w:keepLines w:val="0"/>
              <w:suppressLineNumbers w:val="0"/>
              <w:bidi w:val="0"/>
              <w:spacing w:before="0" w:beforeAutospacing="0" w:after="0" w:afterAutospacing="0"/>
              <w:rPr>
                <w:rFonts w:hint="default"/>
              </w:rPr>
            </w:pPr>
            <w:r>
              <w:rPr>
                <w:rFonts w:hint="default"/>
              </w:rPr>
              <w:t>5.30</w:t>
            </w:r>
          </w:p>
        </w:tc>
        <w:tc>
          <w:tcPr>
            <w:tcW w:w="245" w:type="pct"/>
            <w:noWrap/>
            <w:vAlign w:val="center"/>
          </w:tcPr>
          <w:p w14:paraId="2EE77E48">
            <w:pPr>
              <w:pStyle w:val="42"/>
              <w:keepNext w:val="0"/>
              <w:keepLines w:val="0"/>
              <w:suppressLineNumbers w:val="0"/>
              <w:bidi w:val="0"/>
              <w:spacing w:before="0" w:beforeAutospacing="0" w:after="0" w:afterAutospacing="0"/>
              <w:rPr>
                <w:rFonts w:hint="default"/>
              </w:rPr>
            </w:pPr>
            <w:r>
              <w:rPr>
                <w:rFonts w:hint="default"/>
              </w:rPr>
              <w:t>1.86</w:t>
            </w:r>
          </w:p>
        </w:tc>
        <w:tc>
          <w:tcPr>
            <w:tcW w:w="268" w:type="pct"/>
            <w:noWrap/>
            <w:vAlign w:val="center"/>
          </w:tcPr>
          <w:p w14:paraId="66707D91">
            <w:pPr>
              <w:pStyle w:val="42"/>
              <w:keepNext w:val="0"/>
              <w:keepLines w:val="0"/>
              <w:suppressLineNumbers w:val="0"/>
              <w:bidi w:val="0"/>
              <w:spacing w:before="0" w:beforeAutospacing="0" w:after="0" w:afterAutospacing="0"/>
              <w:rPr>
                <w:rFonts w:hint="default"/>
              </w:rPr>
            </w:pPr>
            <w:r>
              <w:rPr>
                <w:rFonts w:hint="default"/>
              </w:rPr>
              <w:t>1.09</w:t>
            </w:r>
          </w:p>
        </w:tc>
        <w:tc>
          <w:tcPr>
            <w:tcW w:w="245" w:type="pct"/>
            <w:noWrap/>
            <w:vAlign w:val="center"/>
          </w:tcPr>
          <w:p w14:paraId="76AF4016">
            <w:pPr>
              <w:pStyle w:val="42"/>
              <w:keepNext w:val="0"/>
              <w:keepLines w:val="0"/>
              <w:suppressLineNumbers w:val="0"/>
              <w:bidi w:val="0"/>
              <w:spacing w:before="0" w:beforeAutospacing="0" w:after="0" w:afterAutospacing="0"/>
              <w:rPr>
                <w:rFonts w:hint="default"/>
              </w:rPr>
            </w:pPr>
            <w:r>
              <w:rPr>
                <w:rFonts w:hint="default"/>
              </w:rPr>
              <w:t>2.08</w:t>
            </w:r>
          </w:p>
        </w:tc>
        <w:tc>
          <w:tcPr>
            <w:tcW w:w="251" w:type="pct"/>
            <w:noWrap/>
            <w:vAlign w:val="center"/>
          </w:tcPr>
          <w:p w14:paraId="457BB954">
            <w:pPr>
              <w:pStyle w:val="42"/>
              <w:keepNext w:val="0"/>
              <w:keepLines w:val="0"/>
              <w:suppressLineNumbers w:val="0"/>
              <w:bidi w:val="0"/>
              <w:spacing w:before="0" w:beforeAutospacing="0" w:after="0" w:afterAutospacing="0"/>
              <w:rPr>
                <w:rFonts w:hint="default"/>
              </w:rPr>
            </w:pPr>
            <w:r>
              <w:rPr>
                <w:rFonts w:hint="default"/>
              </w:rPr>
              <w:t>3.03</w:t>
            </w:r>
          </w:p>
        </w:tc>
        <w:tc>
          <w:tcPr>
            <w:tcW w:w="238" w:type="pct"/>
            <w:noWrap/>
            <w:vAlign w:val="center"/>
          </w:tcPr>
          <w:p w14:paraId="6AC99471">
            <w:pPr>
              <w:pStyle w:val="42"/>
              <w:keepNext w:val="0"/>
              <w:keepLines w:val="0"/>
              <w:suppressLineNumbers w:val="0"/>
              <w:bidi w:val="0"/>
              <w:spacing w:before="0" w:beforeAutospacing="0" w:after="0" w:afterAutospacing="0"/>
              <w:rPr>
                <w:rFonts w:hint="default"/>
              </w:rPr>
            </w:pPr>
            <w:r>
              <w:rPr>
                <w:rFonts w:hint="default"/>
              </w:rPr>
              <w:t>8.38</w:t>
            </w:r>
          </w:p>
        </w:tc>
        <w:tc>
          <w:tcPr>
            <w:tcW w:w="246" w:type="pct"/>
            <w:noWrap/>
            <w:vAlign w:val="center"/>
          </w:tcPr>
          <w:p w14:paraId="49B538CE">
            <w:pPr>
              <w:pStyle w:val="42"/>
              <w:keepNext w:val="0"/>
              <w:keepLines w:val="0"/>
              <w:suppressLineNumbers w:val="0"/>
              <w:bidi w:val="0"/>
              <w:spacing w:before="0" w:beforeAutospacing="0" w:after="0" w:afterAutospacing="0"/>
              <w:rPr>
                <w:rFonts w:hint="default"/>
              </w:rPr>
            </w:pPr>
            <w:r>
              <w:rPr>
                <w:rFonts w:hint="default"/>
              </w:rPr>
              <w:t>9.19</w:t>
            </w:r>
          </w:p>
        </w:tc>
        <w:tc>
          <w:tcPr>
            <w:tcW w:w="244" w:type="pct"/>
            <w:noWrap/>
            <w:vAlign w:val="center"/>
          </w:tcPr>
          <w:p w14:paraId="4A67A6AC">
            <w:pPr>
              <w:pStyle w:val="42"/>
              <w:keepNext w:val="0"/>
              <w:keepLines w:val="0"/>
              <w:suppressLineNumbers w:val="0"/>
              <w:bidi w:val="0"/>
              <w:spacing w:before="0" w:beforeAutospacing="0" w:after="0" w:afterAutospacing="0"/>
              <w:rPr>
                <w:rFonts w:hint="default"/>
              </w:rPr>
            </w:pPr>
            <w:r>
              <w:rPr>
                <w:rFonts w:hint="default"/>
              </w:rPr>
              <w:t>15.85</w:t>
            </w:r>
          </w:p>
        </w:tc>
        <w:tc>
          <w:tcPr>
            <w:tcW w:w="278" w:type="pct"/>
            <w:noWrap/>
            <w:vAlign w:val="center"/>
          </w:tcPr>
          <w:p w14:paraId="79983C0C">
            <w:pPr>
              <w:pStyle w:val="42"/>
              <w:keepNext w:val="0"/>
              <w:keepLines w:val="0"/>
              <w:suppressLineNumbers w:val="0"/>
              <w:bidi w:val="0"/>
              <w:spacing w:before="0" w:beforeAutospacing="0" w:after="0" w:afterAutospacing="0"/>
              <w:rPr>
                <w:rFonts w:hint="default"/>
              </w:rPr>
            </w:pPr>
            <w:r>
              <w:rPr>
                <w:rFonts w:hint="default"/>
              </w:rPr>
              <w:t>4.21</w:t>
            </w:r>
          </w:p>
        </w:tc>
        <w:tc>
          <w:tcPr>
            <w:tcW w:w="245" w:type="pct"/>
            <w:noWrap/>
            <w:vAlign w:val="center"/>
          </w:tcPr>
          <w:p w14:paraId="2AB961AB">
            <w:pPr>
              <w:pStyle w:val="42"/>
              <w:keepNext w:val="0"/>
              <w:keepLines w:val="0"/>
              <w:suppressLineNumbers w:val="0"/>
              <w:bidi w:val="0"/>
              <w:spacing w:before="0" w:beforeAutospacing="0" w:after="0" w:afterAutospacing="0"/>
              <w:rPr>
                <w:rFonts w:hint="default"/>
              </w:rPr>
            </w:pPr>
            <w:r>
              <w:rPr>
                <w:rFonts w:hint="default"/>
              </w:rPr>
              <w:t>2.13</w:t>
            </w:r>
          </w:p>
        </w:tc>
        <w:tc>
          <w:tcPr>
            <w:tcW w:w="318" w:type="pct"/>
            <w:noWrap/>
            <w:vAlign w:val="center"/>
          </w:tcPr>
          <w:p w14:paraId="13C35E89">
            <w:pPr>
              <w:pStyle w:val="42"/>
              <w:keepNext w:val="0"/>
              <w:keepLines w:val="0"/>
              <w:suppressLineNumbers w:val="0"/>
              <w:bidi w:val="0"/>
              <w:spacing w:before="0" w:beforeAutospacing="0" w:after="0" w:afterAutospacing="0"/>
              <w:rPr>
                <w:rFonts w:hint="default"/>
              </w:rPr>
            </w:pPr>
            <w:r>
              <w:rPr>
                <w:rFonts w:hint="default"/>
              </w:rPr>
              <w:t>2.22</w:t>
            </w:r>
          </w:p>
        </w:tc>
        <w:tc>
          <w:tcPr>
            <w:tcW w:w="245" w:type="pct"/>
            <w:noWrap/>
            <w:vAlign w:val="center"/>
          </w:tcPr>
          <w:p w14:paraId="11B9EBA5">
            <w:pPr>
              <w:pStyle w:val="42"/>
              <w:keepNext w:val="0"/>
              <w:keepLines w:val="0"/>
              <w:suppressLineNumbers w:val="0"/>
              <w:bidi w:val="0"/>
              <w:spacing w:before="0" w:beforeAutospacing="0" w:after="0" w:afterAutospacing="0"/>
              <w:rPr>
                <w:rFonts w:hint="default"/>
              </w:rPr>
            </w:pPr>
            <w:r>
              <w:rPr>
                <w:rFonts w:hint="default"/>
              </w:rPr>
              <w:t>2.85</w:t>
            </w:r>
          </w:p>
        </w:tc>
        <w:tc>
          <w:tcPr>
            <w:tcW w:w="334" w:type="pct"/>
            <w:noWrap/>
            <w:vAlign w:val="center"/>
          </w:tcPr>
          <w:p w14:paraId="54D312CA">
            <w:pPr>
              <w:pStyle w:val="42"/>
              <w:keepNext w:val="0"/>
              <w:keepLines w:val="0"/>
              <w:suppressLineNumbers w:val="0"/>
              <w:bidi w:val="0"/>
              <w:spacing w:before="0" w:beforeAutospacing="0" w:after="0" w:afterAutospacing="0"/>
              <w:rPr>
                <w:rFonts w:hint="default"/>
              </w:rPr>
            </w:pPr>
            <w:r>
              <w:rPr>
                <w:rFonts w:hint="default"/>
              </w:rPr>
              <w:t>4.03</w:t>
            </w:r>
          </w:p>
        </w:tc>
        <w:tc>
          <w:tcPr>
            <w:tcW w:w="245" w:type="pct"/>
            <w:noWrap/>
            <w:vAlign w:val="center"/>
          </w:tcPr>
          <w:p w14:paraId="49DCA566">
            <w:pPr>
              <w:pStyle w:val="42"/>
              <w:keepNext w:val="0"/>
              <w:keepLines w:val="0"/>
              <w:suppressLineNumbers w:val="0"/>
              <w:bidi w:val="0"/>
              <w:spacing w:before="0" w:beforeAutospacing="0" w:after="0" w:afterAutospacing="0"/>
              <w:rPr>
                <w:rFonts w:hint="default"/>
              </w:rPr>
            </w:pPr>
            <w:r>
              <w:rPr>
                <w:rFonts w:hint="default"/>
              </w:rPr>
              <w:t>6.07</w:t>
            </w:r>
          </w:p>
        </w:tc>
        <w:tc>
          <w:tcPr>
            <w:tcW w:w="312" w:type="pct"/>
            <w:noWrap/>
            <w:vAlign w:val="center"/>
          </w:tcPr>
          <w:p w14:paraId="08BC43E5">
            <w:pPr>
              <w:pStyle w:val="42"/>
              <w:keepNext w:val="0"/>
              <w:keepLines w:val="0"/>
              <w:suppressLineNumbers w:val="0"/>
              <w:bidi w:val="0"/>
              <w:spacing w:before="0" w:beforeAutospacing="0" w:after="0" w:afterAutospacing="0"/>
              <w:rPr>
                <w:rFonts w:hint="default"/>
              </w:rPr>
            </w:pPr>
            <w:r>
              <w:rPr>
                <w:rFonts w:hint="default"/>
              </w:rPr>
              <w:t>9.06</w:t>
            </w:r>
          </w:p>
        </w:tc>
        <w:tc>
          <w:tcPr>
            <w:tcW w:w="243" w:type="pct"/>
            <w:noWrap/>
            <w:vAlign w:val="center"/>
          </w:tcPr>
          <w:p w14:paraId="31124437">
            <w:pPr>
              <w:pStyle w:val="42"/>
              <w:keepNext w:val="0"/>
              <w:keepLines w:val="0"/>
              <w:suppressLineNumbers w:val="0"/>
              <w:bidi w:val="0"/>
              <w:spacing w:before="0" w:beforeAutospacing="0" w:after="0" w:afterAutospacing="0"/>
              <w:rPr>
                <w:rFonts w:hint="default"/>
              </w:rPr>
            </w:pPr>
            <w:r>
              <w:rPr>
                <w:rFonts w:hint="default"/>
              </w:rPr>
              <w:t>0.32</w:t>
            </w:r>
          </w:p>
        </w:tc>
      </w:tr>
      <w:tr w14:paraId="0AA5F6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noWrap/>
            <w:vAlign w:val="center"/>
          </w:tcPr>
          <w:p w14:paraId="48F7E5A0">
            <w:pPr>
              <w:pStyle w:val="42"/>
              <w:keepNext w:val="0"/>
              <w:keepLines w:val="0"/>
              <w:suppressLineNumbers w:val="0"/>
              <w:bidi w:val="0"/>
              <w:spacing w:before="0" w:beforeAutospacing="0" w:after="0" w:afterAutospacing="0"/>
              <w:rPr>
                <w:rFonts w:hint="default"/>
              </w:rPr>
            </w:pPr>
            <w:r>
              <w:rPr>
                <w:rFonts w:hint="default"/>
              </w:rPr>
              <w:t>夏季</w:t>
            </w:r>
          </w:p>
        </w:tc>
        <w:tc>
          <w:tcPr>
            <w:tcW w:w="245" w:type="pct"/>
            <w:noWrap/>
            <w:vAlign w:val="center"/>
          </w:tcPr>
          <w:p w14:paraId="76CDC5D4">
            <w:pPr>
              <w:pStyle w:val="42"/>
              <w:keepNext w:val="0"/>
              <w:keepLines w:val="0"/>
              <w:suppressLineNumbers w:val="0"/>
              <w:bidi w:val="0"/>
              <w:spacing w:before="0" w:beforeAutospacing="0" w:after="0" w:afterAutospacing="0"/>
              <w:rPr>
                <w:rFonts w:hint="default"/>
              </w:rPr>
            </w:pPr>
            <w:r>
              <w:rPr>
                <w:rFonts w:hint="default"/>
              </w:rPr>
              <w:t>7.93</w:t>
            </w:r>
          </w:p>
        </w:tc>
        <w:tc>
          <w:tcPr>
            <w:tcW w:w="278" w:type="pct"/>
            <w:noWrap/>
            <w:vAlign w:val="center"/>
          </w:tcPr>
          <w:p w14:paraId="31647E51">
            <w:pPr>
              <w:pStyle w:val="42"/>
              <w:keepNext w:val="0"/>
              <w:keepLines w:val="0"/>
              <w:suppressLineNumbers w:val="0"/>
              <w:bidi w:val="0"/>
              <w:spacing w:before="0" w:beforeAutospacing="0" w:after="0" w:afterAutospacing="0"/>
              <w:rPr>
                <w:rFonts w:hint="default"/>
              </w:rPr>
            </w:pPr>
            <w:r>
              <w:rPr>
                <w:rFonts w:hint="default"/>
              </w:rPr>
              <w:t>2.67</w:t>
            </w:r>
          </w:p>
        </w:tc>
        <w:tc>
          <w:tcPr>
            <w:tcW w:w="245" w:type="pct"/>
            <w:noWrap/>
            <w:vAlign w:val="center"/>
          </w:tcPr>
          <w:p w14:paraId="1887F069">
            <w:pPr>
              <w:pStyle w:val="42"/>
              <w:keepNext w:val="0"/>
              <w:keepLines w:val="0"/>
              <w:suppressLineNumbers w:val="0"/>
              <w:bidi w:val="0"/>
              <w:spacing w:before="0" w:beforeAutospacing="0" w:after="0" w:afterAutospacing="0"/>
              <w:rPr>
                <w:rFonts w:hint="default"/>
              </w:rPr>
            </w:pPr>
            <w:r>
              <w:rPr>
                <w:rFonts w:hint="default"/>
              </w:rPr>
              <w:t>2.13</w:t>
            </w:r>
          </w:p>
        </w:tc>
        <w:tc>
          <w:tcPr>
            <w:tcW w:w="268" w:type="pct"/>
            <w:noWrap/>
            <w:vAlign w:val="center"/>
          </w:tcPr>
          <w:p w14:paraId="537DCE1F">
            <w:pPr>
              <w:pStyle w:val="42"/>
              <w:keepNext w:val="0"/>
              <w:keepLines w:val="0"/>
              <w:suppressLineNumbers w:val="0"/>
              <w:bidi w:val="0"/>
              <w:spacing w:before="0" w:beforeAutospacing="0" w:after="0" w:afterAutospacing="0"/>
              <w:rPr>
                <w:rFonts w:hint="default"/>
              </w:rPr>
            </w:pPr>
            <w:r>
              <w:rPr>
                <w:rFonts w:hint="default"/>
              </w:rPr>
              <w:t>1.90</w:t>
            </w:r>
          </w:p>
        </w:tc>
        <w:tc>
          <w:tcPr>
            <w:tcW w:w="245" w:type="pct"/>
            <w:noWrap/>
            <w:vAlign w:val="center"/>
          </w:tcPr>
          <w:p w14:paraId="409C4FF1">
            <w:pPr>
              <w:pStyle w:val="42"/>
              <w:keepNext w:val="0"/>
              <w:keepLines w:val="0"/>
              <w:suppressLineNumbers w:val="0"/>
              <w:bidi w:val="0"/>
              <w:spacing w:before="0" w:beforeAutospacing="0" w:after="0" w:afterAutospacing="0"/>
              <w:rPr>
                <w:rFonts w:hint="default"/>
              </w:rPr>
            </w:pPr>
            <w:r>
              <w:rPr>
                <w:rFonts w:hint="default"/>
              </w:rPr>
              <w:t>2.72</w:t>
            </w:r>
          </w:p>
        </w:tc>
        <w:tc>
          <w:tcPr>
            <w:tcW w:w="251" w:type="pct"/>
            <w:noWrap/>
            <w:vAlign w:val="center"/>
          </w:tcPr>
          <w:p w14:paraId="31984591">
            <w:pPr>
              <w:pStyle w:val="42"/>
              <w:keepNext w:val="0"/>
              <w:keepLines w:val="0"/>
              <w:suppressLineNumbers w:val="0"/>
              <w:bidi w:val="0"/>
              <w:spacing w:before="0" w:beforeAutospacing="0" w:after="0" w:afterAutospacing="0"/>
              <w:rPr>
                <w:rFonts w:hint="default"/>
              </w:rPr>
            </w:pPr>
            <w:r>
              <w:rPr>
                <w:rFonts w:hint="default"/>
              </w:rPr>
              <w:t>3.94</w:t>
            </w:r>
          </w:p>
        </w:tc>
        <w:tc>
          <w:tcPr>
            <w:tcW w:w="238" w:type="pct"/>
            <w:noWrap/>
            <w:vAlign w:val="center"/>
          </w:tcPr>
          <w:p w14:paraId="12E2E874">
            <w:pPr>
              <w:pStyle w:val="42"/>
              <w:keepNext w:val="0"/>
              <w:keepLines w:val="0"/>
              <w:suppressLineNumbers w:val="0"/>
              <w:bidi w:val="0"/>
              <w:spacing w:before="0" w:beforeAutospacing="0" w:after="0" w:afterAutospacing="0"/>
              <w:rPr>
                <w:rFonts w:hint="default"/>
              </w:rPr>
            </w:pPr>
            <w:r>
              <w:rPr>
                <w:rFonts w:hint="default"/>
              </w:rPr>
              <w:t>10.78</w:t>
            </w:r>
          </w:p>
        </w:tc>
        <w:tc>
          <w:tcPr>
            <w:tcW w:w="246" w:type="pct"/>
            <w:noWrap/>
            <w:vAlign w:val="center"/>
          </w:tcPr>
          <w:p w14:paraId="58086825">
            <w:pPr>
              <w:pStyle w:val="42"/>
              <w:keepNext w:val="0"/>
              <w:keepLines w:val="0"/>
              <w:suppressLineNumbers w:val="0"/>
              <w:bidi w:val="0"/>
              <w:spacing w:before="0" w:beforeAutospacing="0" w:after="0" w:afterAutospacing="0"/>
              <w:rPr>
                <w:rFonts w:hint="default"/>
              </w:rPr>
            </w:pPr>
            <w:r>
              <w:rPr>
                <w:rFonts w:hint="default"/>
              </w:rPr>
              <w:t>13.41</w:t>
            </w:r>
          </w:p>
        </w:tc>
        <w:tc>
          <w:tcPr>
            <w:tcW w:w="244" w:type="pct"/>
            <w:noWrap/>
            <w:vAlign w:val="center"/>
          </w:tcPr>
          <w:p w14:paraId="179B72A1">
            <w:pPr>
              <w:pStyle w:val="42"/>
              <w:keepNext w:val="0"/>
              <w:keepLines w:val="0"/>
              <w:suppressLineNumbers w:val="0"/>
              <w:bidi w:val="0"/>
              <w:spacing w:before="0" w:beforeAutospacing="0" w:after="0" w:afterAutospacing="0"/>
              <w:rPr>
                <w:rFonts w:hint="default"/>
              </w:rPr>
            </w:pPr>
            <w:r>
              <w:rPr>
                <w:rFonts w:hint="default"/>
              </w:rPr>
              <w:t>33.20</w:t>
            </w:r>
          </w:p>
        </w:tc>
        <w:tc>
          <w:tcPr>
            <w:tcW w:w="278" w:type="pct"/>
            <w:noWrap/>
            <w:vAlign w:val="center"/>
          </w:tcPr>
          <w:p w14:paraId="7397F942">
            <w:pPr>
              <w:pStyle w:val="42"/>
              <w:keepNext w:val="0"/>
              <w:keepLines w:val="0"/>
              <w:suppressLineNumbers w:val="0"/>
              <w:bidi w:val="0"/>
              <w:spacing w:before="0" w:beforeAutospacing="0" w:after="0" w:afterAutospacing="0"/>
              <w:rPr>
                <w:rFonts w:hint="default"/>
              </w:rPr>
            </w:pPr>
            <w:r>
              <w:rPr>
                <w:rFonts w:hint="default"/>
              </w:rPr>
              <w:t>6.43</w:t>
            </w:r>
          </w:p>
        </w:tc>
        <w:tc>
          <w:tcPr>
            <w:tcW w:w="245" w:type="pct"/>
            <w:noWrap/>
            <w:vAlign w:val="center"/>
          </w:tcPr>
          <w:p w14:paraId="155C39AF">
            <w:pPr>
              <w:pStyle w:val="42"/>
              <w:keepNext w:val="0"/>
              <w:keepLines w:val="0"/>
              <w:suppressLineNumbers w:val="0"/>
              <w:bidi w:val="0"/>
              <w:spacing w:before="0" w:beforeAutospacing="0" w:after="0" w:afterAutospacing="0"/>
              <w:rPr>
                <w:rFonts w:hint="default"/>
              </w:rPr>
            </w:pPr>
            <w:r>
              <w:rPr>
                <w:rFonts w:hint="default"/>
              </w:rPr>
              <w:t>2.08</w:t>
            </w:r>
          </w:p>
        </w:tc>
        <w:tc>
          <w:tcPr>
            <w:tcW w:w="318" w:type="pct"/>
            <w:noWrap/>
            <w:vAlign w:val="center"/>
          </w:tcPr>
          <w:p w14:paraId="26740E83">
            <w:pPr>
              <w:pStyle w:val="42"/>
              <w:keepNext w:val="0"/>
              <w:keepLines w:val="0"/>
              <w:suppressLineNumbers w:val="0"/>
              <w:bidi w:val="0"/>
              <w:spacing w:before="0" w:beforeAutospacing="0" w:after="0" w:afterAutospacing="0"/>
              <w:rPr>
                <w:rFonts w:hint="default"/>
              </w:rPr>
            </w:pPr>
            <w:r>
              <w:rPr>
                <w:rFonts w:hint="default"/>
              </w:rPr>
              <w:t>1.13</w:t>
            </w:r>
          </w:p>
        </w:tc>
        <w:tc>
          <w:tcPr>
            <w:tcW w:w="245" w:type="pct"/>
            <w:noWrap/>
            <w:vAlign w:val="center"/>
          </w:tcPr>
          <w:p w14:paraId="22BC02FC">
            <w:pPr>
              <w:pStyle w:val="42"/>
              <w:keepNext w:val="0"/>
              <w:keepLines w:val="0"/>
              <w:suppressLineNumbers w:val="0"/>
              <w:bidi w:val="0"/>
              <w:spacing w:before="0" w:beforeAutospacing="0" w:after="0" w:afterAutospacing="0"/>
              <w:rPr>
                <w:rFonts w:hint="default"/>
              </w:rPr>
            </w:pPr>
            <w:r>
              <w:rPr>
                <w:rFonts w:hint="default"/>
              </w:rPr>
              <w:t>1.59</w:t>
            </w:r>
          </w:p>
        </w:tc>
        <w:tc>
          <w:tcPr>
            <w:tcW w:w="334" w:type="pct"/>
            <w:noWrap/>
            <w:vAlign w:val="center"/>
          </w:tcPr>
          <w:p w14:paraId="1DF87B34">
            <w:pPr>
              <w:pStyle w:val="42"/>
              <w:keepNext w:val="0"/>
              <w:keepLines w:val="0"/>
              <w:suppressLineNumbers w:val="0"/>
              <w:bidi w:val="0"/>
              <w:spacing w:before="0" w:beforeAutospacing="0" w:after="0" w:afterAutospacing="0"/>
              <w:rPr>
                <w:rFonts w:hint="default"/>
              </w:rPr>
            </w:pPr>
            <w:r>
              <w:rPr>
                <w:rFonts w:hint="default"/>
              </w:rPr>
              <w:t>1.59</w:t>
            </w:r>
          </w:p>
        </w:tc>
        <w:tc>
          <w:tcPr>
            <w:tcW w:w="245" w:type="pct"/>
            <w:noWrap/>
            <w:vAlign w:val="center"/>
          </w:tcPr>
          <w:p w14:paraId="41DF345D">
            <w:pPr>
              <w:pStyle w:val="42"/>
              <w:keepNext w:val="0"/>
              <w:keepLines w:val="0"/>
              <w:suppressLineNumbers w:val="0"/>
              <w:bidi w:val="0"/>
              <w:spacing w:before="0" w:beforeAutospacing="0" w:after="0" w:afterAutospacing="0"/>
              <w:rPr>
                <w:rFonts w:hint="default"/>
              </w:rPr>
            </w:pPr>
            <w:r>
              <w:rPr>
                <w:rFonts w:hint="default"/>
              </w:rPr>
              <w:t>4.08</w:t>
            </w:r>
          </w:p>
        </w:tc>
        <w:tc>
          <w:tcPr>
            <w:tcW w:w="312" w:type="pct"/>
            <w:noWrap/>
            <w:vAlign w:val="center"/>
          </w:tcPr>
          <w:p w14:paraId="2B0A2E35">
            <w:pPr>
              <w:pStyle w:val="42"/>
              <w:keepNext w:val="0"/>
              <w:keepLines w:val="0"/>
              <w:suppressLineNumbers w:val="0"/>
              <w:bidi w:val="0"/>
              <w:spacing w:before="0" w:beforeAutospacing="0" w:after="0" w:afterAutospacing="0"/>
              <w:rPr>
                <w:rFonts w:hint="default"/>
              </w:rPr>
            </w:pPr>
            <w:r>
              <w:rPr>
                <w:rFonts w:hint="default"/>
              </w:rPr>
              <w:t>3.71</w:t>
            </w:r>
          </w:p>
        </w:tc>
        <w:tc>
          <w:tcPr>
            <w:tcW w:w="243" w:type="pct"/>
            <w:noWrap/>
            <w:vAlign w:val="center"/>
          </w:tcPr>
          <w:p w14:paraId="77A910FE">
            <w:pPr>
              <w:pStyle w:val="42"/>
              <w:keepNext w:val="0"/>
              <w:keepLines w:val="0"/>
              <w:suppressLineNumbers w:val="0"/>
              <w:bidi w:val="0"/>
              <w:spacing w:before="0" w:beforeAutospacing="0" w:after="0" w:afterAutospacing="0"/>
              <w:rPr>
                <w:rFonts w:hint="default"/>
              </w:rPr>
            </w:pPr>
            <w:r>
              <w:rPr>
                <w:rFonts w:hint="default"/>
              </w:rPr>
              <w:t>0.72</w:t>
            </w:r>
          </w:p>
        </w:tc>
      </w:tr>
      <w:tr w14:paraId="6D0F78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noWrap/>
            <w:vAlign w:val="center"/>
          </w:tcPr>
          <w:p w14:paraId="67833C0D">
            <w:pPr>
              <w:pStyle w:val="42"/>
              <w:keepNext w:val="0"/>
              <w:keepLines w:val="0"/>
              <w:suppressLineNumbers w:val="0"/>
              <w:bidi w:val="0"/>
              <w:spacing w:before="0" w:beforeAutospacing="0" w:after="0" w:afterAutospacing="0"/>
              <w:rPr>
                <w:rFonts w:hint="default"/>
              </w:rPr>
            </w:pPr>
            <w:r>
              <w:rPr>
                <w:rFonts w:hint="default"/>
              </w:rPr>
              <w:t>秋季</w:t>
            </w:r>
          </w:p>
        </w:tc>
        <w:tc>
          <w:tcPr>
            <w:tcW w:w="245" w:type="pct"/>
            <w:noWrap/>
            <w:vAlign w:val="center"/>
          </w:tcPr>
          <w:p w14:paraId="3E50C474">
            <w:pPr>
              <w:pStyle w:val="42"/>
              <w:keepNext w:val="0"/>
              <w:keepLines w:val="0"/>
              <w:suppressLineNumbers w:val="0"/>
              <w:bidi w:val="0"/>
              <w:spacing w:before="0" w:beforeAutospacing="0" w:after="0" w:afterAutospacing="0"/>
              <w:rPr>
                <w:rFonts w:hint="default"/>
              </w:rPr>
            </w:pPr>
            <w:r>
              <w:rPr>
                <w:rFonts w:hint="default"/>
              </w:rPr>
              <w:t>39.74</w:t>
            </w:r>
          </w:p>
        </w:tc>
        <w:tc>
          <w:tcPr>
            <w:tcW w:w="278" w:type="pct"/>
            <w:noWrap/>
            <w:vAlign w:val="center"/>
          </w:tcPr>
          <w:p w14:paraId="38DCA263">
            <w:pPr>
              <w:pStyle w:val="42"/>
              <w:keepNext w:val="0"/>
              <w:keepLines w:val="0"/>
              <w:suppressLineNumbers w:val="0"/>
              <w:bidi w:val="0"/>
              <w:spacing w:before="0" w:beforeAutospacing="0" w:after="0" w:afterAutospacing="0"/>
              <w:rPr>
                <w:rFonts w:hint="default"/>
              </w:rPr>
            </w:pPr>
            <w:r>
              <w:rPr>
                <w:rFonts w:hint="default"/>
              </w:rPr>
              <w:t>6.36</w:t>
            </w:r>
          </w:p>
        </w:tc>
        <w:tc>
          <w:tcPr>
            <w:tcW w:w="245" w:type="pct"/>
            <w:noWrap/>
            <w:vAlign w:val="center"/>
          </w:tcPr>
          <w:p w14:paraId="3FB7880D">
            <w:pPr>
              <w:pStyle w:val="42"/>
              <w:keepNext w:val="0"/>
              <w:keepLines w:val="0"/>
              <w:suppressLineNumbers w:val="0"/>
              <w:bidi w:val="0"/>
              <w:spacing w:before="0" w:beforeAutospacing="0" w:after="0" w:afterAutospacing="0"/>
              <w:rPr>
                <w:rFonts w:hint="default"/>
              </w:rPr>
            </w:pPr>
            <w:r>
              <w:rPr>
                <w:rFonts w:hint="default"/>
              </w:rPr>
              <w:t>2.52</w:t>
            </w:r>
          </w:p>
        </w:tc>
        <w:tc>
          <w:tcPr>
            <w:tcW w:w="268" w:type="pct"/>
            <w:noWrap/>
            <w:vAlign w:val="center"/>
          </w:tcPr>
          <w:p w14:paraId="7B01AC83">
            <w:pPr>
              <w:pStyle w:val="42"/>
              <w:keepNext w:val="0"/>
              <w:keepLines w:val="0"/>
              <w:suppressLineNumbers w:val="0"/>
              <w:bidi w:val="0"/>
              <w:spacing w:before="0" w:beforeAutospacing="0" w:after="0" w:afterAutospacing="0"/>
              <w:rPr>
                <w:rFonts w:hint="default"/>
              </w:rPr>
            </w:pPr>
            <w:r>
              <w:rPr>
                <w:rFonts w:hint="default"/>
              </w:rPr>
              <w:t>2.20</w:t>
            </w:r>
          </w:p>
        </w:tc>
        <w:tc>
          <w:tcPr>
            <w:tcW w:w="245" w:type="pct"/>
            <w:noWrap/>
            <w:vAlign w:val="center"/>
          </w:tcPr>
          <w:p w14:paraId="66FEEEDB">
            <w:pPr>
              <w:pStyle w:val="42"/>
              <w:keepNext w:val="0"/>
              <w:keepLines w:val="0"/>
              <w:suppressLineNumbers w:val="0"/>
              <w:bidi w:val="0"/>
              <w:spacing w:before="0" w:beforeAutospacing="0" w:after="0" w:afterAutospacing="0"/>
              <w:rPr>
                <w:rFonts w:hint="default"/>
              </w:rPr>
            </w:pPr>
            <w:r>
              <w:rPr>
                <w:rFonts w:hint="default"/>
              </w:rPr>
              <w:t>2.70</w:t>
            </w:r>
          </w:p>
        </w:tc>
        <w:tc>
          <w:tcPr>
            <w:tcW w:w="251" w:type="pct"/>
            <w:noWrap/>
            <w:vAlign w:val="center"/>
          </w:tcPr>
          <w:p w14:paraId="4D4CB44E">
            <w:pPr>
              <w:pStyle w:val="42"/>
              <w:keepNext w:val="0"/>
              <w:keepLines w:val="0"/>
              <w:suppressLineNumbers w:val="0"/>
              <w:bidi w:val="0"/>
              <w:spacing w:before="0" w:beforeAutospacing="0" w:after="0" w:afterAutospacing="0"/>
              <w:rPr>
                <w:rFonts w:hint="default"/>
              </w:rPr>
            </w:pPr>
            <w:r>
              <w:rPr>
                <w:rFonts w:hint="default"/>
              </w:rPr>
              <w:t>1.69</w:t>
            </w:r>
          </w:p>
        </w:tc>
        <w:tc>
          <w:tcPr>
            <w:tcW w:w="238" w:type="pct"/>
            <w:noWrap/>
            <w:vAlign w:val="center"/>
          </w:tcPr>
          <w:p w14:paraId="146B0FD3">
            <w:pPr>
              <w:pStyle w:val="42"/>
              <w:keepNext w:val="0"/>
              <w:keepLines w:val="0"/>
              <w:suppressLineNumbers w:val="0"/>
              <w:bidi w:val="0"/>
              <w:spacing w:before="0" w:beforeAutospacing="0" w:after="0" w:afterAutospacing="0"/>
              <w:rPr>
                <w:rFonts w:hint="default"/>
              </w:rPr>
            </w:pPr>
            <w:r>
              <w:rPr>
                <w:rFonts w:hint="default"/>
              </w:rPr>
              <w:t>3.16</w:t>
            </w:r>
          </w:p>
        </w:tc>
        <w:tc>
          <w:tcPr>
            <w:tcW w:w="246" w:type="pct"/>
            <w:noWrap/>
            <w:vAlign w:val="center"/>
          </w:tcPr>
          <w:p w14:paraId="0CA0DE18">
            <w:pPr>
              <w:pStyle w:val="42"/>
              <w:keepNext w:val="0"/>
              <w:keepLines w:val="0"/>
              <w:suppressLineNumbers w:val="0"/>
              <w:bidi w:val="0"/>
              <w:spacing w:before="0" w:beforeAutospacing="0" w:after="0" w:afterAutospacing="0"/>
              <w:rPr>
                <w:rFonts w:hint="default"/>
              </w:rPr>
            </w:pPr>
            <w:r>
              <w:rPr>
                <w:rFonts w:hint="default"/>
              </w:rPr>
              <w:t>3.25</w:t>
            </w:r>
          </w:p>
        </w:tc>
        <w:tc>
          <w:tcPr>
            <w:tcW w:w="244" w:type="pct"/>
            <w:noWrap/>
            <w:vAlign w:val="center"/>
          </w:tcPr>
          <w:p w14:paraId="00B48ED9">
            <w:pPr>
              <w:pStyle w:val="42"/>
              <w:keepNext w:val="0"/>
              <w:keepLines w:val="0"/>
              <w:suppressLineNumbers w:val="0"/>
              <w:bidi w:val="0"/>
              <w:spacing w:before="0" w:beforeAutospacing="0" w:after="0" w:afterAutospacing="0"/>
              <w:rPr>
                <w:rFonts w:hint="default"/>
              </w:rPr>
            </w:pPr>
            <w:r>
              <w:rPr>
                <w:rFonts w:hint="default"/>
              </w:rPr>
              <w:t>5.08</w:t>
            </w:r>
          </w:p>
        </w:tc>
        <w:tc>
          <w:tcPr>
            <w:tcW w:w="278" w:type="pct"/>
            <w:noWrap/>
            <w:vAlign w:val="center"/>
          </w:tcPr>
          <w:p w14:paraId="24427F03">
            <w:pPr>
              <w:pStyle w:val="42"/>
              <w:keepNext w:val="0"/>
              <w:keepLines w:val="0"/>
              <w:suppressLineNumbers w:val="0"/>
              <w:bidi w:val="0"/>
              <w:spacing w:before="0" w:beforeAutospacing="0" w:after="0" w:afterAutospacing="0"/>
              <w:rPr>
                <w:rFonts w:hint="default"/>
              </w:rPr>
            </w:pPr>
            <w:r>
              <w:rPr>
                <w:rFonts w:hint="default"/>
              </w:rPr>
              <w:t>1.65</w:t>
            </w:r>
          </w:p>
        </w:tc>
        <w:tc>
          <w:tcPr>
            <w:tcW w:w="245" w:type="pct"/>
            <w:noWrap/>
            <w:vAlign w:val="center"/>
          </w:tcPr>
          <w:p w14:paraId="0746AAAF">
            <w:pPr>
              <w:pStyle w:val="42"/>
              <w:keepNext w:val="0"/>
              <w:keepLines w:val="0"/>
              <w:suppressLineNumbers w:val="0"/>
              <w:bidi w:val="0"/>
              <w:spacing w:before="0" w:beforeAutospacing="0" w:after="0" w:afterAutospacing="0"/>
              <w:rPr>
                <w:rFonts w:hint="default"/>
              </w:rPr>
            </w:pPr>
            <w:r>
              <w:rPr>
                <w:rFonts w:hint="default"/>
              </w:rPr>
              <w:t>1.56</w:t>
            </w:r>
          </w:p>
        </w:tc>
        <w:tc>
          <w:tcPr>
            <w:tcW w:w="318" w:type="pct"/>
            <w:noWrap/>
            <w:vAlign w:val="center"/>
          </w:tcPr>
          <w:p w14:paraId="0541991C">
            <w:pPr>
              <w:pStyle w:val="42"/>
              <w:keepNext w:val="0"/>
              <w:keepLines w:val="0"/>
              <w:suppressLineNumbers w:val="0"/>
              <w:bidi w:val="0"/>
              <w:spacing w:before="0" w:beforeAutospacing="0" w:after="0" w:afterAutospacing="0"/>
              <w:rPr>
                <w:rFonts w:hint="default"/>
              </w:rPr>
            </w:pPr>
            <w:r>
              <w:rPr>
                <w:rFonts w:hint="default"/>
              </w:rPr>
              <w:t>1.47</w:t>
            </w:r>
          </w:p>
        </w:tc>
        <w:tc>
          <w:tcPr>
            <w:tcW w:w="245" w:type="pct"/>
            <w:noWrap/>
            <w:vAlign w:val="center"/>
          </w:tcPr>
          <w:p w14:paraId="6BE188B7">
            <w:pPr>
              <w:pStyle w:val="42"/>
              <w:keepNext w:val="0"/>
              <w:keepLines w:val="0"/>
              <w:suppressLineNumbers w:val="0"/>
              <w:bidi w:val="0"/>
              <w:spacing w:before="0" w:beforeAutospacing="0" w:after="0" w:afterAutospacing="0"/>
              <w:rPr>
                <w:rFonts w:hint="default"/>
              </w:rPr>
            </w:pPr>
            <w:r>
              <w:rPr>
                <w:rFonts w:hint="default"/>
              </w:rPr>
              <w:t>2.52</w:t>
            </w:r>
          </w:p>
        </w:tc>
        <w:tc>
          <w:tcPr>
            <w:tcW w:w="334" w:type="pct"/>
            <w:noWrap/>
            <w:vAlign w:val="center"/>
          </w:tcPr>
          <w:p w14:paraId="05619A71">
            <w:pPr>
              <w:pStyle w:val="42"/>
              <w:keepNext w:val="0"/>
              <w:keepLines w:val="0"/>
              <w:suppressLineNumbers w:val="0"/>
              <w:bidi w:val="0"/>
              <w:spacing w:before="0" w:beforeAutospacing="0" w:after="0" w:afterAutospacing="0"/>
              <w:rPr>
                <w:rFonts w:hint="default"/>
              </w:rPr>
            </w:pPr>
            <w:r>
              <w:rPr>
                <w:rFonts w:hint="default"/>
              </w:rPr>
              <w:t>3.89</w:t>
            </w:r>
          </w:p>
        </w:tc>
        <w:tc>
          <w:tcPr>
            <w:tcW w:w="245" w:type="pct"/>
            <w:noWrap/>
            <w:vAlign w:val="center"/>
          </w:tcPr>
          <w:p w14:paraId="19E458EE">
            <w:pPr>
              <w:pStyle w:val="42"/>
              <w:keepNext w:val="0"/>
              <w:keepLines w:val="0"/>
              <w:suppressLineNumbers w:val="0"/>
              <w:bidi w:val="0"/>
              <w:spacing w:before="0" w:beforeAutospacing="0" w:after="0" w:afterAutospacing="0"/>
              <w:rPr>
                <w:rFonts w:hint="default"/>
              </w:rPr>
            </w:pPr>
            <w:r>
              <w:rPr>
                <w:rFonts w:hint="default"/>
              </w:rPr>
              <w:t>7.46</w:t>
            </w:r>
          </w:p>
        </w:tc>
        <w:tc>
          <w:tcPr>
            <w:tcW w:w="312" w:type="pct"/>
            <w:noWrap/>
            <w:vAlign w:val="center"/>
          </w:tcPr>
          <w:p w14:paraId="2358517F">
            <w:pPr>
              <w:pStyle w:val="42"/>
              <w:keepNext w:val="0"/>
              <w:keepLines w:val="0"/>
              <w:suppressLineNumbers w:val="0"/>
              <w:bidi w:val="0"/>
              <w:spacing w:before="0" w:beforeAutospacing="0" w:after="0" w:afterAutospacing="0"/>
              <w:rPr>
                <w:rFonts w:hint="default"/>
              </w:rPr>
            </w:pPr>
            <w:r>
              <w:rPr>
                <w:rFonts w:hint="default"/>
              </w:rPr>
              <w:t>14.65</w:t>
            </w:r>
          </w:p>
        </w:tc>
        <w:tc>
          <w:tcPr>
            <w:tcW w:w="243" w:type="pct"/>
            <w:noWrap/>
            <w:vAlign w:val="center"/>
          </w:tcPr>
          <w:p w14:paraId="5F2C3DB0">
            <w:pPr>
              <w:pStyle w:val="42"/>
              <w:keepNext w:val="0"/>
              <w:keepLines w:val="0"/>
              <w:suppressLineNumbers w:val="0"/>
              <w:bidi w:val="0"/>
              <w:spacing w:before="0" w:beforeAutospacing="0" w:after="0" w:afterAutospacing="0"/>
              <w:rPr>
                <w:rFonts w:hint="default"/>
              </w:rPr>
            </w:pPr>
            <w:r>
              <w:rPr>
                <w:rFonts w:hint="default"/>
              </w:rPr>
              <w:t>0.09</w:t>
            </w:r>
          </w:p>
        </w:tc>
      </w:tr>
      <w:tr w14:paraId="2F41B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noWrap/>
            <w:vAlign w:val="center"/>
          </w:tcPr>
          <w:p w14:paraId="57FE5027">
            <w:pPr>
              <w:pStyle w:val="42"/>
              <w:keepNext w:val="0"/>
              <w:keepLines w:val="0"/>
              <w:suppressLineNumbers w:val="0"/>
              <w:bidi w:val="0"/>
              <w:spacing w:before="0" w:beforeAutospacing="0" w:after="0" w:afterAutospacing="0"/>
              <w:rPr>
                <w:rFonts w:hint="default"/>
              </w:rPr>
            </w:pPr>
            <w:r>
              <w:rPr>
                <w:rFonts w:hint="default"/>
              </w:rPr>
              <w:t>冬季</w:t>
            </w:r>
          </w:p>
        </w:tc>
        <w:tc>
          <w:tcPr>
            <w:tcW w:w="245" w:type="pct"/>
            <w:noWrap/>
            <w:vAlign w:val="center"/>
          </w:tcPr>
          <w:p w14:paraId="6BE02E65">
            <w:pPr>
              <w:pStyle w:val="42"/>
              <w:keepNext w:val="0"/>
              <w:keepLines w:val="0"/>
              <w:suppressLineNumbers w:val="0"/>
              <w:bidi w:val="0"/>
              <w:spacing w:before="0" w:beforeAutospacing="0" w:after="0" w:afterAutospacing="0"/>
              <w:rPr>
                <w:rFonts w:hint="default"/>
              </w:rPr>
            </w:pPr>
            <w:r>
              <w:rPr>
                <w:rFonts w:hint="default"/>
              </w:rPr>
              <w:t>34.44</w:t>
            </w:r>
          </w:p>
        </w:tc>
        <w:tc>
          <w:tcPr>
            <w:tcW w:w="278" w:type="pct"/>
            <w:noWrap/>
            <w:vAlign w:val="center"/>
          </w:tcPr>
          <w:p w14:paraId="6B1689E7">
            <w:pPr>
              <w:pStyle w:val="42"/>
              <w:keepNext w:val="0"/>
              <w:keepLines w:val="0"/>
              <w:suppressLineNumbers w:val="0"/>
              <w:bidi w:val="0"/>
              <w:spacing w:before="0" w:beforeAutospacing="0" w:after="0" w:afterAutospacing="0"/>
              <w:rPr>
                <w:rFonts w:hint="default"/>
              </w:rPr>
            </w:pPr>
            <w:r>
              <w:rPr>
                <w:rFonts w:hint="default"/>
              </w:rPr>
              <w:t>4.49</w:t>
            </w:r>
          </w:p>
        </w:tc>
        <w:tc>
          <w:tcPr>
            <w:tcW w:w="245" w:type="pct"/>
            <w:noWrap/>
            <w:vAlign w:val="center"/>
          </w:tcPr>
          <w:p w14:paraId="6CE5182D">
            <w:pPr>
              <w:pStyle w:val="42"/>
              <w:keepNext w:val="0"/>
              <w:keepLines w:val="0"/>
              <w:suppressLineNumbers w:val="0"/>
              <w:bidi w:val="0"/>
              <w:spacing w:before="0" w:beforeAutospacing="0" w:after="0" w:afterAutospacing="0"/>
              <w:rPr>
                <w:rFonts w:hint="default"/>
              </w:rPr>
            </w:pPr>
            <w:r>
              <w:rPr>
                <w:rFonts w:hint="default"/>
              </w:rPr>
              <w:t>2.96</w:t>
            </w:r>
          </w:p>
        </w:tc>
        <w:tc>
          <w:tcPr>
            <w:tcW w:w="268" w:type="pct"/>
            <w:noWrap/>
            <w:vAlign w:val="center"/>
          </w:tcPr>
          <w:p w14:paraId="408AF0BB">
            <w:pPr>
              <w:pStyle w:val="42"/>
              <w:keepNext w:val="0"/>
              <w:keepLines w:val="0"/>
              <w:suppressLineNumbers w:val="0"/>
              <w:bidi w:val="0"/>
              <w:spacing w:before="0" w:beforeAutospacing="0" w:after="0" w:afterAutospacing="0"/>
              <w:rPr>
                <w:rFonts w:hint="default"/>
              </w:rPr>
            </w:pPr>
            <w:r>
              <w:rPr>
                <w:rFonts w:hint="default"/>
              </w:rPr>
              <w:t>1.39</w:t>
            </w:r>
          </w:p>
        </w:tc>
        <w:tc>
          <w:tcPr>
            <w:tcW w:w="245" w:type="pct"/>
            <w:noWrap/>
            <w:vAlign w:val="center"/>
          </w:tcPr>
          <w:p w14:paraId="5E733F97">
            <w:pPr>
              <w:pStyle w:val="42"/>
              <w:keepNext w:val="0"/>
              <w:keepLines w:val="0"/>
              <w:suppressLineNumbers w:val="0"/>
              <w:bidi w:val="0"/>
              <w:spacing w:before="0" w:beforeAutospacing="0" w:after="0" w:afterAutospacing="0"/>
              <w:rPr>
                <w:rFonts w:hint="default"/>
              </w:rPr>
            </w:pPr>
            <w:r>
              <w:rPr>
                <w:rFonts w:hint="default"/>
              </w:rPr>
              <w:t>3.19</w:t>
            </w:r>
          </w:p>
        </w:tc>
        <w:tc>
          <w:tcPr>
            <w:tcW w:w="251" w:type="pct"/>
            <w:noWrap/>
            <w:vAlign w:val="center"/>
          </w:tcPr>
          <w:p w14:paraId="616B2890">
            <w:pPr>
              <w:pStyle w:val="42"/>
              <w:keepNext w:val="0"/>
              <w:keepLines w:val="0"/>
              <w:suppressLineNumbers w:val="0"/>
              <w:bidi w:val="0"/>
              <w:spacing w:before="0" w:beforeAutospacing="0" w:after="0" w:afterAutospacing="0"/>
              <w:rPr>
                <w:rFonts w:hint="default"/>
              </w:rPr>
            </w:pPr>
            <w:r>
              <w:rPr>
                <w:rFonts w:hint="default"/>
              </w:rPr>
              <w:t>3.06</w:t>
            </w:r>
          </w:p>
        </w:tc>
        <w:tc>
          <w:tcPr>
            <w:tcW w:w="238" w:type="pct"/>
            <w:noWrap/>
            <w:vAlign w:val="center"/>
          </w:tcPr>
          <w:p w14:paraId="7237F41A">
            <w:pPr>
              <w:pStyle w:val="42"/>
              <w:keepNext w:val="0"/>
              <w:keepLines w:val="0"/>
              <w:suppressLineNumbers w:val="0"/>
              <w:bidi w:val="0"/>
              <w:spacing w:before="0" w:beforeAutospacing="0" w:after="0" w:afterAutospacing="0"/>
              <w:rPr>
                <w:rFonts w:hint="default"/>
              </w:rPr>
            </w:pPr>
            <w:r>
              <w:rPr>
                <w:rFonts w:hint="default"/>
              </w:rPr>
              <w:t>4.21</w:t>
            </w:r>
          </w:p>
        </w:tc>
        <w:tc>
          <w:tcPr>
            <w:tcW w:w="246" w:type="pct"/>
            <w:noWrap/>
            <w:vAlign w:val="center"/>
          </w:tcPr>
          <w:p w14:paraId="2122DD00">
            <w:pPr>
              <w:pStyle w:val="42"/>
              <w:keepNext w:val="0"/>
              <w:keepLines w:val="0"/>
              <w:suppressLineNumbers w:val="0"/>
              <w:bidi w:val="0"/>
              <w:spacing w:before="0" w:beforeAutospacing="0" w:after="0" w:afterAutospacing="0"/>
              <w:rPr>
                <w:rFonts w:hint="default"/>
              </w:rPr>
            </w:pPr>
            <w:r>
              <w:rPr>
                <w:rFonts w:hint="default"/>
              </w:rPr>
              <w:t>4.68</w:t>
            </w:r>
          </w:p>
        </w:tc>
        <w:tc>
          <w:tcPr>
            <w:tcW w:w="244" w:type="pct"/>
            <w:noWrap/>
            <w:vAlign w:val="center"/>
          </w:tcPr>
          <w:p w14:paraId="415E0227">
            <w:pPr>
              <w:pStyle w:val="42"/>
              <w:keepNext w:val="0"/>
              <w:keepLines w:val="0"/>
              <w:suppressLineNumbers w:val="0"/>
              <w:bidi w:val="0"/>
              <w:spacing w:before="0" w:beforeAutospacing="0" w:after="0" w:afterAutospacing="0"/>
              <w:rPr>
                <w:rFonts w:hint="default"/>
              </w:rPr>
            </w:pPr>
            <w:r>
              <w:rPr>
                <w:rFonts w:hint="default"/>
              </w:rPr>
              <w:t>5.42</w:t>
            </w:r>
          </w:p>
        </w:tc>
        <w:tc>
          <w:tcPr>
            <w:tcW w:w="278" w:type="pct"/>
            <w:noWrap/>
            <w:vAlign w:val="center"/>
          </w:tcPr>
          <w:p w14:paraId="0AE5A0B0">
            <w:pPr>
              <w:pStyle w:val="42"/>
              <w:keepNext w:val="0"/>
              <w:keepLines w:val="0"/>
              <w:suppressLineNumbers w:val="0"/>
              <w:bidi w:val="0"/>
              <w:spacing w:before="0" w:beforeAutospacing="0" w:after="0" w:afterAutospacing="0"/>
              <w:rPr>
                <w:rFonts w:hint="default"/>
              </w:rPr>
            </w:pPr>
            <w:r>
              <w:rPr>
                <w:rFonts w:hint="default"/>
              </w:rPr>
              <w:t>1.71</w:t>
            </w:r>
          </w:p>
        </w:tc>
        <w:tc>
          <w:tcPr>
            <w:tcW w:w="245" w:type="pct"/>
            <w:noWrap/>
            <w:vAlign w:val="center"/>
          </w:tcPr>
          <w:p w14:paraId="11ED092B">
            <w:pPr>
              <w:pStyle w:val="42"/>
              <w:keepNext w:val="0"/>
              <w:keepLines w:val="0"/>
              <w:suppressLineNumbers w:val="0"/>
              <w:bidi w:val="0"/>
              <w:spacing w:before="0" w:beforeAutospacing="0" w:after="0" w:afterAutospacing="0"/>
              <w:rPr>
                <w:rFonts w:hint="default"/>
              </w:rPr>
            </w:pPr>
            <w:r>
              <w:rPr>
                <w:rFonts w:hint="default"/>
              </w:rPr>
              <w:t>1.62</w:t>
            </w:r>
          </w:p>
        </w:tc>
        <w:tc>
          <w:tcPr>
            <w:tcW w:w="318" w:type="pct"/>
            <w:noWrap/>
            <w:vAlign w:val="center"/>
          </w:tcPr>
          <w:p w14:paraId="69DF6657">
            <w:pPr>
              <w:pStyle w:val="42"/>
              <w:keepNext w:val="0"/>
              <w:keepLines w:val="0"/>
              <w:suppressLineNumbers w:val="0"/>
              <w:bidi w:val="0"/>
              <w:spacing w:before="0" w:beforeAutospacing="0" w:after="0" w:afterAutospacing="0"/>
              <w:rPr>
                <w:rFonts w:hint="default"/>
              </w:rPr>
            </w:pPr>
            <w:r>
              <w:rPr>
                <w:rFonts w:hint="default"/>
              </w:rPr>
              <w:t>1.30</w:t>
            </w:r>
          </w:p>
        </w:tc>
        <w:tc>
          <w:tcPr>
            <w:tcW w:w="245" w:type="pct"/>
            <w:noWrap/>
            <w:vAlign w:val="center"/>
          </w:tcPr>
          <w:p w14:paraId="46AA472E">
            <w:pPr>
              <w:pStyle w:val="42"/>
              <w:keepNext w:val="0"/>
              <w:keepLines w:val="0"/>
              <w:suppressLineNumbers w:val="0"/>
              <w:bidi w:val="0"/>
              <w:spacing w:before="0" w:beforeAutospacing="0" w:after="0" w:afterAutospacing="0"/>
              <w:rPr>
                <w:rFonts w:hint="default"/>
              </w:rPr>
            </w:pPr>
            <w:r>
              <w:rPr>
                <w:rFonts w:hint="default"/>
              </w:rPr>
              <w:t>2.92</w:t>
            </w:r>
          </w:p>
        </w:tc>
        <w:tc>
          <w:tcPr>
            <w:tcW w:w="334" w:type="pct"/>
            <w:noWrap/>
            <w:vAlign w:val="center"/>
          </w:tcPr>
          <w:p w14:paraId="0BE1654A">
            <w:pPr>
              <w:pStyle w:val="42"/>
              <w:keepNext w:val="0"/>
              <w:keepLines w:val="0"/>
              <w:suppressLineNumbers w:val="0"/>
              <w:bidi w:val="0"/>
              <w:spacing w:before="0" w:beforeAutospacing="0" w:after="0" w:afterAutospacing="0"/>
              <w:rPr>
                <w:rFonts w:hint="default"/>
              </w:rPr>
            </w:pPr>
            <w:r>
              <w:rPr>
                <w:rFonts w:hint="default"/>
              </w:rPr>
              <w:t>3.98</w:t>
            </w:r>
          </w:p>
        </w:tc>
        <w:tc>
          <w:tcPr>
            <w:tcW w:w="245" w:type="pct"/>
            <w:noWrap/>
            <w:vAlign w:val="center"/>
          </w:tcPr>
          <w:p w14:paraId="16F48F0F">
            <w:pPr>
              <w:pStyle w:val="42"/>
              <w:keepNext w:val="0"/>
              <w:keepLines w:val="0"/>
              <w:suppressLineNumbers w:val="0"/>
              <w:bidi w:val="0"/>
              <w:spacing w:before="0" w:beforeAutospacing="0" w:after="0" w:afterAutospacing="0"/>
              <w:rPr>
                <w:rFonts w:hint="default"/>
              </w:rPr>
            </w:pPr>
            <w:r>
              <w:rPr>
                <w:rFonts w:hint="default"/>
              </w:rPr>
              <w:t>8.24</w:t>
            </w:r>
          </w:p>
        </w:tc>
        <w:tc>
          <w:tcPr>
            <w:tcW w:w="312" w:type="pct"/>
            <w:noWrap/>
            <w:vAlign w:val="center"/>
          </w:tcPr>
          <w:p w14:paraId="51DA72E4">
            <w:pPr>
              <w:pStyle w:val="42"/>
              <w:keepNext w:val="0"/>
              <w:keepLines w:val="0"/>
              <w:suppressLineNumbers w:val="0"/>
              <w:bidi w:val="0"/>
              <w:spacing w:before="0" w:beforeAutospacing="0" w:after="0" w:afterAutospacing="0"/>
              <w:rPr>
                <w:rFonts w:hint="default"/>
              </w:rPr>
            </w:pPr>
            <w:r>
              <w:rPr>
                <w:rFonts w:hint="default"/>
              </w:rPr>
              <w:t>15.69</w:t>
            </w:r>
          </w:p>
        </w:tc>
        <w:tc>
          <w:tcPr>
            <w:tcW w:w="243" w:type="pct"/>
            <w:noWrap/>
            <w:vAlign w:val="center"/>
          </w:tcPr>
          <w:p w14:paraId="355BCA37">
            <w:pPr>
              <w:pStyle w:val="42"/>
              <w:keepNext w:val="0"/>
              <w:keepLines w:val="0"/>
              <w:suppressLineNumbers w:val="0"/>
              <w:bidi w:val="0"/>
              <w:spacing w:before="0" w:beforeAutospacing="0" w:after="0" w:afterAutospacing="0"/>
              <w:rPr>
                <w:rFonts w:hint="default"/>
              </w:rPr>
            </w:pPr>
            <w:r>
              <w:rPr>
                <w:rFonts w:hint="default"/>
              </w:rPr>
              <w:t>0.69</w:t>
            </w:r>
          </w:p>
        </w:tc>
      </w:tr>
      <w:tr w14:paraId="46C2E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noWrap/>
            <w:vAlign w:val="center"/>
          </w:tcPr>
          <w:p w14:paraId="2301E61A">
            <w:pPr>
              <w:pStyle w:val="42"/>
              <w:keepNext w:val="0"/>
              <w:keepLines w:val="0"/>
              <w:suppressLineNumbers w:val="0"/>
              <w:bidi w:val="0"/>
              <w:spacing w:before="0" w:beforeAutospacing="0" w:after="0" w:afterAutospacing="0"/>
              <w:rPr>
                <w:rFonts w:hint="default"/>
              </w:rPr>
            </w:pPr>
            <w:r>
              <w:rPr>
                <w:rFonts w:hint="default"/>
              </w:rPr>
              <w:t>全年</w:t>
            </w:r>
          </w:p>
        </w:tc>
        <w:tc>
          <w:tcPr>
            <w:tcW w:w="245" w:type="pct"/>
            <w:noWrap/>
            <w:vAlign w:val="center"/>
          </w:tcPr>
          <w:p w14:paraId="72A9212F">
            <w:pPr>
              <w:pStyle w:val="42"/>
              <w:keepNext w:val="0"/>
              <w:keepLines w:val="0"/>
              <w:suppressLineNumbers w:val="0"/>
              <w:bidi w:val="0"/>
              <w:spacing w:before="0" w:beforeAutospacing="0" w:after="0" w:afterAutospacing="0"/>
              <w:rPr>
                <w:rFonts w:hint="default"/>
              </w:rPr>
            </w:pPr>
            <w:r>
              <w:rPr>
                <w:rFonts w:hint="default"/>
              </w:rPr>
              <w:t>26.03</w:t>
            </w:r>
          </w:p>
        </w:tc>
        <w:tc>
          <w:tcPr>
            <w:tcW w:w="278" w:type="pct"/>
            <w:noWrap/>
            <w:vAlign w:val="center"/>
          </w:tcPr>
          <w:p w14:paraId="54C914E7">
            <w:pPr>
              <w:pStyle w:val="42"/>
              <w:keepNext w:val="0"/>
              <w:keepLines w:val="0"/>
              <w:suppressLineNumbers w:val="0"/>
              <w:bidi w:val="0"/>
              <w:spacing w:before="0" w:beforeAutospacing="0" w:after="0" w:afterAutospacing="0"/>
              <w:rPr>
                <w:rFonts w:hint="default"/>
              </w:rPr>
            </w:pPr>
            <w:r>
              <w:rPr>
                <w:rFonts w:hint="default"/>
              </w:rPr>
              <w:t>4.70</w:t>
            </w:r>
          </w:p>
        </w:tc>
        <w:tc>
          <w:tcPr>
            <w:tcW w:w="245" w:type="pct"/>
            <w:noWrap/>
            <w:vAlign w:val="center"/>
          </w:tcPr>
          <w:p w14:paraId="6FC88DC9">
            <w:pPr>
              <w:pStyle w:val="42"/>
              <w:keepNext w:val="0"/>
              <w:keepLines w:val="0"/>
              <w:suppressLineNumbers w:val="0"/>
              <w:bidi w:val="0"/>
              <w:spacing w:before="0" w:beforeAutospacing="0" w:after="0" w:afterAutospacing="0"/>
              <w:rPr>
                <w:rFonts w:hint="default"/>
              </w:rPr>
            </w:pPr>
            <w:r>
              <w:rPr>
                <w:rFonts w:hint="default"/>
              </w:rPr>
              <w:t>2.36</w:t>
            </w:r>
          </w:p>
        </w:tc>
        <w:tc>
          <w:tcPr>
            <w:tcW w:w="268" w:type="pct"/>
            <w:noWrap/>
            <w:vAlign w:val="center"/>
          </w:tcPr>
          <w:p w14:paraId="4C282BA5">
            <w:pPr>
              <w:pStyle w:val="42"/>
              <w:keepNext w:val="0"/>
              <w:keepLines w:val="0"/>
              <w:suppressLineNumbers w:val="0"/>
              <w:bidi w:val="0"/>
              <w:spacing w:before="0" w:beforeAutospacing="0" w:after="0" w:afterAutospacing="0"/>
              <w:rPr>
                <w:rFonts w:hint="default"/>
              </w:rPr>
            </w:pPr>
            <w:r>
              <w:rPr>
                <w:rFonts w:hint="default"/>
              </w:rPr>
              <w:t>1.64</w:t>
            </w:r>
          </w:p>
        </w:tc>
        <w:tc>
          <w:tcPr>
            <w:tcW w:w="245" w:type="pct"/>
            <w:noWrap/>
            <w:vAlign w:val="center"/>
          </w:tcPr>
          <w:p w14:paraId="4776B55F">
            <w:pPr>
              <w:pStyle w:val="42"/>
              <w:keepNext w:val="0"/>
              <w:keepLines w:val="0"/>
              <w:suppressLineNumbers w:val="0"/>
              <w:bidi w:val="0"/>
              <w:spacing w:before="0" w:beforeAutospacing="0" w:after="0" w:afterAutospacing="0"/>
              <w:rPr>
                <w:rFonts w:hint="default"/>
              </w:rPr>
            </w:pPr>
            <w:r>
              <w:rPr>
                <w:rFonts w:hint="default"/>
              </w:rPr>
              <w:t>2.67</w:t>
            </w:r>
          </w:p>
        </w:tc>
        <w:tc>
          <w:tcPr>
            <w:tcW w:w="251" w:type="pct"/>
            <w:noWrap/>
            <w:vAlign w:val="center"/>
          </w:tcPr>
          <w:p w14:paraId="39538855">
            <w:pPr>
              <w:pStyle w:val="42"/>
              <w:keepNext w:val="0"/>
              <w:keepLines w:val="0"/>
              <w:suppressLineNumbers w:val="0"/>
              <w:bidi w:val="0"/>
              <w:spacing w:before="0" w:beforeAutospacing="0" w:after="0" w:afterAutospacing="0"/>
              <w:rPr>
                <w:rFonts w:hint="default"/>
              </w:rPr>
            </w:pPr>
            <w:r>
              <w:rPr>
                <w:rFonts w:hint="default"/>
              </w:rPr>
              <w:t>2.93</w:t>
            </w:r>
          </w:p>
        </w:tc>
        <w:tc>
          <w:tcPr>
            <w:tcW w:w="238" w:type="pct"/>
            <w:noWrap/>
            <w:vAlign w:val="center"/>
          </w:tcPr>
          <w:p w14:paraId="13BE2160">
            <w:pPr>
              <w:pStyle w:val="42"/>
              <w:keepNext w:val="0"/>
              <w:keepLines w:val="0"/>
              <w:suppressLineNumbers w:val="0"/>
              <w:bidi w:val="0"/>
              <w:spacing w:before="0" w:beforeAutospacing="0" w:after="0" w:afterAutospacing="0"/>
              <w:rPr>
                <w:rFonts w:hint="default"/>
              </w:rPr>
            </w:pPr>
            <w:r>
              <w:rPr>
                <w:rFonts w:hint="default"/>
              </w:rPr>
              <w:t>6.66</w:t>
            </w:r>
          </w:p>
        </w:tc>
        <w:tc>
          <w:tcPr>
            <w:tcW w:w="246" w:type="pct"/>
            <w:noWrap/>
            <w:vAlign w:val="center"/>
          </w:tcPr>
          <w:p w14:paraId="368D2730">
            <w:pPr>
              <w:pStyle w:val="42"/>
              <w:keepNext w:val="0"/>
              <w:keepLines w:val="0"/>
              <w:suppressLineNumbers w:val="0"/>
              <w:bidi w:val="0"/>
              <w:spacing w:before="0" w:beforeAutospacing="0" w:after="0" w:afterAutospacing="0"/>
              <w:rPr>
                <w:rFonts w:hint="default"/>
              </w:rPr>
            </w:pPr>
            <w:r>
              <w:rPr>
                <w:rFonts w:hint="default"/>
              </w:rPr>
              <w:t>7.66</w:t>
            </w:r>
          </w:p>
        </w:tc>
        <w:tc>
          <w:tcPr>
            <w:tcW w:w="244" w:type="pct"/>
            <w:noWrap/>
            <w:vAlign w:val="center"/>
          </w:tcPr>
          <w:p w14:paraId="7038D662">
            <w:pPr>
              <w:pStyle w:val="42"/>
              <w:keepNext w:val="0"/>
              <w:keepLines w:val="0"/>
              <w:suppressLineNumbers w:val="0"/>
              <w:bidi w:val="0"/>
              <w:spacing w:before="0" w:beforeAutospacing="0" w:after="0" w:afterAutospacing="0"/>
              <w:rPr>
                <w:rFonts w:hint="default"/>
              </w:rPr>
            </w:pPr>
            <w:r>
              <w:rPr>
                <w:rFonts w:hint="default"/>
              </w:rPr>
              <w:t>14.97</w:t>
            </w:r>
          </w:p>
        </w:tc>
        <w:tc>
          <w:tcPr>
            <w:tcW w:w="278" w:type="pct"/>
            <w:noWrap/>
            <w:vAlign w:val="center"/>
          </w:tcPr>
          <w:p w14:paraId="077120C0">
            <w:pPr>
              <w:pStyle w:val="42"/>
              <w:keepNext w:val="0"/>
              <w:keepLines w:val="0"/>
              <w:suppressLineNumbers w:val="0"/>
              <w:bidi w:val="0"/>
              <w:spacing w:before="0" w:beforeAutospacing="0" w:after="0" w:afterAutospacing="0"/>
              <w:rPr>
                <w:rFonts w:hint="default"/>
              </w:rPr>
            </w:pPr>
            <w:r>
              <w:rPr>
                <w:rFonts w:hint="default"/>
              </w:rPr>
              <w:t>3.52</w:t>
            </w:r>
          </w:p>
        </w:tc>
        <w:tc>
          <w:tcPr>
            <w:tcW w:w="245" w:type="pct"/>
            <w:noWrap/>
            <w:vAlign w:val="center"/>
          </w:tcPr>
          <w:p w14:paraId="4DA7E82E">
            <w:pPr>
              <w:pStyle w:val="42"/>
              <w:keepNext w:val="0"/>
              <w:keepLines w:val="0"/>
              <w:suppressLineNumbers w:val="0"/>
              <w:bidi w:val="0"/>
              <w:spacing w:before="0" w:beforeAutospacing="0" w:after="0" w:afterAutospacing="0"/>
              <w:rPr>
                <w:rFonts w:hint="default"/>
              </w:rPr>
            </w:pPr>
            <w:r>
              <w:rPr>
                <w:rFonts w:hint="default"/>
              </w:rPr>
              <w:t>1.85</w:t>
            </w:r>
          </w:p>
        </w:tc>
        <w:tc>
          <w:tcPr>
            <w:tcW w:w="318" w:type="pct"/>
            <w:noWrap/>
            <w:vAlign w:val="center"/>
          </w:tcPr>
          <w:p w14:paraId="24C001CA">
            <w:pPr>
              <w:pStyle w:val="42"/>
              <w:keepNext w:val="0"/>
              <w:keepLines w:val="0"/>
              <w:suppressLineNumbers w:val="0"/>
              <w:bidi w:val="0"/>
              <w:spacing w:before="0" w:beforeAutospacing="0" w:after="0" w:afterAutospacing="0"/>
              <w:rPr>
                <w:rFonts w:hint="default"/>
              </w:rPr>
            </w:pPr>
            <w:r>
              <w:rPr>
                <w:rFonts w:hint="default"/>
              </w:rPr>
              <w:t>1.53</w:t>
            </w:r>
          </w:p>
        </w:tc>
        <w:tc>
          <w:tcPr>
            <w:tcW w:w="245" w:type="pct"/>
            <w:noWrap/>
            <w:vAlign w:val="center"/>
          </w:tcPr>
          <w:p w14:paraId="405612A0">
            <w:pPr>
              <w:pStyle w:val="42"/>
              <w:keepNext w:val="0"/>
              <w:keepLines w:val="0"/>
              <w:suppressLineNumbers w:val="0"/>
              <w:bidi w:val="0"/>
              <w:spacing w:before="0" w:beforeAutospacing="0" w:after="0" w:afterAutospacing="0"/>
              <w:rPr>
                <w:rFonts w:hint="default"/>
              </w:rPr>
            </w:pPr>
            <w:r>
              <w:rPr>
                <w:rFonts w:hint="default"/>
              </w:rPr>
              <w:t>2.47</w:t>
            </w:r>
          </w:p>
        </w:tc>
        <w:tc>
          <w:tcPr>
            <w:tcW w:w="334" w:type="pct"/>
            <w:noWrap/>
            <w:vAlign w:val="center"/>
          </w:tcPr>
          <w:p w14:paraId="5A3F7F9E">
            <w:pPr>
              <w:pStyle w:val="42"/>
              <w:keepNext w:val="0"/>
              <w:keepLines w:val="0"/>
              <w:suppressLineNumbers w:val="0"/>
              <w:bidi w:val="0"/>
              <w:spacing w:before="0" w:beforeAutospacing="0" w:after="0" w:afterAutospacing="0"/>
              <w:rPr>
                <w:rFonts w:hint="default"/>
              </w:rPr>
            </w:pPr>
            <w:r>
              <w:rPr>
                <w:rFonts w:hint="default"/>
              </w:rPr>
              <w:t>3.37</w:t>
            </w:r>
          </w:p>
        </w:tc>
        <w:tc>
          <w:tcPr>
            <w:tcW w:w="245" w:type="pct"/>
            <w:noWrap/>
            <w:vAlign w:val="center"/>
          </w:tcPr>
          <w:p w14:paraId="2F5FFE56">
            <w:pPr>
              <w:pStyle w:val="42"/>
              <w:keepNext w:val="0"/>
              <w:keepLines w:val="0"/>
              <w:suppressLineNumbers w:val="0"/>
              <w:bidi w:val="0"/>
              <w:spacing w:before="0" w:beforeAutospacing="0" w:after="0" w:afterAutospacing="0"/>
              <w:rPr>
                <w:rFonts w:hint="default"/>
              </w:rPr>
            </w:pPr>
            <w:r>
              <w:rPr>
                <w:rFonts w:hint="default"/>
              </w:rPr>
              <w:t>6.45</w:t>
            </w:r>
          </w:p>
        </w:tc>
        <w:tc>
          <w:tcPr>
            <w:tcW w:w="312" w:type="pct"/>
            <w:noWrap/>
            <w:vAlign w:val="center"/>
          </w:tcPr>
          <w:p w14:paraId="266EAE98">
            <w:pPr>
              <w:pStyle w:val="42"/>
              <w:keepNext w:val="0"/>
              <w:keepLines w:val="0"/>
              <w:suppressLineNumbers w:val="0"/>
              <w:bidi w:val="0"/>
              <w:spacing w:before="0" w:beforeAutospacing="0" w:after="0" w:afterAutospacing="0"/>
              <w:rPr>
                <w:rFonts w:hint="default"/>
              </w:rPr>
            </w:pPr>
            <w:r>
              <w:rPr>
                <w:rFonts w:hint="default"/>
              </w:rPr>
              <w:t>10.74</w:t>
            </w:r>
          </w:p>
        </w:tc>
        <w:tc>
          <w:tcPr>
            <w:tcW w:w="243" w:type="pct"/>
            <w:noWrap/>
            <w:vAlign w:val="center"/>
          </w:tcPr>
          <w:p w14:paraId="11269EFB">
            <w:pPr>
              <w:pStyle w:val="42"/>
              <w:keepNext w:val="0"/>
              <w:keepLines w:val="0"/>
              <w:suppressLineNumbers w:val="0"/>
              <w:bidi w:val="0"/>
              <w:spacing w:before="0" w:beforeAutospacing="0" w:after="0" w:afterAutospacing="0"/>
              <w:rPr>
                <w:rFonts w:hint="default"/>
              </w:rPr>
            </w:pPr>
            <w:r>
              <w:rPr>
                <w:rFonts w:hint="default"/>
              </w:rPr>
              <w:t>0.46</w:t>
            </w:r>
          </w:p>
        </w:tc>
      </w:tr>
    </w:tbl>
    <w:p w14:paraId="5C6F9D54">
      <w:pPr>
        <w:pStyle w:val="39"/>
        <w:bidi w:val="0"/>
        <w:rPr>
          <w:rFonts w:hint="default"/>
        </w:rPr>
        <w:sectPr>
          <w:pgSz w:w="16840" w:h="11907"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15B1CB34">
      <w:pPr>
        <w:pStyle w:val="7"/>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正常工况下废气环境影响预测与评价</w:t>
      </w:r>
    </w:p>
    <w:p w14:paraId="07992540">
      <w:pPr>
        <w:shd w:val="clear"/>
        <w:bidi w:val="0"/>
        <w:rPr>
          <w:rFonts w:hint="default" w:ascii="Times New Roman" w:hAnsi="Times New Roman" w:eastAsia="宋体" w:cs="Times New Roman"/>
          <w:color w:val="auto"/>
          <w:szCs w:val="24"/>
          <w:highlight w:val="none"/>
          <w:u w:val="none" w:color="auto"/>
        </w:rPr>
      </w:pPr>
      <w:r>
        <w:rPr>
          <w:rFonts w:hint="default" w:ascii="Times New Roman" w:hAnsi="Times New Roman" w:cs="Times New Roman"/>
          <w:color w:val="auto"/>
          <w:highlight w:val="none"/>
          <w:u w:val="none" w:color="auto"/>
        </w:rPr>
        <w:t>根据工程分析，本工程运营期废气中主要污染物为</w:t>
      </w:r>
      <w:r>
        <w:rPr>
          <w:rFonts w:hint="eastAsia" w:ascii="Times New Roman" w:hAnsi="Times New Roman" w:cs="Times New Roman"/>
          <w:color w:val="auto"/>
          <w:highlight w:val="none"/>
          <w:u w:val="none" w:color="auto"/>
          <w:lang w:val="en-US" w:eastAsia="zh-CN"/>
        </w:rPr>
        <w:t>硫化氢、氨、臭气浓度</w:t>
      </w:r>
      <w:r>
        <w:rPr>
          <w:rFonts w:hint="default" w:ascii="Times New Roman" w:hAnsi="Times New Roman" w:cs="Times New Roman"/>
          <w:color w:val="auto"/>
          <w:highlight w:val="none"/>
          <w:u w:val="none" w:color="auto"/>
        </w:rPr>
        <w:t>，环评选取</w:t>
      </w:r>
      <w:r>
        <w:rPr>
          <w:rFonts w:hint="eastAsia" w:ascii="Times New Roman" w:hAnsi="Times New Roman" w:cs="Times New Roman"/>
          <w:color w:val="auto"/>
          <w:highlight w:val="none"/>
          <w:u w:val="none" w:color="auto"/>
          <w:lang w:val="en-US" w:eastAsia="zh-CN"/>
        </w:rPr>
        <w:t>硫化氢、氨</w:t>
      </w:r>
      <w:r>
        <w:rPr>
          <w:rFonts w:hint="default" w:ascii="Times New Roman" w:hAnsi="Times New Roman" w:cs="Times New Roman"/>
          <w:color w:val="auto"/>
          <w:highlight w:val="none"/>
          <w:u w:val="none" w:color="auto"/>
        </w:rPr>
        <w:t>作为预测因子。</w:t>
      </w:r>
    </w:p>
    <w:p w14:paraId="35CC382B">
      <w:pPr>
        <w:shd w:val="clear"/>
        <w:bidi w:val="0"/>
        <w:rPr>
          <w:rFonts w:hint="default" w:ascii="Times New Roman" w:hAnsi="Times New Roman" w:cs="Times New Roman"/>
          <w:color w:val="auto"/>
          <w:highlight w:val="none"/>
          <w:u w:val="none" w:color="auto"/>
        </w:rPr>
      </w:pPr>
      <w:r>
        <w:rPr>
          <w:rFonts w:hint="default" w:ascii="Times New Roman" w:hAnsi="Times New Roman" w:eastAsia="宋体" w:cs="Times New Roman"/>
          <w:color w:val="auto"/>
          <w:spacing w:val="-3"/>
          <w:szCs w:val="24"/>
          <w:highlight w:val="none"/>
          <w:u w:val="none" w:color="auto"/>
        </w:rPr>
        <w:t>（</w:t>
      </w:r>
      <w:r>
        <w:rPr>
          <w:rFonts w:hint="default" w:ascii="Times New Roman" w:hAnsi="Times New Roman" w:eastAsia="Times New Roman" w:cs="Times New Roman"/>
          <w:color w:val="auto"/>
          <w:spacing w:val="-3"/>
          <w:szCs w:val="24"/>
          <w:highlight w:val="none"/>
          <w:u w:val="none" w:color="auto"/>
        </w:rPr>
        <w:t>1</w:t>
      </w:r>
      <w:r>
        <w:rPr>
          <w:rFonts w:hint="default" w:ascii="Times New Roman" w:hAnsi="Times New Roman" w:eastAsia="宋体" w:cs="Times New Roman"/>
          <w:color w:val="auto"/>
          <w:spacing w:val="-3"/>
          <w:szCs w:val="24"/>
          <w:highlight w:val="none"/>
          <w:u w:val="none" w:color="auto"/>
        </w:rPr>
        <w:t>）估算</w:t>
      </w:r>
      <w:r>
        <w:rPr>
          <w:rFonts w:hint="default" w:ascii="Times New Roman" w:hAnsi="Times New Roman" w:cs="Times New Roman"/>
          <w:color w:val="auto"/>
          <w:highlight w:val="none"/>
          <w:u w:val="none" w:color="auto"/>
        </w:rPr>
        <w:t>模型</w:t>
      </w:r>
    </w:p>
    <w:p w14:paraId="1B4E7581">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依据《环境影响评价技术导则-大气环境》（HJ2.2-2018）中5.3节工作等级的确定方法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结合项目工程分析结果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选择正常排放的主要污染物及排放参数</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采用附录A推荐模型中的AERSCREEN模式计算项目污染源的最大环境影响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然后按评价工作分级判据进行分级。</w:t>
      </w:r>
    </w:p>
    <w:p w14:paraId="1F6D5633">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①Pmax及D10%的确定</w:t>
      </w:r>
    </w:p>
    <w:p w14:paraId="30067B8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依据《环境影响评价技术导则 大气环境》（HJ2.2-2018）中最大地面浓度占标率Pi定义如下：</w:t>
      </w:r>
    </w:p>
    <w:p w14:paraId="00D087AF">
      <w:pPr>
        <w:spacing w:line="276" w:lineRule="auto"/>
        <w:ind w:firstLine="422" w:firstLineChars="176"/>
        <w:jc w:val="center"/>
        <w:rPr>
          <w:rFonts w:hint="default" w:ascii="Times New Roman" w:hAnsi="Times New Roman" w:cs="Times New Roman"/>
          <w:color w:val="auto"/>
          <w:highlight w:val="none"/>
          <w:u w:val="none" w:color="auto"/>
        </w:rPr>
      </w:pPr>
      <m:oMathPara>
        <m:oMath>
          <m:sSub>
            <m:sSubPr>
              <m:ctrlPr>
                <w:rPr>
                  <w:rFonts w:hint="default" w:ascii="Cambria Math" w:hAnsi="Cambria Math" w:cs="Times New Roman"/>
                  <w:sz w:val="24"/>
                  <w:szCs w:val="24"/>
                  <w:highlight w:val="none"/>
                  <w:u w:val="none" w:color="auto"/>
                </w:rPr>
              </m:ctrlPr>
            </m:sSubPr>
            <m:e>
              <m:r>
                <m:rPr/>
                <w:rPr>
                  <w:rFonts w:hint="default" w:ascii="Cambria Math" w:hAnsi="Cambria Math" w:cs="Times New Roman"/>
                  <w:sz w:val="24"/>
                  <w:szCs w:val="24"/>
                  <w:highlight w:val="none"/>
                  <w:u w:val="none" w:color="auto"/>
                </w:rPr>
                <m:t>P</m:t>
              </m:r>
              <m:ctrlPr>
                <w:rPr>
                  <w:rFonts w:hint="default" w:ascii="Cambria Math" w:hAnsi="Cambria Math" w:cs="Times New Roman"/>
                  <w:sz w:val="24"/>
                  <w:szCs w:val="24"/>
                  <w:highlight w:val="none"/>
                  <w:u w:val="none" w:color="auto"/>
                </w:rPr>
              </m:ctrlPr>
            </m:e>
            <m:sub>
              <m:r>
                <m:rPr/>
                <w:rPr>
                  <w:rFonts w:hint="default" w:ascii="Cambria Math" w:hAnsi="Cambria Math" w:cs="Times New Roman"/>
                  <w:sz w:val="24"/>
                  <w:szCs w:val="24"/>
                  <w:highlight w:val="none"/>
                  <w:u w:val="none" w:color="auto"/>
                </w:rPr>
                <m:t>i</m:t>
              </m:r>
              <m:ctrlPr>
                <w:rPr>
                  <w:rFonts w:hint="default" w:ascii="Cambria Math" w:hAnsi="Cambria Math" w:cs="Times New Roman"/>
                  <w:sz w:val="24"/>
                  <w:szCs w:val="24"/>
                  <w:highlight w:val="none"/>
                  <w:u w:val="none" w:color="auto"/>
                </w:rPr>
              </m:ctrlPr>
            </m:sub>
          </m:sSub>
          <m:r>
            <m:rPr>
              <m:sty m:val="p"/>
            </m:rPr>
            <w:rPr>
              <w:rFonts w:hint="default" w:ascii="Cambria Math" w:hAnsi="Cambria Math" w:cs="Times New Roman"/>
              <w:sz w:val="24"/>
              <w:szCs w:val="24"/>
              <w:highlight w:val="none"/>
              <w:u w:val="none" w:color="auto"/>
            </w:rPr>
            <m:t>=</m:t>
          </m:r>
          <m:f>
            <m:fPr>
              <m:ctrlPr>
                <w:rPr>
                  <w:rFonts w:hint="default" w:ascii="Cambria Math" w:hAnsi="Cambria Math" w:cs="Times New Roman"/>
                  <w:sz w:val="24"/>
                  <w:szCs w:val="24"/>
                  <w:highlight w:val="none"/>
                  <w:u w:val="none" w:color="auto"/>
                </w:rPr>
              </m:ctrlPr>
            </m:fPr>
            <m:num>
              <m:sSub>
                <m:sSubPr>
                  <m:ctrlPr>
                    <w:rPr>
                      <w:rFonts w:hint="default" w:ascii="Cambria Math" w:hAnsi="Cambria Math" w:cs="Times New Roman"/>
                      <w:i/>
                      <w:sz w:val="24"/>
                      <w:szCs w:val="24"/>
                      <w:highlight w:val="none"/>
                      <w:u w:val="none" w:color="auto"/>
                    </w:rPr>
                  </m:ctrlPr>
                </m:sSubPr>
                <m:e>
                  <m:r>
                    <m:rPr/>
                    <w:rPr>
                      <w:rFonts w:hint="default" w:ascii="Cambria Math" w:hAnsi="Cambria Math" w:cs="Times New Roman"/>
                      <w:sz w:val="24"/>
                      <w:szCs w:val="24"/>
                      <w:highlight w:val="none"/>
                      <w:u w:val="none" w:color="auto"/>
                    </w:rPr>
                    <m:t>C</m:t>
                  </m:r>
                  <m:ctrlPr>
                    <w:rPr>
                      <w:rFonts w:hint="default" w:ascii="Cambria Math" w:hAnsi="Cambria Math" w:cs="Times New Roman"/>
                      <w:i/>
                      <w:sz w:val="24"/>
                      <w:szCs w:val="24"/>
                      <w:highlight w:val="none"/>
                      <w:u w:val="none" w:color="auto"/>
                    </w:rPr>
                  </m:ctrlPr>
                </m:e>
                <m:sub>
                  <m:r>
                    <m:rPr/>
                    <w:rPr>
                      <w:rFonts w:hint="default" w:ascii="Cambria Math" w:hAnsi="Cambria Math" w:cs="Times New Roman"/>
                      <w:sz w:val="24"/>
                      <w:szCs w:val="24"/>
                      <w:highlight w:val="none"/>
                      <w:u w:val="none" w:color="auto"/>
                    </w:rPr>
                    <m:t>i</m:t>
                  </m:r>
                  <m:ctrlPr>
                    <w:rPr>
                      <w:rFonts w:hint="default" w:ascii="Cambria Math" w:hAnsi="Cambria Math" w:cs="Times New Roman"/>
                      <w:i/>
                      <w:sz w:val="24"/>
                      <w:szCs w:val="24"/>
                      <w:highlight w:val="none"/>
                      <w:u w:val="none" w:color="auto"/>
                    </w:rPr>
                  </m:ctrlPr>
                </m:sub>
              </m:sSub>
              <m:ctrlPr>
                <w:rPr>
                  <w:rFonts w:hint="default" w:ascii="Cambria Math" w:hAnsi="Cambria Math" w:cs="Times New Roman"/>
                  <w:sz w:val="24"/>
                  <w:szCs w:val="24"/>
                  <w:highlight w:val="none"/>
                  <w:u w:val="none" w:color="auto"/>
                </w:rPr>
              </m:ctrlPr>
            </m:num>
            <m:den>
              <m:sSub>
                <m:sSubPr>
                  <m:ctrlPr>
                    <w:rPr>
                      <w:rFonts w:hint="default" w:ascii="Cambria Math" w:hAnsi="Cambria Math" w:cs="Times New Roman"/>
                      <w:i/>
                      <w:sz w:val="24"/>
                      <w:szCs w:val="24"/>
                      <w:highlight w:val="none"/>
                      <w:u w:val="none" w:color="auto"/>
                    </w:rPr>
                  </m:ctrlPr>
                </m:sSubPr>
                <m:e>
                  <m:r>
                    <m:rPr/>
                    <w:rPr>
                      <w:rFonts w:hint="default" w:ascii="Cambria Math" w:hAnsi="Cambria Math" w:cs="Times New Roman"/>
                      <w:sz w:val="24"/>
                      <w:szCs w:val="24"/>
                      <w:highlight w:val="none"/>
                      <w:u w:val="none" w:color="auto"/>
                    </w:rPr>
                    <m:t>C</m:t>
                  </m:r>
                  <m:ctrlPr>
                    <w:rPr>
                      <w:rFonts w:hint="default" w:ascii="Cambria Math" w:hAnsi="Cambria Math" w:cs="Times New Roman"/>
                      <w:i/>
                      <w:sz w:val="24"/>
                      <w:szCs w:val="24"/>
                      <w:highlight w:val="none"/>
                      <w:u w:val="none" w:color="auto"/>
                    </w:rPr>
                  </m:ctrlPr>
                </m:e>
                <m:sub>
                  <m:r>
                    <m:rPr/>
                    <w:rPr>
                      <w:rFonts w:hint="default" w:ascii="Cambria Math" w:hAnsi="Cambria Math" w:cs="Times New Roman"/>
                      <w:sz w:val="24"/>
                      <w:szCs w:val="24"/>
                      <w:highlight w:val="none"/>
                      <w:u w:val="none" w:color="auto"/>
                    </w:rPr>
                    <m:t>0i</m:t>
                  </m:r>
                  <m:ctrlPr>
                    <w:rPr>
                      <w:rFonts w:hint="default" w:ascii="Cambria Math" w:hAnsi="Cambria Math" w:cs="Times New Roman"/>
                      <w:i/>
                      <w:sz w:val="24"/>
                      <w:szCs w:val="24"/>
                      <w:highlight w:val="none"/>
                      <w:u w:val="none" w:color="auto"/>
                    </w:rPr>
                  </m:ctrlPr>
                </m:sub>
              </m:sSub>
              <m:ctrlPr>
                <w:rPr>
                  <w:rFonts w:hint="default" w:ascii="Cambria Math" w:hAnsi="Cambria Math" w:cs="Times New Roman"/>
                  <w:sz w:val="24"/>
                  <w:szCs w:val="24"/>
                  <w:highlight w:val="none"/>
                  <w:u w:val="none" w:color="auto"/>
                </w:rPr>
              </m:ctrlPr>
            </m:den>
          </m:f>
          <m:r>
            <m:rPr/>
            <w:rPr>
              <w:rFonts w:hint="default" w:ascii="Cambria Math" w:hAnsi="Cambria Math" w:cs="Times New Roman"/>
              <w:sz w:val="24"/>
              <w:szCs w:val="24"/>
              <w:highlight w:val="none"/>
              <w:u w:val="none" w:color="auto"/>
            </w:rPr>
            <m:t>×100%</m:t>
          </m:r>
        </m:oMath>
      </m:oMathPara>
    </w:p>
    <w:p w14:paraId="39F177AD">
      <w:pPr>
        <w:spacing w:line="480" w:lineRule="exact"/>
        <w:ind w:firstLine="422" w:firstLineChars="176"/>
        <w:jc w:val="left"/>
        <w:rPr>
          <w:rFonts w:hint="default" w:ascii="Times New Roman" w:hAnsi="Times New Roman" w:cs="Times New Roman"/>
          <w:color w:val="auto"/>
          <w:highlight w:val="none"/>
          <w:u w:val="none" w:color="auto"/>
        </w:rPr>
      </w:pPr>
      <m:oMath>
        <m:sSub>
          <m:sSubPr>
            <m:ctrlPr>
              <w:rPr>
                <w:rFonts w:hint="default" w:ascii="Cambria Math" w:hAnsi="Cambria Math" w:cs="Times New Roman"/>
                <w:sz w:val="24"/>
                <w:szCs w:val="24"/>
                <w:highlight w:val="none"/>
                <w:u w:val="none" w:color="auto"/>
              </w:rPr>
            </m:ctrlPr>
          </m:sSubPr>
          <m:e>
            <m:r>
              <m:rPr/>
              <w:rPr>
                <w:rFonts w:hint="default" w:ascii="Cambria Math" w:hAnsi="Cambria Math" w:cs="Times New Roman"/>
                <w:sz w:val="24"/>
                <w:szCs w:val="24"/>
                <w:highlight w:val="none"/>
                <w:u w:val="none" w:color="auto"/>
              </w:rPr>
              <m:t>P</m:t>
            </m:r>
            <m:ctrlPr>
              <w:rPr>
                <w:rFonts w:hint="default" w:ascii="Cambria Math" w:hAnsi="Cambria Math" w:cs="Times New Roman"/>
                <w:sz w:val="24"/>
                <w:szCs w:val="24"/>
                <w:highlight w:val="none"/>
                <w:u w:val="none" w:color="auto"/>
              </w:rPr>
            </m:ctrlPr>
          </m:e>
          <m:sub>
            <m:r>
              <m:rPr/>
              <w:rPr>
                <w:rFonts w:hint="default" w:ascii="Cambria Math" w:hAnsi="Cambria Math" w:cs="Times New Roman"/>
                <w:sz w:val="24"/>
                <w:szCs w:val="24"/>
                <w:highlight w:val="none"/>
                <w:u w:val="none" w:color="auto"/>
              </w:rPr>
              <m:t>i</m:t>
            </m:r>
            <m:ctrlPr>
              <w:rPr>
                <w:rFonts w:hint="default" w:ascii="Cambria Math" w:hAnsi="Cambria Math" w:cs="Times New Roman"/>
                <w:sz w:val="24"/>
                <w:szCs w:val="24"/>
                <w:highlight w:val="none"/>
                <w:u w:val="none" w:color="auto"/>
              </w:rPr>
            </m:ctrlPr>
          </m:sub>
        </m:sSub>
      </m:oMath>
      <w:r>
        <w:rPr>
          <w:rFonts w:hint="default" w:ascii="Times New Roman" w:hAnsi="Times New Roman" w:cs="Times New Roman"/>
          <w:color w:val="auto"/>
          <w:highlight w:val="none"/>
          <w:u w:val="none" w:color="auto"/>
        </w:rPr>
        <w:t xml:space="preserve"> ——第i个污染物的最大地面空气质量浓度 占标率</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w:t>
      </w:r>
    </w:p>
    <w:p w14:paraId="1011A355">
      <w:pPr>
        <w:spacing w:line="480" w:lineRule="exact"/>
        <w:ind w:firstLine="422" w:firstLineChars="176"/>
        <w:jc w:val="left"/>
        <w:rPr>
          <w:rFonts w:hint="default" w:ascii="Times New Roman" w:hAnsi="Times New Roman" w:cs="Times New Roman"/>
          <w:color w:val="auto"/>
          <w:highlight w:val="none"/>
          <w:u w:val="none" w:color="auto"/>
        </w:rPr>
      </w:pPr>
      <m:oMath>
        <m:sSub>
          <m:sSubPr>
            <m:ctrlPr>
              <w:rPr>
                <w:rFonts w:hint="default" w:ascii="Cambria Math" w:hAnsi="Cambria Math" w:cs="Times New Roman"/>
                <w:i/>
                <w:sz w:val="24"/>
                <w:szCs w:val="24"/>
                <w:highlight w:val="none"/>
                <w:u w:val="none" w:color="auto"/>
              </w:rPr>
            </m:ctrlPr>
          </m:sSubPr>
          <m:e>
            <m:r>
              <m:rPr/>
              <w:rPr>
                <w:rFonts w:hint="default" w:ascii="Cambria Math" w:hAnsi="Cambria Math" w:cs="Times New Roman"/>
                <w:sz w:val="24"/>
                <w:szCs w:val="24"/>
                <w:highlight w:val="none"/>
                <w:u w:val="none" w:color="auto"/>
              </w:rPr>
              <m:t>C</m:t>
            </m:r>
            <m:ctrlPr>
              <w:rPr>
                <w:rFonts w:hint="default" w:ascii="Cambria Math" w:hAnsi="Cambria Math" w:cs="Times New Roman"/>
                <w:i/>
                <w:sz w:val="24"/>
                <w:szCs w:val="24"/>
                <w:highlight w:val="none"/>
                <w:u w:val="none" w:color="auto"/>
              </w:rPr>
            </m:ctrlPr>
          </m:e>
          <m:sub>
            <m:r>
              <m:rPr/>
              <w:rPr>
                <w:rFonts w:hint="default" w:ascii="Cambria Math" w:hAnsi="Cambria Math" w:cs="Times New Roman"/>
                <w:sz w:val="24"/>
                <w:szCs w:val="24"/>
                <w:highlight w:val="none"/>
                <w:u w:val="none" w:color="auto"/>
              </w:rPr>
              <m:t>i</m:t>
            </m:r>
            <m:ctrlPr>
              <w:rPr>
                <w:rFonts w:hint="default" w:ascii="Cambria Math" w:hAnsi="Cambria Math" w:cs="Times New Roman"/>
                <w:i/>
                <w:sz w:val="24"/>
                <w:szCs w:val="24"/>
                <w:highlight w:val="none"/>
                <w:u w:val="none" w:color="auto"/>
              </w:rPr>
            </m:ctrlPr>
          </m:sub>
        </m:sSub>
      </m:oMath>
      <w:r>
        <w:rPr>
          <w:rFonts w:hint="default" w:ascii="Times New Roman" w:hAnsi="Times New Roman" w:cs="Times New Roman"/>
          <w:color w:val="auto"/>
          <w:highlight w:val="none"/>
          <w:u w:val="none" w:color="auto"/>
        </w:rPr>
        <w:t>——采用估算模型计算出的第i个污染物的最大1h地面空气质量浓度</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μg/</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w:t>
      </w:r>
    </w:p>
    <w:p w14:paraId="02ABBBBD">
      <w:pPr>
        <w:spacing w:line="480" w:lineRule="exact"/>
        <w:ind w:firstLine="422" w:firstLineChars="176"/>
        <w:jc w:val="left"/>
        <w:rPr>
          <w:rFonts w:hint="default" w:ascii="Times New Roman" w:hAnsi="Times New Roman" w:cs="Times New Roman"/>
          <w:color w:val="auto"/>
          <w:highlight w:val="none"/>
          <w:u w:val="none" w:color="auto"/>
        </w:rPr>
      </w:pPr>
      <m:oMath>
        <m:sSub>
          <m:sSubPr>
            <m:ctrlPr>
              <w:rPr>
                <w:rFonts w:hint="default" w:ascii="Cambria Math" w:hAnsi="Cambria Math" w:cs="Times New Roman"/>
                <w:i/>
                <w:sz w:val="24"/>
                <w:szCs w:val="24"/>
                <w:highlight w:val="none"/>
                <w:u w:val="none" w:color="auto"/>
              </w:rPr>
            </m:ctrlPr>
          </m:sSubPr>
          <m:e>
            <m:r>
              <m:rPr/>
              <w:rPr>
                <w:rFonts w:hint="default" w:ascii="Cambria Math" w:hAnsi="Cambria Math" w:cs="Times New Roman"/>
                <w:sz w:val="24"/>
                <w:szCs w:val="24"/>
                <w:highlight w:val="none"/>
                <w:u w:val="none" w:color="auto"/>
              </w:rPr>
              <m:t>C</m:t>
            </m:r>
            <m:ctrlPr>
              <w:rPr>
                <w:rFonts w:hint="default" w:ascii="Cambria Math" w:hAnsi="Cambria Math" w:cs="Times New Roman"/>
                <w:i/>
                <w:sz w:val="24"/>
                <w:szCs w:val="24"/>
                <w:highlight w:val="none"/>
                <w:u w:val="none" w:color="auto"/>
              </w:rPr>
            </m:ctrlPr>
          </m:e>
          <m:sub>
            <m:r>
              <m:rPr/>
              <w:rPr>
                <w:rFonts w:hint="default" w:ascii="Cambria Math" w:hAnsi="Cambria Math" w:cs="Times New Roman"/>
                <w:sz w:val="24"/>
                <w:szCs w:val="24"/>
                <w:highlight w:val="none"/>
                <w:u w:val="none" w:color="auto"/>
              </w:rPr>
              <m:t>0i</m:t>
            </m:r>
            <m:ctrlPr>
              <w:rPr>
                <w:rFonts w:hint="default" w:ascii="Cambria Math" w:hAnsi="Cambria Math" w:cs="Times New Roman"/>
                <w:i/>
                <w:sz w:val="24"/>
                <w:szCs w:val="24"/>
                <w:highlight w:val="none"/>
                <w:u w:val="none" w:color="auto"/>
              </w:rPr>
            </m:ctrlPr>
          </m:sub>
        </m:sSub>
      </m:oMath>
      <w:r>
        <w:rPr>
          <w:rFonts w:hint="default" w:ascii="Times New Roman" w:hAnsi="Times New Roman" w:cs="Times New Roman"/>
          <w:color w:val="auto"/>
          <w:highlight w:val="none"/>
          <w:u w:val="none" w:color="auto"/>
        </w:rPr>
        <w:t>——第i个污染物的环境空气质量浓度标准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μg/</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w:t>
      </w:r>
    </w:p>
    <w:p w14:paraId="238E222D">
      <w:pPr>
        <w:spacing w:line="480" w:lineRule="exact"/>
        <w:ind w:firstLine="422" w:firstLineChars="176"/>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②评价等级判别表</w:t>
      </w:r>
    </w:p>
    <w:p w14:paraId="3D6C2E0D">
      <w:pPr>
        <w:spacing w:line="480" w:lineRule="exact"/>
        <w:ind w:firstLine="422" w:firstLineChars="176"/>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评价等级按下表的分级判据进行划分</w:t>
      </w:r>
    </w:p>
    <w:p w14:paraId="216AEF93">
      <w:pPr>
        <w:pStyle w:val="39"/>
        <w:bidi w:val="0"/>
        <w:rPr>
          <w:rFonts w:hint="default"/>
          <w:lang w:val="zh-CN"/>
        </w:rPr>
      </w:pPr>
      <w:r>
        <w:rPr>
          <w:rFonts w:hint="default"/>
          <w:lang w:val="zh-CN"/>
        </w:rPr>
        <w:t>表</w:t>
      </w:r>
      <w:r>
        <w:rPr>
          <w:rFonts w:hint="eastAsia"/>
          <w:lang w:val="en-US" w:eastAsia="zh-CN"/>
        </w:rPr>
        <w:t>6.2-8</w:t>
      </w:r>
      <w:r>
        <w:rPr>
          <w:rFonts w:hint="default"/>
          <w:lang w:val="zh-CN"/>
        </w:rPr>
        <w:t xml:space="preserve"> 评价等级判别表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0"/>
        <w:gridCol w:w="4261"/>
      </w:tblGrid>
      <w:tr w14:paraId="269833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noWrap w:val="0"/>
            <w:vAlign w:val="center"/>
          </w:tcPr>
          <w:p w14:paraId="5D99BDEA">
            <w:pPr>
              <w:pStyle w:val="42"/>
              <w:keepNext w:val="0"/>
              <w:keepLines w:val="0"/>
              <w:suppressLineNumbers w:val="0"/>
              <w:bidi w:val="0"/>
              <w:spacing w:before="0" w:beforeAutospacing="0" w:after="0" w:afterAutospacing="0"/>
              <w:rPr>
                <w:rFonts w:hint="default"/>
              </w:rPr>
            </w:pPr>
            <w:r>
              <w:rPr>
                <w:rFonts w:hint="default"/>
              </w:rPr>
              <w:t>评价工作等级</w:t>
            </w:r>
          </w:p>
        </w:tc>
        <w:tc>
          <w:tcPr>
            <w:tcW w:w="2500" w:type="pct"/>
            <w:noWrap w:val="0"/>
            <w:vAlign w:val="center"/>
          </w:tcPr>
          <w:p w14:paraId="7EC96B77">
            <w:pPr>
              <w:pStyle w:val="42"/>
              <w:keepNext w:val="0"/>
              <w:keepLines w:val="0"/>
              <w:suppressLineNumbers w:val="0"/>
              <w:bidi w:val="0"/>
              <w:spacing w:before="0" w:beforeAutospacing="0" w:after="0" w:afterAutospacing="0"/>
              <w:rPr>
                <w:rFonts w:hint="default"/>
              </w:rPr>
            </w:pPr>
            <w:r>
              <w:rPr>
                <w:rFonts w:hint="default"/>
              </w:rPr>
              <w:t>评价工作分级判据</w:t>
            </w:r>
          </w:p>
        </w:tc>
      </w:tr>
      <w:tr w14:paraId="1B382F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noWrap w:val="0"/>
            <w:vAlign w:val="center"/>
          </w:tcPr>
          <w:p w14:paraId="241FB45E">
            <w:pPr>
              <w:pStyle w:val="42"/>
              <w:keepNext w:val="0"/>
              <w:keepLines w:val="0"/>
              <w:suppressLineNumbers w:val="0"/>
              <w:bidi w:val="0"/>
              <w:spacing w:before="0" w:beforeAutospacing="0" w:after="0" w:afterAutospacing="0"/>
              <w:rPr>
                <w:rFonts w:hint="default"/>
              </w:rPr>
            </w:pPr>
            <w:r>
              <w:rPr>
                <w:rFonts w:hint="default"/>
              </w:rPr>
              <w:t>一级评价</w:t>
            </w:r>
          </w:p>
        </w:tc>
        <w:tc>
          <w:tcPr>
            <w:tcW w:w="2500" w:type="pct"/>
            <w:noWrap w:val="0"/>
            <w:vAlign w:val="center"/>
          </w:tcPr>
          <w:p w14:paraId="743CB8C3">
            <w:pPr>
              <w:pStyle w:val="42"/>
              <w:keepNext w:val="0"/>
              <w:keepLines w:val="0"/>
              <w:suppressLineNumbers w:val="0"/>
              <w:bidi w:val="0"/>
              <w:spacing w:before="0" w:beforeAutospacing="0" w:after="0" w:afterAutospacing="0"/>
              <w:rPr>
                <w:rFonts w:hint="default"/>
              </w:rPr>
            </w:pPr>
            <w:r>
              <w:rPr>
                <w:rFonts w:hint="default"/>
              </w:rPr>
              <w:t>Pmax≧10%</w:t>
            </w:r>
          </w:p>
        </w:tc>
      </w:tr>
      <w:tr w14:paraId="7268A4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noWrap w:val="0"/>
            <w:vAlign w:val="center"/>
          </w:tcPr>
          <w:p w14:paraId="1F3574BB">
            <w:pPr>
              <w:pStyle w:val="42"/>
              <w:keepNext w:val="0"/>
              <w:keepLines w:val="0"/>
              <w:suppressLineNumbers w:val="0"/>
              <w:bidi w:val="0"/>
              <w:spacing w:before="0" w:beforeAutospacing="0" w:after="0" w:afterAutospacing="0"/>
              <w:rPr>
                <w:rFonts w:hint="default"/>
              </w:rPr>
            </w:pPr>
            <w:r>
              <w:rPr>
                <w:rFonts w:hint="default"/>
              </w:rPr>
              <w:t>二级评价</w:t>
            </w:r>
          </w:p>
        </w:tc>
        <w:tc>
          <w:tcPr>
            <w:tcW w:w="2500" w:type="pct"/>
            <w:noWrap w:val="0"/>
            <w:vAlign w:val="center"/>
          </w:tcPr>
          <w:p w14:paraId="603CA781">
            <w:pPr>
              <w:pStyle w:val="42"/>
              <w:keepNext w:val="0"/>
              <w:keepLines w:val="0"/>
              <w:suppressLineNumbers w:val="0"/>
              <w:bidi w:val="0"/>
              <w:spacing w:before="0" w:beforeAutospacing="0" w:after="0" w:afterAutospacing="0"/>
              <w:rPr>
                <w:rFonts w:hint="default"/>
              </w:rPr>
            </w:pPr>
            <w:r>
              <w:rPr>
                <w:rFonts w:hint="default"/>
              </w:rPr>
              <w:t>1%≦Pmax&lt;10%</w:t>
            </w:r>
          </w:p>
        </w:tc>
      </w:tr>
      <w:tr w14:paraId="553E5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noWrap w:val="0"/>
            <w:vAlign w:val="center"/>
          </w:tcPr>
          <w:p w14:paraId="20AEBF22">
            <w:pPr>
              <w:pStyle w:val="42"/>
              <w:keepNext w:val="0"/>
              <w:keepLines w:val="0"/>
              <w:suppressLineNumbers w:val="0"/>
              <w:bidi w:val="0"/>
              <w:spacing w:before="0" w:beforeAutospacing="0" w:after="0" w:afterAutospacing="0"/>
              <w:rPr>
                <w:rFonts w:hint="default"/>
              </w:rPr>
            </w:pPr>
            <w:r>
              <w:rPr>
                <w:rFonts w:hint="default"/>
              </w:rPr>
              <w:t>三级评价</w:t>
            </w:r>
          </w:p>
        </w:tc>
        <w:tc>
          <w:tcPr>
            <w:tcW w:w="2500" w:type="pct"/>
            <w:noWrap w:val="0"/>
            <w:vAlign w:val="center"/>
          </w:tcPr>
          <w:p w14:paraId="1CF6123B">
            <w:pPr>
              <w:pStyle w:val="42"/>
              <w:keepNext w:val="0"/>
              <w:keepLines w:val="0"/>
              <w:suppressLineNumbers w:val="0"/>
              <w:bidi w:val="0"/>
              <w:spacing w:before="0" w:beforeAutospacing="0" w:after="0" w:afterAutospacing="0"/>
              <w:rPr>
                <w:rFonts w:hint="default"/>
              </w:rPr>
            </w:pPr>
            <w:r>
              <w:rPr>
                <w:rFonts w:hint="default"/>
              </w:rPr>
              <w:t>Pmax&lt;1%</w:t>
            </w:r>
          </w:p>
        </w:tc>
      </w:tr>
    </w:tbl>
    <w:p w14:paraId="4B3A5EAB">
      <w:pPr>
        <w:bidi w:val="0"/>
        <w:rPr>
          <w:rFonts w:hint="default"/>
        </w:rPr>
      </w:pPr>
      <w:r>
        <w:rPr>
          <w:rFonts w:hint="default"/>
        </w:rPr>
        <w:t>③污染物评价标准</w:t>
      </w:r>
    </w:p>
    <w:p w14:paraId="407E0A37">
      <w:pPr>
        <w:bidi w:val="0"/>
        <w:rPr>
          <w:rFonts w:hint="default"/>
        </w:rPr>
      </w:pPr>
      <w:r>
        <w:rPr>
          <w:rFonts w:hint="default"/>
        </w:rPr>
        <w:t>污染物评价标准和来源见下表。</w:t>
      </w:r>
    </w:p>
    <w:p w14:paraId="08D419BA">
      <w:pPr>
        <w:pStyle w:val="39"/>
        <w:bidi w:val="0"/>
        <w:rPr>
          <w:rFonts w:hint="default"/>
          <w:lang w:val="zh-CN"/>
        </w:rPr>
      </w:pPr>
      <w:r>
        <w:rPr>
          <w:rFonts w:hint="default"/>
          <w:lang w:val="zh-CN"/>
        </w:rPr>
        <w:t>表</w:t>
      </w:r>
      <w:r>
        <w:rPr>
          <w:rFonts w:hint="eastAsia"/>
          <w:lang w:val="en-US" w:eastAsia="zh-CN"/>
        </w:rPr>
        <w:t>6.2-9</w:t>
      </w:r>
      <w:r>
        <w:rPr>
          <w:rFonts w:hint="default"/>
          <w:lang w:val="zh-CN"/>
        </w:rPr>
        <w:t xml:space="preserve">  污染物评价标准</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7"/>
        <w:gridCol w:w="1649"/>
        <w:gridCol w:w="1823"/>
        <w:gridCol w:w="1632"/>
        <w:gridCol w:w="1829"/>
      </w:tblGrid>
      <w:tr w14:paraId="509CEE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noWrap w:val="0"/>
            <w:vAlign w:val="center"/>
          </w:tcPr>
          <w:p w14:paraId="36A01C83">
            <w:pPr>
              <w:pStyle w:val="42"/>
              <w:keepNext w:val="0"/>
              <w:keepLines w:val="0"/>
              <w:suppressLineNumbers w:val="0"/>
              <w:bidi w:val="0"/>
              <w:spacing w:before="0" w:beforeAutospacing="0" w:after="0" w:afterAutospacing="0"/>
              <w:rPr>
                <w:rFonts w:hint="default"/>
              </w:rPr>
            </w:pPr>
            <w:r>
              <w:rPr>
                <w:rFonts w:hint="default"/>
              </w:rPr>
              <w:t>污染物名称</w:t>
            </w:r>
          </w:p>
        </w:tc>
        <w:tc>
          <w:tcPr>
            <w:tcW w:w="967" w:type="pct"/>
            <w:noWrap w:val="0"/>
            <w:vAlign w:val="center"/>
          </w:tcPr>
          <w:p w14:paraId="55AF54E3">
            <w:pPr>
              <w:pStyle w:val="42"/>
              <w:keepNext w:val="0"/>
              <w:keepLines w:val="0"/>
              <w:suppressLineNumbers w:val="0"/>
              <w:bidi w:val="0"/>
              <w:spacing w:before="0" w:beforeAutospacing="0" w:after="0" w:afterAutospacing="0"/>
              <w:rPr>
                <w:rFonts w:hint="default"/>
              </w:rPr>
            </w:pPr>
            <w:r>
              <w:rPr>
                <w:rFonts w:hint="default"/>
              </w:rPr>
              <w:t>功能区</w:t>
            </w:r>
          </w:p>
        </w:tc>
        <w:tc>
          <w:tcPr>
            <w:tcW w:w="1069" w:type="pct"/>
            <w:noWrap w:val="0"/>
            <w:vAlign w:val="center"/>
          </w:tcPr>
          <w:p w14:paraId="71DDCCE9">
            <w:pPr>
              <w:pStyle w:val="42"/>
              <w:keepNext w:val="0"/>
              <w:keepLines w:val="0"/>
              <w:suppressLineNumbers w:val="0"/>
              <w:bidi w:val="0"/>
              <w:spacing w:before="0" w:beforeAutospacing="0" w:after="0" w:afterAutospacing="0"/>
              <w:rPr>
                <w:rFonts w:hint="default"/>
              </w:rPr>
            </w:pPr>
            <w:r>
              <w:rPr>
                <w:rFonts w:hint="default"/>
              </w:rPr>
              <w:t>取值时间</w:t>
            </w:r>
          </w:p>
        </w:tc>
        <w:tc>
          <w:tcPr>
            <w:tcW w:w="957" w:type="pct"/>
            <w:noWrap w:val="0"/>
            <w:vAlign w:val="center"/>
          </w:tcPr>
          <w:p w14:paraId="3EE3378D">
            <w:pPr>
              <w:pStyle w:val="42"/>
              <w:keepNext w:val="0"/>
              <w:keepLines w:val="0"/>
              <w:suppressLineNumbers w:val="0"/>
              <w:bidi w:val="0"/>
              <w:spacing w:before="0" w:beforeAutospacing="0" w:after="0" w:afterAutospacing="0"/>
              <w:rPr>
                <w:rFonts w:hint="default"/>
              </w:rPr>
            </w:pPr>
            <w:bookmarkStart w:id="154" w:name="OLE_LINK5"/>
            <w:bookmarkStart w:id="155" w:name="OLE_LINK4"/>
            <w:r>
              <w:rPr>
                <w:rFonts w:hint="default"/>
              </w:rPr>
              <w:t>标准值</w:t>
            </w:r>
            <w:bookmarkEnd w:id="154"/>
            <w:bookmarkEnd w:id="155"/>
          </w:p>
          <w:p w14:paraId="3EFE7E56">
            <w:pPr>
              <w:pStyle w:val="42"/>
              <w:keepNext w:val="0"/>
              <w:keepLines w:val="0"/>
              <w:suppressLineNumbers w:val="0"/>
              <w:bidi w:val="0"/>
              <w:spacing w:before="0" w:beforeAutospacing="0" w:after="0" w:afterAutospacing="0"/>
              <w:rPr>
                <w:rFonts w:hint="default"/>
              </w:rPr>
            </w:pPr>
            <w:bookmarkStart w:id="156" w:name="OLE_LINK15"/>
            <w:r>
              <w:rPr>
                <w:rFonts w:hint="default"/>
              </w:rPr>
              <w:t>（μg/</w:t>
            </w:r>
            <w:bookmarkEnd w:id="156"/>
            <w:r>
              <w:rPr>
                <w:rFonts w:hint="eastAsia"/>
                <w:lang w:eastAsia="zh-CN"/>
              </w:rPr>
              <w:t>m</w:t>
            </w:r>
            <w:r>
              <w:rPr>
                <w:rFonts w:hint="eastAsia"/>
                <w:vertAlign w:val="superscript"/>
                <w:lang w:eastAsia="zh-CN"/>
              </w:rPr>
              <w:t>3</w:t>
            </w:r>
            <w:r>
              <w:rPr>
                <w:rFonts w:hint="default"/>
              </w:rPr>
              <w:t>）</w:t>
            </w:r>
          </w:p>
        </w:tc>
        <w:tc>
          <w:tcPr>
            <w:tcW w:w="1073" w:type="pct"/>
            <w:noWrap w:val="0"/>
            <w:vAlign w:val="center"/>
          </w:tcPr>
          <w:p w14:paraId="45727BFD">
            <w:pPr>
              <w:pStyle w:val="42"/>
              <w:keepNext w:val="0"/>
              <w:keepLines w:val="0"/>
              <w:suppressLineNumbers w:val="0"/>
              <w:bidi w:val="0"/>
              <w:spacing w:before="0" w:beforeAutospacing="0" w:after="0" w:afterAutospacing="0"/>
              <w:rPr>
                <w:rFonts w:hint="default"/>
              </w:rPr>
            </w:pPr>
            <w:r>
              <w:rPr>
                <w:rFonts w:hint="default"/>
              </w:rPr>
              <w:t>标准来源</w:t>
            </w:r>
          </w:p>
        </w:tc>
      </w:tr>
      <w:tr w14:paraId="4B544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noWrap w:val="0"/>
            <w:vAlign w:val="center"/>
          </w:tcPr>
          <w:p w14:paraId="1094A62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硫化氢</w:t>
            </w:r>
          </w:p>
        </w:tc>
        <w:tc>
          <w:tcPr>
            <w:tcW w:w="967" w:type="pct"/>
            <w:noWrap w:val="0"/>
            <w:vAlign w:val="center"/>
          </w:tcPr>
          <w:p w14:paraId="2D7C6D38">
            <w:pPr>
              <w:pStyle w:val="42"/>
              <w:keepNext w:val="0"/>
              <w:keepLines w:val="0"/>
              <w:suppressLineNumbers w:val="0"/>
              <w:bidi w:val="0"/>
              <w:spacing w:before="0" w:beforeAutospacing="0" w:after="0" w:afterAutospacing="0"/>
              <w:rPr>
                <w:rFonts w:hint="default"/>
              </w:rPr>
            </w:pPr>
            <w:r>
              <w:rPr>
                <w:rFonts w:hint="default"/>
              </w:rPr>
              <w:t>二类限区</w:t>
            </w:r>
          </w:p>
        </w:tc>
        <w:tc>
          <w:tcPr>
            <w:tcW w:w="1069" w:type="pct"/>
            <w:noWrap w:val="0"/>
            <w:vAlign w:val="center"/>
          </w:tcPr>
          <w:p w14:paraId="268FAEA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小时值</w:t>
            </w:r>
          </w:p>
        </w:tc>
        <w:tc>
          <w:tcPr>
            <w:tcW w:w="957" w:type="pct"/>
            <w:noWrap w:val="0"/>
            <w:vAlign w:val="center"/>
          </w:tcPr>
          <w:p w14:paraId="6D8C8113">
            <w:pPr>
              <w:pStyle w:val="42"/>
              <w:keepNext w:val="0"/>
              <w:keepLines w:val="0"/>
              <w:suppressLineNumbers w:val="0"/>
              <w:bidi w:val="0"/>
              <w:spacing w:before="0" w:beforeAutospacing="0" w:after="0" w:afterAutospacing="0"/>
              <w:rPr>
                <w:rFonts w:hint="default"/>
                <w:lang w:val="en-US" w:eastAsia="zh-CN"/>
              </w:rPr>
            </w:pPr>
            <w:r>
              <w:rPr>
                <w:rFonts w:hint="default"/>
              </w:rPr>
              <w:t>150</w:t>
            </w:r>
          </w:p>
        </w:tc>
        <w:tc>
          <w:tcPr>
            <w:tcW w:w="1073" w:type="pct"/>
            <w:noWrap w:val="0"/>
            <w:vAlign w:val="center"/>
          </w:tcPr>
          <w:p w14:paraId="6C26185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HJ2.2</w:t>
            </w:r>
            <w:r>
              <w:rPr>
                <w:rFonts w:hint="default"/>
              </w:rPr>
              <w:t>-201</w:t>
            </w:r>
            <w:r>
              <w:rPr>
                <w:rFonts w:hint="eastAsia"/>
                <w:lang w:val="en-US" w:eastAsia="zh-CN"/>
              </w:rPr>
              <w:t>8</w:t>
            </w:r>
          </w:p>
        </w:tc>
      </w:tr>
      <w:tr w14:paraId="4CB34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noWrap w:val="0"/>
            <w:vAlign w:val="center"/>
          </w:tcPr>
          <w:p w14:paraId="455F2186">
            <w:pPr>
              <w:pStyle w:val="42"/>
              <w:keepNext w:val="0"/>
              <w:keepLines w:val="0"/>
              <w:suppressLineNumbers w:val="0"/>
              <w:bidi w:val="0"/>
              <w:spacing w:before="0" w:beforeAutospacing="0" w:after="0" w:afterAutospacing="0"/>
              <w:rPr>
                <w:rFonts w:hint="eastAsia"/>
                <w:lang w:eastAsia="zh-CN"/>
              </w:rPr>
            </w:pPr>
            <w:r>
              <w:rPr>
                <w:rFonts w:hint="eastAsia"/>
                <w:lang w:val="en-US" w:eastAsia="zh-CN"/>
              </w:rPr>
              <w:t>氨</w:t>
            </w:r>
          </w:p>
        </w:tc>
        <w:tc>
          <w:tcPr>
            <w:tcW w:w="967" w:type="pct"/>
            <w:noWrap w:val="0"/>
            <w:vAlign w:val="center"/>
          </w:tcPr>
          <w:p w14:paraId="3E4BC725">
            <w:pPr>
              <w:pStyle w:val="42"/>
              <w:keepNext w:val="0"/>
              <w:keepLines w:val="0"/>
              <w:suppressLineNumbers w:val="0"/>
              <w:bidi w:val="0"/>
              <w:spacing w:before="0" w:beforeAutospacing="0" w:after="0" w:afterAutospacing="0"/>
              <w:rPr>
                <w:rFonts w:hint="default"/>
              </w:rPr>
            </w:pPr>
            <w:r>
              <w:rPr>
                <w:rFonts w:hint="default"/>
              </w:rPr>
              <w:t>二类限区</w:t>
            </w:r>
          </w:p>
        </w:tc>
        <w:tc>
          <w:tcPr>
            <w:tcW w:w="1069" w:type="pct"/>
            <w:noWrap w:val="0"/>
            <w:vAlign w:val="center"/>
          </w:tcPr>
          <w:p w14:paraId="0FA6E2B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小时值</w:t>
            </w:r>
          </w:p>
        </w:tc>
        <w:tc>
          <w:tcPr>
            <w:tcW w:w="957" w:type="pct"/>
            <w:noWrap w:val="0"/>
            <w:vAlign w:val="center"/>
          </w:tcPr>
          <w:p w14:paraId="30E7F8D6">
            <w:pPr>
              <w:pStyle w:val="42"/>
              <w:keepNext w:val="0"/>
              <w:keepLines w:val="0"/>
              <w:suppressLineNumbers w:val="0"/>
              <w:bidi w:val="0"/>
              <w:spacing w:before="0" w:beforeAutospacing="0" w:after="0" w:afterAutospacing="0"/>
              <w:rPr>
                <w:rFonts w:hint="default"/>
              </w:rPr>
            </w:pPr>
            <w:r>
              <w:rPr>
                <w:rFonts w:hint="default"/>
              </w:rPr>
              <w:t>300</w:t>
            </w:r>
          </w:p>
        </w:tc>
        <w:tc>
          <w:tcPr>
            <w:tcW w:w="1073" w:type="pct"/>
            <w:noWrap w:val="0"/>
            <w:vAlign w:val="center"/>
          </w:tcPr>
          <w:p w14:paraId="6511F904">
            <w:pPr>
              <w:pStyle w:val="42"/>
              <w:keepNext w:val="0"/>
              <w:keepLines w:val="0"/>
              <w:suppressLineNumbers w:val="0"/>
              <w:bidi w:val="0"/>
              <w:spacing w:before="0" w:beforeAutospacing="0" w:after="0" w:afterAutospacing="0"/>
              <w:rPr>
                <w:rFonts w:hint="eastAsia"/>
                <w:lang w:eastAsia="zh-CN"/>
              </w:rPr>
            </w:pPr>
            <w:r>
              <w:rPr>
                <w:rFonts w:hint="eastAsia"/>
                <w:lang w:val="en-US" w:eastAsia="zh-CN"/>
              </w:rPr>
              <w:t>HJ2.2</w:t>
            </w:r>
            <w:r>
              <w:rPr>
                <w:rFonts w:hint="default"/>
              </w:rPr>
              <w:t>-201</w:t>
            </w:r>
            <w:r>
              <w:rPr>
                <w:rFonts w:hint="eastAsia"/>
                <w:lang w:val="en-US" w:eastAsia="zh-CN"/>
              </w:rPr>
              <w:t>8</w:t>
            </w:r>
          </w:p>
        </w:tc>
      </w:tr>
    </w:tbl>
    <w:p w14:paraId="435FAE0A">
      <w:pPr>
        <w:spacing w:line="480" w:lineRule="exact"/>
        <w:ind w:firstLine="422" w:firstLineChars="176"/>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④污染源参数</w:t>
      </w:r>
    </w:p>
    <w:p w14:paraId="58F5DAFB">
      <w:pPr>
        <w:ind w:firstLine="480"/>
        <w:jc w:val="left"/>
        <w:rPr>
          <w:rFonts w:hint="default" w:ascii="Times New Roman" w:hAnsi="Times New Roman" w:cs="Times New Roman"/>
          <w:color w:val="auto"/>
          <w:highlight w:val="yellow"/>
          <w:u w:val="none" w:color="auto"/>
        </w:rPr>
      </w:pPr>
      <w:r>
        <w:rPr>
          <w:rFonts w:hint="default" w:ascii="Times New Roman" w:hAnsi="Times New Roman" w:cs="Times New Roman"/>
          <w:color w:val="auto"/>
          <w:highlight w:val="none"/>
          <w:u w:val="none" w:color="auto"/>
        </w:rPr>
        <w:t>大气污染源点源参数调查清单见表</w:t>
      </w:r>
      <w:r>
        <w:rPr>
          <w:rFonts w:hint="default"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rPr>
        <w:t>.2-</w:t>
      </w:r>
      <w:r>
        <w:rPr>
          <w:rFonts w:hint="default"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面源参数调查清单见表</w:t>
      </w:r>
      <w:r>
        <w:rPr>
          <w:rFonts w:hint="default" w:ascii="Times New Roman" w:hAnsi="Times New Roman" w:cs="Times New Roman"/>
          <w:color w:val="auto"/>
          <w:highlight w:val="none"/>
          <w:u w:val="none" w:color="auto"/>
          <w:lang w:val="en-US" w:eastAsia="zh-CN"/>
        </w:rPr>
        <w:t>7.2-8</w:t>
      </w:r>
      <w:r>
        <w:rPr>
          <w:rFonts w:hint="default" w:ascii="Times New Roman" w:hAnsi="Times New Roman" w:cs="Times New Roman"/>
          <w:color w:val="auto"/>
          <w:highlight w:val="none"/>
          <w:u w:val="none" w:color="auto"/>
        </w:rPr>
        <w:t>。（本项目</w:t>
      </w:r>
      <w:r>
        <w:rPr>
          <w:rFonts w:hint="default" w:ascii="Times New Roman" w:hAnsi="Times New Roman" w:cs="Times New Roman"/>
          <w:color w:val="auto"/>
          <w:highlight w:val="none"/>
          <w:u w:val="none" w:color="auto"/>
          <w:lang w:val="en-US" w:eastAsia="zh-CN"/>
        </w:rPr>
        <w:t>废污染物排放速率以最大小时排放速率计</w:t>
      </w:r>
      <w:r>
        <w:rPr>
          <w:rFonts w:hint="default" w:ascii="Times New Roman" w:hAnsi="Times New Roman" w:cs="Times New Roman"/>
          <w:color w:val="auto"/>
          <w:highlight w:val="none"/>
          <w:u w:val="none" w:color="auto"/>
        </w:rPr>
        <w:t>）</w:t>
      </w:r>
    </w:p>
    <w:p w14:paraId="3F46671D">
      <w:pPr>
        <w:pStyle w:val="39"/>
        <w:rPr>
          <w:rFonts w:hint="default" w:ascii="Times New Roman" w:hAnsi="Times New Roman" w:cs="Times New Roman"/>
          <w:color w:val="auto"/>
          <w:highlight w:val="yellow"/>
          <w:u w:val="none" w:color="auto"/>
        </w:rPr>
        <w:sectPr>
          <w:pgSz w:w="11907" w:h="16840"/>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14:paraId="1768A1D4">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6.2-10</w:t>
      </w:r>
      <w:r>
        <w:rPr>
          <w:rFonts w:hint="default" w:ascii="Times New Roman" w:hAnsi="Times New Roman" w:cs="Times New Roman"/>
          <w:color w:val="auto"/>
          <w:highlight w:val="none"/>
          <w:u w:val="none" w:color="auto"/>
        </w:rPr>
        <w:t xml:space="preserve">  大气点源参数调查清单</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719"/>
        <w:gridCol w:w="1401"/>
        <w:gridCol w:w="1094"/>
        <w:gridCol w:w="1382"/>
        <w:gridCol w:w="1689"/>
        <w:gridCol w:w="1061"/>
        <w:gridCol w:w="1337"/>
        <w:gridCol w:w="1100"/>
        <w:gridCol w:w="1298"/>
        <w:gridCol w:w="960"/>
        <w:gridCol w:w="949"/>
        <w:gridCol w:w="949"/>
      </w:tblGrid>
      <w:tr w14:paraId="2B4AB9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258" w:type="pct"/>
            <w:vMerge w:val="restart"/>
            <w:noWrap w:val="0"/>
            <w:vAlign w:val="center"/>
          </w:tcPr>
          <w:p w14:paraId="4DD58AC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点源编号</w:t>
            </w:r>
          </w:p>
        </w:tc>
        <w:tc>
          <w:tcPr>
            <w:tcW w:w="502" w:type="pct"/>
            <w:vMerge w:val="restart"/>
            <w:noWrap w:val="0"/>
            <w:vAlign w:val="center"/>
          </w:tcPr>
          <w:p w14:paraId="6D8093A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名称</w:t>
            </w:r>
          </w:p>
        </w:tc>
        <w:tc>
          <w:tcPr>
            <w:tcW w:w="887" w:type="pct"/>
            <w:gridSpan w:val="2"/>
            <w:noWrap w:val="0"/>
            <w:vAlign w:val="center"/>
          </w:tcPr>
          <w:p w14:paraId="3E5FE0D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排气筒底部中心坐标/m</w:t>
            </w:r>
          </w:p>
        </w:tc>
        <w:tc>
          <w:tcPr>
            <w:tcW w:w="605" w:type="pct"/>
            <w:vMerge w:val="restart"/>
            <w:noWrap w:val="0"/>
            <w:vAlign w:val="center"/>
          </w:tcPr>
          <w:p w14:paraId="364D57F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排气筒底部海拔高度/m</w:t>
            </w:r>
          </w:p>
        </w:tc>
        <w:tc>
          <w:tcPr>
            <w:tcW w:w="380" w:type="pct"/>
            <w:vMerge w:val="restart"/>
            <w:noWrap w:val="0"/>
            <w:vAlign w:val="center"/>
          </w:tcPr>
          <w:p w14:paraId="4044A75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排气筒高度/m</w:t>
            </w:r>
          </w:p>
        </w:tc>
        <w:tc>
          <w:tcPr>
            <w:tcW w:w="479" w:type="pct"/>
            <w:vMerge w:val="restart"/>
            <w:noWrap w:val="0"/>
            <w:vAlign w:val="center"/>
          </w:tcPr>
          <w:p w14:paraId="6C29FB7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排气筒内径/m</w:t>
            </w:r>
          </w:p>
        </w:tc>
        <w:tc>
          <w:tcPr>
            <w:tcW w:w="394" w:type="pct"/>
            <w:vMerge w:val="restart"/>
            <w:noWrap w:val="0"/>
            <w:vAlign w:val="center"/>
          </w:tcPr>
          <w:p w14:paraId="2A2C3EA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烟气流速/m/s</w:t>
            </w:r>
          </w:p>
        </w:tc>
        <w:tc>
          <w:tcPr>
            <w:tcW w:w="465" w:type="pct"/>
            <w:vMerge w:val="restart"/>
            <w:noWrap w:val="0"/>
            <w:vAlign w:val="center"/>
          </w:tcPr>
          <w:p w14:paraId="0110476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烟气</w:t>
            </w:r>
          </w:p>
          <w:p w14:paraId="7F5FBF2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温度/℃</w:t>
            </w:r>
          </w:p>
        </w:tc>
        <w:tc>
          <w:tcPr>
            <w:tcW w:w="344" w:type="pct"/>
            <w:vMerge w:val="restart"/>
            <w:noWrap w:val="0"/>
            <w:vAlign w:val="center"/>
          </w:tcPr>
          <w:p w14:paraId="510A03E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排放工况</w:t>
            </w:r>
          </w:p>
        </w:tc>
        <w:tc>
          <w:tcPr>
            <w:tcW w:w="680" w:type="pct"/>
            <w:gridSpan w:val="2"/>
            <w:noWrap w:val="0"/>
            <w:vAlign w:val="center"/>
          </w:tcPr>
          <w:p w14:paraId="431606B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w:t>
            </w:r>
            <w:r>
              <w:rPr>
                <w:rFonts w:hint="eastAsia" w:cs="Times New Roman"/>
                <w:color w:val="auto"/>
                <w:kern w:val="2"/>
                <w:highlight w:val="none"/>
                <w:u w:val="none" w:color="auto"/>
                <w:lang w:val="en-US" w:eastAsia="zh-CN"/>
              </w:rPr>
              <w:t>最大</w:t>
            </w:r>
            <w:r>
              <w:rPr>
                <w:rFonts w:hint="default" w:ascii="Times New Roman" w:hAnsi="Times New Roman" w:cs="Times New Roman"/>
                <w:color w:val="auto"/>
                <w:kern w:val="2"/>
                <w:highlight w:val="none"/>
                <w:u w:val="none" w:color="auto"/>
              </w:rPr>
              <w:t>排放速率/（kg/h）</w:t>
            </w:r>
          </w:p>
        </w:tc>
      </w:tr>
      <w:tr w14:paraId="33D7EF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258" w:type="pct"/>
            <w:vMerge w:val="continue"/>
            <w:noWrap w:val="0"/>
            <w:vAlign w:val="center"/>
          </w:tcPr>
          <w:p w14:paraId="3310C1A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502" w:type="pct"/>
            <w:vMerge w:val="continue"/>
            <w:noWrap w:val="0"/>
            <w:vAlign w:val="center"/>
          </w:tcPr>
          <w:p w14:paraId="69DA3BB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92" w:type="pct"/>
            <w:noWrap w:val="0"/>
            <w:vAlign w:val="center"/>
          </w:tcPr>
          <w:p w14:paraId="38D910B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X</w:t>
            </w:r>
          </w:p>
        </w:tc>
        <w:tc>
          <w:tcPr>
            <w:tcW w:w="495" w:type="pct"/>
            <w:noWrap w:val="0"/>
            <w:vAlign w:val="center"/>
          </w:tcPr>
          <w:p w14:paraId="5AC35EE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Y</w:t>
            </w:r>
          </w:p>
        </w:tc>
        <w:tc>
          <w:tcPr>
            <w:tcW w:w="605" w:type="pct"/>
            <w:vMerge w:val="continue"/>
            <w:noWrap w:val="0"/>
            <w:vAlign w:val="center"/>
          </w:tcPr>
          <w:p w14:paraId="0FD8468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0" w:type="pct"/>
            <w:vMerge w:val="continue"/>
            <w:noWrap w:val="0"/>
            <w:vAlign w:val="center"/>
          </w:tcPr>
          <w:p w14:paraId="67EBC5E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79" w:type="pct"/>
            <w:vMerge w:val="continue"/>
            <w:noWrap w:val="0"/>
            <w:vAlign w:val="center"/>
          </w:tcPr>
          <w:p w14:paraId="5B132A1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94" w:type="pct"/>
            <w:vMerge w:val="continue"/>
            <w:noWrap w:val="0"/>
            <w:vAlign w:val="center"/>
          </w:tcPr>
          <w:p w14:paraId="5D87236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65" w:type="pct"/>
            <w:vMerge w:val="continue"/>
            <w:noWrap w:val="0"/>
            <w:vAlign w:val="center"/>
          </w:tcPr>
          <w:p w14:paraId="5E8761D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44" w:type="pct"/>
            <w:vMerge w:val="continue"/>
            <w:noWrap w:val="0"/>
            <w:vAlign w:val="center"/>
          </w:tcPr>
          <w:p w14:paraId="2C91F25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40" w:type="pct"/>
            <w:noWrap w:val="0"/>
            <w:vAlign w:val="center"/>
          </w:tcPr>
          <w:p w14:paraId="0FECB075">
            <w:pPr>
              <w:pStyle w:val="43"/>
              <w:keepNext w:val="0"/>
              <w:keepLines w:val="0"/>
              <w:widowControl/>
              <w:suppressLineNumbers w:val="0"/>
              <w:spacing w:before="0" w:beforeAutospacing="0" w:after="0" w:afterAutospacing="0"/>
              <w:ind w:left="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硫化氢</w:t>
            </w:r>
          </w:p>
        </w:tc>
        <w:tc>
          <w:tcPr>
            <w:tcW w:w="340" w:type="pct"/>
            <w:noWrap w:val="0"/>
            <w:vAlign w:val="center"/>
          </w:tcPr>
          <w:p w14:paraId="26423A87">
            <w:pPr>
              <w:pStyle w:val="43"/>
              <w:keepNext w:val="0"/>
              <w:keepLines w:val="0"/>
              <w:widowControl/>
              <w:suppressLineNumbers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氨</w:t>
            </w:r>
          </w:p>
        </w:tc>
      </w:tr>
      <w:tr w14:paraId="55B29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258" w:type="pct"/>
            <w:noWrap w:val="0"/>
            <w:vAlign w:val="center"/>
          </w:tcPr>
          <w:p w14:paraId="0E15E36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1</w:t>
            </w:r>
          </w:p>
        </w:tc>
        <w:tc>
          <w:tcPr>
            <w:tcW w:w="502" w:type="pct"/>
            <w:noWrap w:val="0"/>
            <w:vAlign w:val="center"/>
          </w:tcPr>
          <w:p w14:paraId="63A5198D">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kern w:val="2"/>
                <w:highlight w:val="none"/>
                <w:u w:val="none" w:color="auto"/>
                <w:lang w:val="en-US" w:eastAsia="zh-CN"/>
              </w:rPr>
              <w:t>DA00</w:t>
            </w:r>
            <w:r>
              <w:rPr>
                <w:rFonts w:hint="eastAsia" w:cs="Times New Roman"/>
                <w:color w:val="auto"/>
                <w:kern w:val="2"/>
                <w:highlight w:val="none"/>
                <w:u w:val="none" w:color="auto"/>
                <w:lang w:val="en-US" w:eastAsia="zh-CN"/>
              </w:rPr>
              <w:t>1</w:t>
            </w:r>
          </w:p>
        </w:tc>
        <w:tc>
          <w:tcPr>
            <w:tcW w:w="392" w:type="pct"/>
            <w:noWrap w:val="0"/>
            <w:vAlign w:val="center"/>
          </w:tcPr>
          <w:p w14:paraId="3BCF56FE">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8</w:t>
            </w:r>
          </w:p>
        </w:tc>
        <w:tc>
          <w:tcPr>
            <w:tcW w:w="495" w:type="pct"/>
            <w:noWrap w:val="0"/>
            <w:vAlign w:val="center"/>
          </w:tcPr>
          <w:p w14:paraId="4A8BFCCD">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5</w:t>
            </w:r>
          </w:p>
        </w:tc>
        <w:tc>
          <w:tcPr>
            <w:tcW w:w="605" w:type="pct"/>
            <w:noWrap w:val="0"/>
            <w:vAlign w:val="center"/>
          </w:tcPr>
          <w:p w14:paraId="394D84DA">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41.2</w:t>
            </w:r>
          </w:p>
        </w:tc>
        <w:tc>
          <w:tcPr>
            <w:tcW w:w="380" w:type="pct"/>
            <w:noWrap w:val="0"/>
            <w:vAlign w:val="center"/>
          </w:tcPr>
          <w:p w14:paraId="34DE770A">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15</w:t>
            </w:r>
          </w:p>
        </w:tc>
        <w:tc>
          <w:tcPr>
            <w:tcW w:w="479" w:type="pct"/>
            <w:noWrap w:val="0"/>
            <w:vAlign w:val="center"/>
          </w:tcPr>
          <w:p w14:paraId="5D2FBF46">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0.6</w:t>
            </w:r>
          </w:p>
        </w:tc>
        <w:tc>
          <w:tcPr>
            <w:tcW w:w="394" w:type="pct"/>
            <w:noWrap w:val="0"/>
            <w:vAlign w:val="center"/>
          </w:tcPr>
          <w:p w14:paraId="06667BD2">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bidi="ar-SA"/>
              </w:rPr>
              <w:t>16.27</w:t>
            </w:r>
          </w:p>
        </w:tc>
        <w:tc>
          <w:tcPr>
            <w:tcW w:w="465" w:type="pct"/>
            <w:noWrap w:val="0"/>
            <w:vAlign w:val="center"/>
          </w:tcPr>
          <w:p w14:paraId="6A8686A1">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20</w:t>
            </w:r>
          </w:p>
        </w:tc>
        <w:tc>
          <w:tcPr>
            <w:tcW w:w="344" w:type="pct"/>
            <w:noWrap w:val="0"/>
            <w:vAlign w:val="center"/>
          </w:tcPr>
          <w:p w14:paraId="7871DF23">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highlight w:val="none"/>
                <w:u w:val="none" w:color="auto"/>
                <w:lang w:val="en-US" w:eastAsia="zh-CN"/>
              </w:rPr>
              <w:t>连续</w:t>
            </w:r>
          </w:p>
        </w:tc>
        <w:tc>
          <w:tcPr>
            <w:tcW w:w="340" w:type="pct"/>
            <w:noWrap w:val="0"/>
            <w:vAlign w:val="center"/>
          </w:tcPr>
          <w:p w14:paraId="6ED0B155">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0.00017</w:t>
            </w:r>
          </w:p>
        </w:tc>
        <w:tc>
          <w:tcPr>
            <w:tcW w:w="340" w:type="pct"/>
            <w:noWrap w:val="0"/>
            <w:vAlign w:val="center"/>
          </w:tcPr>
          <w:p w14:paraId="26720C7B">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0.0533</w:t>
            </w:r>
          </w:p>
        </w:tc>
      </w:tr>
    </w:tbl>
    <w:p w14:paraId="65FDCE95">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6.2-11</w:t>
      </w:r>
      <w:r>
        <w:rPr>
          <w:rFonts w:hint="default" w:ascii="Times New Roman" w:hAnsi="Times New Roman" w:cs="Times New Roman"/>
          <w:color w:val="auto"/>
          <w:highlight w:val="none"/>
          <w:u w:val="none" w:color="auto"/>
        </w:rPr>
        <w:t xml:space="preserve">  大气面源参数调查清单</w:t>
      </w:r>
    </w:p>
    <w:tbl>
      <w:tblPr>
        <w:tblStyle w:val="30"/>
        <w:tblW w:w="501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63"/>
        <w:gridCol w:w="1065"/>
        <w:gridCol w:w="926"/>
        <w:gridCol w:w="1133"/>
        <w:gridCol w:w="1342"/>
        <w:gridCol w:w="1023"/>
        <w:gridCol w:w="895"/>
        <w:gridCol w:w="903"/>
        <w:gridCol w:w="1121"/>
        <w:gridCol w:w="898"/>
        <w:gridCol w:w="898"/>
        <w:gridCol w:w="1499"/>
        <w:gridCol w:w="1605"/>
      </w:tblGrid>
      <w:tr w14:paraId="4ED2F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63" w:hRule="atLeast"/>
          <w:tblHeader/>
          <w:jc w:val="center"/>
        </w:trPr>
        <w:tc>
          <w:tcPr>
            <w:tcW w:w="237" w:type="pct"/>
            <w:vMerge w:val="restart"/>
            <w:noWrap w:val="0"/>
            <w:vAlign w:val="center"/>
          </w:tcPr>
          <w:p w14:paraId="2B1EF8B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编号</w:t>
            </w:r>
          </w:p>
        </w:tc>
        <w:tc>
          <w:tcPr>
            <w:tcW w:w="381" w:type="pct"/>
            <w:vMerge w:val="restart"/>
            <w:noWrap w:val="0"/>
            <w:vAlign w:val="center"/>
          </w:tcPr>
          <w:p w14:paraId="2BEAFBF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名称</w:t>
            </w:r>
          </w:p>
        </w:tc>
        <w:tc>
          <w:tcPr>
            <w:tcW w:w="736" w:type="pct"/>
            <w:gridSpan w:val="2"/>
            <w:noWrap w:val="0"/>
            <w:vAlign w:val="center"/>
          </w:tcPr>
          <w:p w14:paraId="16F3F90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面源起点坐标</w:t>
            </w:r>
          </w:p>
        </w:tc>
        <w:tc>
          <w:tcPr>
            <w:tcW w:w="480" w:type="pct"/>
            <w:vMerge w:val="restart"/>
            <w:noWrap w:val="0"/>
            <w:vAlign w:val="center"/>
          </w:tcPr>
          <w:p w14:paraId="0B01D32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面源海拔高度/m</w:t>
            </w:r>
          </w:p>
        </w:tc>
        <w:tc>
          <w:tcPr>
            <w:tcW w:w="366" w:type="pct"/>
            <w:vMerge w:val="restart"/>
            <w:noWrap w:val="0"/>
            <w:vAlign w:val="center"/>
          </w:tcPr>
          <w:p w14:paraId="430F70E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面源</w:t>
            </w:r>
          </w:p>
          <w:p w14:paraId="46C2DC1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长度/m</w:t>
            </w:r>
          </w:p>
        </w:tc>
        <w:tc>
          <w:tcPr>
            <w:tcW w:w="320" w:type="pct"/>
            <w:vMerge w:val="restart"/>
            <w:noWrap w:val="0"/>
            <w:vAlign w:val="center"/>
          </w:tcPr>
          <w:p w14:paraId="489ED0F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面源</w:t>
            </w:r>
          </w:p>
          <w:p w14:paraId="3CBBEDF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宽度/m</w:t>
            </w:r>
          </w:p>
        </w:tc>
        <w:tc>
          <w:tcPr>
            <w:tcW w:w="323" w:type="pct"/>
            <w:vMerge w:val="restart"/>
            <w:noWrap w:val="0"/>
            <w:vAlign w:val="center"/>
          </w:tcPr>
          <w:p w14:paraId="2966CDF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与正北夹角/o</w:t>
            </w:r>
          </w:p>
        </w:tc>
        <w:tc>
          <w:tcPr>
            <w:tcW w:w="401" w:type="pct"/>
            <w:vMerge w:val="restart"/>
            <w:noWrap w:val="0"/>
            <w:vAlign w:val="center"/>
          </w:tcPr>
          <w:p w14:paraId="53F2B3E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面源有效排放高度/m</w:t>
            </w:r>
          </w:p>
        </w:tc>
        <w:tc>
          <w:tcPr>
            <w:tcW w:w="321" w:type="pct"/>
            <w:vMerge w:val="restart"/>
            <w:noWrap w:val="0"/>
            <w:vAlign w:val="center"/>
          </w:tcPr>
          <w:p w14:paraId="5657AE6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年排放小时数/h</w:t>
            </w:r>
          </w:p>
        </w:tc>
        <w:tc>
          <w:tcPr>
            <w:tcW w:w="321" w:type="pct"/>
            <w:vMerge w:val="restart"/>
            <w:noWrap w:val="0"/>
            <w:vAlign w:val="center"/>
          </w:tcPr>
          <w:p w14:paraId="3FEC025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排放工况</w:t>
            </w:r>
          </w:p>
        </w:tc>
        <w:tc>
          <w:tcPr>
            <w:tcW w:w="1110" w:type="pct"/>
            <w:gridSpan w:val="2"/>
            <w:noWrap w:val="0"/>
            <w:vAlign w:val="center"/>
          </w:tcPr>
          <w:p w14:paraId="1A51632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w:t>
            </w:r>
            <w:r>
              <w:rPr>
                <w:rFonts w:hint="default" w:ascii="Times New Roman" w:hAnsi="Times New Roman" w:cs="Times New Roman"/>
                <w:color w:val="auto"/>
                <w:kern w:val="2"/>
                <w:highlight w:val="none"/>
                <w:u w:val="none" w:color="auto"/>
                <w:lang w:val="en-US" w:eastAsia="zh-CN"/>
              </w:rPr>
              <w:t>最大</w:t>
            </w:r>
            <w:r>
              <w:rPr>
                <w:rFonts w:hint="default" w:ascii="Times New Roman" w:hAnsi="Times New Roman" w:cs="Times New Roman"/>
                <w:color w:val="auto"/>
                <w:kern w:val="2"/>
                <w:highlight w:val="none"/>
                <w:u w:val="none" w:color="auto"/>
              </w:rPr>
              <w:t>排放速率（kg/h）</w:t>
            </w:r>
          </w:p>
        </w:tc>
      </w:tr>
      <w:tr w14:paraId="5B067C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5" w:hRule="atLeast"/>
          <w:tblHeader/>
          <w:jc w:val="center"/>
        </w:trPr>
        <w:tc>
          <w:tcPr>
            <w:tcW w:w="237" w:type="pct"/>
            <w:vMerge w:val="continue"/>
            <w:noWrap w:val="0"/>
            <w:vAlign w:val="center"/>
          </w:tcPr>
          <w:p w14:paraId="4449446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1" w:type="pct"/>
            <w:vMerge w:val="continue"/>
            <w:noWrap w:val="0"/>
            <w:vAlign w:val="center"/>
          </w:tcPr>
          <w:p w14:paraId="6C523A0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31" w:type="pct"/>
            <w:noWrap w:val="0"/>
            <w:vAlign w:val="center"/>
          </w:tcPr>
          <w:p w14:paraId="6B60315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X</w:t>
            </w:r>
          </w:p>
        </w:tc>
        <w:tc>
          <w:tcPr>
            <w:tcW w:w="404" w:type="pct"/>
            <w:noWrap w:val="0"/>
            <w:vAlign w:val="center"/>
          </w:tcPr>
          <w:p w14:paraId="6010556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Y</w:t>
            </w:r>
          </w:p>
        </w:tc>
        <w:tc>
          <w:tcPr>
            <w:tcW w:w="480" w:type="pct"/>
            <w:vMerge w:val="continue"/>
            <w:noWrap w:val="0"/>
            <w:vAlign w:val="center"/>
          </w:tcPr>
          <w:p w14:paraId="3A3AA58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66" w:type="pct"/>
            <w:vMerge w:val="continue"/>
            <w:noWrap w:val="0"/>
            <w:vAlign w:val="center"/>
          </w:tcPr>
          <w:p w14:paraId="7F50345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20" w:type="pct"/>
            <w:vMerge w:val="continue"/>
            <w:noWrap w:val="0"/>
            <w:vAlign w:val="center"/>
          </w:tcPr>
          <w:p w14:paraId="081FC90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23" w:type="pct"/>
            <w:vMerge w:val="continue"/>
            <w:noWrap w:val="0"/>
            <w:vAlign w:val="center"/>
          </w:tcPr>
          <w:p w14:paraId="0D03800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01" w:type="pct"/>
            <w:vMerge w:val="continue"/>
            <w:noWrap w:val="0"/>
            <w:vAlign w:val="center"/>
          </w:tcPr>
          <w:p w14:paraId="43CACAD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21" w:type="pct"/>
            <w:vMerge w:val="continue"/>
            <w:noWrap w:val="0"/>
            <w:vAlign w:val="center"/>
          </w:tcPr>
          <w:p w14:paraId="6CB1BA1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21" w:type="pct"/>
            <w:vMerge w:val="continue"/>
            <w:noWrap w:val="0"/>
            <w:vAlign w:val="center"/>
          </w:tcPr>
          <w:p w14:paraId="291C0CD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536" w:type="pct"/>
            <w:noWrap w:val="0"/>
            <w:vAlign w:val="center"/>
          </w:tcPr>
          <w:p w14:paraId="4B447BD0">
            <w:pPr>
              <w:pStyle w:val="42"/>
              <w:keepNext w:val="0"/>
              <w:keepLines w:val="0"/>
              <w:suppressLineNumbers w:val="0"/>
              <w:bidi w:val="0"/>
              <w:spacing w:before="0" w:beforeAutospacing="0" w:after="0" w:afterAutospacing="0"/>
              <w:rPr>
                <w:rFonts w:hint="default"/>
                <w:highlight w:val="none"/>
                <w:u w:val="none" w:color="auto"/>
              </w:rPr>
            </w:pPr>
            <w:r>
              <w:rPr>
                <w:rFonts w:hint="eastAsia"/>
                <w:highlight w:val="none"/>
                <w:u w:val="none" w:color="auto"/>
                <w:lang w:val="en-US" w:eastAsia="zh-CN"/>
              </w:rPr>
              <w:t>硫化氢</w:t>
            </w:r>
          </w:p>
        </w:tc>
        <w:tc>
          <w:tcPr>
            <w:tcW w:w="573" w:type="pct"/>
            <w:noWrap w:val="0"/>
            <w:vAlign w:val="center"/>
          </w:tcPr>
          <w:p w14:paraId="12A302F8">
            <w:pPr>
              <w:pStyle w:val="42"/>
              <w:keepNext w:val="0"/>
              <w:keepLines w:val="0"/>
              <w:suppressLineNumbers w:val="0"/>
              <w:bidi w:val="0"/>
              <w:spacing w:before="0" w:beforeAutospacing="0" w:after="0" w:afterAutospacing="0"/>
              <w:rPr>
                <w:rFonts w:hint="default"/>
                <w:highlight w:val="none"/>
                <w:u w:val="none" w:color="auto"/>
                <w:lang w:eastAsia="zh-CN"/>
              </w:rPr>
            </w:pPr>
            <w:r>
              <w:rPr>
                <w:rFonts w:hint="eastAsia"/>
                <w:highlight w:val="none"/>
                <w:u w:val="none" w:color="auto"/>
                <w:lang w:val="en-US" w:eastAsia="zh-CN"/>
              </w:rPr>
              <w:t>氨</w:t>
            </w:r>
          </w:p>
        </w:tc>
      </w:tr>
      <w:tr w14:paraId="0D46B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noWrap w:val="0"/>
            <w:vAlign w:val="center"/>
          </w:tcPr>
          <w:p w14:paraId="28226EF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1</w:t>
            </w:r>
          </w:p>
        </w:tc>
        <w:tc>
          <w:tcPr>
            <w:tcW w:w="381" w:type="pct"/>
            <w:noWrap w:val="0"/>
            <w:vAlign w:val="center"/>
          </w:tcPr>
          <w:p w14:paraId="190AD98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lang w:val="en-US"/>
              </w:rPr>
            </w:pPr>
            <w:r>
              <w:rPr>
                <w:rFonts w:hint="eastAsia" w:cs="Times New Roman"/>
                <w:color w:val="auto"/>
                <w:kern w:val="2"/>
                <w:highlight w:val="none"/>
                <w:u w:val="none" w:color="auto"/>
                <w:lang w:val="en-US" w:eastAsia="zh-CN"/>
              </w:rPr>
              <w:t>污水处理站</w:t>
            </w:r>
          </w:p>
        </w:tc>
        <w:tc>
          <w:tcPr>
            <w:tcW w:w="331" w:type="pct"/>
            <w:noWrap w:val="0"/>
            <w:vAlign w:val="center"/>
          </w:tcPr>
          <w:p w14:paraId="1209109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404" w:type="pct"/>
            <w:noWrap w:val="0"/>
            <w:vAlign w:val="center"/>
          </w:tcPr>
          <w:p w14:paraId="0B72B0A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0</w:t>
            </w:r>
          </w:p>
        </w:tc>
        <w:tc>
          <w:tcPr>
            <w:tcW w:w="480" w:type="pct"/>
            <w:noWrap w:val="0"/>
            <w:vAlign w:val="center"/>
          </w:tcPr>
          <w:p w14:paraId="06833ABE">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41.2</w:t>
            </w:r>
          </w:p>
        </w:tc>
        <w:tc>
          <w:tcPr>
            <w:tcW w:w="366" w:type="pct"/>
            <w:noWrap w:val="0"/>
            <w:vAlign w:val="center"/>
          </w:tcPr>
          <w:p w14:paraId="22D031D0">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26</w:t>
            </w:r>
          </w:p>
        </w:tc>
        <w:tc>
          <w:tcPr>
            <w:tcW w:w="320" w:type="pct"/>
            <w:noWrap w:val="0"/>
            <w:vAlign w:val="center"/>
          </w:tcPr>
          <w:p w14:paraId="4F4F2CCB">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38</w:t>
            </w:r>
          </w:p>
        </w:tc>
        <w:tc>
          <w:tcPr>
            <w:tcW w:w="323" w:type="pct"/>
            <w:noWrap w:val="0"/>
            <w:vAlign w:val="center"/>
          </w:tcPr>
          <w:p w14:paraId="611E37B0">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-5</w:t>
            </w:r>
          </w:p>
        </w:tc>
        <w:tc>
          <w:tcPr>
            <w:tcW w:w="401" w:type="pct"/>
            <w:noWrap w:val="0"/>
            <w:vAlign w:val="center"/>
          </w:tcPr>
          <w:p w14:paraId="6EEDC719">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6</w:t>
            </w:r>
          </w:p>
        </w:tc>
        <w:tc>
          <w:tcPr>
            <w:tcW w:w="321" w:type="pct"/>
            <w:noWrap w:val="0"/>
            <w:vAlign w:val="center"/>
          </w:tcPr>
          <w:p w14:paraId="577D8419">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8760</w:t>
            </w:r>
          </w:p>
        </w:tc>
        <w:tc>
          <w:tcPr>
            <w:tcW w:w="321" w:type="pct"/>
            <w:noWrap w:val="0"/>
            <w:vAlign w:val="center"/>
          </w:tcPr>
          <w:p w14:paraId="55207B6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连续</w:t>
            </w:r>
          </w:p>
        </w:tc>
        <w:tc>
          <w:tcPr>
            <w:tcW w:w="536" w:type="pct"/>
            <w:noWrap w:val="0"/>
            <w:vAlign w:val="center"/>
          </w:tcPr>
          <w:p w14:paraId="5C391557">
            <w:pPr>
              <w:pStyle w:val="42"/>
              <w:keepNext w:val="0"/>
              <w:keepLines w:val="0"/>
              <w:suppressLineNumbers w:val="0"/>
              <w:bidi w:val="0"/>
              <w:spacing w:before="0" w:beforeAutospacing="0" w:after="0" w:afterAutospacing="0"/>
              <w:rPr>
                <w:rFonts w:hint="default"/>
                <w:highlight w:val="none"/>
                <w:u w:val="none" w:color="auto"/>
                <w:lang w:val="en-US" w:eastAsia="zh-CN"/>
              </w:rPr>
            </w:pPr>
            <w:r>
              <w:rPr>
                <w:rFonts w:hint="eastAsia"/>
                <w:highlight w:val="none"/>
                <w:u w:val="none" w:color="auto"/>
                <w:lang w:val="en-US" w:eastAsia="zh-CN"/>
              </w:rPr>
              <w:t>0.00187</w:t>
            </w:r>
          </w:p>
        </w:tc>
        <w:tc>
          <w:tcPr>
            <w:tcW w:w="573" w:type="pct"/>
            <w:noWrap w:val="0"/>
            <w:vAlign w:val="center"/>
          </w:tcPr>
          <w:p w14:paraId="16C08CA8">
            <w:pPr>
              <w:pStyle w:val="42"/>
              <w:keepNext w:val="0"/>
              <w:keepLines w:val="0"/>
              <w:suppressLineNumbers w:val="0"/>
              <w:bidi w:val="0"/>
              <w:spacing w:before="0" w:beforeAutospacing="0" w:after="0" w:afterAutospacing="0"/>
              <w:rPr>
                <w:rFonts w:hint="default"/>
                <w:highlight w:val="none"/>
                <w:u w:val="none" w:color="auto"/>
                <w:lang w:val="en-US" w:eastAsia="zh-CN"/>
              </w:rPr>
            </w:pPr>
            <w:r>
              <w:rPr>
                <w:rFonts w:hint="eastAsia"/>
                <w:highlight w:val="none"/>
                <w:u w:val="none" w:color="auto"/>
                <w:lang w:val="en-US" w:eastAsia="zh-CN"/>
              </w:rPr>
              <w:t>0.05025</w:t>
            </w:r>
          </w:p>
        </w:tc>
      </w:tr>
    </w:tbl>
    <w:p w14:paraId="561B5646">
      <w:pPr>
        <w:spacing w:line="360" w:lineRule="auto"/>
        <w:ind w:firstLine="480" w:firstLineChars="200"/>
        <w:rPr>
          <w:rFonts w:hint="default" w:ascii="Times New Roman" w:hAnsi="Times New Roman" w:cs="Times New Roman"/>
          <w:color w:val="auto"/>
          <w:sz w:val="24"/>
          <w:highlight w:val="yellow"/>
          <w:u w:val="none" w:color="auto"/>
        </w:rPr>
        <w:sectPr>
          <w:pgSz w:w="16840" w:h="11907" w:orient="landscape"/>
          <w:pgMar w:top="1588" w:right="1361" w:bottom="1474"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63631645">
      <w:pPr>
        <w:shd w:val="clea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w:t>
      </w:r>
      <w:r>
        <w:rPr>
          <w:rFonts w:hint="default" w:ascii="Times New Roman" w:hAnsi="Times New Roman"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rPr>
        <w:t>）评价工作等级与评价范围</w:t>
      </w:r>
    </w:p>
    <w:p w14:paraId="06EEA183">
      <w:pPr>
        <w:shd w:val="clea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采用《环境影响评价技术导则  大气环境》（HJ 2.2-2018）中推荐的估算模型AERSCREEN进行评价等级判定，估算模型参数取值情况见表</w:t>
      </w:r>
      <w:r>
        <w:rPr>
          <w:rFonts w:hint="default" w:ascii="Times New Roman" w:hAnsi="Times New Roman" w:cs="Times New Roman"/>
          <w:color w:val="auto"/>
          <w:sz w:val="24"/>
          <w:highlight w:val="none"/>
          <w:u w:val="none" w:color="auto"/>
          <w:lang w:val="en-US" w:eastAsia="zh-CN"/>
        </w:rPr>
        <w:t>7.2-9</w:t>
      </w:r>
      <w:r>
        <w:rPr>
          <w:rFonts w:hint="default" w:ascii="Times New Roman" w:hAnsi="Times New Roman" w:cs="Times New Roman"/>
          <w:color w:val="auto"/>
          <w:sz w:val="24"/>
          <w:highlight w:val="none"/>
          <w:u w:val="none" w:color="auto"/>
        </w:rPr>
        <w:t>，估算模型计算结果见</w:t>
      </w:r>
      <w:r>
        <w:rPr>
          <w:rFonts w:hint="default" w:ascii="Times New Roman" w:hAnsi="Times New Roman" w:cs="Times New Roman"/>
          <w:color w:val="auto"/>
          <w:sz w:val="24"/>
          <w:highlight w:val="none"/>
          <w:u w:val="none" w:color="auto"/>
          <w:lang w:eastAsia="zh-CN"/>
        </w:rPr>
        <w:t>下</w:t>
      </w:r>
      <w:r>
        <w:rPr>
          <w:rFonts w:hint="default" w:ascii="Times New Roman" w:hAnsi="Times New Roman" w:cs="Times New Roman"/>
          <w:color w:val="auto"/>
          <w:sz w:val="24"/>
          <w:highlight w:val="none"/>
          <w:u w:val="none" w:color="auto"/>
        </w:rPr>
        <w:t>表。</w:t>
      </w:r>
    </w:p>
    <w:p w14:paraId="5284579A">
      <w:pPr>
        <w:pStyle w:val="39"/>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6.2-12</w:t>
      </w:r>
      <w:r>
        <w:rPr>
          <w:rFonts w:hint="default" w:ascii="Times New Roman" w:hAnsi="Times New Roman" w:cs="Times New Roman"/>
          <w:color w:val="auto"/>
          <w:highlight w:val="none"/>
          <w:u w:val="none" w:color="auto"/>
        </w:rPr>
        <w:t xml:space="preserve">   估算模型参数表</w:t>
      </w:r>
    </w:p>
    <w:tbl>
      <w:tblPr>
        <w:tblStyle w:val="30"/>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774"/>
        <w:gridCol w:w="4243"/>
        <w:gridCol w:w="2054"/>
      </w:tblGrid>
      <w:tr w14:paraId="2EE30D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00" w:type="dxa"/>
            <w:gridSpan w:val="2"/>
            <w:noWrap w:val="0"/>
            <w:vAlign w:val="center"/>
          </w:tcPr>
          <w:p w14:paraId="143C1FFE">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参数</w:t>
            </w:r>
          </w:p>
        </w:tc>
        <w:tc>
          <w:tcPr>
            <w:tcW w:w="1961" w:type="dxa"/>
            <w:noWrap w:val="0"/>
            <w:vAlign w:val="center"/>
          </w:tcPr>
          <w:p w14:paraId="5FC887CA">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取值</w:t>
            </w:r>
          </w:p>
        </w:tc>
      </w:tr>
      <w:tr w14:paraId="5E0791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restart"/>
            <w:noWrap w:val="0"/>
            <w:vAlign w:val="center"/>
          </w:tcPr>
          <w:p w14:paraId="4C18FA4E">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城市农村/选项</w:t>
            </w:r>
          </w:p>
        </w:tc>
        <w:tc>
          <w:tcPr>
            <w:tcW w:w="4051" w:type="dxa"/>
            <w:noWrap w:val="0"/>
            <w:vAlign w:val="center"/>
          </w:tcPr>
          <w:p w14:paraId="7A0C7DB5">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城市/农村</w:t>
            </w:r>
          </w:p>
        </w:tc>
        <w:tc>
          <w:tcPr>
            <w:tcW w:w="1961" w:type="dxa"/>
            <w:noWrap w:val="0"/>
            <w:vAlign w:val="center"/>
          </w:tcPr>
          <w:p w14:paraId="6268C5B2">
            <w:pPr>
              <w:pStyle w:val="43"/>
              <w:keepNext w:val="0"/>
              <w:keepLines w:val="0"/>
              <w:widowControl/>
              <w:suppressLineNumbers w:val="0"/>
              <w:shd w:val="clear"/>
              <w:spacing w:before="24" w:beforeAutospacing="0" w:after="24" w:afterAutospacing="0"/>
              <w:ind w:lef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城市</w:t>
            </w:r>
          </w:p>
        </w:tc>
      </w:tr>
      <w:tr w14:paraId="348410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continue"/>
            <w:noWrap w:val="0"/>
            <w:vAlign w:val="center"/>
          </w:tcPr>
          <w:p w14:paraId="67DB91E4">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p>
        </w:tc>
        <w:tc>
          <w:tcPr>
            <w:tcW w:w="4051" w:type="dxa"/>
            <w:noWrap w:val="0"/>
            <w:vAlign w:val="center"/>
          </w:tcPr>
          <w:p w14:paraId="639C9381">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人口数</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highlight w:val="none"/>
                <w:u w:val="none" w:color="auto"/>
              </w:rPr>
              <w:t>城市人口数</w:t>
            </w:r>
            <w:r>
              <w:rPr>
                <w:rFonts w:hint="default" w:ascii="Times New Roman" w:hAnsi="Times New Roman" w:cs="Times New Roman"/>
                <w:color w:val="auto"/>
                <w:sz w:val="21"/>
                <w:szCs w:val="21"/>
                <w:highlight w:val="none"/>
                <w:u w:val="none" w:color="auto"/>
                <w:lang w:eastAsia="zh-CN"/>
              </w:rPr>
              <w:t>）</w:t>
            </w:r>
          </w:p>
        </w:tc>
        <w:tc>
          <w:tcPr>
            <w:tcW w:w="1961" w:type="dxa"/>
            <w:noWrap w:val="0"/>
            <w:vAlign w:val="center"/>
          </w:tcPr>
          <w:p w14:paraId="026C561F">
            <w:pPr>
              <w:pStyle w:val="43"/>
              <w:keepNext w:val="0"/>
              <w:keepLines w:val="0"/>
              <w:widowControl/>
              <w:suppressLineNumbers w:val="0"/>
              <w:shd w:val="clear"/>
              <w:spacing w:before="24" w:beforeAutospacing="0" w:after="24" w:afterAutospacing="0"/>
              <w:ind w:left="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20</w:t>
            </w:r>
            <w:r>
              <w:rPr>
                <w:rFonts w:hint="default" w:ascii="Times New Roman" w:hAnsi="Times New Roman" w:cs="Times New Roman"/>
                <w:color w:val="auto"/>
                <w:sz w:val="21"/>
                <w:szCs w:val="21"/>
                <w:highlight w:val="none"/>
                <w:u w:val="none" w:color="auto"/>
                <w:lang w:val="en-US" w:eastAsia="zh-CN"/>
              </w:rPr>
              <w:t>0000</w:t>
            </w:r>
          </w:p>
        </w:tc>
      </w:tr>
      <w:tr w14:paraId="5D8E2C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00" w:type="dxa"/>
            <w:gridSpan w:val="2"/>
            <w:noWrap w:val="0"/>
            <w:vAlign w:val="center"/>
          </w:tcPr>
          <w:p w14:paraId="0A89B3AE">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最高环境温度</w:t>
            </w:r>
          </w:p>
        </w:tc>
        <w:tc>
          <w:tcPr>
            <w:tcW w:w="1961" w:type="dxa"/>
            <w:noWrap w:val="0"/>
            <w:vAlign w:val="center"/>
          </w:tcPr>
          <w:p w14:paraId="10ACCC0F">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38.4</w:t>
            </w:r>
            <w:r>
              <w:rPr>
                <w:rFonts w:hint="default" w:ascii="Times New Roman" w:hAnsi="Times New Roman" w:cs="Times New Roman"/>
                <w:color w:val="auto"/>
                <w:sz w:val="21"/>
                <w:szCs w:val="21"/>
                <w:highlight w:val="none"/>
                <w:u w:val="none" w:color="auto"/>
              </w:rPr>
              <w:t>°C</w:t>
            </w:r>
          </w:p>
        </w:tc>
      </w:tr>
      <w:tr w14:paraId="656D08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00" w:type="dxa"/>
            <w:gridSpan w:val="2"/>
            <w:noWrap w:val="0"/>
            <w:vAlign w:val="center"/>
          </w:tcPr>
          <w:p w14:paraId="761BF1CF">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最低环境温度</w:t>
            </w:r>
          </w:p>
        </w:tc>
        <w:tc>
          <w:tcPr>
            <w:tcW w:w="1961" w:type="dxa"/>
            <w:noWrap w:val="0"/>
            <w:vAlign w:val="center"/>
          </w:tcPr>
          <w:p w14:paraId="13E08BA8">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°C</w:t>
            </w:r>
          </w:p>
        </w:tc>
      </w:tr>
      <w:tr w14:paraId="603DF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00" w:type="dxa"/>
            <w:gridSpan w:val="2"/>
            <w:noWrap w:val="0"/>
            <w:vAlign w:val="center"/>
          </w:tcPr>
          <w:p w14:paraId="494DFC3F">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土地利用类型</w:t>
            </w:r>
          </w:p>
        </w:tc>
        <w:tc>
          <w:tcPr>
            <w:tcW w:w="1961" w:type="dxa"/>
            <w:noWrap w:val="0"/>
            <w:vAlign w:val="center"/>
          </w:tcPr>
          <w:p w14:paraId="66704107">
            <w:pPr>
              <w:pStyle w:val="43"/>
              <w:keepNext w:val="0"/>
              <w:keepLines w:val="0"/>
              <w:widowControl/>
              <w:suppressLineNumbers w:val="0"/>
              <w:shd w:val="clear"/>
              <w:spacing w:before="24" w:beforeAutospacing="0" w:after="24" w:afterAutospacing="0"/>
              <w:ind w:lef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城市</w:t>
            </w:r>
          </w:p>
        </w:tc>
      </w:tr>
      <w:tr w14:paraId="3000C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00" w:type="dxa"/>
            <w:gridSpan w:val="2"/>
            <w:noWrap w:val="0"/>
            <w:vAlign w:val="center"/>
          </w:tcPr>
          <w:p w14:paraId="2903B8C2">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区域湿度条件</w:t>
            </w:r>
          </w:p>
        </w:tc>
        <w:tc>
          <w:tcPr>
            <w:tcW w:w="1961" w:type="dxa"/>
            <w:noWrap w:val="0"/>
            <w:vAlign w:val="center"/>
          </w:tcPr>
          <w:p w14:paraId="69423E3F">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lang w:val="en-US"/>
              </w:rPr>
            </w:pPr>
            <w:r>
              <w:rPr>
                <w:rFonts w:hint="default" w:ascii="Times New Roman" w:hAnsi="Times New Roman" w:cs="Times New Roman"/>
                <w:color w:val="auto"/>
                <w:sz w:val="21"/>
                <w:szCs w:val="21"/>
                <w:highlight w:val="none"/>
                <w:u w:val="none" w:color="auto"/>
                <w:lang w:val="en-US" w:eastAsia="zh-CN"/>
              </w:rPr>
              <w:t>潮湿</w:t>
            </w:r>
          </w:p>
        </w:tc>
      </w:tr>
      <w:tr w14:paraId="315B0E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restart"/>
            <w:noWrap w:val="0"/>
            <w:vAlign w:val="center"/>
          </w:tcPr>
          <w:p w14:paraId="266C6F69">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是否考虑地形</w:t>
            </w:r>
          </w:p>
        </w:tc>
        <w:tc>
          <w:tcPr>
            <w:tcW w:w="4051" w:type="dxa"/>
            <w:noWrap w:val="0"/>
            <w:vAlign w:val="center"/>
          </w:tcPr>
          <w:p w14:paraId="39192B71">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考虑地形</w:t>
            </w:r>
          </w:p>
        </w:tc>
        <w:tc>
          <w:tcPr>
            <w:tcW w:w="1961" w:type="dxa"/>
            <w:noWrap w:val="0"/>
            <w:vAlign w:val="center"/>
          </w:tcPr>
          <w:p w14:paraId="3B3E8FA9">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w:t>
            </w:r>
          </w:p>
        </w:tc>
      </w:tr>
      <w:tr w14:paraId="20780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continue"/>
            <w:noWrap w:val="0"/>
            <w:vAlign w:val="center"/>
          </w:tcPr>
          <w:p w14:paraId="0E6A418A">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p>
        </w:tc>
        <w:tc>
          <w:tcPr>
            <w:tcW w:w="4051" w:type="dxa"/>
            <w:noWrap w:val="0"/>
            <w:vAlign w:val="center"/>
          </w:tcPr>
          <w:p w14:paraId="33F200D9">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地形数据分辨率</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highlight w:val="none"/>
                <w:u w:val="none" w:color="auto"/>
              </w:rPr>
              <w:t>m)</w:t>
            </w:r>
          </w:p>
        </w:tc>
        <w:tc>
          <w:tcPr>
            <w:tcW w:w="1961" w:type="dxa"/>
            <w:noWrap w:val="0"/>
            <w:vAlign w:val="center"/>
          </w:tcPr>
          <w:p w14:paraId="527B744F">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9</w:t>
            </w:r>
            <w:r>
              <w:rPr>
                <w:rFonts w:hint="default" w:ascii="Times New Roman" w:hAnsi="Times New Roman" w:eastAsia="宋体" w:cs="Times New Roman"/>
                <w:color w:val="auto"/>
                <w:sz w:val="21"/>
                <w:szCs w:val="21"/>
                <w:highlight w:val="none"/>
                <w:u w:val="none" w:color="auto"/>
                <w:lang w:val="en-US" w:eastAsia="zh-CN"/>
              </w:rPr>
              <w:t>0</w:t>
            </w:r>
            <w:r>
              <w:rPr>
                <w:rFonts w:hint="default" w:ascii="Times New Roman" w:hAnsi="Times New Roman" w:cs="Times New Roman"/>
                <w:color w:val="auto"/>
                <w:sz w:val="21"/>
                <w:szCs w:val="21"/>
                <w:highlight w:val="none"/>
                <w:u w:val="none" w:color="auto"/>
              </w:rPr>
              <w:t>m</w:t>
            </w:r>
          </w:p>
        </w:tc>
      </w:tr>
      <w:tr w14:paraId="4752E0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restart"/>
            <w:noWrap w:val="0"/>
            <w:vAlign w:val="center"/>
          </w:tcPr>
          <w:p w14:paraId="6247A9ED">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是否考虑海岸线熏烟</w:t>
            </w:r>
          </w:p>
        </w:tc>
        <w:tc>
          <w:tcPr>
            <w:tcW w:w="4051" w:type="dxa"/>
            <w:noWrap w:val="0"/>
            <w:vAlign w:val="center"/>
          </w:tcPr>
          <w:p w14:paraId="729F7BDA">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考虑海岸线熏烟</w:t>
            </w:r>
          </w:p>
        </w:tc>
        <w:tc>
          <w:tcPr>
            <w:tcW w:w="1961" w:type="dxa"/>
            <w:noWrap w:val="0"/>
            <w:vAlign w:val="center"/>
          </w:tcPr>
          <w:p w14:paraId="207CD445">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25065F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continue"/>
            <w:noWrap w:val="0"/>
            <w:vAlign w:val="center"/>
          </w:tcPr>
          <w:p w14:paraId="3C27C6C0">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p>
        </w:tc>
        <w:tc>
          <w:tcPr>
            <w:tcW w:w="4051" w:type="dxa"/>
            <w:noWrap w:val="0"/>
            <w:vAlign w:val="center"/>
          </w:tcPr>
          <w:p w14:paraId="33E765E3">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海岸线距离/km</w:t>
            </w:r>
          </w:p>
        </w:tc>
        <w:tc>
          <w:tcPr>
            <w:tcW w:w="1961" w:type="dxa"/>
            <w:noWrap w:val="0"/>
            <w:vAlign w:val="center"/>
          </w:tcPr>
          <w:p w14:paraId="47F8CBAD">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w:t>
            </w:r>
          </w:p>
        </w:tc>
      </w:tr>
      <w:tr w14:paraId="7D2A28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49" w:type="dxa"/>
            <w:vMerge w:val="continue"/>
            <w:noWrap w:val="0"/>
            <w:vAlign w:val="center"/>
          </w:tcPr>
          <w:p w14:paraId="6A0F18C6">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p>
        </w:tc>
        <w:tc>
          <w:tcPr>
            <w:tcW w:w="4051" w:type="dxa"/>
            <w:noWrap w:val="0"/>
            <w:vAlign w:val="center"/>
          </w:tcPr>
          <w:p w14:paraId="005A506A">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岸线方向/ °</w:t>
            </w:r>
          </w:p>
        </w:tc>
        <w:tc>
          <w:tcPr>
            <w:tcW w:w="1961" w:type="dxa"/>
            <w:noWrap w:val="0"/>
            <w:vAlign w:val="center"/>
          </w:tcPr>
          <w:p w14:paraId="011B542E">
            <w:pPr>
              <w:pStyle w:val="43"/>
              <w:keepNext w:val="0"/>
              <w:keepLines w:val="0"/>
              <w:widowControl/>
              <w:suppressLineNumbers w:val="0"/>
              <w:shd w:val="clear"/>
              <w:spacing w:before="24" w:beforeAutospacing="0" w:after="24" w:afterAutospacing="0"/>
              <w:ind w:lef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w:t>
            </w:r>
          </w:p>
        </w:tc>
      </w:tr>
    </w:tbl>
    <w:p w14:paraId="65AC1F78">
      <w:pPr>
        <w:pStyle w:val="13"/>
        <w:spacing w:line="240" w:lineRule="auto"/>
        <w:jc w:val="center"/>
        <w:rPr>
          <w:rFonts w:hint="default" w:ascii="Times New Roman" w:hAnsi="Times New Roman" w:eastAsia="黑体" w:cs="Times New Roman"/>
          <w:color w:val="auto"/>
          <w:sz w:val="24"/>
          <w:szCs w:val="20"/>
          <w:highlight w:val="yellow"/>
          <w:u w:val="none" w:color="auto"/>
          <w:lang w:val="en-US" w:eastAsia="zh-CN" w:bidi="ar-SA"/>
        </w:rPr>
        <w:sectPr>
          <w:pgSz w:w="11907" w:h="16840"/>
          <w:pgMar w:top="1361" w:right="1474" w:bottom="1588"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18583840">
      <w:pPr>
        <w:pStyle w:val="39"/>
        <w:bidi w:val="0"/>
        <w:rPr>
          <w:rFonts w:hint="default"/>
          <w:lang w:val="en-US" w:eastAsia="zh-CN"/>
        </w:rPr>
      </w:pPr>
      <w:r>
        <w:rPr>
          <w:rFonts w:hint="default"/>
          <w:lang w:val="en-US" w:eastAsia="zh-CN"/>
        </w:rPr>
        <w:t>表</w:t>
      </w:r>
      <w:r>
        <w:rPr>
          <w:rFonts w:hint="eastAsia"/>
          <w:lang w:val="en-US" w:eastAsia="zh-CN"/>
        </w:rPr>
        <w:t>6.2-13</w:t>
      </w:r>
      <w:r>
        <w:rPr>
          <w:rFonts w:hint="default"/>
          <w:lang w:val="en-US" w:eastAsia="zh-CN"/>
        </w:rPr>
        <w:t xml:space="preserve">  ARESCREEN估算模型点源计算结果一览表</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96"/>
        <w:gridCol w:w="3492"/>
        <w:gridCol w:w="2180"/>
        <w:gridCol w:w="3528"/>
        <w:gridCol w:w="2203"/>
      </w:tblGrid>
      <w:tr w14:paraId="18DE44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vMerge w:val="restart"/>
            <w:tcBorders>
              <w:tl2br w:val="nil"/>
              <w:tr2bl w:val="nil"/>
            </w:tcBorders>
            <w:noWrap w:val="0"/>
            <w:vAlign w:val="center"/>
          </w:tcPr>
          <w:p w14:paraId="00BCB8E5">
            <w:pPr>
              <w:pStyle w:val="42"/>
              <w:keepNext w:val="0"/>
              <w:keepLines w:val="0"/>
              <w:suppressLineNumbers w:val="0"/>
              <w:bidi w:val="0"/>
              <w:spacing w:before="0" w:beforeAutospacing="0" w:after="0" w:afterAutospacing="0"/>
              <w:rPr>
                <w:rFonts w:hint="default"/>
              </w:rPr>
            </w:pPr>
            <w:r>
              <w:rPr>
                <w:rFonts w:hint="default"/>
              </w:rPr>
              <w:t>下风向距离D/m</w:t>
            </w:r>
          </w:p>
        </w:tc>
        <w:tc>
          <w:tcPr>
            <w:tcW w:w="2011" w:type="pct"/>
            <w:gridSpan w:val="2"/>
            <w:tcBorders>
              <w:tl2br w:val="nil"/>
              <w:tr2bl w:val="nil"/>
            </w:tcBorders>
            <w:noWrap w:val="0"/>
            <w:vAlign w:val="center"/>
          </w:tcPr>
          <w:p w14:paraId="0890F7A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硫化氢</w:t>
            </w:r>
          </w:p>
        </w:tc>
        <w:tc>
          <w:tcPr>
            <w:tcW w:w="2032" w:type="pct"/>
            <w:gridSpan w:val="2"/>
            <w:tcBorders>
              <w:tl2br w:val="nil"/>
              <w:tr2bl w:val="nil"/>
            </w:tcBorders>
            <w:noWrap w:val="0"/>
            <w:vAlign w:val="center"/>
          </w:tcPr>
          <w:p w14:paraId="2978C91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氨</w:t>
            </w:r>
          </w:p>
        </w:tc>
      </w:tr>
      <w:tr w14:paraId="4C83F9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6" w:type="pct"/>
            <w:vMerge w:val="continue"/>
            <w:tcBorders>
              <w:tl2br w:val="nil"/>
              <w:tr2bl w:val="nil"/>
            </w:tcBorders>
            <w:noWrap w:val="0"/>
            <w:vAlign w:val="center"/>
          </w:tcPr>
          <w:p w14:paraId="435C396A">
            <w:pPr>
              <w:pStyle w:val="42"/>
              <w:keepNext w:val="0"/>
              <w:keepLines w:val="0"/>
              <w:suppressLineNumbers w:val="0"/>
              <w:bidi w:val="0"/>
              <w:spacing w:before="0" w:beforeAutospacing="0" w:after="0" w:afterAutospacing="0"/>
              <w:rPr>
                <w:rFonts w:hint="default"/>
              </w:rPr>
            </w:pPr>
          </w:p>
        </w:tc>
        <w:tc>
          <w:tcPr>
            <w:tcW w:w="1238" w:type="pct"/>
            <w:tcBorders>
              <w:tl2br w:val="nil"/>
              <w:tr2bl w:val="nil"/>
            </w:tcBorders>
            <w:noWrap w:val="0"/>
            <w:vAlign w:val="center"/>
          </w:tcPr>
          <w:p w14:paraId="48E5F442">
            <w:pPr>
              <w:pStyle w:val="42"/>
              <w:keepNext w:val="0"/>
              <w:keepLines w:val="0"/>
              <w:suppressLineNumbers w:val="0"/>
              <w:bidi w:val="0"/>
              <w:spacing w:before="0" w:beforeAutospacing="0" w:after="0" w:afterAutospacing="0"/>
              <w:rPr>
                <w:rFonts w:hint="default"/>
              </w:rPr>
            </w:pPr>
            <w:r>
              <w:rPr>
                <w:rFonts w:hint="default"/>
              </w:rPr>
              <w:t>预测质量浓度（μg/</w:t>
            </w:r>
            <w:r>
              <w:rPr>
                <w:rFonts w:hint="eastAsia"/>
                <w:lang w:eastAsia="zh-CN"/>
              </w:rPr>
              <w:t>m</w:t>
            </w:r>
            <w:r>
              <w:rPr>
                <w:rFonts w:hint="eastAsia"/>
                <w:vertAlign w:val="superscript"/>
                <w:lang w:eastAsia="zh-CN"/>
              </w:rPr>
              <w:t>3</w:t>
            </w:r>
            <w:r>
              <w:rPr>
                <w:rFonts w:hint="default"/>
              </w:rPr>
              <w:t>）</w:t>
            </w:r>
          </w:p>
        </w:tc>
        <w:tc>
          <w:tcPr>
            <w:tcW w:w="773" w:type="pct"/>
            <w:tcBorders>
              <w:tl2br w:val="nil"/>
              <w:tr2bl w:val="nil"/>
            </w:tcBorders>
            <w:noWrap w:val="0"/>
            <w:vAlign w:val="center"/>
          </w:tcPr>
          <w:p w14:paraId="069C7007">
            <w:pPr>
              <w:pStyle w:val="42"/>
              <w:keepNext w:val="0"/>
              <w:keepLines w:val="0"/>
              <w:suppressLineNumbers w:val="0"/>
              <w:bidi w:val="0"/>
              <w:spacing w:before="0" w:beforeAutospacing="0" w:after="0" w:afterAutospacing="0"/>
              <w:rPr>
                <w:rFonts w:hint="default"/>
              </w:rPr>
            </w:pPr>
            <w:r>
              <w:rPr>
                <w:rFonts w:hint="default"/>
              </w:rPr>
              <w:t>占标率（%）</w:t>
            </w:r>
          </w:p>
        </w:tc>
        <w:tc>
          <w:tcPr>
            <w:tcW w:w="1251" w:type="pct"/>
            <w:tcBorders>
              <w:tl2br w:val="nil"/>
              <w:tr2bl w:val="nil"/>
            </w:tcBorders>
            <w:noWrap w:val="0"/>
            <w:vAlign w:val="center"/>
          </w:tcPr>
          <w:p w14:paraId="4B74FCD5">
            <w:pPr>
              <w:pStyle w:val="42"/>
              <w:keepNext w:val="0"/>
              <w:keepLines w:val="0"/>
              <w:suppressLineNumbers w:val="0"/>
              <w:bidi w:val="0"/>
              <w:spacing w:before="0" w:beforeAutospacing="0" w:after="0" w:afterAutospacing="0"/>
              <w:rPr>
                <w:rFonts w:hint="default"/>
              </w:rPr>
            </w:pPr>
            <w:r>
              <w:rPr>
                <w:rFonts w:hint="default"/>
              </w:rPr>
              <w:t>预测质量浓度（μg/</w:t>
            </w:r>
            <w:r>
              <w:rPr>
                <w:rFonts w:hint="eastAsia"/>
                <w:lang w:eastAsia="zh-CN"/>
              </w:rPr>
              <w:t>m</w:t>
            </w:r>
            <w:r>
              <w:rPr>
                <w:rFonts w:hint="eastAsia"/>
                <w:vertAlign w:val="superscript"/>
                <w:lang w:eastAsia="zh-CN"/>
              </w:rPr>
              <w:t>3</w:t>
            </w:r>
            <w:r>
              <w:rPr>
                <w:rFonts w:hint="default"/>
              </w:rPr>
              <w:t>）</w:t>
            </w:r>
          </w:p>
        </w:tc>
        <w:tc>
          <w:tcPr>
            <w:tcW w:w="781" w:type="pct"/>
            <w:tcBorders>
              <w:tl2br w:val="nil"/>
              <w:tr2bl w:val="nil"/>
            </w:tcBorders>
            <w:noWrap w:val="0"/>
            <w:vAlign w:val="center"/>
          </w:tcPr>
          <w:p w14:paraId="2B055627">
            <w:pPr>
              <w:pStyle w:val="42"/>
              <w:keepNext w:val="0"/>
              <w:keepLines w:val="0"/>
              <w:suppressLineNumbers w:val="0"/>
              <w:bidi w:val="0"/>
              <w:spacing w:before="0" w:beforeAutospacing="0" w:after="0" w:afterAutospacing="0"/>
              <w:rPr>
                <w:rFonts w:hint="default"/>
              </w:rPr>
            </w:pPr>
            <w:r>
              <w:rPr>
                <w:rFonts w:hint="default"/>
              </w:rPr>
              <w:t>占标率（%）</w:t>
            </w:r>
          </w:p>
        </w:tc>
      </w:tr>
      <w:tr w14:paraId="504F7A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0C68934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w:t>
            </w:r>
          </w:p>
        </w:tc>
        <w:tc>
          <w:tcPr>
            <w:tcW w:w="1238" w:type="pct"/>
            <w:tcBorders>
              <w:tl2br w:val="nil"/>
              <w:tr2bl w:val="nil"/>
            </w:tcBorders>
            <w:noWrap w:val="0"/>
            <w:vAlign w:val="center"/>
          </w:tcPr>
          <w:p w14:paraId="3CEFBC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4.20E-13</w:t>
            </w:r>
          </w:p>
        </w:tc>
        <w:tc>
          <w:tcPr>
            <w:tcW w:w="773" w:type="pct"/>
            <w:tcBorders>
              <w:tl2br w:val="nil"/>
              <w:tr2bl w:val="nil"/>
            </w:tcBorders>
            <w:noWrap w:val="0"/>
            <w:vAlign w:val="center"/>
          </w:tcPr>
          <w:p w14:paraId="20556E9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w:t>
            </w:r>
          </w:p>
        </w:tc>
        <w:tc>
          <w:tcPr>
            <w:tcW w:w="1251" w:type="pct"/>
            <w:tcBorders>
              <w:tl2br w:val="nil"/>
              <w:tr2bl w:val="nil"/>
            </w:tcBorders>
            <w:noWrap w:val="0"/>
            <w:vAlign w:val="center"/>
          </w:tcPr>
          <w:p w14:paraId="16829E9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1.63E-15</w:t>
            </w:r>
          </w:p>
        </w:tc>
        <w:tc>
          <w:tcPr>
            <w:tcW w:w="781" w:type="pct"/>
            <w:tcBorders>
              <w:tl2br w:val="nil"/>
              <w:tr2bl w:val="nil"/>
            </w:tcBorders>
            <w:noWrap w:val="0"/>
            <w:vAlign w:val="center"/>
          </w:tcPr>
          <w:p w14:paraId="3695B23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w:t>
            </w:r>
          </w:p>
        </w:tc>
      </w:tr>
      <w:tr w14:paraId="30D437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1BBCA5F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1238" w:type="pct"/>
            <w:tcBorders>
              <w:tl2br w:val="nil"/>
              <w:tr2bl w:val="nil"/>
            </w:tcBorders>
            <w:noWrap w:val="0"/>
            <w:vAlign w:val="center"/>
          </w:tcPr>
          <w:p w14:paraId="19EA464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5.67E-05</w:t>
            </w:r>
          </w:p>
        </w:tc>
        <w:tc>
          <w:tcPr>
            <w:tcW w:w="773" w:type="pct"/>
            <w:tcBorders>
              <w:tl2br w:val="nil"/>
              <w:tr2bl w:val="nil"/>
            </w:tcBorders>
            <w:noWrap w:val="0"/>
            <w:vAlign w:val="center"/>
          </w:tcPr>
          <w:p w14:paraId="3798DB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c>
          <w:tcPr>
            <w:tcW w:w="1251" w:type="pct"/>
            <w:tcBorders>
              <w:tl2br w:val="nil"/>
              <w:tr2bl w:val="nil"/>
            </w:tcBorders>
            <w:noWrap w:val="0"/>
            <w:vAlign w:val="center"/>
          </w:tcPr>
          <w:p w14:paraId="0AD9EC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2.20E-07</w:t>
            </w:r>
          </w:p>
        </w:tc>
        <w:tc>
          <w:tcPr>
            <w:tcW w:w="781" w:type="pct"/>
            <w:tcBorders>
              <w:tl2br w:val="nil"/>
              <w:tr2bl w:val="nil"/>
            </w:tcBorders>
            <w:noWrap w:val="0"/>
            <w:vAlign w:val="center"/>
          </w:tcPr>
          <w:p w14:paraId="2116DBB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w:t>
            </w:r>
          </w:p>
        </w:tc>
      </w:tr>
      <w:tr w14:paraId="3C7AA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34F1B7E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w:t>
            </w:r>
          </w:p>
        </w:tc>
        <w:tc>
          <w:tcPr>
            <w:tcW w:w="1238" w:type="pct"/>
            <w:tcBorders>
              <w:tl2br w:val="nil"/>
              <w:tr2bl w:val="nil"/>
            </w:tcBorders>
            <w:noWrap w:val="0"/>
            <w:vAlign w:val="center"/>
          </w:tcPr>
          <w:p w14:paraId="3B82DC7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7.75E-04</w:t>
            </w:r>
          </w:p>
        </w:tc>
        <w:tc>
          <w:tcPr>
            <w:tcW w:w="773" w:type="pct"/>
            <w:tcBorders>
              <w:tl2br w:val="nil"/>
              <w:tr2bl w:val="nil"/>
            </w:tcBorders>
            <w:noWrap w:val="0"/>
            <w:vAlign w:val="center"/>
          </w:tcPr>
          <w:p w14:paraId="73ABFAE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0.39</w:t>
            </w:r>
          </w:p>
        </w:tc>
        <w:tc>
          <w:tcPr>
            <w:tcW w:w="1251" w:type="pct"/>
            <w:tcBorders>
              <w:tl2br w:val="nil"/>
              <w:tr2bl w:val="nil"/>
            </w:tcBorders>
            <w:noWrap w:val="0"/>
            <w:vAlign w:val="center"/>
          </w:tcPr>
          <w:p w14:paraId="2C387F1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3.00E-06</w:t>
            </w:r>
          </w:p>
        </w:tc>
        <w:tc>
          <w:tcPr>
            <w:tcW w:w="781" w:type="pct"/>
            <w:tcBorders>
              <w:tl2br w:val="nil"/>
              <w:tr2bl w:val="nil"/>
            </w:tcBorders>
            <w:noWrap w:val="0"/>
            <w:vAlign w:val="center"/>
          </w:tcPr>
          <w:p w14:paraId="19E7535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554C9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56" w:type="pct"/>
            <w:tcBorders>
              <w:tl2br w:val="nil"/>
              <w:tr2bl w:val="nil"/>
            </w:tcBorders>
            <w:noWrap w:val="0"/>
            <w:vAlign w:val="center"/>
          </w:tcPr>
          <w:p w14:paraId="08DB26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75</w:t>
            </w:r>
          </w:p>
        </w:tc>
        <w:tc>
          <w:tcPr>
            <w:tcW w:w="1238" w:type="pct"/>
            <w:tcBorders>
              <w:tl2br w:val="nil"/>
              <w:tr2bl w:val="nil"/>
            </w:tcBorders>
            <w:noWrap w:val="0"/>
            <w:vAlign w:val="center"/>
          </w:tcPr>
          <w:p w14:paraId="5FF933F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1.12E-03</w:t>
            </w:r>
          </w:p>
        </w:tc>
        <w:tc>
          <w:tcPr>
            <w:tcW w:w="773" w:type="pct"/>
            <w:tcBorders>
              <w:tl2br w:val="nil"/>
              <w:tr2bl w:val="nil"/>
            </w:tcBorders>
            <w:noWrap w:val="0"/>
            <w:vAlign w:val="center"/>
          </w:tcPr>
          <w:p w14:paraId="20B9DEE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0.56</w:t>
            </w:r>
          </w:p>
        </w:tc>
        <w:tc>
          <w:tcPr>
            <w:tcW w:w="1251" w:type="pct"/>
            <w:tcBorders>
              <w:tl2br w:val="nil"/>
              <w:tr2bl w:val="nil"/>
            </w:tcBorders>
            <w:noWrap w:val="0"/>
            <w:vAlign w:val="center"/>
          </w:tcPr>
          <w:p w14:paraId="62CE368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4.33E-06</w:t>
            </w:r>
          </w:p>
        </w:tc>
        <w:tc>
          <w:tcPr>
            <w:tcW w:w="781" w:type="pct"/>
            <w:tcBorders>
              <w:tl2br w:val="nil"/>
              <w:tr2bl w:val="nil"/>
            </w:tcBorders>
            <w:noWrap w:val="0"/>
            <w:vAlign w:val="center"/>
          </w:tcPr>
          <w:p w14:paraId="53A4BC8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4E7FF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311EDB0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100</w:t>
            </w:r>
          </w:p>
        </w:tc>
        <w:tc>
          <w:tcPr>
            <w:tcW w:w="1238" w:type="pct"/>
            <w:tcBorders>
              <w:tl2br w:val="nil"/>
              <w:tr2bl w:val="nil"/>
            </w:tcBorders>
            <w:noWrap w:val="0"/>
            <w:vAlign w:val="center"/>
          </w:tcPr>
          <w:p w14:paraId="7371CEA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1.19E-03</w:t>
            </w:r>
          </w:p>
        </w:tc>
        <w:tc>
          <w:tcPr>
            <w:tcW w:w="773" w:type="pct"/>
            <w:tcBorders>
              <w:tl2br w:val="nil"/>
              <w:tr2bl w:val="nil"/>
            </w:tcBorders>
            <w:noWrap w:val="0"/>
            <w:vAlign w:val="center"/>
          </w:tcPr>
          <w:p w14:paraId="44E38DB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0.59</w:t>
            </w:r>
          </w:p>
        </w:tc>
        <w:tc>
          <w:tcPr>
            <w:tcW w:w="1251" w:type="pct"/>
            <w:tcBorders>
              <w:tl2br w:val="nil"/>
              <w:tr2bl w:val="nil"/>
            </w:tcBorders>
            <w:noWrap w:val="0"/>
            <w:vAlign w:val="center"/>
          </w:tcPr>
          <w:p w14:paraId="00C534F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4.60E-06</w:t>
            </w:r>
          </w:p>
        </w:tc>
        <w:tc>
          <w:tcPr>
            <w:tcW w:w="781" w:type="pct"/>
            <w:tcBorders>
              <w:tl2br w:val="nil"/>
              <w:tr2bl w:val="nil"/>
            </w:tcBorders>
            <w:noWrap w:val="0"/>
            <w:vAlign w:val="center"/>
          </w:tcPr>
          <w:p w14:paraId="1533190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70CB65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1D94AE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125</w:t>
            </w:r>
          </w:p>
        </w:tc>
        <w:tc>
          <w:tcPr>
            <w:tcW w:w="1238" w:type="pct"/>
            <w:tcBorders>
              <w:tl2br w:val="nil"/>
              <w:tr2bl w:val="nil"/>
            </w:tcBorders>
            <w:noWrap w:val="0"/>
            <w:vAlign w:val="center"/>
          </w:tcPr>
          <w:p w14:paraId="59BCCFE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1.26E-03</w:t>
            </w:r>
          </w:p>
        </w:tc>
        <w:tc>
          <w:tcPr>
            <w:tcW w:w="773" w:type="pct"/>
            <w:tcBorders>
              <w:tl2br w:val="nil"/>
              <w:tr2bl w:val="nil"/>
            </w:tcBorders>
            <w:noWrap w:val="0"/>
            <w:vAlign w:val="center"/>
          </w:tcPr>
          <w:p w14:paraId="1132B24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0.63</w:t>
            </w:r>
          </w:p>
        </w:tc>
        <w:tc>
          <w:tcPr>
            <w:tcW w:w="1251" w:type="pct"/>
            <w:tcBorders>
              <w:tl2br w:val="nil"/>
              <w:tr2bl w:val="nil"/>
            </w:tcBorders>
            <w:noWrap w:val="0"/>
            <w:vAlign w:val="center"/>
          </w:tcPr>
          <w:p w14:paraId="58B2CB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4.90E-06</w:t>
            </w:r>
          </w:p>
        </w:tc>
        <w:tc>
          <w:tcPr>
            <w:tcW w:w="781" w:type="pct"/>
            <w:tcBorders>
              <w:tl2br w:val="nil"/>
              <w:tr2bl w:val="nil"/>
            </w:tcBorders>
            <w:noWrap w:val="0"/>
            <w:vAlign w:val="center"/>
          </w:tcPr>
          <w:p w14:paraId="23AD5D2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6DB0A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1EADB1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148</w:t>
            </w:r>
          </w:p>
        </w:tc>
        <w:tc>
          <w:tcPr>
            <w:tcW w:w="1238" w:type="pct"/>
            <w:tcBorders>
              <w:tl2br w:val="nil"/>
              <w:tr2bl w:val="nil"/>
            </w:tcBorders>
            <w:noWrap w:val="0"/>
            <w:vAlign w:val="center"/>
          </w:tcPr>
          <w:p w14:paraId="4DD0F2E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1.32E-03</w:t>
            </w:r>
          </w:p>
        </w:tc>
        <w:tc>
          <w:tcPr>
            <w:tcW w:w="773" w:type="pct"/>
            <w:tcBorders>
              <w:tl2br w:val="nil"/>
              <w:tr2bl w:val="nil"/>
            </w:tcBorders>
            <w:noWrap w:val="0"/>
            <w:vAlign w:val="center"/>
          </w:tcPr>
          <w:p w14:paraId="124244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0.66</w:t>
            </w:r>
          </w:p>
        </w:tc>
        <w:tc>
          <w:tcPr>
            <w:tcW w:w="1251" w:type="pct"/>
            <w:tcBorders>
              <w:tl2br w:val="nil"/>
              <w:tr2bl w:val="nil"/>
            </w:tcBorders>
            <w:noWrap w:val="0"/>
            <w:vAlign w:val="center"/>
          </w:tcPr>
          <w:p w14:paraId="087EF69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5.12E-06</w:t>
            </w:r>
          </w:p>
        </w:tc>
        <w:tc>
          <w:tcPr>
            <w:tcW w:w="781" w:type="pct"/>
            <w:tcBorders>
              <w:tl2br w:val="nil"/>
              <w:tr2bl w:val="nil"/>
            </w:tcBorders>
            <w:noWrap w:val="0"/>
            <w:vAlign w:val="center"/>
          </w:tcPr>
          <w:p w14:paraId="06BDD28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6A173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07C7BB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150</w:t>
            </w:r>
          </w:p>
        </w:tc>
        <w:tc>
          <w:tcPr>
            <w:tcW w:w="1238" w:type="pct"/>
            <w:tcBorders>
              <w:tl2br w:val="nil"/>
              <w:tr2bl w:val="nil"/>
            </w:tcBorders>
            <w:noWrap w:val="0"/>
            <w:vAlign w:val="center"/>
          </w:tcPr>
          <w:p w14:paraId="4A72776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1.32E-03</w:t>
            </w:r>
          </w:p>
        </w:tc>
        <w:tc>
          <w:tcPr>
            <w:tcW w:w="773" w:type="pct"/>
            <w:tcBorders>
              <w:tl2br w:val="nil"/>
              <w:tr2bl w:val="nil"/>
            </w:tcBorders>
            <w:noWrap w:val="0"/>
            <w:vAlign w:val="center"/>
          </w:tcPr>
          <w:p w14:paraId="07724D5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0.66</w:t>
            </w:r>
          </w:p>
        </w:tc>
        <w:tc>
          <w:tcPr>
            <w:tcW w:w="1251" w:type="pct"/>
            <w:tcBorders>
              <w:tl2br w:val="nil"/>
              <w:tr2bl w:val="nil"/>
            </w:tcBorders>
            <w:noWrap w:val="0"/>
            <w:vAlign w:val="center"/>
          </w:tcPr>
          <w:p w14:paraId="412279D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5.11E-06</w:t>
            </w:r>
          </w:p>
        </w:tc>
        <w:tc>
          <w:tcPr>
            <w:tcW w:w="781" w:type="pct"/>
            <w:tcBorders>
              <w:tl2br w:val="nil"/>
              <w:tr2bl w:val="nil"/>
            </w:tcBorders>
            <w:noWrap w:val="0"/>
            <w:vAlign w:val="center"/>
          </w:tcPr>
          <w:p w14:paraId="0C92804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7F2347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814CFE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175</w:t>
            </w:r>
          </w:p>
        </w:tc>
        <w:tc>
          <w:tcPr>
            <w:tcW w:w="1238" w:type="pct"/>
            <w:tcBorders>
              <w:tl2br w:val="nil"/>
              <w:tr2bl w:val="nil"/>
            </w:tcBorders>
            <w:noWrap w:val="0"/>
            <w:vAlign w:val="center"/>
          </w:tcPr>
          <w:p w14:paraId="6FDD892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1.30E-03</w:t>
            </w:r>
          </w:p>
        </w:tc>
        <w:tc>
          <w:tcPr>
            <w:tcW w:w="773" w:type="pct"/>
            <w:tcBorders>
              <w:tl2br w:val="nil"/>
              <w:tr2bl w:val="nil"/>
            </w:tcBorders>
            <w:noWrap w:val="0"/>
            <w:vAlign w:val="center"/>
          </w:tcPr>
          <w:p w14:paraId="3EBFAEA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0.65</w:t>
            </w:r>
          </w:p>
        </w:tc>
        <w:tc>
          <w:tcPr>
            <w:tcW w:w="1251" w:type="pct"/>
            <w:tcBorders>
              <w:tl2br w:val="nil"/>
              <w:tr2bl w:val="nil"/>
            </w:tcBorders>
            <w:noWrap w:val="0"/>
            <w:vAlign w:val="center"/>
          </w:tcPr>
          <w:p w14:paraId="341B622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5.05E-06</w:t>
            </w:r>
          </w:p>
        </w:tc>
        <w:tc>
          <w:tcPr>
            <w:tcW w:w="781" w:type="pct"/>
            <w:tcBorders>
              <w:tl2br w:val="nil"/>
              <w:tr2bl w:val="nil"/>
            </w:tcBorders>
            <w:noWrap w:val="0"/>
            <w:vAlign w:val="center"/>
          </w:tcPr>
          <w:p w14:paraId="2ACBACA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22DDE0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668BE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200</w:t>
            </w:r>
          </w:p>
        </w:tc>
        <w:tc>
          <w:tcPr>
            <w:tcW w:w="1238" w:type="pct"/>
            <w:tcBorders>
              <w:tl2br w:val="nil"/>
              <w:tr2bl w:val="nil"/>
            </w:tcBorders>
            <w:noWrap w:val="0"/>
            <w:vAlign w:val="center"/>
          </w:tcPr>
          <w:p w14:paraId="7C9DF5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1.31E-03</w:t>
            </w:r>
          </w:p>
        </w:tc>
        <w:tc>
          <w:tcPr>
            <w:tcW w:w="773" w:type="pct"/>
            <w:tcBorders>
              <w:tl2br w:val="nil"/>
              <w:tr2bl w:val="nil"/>
            </w:tcBorders>
            <w:noWrap w:val="0"/>
            <w:vAlign w:val="center"/>
          </w:tcPr>
          <w:p w14:paraId="0AA4E9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0.66</w:t>
            </w:r>
          </w:p>
        </w:tc>
        <w:tc>
          <w:tcPr>
            <w:tcW w:w="1251" w:type="pct"/>
            <w:tcBorders>
              <w:tl2br w:val="nil"/>
              <w:tr2bl w:val="nil"/>
            </w:tcBorders>
            <w:noWrap w:val="0"/>
            <w:vAlign w:val="center"/>
          </w:tcPr>
          <w:p w14:paraId="66A9A2B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5.09E-06</w:t>
            </w:r>
          </w:p>
        </w:tc>
        <w:tc>
          <w:tcPr>
            <w:tcW w:w="781" w:type="pct"/>
            <w:tcBorders>
              <w:tl2br w:val="nil"/>
              <w:tr2bl w:val="nil"/>
            </w:tcBorders>
            <w:noWrap w:val="0"/>
            <w:vAlign w:val="center"/>
          </w:tcPr>
          <w:p w14:paraId="5BD4AC6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18599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C367A2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250</w:t>
            </w:r>
          </w:p>
        </w:tc>
        <w:tc>
          <w:tcPr>
            <w:tcW w:w="1238" w:type="pct"/>
            <w:tcBorders>
              <w:tl2br w:val="nil"/>
              <w:tr2bl w:val="nil"/>
            </w:tcBorders>
            <w:noWrap w:val="0"/>
            <w:vAlign w:val="center"/>
          </w:tcPr>
          <w:p w14:paraId="4A42666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1.22E-03</w:t>
            </w:r>
          </w:p>
        </w:tc>
        <w:tc>
          <w:tcPr>
            <w:tcW w:w="773" w:type="pct"/>
            <w:tcBorders>
              <w:tl2br w:val="nil"/>
              <w:tr2bl w:val="nil"/>
            </w:tcBorders>
            <w:noWrap w:val="0"/>
            <w:vAlign w:val="center"/>
          </w:tcPr>
          <w:p w14:paraId="54935E0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0.61</w:t>
            </w:r>
          </w:p>
        </w:tc>
        <w:tc>
          <w:tcPr>
            <w:tcW w:w="1251" w:type="pct"/>
            <w:tcBorders>
              <w:tl2br w:val="nil"/>
              <w:tr2bl w:val="nil"/>
            </w:tcBorders>
            <w:noWrap w:val="0"/>
            <w:vAlign w:val="center"/>
          </w:tcPr>
          <w:p w14:paraId="04B9D57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4.74E-06</w:t>
            </w:r>
          </w:p>
        </w:tc>
        <w:tc>
          <w:tcPr>
            <w:tcW w:w="781" w:type="pct"/>
            <w:tcBorders>
              <w:tl2br w:val="nil"/>
              <w:tr2bl w:val="nil"/>
            </w:tcBorders>
            <w:noWrap w:val="0"/>
            <w:vAlign w:val="center"/>
          </w:tcPr>
          <w:p w14:paraId="5AA946C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6E44A1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4D2750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300</w:t>
            </w:r>
          </w:p>
        </w:tc>
        <w:tc>
          <w:tcPr>
            <w:tcW w:w="1238" w:type="pct"/>
            <w:tcBorders>
              <w:tl2br w:val="nil"/>
              <w:tr2bl w:val="nil"/>
            </w:tcBorders>
            <w:noWrap w:val="0"/>
            <w:vAlign w:val="center"/>
          </w:tcPr>
          <w:p w14:paraId="406F23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1.09E-03</w:t>
            </w:r>
          </w:p>
        </w:tc>
        <w:tc>
          <w:tcPr>
            <w:tcW w:w="773" w:type="pct"/>
            <w:tcBorders>
              <w:tl2br w:val="nil"/>
              <w:tr2bl w:val="nil"/>
            </w:tcBorders>
            <w:noWrap w:val="0"/>
            <w:vAlign w:val="center"/>
          </w:tcPr>
          <w:p w14:paraId="15085E1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0.54</w:t>
            </w:r>
          </w:p>
        </w:tc>
        <w:tc>
          <w:tcPr>
            <w:tcW w:w="1251" w:type="pct"/>
            <w:tcBorders>
              <w:tl2br w:val="nil"/>
              <w:tr2bl w:val="nil"/>
            </w:tcBorders>
            <w:noWrap w:val="0"/>
            <w:vAlign w:val="center"/>
          </w:tcPr>
          <w:p w14:paraId="2BC7F60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4.22E-06</w:t>
            </w:r>
          </w:p>
        </w:tc>
        <w:tc>
          <w:tcPr>
            <w:tcW w:w="781" w:type="pct"/>
            <w:tcBorders>
              <w:tl2br w:val="nil"/>
              <w:tr2bl w:val="nil"/>
            </w:tcBorders>
            <w:noWrap w:val="0"/>
            <w:vAlign w:val="center"/>
          </w:tcPr>
          <w:p w14:paraId="5AEB065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5332A7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48B43A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350</w:t>
            </w:r>
          </w:p>
        </w:tc>
        <w:tc>
          <w:tcPr>
            <w:tcW w:w="1238" w:type="pct"/>
            <w:tcBorders>
              <w:tl2br w:val="nil"/>
              <w:tr2bl w:val="nil"/>
            </w:tcBorders>
            <w:noWrap w:val="0"/>
            <w:vAlign w:val="center"/>
          </w:tcPr>
          <w:p w14:paraId="362CEBE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9.58E-04</w:t>
            </w:r>
          </w:p>
        </w:tc>
        <w:tc>
          <w:tcPr>
            <w:tcW w:w="773" w:type="pct"/>
            <w:tcBorders>
              <w:tl2br w:val="nil"/>
              <w:tr2bl w:val="nil"/>
            </w:tcBorders>
            <w:noWrap w:val="0"/>
            <w:vAlign w:val="center"/>
          </w:tcPr>
          <w:p w14:paraId="6E2C75E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0.48</w:t>
            </w:r>
          </w:p>
        </w:tc>
        <w:tc>
          <w:tcPr>
            <w:tcW w:w="1251" w:type="pct"/>
            <w:tcBorders>
              <w:tl2br w:val="nil"/>
              <w:tr2bl w:val="nil"/>
            </w:tcBorders>
            <w:noWrap w:val="0"/>
            <w:vAlign w:val="center"/>
          </w:tcPr>
          <w:p w14:paraId="1F0D706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3.71E-06</w:t>
            </w:r>
          </w:p>
        </w:tc>
        <w:tc>
          <w:tcPr>
            <w:tcW w:w="781" w:type="pct"/>
            <w:tcBorders>
              <w:tl2br w:val="nil"/>
              <w:tr2bl w:val="nil"/>
            </w:tcBorders>
            <w:noWrap w:val="0"/>
            <w:vAlign w:val="center"/>
          </w:tcPr>
          <w:p w14:paraId="408ECD8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19D31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D23A10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400</w:t>
            </w:r>
          </w:p>
        </w:tc>
        <w:tc>
          <w:tcPr>
            <w:tcW w:w="1238" w:type="pct"/>
            <w:tcBorders>
              <w:tl2br w:val="nil"/>
              <w:tr2bl w:val="nil"/>
            </w:tcBorders>
            <w:noWrap w:val="0"/>
            <w:vAlign w:val="center"/>
          </w:tcPr>
          <w:p w14:paraId="2F19E03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8.84E-04</w:t>
            </w:r>
          </w:p>
        </w:tc>
        <w:tc>
          <w:tcPr>
            <w:tcW w:w="773" w:type="pct"/>
            <w:tcBorders>
              <w:tl2br w:val="nil"/>
              <w:tr2bl w:val="nil"/>
            </w:tcBorders>
            <w:noWrap w:val="0"/>
            <w:vAlign w:val="center"/>
          </w:tcPr>
          <w:p w14:paraId="68CD180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0.44</w:t>
            </w:r>
          </w:p>
        </w:tc>
        <w:tc>
          <w:tcPr>
            <w:tcW w:w="1251" w:type="pct"/>
            <w:tcBorders>
              <w:tl2br w:val="nil"/>
              <w:tr2bl w:val="nil"/>
            </w:tcBorders>
            <w:noWrap w:val="0"/>
            <w:vAlign w:val="center"/>
          </w:tcPr>
          <w:p w14:paraId="3AED341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3.42E-06</w:t>
            </w:r>
          </w:p>
        </w:tc>
        <w:tc>
          <w:tcPr>
            <w:tcW w:w="781" w:type="pct"/>
            <w:tcBorders>
              <w:tl2br w:val="nil"/>
              <w:tr2bl w:val="nil"/>
            </w:tcBorders>
            <w:noWrap w:val="0"/>
            <w:vAlign w:val="center"/>
          </w:tcPr>
          <w:p w14:paraId="11391F6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520B6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B5319BE">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450</w:t>
            </w:r>
          </w:p>
        </w:tc>
        <w:tc>
          <w:tcPr>
            <w:tcW w:w="1238" w:type="pct"/>
            <w:tcBorders>
              <w:tl2br w:val="nil"/>
              <w:tr2bl w:val="nil"/>
            </w:tcBorders>
            <w:noWrap w:val="0"/>
            <w:vAlign w:val="center"/>
          </w:tcPr>
          <w:p w14:paraId="17D2C590">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8.29E-04</w:t>
            </w:r>
          </w:p>
        </w:tc>
        <w:tc>
          <w:tcPr>
            <w:tcW w:w="773" w:type="pct"/>
            <w:tcBorders>
              <w:tl2br w:val="nil"/>
              <w:tr2bl w:val="nil"/>
            </w:tcBorders>
            <w:noWrap w:val="0"/>
            <w:vAlign w:val="center"/>
          </w:tcPr>
          <w:p w14:paraId="79AAC321">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0.41</w:t>
            </w:r>
          </w:p>
        </w:tc>
        <w:tc>
          <w:tcPr>
            <w:tcW w:w="1251" w:type="pct"/>
            <w:tcBorders>
              <w:tl2br w:val="nil"/>
              <w:tr2bl w:val="nil"/>
            </w:tcBorders>
            <w:noWrap w:val="0"/>
            <w:vAlign w:val="center"/>
          </w:tcPr>
          <w:p w14:paraId="61C2590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3.21E-06</w:t>
            </w:r>
          </w:p>
        </w:tc>
        <w:tc>
          <w:tcPr>
            <w:tcW w:w="781" w:type="pct"/>
            <w:tcBorders>
              <w:tl2br w:val="nil"/>
              <w:tr2bl w:val="nil"/>
            </w:tcBorders>
            <w:noWrap w:val="0"/>
            <w:vAlign w:val="center"/>
          </w:tcPr>
          <w:p w14:paraId="0DFC158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5DE3C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5BC32E0">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500</w:t>
            </w:r>
          </w:p>
        </w:tc>
        <w:tc>
          <w:tcPr>
            <w:tcW w:w="1238" w:type="pct"/>
            <w:tcBorders>
              <w:tl2br w:val="nil"/>
              <w:tr2bl w:val="nil"/>
            </w:tcBorders>
            <w:noWrap w:val="0"/>
            <w:vAlign w:val="center"/>
          </w:tcPr>
          <w:p w14:paraId="29CE6455">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7.74E-04</w:t>
            </w:r>
          </w:p>
        </w:tc>
        <w:tc>
          <w:tcPr>
            <w:tcW w:w="773" w:type="pct"/>
            <w:tcBorders>
              <w:tl2br w:val="nil"/>
              <w:tr2bl w:val="nil"/>
            </w:tcBorders>
            <w:noWrap w:val="0"/>
            <w:vAlign w:val="center"/>
          </w:tcPr>
          <w:p w14:paraId="69DB5B92">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0.39</w:t>
            </w:r>
          </w:p>
        </w:tc>
        <w:tc>
          <w:tcPr>
            <w:tcW w:w="1251" w:type="pct"/>
            <w:tcBorders>
              <w:tl2br w:val="nil"/>
              <w:tr2bl w:val="nil"/>
            </w:tcBorders>
            <w:noWrap w:val="0"/>
            <w:vAlign w:val="center"/>
          </w:tcPr>
          <w:p w14:paraId="246EA95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3.00E-06</w:t>
            </w:r>
          </w:p>
        </w:tc>
        <w:tc>
          <w:tcPr>
            <w:tcW w:w="781" w:type="pct"/>
            <w:tcBorders>
              <w:tl2br w:val="nil"/>
              <w:tr2bl w:val="nil"/>
            </w:tcBorders>
            <w:noWrap w:val="0"/>
            <w:vAlign w:val="center"/>
          </w:tcPr>
          <w:p w14:paraId="2340862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2D4E1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7F7B11B2">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550</w:t>
            </w:r>
          </w:p>
        </w:tc>
        <w:tc>
          <w:tcPr>
            <w:tcW w:w="1238" w:type="pct"/>
            <w:tcBorders>
              <w:tl2br w:val="nil"/>
              <w:tr2bl w:val="nil"/>
            </w:tcBorders>
            <w:noWrap w:val="0"/>
            <w:vAlign w:val="center"/>
          </w:tcPr>
          <w:p w14:paraId="4030D5B3">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7.20E-04</w:t>
            </w:r>
          </w:p>
        </w:tc>
        <w:tc>
          <w:tcPr>
            <w:tcW w:w="773" w:type="pct"/>
            <w:tcBorders>
              <w:tl2br w:val="nil"/>
              <w:tr2bl w:val="nil"/>
            </w:tcBorders>
            <w:noWrap w:val="0"/>
            <w:vAlign w:val="center"/>
          </w:tcPr>
          <w:p w14:paraId="51841765">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0.36</w:t>
            </w:r>
          </w:p>
        </w:tc>
        <w:tc>
          <w:tcPr>
            <w:tcW w:w="1251" w:type="pct"/>
            <w:tcBorders>
              <w:tl2br w:val="nil"/>
              <w:tr2bl w:val="nil"/>
            </w:tcBorders>
            <w:noWrap w:val="0"/>
            <w:vAlign w:val="center"/>
          </w:tcPr>
          <w:p w14:paraId="6E9418D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2.79E-06</w:t>
            </w:r>
          </w:p>
        </w:tc>
        <w:tc>
          <w:tcPr>
            <w:tcW w:w="781" w:type="pct"/>
            <w:tcBorders>
              <w:tl2br w:val="nil"/>
              <w:tr2bl w:val="nil"/>
            </w:tcBorders>
            <w:noWrap w:val="0"/>
            <w:vAlign w:val="center"/>
          </w:tcPr>
          <w:p w14:paraId="646A519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2DBBC5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73EBA3D">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600</w:t>
            </w:r>
          </w:p>
        </w:tc>
        <w:tc>
          <w:tcPr>
            <w:tcW w:w="1238" w:type="pct"/>
            <w:tcBorders>
              <w:tl2br w:val="nil"/>
              <w:tr2bl w:val="nil"/>
            </w:tcBorders>
            <w:noWrap w:val="0"/>
            <w:vAlign w:val="center"/>
          </w:tcPr>
          <w:p w14:paraId="5292B757">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6.70E-04</w:t>
            </w:r>
          </w:p>
        </w:tc>
        <w:tc>
          <w:tcPr>
            <w:tcW w:w="773" w:type="pct"/>
            <w:tcBorders>
              <w:tl2br w:val="nil"/>
              <w:tr2bl w:val="nil"/>
            </w:tcBorders>
            <w:noWrap w:val="0"/>
            <w:vAlign w:val="center"/>
          </w:tcPr>
          <w:p w14:paraId="52A6D28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0.34</w:t>
            </w:r>
          </w:p>
        </w:tc>
        <w:tc>
          <w:tcPr>
            <w:tcW w:w="1251" w:type="pct"/>
            <w:tcBorders>
              <w:tl2br w:val="nil"/>
              <w:tr2bl w:val="nil"/>
            </w:tcBorders>
            <w:noWrap w:val="0"/>
            <w:vAlign w:val="center"/>
          </w:tcPr>
          <w:p w14:paraId="217FCCB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2.60E-06</w:t>
            </w:r>
          </w:p>
        </w:tc>
        <w:tc>
          <w:tcPr>
            <w:tcW w:w="781" w:type="pct"/>
            <w:tcBorders>
              <w:tl2br w:val="nil"/>
              <w:tr2bl w:val="nil"/>
            </w:tcBorders>
            <w:noWrap w:val="0"/>
            <w:vAlign w:val="center"/>
          </w:tcPr>
          <w:p w14:paraId="15291B0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6A4AC7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03D1CDB">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650</w:t>
            </w:r>
          </w:p>
        </w:tc>
        <w:tc>
          <w:tcPr>
            <w:tcW w:w="1238" w:type="pct"/>
            <w:tcBorders>
              <w:tl2br w:val="nil"/>
              <w:tr2bl w:val="nil"/>
            </w:tcBorders>
            <w:noWrap w:val="0"/>
            <w:vAlign w:val="center"/>
          </w:tcPr>
          <w:p w14:paraId="75FA610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6.24E-04</w:t>
            </w:r>
          </w:p>
        </w:tc>
        <w:tc>
          <w:tcPr>
            <w:tcW w:w="773" w:type="pct"/>
            <w:tcBorders>
              <w:tl2br w:val="nil"/>
              <w:tr2bl w:val="nil"/>
            </w:tcBorders>
            <w:noWrap w:val="0"/>
            <w:vAlign w:val="center"/>
          </w:tcPr>
          <w:p w14:paraId="486702E4">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0.31</w:t>
            </w:r>
          </w:p>
        </w:tc>
        <w:tc>
          <w:tcPr>
            <w:tcW w:w="1251" w:type="pct"/>
            <w:tcBorders>
              <w:tl2br w:val="nil"/>
              <w:tr2bl w:val="nil"/>
            </w:tcBorders>
            <w:noWrap w:val="0"/>
            <w:vAlign w:val="center"/>
          </w:tcPr>
          <w:p w14:paraId="5E80B4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2.42E-06</w:t>
            </w:r>
          </w:p>
        </w:tc>
        <w:tc>
          <w:tcPr>
            <w:tcW w:w="781" w:type="pct"/>
            <w:tcBorders>
              <w:tl2br w:val="nil"/>
              <w:tr2bl w:val="nil"/>
            </w:tcBorders>
            <w:noWrap w:val="0"/>
            <w:vAlign w:val="center"/>
          </w:tcPr>
          <w:p w14:paraId="1CE2F8A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0F17E0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1EA548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700</w:t>
            </w:r>
          </w:p>
        </w:tc>
        <w:tc>
          <w:tcPr>
            <w:tcW w:w="1238" w:type="pct"/>
            <w:tcBorders>
              <w:tl2br w:val="nil"/>
              <w:tr2bl w:val="nil"/>
            </w:tcBorders>
            <w:noWrap w:val="0"/>
            <w:vAlign w:val="center"/>
          </w:tcPr>
          <w:p w14:paraId="01DF69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5.83E-04</w:t>
            </w:r>
          </w:p>
        </w:tc>
        <w:tc>
          <w:tcPr>
            <w:tcW w:w="773" w:type="pct"/>
            <w:tcBorders>
              <w:tl2br w:val="nil"/>
              <w:tr2bl w:val="nil"/>
            </w:tcBorders>
            <w:noWrap w:val="0"/>
            <w:vAlign w:val="center"/>
          </w:tcPr>
          <w:p w14:paraId="687757F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0.29</w:t>
            </w:r>
          </w:p>
        </w:tc>
        <w:tc>
          <w:tcPr>
            <w:tcW w:w="1251" w:type="pct"/>
            <w:tcBorders>
              <w:tl2br w:val="nil"/>
              <w:tr2bl w:val="nil"/>
            </w:tcBorders>
            <w:noWrap w:val="0"/>
            <w:vAlign w:val="center"/>
          </w:tcPr>
          <w:p w14:paraId="7E2AD65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2.26E-06</w:t>
            </w:r>
          </w:p>
        </w:tc>
        <w:tc>
          <w:tcPr>
            <w:tcW w:w="781" w:type="pct"/>
            <w:tcBorders>
              <w:tl2br w:val="nil"/>
              <w:tr2bl w:val="nil"/>
            </w:tcBorders>
            <w:noWrap w:val="0"/>
            <w:vAlign w:val="center"/>
          </w:tcPr>
          <w:p w14:paraId="5B550E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5B719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E09DE3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750</w:t>
            </w:r>
          </w:p>
        </w:tc>
        <w:tc>
          <w:tcPr>
            <w:tcW w:w="1238" w:type="pct"/>
            <w:tcBorders>
              <w:tl2br w:val="nil"/>
              <w:tr2bl w:val="nil"/>
            </w:tcBorders>
            <w:noWrap w:val="0"/>
            <w:vAlign w:val="center"/>
          </w:tcPr>
          <w:p w14:paraId="31691D7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5.45E-04</w:t>
            </w:r>
          </w:p>
        </w:tc>
        <w:tc>
          <w:tcPr>
            <w:tcW w:w="773" w:type="pct"/>
            <w:tcBorders>
              <w:tl2br w:val="nil"/>
              <w:tr2bl w:val="nil"/>
            </w:tcBorders>
            <w:noWrap w:val="0"/>
            <w:vAlign w:val="center"/>
          </w:tcPr>
          <w:p w14:paraId="0A605BE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0.27</w:t>
            </w:r>
          </w:p>
        </w:tc>
        <w:tc>
          <w:tcPr>
            <w:tcW w:w="1251" w:type="pct"/>
            <w:tcBorders>
              <w:tl2br w:val="nil"/>
              <w:tr2bl w:val="nil"/>
            </w:tcBorders>
            <w:noWrap w:val="0"/>
            <w:vAlign w:val="center"/>
          </w:tcPr>
          <w:p w14:paraId="2F2B3C6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2.11E-06</w:t>
            </w:r>
          </w:p>
        </w:tc>
        <w:tc>
          <w:tcPr>
            <w:tcW w:w="781" w:type="pct"/>
            <w:tcBorders>
              <w:tl2br w:val="nil"/>
              <w:tr2bl w:val="nil"/>
            </w:tcBorders>
            <w:noWrap w:val="0"/>
            <w:vAlign w:val="center"/>
          </w:tcPr>
          <w:p w14:paraId="09D932B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1F719D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668EFB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800</w:t>
            </w:r>
          </w:p>
        </w:tc>
        <w:tc>
          <w:tcPr>
            <w:tcW w:w="1238" w:type="pct"/>
            <w:tcBorders>
              <w:tl2br w:val="nil"/>
              <w:tr2bl w:val="nil"/>
            </w:tcBorders>
            <w:noWrap w:val="0"/>
            <w:vAlign w:val="center"/>
          </w:tcPr>
          <w:p w14:paraId="4E967CE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5.11E-04</w:t>
            </w:r>
          </w:p>
        </w:tc>
        <w:tc>
          <w:tcPr>
            <w:tcW w:w="773" w:type="pct"/>
            <w:tcBorders>
              <w:tl2br w:val="nil"/>
              <w:tr2bl w:val="nil"/>
            </w:tcBorders>
            <w:noWrap w:val="0"/>
            <w:vAlign w:val="center"/>
          </w:tcPr>
          <w:p w14:paraId="11031D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0.26</w:t>
            </w:r>
          </w:p>
        </w:tc>
        <w:tc>
          <w:tcPr>
            <w:tcW w:w="1251" w:type="pct"/>
            <w:tcBorders>
              <w:tl2br w:val="nil"/>
              <w:tr2bl w:val="nil"/>
            </w:tcBorders>
            <w:noWrap w:val="0"/>
            <w:vAlign w:val="center"/>
          </w:tcPr>
          <w:p w14:paraId="5754416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1.98E-06</w:t>
            </w:r>
          </w:p>
        </w:tc>
        <w:tc>
          <w:tcPr>
            <w:tcW w:w="781" w:type="pct"/>
            <w:tcBorders>
              <w:tl2br w:val="nil"/>
              <w:tr2bl w:val="nil"/>
            </w:tcBorders>
            <w:noWrap w:val="0"/>
            <w:vAlign w:val="center"/>
          </w:tcPr>
          <w:p w14:paraId="6256A0D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0ABBB9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022B408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850</w:t>
            </w:r>
          </w:p>
        </w:tc>
        <w:tc>
          <w:tcPr>
            <w:tcW w:w="1238" w:type="pct"/>
            <w:tcBorders>
              <w:tl2br w:val="nil"/>
              <w:tr2bl w:val="nil"/>
            </w:tcBorders>
            <w:noWrap w:val="0"/>
            <w:vAlign w:val="center"/>
          </w:tcPr>
          <w:p w14:paraId="1D991FF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4.79E-04</w:t>
            </w:r>
          </w:p>
        </w:tc>
        <w:tc>
          <w:tcPr>
            <w:tcW w:w="773" w:type="pct"/>
            <w:tcBorders>
              <w:tl2br w:val="nil"/>
              <w:tr2bl w:val="nil"/>
            </w:tcBorders>
            <w:noWrap w:val="0"/>
            <w:vAlign w:val="center"/>
          </w:tcPr>
          <w:p w14:paraId="0B342C8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0.24</w:t>
            </w:r>
          </w:p>
        </w:tc>
        <w:tc>
          <w:tcPr>
            <w:tcW w:w="1251" w:type="pct"/>
            <w:tcBorders>
              <w:tl2br w:val="nil"/>
              <w:tr2bl w:val="nil"/>
            </w:tcBorders>
            <w:noWrap w:val="0"/>
            <w:vAlign w:val="center"/>
          </w:tcPr>
          <w:p w14:paraId="4B3B359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1.86E-06</w:t>
            </w:r>
          </w:p>
        </w:tc>
        <w:tc>
          <w:tcPr>
            <w:tcW w:w="781" w:type="pct"/>
            <w:tcBorders>
              <w:tl2br w:val="nil"/>
              <w:tr2bl w:val="nil"/>
            </w:tcBorders>
            <w:noWrap w:val="0"/>
            <w:vAlign w:val="center"/>
          </w:tcPr>
          <w:p w14:paraId="7A7207A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78FB3B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33BEDB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900</w:t>
            </w:r>
          </w:p>
        </w:tc>
        <w:tc>
          <w:tcPr>
            <w:tcW w:w="1238" w:type="pct"/>
            <w:tcBorders>
              <w:tl2br w:val="nil"/>
              <w:tr2bl w:val="nil"/>
            </w:tcBorders>
            <w:noWrap w:val="0"/>
            <w:vAlign w:val="center"/>
          </w:tcPr>
          <w:p w14:paraId="2D86FAD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4.51E-04</w:t>
            </w:r>
          </w:p>
        </w:tc>
        <w:tc>
          <w:tcPr>
            <w:tcW w:w="773" w:type="pct"/>
            <w:tcBorders>
              <w:tl2br w:val="nil"/>
              <w:tr2bl w:val="nil"/>
            </w:tcBorders>
            <w:noWrap w:val="0"/>
            <w:vAlign w:val="center"/>
          </w:tcPr>
          <w:p w14:paraId="4EF910C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0.23</w:t>
            </w:r>
          </w:p>
        </w:tc>
        <w:tc>
          <w:tcPr>
            <w:tcW w:w="1251" w:type="pct"/>
            <w:tcBorders>
              <w:tl2br w:val="nil"/>
              <w:tr2bl w:val="nil"/>
            </w:tcBorders>
            <w:noWrap w:val="0"/>
            <w:vAlign w:val="center"/>
          </w:tcPr>
          <w:p w14:paraId="3F557E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1.75E-06</w:t>
            </w:r>
          </w:p>
        </w:tc>
        <w:tc>
          <w:tcPr>
            <w:tcW w:w="781" w:type="pct"/>
            <w:tcBorders>
              <w:tl2br w:val="nil"/>
              <w:tr2bl w:val="nil"/>
            </w:tcBorders>
            <w:noWrap w:val="0"/>
            <w:vAlign w:val="center"/>
          </w:tcPr>
          <w:p w14:paraId="4C276BC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1F459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04B18CC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950</w:t>
            </w:r>
          </w:p>
        </w:tc>
        <w:tc>
          <w:tcPr>
            <w:tcW w:w="1238" w:type="pct"/>
            <w:tcBorders>
              <w:tl2br w:val="nil"/>
              <w:tr2bl w:val="nil"/>
            </w:tcBorders>
            <w:noWrap w:val="0"/>
            <w:vAlign w:val="center"/>
          </w:tcPr>
          <w:p w14:paraId="01FB543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4.25E-04</w:t>
            </w:r>
          </w:p>
        </w:tc>
        <w:tc>
          <w:tcPr>
            <w:tcW w:w="773" w:type="pct"/>
            <w:tcBorders>
              <w:tl2br w:val="nil"/>
              <w:tr2bl w:val="nil"/>
            </w:tcBorders>
            <w:noWrap w:val="0"/>
            <w:vAlign w:val="center"/>
          </w:tcPr>
          <w:p w14:paraId="3673AB5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0.21</w:t>
            </w:r>
          </w:p>
        </w:tc>
        <w:tc>
          <w:tcPr>
            <w:tcW w:w="1251" w:type="pct"/>
            <w:tcBorders>
              <w:tl2br w:val="nil"/>
              <w:tr2bl w:val="nil"/>
            </w:tcBorders>
            <w:noWrap w:val="0"/>
            <w:vAlign w:val="center"/>
          </w:tcPr>
          <w:p w14:paraId="31A35DC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1.65E-06</w:t>
            </w:r>
          </w:p>
        </w:tc>
        <w:tc>
          <w:tcPr>
            <w:tcW w:w="781" w:type="pct"/>
            <w:tcBorders>
              <w:tl2br w:val="nil"/>
              <w:tr2bl w:val="nil"/>
            </w:tcBorders>
            <w:noWrap w:val="0"/>
            <w:vAlign w:val="center"/>
          </w:tcPr>
          <w:p w14:paraId="3F313B2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368C2C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F0D41A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1000</w:t>
            </w:r>
          </w:p>
        </w:tc>
        <w:tc>
          <w:tcPr>
            <w:tcW w:w="1238" w:type="pct"/>
            <w:tcBorders>
              <w:tl2br w:val="nil"/>
              <w:tr2bl w:val="nil"/>
            </w:tcBorders>
            <w:noWrap w:val="0"/>
            <w:vAlign w:val="center"/>
          </w:tcPr>
          <w:p w14:paraId="4A7F20E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4.02E-04</w:t>
            </w:r>
          </w:p>
        </w:tc>
        <w:tc>
          <w:tcPr>
            <w:tcW w:w="773" w:type="pct"/>
            <w:tcBorders>
              <w:tl2br w:val="nil"/>
              <w:tr2bl w:val="nil"/>
            </w:tcBorders>
            <w:noWrap w:val="0"/>
            <w:vAlign w:val="center"/>
          </w:tcPr>
          <w:p w14:paraId="6986203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w:t>
            </w:r>
          </w:p>
        </w:tc>
        <w:tc>
          <w:tcPr>
            <w:tcW w:w="1251" w:type="pct"/>
            <w:tcBorders>
              <w:tl2br w:val="nil"/>
              <w:tr2bl w:val="nil"/>
            </w:tcBorders>
            <w:noWrap w:val="0"/>
            <w:vAlign w:val="center"/>
          </w:tcPr>
          <w:p w14:paraId="34C036A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1.56E-06</w:t>
            </w:r>
          </w:p>
        </w:tc>
        <w:tc>
          <w:tcPr>
            <w:tcW w:w="781" w:type="pct"/>
            <w:tcBorders>
              <w:tl2br w:val="nil"/>
              <w:tr2bl w:val="nil"/>
            </w:tcBorders>
            <w:noWrap w:val="0"/>
            <w:vAlign w:val="center"/>
          </w:tcPr>
          <w:p w14:paraId="3157B6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637C3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843D1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1100</w:t>
            </w:r>
          </w:p>
        </w:tc>
        <w:tc>
          <w:tcPr>
            <w:tcW w:w="1238" w:type="pct"/>
            <w:tcBorders>
              <w:tl2br w:val="nil"/>
              <w:tr2bl w:val="nil"/>
            </w:tcBorders>
            <w:noWrap w:val="0"/>
            <w:vAlign w:val="center"/>
          </w:tcPr>
          <w:p w14:paraId="7C03E3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3.61E-04</w:t>
            </w:r>
          </w:p>
        </w:tc>
        <w:tc>
          <w:tcPr>
            <w:tcW w:w="773" w:type="pct"/>
            <w:tcBorders>
              <w:tl2br w:val="nil"/>
              <w:tr2bl w:val="nil"/>
            </w:tcBorders>
            <w:noWrap w:val="0"/>
            <w:vAlign w:val="center"/>
          </w:tcPr>
          <w:p w14:paraId="1972A34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0.18</w:t>
            </w:r>
          </w:p>
        </w:tc>
        <w:tc>
          <w:tcPr>
            <w:tcW w:w="1251" w:type="pct"/>
            <w:tcBorders>
              <w:tl2br w:val="nil"/>
              <w:tr2bl w:val="nil"/>
            </w:tcBorders>
            <w:noWrap w:val="0"/>
            <w:vAlign w:val="center"/>
          </w:tcPr>
          <w:p w14:paraId="36687EE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1.40E-06</w:t>
            </w:r>
          </w:p>
        </w:tc>
        <w:tc>
          <w:tcPr>
            <w:tcW w:w="781" w:type="pct"/>
            <w:tcBorders>
              <w:tl2br w:val="nil"/>
              <w:tr2bl w:val="nil"/>
            </w:tcBorders>
            <w:noWrap w:val="0"/>
            <w:vAlign w:val="center"/>
          </w:tcPr>
          <w:p w14:paraId="0C8FDB9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27CCA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E59930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1200</w:t>
            </w:r>
          </w:p>
        </w:tc>
        <w:tc>
          <w:tcPr>
            <w:tcW w:w="1238" w:type="pct"/>
            <w:tcBorders>
              <w:tl2br w:val="nil"/>
              <w:tr2bl w:val="nil"/>
            </w:tcBorders>
            <w:noWrap w:val="0"/>
            <w:vAlign w:val="center"/>
          </w:tcPr>
          <w:p w14:paraId="7CAEE82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3.26E-04</w:t>
            </w:r>
          </w:p>
        </w:tc>
        <w:tc>
          <w:tcPr>
            <w:tcW w:w="773" w:type="pct"/>
            <w:tcBorders>
              <w:tl2br w:val="nil"/>
              <w:tr2bl w:val="nil"/>
            </w:tcBorders>
            <w:noWrap w:val="0"/>
            <w:vAlign w:val="center"/>
          </w:tcPr>
          <w:p w14:paraId="0E0E77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0.16</w:t>
            </w:r>
          </w:p>
        </w:tc>
        <w:tc>
          <w:tcPr>
            <w:tcW w:w="1251" w:type="pct"/>
            <w:tcBorders>
              <w:tl2br w:val="nil"/>
              <w:tr2bl w:val="nil"/>
            </w:tcBorders>
            <w:noWrap w:val="0"/>
            <w:vAlign w:val="center"/>
          </w:tcPr>
          <w:p w14:paraId="43F2D09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1.26E-06</w:t>
            </w:r>
          </w:p>
        </w:tc>
        <w:tc>
          <w:tcPr>
            <w:tcW w:w="781" w:type="pct"/>
            <w:tcBorders>
              <w:tl2br w:val="nil"/>
              <w:tr2bl w:val="nil"/>
            </w:tcBorders>
            <w:noWrap w:val="0"/>
            <w:vAlign w:val="center"/>
          </w:tcPr>
          <w:p w14:paraId="22EFE37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45CFB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ED18A8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1300</w:t>
            </w:r>
          </w:p>
        </w:tc>
        <w:tc>
          <w:tcPr>
            <w:tcW w:w="1238" w:type="pct"/>
            <w:tcBorders>
              <w:tl2br w:val="nil"/>
              <w:tr2bl w:val="nil"/>
            </w:tcBorders>
            <w:noWrap w:val="0"/>
            <w:vAlign w:val="center"/>
          </w:tcPr>
          <w:p w14:paraId="2A4863B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2.97E-04</w:t>
            </w:r>
          </w:p>
        </w:tc>
        <w:tc>
          <w:tcPr>
            <w:tcW w:w="773" w:type="pct"/>
            <w:tcBorders>
              <w:tl2br w:val="nil"/>
              <w:tr2bl w:val="nil"/>
            </w:tcBorders>
            <w:noWrap w:val="0"/>
            <w:vAlign w:val="center"/>
          </w:tcPr>
          <w:p w14:paraId="775FAED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0.15</w:t>
            </w:r>
          </w:p>
        </w:tc>
        <w:tc>
          <w:tcPr>
            <w:tcW w:w="1251" w:type="pct"/>
            <w:tcBorders>
              <w:tl2br w:val="nil"/>
              <w:tr2bl w:val="nil"/>
            </w:tcBorders>
            <w:noWrap w:val="0"/>
            <w:vAlign w:val="center"/>
          </w:tcPr>
          <w:p w14:paraId="1A4998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1.15E-06</w:t>
            </w:r>
          </w:p>
        </w:tc>
        <w:tc>
          <w:tcPr>
            <w:tcW w:w="781" w:type="pct"/>
            <w:tcBorders>
              <w:tl2br w:val="nil"/>
              <w:tr2bl w:val="nil"/>
            </w:tcBorders>
            <w:noWrap w:val="0"/>
            <w:vAlign w:val="center"/>
          </w:tcPr>
          <w:p w14:paraId="494DE5A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3F01F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867390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1400</w:t>
            </w:r>
          </w:p>
        </w:tc>
        <w:tc>
          <w:tcPr>
            <w:tcW w:w="1238" w:type="pct"/>
            <w:tcBorders>
              <w:tl2br w:val="nil"/>
              <w:tr2bl w:val="nil"/>
            </w:tcBorders>
            <w:noWrap w:val="0"/>
            <w:vAlign w:val="center"/>
          </w:tcPr>
          <w:p w14:paraId="66DBA2A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2.71E-04</w:t>
            </w:r>
          </w:p>
        </w:tc>
        <w:tc>
          <w:tcPr>
            <w:tcW w:w="773" w:type="pct"/>
            <w:tcBorders>
              <w:tl2br w:val="nil"/>
              <w:tr2bl w:val="nil"/>
            </w:tcBorders>
            <w:noWrap w:val="0"/>
            <w:vAlign w:val="center"/>
          </w:tcPr>
          <w:p w14:paraId="2BEDA9C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0.14</w:t>
            </w:r>
          </w:p>
        </w:tc>
        <w:tc>
          <w:tcPr>
            <w:tcW w:w="1251" w:type="pct"/>
            <w:tcBorders>
              <w:tl2br w:val="nil"/>
              <w:tr2bl w:val="nil"/>
            </w:tcBorders>
            <w:noWrap w:val="0"/>
            <w:vAlign w:val="center"/>
          </w:tcPr>
          <w:p w14:paraId="34D12BB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1.05E-06</w:t>
            </w:r>
          </w:p>
        </w:tc>
        <w:tc>
          <w:tcPr>
            <w:tcW w:w="781" w:type="pct"/>
            <w:tcBorders>
              <w:tl2br w:val="nil"/>
              <w:tr2bl w:val="nil"/>
            </w:tcBorders>
            <w:noWrap w:val="0"/>
            <w:vAlign w:val="center"/>
          </w:tcPr>
          <w:p w14:paraId="6AA53E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B2C24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7747E77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1500</w:t>
            </w:r>
          </w:p>
        </w:tc>
        <w:tc>
          <w:tcPr>
            <w:tcW w:w="1238" w:type="pct"/>
            <w:tcBorders>
              <w:tl2br w:val="nil"/>
              <w:tr2bl w:val="nil"/>
            </w:tcBorders>
            <w:noWrap w:val="0"/>
            <w:vAlign w:val="center"/>
          </w:tcPr>
          <w:p w14:paraId="1E55217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2.49E-04</w:t>
            </w:r>
          </w:p>
        </w:tc>
        <w:tc>
          <w:tcPr>
            <w:tcW w:w="773" w:type="pct"/>
            <w:tcBorders>
              <w:tl2br w:val="nil"/>
              <w:tr2bl w:val="nil"/>
            </w:tcBorders>
            <w:noWrap w:val="0"/>
            <w:vAlign w:val="center"/>
          </w:tcPr>
          <w:p w14:paraId="569DA75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0.12</w:t>
            </w:r>
          </w:p>
        </w:tc>
        <w:tc>
          <w:tcPr>
            <w:tcW w:w="1251" w:type="pct"/>
            <w:tcBorders>
              <w:tl2br w:val="nil"/>
              <w:tr2bl w:val="nil"/>
            </w:tcBorders>
            <w:noWrap w:val="0"/>
            <w:vAlign w:val="center"/>
          </w:tcPr>
          <w:p w14:paraId="7851C3A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9.66E-07</w:t>
            </w:r>
          </w:p>
        </w:tc>
        <w:tc>
          <w:tcPr>
            <w:tcW w:w="781" w:type="pct"/>
            <w:tcBorders>
              <w:tl2br w:val="nil"/>
              <w:tr2bl w:val="nil"/>
            </w:tcBorders>
            <w:noWrap w:val="0"/>
            <w:vAlign w:val="center"/>
          </w:tcPr>
          <w:p w14:paraId="5556CDD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20FA8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E4A4C5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1600</w:t>
            </w:r>
          </w:p>
        </w:tc>
        <w:tc>
          <w:tcPr>
            <w:tcW w:w="1238" w:type="pct"/>
            <w:tcBorders>
              <w:tl2br w:val="nil"/>
              <w:tr2bl w:val="nil"/>
            </w:tcBorders>
            <w:noWrap w:val="0"/>
            <w:vAlign w:val="center"/>
          </w:tcPr>
          <w:p w14:paraId="6DB99EE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2.30E-04</w:t>
            </w:r>
          </w:p>
        </w:tc>
        <w:tc>
          <w:tcPr>
            <w:tcW w:w="773" w:type="pct"/>
            <w:tcBorders>
              <w:tl2br w:val="nil"/>
              <w:tr2bl w:val="nil"/>
            </w:tcBorders>
            <w:noWrap w:val="0"/>
            <w:vAlign w:val="center"/>
          </w:tcPr>
          <w:p w14:paraId="7C4D465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0.12</w:t>
            </w:r>
          </w:p>
        </w:tc>
        <w:tc>
          <w:tcPr>
            <w:tcW w:w="1251" w:type="pct"/>
            <w:tcBorders>
              <w:tl2br w:val="nil"/>
              <w:tr2bl w:val="nil"/>
            </w:tcBorders>
            <w:noWrap w:val="0"/>
            <w:vAlign w:val="center"/>
          </w:tcPr>
          <w:p w14:paraId="40E279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8.92E-07</w:t>
            </w:r>
          </w:p>
        </w:tc>
        <w:tc>
          <w:tcPr>
            <w:tcW w:w="781" w:type="pct"/>
            <w:tcBorders>
              <w:tl2br w:val="nil"/>
              <w:tr2bl w:val="nil"/>
            </w:tcBorders>
            <w:noWrap w:val="0"/>
            <w:vAlign w:val="center"/>
          </w:tcPr>
          <w:p w14:paraId="2878FD9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6D05E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68375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1700</w:t>
            </w:r>
          </w:p>
        </w:tc>
        <w:tc>
          <w:tcPr>
            <w:tcW w:w="1238" w:type="pct"/>
            <w:tcBorders>
              <w:tl2br w:val="nil"/>
              <w:tr2bl w:val="nil"/>
            </w:tcBorders>
            <w:noWrap w:val="0"/>
            <w:vAlign w:val="center"/>
          </w:tcPr>
          <w:p w14:paraId="1E21097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2.14E-04</w:t>
            </w:r>
          </w:p>
        </w:tc>
        <w:tc>
          <w:tcPr>
            <w:tcW w:w="773" w:type="pct"/>
            <w:tcBorders>
              <w:tl2br w:val="nil"/>
              <w:tr2bl w:val="nil"/>
            </w:tcBorders>
            <w:noWrap w:val="0"/>
            <w:vAlign w:val="center"/>
          </w:tcPr>
          <w:p w14:paraId="787E3C2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0.11</w:t>
            </w:r>
          </w:p>
        </w:tc>
        <w:tc>
          <w:tcPr>
            <w:tcW w:w="1251" w:type="pct"/>
            <w:tcBorders>
              <w:tl2br w:val="nil"/>
              <w:tr2bl w:val="nil"/>
            </w:tcBorders>
            <w:noWrap w:val="0"/>
            <w:vAlign w:val="center"/>
          </w:tcPr>
          <w:p w14:paraId="45CF5F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8.27E-07</w:t>
            </w:r>
          </w:p>
        </w:tc>
        <w:tc>
          <w:tcPr>
            <w:tcW w:w="781" w:type="pct"/>
            <w:tcBorders>
              <w:tl2br w:val="nil"/>
              <w:tr2bl w:val="nil"/>
            </w:tcBorders>
            <w:noWrap w:val="0"/>
            <w:vAlign w:val="center"/>
          </w:tcPr>
          <w:p w14:paraId="3DB405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364232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F373D7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1800</w:t>
            </w:r>
          </w:p>
        </w:tc>
        <w:tc>
          <w:tcPr>
            <w:tcW w:w="1238" w:type="pct"/>
            <w:tcBorders>
              <w:tl2br w:val="nil"/>
              <w:tr2bl w:val="nil"/>
            </w:tcBorders>
            <w:noWrap w:val="0"/>
            <w:vAlign w:val="center"/>
          </w:tcPr>
          <w:p w14:paraId="782432E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1.99E-04</w:t>
            </w:r>
          </w:p>
        </w:tc>
        <w:tc>
          <w:tcPr>
            <w:tcW w:w="773" w:type="pct"/>
            <w:tcBorders>
              <w:tl2br w:val="nil"/>
              <w:tr2bl w:val="nil"/>
            </w:tcBorders>
            <w:noWrap w:val="0"/>
            <w:vAlign w:val="center"/>
          </w:tcPr>
          <w:p w14:paraId="4B70AC7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w:t>
            </w:r>
          </w:p>
        </w:tc>
        <w:tc>
          <w:tcPr>
            <w:tcW w:w="1251" w:type="pct"/>
            <w:tcBorders>
              <w:tl2br w:val="nil"/>
              <w:tr2bl w:val="nil"/>
            </w:tcBorders>
            <w:noWrap w:val="0"/>
            <w:vAlign w:val="center"/>
          </w:tcPr>
          <w:p w14:paraId="1F89F42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7.70E-07</w:t>
            </w:r>
          </w:p>
        </w:tc>
        <w:tc>
          <w:tcPr>
            <w:tcW w:w="781" w:type="pct"/>
            <w:tcBorders>
              <w:tl2br w:val="nil"/>
              <w:tr2bl w:val="nil"/>
            </w:tcBorders>
            <w:noWrap w:val="0"/>
            <w:vAlign w:val="center"/>
          </w:tcPr>
          <w:p w14:paraId="043480B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3A595E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1E72F1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1900</w:t>
            </w:r>
          </w:p>
        </w:tc>
        <w:tc>
          <w:tcPr>
            <w:tcW w:w="1238" w:type="pct"/>
            <w:tcBorders>
              <w:tl2br w:val="nil"/>
              <w:tr2bl w:val="nil"/>
            </w:tcBorders>
            <w:noWrap w:val="0"/>
            <w:vAlign w:val="center"/>
          </w:tcPr>
          <w:p w14:paraId="593C9A8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1.86E-04</w:t>
            </w:r>
          </w:p>
        </w:tc>
        <w:tc>
          <w:tcPr>
            <w:tcW w:w="773" w:type="pct"/>
            <w:tcBorders>
              <w:tl2br w:val="nil"/>
              <w:tr2bl w:val="nil"/>
            </w:tcBorders>
            <w:noWrap w:val="0"/>
            <w:vAlign w:val="center"/>
          </w:tcPr>
          <w:p w14:paraId="1BA2BFE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0.09</w:t>
            </w:r>
          </w:p>
        </w:tc>
        <w:tc>
          <w:tcPr>
            <w:tcW w:w="1251" w:type="pct"/>
            <w:tcBorders>
              <w:tl2br w:val="nil"/>
              <w:tr2bl w:val="nil"/>
            </w:tcBorders>
            <w:noWrap w:val="0"/>
            <w:vAlign w:val="center"/>
          </w:tcPr>
          <w:p w14:paraId="534B53C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7.19E-07</w:t>
            </w:r>
          </w:p>
        </w:tc>
        <w:tc>
          <w:tcPr>
            <w:tcW w:w="781" w:type="pct"/>
            <w:tcBorders>
              <w:tl2br w:val="nil"/>
              <w:tr2bl w:val="nil"/>
            </w:tcBorders>
            <w:noWrap w:val="0"/>
            <w:vAlign w:val="center"/>
          </w:tcPr>
          <w:p w14:paraId="7C9BEBF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7D05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53EA4CF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2000</w:t>
            </w:r>
          </w:p>
        </w:tc>
        <w:tc>
          <w:tcPr>
            <w:tcW w:w="1238" w:type="pct"/>
            <w:tcBorders>
              <w:tl2br w:val="nil"/>
              <w:tr2bl w:val="nil"/>
            </w:tcBorders>
            <w:noWrap w:val="0"/>
            <w:vAlign w:val="center"/>
          </w:tcPr>
          <w:p w14:paraId="70C752F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1.74E-04</w:t>
            </w:r>
          </w:p>
        </w:tc>
        <w:tc>
          <w:tcPr>
            <w:tcW w:w="773" w:type="pct"/>
            <w:tcBorders>
              <w:tl2br w:val="nil"/>
              <w:tr2bl w:val="nil"/>
            </w:tcBorders>
            <w:noWrap w:val="0"/>
            <w:vAlign w:val="center"/>
          </w:tcPr>
          <w:p w14:paraId="19D2497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0.09</w:t>
            </w:r>
          </w:p>
        </w:tc>
        <w:tc>
          <w:tcPr>
            <w:tcW w:w="1251" w:type="pct"/>
            <w:tcBorders>
              <w:tl2br w:val="nil"/>
              <w:tr2bl w:val="nil"/>
            </w:tcBorders>
            <w:noWrap w:val="0"/>
            <w:vAlign w:val="center"/>
          </w:tcPr>
          <w:p w14:paraId="24A2E3F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6.74E-07</w:t>
            </w:r>
          </w:p>
        </w:tc>
        <w:tc>
          <w:tcPr>
            <w:tcW w:w="781" w:type="pct"/>
            <w:tcBorders>
              <w:tl2br w:val="nil"/>
              <w:tr2bl w:val="nil"/>
            </w:tcBorders>
            <w:noWrap w:val="0"/>
            <w:vAlign w:val="center"/>
          </w:tcPr>
          <w:p w14:paraId="1914783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400C5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1F04F8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2100</w:t>
            </w:r>
          </w:p>
        </w:tc>
        <w:tc>
          <w:tcPr>
            <w:tcW w:w="1238" w:type="pct"/>
            <w:tcBorders>
              <w:tl2br w:val="nil"/>
              <w:tr2bl w:val="nil"/>
            </w:tcBorders>
            <w:noWrap w:val="0"/>
            <w:vAlign w:val="center"/>
          </w:tcPr>
          <w:p w14:paraId="4A8B66F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1.63E-04</w:t>
            </w:r>
          </w:p>
        </w:tc>
        <w:tc>
          <w:tcPr>
            <w:tcW w:w="773" w:type="pct"/>
            <w:tcBorders>
              <w:tl2br w:val="nil"/>
              <w:tr2bl w:val="nil"/>
            </w:tcBorders>
            <w:noWrap w:val="0"/>
            <w:vAlign w:val="center"/>
          </w:tcPr>
          <w:p w14:paraId="3073710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0.08</w:t>
            </w:r>
          </w:p>
        </w:tc>
        <w:tc>
          <w:tcPr>
            <w:tcW w:w="1251" w:type="pct"/>
            <w:tcBorders>
              <w:tl2br w:val="nil"/>
              <w:tr2bl w:val="nil"/>
            </w:tcBorders>
            <w:noWrap w:val="0"/>
            <w:vAlign w:val="center"/>
          </w:tcPr>
          <w:p w14:paraId="43CE58F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6.33E-07</w:t>
            </w:r>
          </w:p>
        </w:tc>
        <w:tc>
          <w:tcPr>
            <w:tcW w:w="781" w:type="pct"/>
            <w:tcBorders>
              <w:tl2br w:val="nil"/>
              <w:tr2bl w:val="nil"/>
            </w:tcBorders>
            <w:noWrap w:val="0"/>
            <w:vAlign w:val="center"/>
          </w:tcPr>
          <w:p w14:paraId="3529B4E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70720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0EEAFE5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2200</w:t>
            </w:r>
          </w:p>
        </w:tc>
        <w:tc>
          <w:tcPr>
            <w:tcW w:w="1238" w:type="pct"/>
            <w:tcBorders>
              <w:tl2br w:val="nil"/>
              <w:tr2bl w:val="nil"/>
            </w:tcBorders>
            <w:noWrap w:val="0"/>
            <w:vAlign w:val="center"/>
          </w:tcPr>
          <w:p w14:paraId="3310EC6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1.54E-04</w:t>
            </w:r>
          </w:p>
        </w:tc>
        <w:tc>
          <w:tcPr>
            <w:tcW w:w="773" w:type="pct"/>
            <w:tcBorders>
              <w:tl2br w:val="nil"/>
              <w:tr2bl w:val="nil"/>
            </w:tcBorders>
            <w:noWrap w:val="0"/>
            <w:vAlign w:val="center"/>
          </w:tcPr>
          <w:p w14:paraId="58EA8CE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0.08</w:t>
            </w:r>
          </w:p>
        </w:tc>
        <w:tc>
          <w:tcPr>
            <w:tcW w:w="1251" w:type="pct"/>
            <w:tcBorders>
              <w:tl2br w:val="nil"/>
              <w:tr2bl w:val="nil"/>
            </w:tcBorders>
            <w:noWrap w:val="0"/>
            <w:vAlign w:val="center"/>
          </w:tcPr>
          <w:p w14:paraId="42E2229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5.96E-07</w:t>
            </w:r>
          </w:p>
        </w:tc>
        <w:tc>
          <w:tcPr>
            <w:tcW w:w="781" w:type="pct"/>
            <w:tcBorders>
              <w:tl2br w:val="nil"/>
              <w:tr2bl w:val="nil"/>
            </w:tcBorders>
            <w:noWrap w:val="0"/>
            <w:vAlign w:val="center"/>
          </w:tcPr>
          <w:p w14:paraId="4B96DF2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1DF3A7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29DF246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2300</w:t>
            </w:r>
          </w:p>
        </w:tc>
        <w:tc>
          <w:tcPr>
            <w:tcW w:w="1238" w:type="pct"/>
            <w:tcBorders>
              <w:tl2br w:val="nil"/>
              <w:tr2bl w:val="nil"/>
            </w:tcBorders>
            <w:noWrap w:val="0"/>
            <w:vAlign w:val="center"/>
          </w:tcPr>
          <w:p w14:paraId="14266FC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1.45E-04</w:t>
            </w:r>
          </w:p>
        </w:tc>
        <w:tc>
          <w:tcPr>
            <w:tcW w:w="773" w:type="pct"/>
            <w:tcBorders>
              <w:tl2br w:val="nil"/>
              <w:tr2bl w:val="nil"/>
            </w:tcBorders>
            <w:noWrap w:val="0"/>
            <w:vAlign w:val="center"/>
          </w:tcPr>
          <w:p w14:paraId="7896CBD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0.07</w:t>
            </w:r>
          </w:p>
        </w:tc>
        <w:tc>
          <w:tcPr>
            <w:tcW w:w="1251" w:type="pct"/>
            <w:tcBorders>
              <w:tl2br w:val="nil"/>
              <w:tr2bl w:val="nil"/>
            </w:tcBorders>
            <w:noWrap w:val="0"/>
            <w:vAlign w:val="center"/>
          </w:tcPr>
          <w:p w14:paraId="4F3F573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5.63E-07</w:t>
            </w:r>
          </w:p>
        </w:tc>
        <w:tc>
          <w:tcPr>
            <w:tcW w:w="781" w:type="pct"/>
            <w:tcBorders>
              <w:tl2br w:val="nil"/>
              <w:tr2bl w:val="nil"/>
            </w:tcBorders>
            <w:noWrap w:val="0"/>
            <w:vAlign w:val="center"/>
          </w:tcPr>
          <w:p w14:paraId="5FBE372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A3F1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42935E1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2400</w:t>
            </w:r>
          </w:p>
        </w:tc>
        <w:tc>
          <w:tcPr>
            <w:tcW w:w="1238" w:type="pct"/>
            <w:tcBorders>
              <w:tl2br w:val="nil"/>
              <w:tr2bl w:val="nil"/>
            </w:tcBorders>
            <w:noWrap w:val="0"/>
            <w:vAlign w:val="center"/>
          </w:tcPr>
          <w:p w14:paraId="4B5423A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1.37E-04</w:t>
            </w:r>
          </w:p>
        </w:tc>
        <w:tc>
          <w:tcPr>
            <w:tcW w:w="773" w:type="pct"/>
            <w:tcBorders>
              <w:tl2br w:val="nil"/>
              <w:tr2bl w:val="nil"/>
            </w:tcBorders>
            <w:noWrap w:val="0"/>
            <w:vAlign w:val="center"/>
          </w:tcPr>
          <w:p w14:paraId="7C635BA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0.07</w:t>
            </w:r>
          </w:p>
        </w:tc>
        <w:tc>
          <w:tcPr>
            <w:tcW w:w="1251" w:type="pct"/>
            <w:tcBorders>
              <w:tl2br w:val="nil"/>
              <w:tr2bl w:val="nil"/>
            </w:tcBorders>
            <w:noWrap w:val="0"/>
            <w:vAlign w:val="center"/>
          </w:tcPr>
          <w:p w14:paraId="58C687E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5.33E-07</w:t>
            </w:r>
          </w:p>
        </w:tc>
        <w:tc>
          <w:tcPr>
            <w:tcW w:w="781" w:type="pct"/>
            <w:tcBorders>
              <w:tl2br w:val="nil"/>
              <w:tr2bl w:val="nil"/>
            </w:tcBorders>
            <w:noWrap w:val="0"/>
            <w:vAlign w:val="center"/>
          </w:tcPr>
          <w:p w14:paraId="55891CB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25DDD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6DE53DD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2500</w:t>
            </w:r>
          </w:p>
        </w:tc>
        <w:tc>
          <w:tcPr>
            <w:tcW w:w="1238" w:type="pct"/>
            <w:tcBorders>
              <w:tl2br w:val="nil"/>
              <w:tr2bl w:val="nil"/>
            </w:tcBorders>
            <w:noWrap w:val="0"/>
            <w:vAlign w:val="center"/>
          </w:tcPr>
          <w:p w14:paraId="570A728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1.30E-04</w:t>
            </w:r>
          </w:p>
        </w:tc>
        <w:tc>
          <w:tcPr>
            <w:tcW w:w="773" w:type="pct"/>
            <w:tcBorders>
              <w:tl2br w:val="nil"/>
              <w:tr2bl w:val="nil"/>
            </w:tcBorders>
            <w:noWrap w:val="0"/>
            <w:vAlign w:val="center"/>
          </w:tcPr>
          <w:p w14:paraId="2D5D851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0.07</w:t>
            </w:r>
          </w:p>
        </w:tc>
        <w:tc>
          <w:tcPr>
            <w:tcW w:w="1251" w:type="pct"/>
            <w:tcBorders>
              <w:tl2br w:val="nil"/>
              <w:tr2bl w:val="nil"/>
            </w:tcBorders>
            <w:noWrap w:val="0"/>
            <w:vAlign w:val="center"/>
          </w:tcPr>
          <w:p w14:paraId="4826DCE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5.05E-07</w:t>
            </w:r>
          </w:p>
        </w:tc>
        <w:tc>
          <w:tcPr>
            <w:tcW w:w="781" w:type="pct"/>
            <w:tcBorders>
              <w:tl2br w:val="nil"/>
              <w:tr2bl w:val="nil"/>
            </w:tcBorders>
            <w:noWrap w:val="0"/>
            <w:vAlign w:val="center"/>
          </w:tcPr>
          <w:p w14:paraId="70BA0D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636FC5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top"/>
          </w:tcPr>
          <w:p w14:paraId="00A451F5">
            <w:pPr>
              <w:pStyle w:val="42"/>
              <w:keepNext w:val="0"/>
              <w:keepLines w:val="0"/>
              <w:suppressLineNumbers w:val="0"/>
              <w:bidi w:val="0"/>
              <w:spacing w:before="0" w:beforeAutospacing="0" w:after="0" w:afterAutospacing="0"/>
              <w:rPr>
                <w:rFonts w:hint="default"/>
              </w:rPr>
            </w:pPr>
            <w:r>
              <w:rPr>
                <w:rFonts w:hint="default"/>
              </w:rPr>
              <w:t>下风向最大质量浓度及占标率%</w:t>
            </w:r>
          </w:p>
        </w:tc>
        <w:tc>
          <w:tcPr>
            <w:tcW w:w="1238" w:type="pct"/>
            <w:tcBorders>
              <w:tl2br w:val="nil"/>
              <w:tr2bl w:val="nil"/>
            </w:tcBorders>
            <w:shd w:val="clear" w:color="auto" w:fill="auto"/>
            <w:noWrap w:val="0"/>
            <w:vAlign w:val="center"/>
          </w:tcPr>
          <w:p w14:paraId="6B5314F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1.32E-03</w:t>
            </w:r>
          </w:p>
        </w:tc>
        <w:tc>
          <w:tcPr>
            <w:tcW w:w="773" w:type="pct"/>
            <w:tcBorders>
              <w:tl2br w:val="nil"/>
              <w:tr2bl w:val="nil"/>
            </w:tcBorders>
            <w:shd w:val="clear" w:color="auto" w:fill="auto"/>
            <w:noWrap w:val="0"/>
            <w:vAlign w:val="center"/>
          </w:tcPr>
          <w:p w14:paraId="182502E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0.66</w:t>
            </w:r>
          </w:p>
        </w:tc>
        <w:tc>
          <w:tcPr>
            <w:tcW w:w="1251" w:type="pct"/>
            <w:tcBorders>
              <w:tl2br w:val="nil"/>
              <w:tr2bl w:val="nil"/>
            </w:tcBorders>
            <w:shd w:val="clear" w:color="auto" w:fill="auto"/>
            <w:noWrap w:val="0"/>
            <w:vAlign w:val="center"/>
          </w:tcPr>
          <w:p w14:paraId="1759F18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5.12E-06</w:t>
            </w:r>
          </w:p>
        </w:tc>
        <w:tc>
          <w:tcPr>
            <w:tcW w:w="781" w:type="pct"/>
            <w:tcBorders>
              <w:tl2br w:val="nil"/>
              <w:tr2bl w:val="nil"/>
            </w:tcBorders>
            <w:shd w:val="clear" w:color="auto" w:fill="auto"/>
            <w:noWrap w:val="0"/>
            <w:vAlign w:val="center"/>
          </w:tcPr>
          <w:p w14:paraId="0905B8D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0.05</w:t>
            </w:r>
          </w:p>
        </w:tc>
      </w:tr>
      <w:tr w14:paraId="4E322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pct"/>
            <w:tcBorders>
              <w:tl2br w:val="nil"/>
              <w:tr2bl w:val="nil"/>
            </w:tcBorders>
            <w:noWrap w:val="0"/>
            <w:vAlign w:val="center"/>
          </w:tcPr>
          <w:p w14:paraId="02A4798B">
            <w:pPr>
              <w:pStyle w:val="42"/>
              <w:keepNext w:val="0"/>
              <w:keepLines w:val="0"/>
              <w:suppressLineNumbers w:val="0"/>
              <w:bidi w:val="0"/>
              <w:spacing w:before="0" w:beforeAutospacing="0" w:after="0" w:afterAutospacing="0"/>
              <w:rPr>
                <w:rFonts w:hint="default"/>
              </w:rPr>
            </w:pPr>
            <w:r>
              <w:rPr>
                <w:rFonts w:hint="default"/>
              </w:rPr>
              <w:t>D10%最远距离</w:t>
            </w:r>
          </w:p>
        </w:tc>
        <w:tc>
          <w:tcPr>
            <w:tcW w:w="2011" w:type="pct"/>
            <w:gridSpan w:val="2"/>
            <w:tcBorders>
              <w:tl2br w:val="nil"/>
              <w:tr2bl w:val="nil"/>
            </w:tcBorders>
            <w:noWrap w:val="0"/>
            <w:vAlign w:val="center"/>
          </w:tcPr>
          <w:p w14:paraId="7008CF7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148</w:t>
            </w:r>
          </w:p>
        </w:tc>
        <w:tc>
          <w:tcPr>
            <w:tcW w:w="2032" w:type="pct"/>
            <w:gridSpan w:val="2"/>
            <w:tcBorders>
              <w:tl2br w:val="nil"/>
              <w:tr2bl w:val="nil"/>
            </w:tcBorders>
            <w:noWrap w:val="0"/>
            <w:vAlign w:val="center"/>
          </w:tcPr>
          <w:p w14:paraId="51F46A9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148</w:t>
            </w:r>
          </w:p>
        </w:tc>
      </w:tr>
    </w:tbl>
    <w:p w14:paraId="0E8E08EE">
      <w:pPr>
        <w:pStyle w:val="39"/>
        <w:bidi w:val="0"/>
        <w:rPr>
          <w:rFonts w:hint="default"/>
          <w:lang w:val="en-US" w:eastAsia="zh-CN"/>
        </w:rPr>
      </w:pPr>
      <w:r>
        <w:rPr>
          <w:rFonts w:hint="default"/>
          <w:lang w:val="en-US" w:eastAsia="zh-CN"/>
        </w:rPr>
        <w:t xml:space="preserve">表 </w:t>
      </w:r>
      <w:r>
        <w:rPr>
          <w:rFonts w:hint="eastAsia"/>
          <w:lang w:val="en-US" w:eastAsia="zh-CN"/>
        </w:rPr>
        <w:t>6.2</w:t>
      </w:r>
      <w:r>
        <w:rPr>
          <w:rFonts w:hint="default"/>
          <w:lang w:val="en-US" w:eastAsia="zh-CN"/>
        </w:rPr>
        <w:t>-1</w:t>
      </w:r>
      <w:r>
        <w:rPr>
          <w:rFonts w:hint="eastAsia"/>
          <w:lang w:val="en-US" w:eastAsia="zh-CN"/>
        </w:rPr>
        <w:t>4</w:t>
      </w:r>
      <w:r>
        <w:rPr>
          <w:rFonts w:hint="default"/>
          <w:lang w:val="en-US" w:eastAsia="zh-CN"/>
        </w:rPr>
        <w:t xml:space="preserve">  ARESCREEN估算模型面源计算结果一览表</w:t>
      </w:r>
    </w:p>
    <w:tbl>
      <w:tblPr>
        <w:tblStyle w:val="3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33"/>
        <w:gridCol w:w="3296"/>
        <w:gridCol w:w="2187"/>
        <w:gridCol w:w="3598"/>
        <w:gridCol w:w="2190"/>
      </w:tblGrid>
      <w:tr w14:paraId="68B66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vMerge w:val="restart"/>
            <w:tcBorders>
              <w:tl2br w:val="nil"/>
              <w:tr2bl w:val="nil"/>
            </w:tcBorders>
            <w:noWrap w:val="0"/>
            <w:vAlign w:val="center"/>
          </w:tcPr>
          <w:p w14:paraId="219938FC">
            <w:pPr>
              <w:pStyle w:val="42"/>
              <w:keepNext w:val="0"/>
              <w:keepLines w:val="0"/>
              <w:suppressLineNumbers w:val="0"/>
              <w:bidi w:val="0"/>
              <w:spacing w:before="0" w:beforeAutospacing="0" w:after="0" w:afterAutospacing="0"/>
              <w:rPr>
                <w:rFonts w:hint="default"/>
              </w:rPr>
            </w:pPr>
            <w:r>
              <w:rPr>
                <w:rFonts w:hint="default"/>
              </w:rPr>
              <w:t>下风向距离D/m</w:t>
            </w:r>
          </w:p>
        </w:tc>
        <w:tc>
          <w:tcPr>
            <w:tcW w:w="1943" w:type="pct"/>
            <w:gridSpan w:val="2"/>
            <w:tcBorders>
              <w:tl2br w:val="nil"/>
              <w:tr2bl w:val="nil"/>
            </w:tcBorders>
            <w:noWrap w:val="0"/>
            <w:vAlign w:val="center"/>
          </w:tcPr>
          <w:p w14:paraId="18878BB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氨</w:t>
            </w:r>
          </w:p>
        </w:tc>
        <w:tc>
          <w:tcPr>
            <w:tcW w:w="2051" w:type="pct"/>
            <w:gridSpan w:val="2"/>
            <w:tcBorders>
              <w:tl2br w:val="nil"/>
              <w:tr2bl w:val="nil"/>
            </w:tcBorders>
            <w:noWrap w:val="0"/>
            <w:vAlign w:val="center"/>
          </w:tcPr>
          <w:p w14:paraId="0487E00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硫化氢</w:t>
            </w:r>
          </w:p>
        </w:tc>
      </w:tr>
      <w:tr w14:paraId="63F63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vMerge w:val="continue"/>
            <w:tcBorders>
              <w:tl2br w:val="nil"/>
              <w:tr2bl w:val="nil"/>
            </w:tcBorders>
            <w:noWrap w:val="0"/>
            <w:vAlign w:val="center"/>
          </w:tcPr>
          <w:p w14:paraId="7DE821DA">
            <w:pPr>
              <w:pStyle w:val="42"/>
              <w:keepNext w:val="0"/>
              <w:keepLines w:val="0"/>
              <w:suppressLineNumbers w:val="0"/>
              <w:bidi w:val="0"/>
              <w:spacing w:before="0" w:beforeAutospacing="0" w:after="0" w:afterAutospacing="0"/>
              <w:rPr>
                <w:rFonts w:hint="default"/>
              </w:rPr>
            </w:pPr>
          </w:p>
        </w:tc>
        <w:tc>
          <w:tcPr>
            <w:tcW w:w="1168" w:type="pct"/>
            <w:tcBorders>
              <w:tl2br w:val="nil"/>
              <w:tr2bl w:val="nil"/>
            </w:tcBorders>
            <w:noWrap w:val="0"/>
            <w:vAlign w:val="center"/>
          </w:tcPr>
          <w:p w14:paraId="304DD551">
            <w:pPr>
              <w:pStyle w:val="42"/>
              <w:keepNext w:val="0"/>
              <w:keepLines w:val="0"/>
              <w:suppressLineNumbers w:val="0"/>
              <w:bidi w:val="0"/>
              <w:spacing w:before="0" w:beforeAutospacing="0" w:after="0" w:afterAutospacing="0"/>
              <w:rPr>
                <w:rFonts w:hint="default"/>
              </w:rPr>
            </w:pPr>
            <w:r>
              <w:rPr>
                <w:rFonts w:hint="default"/>
              </w:rPr>
              <w:t>预测质量浓度（μg/</w:t>
            </w:r>
            <w:r>
              <w:rPr>
                <w:rFonts w:hint="eastAsia"/>
                <w:lang w:eastAsia="zh-CN"/>
              </w:rPr>
              <w:t>m</w:t>
            </w:r>
            <w:r>
              <w:rPr>
                <w:rFonts w:hint="eastAsia"/>
                <w:vertAlign w:val="superscript"/>
                <w:lang w:eastAsia="zh-CN"/>
              </w:rPr>
              <w:t>3</w:t>
            </w:r>
            <w:r>
              <w:rPr>
                <w:rFonts w:hint="default"/>
              </w:rPr>
              <w:t>）</w:t>
            </w:r>
          </w:p>
        </w:tc>
        <w:tc>
          <w:tcPr>
            <w:tcW w:w="775" w:type="pct"/>
            <w:tcBorders>
              <w:tl2br w:val="nil"/>
              <w:tr2bl w:val="nil"/>
            </w:tcBorders>
            <w:noWrap w:val="0"/>
            <w:vAlign w:val="center"/>
          </w:tcPr>
          <w:p w14:paraId="1316E722">
            <w:pPr>
              <w:pStyle w:val="42"/>
              <w:keepNext w:val="0"/>
              <w:keepLines w:val="0"/>
              <w:suppressLineNumbers w:val="0"/>
              <w:bidi w:val="0"/>
              <w:spacing w:before="0" w:beforeAutospacing="0" w:after="0" w:afterAutospacing="0"/>
              <w:rPr>
                <w:rFonts w:hint="default"/>
              </w:rPr>
            </w:pPr>
            <w:r>
              <w:rPr>
                <w:rFonts w:hint="default"/>
              </w:rPr>
              <w:t>占标率（%）</w:t>
            </w:r>
          </w:p>
        </w:tc>
        <w:tc>
          <w:tcPr>
            <w:tcW w:w="1275" w:type="pct"/>
            <w:tcBorders>
              <w:tl2br w:val="nil"/>
              <w:tr2bl w:val="nil"/>
            </w:tcBorders>
            <w:noWrap w:val="0"/>
            <w:vAlign w:val="center"/>
          </w:tcPr>
          <w:p w14:paraId="2B4F51BA">
            <w:pPr>
              <w:pStyle w:val="42"/>
              <w:keepNext w:val="0"/>
              <w:keepLines w:val="0"/>
              <w:suppressLineNumbers w:val="0"/>
              <w:bidi w:val="0"/>
              <w:spacing w:before="0" w:beforeAutospacing="0" w:after="0" w:afterAutospacing="0"/>
              <w:rPr>
                <w:rFonts w:hint="default"/>
              </w:rPr>
            </w:pPr>
            <w:r>
              <w:rPr>
                <w:rFonts w:hint="default"/>
              </w:rPr>
              <w:t>预测质量浓度（μg/</w:t>
            </w:r>
            <w:r>
              <w:rPr>
                <w:rFonts w:hint="eastAsia"/>
                <w:lang w:eastAsia="zh-CN"/>
              </w:rPr>
              <w:t>m</w:t>
            </w:r>
            <w:r>
              <w:rPr>
                <w:rFonts w:hint="eastAsia"/>
                <w:vertAlign w:val="superscript"/>
                <w:lang w:eastAsia="zh-CN"/>
              </w:rPr>
              <w:t>3</w:t>
            </w:r>
            <w:r>
              <w:rPr>
                <w:rFonts w:hint="default"/>
              </w:rPr>
              <w:t>）</w:t>
            </w:r>
          </w:p>
        </w:tc>
        <w:tc>
          <w:tcPr>
            <w:tcW w:w="776" w:type="pct"/>
            <w:tcBorders>
              <w:tl2br w:val="nil"/>
              <w:tr2bl w:val="nil"/>
            </w:tcBorders>
            <w:noWrap w:val="0"/>
            <w:vAlign w:val="center"/>
          </w:tcPr>
          <w:p w14:paraId="51A61A2C">
            <w:pPr>
              <w:pStyle w:val="42"/>
              <w:keepNext w:val="0"/>
              <w:keepLines w:val="0"/>
              <w:suppressLineNumbers w:val="0"/>
              <w:bidi w:val="0"/>
              <w:spacing w:before="0" w:beforeAutospacing="0" w:after="0" w:afterAutospacing="0"/>
              <w:rPr>
                <w:rFonts w:hint="default"/>
              </w:rPr>
            </w:pPr>
            <w:r>
              <w:rPr>
                <w:rFonts w:hint="default"/>
              </w:rPr>
              <w:t>占标率（%）</w:t>
            </w:r>
          </w:p>
        </w:tc>
      </w:tr>
      <w:tr w14:paraId="0C4E9C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06D149E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w:t>
            </w:r>
          </w:p>
        </w:tc>
        <w:tc>
          <w:tcPr>
            <w:tcW w:w="1168" w:type="pct"/>
            <w:tcBorders>
              <w:tl2br w:val="nil"/>
              <w:tr2bl w:val="nil"/>
            </w:tcBorders>
            <w:noWrap w:val="0"/>
            <w:vAlign w:val="center"/>
          </w:tcPr>
          <w:p w14:paraId="158D42F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1.06E-02</w:t>
            </w:r>
          </w:p>
        </w:tc>
        <w:tc>
          <w:tcPr>
            <w:tcW w:w="775" w:type="pct"/>
            <w:tcBorders>
              <w:tl2br w:val="nil"/>
              <w:tr2bl w:val="nil"/>
            </w:tcBorders>
            <w:noWrap w:val="0"/>
            <w:vAlign w:val="center"/>
          </w:tcPr>
          <w:p w14:paraId="6AE719B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5.3</w:t>
            </w:r>
          </w:p>
        </w:tc>
        <w:tc>
          <w:tcPr>
            <w:tcW w:w="1275" w:type="pct"/>
            <w:tcBorders>
              <w:tl2br w:val="nil"/>
              <w:tr2bl w:val="nil"/>
            </w:tcBorders>
            <w:noWrap w:val="0"/>
            <w:vAlign w:val="center"/>
          </w:tcPr>
          <w:p w14:paraId="327985E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5.47E-05</w:t>
            </w:r>
          </w:p>
        </w:tc>
        <w:tc>
          <w:tcPr>
            <w:tcW w:w="776" w:type="pct"/>
            <w:tcBorders>
              <w:tl2br w:val="nil"/>
              <w:tr2bl w:val="nil"/>
            </w:tcBorders>
            <w:noWrap w:val="0"/>
            <w:vAlign w:val="center"/>
          </w:tcPr>
          <w:p w14:paraId="307155C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0.55</w:t>
            </w:r>
          </w:p>
        </w:tc>
      </w:tr>
      <w:tr w14:paraId="1BD04C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34DB0AA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1168" w:type="pct"/>
            <w:tcBorders>
              <w:tl2br w:val="nil"/>
              <w:tr2bl w:val="nil"/>
            </w:tcBorders>
            <w:noWrap w:val="0"/>
            <w:vAlign w:val="center"/>
          </w:tcPr>
          <w:p w14:paraId="349858D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1.57E-02</w:t>
            </w:r>
          </w:p>
        </w:tc>
        <w:tc>
          <w:tcPr>
            <w:tcW w:w="775" w:type="pct"/>
            <w:tcBorders>
              <w:tl2br w:val="nil"/>
              <w:tr2bl w:val="nil"/>
            </w:tcBorders>
            <w:noWrap w:val="0"/>
            <w:vAlign w:val="center"/>
          </w:tcPr>
          <w:p w14:paraId="553C02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7.86</w:t>
            </w:r>
          </w:p>
        </w:tc>
        <w:tc>
          <w:tcPr>
            <w:tcW w:w="1275" w:type="pct"/>
            <w:tcBorders>
              <w:tl2br w:val="nil"/>
              <w:tr2bl w:val="nil"/>
            </w:tcBorders>
            <w:noWrap w:val="0"/>
            <w:vAlign w:val="center"/>
          </w:tcPr>
          <w:p w14:paraId="1D71A6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8.12E-05</w:t>
            </w:r>
          </w:p>
        </w:tc>
        <w:tc>
          <w:tcPr>
            <w:tcW w:w="776" w:type="pct"/>
            <w:tcBorders>
              <w:tl2br w:val="nil"/>
              <w:tr2bl w:val="nil"/>
            </w:tcBorders>
            <w:noWrap w:val="0"/>
            <w:vAlign w:val="center"/>
          </w:tcPr>
          <w:p w14:paraId="430E816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0.81</w:t>
            </w:r>
          </w:p>
        </w:tc>
      </w:tr>
      <w:tr w14:paraId="1E3350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2E67D3B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w:t>
            </w:r>
          </w:p>
        </w:tc>
        <w:tc>
          <w:tcPr>
            <w:tcW w:w="1168" w:type="pct"/>
            <w:tcBorders>
              <w:tl2br w:val="nil"/>
              <w:tr2bl w:val="nil"/>
            </w:tcBorders>
            <w:noWrap w:val="0"/>
            <w:vAlign w:val="center"/>
          </w:tcPr>
          <w:p w14:paraId="2382F33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1.58E-02</w:t>
            </w:r>
          </w:p>
        </w:tc>
        <w:tc>
          <w:tcPr>
            <w:tcW w:w="775" w:type="pct"/>
            <w:tcBorders>
              <w:tl2br w:val="nil"/>
              <w:tr2bl w:val="nil"/>
            </w:tcBorders>
            <w:noWrap w:val="0"/>
            <w:vAlign w:val="center"/>
          </w:tcPr>
          <w:p w14:paraId="7E89FDA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7.91</w:t>
            </w:r>
          </w:p>
        </w:tc>
        <w:tc>
          <w:tcPr>
            <w:tcW w:w="1275" w:type="pct"/>
            <w:tcBorders>
              <w:tl2br w:val="nil"/>
              <w:tr2bl w:val="nil"/>
            </w:tcBorders>
            <w:noWrap w:val="0"/>
            <w:vAlign w:val="center"/>
          </w:tcPr>
          <w:p w14:paraId="7AD38A3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8.17E-05</w:t>
            </w:r>
          </w:p>
        </w:tc>
        <w:tc>
          <w:tcPr>
            <w:tcW w:w="776" w:type="pct"/>
            <w:tcBorders>
              <w:tl2br w:val="nil"/>
              <w:tr2bl w:val="nil"/>
            </w:tcBorders>
            <w:noWrap w:val="0"/>
            <w:vAlign w:val="center"/>
          </w:tcPr>
          <w:p w14:paraId="4599C8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0.82</w:t>
            </w:r>
          </w:p>
        </w:tc>
      </w:tr>
      <w:tr w14:paraId="4CAAAA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75C2912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w:t>
            </w:r>
          </w:p>
        </w:tc>
        <w:tc>
          <w:tcPr>
            <w:tcW w:w="1168" w:type="pct"/>
            <w:tcBorders>
              <w:tl2br w:val="nil"/>
              <w:tr2bl w:val="nil"/>
            </w:tcBorders>
            <w:noWrap w:val="0"/>
            <w:vAlign w:val="center"/>
          </w:tcPr>
          <w:p w14:paraId="7E79FDB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1.52E-02</w:t>
            </w:r>
          </w:p>
        </w:tc>
        <w:tc>
          <w:tcPr>
            <w:tcW w:w="775" w:type="pct"/>
            <w:tcBorders>
              <w:tl2br w:val="nil"/>
              <w:tr2bl w:val="nil"/>
            </w:tcBorders>
            <w:noWrap w:val="0"/>
            <w:vAlign w:val="center"/>
          </w:tcPr>
          <w:p w14:paraId="0017697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7.6</w:t>
            </w:r>
          </w:p>
        </w:tc>
        <w:tc>
          <w:tcPr>
            <w:tcW w:w="1275" w:type="pct"/>
            <w:tcBorders>
              <w:tl2br w:val="nil"/>
              <w:tr2bl w:val="nil"/>
            </w:tcBorders>
            <w:noWrap w:val="0"/>
            <w:vAlign w:val="center"/>
          </w:tcPr>
          <w:p w14:paraId="7C8162F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7.86E-05</w:t>
            </w:r>
          </w:p>
        </w:tc>
        <w:tc>
          <w:tcPr>
            <w:tcW w:w="776" w:type="pct"/>
            <w:tcBorders>
              <w:tl2br w:val="nil"/>
              <w:tr2bl w:val="nil"/>
            </w:tcBorders>
            <w:noWrap w:val="0"/>
            <w:vAlign w:val="center"/>
          </w:tcPr>
          <w:p w14:paraId="636CEF6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0.79</w:t>
            </w:r>
          </w:p>
        </w:tc>
      </w:tr>
      <w:tr w14:paraId="5FAF76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5DF4FB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75</w:t>
            </w:r>
          </w:p>
        </w:tc>
        <w:tc>
          <w:tcPr>
            <w:tcW w:w="1168" w:type="pct"/>
            <w:tcBorders>
              <w:tl2br w:val="nil"/>
              <w:tr2bl w:val="nil"/>
            </w:tcBorders>
            <w:noWrap w:val="0"/>
            <w:vAlign w:val="center"/>
          </w:tcPr>
          <w:p w14:paraId="1373D6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1.35E-02</w:t>
            </w:r>
          </w:p>
        </w:tc>
        <w:tc>
          <w:tcPr>
            <w:tcW w:w="775" w:type="pct"/>
            <w:tcBorders>
              <w:tl2br w:val="nil"/>
              <w:tr2bl w:val="nil"/>
            </w:tcBorders>
            <w:noWrap w:val="0"/>
            <w:vAlign w:val="center"/>
          </w:tcPr>
          <w:p w14:paraId="2560E1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6.75</w:t>
            </w:r>
          </w:p>
        </w:tc>
        <w:tc>
          <w:tcPr>
            <w:tcW w:w="1275" w:type="pct"/>
            <w:tcBorders>
              <w:tl2br w:val="nil"/>
              <w:tr2bl w:val="nil"/>
            </w:tcBorders>
            <w:noWrap w:val="0"/>
            <w:vAlign w:val="center"/>
          </w:tcPr>
          <w:p w14:paraId="702E1F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6.97E-05</w:t>
            </w:r>
          </w:p>
        </w:tc>
        <w:tc>
          <w:tcPr>
            <w:tcW w:w="776" w:type="pct"/>
            <w:tcBorders>
              <w:tl2br w:val="nil"/>
              <w:tr2bl w:val="nil"/>
            </w:tcBorders>
            <w:noWrap w:val="0"/>
            <w:vAlign w:val="center"/>
          </w:tcPr>
          <w:p w14:paraId="63CE9E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0.7</w:t>
            </w:r>
          </w:p>
        </w:tc>
      </w:tr>
      <w:tr w14:paraId="423E94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B5028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100</w:t>
            </w:r>
          </w:p>
        </w:tc>
        <w:tc>
          <w:tcPr>
            <w:tcW w:w="1168" w:type="pct"/>
            <w:tcBorders>
              <w:tl2br w:val="nil"/>
              <w:tr2bl w:val="nil"/>
            </w:tcBorders>
            <w:noWrap w:val="0"/>
            <w:vAlign w:val="center"/>
          </w:tcPr>
          <w:p w14:paraId="5807EE2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1.13E-02</w:t>
            </w:r>
          </w:p>
        </w:tc>
        <w:tc>
          <w:tcPr>
            <w:tcW w:w="775" w:type="pct"/>
            <w:tcBorders>
              <w:tl2br w:val="nil"/>
              <w:tr2bl w:val="nil"/>
            </w:tcBorders>
            <w:noWrap w:val="0"/>
            <w:vAlign w:val="center"/>
          </w:tcPr>
          <w:p w14:paraId="039A25F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5.67</w:t>
            </w:r>
          </w:p>
        </w:tc>
        <w:tc>
          <w:tcPr>
            <w:tcW w:w="1275" w:type="pct"/>
            <w:tcBorders>
              <w:tl2br w:val="nil"/>
              <w:tr2bl w:val="nil"/>
            </w:tcBorders>
            <w:noWrap w:val="0"/>
            <w:vAlign w:val="center"/>
          </w:tcPr>
          <w:p w14:paraId="0C26E6D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5.86E-05</w:t>
            </w:r>
          </w:p>
        </w:tc>
        <w:tc>
          <w:tcPr>
            <w:tcW w:w="776" w:type="pct"/>
            <w:tcBorders>
              <w:tl2br w:val="nil"/>
              <w:tr2bl w:val="nil"/>
            </w:tcBorders>
            <w:noWrap w:val="0"/>
            <w:vAlign w:val="center"/>
          </w:tcPr>
          <w:p w14:paraId="452CFAF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0.59</w:t>
            </w:r>
          </w:p>
        </w:tc>
      </w:tr>
      <w:tr w14:paraId="111E4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066ED6B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125</w:t>
            </w:r>
          </w:p>
        </w:tc>
        <w:tc>
          <w:tcPr>
            <w:tcW w:w="1168" w:type="pct"/>
            <w:tcBorders>
              <w:tl2br w:val="nil"/>
              <w:tr2bl w:val="nil"/>
            </w:tcBorders>
            <w:noWrap w:val="0"/>
            <w:vAlign w:val="center"/>
          </w:tcPr>
          <w:p w14:paraId="674B183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9.46E-03</w:t>
            </w:r>
          </w:p>
        </w:tc>
        <w:tc>
          <w:tcPr>
            <w:tcW w:w="775" w:type="pct"/>
            <w:tcBorders>
              <w:tl2br w:val="nil"/>
              <w:tr2bl w:val="nil"/>
            </w:tcBorders>
            <w:noWrap w:val="0"/>
            <w:vAlign w:val="center"/>
          </w:tcPr>
          <w:p w14:paraId="4F1D767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4.73</w:t>
            </w:r>
          </w:p>
        </w:tc>
        <w:tc>
          <w:tcPr>
            <w:tcW w:w="1275" w:type="pct"/>
            <w:tcBorders>
              <w:tl2br w:val="nil"/>
              <w:tr2bl w:val="nil"/>
            </w:tcBorders>
            <w:noWrap w:val="0"/>
            <w:vAlign w:val="center"/>
          </w:tcPr>
          <w:p w14:paraId="3048B6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4.89E-05</w:t>
            </w:r>
          </w:p>
        </w:tc>
        <w:tc>
          <w:tcPr>
            <w:tcW w:w="776" w:type="pct"/>
            <w:tcBorders>
              <w:tl2br w:val="nil"/>
              <w:tr2bl w:val="nil"/>
            </w:tcBorders>
            <w:noWrap w:val="0"/>
            <w:vAlign w:val="center"/>
          </w:tcPr>
          <w:p w14:paraId="258514D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0.49</w:t>
            </w:r>
          </w:p>
        </w:tc>
      </w:tr>
      <w:tr w14:paraId="5B67E8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6BEFD4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150</w:t>
            </w:r>
          </w:p>
        </w:tc>
        <w:tc>
          <w:tcPr>
            <w:tcW w:w="1168" w:type="pct"/>
            <w:tcBorders>
              <w:tl2br w:val="nil"/>
              <w:tr2bl w:val="nil"/>
            </w:tcBorders>
            <w:noWrap w:val="0"/>
            <w:vAlign w:val="center"/>
          </w:tcPr>
          <w:p w14:paraId="42D0B3C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7.98E-03</w:t>
            </w:r>
          </w:p>
        </w:tc>
        <w:tc>
          <w:tcPr>
            <w:tcW w:w="775" w:type="pct"/>
            <w:tcBorders>
              <w:tl2br w:val="nil"/>
              <w:tr2bl w:val="nil"/>
            </w:tcBorders>
            <w:noWrap w:val="0"/>
            <w:vAlign w:val="center"/>
          </w:tcPr>
          <w:p w14:paraId="1882EE9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3.99</w:t>
            </w:r>
          </w:p>
        </w:tc>
        <w:tc>
          <w:tcPr>
            <w:tcW w:w="1275" w:type="pct"/>
            <w:tcBorders>
              <w:tl2br w:val="nil"/>
              <w:tr2bl w:val="nil"/>
            </w:tcBorders>
            <w:noWrap w:val="0"/>
            <w:vAlign w:val="center"/>
          </w:tcPr>
          <w:p w14:paraId="3738910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4.12E-05</w:t>
            </w:r>
          </w:p>
        </w:tc>
        <w:tc>
          <w:tcPr>
            <w:tcW w:w="776" w:type="pct"/>
            <w:tcBorders>
              <w:tl2br w:val="nil"/>
              <w:tr2bl w:val="nil"/>
            </w:tcBorders>
            <w:noWrap w:val="0"/>
            <w:vAlign w:val="center"/>
          </w:tcPr>
          <w:p w14:paraId="388821C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0.41</w:t>
            </w:r>
          </w:p>
        </w:tc>
      </w:tr>
      <w:tr w14:paraId="5F474F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3F50F5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175</w:t>
            </w:r>
          </w:p>
        </w:tc>
        <w:tc>
          <w:tcPr>
            <w:tcW w:w="1168" w:type="pct"/>
            <w:tcBorders>
              <w:tl2br w:val="nil"/>
              <w:tr2bl w:val="nil"/>
            </w:tcBorders>
            <w:noWrap w:val="0"/>
            <w:vAlign w:val="center"/>
          </w:tcPr>
          <w:p w14:paraId="21AE76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6.82E-03</w:t>
            </w:r>
          </w:p>
        </w:tc>
        <w:tc>
          <w:tcPr>
            <w:tcW w:w="775" w:type="pct"/>
            <w:tcBorders>
              <w:tl2br w:val="nil"/>
              <w:tr2bl w:val="nil"/>
            </w:tcBorders>
            <w:noWrap w:val="0"/>
            <w:vAlign w:val="center"/>
          </w:tcPr>
          <w:p w14:paraId="2795F2D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3.41</w:t>
            </w:r>
          </w:p>
        </w:tc>
        <w:tc>
          <w:tcPr>
            <w:tcW w:w="1275" w:type="pct"/>
            <w:tcBorders>
              <w:tl2br w:val="nil"/>
              <w:tr2bl w:val="nil"/>
            </w:tcBorders>
            <w:noWrap w:val="0"/>
            <w:vAlign w:val="center"/>
          </w:tcPr>
          <w:p w14:paraId="0239B08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3.53E-05</w:t>
            </w:r>
          </w:p>
        </w:tc>
        <w:tc>
          <w:tcPr>
            <w:tcW w:w="776" w:type="pct"/>
            <w:tcBorders>
              <w:tl2br w:val="nil"/>
              <w:tr2bl w:val="nil"/>
            </w:tcBorders>
            <w:noWrap w:val="0"/>
            <w:vAlign w:val="center"/>
          </w:tcPr>
          <w:p w14:paraId="60FEB68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0.35</w:t>
            </w:r>
          </w:p>
        </w:tc>
      </w:tr>
      <w:tr w14:paraId="0E0D5F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41E1C1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200</w:t>
            </w:r>
          </w:p>
        </w:tc>
        <w:tc>
          <w:tcPr>
            <w:tcW w:w="1168" w:type="pct"/>
            <w:tcBorders>
              <w:tl2br w:val="nil"/>
              <w:tr2bl w:val="nil"/>
            </w:tcBorders>
            <w:noWrap w:val="0"/>
            <w:vAlign w:val="center"/>
          </w:tcPr>
          <w:p w14:paraId="0C92F18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5.91E-03</w:t>
            </w:r>
          </w:p>
        </w:tc>
        <w:tc>
          <w:tcPr>
            <w:tcW w:w="775" w:type="pct"/>
            <w:tcBorders>
              <w:tl2br w:val="nil"/>
              <w:tr2bl w:val="nil"/>
            </w:tcBorders>
            <w:noWrap w:val="0"/>
            <w:vAlign w:val="center"/>
          </w:tcPr>
          <w:p w14:paraId="0744E00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2.95</w:t>
            </w:r>
          </w:p>
        </w:tc>
        <w:tc>
          <w:tcPr>
            <w:tcW w:w="1275" w:type="pct"/>
            <w:tcBorders>
              <w:tl2br w:val="nil"/>
              <w:tr2bl w:val="nil"/>
            </w:tcBorders>
            <w:noWrap w:val="0"/>
            <w:vAlign w:val="center"/>
          </w:tcPr>
          <w:p w14:paraId="3E73BBD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3.05E-05</w:t>
            </w:r>
          </w:p>
        </w:tc>
        <w:tc>
          <w:tcPr>
            <w:tcW w:w="776" w:type="pct"/>
            <w:tcBorders>
              <w:tl2br w:val="nil"/>
              <w:tr2bl w:val="nil"/>
            </w:tcBorders>
            <w:noWrap w:val="0"/>
            <w:vAlign w:val="center"/>
          </w:tcPr>
          <w:p w14:paraId="22981E4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0.31</w:t>
            </w:r>
          </w:p>
        </w:tc>
      </w:tr>
      <w:tr w14:paraId="122467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33F7A5C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250</w:t>
            </w:r>
          </w:p>
        </w:tc>
        <w:tc>
          <w:tcPr>
            <w:tcW w:w="1168" w:type="pct"/>
            <w:tcBorders>
              <w:tl2br w:val="nil"/>
              <w:tr2bl w:val="nil"/>
            </w:tcBorders>
            <w:noWrap w:val="0"/>
            <w:vAlign w:val="center"/>
          </w:tcPr>
          <w:p w14:paraId="4D4C8D2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4.58E-03</w:t>
            </w:r>
          </w:p>
        </w:tc>
        <w:tc>
          <w:tcPr>
            <w:tcW w:w="775" w:type="pct"/>
            <w:tcBorders>
              <w:tl2br w:val="nil"/>
              <w:tr2bl w:val="nil"/>
            </w:tcBorders>
            <w:noWrap w:val="0"/>
            <w:vAlign w:val="center"/>
          </w:tcPr>
          <w:p w14:paraId="48C8049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2.29</w:t>
            </w:r>
          </w:p>
        </w:tc>
        <w:tc>
          <w:tcPr>
            <w:tcW w:w="1275" w:type="pct"/>
            <w:tcBorders>
              <w:tl2br w:val="nil"/>
              <w:tr2bl w:val="nil"/>
            </w:tcBorders>
            <w:noWrap w:val="0"/>
            <w:vAlign w:val="center"/>
          </w:tcPr>
          <w:p w14:paraId="5A80412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2.36E-05</w:t>
            </w:r>
          </w:p>
        </w:tc>
        <w:tc>
          <w:tcPr>
            <w:tcW w:w="776" w:type="pct"/>
            <w:tcBorders>
              <w:tl2br w:val="nil"/>
              <w:tr2bl w:val="nil"/>
            </w:tcBorders>
            <w:noWrap w:val="0"/>
            <w:vAlign w:val="center"/>
          </w:tcPr>
          <w:p w14:paraId="04E227A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0.24</w:t>
            </w:r>
          </w:p>
        </w:tc>
      </w:tr>
      <w:tr w14:paraId="28E2F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3173F5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300</w:t>
            </w:r>
          </w:p>
        </w:tc>
        <w:tc>
          <w:tcPr>
            <w:tcW w:w="1168" w:type="pct"/>
            <w:tcBorders>
              <w:tl2br w:val="nil"/>
              <w:tr2bl w:val="nil"/>
            </w:tcBorders>
            <w:noWrap w:val="0"/>
            <w:vAlign w:val="center"/>
          </w:tcPr>
          <w:p w14:paraId="0922F3A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3.68E-03</w:t>
            </w:r>
          </w:p>
        </w:tc>
        <w:tc>
          <w:tcPr>
            <w:tcW w:w="775" w:type="pct"/>
            <w:tcBorders>
              <w:tl2br w:val="nil"/>
              <w:tr2bl w:val="nil"/>
            </w:tcBorders>
            <w:noWrap w:val="0"/>
            <w:vAlign w:val="center"/>
          </w:tcPr>
          <w:p w14:paraId="1238FB8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1.84</w:t>
            </w:r>
          </w:p>
        </w:tc>
        <w:tc>
          <w:tcPr>
            <w:tcW w:w="1275" w:type="pct"/>
            <w:tcBorders>
              <w:tl2br w:val="nil"/>
              <w:tr2bl w:val="nil"/>
            </w:tcBorders>
            <w:noWrap w:val="0"/>
            <w:vAlign w:val="center"/>
          </w:tcPr>
          <w:p w14:paraId="6C554C7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1.90E-05</w:t>
            </w:r>
          </w:p>
        </w:tc>
        <w:tc>
          <w:tcPr>
            <w:tcW w:w="776" w:type="pct"/>
            <w:tcBorders>
              <w:tl2br w:val="nil"/>
              <w:tr2bl w:val="nil"/>
            </w:tcBorders>
            <w:noWrap w:val="0"/>
            <w:vAlign w:val="center"/>
          </w:tcPr>
          <w:p w14:paraId="0C90473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0.19</w:t>
            </w:r>
          </w:p>
        </w:tc>
      </w:tr>
      <w:tr w14:paraId="5C4EF5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3331311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350</w:t>
            </w:r>
          </w:p>
        </w:tc>
        <w:tc>
          <w:tcPr>
            <w:tcW w:w="1168" w:type="pct"/>
            <w:tcBorders>
              <w:tl2br w:val="nil"/>
              <w:tr2bl w:val="nil"/>
            </w:tcBorders>
            <w:noWrap w:val="0"/>
            <w:vAlign w:val="center"/>
          </w:tcPr>
          <w:p w14:paraId="0288D3F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3.04E-03</w:t>
            </w:r>
          </w:p>
        </w:tc>
        <w:tc>
          <w:tcPr>
            <w:tcW w:w="775" w:type="pct"/>
            <w:tcBorders>
              <w:tl2br w:val="nil"/>
              <w:tr2bl w:val="nil"/>
            </w:tcBorders>
            <w:noWrap w:val="0"/>
            <w:vAlign w:val="center"/>
          </w:tcPr>
          <w:p w14:paraId="0AC6065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1.52</w:t>
            </w:r>
          </w:p>
        </w:tc>
        <w:tc>
          <w:tcPr>
            <w:tcW w:w="1275" w:type="pct"/>
            <w:tcBorders>
              <w:tl2br w:val="nil"/>
              <w:tr2bl w:val="nil"/>
            </w:tcBorders>
            <w:noWrap w:val="0"/>
            <w:vAlign w:val="center"/>
          </w:tcPr>
          <w:p w14:paraId="31D81F5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1.57E-05</w:t>
            </w:r>
          </w:p>
        </w:tc>
        <w:tc>
          <w:tcPr>
            <w:tcW w:w="776" w:type="pct"/>
            <w:tcBorders>
              <w:tl2br w:val="nil"/>
              <w:tr2bl w:val="nil"/>
            </w:tcBorders>
            <w:noWrap w:val="0"/>
            <w:vAlign w:val="center"/>
          </w:tcPr>
          <w:p w14:paraId="3B0A180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0.16</w:t>
            </w:r>
          </w:p>
        </w:tc>
      </w:tr>
      <w:tr w14:paraId="61A102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00F48E4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400</w:t>
            </w:r>
          </w:p>
        </w:tc>
        <w:tc>
          <w:tcPr>
            <w:tcW w:w="1168" w:type="pct"/>
            <w:tcBorders>
              <w:tl2br w:val="nil"/>
              <w:tr2bl w:val="nil"/>
            </w:tcBorders>
            <w:noWrap w:val="0"/>
            <w:vAlign w:val="center"/>
          </w:tcPr>
          <w:p w14:paraId="27305BC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2.57E-03</w:t>
            </w:r>
          </w:p>
        </w:tc>
        <w:tc>
          <w:tcPr>
            <w:tcW w:w="775" w:type="pct"/>
            <w:tcBorders>
              <w:tl2br w:val="nil"/>
              <w:tr2bl w:val="nil"/>
            </w:tcBorders>
            <w:noWrap w:val="0"/>
            <w:vAlign w:val="center"/>
          </w:tcPr>
          <w:p w14:paraId="48100C0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1.29</w:t>
            </w:r>
          </w:p>
        </w:tc>
        <w:tc>
          <w:tcPr>
            <w:tcW w:w="1275" w:type="pct"/>
            <w:tcBorders>
              <w:tl2br w:val="nil"/>
              <w:tr2bl w:val="nil"/>
            </w:tcBorders>
            <w:noWrap w:val="0"/>
            <w:vAlign w:val="center"/>
          </w:tcPr>
          <w:p w14:paraId="0AC5AD8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1.33E-05</w:t>
            </w:r>
          </w:p>
        </w:tc>
        <w:tc>
          <w:tcPr>
            <w:tcW w:w="776" w:type="pct"/>
            <w:tcBorders>
              <w:tl2br w:val="nil"/>
              <w:tr2bl w:val="nil"/>
            </w:tcBorders>
            <w:noWrap w:val="0"/>
            <w:vAlign w:val="center"/>
          </w:tcPr>
          <w:p w14:paraId="215F52E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0.13</w:t>
            </w:r>
          </w:p>
        </w:tc>
      </w:tr>
      <w:tr w14:paraId="4DF34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3B57C5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450</w:t>
            </w:r>
          </w:p>
        </w:tc>
        <w:tc>
          <w:tcPr>
            <w:tcW w:w="1168" w:type="pct"/>
            <w:tcBorders>
              <w:tl2br w:val="nil"/>
              <w:tr2bl w:val="nil"/>
            </w:tcBorders>
            <w:noWrap w:val="0"/>
            <w:vAlign w:val="center"/>
          </w:tcPr>
          <w:p w14:paraId="36DE22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2.21E-03</w:t>
            </w:r>
          </w:p>
        </w:tc>
        <w:tc>
          <w:tcPr>
            <w:tcW w:w="775" w:type="pct"/>
            <w:tcBorders>
              <w:tl2br w:val="nil"/>
              <w:tr2bl w:val="nil"/>
            </w:tcBorders>
            <w:noWrap w:val="0"/>
            <w:vAlign w:val="center"/>
          </w:tcPr>
          <w:p w14:paraId="324D4CB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1.11</w:t>
            </w:r>
          </w:p>
        </w:tc>
        <w:tc>
          <w:tcPr>
            <w:tcW w:w="1275" w:type="pct"/>
            <w:tcBorders>
              <w:tl2br w:val="nil"/>
              <w:tr2bl w:val="nil"/>
            </w:tcBorders>
            <w:noWrap w:val="0"/>
            <w:vAlign w:val="center"/>
          </w:tcPr>
          <w:p w14:paraId="259718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1.14E-05</w:t>
            </w:r>
          </w:p>
        </w:tc>
        <w:tc>
          <w:tcPr>
            <w:tcW w:w="776" w:type="pct"/>
            <w:tcBorders>
              <w:tl2br w:val="nil"/>
              <w:tr2bl w:val="nil"/>
            </w:tcBorders>
            <w:noWrap w:val="0"/>
            <w:vAlign w:val="center"/>
          </w:tcPr>
          <w:p w14:paraId="7822B11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0.11</w:t>
            </w:r>
          </w:p>
        </w:tc>
      </w:tr>
      <w:tr w14:paraId="6F29F8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029E222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500</w:t>
            </w:r>
          </w:p>
        </w:tc>
        <w:tc>
          <w:tcPr>
            <w:tcW w:w="1168" w:type="pct"/>
            <w:tcBorders>
              <w:tl2br w:val="nil"/>
              <w:tr2bl w:val="nil"/>
            </w:tcBorders>
            <w:noWrap w:val="0"/>
            <w:vAlign w:val="center"/>
          </w:tcPr>
          <w:p w14:paraId="34AE306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1.95E-03</w:t>
            </w:r>
          </w:p>
        </w:tc>
        <w:tc>
          <w:tcPr>
            <w:tcW w:w="775" w:type="pct"/>
            <w:tcBorders>
              <w:tl2br w:val="nil"/>
              <w:tr2bl w:val="nil"/>
            </w:tcBorders>
            <w:noWrap w:val="0"/>
            <w:vAlign w:val="center"/>
          </w:tcPr>
          <w:p w14:paraId="389D636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0.97</w:t>
            </w:r>
          </w:p>
        </w:tc>
        <w:tc>
          <w:tcPr>
            <w:tcW w:w="1275" w:type="pct"/>
            <w:tcBorders>
              <w:tl2br w:val="nil"/>
              <w:tr2bl w:val="nil"/>
            </w:tcBorders>
            <w:noWrap w:val="0"/>
            <w:vAlign w:val="center"/>
          </w:tcPr>
          <w:p w14:paraId="6DE8ABC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1.01E-05</w:t>
            </w:r>
          </w:p>
        </w:tc>
        <w:tc>
          <w:tcPr>
            <w:tcW w:w="776" w:type="pct"/>
            <w:tcBorders>
              <w:tl2br w:val="nil"/>
              <w:tr2bl w:val="nil"/>
            </w:tcBorders>
            <w:noWrap w:val="0"/>
            <w:vAlign w:val="center"/>
          </w:tcPr>
          <w:p w14:paraId="5145ED8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w:t>
            </w:r>
          </w:p>
        </w:tc>
      </w:tr>
      <w:tr w14:paraId="0B641B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7E612E6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550</w:t>
            </w:r>
          </w:p>
        </w:tc>
        <w:tc>
          <w:tcPr>
            <w:tcW w:w="1168" w:type="pct"/>
            <w:tcBorders>
              <w:tl2br w:val="nil"/>
              <w:tr2bl w:val="nil"/>
            </w:tcBorders>
            <w:noWrap w:val="0"/>
            <w:vAlign w:val="center"/>
          </w:tcPr>
          <w:p w14:paraId="1E0EF3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1.72E-03</w:t>
            </w:r>
          </w:p>
        </w:tc>
        <w:tc>
          <w:tcPr>
            <w:tcW w:w="775" w:type="pct"/>
            <w:tcBorders>
              <w:tl2br w:val="nil"/>
              <w:tr2bl w:val="nil"/>
            </w:tcBorders>
            <w:noWrap w:val="0"/>
            <w:vAlign w:val="center"/>
          </w:tcPr>
          <w:p w14:paraId="7ADCB88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0.86</w:t>
            </w:r>
          </w:p>
        </w:tc>
        <w:tc>
          <w:tcPr>
            <w:tcW w:w="1275" w:type="pct"/>
            <w:tcBorders>
              <w:tl2br w:val="nil"/>
              <w:tr2bl w:val="nil"/>
            </w:tcBorders>
            <w:noWrap w:val="0"/>
            <w:vAlign w:val="center"/>
          </w:tcPr>
          <w:p w14:paraId="7728B7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8.87E-06</w:t>
            </w:r>
          </w:p>
        </w:tc>
        <w:tc>
          <w:tcPr>
            <w:tcW w:w="776" w:type="pct"/>
            <w:tcBorders>
              <w:tl2br w:val="nil"/>
              <w:tr2bl w:val="nil"/>
            </w:tcBorders>
            <w:noWrap w:val="0"/>
            <w:vAlign w:val="center"/>
          </w:tcPr>
          <w:p w14:paraId="610BA6B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0.09</w:t>
            </w:r>
          </w:p>
        </w:tc>
      </w:tr>
      <w:tr w14:paraId="3BF080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06B04A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600</w:t>
            </w:r>
          </w:p>
        </w:tc>
        <w:tc>
          <w:tcPr>
            <w:tcW w:w="1168" w:type="pct"/>
            <w:tcBorders>
              <w:tl2br w:val="nil"/>
              <w:tr2bl w:val="nil"/>
            </w:tcBorders>
            <w:noWrap w:val="0"/>
            <w:vAlign w:val="center"/>
          </w:tcPr>
          <w:p w14:paraId="23ACEA7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1.53E-03</w:t>
            </w:r>
          </w:p>
        </w:tc>
        <w:tc>
          <w:tcPr>
            <w:tcW w:w="775" w:type="pct"/>
            <w:tcBorders>
              <w:tl2br w:val="nil"/>
              <w:tr2bl w:val="nil"/>
            </w:tcBorders>
            <w:noWrap w:val="0"/>
            <w:vAlign w:val="center"/>
          </w:tcPr>
          <w:p w14:paraId="0635E0C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0.77</w:t>
            </w:r>
          </w:p>
        </w:tc>
        <w:tc>
          <w:tcPr>
            <w:tcW w:w="1275" w:type="pct"/>
            <w:tcBorders>
              <w:tl2br w:val="nil"/>
              <w:tr2bl w:val="nil"/>
            </w:tcBorders>
            <w:noWrap w:val="0"/>
            <w:vAlign w:val="center"/>
          </w:tcPr>
          <w:p w14:paraId="66FEEC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7.91E-06</w:t>
            </w:r>
          </w:p>
        </w:tc>
        <w:tc>
          <w:tcPr>
            <w:tcW w:w="776" w:type="pct"/>
            <w:tcBorders>
              <w:tl2br w:val="nil"/>
              <w:tr2bl w:val="nil"/>
            </w:tcBorders>
            <w:noWrap w:val="0"/>
            <w:vAlign w:val="center"/>
          </w:tcPr>
          <w:p w14:paraId="23159E2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0.08</w:t>
            </w:r>
          </w:p>
        </w:tc>
      </w:tr>
      <w:tr w14:paraId="48EAAB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BE2020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650</w:t>
            </w:r>
          </w:p>
        </w:tc>
        <w:tc>
          <w:tcPr>
            <w:tcW w:w="1168" w:type="pct"/>
            <w:tcBorders>
              <w:tl2br w:val="nil"/>
              <w:tr2bl w:val="nil"/>
            </w:tcBorders>
            <w:noWrap w:val="0"/>
            <w:vAlign w:val="center"/>
          </w:tcPr>
          <w:p w14:paraId="2D3321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1.38E-03</w:t>
            </w:r>
          </w:p>
        </w:tc>
        <w:tc>
          <w:tcPr>
            <w:tcW w:w="775" w:type="pct"/>
            <w:tcBorders>
              <w:tl2br w:val="nil"/>
              <w:tr2bl w:val="nil"/>
            </w:tcBorders>
            <w:noWrap w:val="0"/>
            <w:vAlign w:val="center"/>
          </w:tcPr>
          <w:p w14:paraId="2F1CDF6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0.69</w:t>
            </w:r>
          </w:p>
        </w:tc>
        <w:tc>
          <w:tcPr>
            <w:tcW w:w="1275" w:type="pct"/>
            <w:tcBorders>
              <w:tl2br w:val="nil"/>
              <w:tr2bl w:val="nil"/>
            </w:tcBorders>
            <w:noWrap w:val="0"/>
            <w:vAlign w:val="center"/>
          </w:tcPr>
          <w:p w14:paraId="6689F6F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7.12E-06</w:t>
            </w:r>
          </w:p>
        </w:tc>
        <w:tc>
          <w:tcPr>
            <w:tcW w:w="776" w:type="pct"/>
            <w:tcBorders>
              <w:tl2br w:val="nil"/>
              <w:tr2bl w:val="nil"/>
            </w:tcBorders>
            <w:noWrap w:val="0"/>
            <w:vAlign w:val="center"/>
          </w:tcPr>
          <w:p w14:paraId="5521EF4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0.07</w:t>
            </w:r>
          </w:p>
        </w:tc>
      </w:tr>
      <w:tr w14:paraId="0A062E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3DEA87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700</w:t>
            </w:r>
          </w:p>
        </w:tc>
        <w:tc>
          <w:tcPr>
            <w:tcW w:w="1168" w:type="pct"/>
            <w:tcBorders>
              <w:tl2br w:val="nil"/>
              <w:tr2bl w:val="nil"/>
            </w:tcBorders>
            <w:noWrap w:val="0"/>
            <w:vAlign w:val="center"/>
          </w:tcPr>
          <w:p w14:paraId="7199DBB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1.25E-03</w:t>
            </w:r>
          </w:p>
        </w:tc>
        <w:tc>
          <w:tcPr>
            <w:tcW w:w="775" w:type="pct"/>
            <w:tcBorders>
              <w:tl2br w:val="nil"/>
              <w:tr2bl w:val="nil"/>
            </w:tcBorders>
            <w:noWrap w:val="0"/>
            <w:vAlign w:val="center"/>
          </w:tcPr>
          <w:p w14:paraId="7F3D771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0.62</w:t>
            </w:r>
          </w:p>
        </w:tc>
        <w:tc>
          <w:tcPr>
            <w:tcW w:w="1275" w:type="pct"/>
            <w:tcBorders>
              <w:tl2br w:val="nil"/>
              <w:tr2bl w:val="nil"/>
            </w:tcBorders>
            <w:noWrap w:val="0"/>
            <w:vAlign w:val="center"/>
          </w:tcPr>
          <w:p w14:paraId="7A0EDE6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6.45E-06</w:t>
            </w:r>
          </w:p>
        </w:tc>
        <w:tc>
          <w:tcPr>
            <w:tcW w:w="776" w:type="pct"/>
            <w:tcBorders>
              <w:tl2br w:val="nil"/>
              <w:tr2bl w:val="nil"/>
            </w:tcBorders>
            <w:noWrap w:val="0"/>
            <w:vAlign w:val="center"/>
          </w:tcPr>
          <w:p w14:paraId="76F78C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0.06</w:t>
            </w:r>
          </w:p>
        </w:tc>
      </w:tr>
      <w:tr w14:paraId="421EE7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07D9B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750</w:t>
            </w:r>
          </w:p>
        </w:tc>
        <w:tc>
          <w:tcPr>
            <w:tcW w:w="1168" w:type="pct"/>
            <w:tcBorders>
              <w:tl2br w:val="nil"/>
              <w:tr2bl w:val="nil"/>
            </w:tcBorders>
            <w:noWrap w:val="0"/>
            <w:vAlign w:val="center"/>
          </w:tcPr>
          <w:p w14:paraId="5925B6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1.14E-03</w:t>
            </w:r>
          </w:p>
        </w:tc>
        <w:tc>
          <w:tcPr>
            <w:tcW w:w="775" w:type="pct"/>
            <w:tcBorders>
              <w:tl2br w:val="nil"/>
              <w:tr2bl w:val="nil"/>
            </w:tcBorders>
            <w:noWrap w:val="0"/>
            <w:vAlign w:val="center"/>
          </w:tcPr>
          <w:p w14:paraId="3C66AB6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0.57</w:t>
            </w:r>
          </w:p>
        </w:tc>
        <w:tc>
          <w:tcPr>
            <w:tcW w:w="1275" w:type="pct"/>
            <w:tcBorders>
              <w:tl2br w:val="nil"/>
              <w:tr2bl w:val="nil"/>
            </w:tcBorders>
            <w:noWrap w:val="0"/>
            <w:vAlign w:val="center"/>
          </w:tcPr>
          <w:p w14:paraId="6370839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5.88E-06</w:t>
            </w:r>
          </w:p>
        </w:tc>
        <w:tc>
          <w:tcPr>
            <w:tcW w:w="776" w:type="pct"/>
            <w:tcBorders>
              <w:tl2br w:val="nil"/>
              <w:tr2bl w:val="nil"/>
            </w:tcBorders>
            <w:noWrap w:val="0"/>
            <w:vAlign w:val="center"/>
          </w:tcPr>
          <w:p w14:paraId="6F26622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0.06</w:t>
            </w:r>
          </w:p>
        </w:tc>
      </w:tr>
      <w:tr w14:paraId="6F284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2A3FF8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800</w:t>
            </w:r>
          </w:p>
        </w:tc>
        <w:tc>
          <w:tcPr>
            <w:tcW w:w="1168" w:type="pct"/>
            <w:tcBorders>
              <w:tl2br w:val="nil"/>
              <w:tr2bl w:val="nil"/>
            </w:tcBorders>
            <w:noWrap w:val="0"/>
            <w:vAlign w:val="center"/>
          </w:tcPr>
          <w:p w14:paraId="6CA0C0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1.04E-03</w:t>
            </w:r>
          </w:p>
        </w:tc>
        <w:tc>
          <w:tcPr>
            <w:tcW w:w="775" w:type="pct"/>
            <w:tcBorders>
              <w:tl2br w:val="nil"/>
              <w:tr2bl w:val="nil"/>
            </w:tcBorders>
            <w:noWrap w:val="0"/>
            <w:vAlign w:val="center"/>
          </w:tcPr>
          <w:p w14:paraId="4AE1E9E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0.52</w:t>
            </w:r>
          </w:p>
        </w:tc>
        <w:tc>
          <w:tcPr>
            <w:tcW w:w="1275" w:type="pct"/>
            <w:tcBorders>
              <w:tl2br w:val="nil"/>
              <w:tr2bl w:val="nil"/>
            </w:tcBorders>
            <w:noWrap w:val="0"/>
            <w:vAlign w:val="center"/>
          </w:tcPr>
          <w:p w14:paraId="3A273BA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5.40E-06</w:t>
            </w:r>
          </w:p>
        </w:tc>
        <w:tc>
          <w:tcPr>
            <w:tcW w:w="776" w:type="pct"/>
            <w:tcBorders>
              <w:tl2br w:val="nil"/>
              <w:tr2bl w:val="nil"/>
            </w:tcBorders>
            <w:noWrap w:val="0"/>
            <w:vAlign w:val="center"/>
          </w:tcPr>
          <w:p w14:paraId="7990FFE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7D96A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7F59DCA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850</w:t>
            </w:r>
          </w:p>
        </w:tc>
        <w:tc>
          <w:tcPr>
            <w:tcW w:w="1168" w:type="pct"/>
            <w:tcBorders>
              <w:tl2br w:val="nil"/>
              <w:tr2bl w:val="nil"/>
            </w:tcBorders>
            <w:noWrap w:val="0"/>
            <w:vAlign w:val="center"/>
          </w:tcPr>
          <w:p w14:paraId="7C7B4AB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9.63E-04</w:t>
            </w:r>
          </w:p>
        </w:tc>
        <w:tc>
          <w:tcPr>
            <w:tcW w:w="775" w:type="pct"/>
            <w:tcBorders>
              <w:tl2br w:val="nil"/>
              <w:tr2bl w:val="nil"/>
            </w:tcBorders>
            <w:noWrap w:val="0"/>
            <w:vAlign w:val="center"/>
          </w:tcPr>
          <w:p w14:paraId="5509C5E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0.48</w:t>
            </w:r>
          </w:p>
        </w:tc>
        <w:tc>
          <w:tcPr>
            <w:tcW w:w="1275" w:type="pct"/>
            <w:tcBorders>
              <w:tl2br w:val="nil"/>
              <w:tr2bl w:val="nil"/>
            </w:tcBorders>
            <w:noWrap w:val="0"/>
            <w:vAlign w:val="center"/>
          </w:tcPr>
          <w:p w14:paraId="63C3F3A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4.98E-06</w:t>
            </w:r>
          </w:p>
        </w:tc>
        <w:tc>
          <w:tcPr>
            <w:tcW w:w="776" w:type="pct"/>
            <w:tcBorders>
              <w:tl2br w:val="nil"/>
              <w:tr2bl w:val="nil"/>
            </w:tcBorders>
            <w:noWrap w:val="0"/>
            <w:vAlign w:val="center"/>
          </w:tcPr>
          <w:p w14:paraId="3F01933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1A14C6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D50190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900</w:t>
            </w:r>
          </w:p>
        </w:tc>
        <w:tc>
          <w:tcPr>
            <w:tcW w:w="1168" w:type="pct"/>
            <w:tcBorders>
              <w:tl2br w:val="nil"/>
              <w:tr2bl w:val="nil"/>
            </w:tcBorders>
            <w:noWrap w:val="0"/>
            <w:vAlign w:val="center"/>
          </w:tcPr>
          <w:p w14:paraId="69FF2B5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8.92E-04</w:t>
            </w:r>
          </w:p>
        </w:tc>
        <w:tc>
          <w:tcPr>
            <w:tcW w:w="775" w:type="pct"/>
            <w:tcBorders>
              <w:tl2br w:val="nil"/>
              <w:tr2bl w:val="nil"/>
            </w:tcBorders>
            <w:noWrap w:val="0"/>
            <w:vAlign w:val="center"/>
          </w:tcPr>
          <w:p w14:paraId="260059A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0.45</w:t>
            </w:r>
          </w:p>
        </w:tc>
        <w:tc>
          <w:tcPr>
            <w:tcW w:w="1275" w:type="pct"/>
            <w:tcBorders>
              <w:tl2br w:val="nil"/>
              <w:tr2bl w:val="nil"/>
            </w:tcBorders>
            <w:noWrap w:val="0"/>
            <w:vAlign w:val="center"/>
          </w:tcPr>
          <w:p w14:paraId="01E2A9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4.61E-06</w:t>
            </w:r>
          </w:p>
        </w:tc>
        <w:tc>
          <w:tcPr>
            <w:tcW w:w="776" w:type="pct"/>
            <w:tcBorders>
              <w:tl2br w:val="nil"/>
              <w:tr2bl w:val="nil"/>
            </w:tcBorders>
            <w:noWrap w:val="0"/>
            <w:vAlign w:val="center"/>
          </w:tcPr>
          <w:p w14:paraId="50C2A6D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0.05</w:t>
            </w:r>
          </w:p>
        </w:tc>
      </w:tr>
      <w:tr w14:paraId="768C98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ECA320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950</w:t>
            </w:r>
          </w:p>
        </w:tc>
        <w:tc>
          <w:tcPr>
            <w:tcW w:w="1168" w:type="pct"/>
            <w:tcBorders>
              <w:tl2br w:val="nil"/>
              <w:tr2bl w:val="nil"/>
            </w:tcBorders>
            <w:noWrap w:val="0"/>
            <w:vAlign w:val="center"/>
          </w:tcPr>
          <w:p w14:paraId="7C444ED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8.30E-04</w:t>
            </w:r>
          </w:p>
        </w:tc>
        <w:tc>
          <w:tcPr>
            <w:tcW w:w="775" w:type="pct"/>
            <w:tcBorders>
              <w:tl2br w:val="nil"/>
              <w:tr2bl w:val="nil"/>
            </w:tcBorders>
            <w:noWrap w:val="0"/>
            <w:vAlign w:val="center"/>
          </w:tcPr>
          <w:p w14:paraId="214D759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0.41</w:t>
            </w:r>
          </w:p>
        </w:tc>
        <w:tc>
          <w:tcPr>
            <w:tcW w:w="1275" w:type="pct"/>
            <w:tcBorders>
              <w:tl2br w:val="nil"/>
              <w:tr2bl w:val="nil"/>
            </w:tcBorders>
            <w:noWrap w:val="0"/>
            <w:vAlign w:val="center"/>
          </w:tcPr>
          <w:p w14:paraId="6889152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4.29E-06</w:t>
            </w:r>
          </w:p>
        </w:tc>
        <w:tc>
          <w:tcPr>
            <w:tcW w:w="776" w:type="pct"/>
            <w:tcBorders>
              <w:tl2br w:val="nil"/>
              <w:tr2bl w:val="nil"/>
            </w:tcBorders>
            <w:noWrap w:val="0"/>
            <w:vAlign w:val="center"/>
          </w:tcPr>
          <w:p w14:paraId="4021CBD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0D26D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7BC0E7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1000</w:t>
            </w:r>
          </w:p>
        </w:tc>
        <w:tc>
          <w:tcPr>
            <w:tcW w:w="1168" w:type="pct"/>
            <w:tcBorders>
              <w:tl2br w:val="nil"/>
              <w:tr2bl w:val="nil"/>
            </w:tcBorders>
            <w:noWrap w:val="0"/>
            <w:vAlign w:val="center"/>
          </w:tcPr>
          <w:p w14:paraId="0E04705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7.75E-04</w:t>
            </w:r>
          </w:p>
        </w:tc>
        <w:tc>
          <w:tcPr>
            <w:tcW w:w="775" w:type="pct"/>
            <w:tcBorders>
              <w:tl2br w:val="nil"/>
              <w:tr2bl w:val="nil"/>
            </w:tcBorders>
            <w:noWrap w:val="0"/>
            <w:vAlign w:val="center"/>
          </w:tcPr>
          <w:p w14:paraId="31FC0F7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0.39</w:t>
            </w:r>
          </w:p>
        </w:tc>
        <w:tc>
          <w:tcPr>
            <w:tcW w:w="1275" w:type="pct"/>
            <w:tcBorders>
              <w:tl2br w:val="nil"/>
              <w:tr2bl w:val="nil"/>
            </w:tcBorders>
            <w:noWrap w:val="0"/>
            <w:vAlign w:val="center"/>
          </w:tcPr>
          <w:p w14:paraId="100CE0D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4.00E-06</w:t>
            </w:r>
          </w:p>
        </w:tc>
        <w:tc>
          <w:tcPr>
            <w:tcW w:w="776" w:type="pct"/>
            <w:tcBorders>
              <w:tl2br w:val="nil"/>
              <w:tr2bl w:val="nil"/>
            </w:tcBorders>
            <w:noWrap w:val="0"/>
            <w:vAlign w:val="center"/>
          </w:tcPr>
          <w:p w14:paraId="36C8815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70325F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2208CF9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1100</w:t>
            </w:r>
          </w:p>
        </w:tc>
        <w:tc>
          <w:tcPr>
            <w:tcW w:w="1168" w:type="pct"/>
            <w:tcBorders>
              <w:tl2br w:val="nil"/>
              <w:tr2bl w:val="nil"/>
            </w:tcBorders>
            <w:noWrap w:val="0"/>
            <w:vAlign w:val="center"/>
          </w:tcPr>
          <w:p w14:paraId="721C2F8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6.81E-04</w:t>
            </w:r>
          </w:p>
        </w:tc>
        <w:tc>
          <w:tcPr>
            <w:tcW w:w="775" w:type="pct"/>
            <w:tcBorders>
              <w:tl2br w:val="nil"/>
              <w:tr2bl w:val="nil"/>
            </w:tcBorders>
            <w:noWrap w:val="0"/>
            <w:vAlign w:val="center"/>
          </w:tcPr>
          <w:p w14:paraId="5FFC6B0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0.34</w:t>
            </w:r>
          </w:p>
        </w:tc>
        <w:tc>
          <w:tcPr>
            <w:tcW w:w="1275" w:type="pct"/>
            <w:tcBorders>
              <w:tl2br w:val="nil"/>
              <w:tr2bl w:val="nil"/>
            </w:tcBorders>
            <w:noWrap w:val="0"/>
            <w:vAlign w:val="center"/>
          </w:tcPr>
          <w:p w14:paraId="4A2CD95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3.52E-06</w:t>
            </w:r>
          </w:p>
        </w:tc>
        <w:tc>
          <w:tcPr>
            <w:tcW w:w="776" w:type="pct"/>
            <w:tcBorders>
              <w:tl2br w:val="nil"/>
              <w:tr2bl w:val="nil"/>
            </w:tcBorders>
            <w:noWrap w:val="0"/>
            <w:vAlign w:val="center"/>
          </w:tcPr>
          <w:p w14:paraId="1E69C7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0.04</w:t>
            </w:r>
          </w:p>
        </w:tc>
      </w:tr>
      <w:tr w14:paraId="58568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17D344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1200</w:t>
            </w:r>
          </w:p>
        </w:tc>
        <w:tc>
          <w:tcPr>
            <w:tcW w:w="1168" w:type="pct"/>
            <w:tcBorders>
              <w:tl2br w:val="nil"/>
              <w:tr2bl w:val="nil"/>
            </w:tcBorders>
            <w:noWrap w:val="0"/>
            <w:vAlign w:val="center"/>
          </w:tcPr>
          <w:p w14:paraId="4C15AF2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6.06E-04</w:t>
            </w:r>
          </w:p>
        </w:tc>
        <w:tc>
          <w:tcPr>
            <w:tcW w:w="775" w:type="pct"/>
            <w:tcBorders>
              <w:tl2br w:val="nil"/>
              <w:tr2bl w:val="nil"/>
            </w:tcBorders>
            <w:noWrap w:val="0"/>
            <w:vAlign w:val="center"/>
          </w:tcPr>
          <w:p w14:paraId="4F7D8F9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w:t>
            </w:r>
          </w:p>
        </w:tc>
        <w:tc>
          <w:tcPr>
            <w:tcW w:w="1275" w:type="pct"/>
            <w:tcBorders>
              <w:tl2br w:val="nil"/>
              <w:tr2bl w:val="nil"/>
            </w:tcBorders>
            <w:noWrap w:val="0"/>
            <w:vAlign w:val="center"/>
          </w:tcPr>
          <w:p w14:paraId="265BB72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3.13E-06</w:t>
            </w:r>
          </w:p>
        </w:tc>
        <w:tc>
          <w:tcPr>
            <w:tcW w:w="776" w:type="pct"/>
            <w:tcBorders>
              <w:tl2br w:val="nil"/>
              <w:tr2bl w:val="nil"/>
            </w:tcBorders>
            <w:noWrap w:val="0"/>
            <w:vAlign w:val="center"/>
          </w:tcPr>
          <w:p w14:paraId="62D34A9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135C4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51035E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1300</w:t>
            </w:r>
          </w:p>
        </w:tc>
        <w:tc>
          <w:tcPr>
            <w:tcW w:w="1168" w:type="pct"/>
            <w:tcBorders>
              <w:tl2br w:val="nil"/>
              <w:tr2bl w:val="nil"/>
            </w:tcBorders>
            <w:noWrap w:val="0"/>
            <w:vAlign w:val="center"/>
          </w:tcPr>
          <w:p w14:paraId="6E09EEB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5.44E-04</w:t>
            </w:r>
          </w:p>
        </w:tc>
        <w:tc>
          <w:tcPr>
            <w:tcW w:w="775" w:type="pct"/>
            <w:tcBorders>
              <w:tl2br w:val="nil"/>
              <w:tr2bl w:val="nil"/>
            </w:tcBorders>
            <w:noWrap w:val="0"/>
            <w:vAlign w:val="center"/>
          </w:tcPr>
          <w:p w14:paraId="1DF84C0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0.27</w:t>
            </w:r>
          </w:p>
        </w:tc>
        <w:tc>
          <w:tcPr>
            <w:tcW w:w="1275" w:type="pct"/>
            <w:tcBorders>
              <w:tl2br w:val="nil"/>
              <w:tr2bl w:val="nil"/>
            </w:tcBorders>
            <w:noWrap w:val="0"/>
            <w:vAlign w:val="center"/>
          </w:tcPr>
          <w:p w14:paraId="262BC84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2.81E-06</w:t>
            </w:r>
          </w:p>
        </w:tc>
        <w:tc>
          <w:tcPr>
            <w:tcW w:w="776" w:type="pct"/>
            <w:tcBorders>
              <w:tl2br w:val="nil"/>
              <w:tr2bl w:val="nil"/>
            </w:tcBorders>
            <w:noWrap w:val="0"/>
            <w:vAlign w:val="center"/>
          </w:tcPr>
          <w:p w14:paraId="45CD46D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6C55D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3B543B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1400</w:t>
            </w:r>
          </w:p>
        </w:tc>
        <w:tc>
          <w:tcPr>
            <w:tcW w:w="1168" w:type="pct"/>
            <w:tcBorders>
              <w:tl2br w:val="nil"/>
              <w:tr2bl w:val="nil"/>
            </w:tcBorders>
            <w:noWrap w:val="0"/>
            <w:vAlign w:val="center"/>
          </w:tcPr>
          <w:p w14:paraId="71D090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4.92E-04</w:t>
            </w:r>
          </w:p>
        </w:tc>
        <w:tc>
          <w:tcPr>
            <w:tcW w:w="775" w:type="pct"/>
            <w:tcBorders>
              <w:tl2br w:val="nil"/>
              <w:tr2bl w:val="nil"/>
            </w:tcBorders>
            <w:noWrap w:val="0"/>
            <w:vAlign w:val="center"/>
          </w:tcPr>
          <w:p w14:paraId="3070A62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0.25</w:t>
            </w:r>
          </w:p>
        </w:tc>
        <w:tc>
          <w:tcPr>
            <w:tcW w:w="1275" w:type="pct"/>
            <w:tcBorders>
              <w:tl2br w:val="nil"/>
              <w:tr2bl w:val="nil"/>
            </w:tcBorders>
            <w:noWrap w:val="0"/>
            <w:vAlign w:val="center"/>
          </w:tcPr>
          <w:p w14:paraId="27C2B49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2.54E-06</w:t>
            </w:r>
          </w:p>
        </w:tc>
        <w:tc>
          <w:tcPr>
            <w:tcW w:w="776" w:type="pct"/>
            <w:tcBorders>
              <w:tl2br w:val="nil"/>
              <w:tr2bl w:val="nil"/>
            </w:tcBorders>
            <w:noWrap w:val="0"/>
            <w:vAlign w:val="center"/>
          </w:tcPr>
          <w:p w14:paraId="3A1B31F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0.03</w:t>
            </w:r>
          </w:p>
        </w:tc>
      </w:tr>
      <w:tr w14:paraId="0E1EB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DE8A8C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1500</w:t>
            </w:r>
          </w:p>
        </w:tc>
        <w:tc>
          <w:tcPr>
            <w:tcW w:w="1168" w:type="pct"/>
            <w:tcBorders>
              <w:tl2br w:val="nil"/>
              <w:tr2bl w:val="nil"/>
            </w:tcBorders>
            <w:noWrap w:val="0"/>
            <w:vAlign w:val="center"/>
          </w:tcPr>
          <w:p w14:paraId="300823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4.48E-04</w:t>
            </w:r>
          </w:p>
        </w:tc>
        <w:tc>
          <w:tcPr>
            <w:tcW w:w="775" w:type="pct"/>
            <w:tcBorders>
              <w:tl2br w:val="nil"/>
              <w:tr2bl w:val="nil"/>
            </w:tcBorders>
            <w:noWrap w:val="0"/>
            <w:vAlign w:val="center"/>
          </w:tcPr>
          <w:p w14:paraId="5E35969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0.22</w:t>
            </w:r>
          </w:p>
        </w:tc>
        <w:tc>
          <w:tcPr>
            <w:tcW w:w="1275" w:type="pct"/>
            <w:tcBorders>
              <w:tl2br w:val="nil"/>
              <w:tr2bl w:val="nil"/>
            </w:tcBorders>
            <w:noWrap w:val="0"/>
            <w:vAlign w:val="center"/>
          </w:tcPr>
          <w:p w14:paraId="25FE120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2.32E-06</w:t>
            </w:r>
          </w:p>
        </w:tc>
        <w:tc>
          <w:tcPr>
            <w:tcW w:w="776" w:type="pct"/>
            <w:tcBorders>
              <w:tl2br w:val="nil"/>
              <w:tr2bl w:val="nil"/>
            </w:tcBorders>
            <w:noWrap w:val="0"/>
            <w:vAlign w:val="center"/>
          </w:tcPr>
          <w:p w14:paraId="7BEA2B5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5E8435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7A5E8A4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1600</w:t>
            </w:r>
          </w:p>
        </w:tc>
        <w:tc>
          <w:tcPr>
            <w:tcW w:w="1168" w:type="pct"/>
            <w:tcBorders>
              <w:tl2br w:val="nil"/>
              <w:tr2bl w:val="nil"/>
            </w:tcBorders>
            <w:noWrap w:val="0"/>
            <w:vAlign w:val="center"/>
          </w:tcPr>
          <w:p w14:paraId="6AAB793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4.11E-04</w:t>
            </w:r>
          </w:p>
        </w:tc>
        <w:tc>
          <w:tcPr>
            <w:tcW w:w="775" w:type="pct"/>
            <w:tcBorders>
              <w:tl2br w:val="nil"/>
              <w:tr2bl w:val="nil"/>
            </w:tcBorders>
            <w:noWrap w:val="0"/>
            <w:vAlign w:val="center"/>
          </w:tcPr>
          <w:p w14:paraId="7D644BD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0.21</w:t>
            </w:r>
          </w:p>
        </w:tc>
        <w:tc>
          <w:tcPr>
            <w:tcW w:w="1275" w:type="pct"/>
            <w:tcBorders>
              <w:tl2br w:val="nil"/>
              <w:tr2bl w:val="nil"/>
            </w:tcBorders>
            <w:noWrap w:val="0"/>
            <w:vAlign w:val="center"/>
          </w:tcPr>
          <w:p w14:paraId="5268A93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2.12E-06</w:t>
            </w:r>
          </w:p>
        </w:tc>
        <w:tc>
          <w:tcPr>
            <w:tcW w:w="776" w:type="pct"/>
            <w:tcBorders>
              <w:tl2br w:val="nil"/>
              <w:tr2bl w:val="nil"/>
            </w:tcBorders>
            <w:noWrap w:val="0"/>
            <w:vAlign w:val="center"/>
          </w:tcPr>
          <w:p w14:paraId="76300D5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3D5E6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C993D4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1700</w:t>
            </w:r>
          </w:p>
        </w:tc>
        <w:tc>
          <w:tcPr>
            <w:tcW w:w="1168" w:type="pct"/>
            <w:tcBorders>
              <w:tl2br w:val="nil"/>
              <w:tr2bl w:val="nil"/>
            </w:tcBorders>
            <w:noWrap w:val="0"/>
            <w:vAlign w:val="center"/>
          </w:tcPr>
          <w:p w14:paraId="05874BE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3.78E-04</w:t>
            </w:r>
          </w:p>
        </w:tc>
        <w:tc>
          <w:tcPr>
            <w:tcW w:w="775" w:type="pct"/>
            <w:tcBorders>
              <w:tl2br w:val="nil"/>
              <w:tr2bl w:val="nil"/>
            </w:tcBorders>
            <w:noWrap w:val="0"/>
            <w:vAlign w:val="center"/>
          </w:tcPr>
          <w:p w14:paraId="63FD167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0.19</w:t>
            </w:r>
          </w:p>
        </w:tc>
        <w:tc>
          <w:tcPr>
            <w:tcW w:w="1275" w:type="pct"/>
            <w:tcBorders>
              <w:tl2br w:val="nil"/>
              <w:tr2bl w:val="nil"/>
            </w:tcBorders>
            <w:noWrap w:val="0"/>
            <w:vAlign w:val="center"/>
          </w:tcPr>
          <w:p w14:paraId="321B25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1.95E-06</w:t>
            </w:r>
          </w:p>
        </w:tc>
        <w:tc>
          <w:tcPr>
            <w:tcW w:w="776" w:type="pct"/>
            <w:tcBorders>
              <w:tl2br w:val="nil"/>
              <w:tr2bl w:val="nil"/>
            </w:tcBorders>
            <w:noWrap w:val="0"/>
            <w:vAlign w:val="center"/>
          </w:tcPr>
          <w:p w14:paraId="1DE101E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4F6D5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E67E41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1800</w:t>
            </w:r>
          </w:p>
        </w:tc>
        <w:tc>
          <w:tcPr>
            <w:tcW w:w="1168" w:type="pct"/>
            <w:tcBorders>
              <w:tl2br w:val="nil"/>
              <w:tr2bl w:val="nil"/>
            </w:tcBorders>
            <w:noWrap w:val="0"/>
            <w:vAlign w:val="center"/>
          </w:tcPr>
          <w:p w14:paraId="3BF0E5B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3.50E-04</w:t>
            </w:r>
          </w:p>
        </w:tc>
        <w:tc>
          <w:tcPr>
            <w:tcW w:w="775" w:type="pct"/>
            <w:tcBorders>
              <w:tl2br w:val="nil"/>
              <w:tr2bl w:val="nil"/>
            </w:tcBorders>
            <w:noWrap w:val="0"/>
            <w:vAlign w:val="center"/>
          </w:tcPr>
          <w:p w14:paraId="4DFBB32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0.17</w:t>
            </w:r>
          </w:p>
        </w:tc>
        <w:tc>
          <w:tcPr>
            <w:tcW w:w="1275" w:type="pct"/>
            <w:tcBorders>
              <w:tl2br w:val="nil"/>
              <w:tr2bl w:val="nil"/>
            </w:tcBorders>
            <w:noWrap w:val="0"/>
            <w:vAlign w:val="center"/>
          </w:tcPr>
          <w:p w14:paraId="07D3665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1.81E-06</w:t>
            </w:r>
          </w:p>
        </w:tc>
        <w:tc>
          <w:tcPr>
            <w:tcW w:w="776" w:type="pct"/>
            <w:tcBorders>
              <w:tl2br w:val="nil"/>
              <w:tr2bl w:val="nil"/>
            </w:tcBorders>
            <w:noWrap w:val="0"/>
            <w:vAlign w:val="center"/>
          </w:tcPr>
          <w:p w14:paraId="6229FE0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55E139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CA8AC5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1900</w:t>
            </w:r>
          </w:p>
        </w:tc>
        <w:tc>
          <w:tcPr>
            <w:tcW w:w="1168" w:type="pct"/>
            <w:tcBorders>
              <w:tl2br w:val="nil"/>
              <w:tr2bl w:val="nil"/>
            </w:tcBorders>
            <w:noWrap w:val="0"/>
            <w:vAlign w:val="center"/>
          </w:tcPr>
          <w:p w14:paraId="26CCD26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3.25E-04</w:t>
            </w:r>
          </w:p>
        </w:tc>
        <w:tc>
          <w:tcPr>
            <w:tcW w:w="775" w:type="pct"/>
            <w:tcBorders>
              <w:tl2br w:val="nil"/>
              <w:tr2bl w:val="nil"/>
            </w:tcBorders>
            <w:noWrap w:val="0"/>
            <w:vAlign w:val="center"/>
          </w:tcPr>
          <w:p w14:paraId="677BA0F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0.16</w:t>
            </w:r>
          </w:p>
        </w:tc>
        <w:tc>
          <w:tcPr>
            <w:tcW w:w="1275" w:type="pct"/>
            <w:tcBorders>
              <w:tl2br w:val="nil"/>
              <w:tr2bl w:val="nil"/>
            </w:tcBorders>
            <w:noWrap w:val="0"/>
            <w:vAlign w:val="center"/>
          </w:tcPr>
          <w:p w14:paraId="57784E6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1.68E-06</w:t>
            </w:r>
          </w:p>
        </w:tc>
        <w:tc>
          <w:tcPr>
            <w:tcW w:w="776" w:type="pct"/>
            <w:tcBorders>
              <w:tl2br w:val="nil"/>
              <w:tr2bl w:val="nil"/>
            </w:tcBorders>
            <w:noWrap w:val="0"/>
            <w:vAlign w:val="center"/>
          </w:tcPr>
          <w:p w14:paraId="6D4D982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77B7E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C30899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2000</w:t>
            </w:r>
          </w:p>
        </w:tc>
        <w:tc>
          <w:tcPr>
            <w:tcW w:w="1168" w:type="pct"/>
            <w:tcBorders>
              <w:tl2br w:val="nil"/>
              <w:tr2bl w:val="nil"/>
            </w:tcBorders>
            <w:noWrap w:val="0"/>
            <w:vAlign w:val="center"/>
          </w:tcPr>
          <w:p w14:paraId="698BBBB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3.03E-04</w:t>
            </w:r>
          </w:p>
        </w:tc>
        <w:tc>
          <w:tcPr>
            <w:tcW w:w="775" w:type="pct"/>
            <w:tcBorders>
              <w:tl2br w:val="nil"/>
              <w:tr2bl w:val="nil"/>
            </w:tcBorders>
            <w:noWrap w:val="0"/>
            <w:vAlign w:val="center"/>
          </w:tcPr>
          <w:p w14:paraId="1304AF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0.15</w:t>
            </w:r>
          </w:p>
        </w:tc>
        <w:tc>
          <w:tcPr>
            <w:tcW w:w="1275" w:type="pct"/>
            <w:tcBorders>
              <w:tl2br w:val="nil"/>
              <w:tr2bl w:val="nil"/>
            </w:tcBorders>
            <w:noWrap w:val="0"/>
            <w:vAlign w:val="center"/>
          </w:tcPr>
          <w:p w14:paraId="7F06046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1.57E-06</w:t>
            </w:r>
          </w:p>
        </w:tc>
        <w:tc>
          <w:tcPr>
            <w:tcW w:w="776" w:type="pct"/>
            <w:tcBorders>
              <w:tl2br w:val="nil"/>
              <w:tr2bl w:val="nil"/>
            </w:tcBorders>
            <w:noWrap w:val="0"/>
            <w:vAlign w:val="center"/>
          </w:tcPr>
          <w:p w14:paraId="021A623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0.02</w:t>
            </w:r>
          </w:p>
        </w:tc>
      </w:tr>
      <w:tr w14:paraId="587CC2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3CF2969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2100</w:t>
            </w:r>
          </w:p>
        </w:tc>
        <w:tc>
          <w:tcPr>
            <w:tcW w:w="1168" w:type="pct"/>
            <w:tcBorders>
              <w:tl2br w:val="nil"/>
              <w:tr2bl w:val="nil"/>
            </w:tcBorders>
            <w:noWrap w:val="0"/>
            <w:vAlign w:val="center"/>
          </w:tcPr>
          <w:p w14:paraId="3C1B05D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2.84E-04</w:t>
            </w:r>
          </w:p>
        </w:tc>
        <w:tc>
          <w:tcPr>
            <w:tcW w:w="775" w:type="pct"/>
            <w:tcBorders>
              <w:tl2br w:val="nil"/>
              <w:tr2bl w:val="nil"/>
            </w:tcBorders>
            <w:noWrap w:val="0"/>
            <w:vAlign w:val="center"/>
          </w:tcPr>
          <w:p w14:paraId="6A9B316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0.14</w:t>
            </w:r>
          </w:p>
        </w:tc>
        <w:tc>
          <w:tcPr>
            <w:tcW w:w="1275" w:type="pct"/>
            <w:tcBorders>
              <w:tl2br w:val="nil"/>
              <w:tr2bl w:val="nil"/>
            </w:tcBorders>
            <w:noWrap w:val="0"/>
            <w:vAlign w:val="center"/>
          </w:tcPr>
          <w:p w14:paraId="5BE2AC0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1.47E-06</w:t>
            </w:r>
          </w:p>
        </w:tc>
        <w:tc>
          <w:tcPr>
            <w:tcW w:w="776" w:type="pct"/>
            <w:tcBorders>
              <w:tl2br w:val="nil"/>
              <w:tr2bl w:val="nil"/>
            </w:tcBorders>
            <w:noWrap w:val="0"/>
            <w:vAlign w:val="center"/>
          </w:tcPr>
          <w:p w14:paraId="053B673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C581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1E14A58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2200</w:t>
            </w:r>
          </w:p>
        </w:tc>
        <w:tc>
          <w:tcPr>
            <w:tcW w:w="1168" w:type="pct"/>
            <w:tcBorders>
              <w:tl2br w:val="nil"/>
              <w:tr2bl w:val="nil"/>
            </w:tcBorders>
            <w:noWrap w:val="0"/>
            <w:vAlign w:val="center"/>
          </w:tcPr>
          <w:p w14:paraId="4C7185C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2.66E-04</w:t>
            </w:r>
          </w:p>
        </w:tc>
        <w:tc>
          <w:tcPr>
            <w:tcW w:w="775" w:type="pct"/>
            <w:tcBorders>
              <w:tl2br w:val="nil"/>
              <w:tr2bl w:val="nil"/>
            </w:tcBorders>
            <w:noWrap w:val="0"/>
            <w:vAlign w:val="center"/>
          </w:tcPr>
          <w:p w14:paraId="0A02052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0.13</w:t>
            </w:r>
          </w:p>
        </w:tc>
        <w:tc>
          <w:tcPr>
            <w:tcW w:w="1275" w:type="pct"/>
            <w:tcBorders>
              <w:tl2br w:val="nil"/>
              <w:tr2bl w:val="nil"/>
            </w:tcBorders>
            <w:noWrap w:val="0"/>
            <w:vAlign w:val="center"/>
          </w:tcPr>
          <w:p w14:paraId="0F734DC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1.38E-06</w:t>
            </w:r>
          </w:p>
        </w:tc>
        <w:tc>
          <w:tcPr>
            <w:tcW w:w="776" w:type="pct"/>
            <w:tcBorders>
              <w:tl2br w:val="nil"/>
              <w:tr2bl w:val="nil"/>
            </w:tcBorders>
            <w:noWrap w:val="0"/>
            <w:vAlign w:val="center"/>
          </w:tcPr>
          <w:p w14:paraId="56F66EC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77E359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577C050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2300</w:t>
            </w:r>
          </w:p>
        </w:tc>
        <w:tc>
          <w:tcPr>
            <w:tcW w:w="1168" w:type="pct"/>
            <w:tcBorders>
              <w:tl2br w:val="nil"/>
              <w:tr2bl w:val="nil"/>
            </w:tcBorders>
            <w:noWrap w:val="0"/>
            <w:vAlign w:val="center"/>
          </w:tcPr>
          <w:p w14:paraId="7FEBF72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2.51E-04</w:t>
            </w:r>
          </w:p>
        </w:tc>
        <w:tc>
          <w:tcPr>
            <w:tcW w:w="775" w:type="pct"/>
            <w:tcBorders>
              <w:tl2br w:val="nil"/>
              <w:tr2bl w:val="nil"/>
            </w:tcBorders>
            <w:noWrap w:val="0"/>
            <w:vAlign w:val="center"/>
          </w:tcPr>
          <w:p w14:paraId="5521ABF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0.13</w:t>
            </w:r>
          </w:p>
        </w:tc>
        <w:tc>
          <w:tcPr>
            <w:tcW w:w="1275" w:type="pct"/>
            <w:tcBorders>
              <w:tl2br w:val="nil"/>
              <w:tr2bl w:val="nil"/>
            </w:tcBorders>
            <w:noWrap w:val="0"/>
            <w:vAlign w:val="center"/>
          </w:tcPr>
          <w:p w14:paraId="224BA7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1.30E-06</w:t>
            </w:r>
          </w:p>
        </w:tc>
        <w:tc>
          <w:tcPr>
            <w:tcW w:w="776" w:type="pct"/>
            <w:tcBorders>
              <w:tl2br w:val="nil"/>
              <w:tr2bl w:val="nil"/>
            </w:tcBorders>
            <w:noWrap w:val="0"/>
            <w:vAlign w:val="center"/>
          </w:tcPr>
          <w:p w14:paraId="0AEAA21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085B12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63066D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2400</w:t>
            </w:r>
          </w:p>
        </w:tc>
        <w:tc>
          <w:tcPr>
            <w:tcW w:w="1168" w:type="pct"/>
            <w:tcBorders>
              <w:tl2br w:val="nil"/>
              <w:tr2bl w:val="nil"/>
            </w:tcBorders>
            <w:noWrap w:val="0"/>
            <w:vAlign w:val="center"/>
          </w:tcPr>
          <w:p w14:paraId="07BA1BFD">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2.37E-04</w:t>
            </w:r>
          </w:p>
        </w:tc>
        <w:tc>
          <w:tcPr>
            <w:tcW w:w="775" w:type="pct"/>
            <w:tcBorders>
              <w:tl2br w:val="nil"/>
              <w:tr2bl w:val="nil"/>
            </w:tcBorders>
            <w:noWrap w:val="0"/>
            <w:vAlign w:val="center"/>
          </w:tcPr>
          <w:p w14:paraId="3E8AA0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0.12</w:t>
            </w:r>
          </w:p>
        </w:tc>
        <w:tc>
          <w:tcPr>
            <w:tcW w:w="1275" w:type="pct"/>
            <w:tcBorders>
              <w:tl2br w:val="nil"/>
              <w:tr2bl w:val="nil"/>
            </w:tcBorders>
            <w:noWrap w:val="0"/>
            <w:vAlign w:val="center"/>
          </w:tcPr>
          <w:p w14:paraId="79B668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1.22E-06</w:t>
            </w:r>
          </w:p>
        </w:tc>
        <w:tc>
          <w:tcPr>
            <w:tcW w:w="776" w:type="pct"/>
            <w:tcBorders>
              <w:tl2br w:val="nil"/>
              <w:tr2bl w:val="nil"/>
            </w:tcBorders>
            <w:noWrap w:val="0"/>
            <w:vAlign w:val="center"/>
          </w:tcPr>
          <w:p w14:paraId="2605FC2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411D3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2F607E6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2500</w:t>
            </w:r>
          </w:p>
        </w:tc>
        <w:tc>
          <w:tcPr>
            <w:tcW w:w="1168" w:type="pct"/>
            <w:tcBorders>
              <w:tl2br w:val="nil"/>
              <w:tr2bl w:val="nil"/>
            </w:tcBorders>
            <w:noWrap w:val="0"/>
            <w:vAlign w:val="center"/>
          </w:tcPr>
          <w:p w14:paraId="1BF37B2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2.24E-04</w:t>
            </w:r>
          </w:p>
        </w:tc>
        <w:tc>
          <w:tcPr>
            <w:tcW w:w="775" w:type="pct"/>
            <w:tcBorders>
              <w:tl2br w:val="nil"/>
              <w:tr2bl w:val="nil"/>
            </w:tcBorders>
            <w:noWrap w:val="0"/>
            <w:vAlign w:val="center"/>
          </w:tcPr>
          <w:p w14:paraId="0D45A05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0.11</w:t>
            </w:r>
          </w:p>
        </w:tc>
        <w:tc>
          <w:tcPr>
            <w:tcW w:w="1275" w:type="pct"/>
            <w:tcBorders>
              <w:tl2br w:val="nil"/>
              <w:tr2bl w:val="nil"/>
            </w:tcBorders>
            <w:noWrap w:val="0"/>
            <w:vAlign w:val="center"/>
          </w:tcPr>
          <w:p w14:paraId="5FF1741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1.16E-06</w:t>
            </w:r>
          </w:p>
        </w:tc>
        <w:tc>
          <w:tcPr>
            <w:tcW w:w="776" w:type="pct"/>
            <w:tcBorders>
              <w:tl2br w:val="nil"/>
              <w:tr2bl w:val="nil"/>
            </w:tcBorders>
            <w:noWrap w:val="0"/>
            <w:vAlign w:val="center"/>
          </w:tcPr>
          <w:p w14:paraId="15E28B6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r>
      <w:tr w14:paraId="5C392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top"/>
          </w:tcPr>
          <w:p w14:paraId="70CFE94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下风向最大质量浓度及占标率%</w:t>
            </w:r>
          </w:p>
        </w:tc>
        <w:tc>
          <w:tcPr>
            <w:tcW w:w="1168" w:type="pct"/>
            <w:tcBorders>
              <w:tl2br w:val="nil"/>
              <w:tr2bl w:val="nil"/>
            </w:tcBorders>
            <w:shd w:val="clear" w:color="auto" w:fill="auto"/>
            <w:noWrap w:val="0"/>
            <w:vAlign w:val="center"/>
          </w:tcPr>
          <w:p w14:paraId="1841ECA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1.58E-02</w:t>
            </w:r>
          </w:p>
        </w:tc>
        <w:tc>
          <w:tcPr>
            <w:tcW w:w="775" w:type="pct"/>
            <w:tcBorders>
              <w:tl2br w:val="nil"/>
              <w:tr2bl w:val="nil"/>
            </w:tcBorders>
            <w:shd w:val="clear" w:color="auto" w:fill="auto"/>
            <w:noWrap w:val="0"/>
            <w:vAlign w:val="center"/>
          </w:tcPr>
          <w:p w14:paraId="22A72D40">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7.91</w:t>
            </w:r>
          </w:p>
        </w:tc>
        <w:tc>
          <w:tcPr>
            <w:tcW w:w="1275" w:type="pct"/>
            <w:tcBorders>
              <w:tl2br w:val="nil"/>
              <w:tr2bl w:val="nil"/>
            </w:tcBorders>
            <w:shd w:val="clear" w:color="auto" w:fill="auto"/>
            <w:noWrap w:val="0"/>
            <w:vAlign w:val="center"/>
          </w:tcPr>
          <w:p w14:paraId="7AA3986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8.17E-05</w:t>
            </w:r>
          </w:p>
        </w:tc>
        <w:tc>
          <w:tcPr>
            <w:tcW w:w="776" w:type="pct"/>
            <w:tcBorders>
              <w:tl2br w:val="nil"/>
              <w:tr2bl w:val="nil"/>
            </w:tcBorders>
            <w:shd w:val="clear" w:color="auto" w:fill="auto"/>
            <w:noWrap w:val="0"/>
            <w:vAlign w:val="center"/>
          </w:tcPr>
          <w:p w14:paraId="630039D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0.82</w:t>
            </w:r>
          </w:p>
        </w:tc>
      </w:tr>
      <w:tr w14:paraId="4350B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4" w:type="pct"/>
            <w:tcBorders>
              <w:tl2br w:val="nil"/>
              <w:tr2bl w:val="nil"/>
            </w:tcBorders>
            <w:noWrap w:val="0"/>
            <w:vAlign w:val="center"/>
          </w:tcPr>
          <w:p w14:paraId="2E6E42D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D10%最远距离</w:t>
            </w:r>
          </w:p>
        </w:tc>
        <w:tc>
          <w:tcPr>
            <w:tcW w:w="1943" w:type="pct"/>
            <w:gridSpan w:val="2"/>
            <w:tcBorders>
              <w:tl2br w:val="nil"/>
              <w:tr2bl w:val="nil"/>
            </w:tcBorders>
            <w:noWrap w:val="0"/>
            <w:vAlign w:val="center"/>
          </w:tcPr>
          <w:p w14:paraId="03112C59">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w:t>
            </w:r>
          </w:p>
        </w:tc>
        <w:tc>
          <w:tcPr>
            <w:tcW w:w="2051" w:type="pct"/>
            <w:gridSpan w:val="2"/>
            <w:tcBorders>
              <w:tl2br w:val="nil"/>
              <w:tr2bl w:val="nil"/>
            </w:tcBorders>
            <w:noWrap w:val="0"/>
            <w:vAlign w:val="center"/>
          </w:tcPr>
          <w:p w14:paraId="16960A8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26</w:t>
            </w:r>
          </w:p>
        </w:tc>
      </w:tr>
    </w:tbl>
    <w:p w14:paraId="6214CFD4">
      <w:pPr>
        <w:pStyle w:val="13"/>
        <w:spacing w:line="240" w:lineRule="auto"/>
        <w:jc w:val="center"/>
        <w:rPr>
          <w:rFonts w:hint="default" w:ascii="Times New Roman" w:hAnsi="Times New Roman" w:eastAsia="黑体" w:cs="Times New Roman"/>
          <w:color w:val="auto"/>
          <w:sz w:val="24"/>
          <w:szCs w:val="20"/>
          <w:highlight w:val="yellow"/>
          <w:u w:val="none" w:color="auto"/>
          <w:lang w:val="en-US" w:eastAsia="zh-CN" w:bidi="ar-SA"/>
        </w:rPr>
        <w:sectPr>
          <w:pgSz w:w="16840" w:h="11907" w:orient="landscape"/>
          <w:pgMar w:top="1474" w:right="1361" w:bottom="1474" w:left="1588" w:header="794" w:footer="794" w:gutter="0"/>
          <w:pgBorders>
            <w:top w:val="none" w:sz="0" w:space="0"/>
            <w:left w:val="none" w:sz="0" w:space="0"/>
            <w:bottom w:val="none" w:sz="0" w:space="0"/>
            <w:right w:val="none" w:sz="0" w:space="0"/>
          </w:pgBorders>
          <w:pgNumType w:fmt="decimal"/>
          <w:cols w:space="720" w:num="1"/>
          <w:rtlGutter w:val="0"/>
          <w:docGrid w:linePitch="312" w:charSpace="0"/>
        </w:sectPr>
      </w:pPr>
    </w:p>
    <w:p w14:paraId="7453E3C4">
      <w:pPr>
        <w:spacing w:line="520" w:lineRule="exact"/>
        <w:ind w:firstLine="424" w:firstLineChars="177"/>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估算模式已考虑了最不利的气象条件，根据预测结果，各污染物下风向预测最大地面浓度、占标率见表</w:t>
      </w:r>
      <w:r>
        <w:rPr>
          <w:rFonts w:hint="eastAsia" w:ascii="Times New Roman" w:hAnsi="Times New Roman" w:cs="Times New Roman"/>
          <w:color w:val="auto"/>
          <w:sz w:val="24"/>
          <w:highlight w:val="none"/>
          <w:u w:val="none" w:color="auto"/>
          <w:lang w:val="en-US" w:eastAsia="zh-CN"/>
        </w:rPr>
        <w:t>6</w:t>
      </w:r>
      <w:r>
        <w:rPr>
          <w:rFonts w:hint="default" w:ascii="Times New Roman" w:hAnsi="Times New Roman" w:cs="Times New Roman"/>
          <w:color w:val="auto"/>
          <w:sz w:val="24"/>
          <w:highlight w:val="none"/>
          <w:u w:val="none" w:color="auto"/>
          <w:lang w:val="en-US" w:eastAsia="zh-CN"/>
        </w:rPr>
        <w:t>.2-1</w:t>
      </w:r>
      <w:r>
        <w:rPr>
          <w:rFonts w:hint="eastAsia" w:ascii="Times New Roman" w:hAnsi="Times New Roman" w:cs="Times New Roman"/>
          <w:color w:val="auto"/>
          <w:sz w:val="24"/>
          <w:highlight w:val="none"/>
          <w:u w:val="none" w:color="auto"/>
          <w:lang w:val="en-US" w:eastAsia="zh-CN"/>
        </w:rPr>
        <w:t>5</w:t>
      </w:r>
      <w:r>
        <w:rPr>
          <w:rFonts w:hint="default" w:ascii="Times New Roman" w:hAnsi="Times New Roman" w:cs="Times New Roman"/>
          <w:color w:val="auto"/>
          <w:sz w:val="24"/>
          <w:highlight w:val="none"/>
          <w:u w:val="none" w:color="auto"/>
        </w:rPr>
        <w:t>。</w:t>
      </w:r>
    </w:p>
    <w:p w14:paraId="1F099C51">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6.2</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1</w:t>
      </w:r>
      <w:r>
        <w:rPr>
          <w:rFonts w:hint="eastAsia" w:cs="Times New Roman"/>
          <w:color w:val="auto"/>
          <w:highlight w:val="none"/>
          <w:u w:val="none" w:color="auto"/>
          <w:lang w:val="en-US" w:eastAsia="zh-CN"/>
        </w:rPr>
        <w:t>5</w:t>
      </w:r>
      <w:r>
        <w:rPr>
          <w:rFonts w:hint="default" w:ascii="Times New Roman" w:hAnsi="Times New Roman" w:cs="Times New Roman"/>
          <w:color w:val="auto"/>
          <w:highlight w:val="none"/>
          <w:u w:val="none" w:color="auto"/>
          <w:lang w:val="en-US" w:eastAsia="zh-CN"/>
        </w:rPr>
        <w:t xml:space="preserve"> </w:t>
      </w:r>
      <w:r>
        <w:rPr>
          <w:rFonts w:hint="default" w:ascii="Times New Roman" w:hAnsi="Times New Roman" w:cs="Times New Roman"/>
          <w:color w:val="auto"/>
          <w:highlight w:val="none"/>
          <w:u w:val="none" w:color="auto"/>
        </w:rPr>
        <w:t xml:space="preserve"> 污染物下风向预测最大地面浓度、占标率一览表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1229"/>
        <w:gridCol w:w="1467"/>
        <w:gridCol w:w="1583"/>
        <w:gridCol w:w="1254"/>
        <w:gridCol w:w="1912"/>
      </w:tblGrid>
      <w:tr w14:paraId="671E2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blHeader/>
          <w:jc w:val="center"/>
        </w:trPr>
        <w:tc>
          <w:tcPr>
            <w:tcW w:w="630" w:type="pct"/>
            <w:tcBorders>
              <w:tl2br w:val="nil"/>
              <w:tr2bl w:val="nil"/>
            </w:tcBorders>
            <w:noWrap w:val="0"/>
            <w:vAlign w:val="center"/>
          </w:tcPr>
          <w:p w14:paraId="72BE3F56">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类别</w:t>
            </w:r>
          </w:p>
        </w:tc>
        <w:tc>
          <w:tcPr>
            <w:tcW w:w="721" w:type="pct"/>
            <w:tcBorders>
              <w:tl2br w:val="nil"/>
              <w:tr2bl w:val="nil"/>
            </w:tcBorders>
            <w:noWrap w:val="0"/>
            <w:vAlign w:val="center"/>
          </w:tcPr>
          <w:p w14:paraId="05C87908">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污染源</w:t>
            </w:r>
          </w:p>
        </w:tc>
        <w:tc>
          <w:tcPr>
            <w:tcW w:w="861" w:type="pct"/>
            <w:tcBorders>
              <w:tl2br w:val="nil"/>
              <w:tr2bl w:val="nil"/>
            </w:tcBorders>
            <w:noWrap w:val="0"/>
            <w:vAlign w:val="center"/>
          </w:tcPr>
          <w:p w14:paraId="2D8E39A8">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污染物</w:t>
            </w:r>
          </w:p>
        </w:tc>
        <w:tc>
          <w:tcPr>
            <w:tcW w:w="929" w:type="pct"/>
            <w:tcBorders>
              <w:tl2br w:val="nil"/>
              <w:tr2bl w:val="nil"/>
            </w:tcBorders>
            <w:noWrap w:val="0"/>
            <w:vAlign w:val="center"/>
          </w:tcPr>
          <w:p w14:paraId="0CD9545D">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最大落地浓度</w:t>
            </w:r>
          </w:p>
        </w:tc>
        <w:tc>
          <w:tcPr>
            <w:tcW w:w="736" w:type="pct"/>
            <w:tcBorders>
              <w:tl2br w:val="nil"/>
              <w:tr2bl w:val="nil"/>
            </w:tcBorders>
            <w:noWrap w:val="0"/>
            <w:vAlign w:val="center"/>
          </w:tcPr>
          <w:p w14:paraId="1E5DC241">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lang w:val="en-US" w:eastAsia="zh-CN"/>
              </w:rPr>
              <w:t>最大</w:t>
            </w:r>
            <w:r>
              <w:rPr>
                <w:rFonts w:hint="default" w:ascii="Times New Roman" w:hAnsi="Times New Roman" w:cs="Times New Roman"/>
                <w:highlight w:val="none"/>
              </w:rPr>
              <w:t>占标率Pmax（%）</w:t>
            </w:r>
          </w:p>
        </w:tc>
        <w:tc>
          <w:tcPr>
            <w:tcW w:w="1122" w:type="pct"/>
            <w:tcBorders>
              <w:tl2br w:val="nil"/>
              <w:tr2bl w:val="nil"/>
            </w:tcBorders>
            <w:noWrap w:val="0"/>
            <w:vAlign w:val="center"/>
          </w:tcPr>
          <w:p w14:paraId="39712B2F">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下风向最大浓度出现距离m</w:t>
            </w:r>
          </w:p>
        </w:tc>
      </w:tr>
      <w:tr w14:paraId="7358B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restart"/>
            <w:tcBorders>
              <w:tl2br w:val="nil"/>
              <w:tr2bl w:val="nil"/>
            </w:tcBorders>
            <w:noWrap w:val="0"/>
            <w:vAlign w:val="center"/>
          </w:tcPr>
          <w:p w14:paraId="11F2FB4F">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有组织</w:t>
            </w:r>
          </w:p>
        </w:tc>
        <w:tc>
          <w:tcPr>
            <w:tcW w:w="721" w:type="pct"/>
            <w:vMerge w:val="restart"/>
            <w:tcBorders>
              <w:tl2br w:val="nil"/>
              <w:tr2bl w:val="nil"/>
            </w:tcBorders>
            <w:noWrap w:val="0"/>
            <w:vAlign w:val="center"/>
          </w:tcPr>
          <w:p w14:paraId="3B5E4A13">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DA00</w:t>
            </w:r>
            <w:r>
              <w:rPr>
                <w:rFonts w:hint="eastAsia" w:cs="Times New Roman"/>
                <w:highlight w:val="none"/>
                <w:lang w:val="en-US" w:eastAsia="zh-CN"/>
              </w:rPr>
              <w:t>1</w:t>
            </w:r>
          </w:p>
        </w:tc>
        <w:tc>
          <w:tcPr>
            <w:tcW w:w="861" w:type="pct"/>
            <w:tcBorders>
              <w:tl2br w:val="nil"/>
              <w:tr2bl w:val="nil"/>
            </w:tcBorders>
            <w:noWrap w:val="0"/>
            <w:vAlign w:val="center"/>
          </w:tcPr>
          <w:p w14:paraId="52BD9C8C">
            <w:pPr>
              <w:pStyle w:val="43"/>
              <w:keepNext w:val="0"/>
              <w:keepLines w:val="0"/>
              <w:widowControl/>
              <w:suppressLineNumbers w:val="0"/>
              <w:bidi w:val="0"/>
              <w:spacing w:before="0" w:beforeAutospacing="0" w:after="0" w:afterAutospacing="0"/>
              <w:ind w:left="0"/>
              <w:rPr>
                <w:rFonts w:hint="eastAsia" w:ascii="Times New Roman" w:hAnsi="Times New Roman" w:eastAsia="宋体" w:cs="Times New Roman"/>
                <w:highlight w:val="none"/>
                <w:lang w:eastAsia="zh-CN"/>
              </w:rPr>
            </w:pPr>
            <w:r>
              <w:rPr>
                <w:rFonts w:hint="eastAsia"/>
                <w:highlight w:val="none"/>
                <w:lang w:eastAsia="zh-CN"/>
              </w:rPr>
              <w:t>NH</w:t>
            </w:r>
            <w:r>
              <w:rPr>
                <w:rFonts w:hint="eastAsia"/>
                <w:highlight w:val="none"/>
                <w:vertAlign w:val="subscript"/>
                <w:lang w:eastAsia="zh-CN"/>
              </w:rPr>
              <w:t>3</w:t>
            </w:r>
          </w:p>
        </w:tc>
        <w:tc>
          <w:tcPr>
            <w:tcW w:w="929" w:type="pct"/>
            <w:tcBorders>
              <w:tl2br w:val="nil"/>
              <w:tr2bl w:val="nil"/>
            </w:tcBorders>
            <w:noWrap w:val="0"/>
            <w:vAlign w:val="center"/>
          </w:tcPr>
          <w:p w14:paraId="7387DFE7">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1.32E-03</w:t>
            </w:r>
          </w:p>
        </w:tc>
        <w:tc>
          <w:tcPr>
            <w:tcW w:w="736" w:type="pct"/>
            <w:tcBorders>
              <w:tl2br w:val="nil"/>
              <w:tr2bl w:val="nil"/>
            </w:tcBorders>
            <w:noWrap w:val="0"/>
            <w:vAlign w:val="center"/>
          </w:tcPr>
          <w:p w14:paraId="1C55B6E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0.66</w:t>
            </w:r>
          </w:p>
        </w:tc>
        <w:tc>
          <w:tcPr>
            <w:tcW w:w="1122" w:type="pct"/>
            <w:vMerge w:val="restart"/>
            <w:tcBorders>
              <w:tl2br w:val="nil"/>
              <w:tr2bl w:val="nil"/>
            </w:tcBorders>
            <w:noWrap w:val="0"/>
            <w:vAlign w:val="center"/>
          </w:tcPr>
          <w:p w14:paraId="35FB265A">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148</w:t>
            </w:r>
          </w:p>
        </w:tc>
      </w:tr>
      <w:tr w14:paraId="0EF10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continue"/>
            <w:tcBorders>
              <w:tl2br w:val="nil"/>
              <w:tr2bl w:val="nil"/>
            </w:tcBorders>
            <w:noWrap w:val="0"/>
            <w:vAlign w:val="center"/>
          </w:tcPr>
          <w:p w14:paraId="3FA967B8">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721" w:type="pct"/>
            <w:vMerge w:val="continue"/>
            <w:tcBorders>
              <w:tl2br w:val="nil"/>
              <w:tr2bl w:val="nil"/>
            </w:tcBorders>
            <w:noWrap w:val="0"/>
            <w:vAlign w:val="center"/>
          </w:tcPr>
          <w:p w14:paraId="0EDE9C8B">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p>
        </w:tc>
        <w:tc>
          <w:tcPr>
            <w:tcW w:w="861" w:type="pct"/>
            <w:tcBorders>
              <w:tl2br w:val="nil"/>
              <w:tr2bl w:val="nil"/>
            </w:tcBorders>
            <w:noWrap w:val="0"/>
            <w:vAlign w:val="center"/>
          </w:tcPr>
          <w:p w14:paraId="35FADC2F">
            <w:pPr>
              <w:pStyle w:val="43"/>
              <w:keepNext w:val="0"/>
              <w:keepLines w:val="0"/>
              <w:widowControl/>
              <w:suppressLineNumbers w:val="0"/>
              <w:bidi w:val="0"/>
              <w:spacing w:before="0" w:beforeAutospacing="0" w:after="0" w:afterAutospacing="0"/>
              <w:ind w:left="0"/>
              <w:rPr>
                <w:rFonts w:hint="eastAsia" w:ascii="Times New Roman" w:hAnsi="Times New Roman" w:eastAsia="宋体" w:cs="Times New Roman"/>
                <w:highlight w:val="none"/>
                <w:lang w:eastAsia="zh-CN"/>
              </w:rPr>
            </w:pPr>
            <w:r>
              <w:rPr>
                <w:rFonts w:hint="eastAsia"/>
                <w:highlight w:val="none"/>
                <w:lang w:eastAsia="zh-CN"/>
              </w:rPr>
              <w:t>H</w:t>
            </w:r>
            <w:r>
              <w:rPr>
                <w:rFonts w:hint="eastAsia"/>
                <w:highlight w:val="none"/>
                <w:vertAlign w:val="subscript"/>
                <w:lang w:eastAsia="zh-CN"/>
              </w:rPr>
              <w:t>2</w:t>
            </w:r>
            <w:r>
              <w:rPr>
                <w:rFonts w:hint="eastAsia"/>
                <w:highlight w:val="none"/>
                <w:lang w:eastAsia="zh-CN"/>
              </w:rPr>
              <w:t>S</w:t>
            </w:r>
          </w:p>
        </w:tc>
        <w:tc>
          <w:tcPr>
            <w:tcW w:w="929" w:type="pct"/>
            <w:tcBorders>
              <w:tl2br w:val="nil"/>
              <w:tr2bl w:val="nil"/>
            </w:tcBorders>
            <w:noWrap w:val="0"/>
            <w:vAlign w:val="center"/>
          </w:tcPr>
          <w:p w14:paraId="77A4774D">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5.12E-06</w:t>
            </w:r>
          </w:p>
        </w:tc>
        <w:tc>
          <w:tcPr>
            <w:tcW w:w="736" w:type="pct"/>
            <w:tcBorders>
              <w:tl2br w:val="nil"/>
              <w:tr2bl w:val="nil"/>
            </w:tcBorders>
            <w:noWrap w:val="0"/>
            <w:vAlign w:val="center"/>
          </w:tcPr>
          <w:p w14:paraId="244CB41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0.05</w:t>
            </w:r>
          </w:p>
        </w:tc>
        <w:tc>
          <w:tcPr>
            <w:tcW w:w="1122" w:type="pct"/>
            <w:vMerge w:val="continue"/>
            <w:tcBorders>
              <w:tl2br w:val="nil"/>
              <w:tr2bl w:val="nil"/>
            </w:tcBorders>
            <w:noWrap w:val="0"/>
            <w:vAlign w:val="center"/>
          </w:tcPr>
          <w:p w14:paraId="6DC3BA55">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p>
        </w:tc>
      </w:tr>
      <w:tr w14:paraId="38227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restart"/>
            <w:tcBorders>
              <w:tl2br w:val="nil"/>
              <w:tr2bl w:val="nil"/>
            </w:tcBorders>
            <w:noWrap w:val="0"/>
            <w:vAlign w:val="center"/>
          </w:tcPr>
          <w:p w14:paraId="49301FE9">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无组织</w:t>
            </w:r>
          </w:p>
        </w:tc>
        <w:tc>
          <w:tcPr>
            <w:tcW w:w="721" w:type="pct"/>
            <w:vMerge w:val="restart"/>
            <w:tcBorders>
              <w:tl2br w:val="nil"/>
              <w:tr2bl w:val="nil"/>
            </w:tcBorders>
            <w:noWrap w:val="0"/>
            <w:vAlign w:val="center"/>
          </w:tcPr>
          <w:p w14:paraId="381EAC47">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lang w:val="en-US" w:eastAsia="zh-CN"/>
              </w:rPr>
              <w:t>1#</w:t>
            </w:r>
            <w:r>
              <w:rPr>
                <w:rFonts w:hint="default" w:ascii="Times New Roman" w:hAnsi="Times New Roman" w:cs="Times New Roman"/>
                <w:highlight w:val="none"/>
              </w:rPr>
              <w:t>生产车间</w:t>
            </w:r>
          </w:p>
        </w:tc>
        <w:tc>
          <w:tcPr>
            <w:tcW w:w="861" w:type="pct"/>
            <w:tcBorders>
              <w:tl2br w:val="nil"/>
              <w:tr2bl w:val="nil"/>
            </w:tcBorders>
            <w:noWrap w:val="0"/>
            <w:vAlign w:val="center"/>
          </w:tcPr>
          <w:p w14:paraId="552BFFDF">
            <w:pPr>
              <w:pStyle w:val="43"/>
              <w:keepNext w:val="0"/>
              <w:keepLines w:val="0"/>
              <w:widowControl/>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highlight w:val="none"/>
                <w:lang w:eastAsia="zh-CN"/>
              </w:rPr>
              <w:t>NH</w:t>
            </w:r>
            <w:r>
              <w:rPr>
                <w:rFonts w:hint="eastAsia"/>
                <w:highlight w:val="none"/>
                <w:vertAlign w:val="subscript"/>
                <w:lang w:eastAsia="zh-CN"/>
              </w:rPr>
              <w:t>3</w:t>
            </w:r>
          </w:p>
        </w:tc>
        <w:tc>
          <w:tcPr>
            <w:tcW w:w="929" w:type="pct"/>
            <w:tcBorders>
              <w:tl2br w:val="nil"/>
              <w:tr2bl w:val="nil"/>
            </w:tcBorders>
            <w:shd w:val="clear" w:color="auto" w:fill="auto"/>
            <w:noWrap w:val="0"/>
            <w:vAlign w:val="center"/>
          </w:tcPr>
          <w:p w14:paraId="6E5F41C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1.58E-02</w:t>
            </w:r>
          </w:p>
        </w:tc>
        <w:tc>
          <w:tcPr>
            <w:tcW w:w="736" w:type="pct"/>
            <w:tcBorders>
              <w:tl2br w:val="nil"/>
              <w:tr2bl w:val="nil"/>
            </w:tcBorders>
            <w:shd w:val="clear" w:color="auto" w:fill="auto"/>
            <w:noWrap w:val="0"/>
            <w:vAlign w:val="center"/>
          </w:tcPr>
          <w:p w14:paraId="1E8C60A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7.91</w:t>
            </w:r>
          </w:p>
        </w:tc>
        <w:tc>
          <w:tcPr>
            <w:tcW w:w="1122" w:type="pct"/>
            <w:vMerge w:val="restart"/>
            <w:tcBorders>
              <w:tl2br w:val="nil"/>
              <w:tr2bl w:val="nil"/>
            </w:tcBorders>
            <w:noWrap w:val="0"/>
            <w:vAlign w:val="center"/>
          </w:tcPr>
          <w:p w14:paraId="2859B6FB">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26</w:t>
            </w:r>
          </w:p>
        </w:tc>
      </w:tr>
      <w:tr w14:paraId="2F532F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0" w:type="pct"/>
            <w:vMerge w:val="continue"/>
            <w:tcBorders>
              <w:tl2br w:val="nil"/>
              <w:tr2bl w:val="nil"/>
            </w:tcBorders>
            <w:noWrap w:val="0"/>
            <w:vAlign w:val="center"/>
          </w:tcPr>
          <w:p w14:paraId="78AFB559">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721" w:type="pct"/>
            <w:vMerge w:val="continue"/>
            <w:tcBorders>
              <w:tl2br w:val="nil"/>
              <w:tr2bl w:val="nil"/>
            </w:tcBorders>
            <w:noWrap w:val="0"/>
            <w:vAlign w:val="center"/>
          </w:tcPr>
          <w:p w14:paraId="2072440D">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861" w:type="pct"/>
            <w:tcBorders>
              <w:tl2br w:val="nil"/>
              <w:tr2bl w:val="nil"/>
            </w:tcBorders>
            <w:noWrap w:val="0"/>
            <w:vAlign w:val="center"/>
          </w:tcPr>
          <w:p w14:paraId="1A67F6BD">
            <w:pPr>
              <w:pStyle w:val="43"/>
              <w:keepNext w:val="0"/>
              <w:keepLines w:val="0"/>
              <w:widowControl/>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b/>
                <w:bCs/>
                <w:highlight w:val="none"/>
                <w:lang w:val="en-US" w:eastAsia="zh-CN"/>
              </w:rPr>
            </w:pPr>
            <w:r>
              <w:rPr>
                <w:rFonts w:hint="eastAsia"/>
                <w:highlight w:val="none"/>
                <w:lang w:eastAsia="zh-CN"/>
              </w:rPr>
              <w:t>H</w:t>
            </w:r>
            <w:r>
              <w:rPr>
                <w:rFonts w:hint="eastAsia"/>
                <w:highlight w:val="none"/>
                <w:vertAlign w:val="subscript"/>
                <w:lang w:eastAsia="zh-CN"/>
              </w:rPr>
              <w:t>2</w:t>
            </w:r>
            <w:r>
              <w:rPr>
                <w:rFonts w:hint="eastAsia"/>
                <w:highlight w:val="none"/>
                <w:lang w:eastAsia="zh-CN"/>
              </w:rPr>
              <w:t>S</w:t>
            </w:r>
          </w:p>
        </w:tc>
        <w:tc>
          <w:tcPr>
            <w:tcW w:w="929" w:type="pct"/>
            <w:tcBorders>
              <w:tl2br w:val="nil"/>
              <w:tr2bl w:val="nil"/>
            </w:tcBorders>
            <w:shd w:val="clear" w:color="auto" w:fill="auto"/>
            <w:noWrap w:val="0"/>
            <w:vAlign w:val="center"/>
          </w:tcPr>
          <w:p w14:paraId="374B766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8.17E-05</w:t>
            </w:r>
          </w:p>
        </w:tc>
        <w:tc>
          <w:tcPr>
            <w:tcW w:w="736" w:type="pct"/>
            <w:tcBorders>
              <w:tl2br w:val="nil"/>
              <w:tr2bl w:val="nil"/>
            </w:tcBorders>
            <w:shd w:val="clear" w:color="auto" w:fill="auto"/>
            <w:noWrap w:val="0"/>
            <w:vAlign w:val="center"/>
          </w:tcPr>
          <w:p w14:paraId="5A1CA8C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0.82</w:t>
            </w:r>
          </w:p>
        </w:tc>
        <w:tc>
          <w:tcPr>
            <w:tcW w:w="1122" w:type="pct"/>
            <w:vMerge w:val="continue"/>
            <w:tcBorders>
              <w:tl2br w:val="nil"/>
              <w:tr2bl w:val="nil"/>
            </w:tcBorders>
            <w:noWrap w:val="0"/>
            <w:vAlign w:val="center"/>
          </w:tcPr>
          <w:p w14:paraId="229F54D9">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r>
    </w:tbl>
    <w:p w14:paraId="0EF74292">
      <w:pPr>
        <w:shd w:val="clea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sz w:val="24"/>
          <w:szCs w:val="24"/>
          <w:highlight w:val="none"/>
          <w:u w:val="none" w:color="auto"/>
        </w:rPr>
        <w:t>根据《环境影响评价技术导则-大气环境》(HJ2.2-2018)中</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5.3.3.1 同一项目有多个污染源时，则按各污染源分别确定评价等级，并取评价等级最高者作为项目的评价等级</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，本项目最大占标率Pmax为</w:t>
      </w:r>
      <w:r>
        <w:rPr>
          <w:rFonts w:hint="eastAsia" w:ascii="Times New Roman" w:hAnsi="Times New Roman" w:cs="Times New Roman"/>
          <w:color w:val="auto"/>
          <w:sz w:val="24"/>
          <w:szCs w:val="24"/>
          <w:highlight w:val="none"/>
          <w:u w:val="none" w:color="auto"/>
          <w:lang w:val="en-US" w:eastAsia="zh-CN"/>
        </w:rPr>
        <w:t>7.91</w:t>
      </w:r>
      <w:r>
        <w:rPr>
          <w:rFonts w:hint="default" w:ascii="Times New Roman" w:hAnsi="Times New Roman" w:cs="Times New Roman"/>
          <w:color w:val="auto"/>
          <w:sz w:val="24"/>
          <w:szCs w:val="24"/>
          <w:highlight w:val="none"/>
          <w:u w:val="none" w:color="auto"/>
        </w:rPr>
        <w:t>%＜1</w:t>
      </w:r>
      <w:r>
        <w:rPr>
          <w:rFonts w:hint="default" w:ascii="Times New Roman" w:hAnsi="Times New Roman" w:cs="Times New Roman"/>
          <w:color w:val="auto"/>
          <w:sz w:val="24"/>
          <w:szCs w:val="24"/>
          <w:highlight w:val="none"/>
          <w:u w:val="none" w:color="auto"/>
          <w:lang w:val="en-US" w:eastAsia="zh-CN"/>
        </w:rPr>
        <w:t>0</w:t>
      </w:r>
      <w:r>
        <w:rPr>
          <w:rFonts w:hint="default" w:ascii="Times New Roman" w:hAnsi="Times New Roman"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eastAsia="zh-CN"/>
        </w:rPr>
        <w:t>故本项目的评价等级为二级，</w:t>
      </w:r>
      <w:r>
        <w:rPr>
          <w:rFonts w:hint="default" w:ascii="Times New Roman" w:hAnsi="Times New Roman" w:cs="Times New Roman"/>
          <w:color w:val="auto"/>
          <w:sz w:val="24"/>
          <w:szCs w:val="24"/>
          <w:highlight w:val="none"/>
          <w:u w:val="none" w:color="auto"/>
        </w:rPr>
        <w:t>因此不需进一步预测与评价</w:t>
      </w:r>
      <w:r>
        <w:rPr>
          <w:rFonts w:hint="default" w:ascii="Times New Roman" w:hAnsi="Times New Roman" w:cs="Times New Roman"/>
          <w:color w:val="auto"/>
          <w:sz w:val="24"/>
          <w:szCs w:val="24"/>
          <w:highlight w:val="none"/>
          <w:u w:val="none" w:color="auto"/>
          <w:lang w:eastAsia="zh-CN"/>
        </w:rPr>
        <w:t>，其评价范围为厂界外</w:t>
      </w:r>
      <w:r>
        <w:rPr>
          <w:rFonts w:hint="default" w:ascii="Times New Roman" w:hAnsi="Times New Roman" w:cs="Times New Roman"/>
          <w:color w:val="auto"/>
          <w:sz w:val="24"/>
          <w:szCs w:val="24"/>
          <w:highlight w:val="none"/>
          <w:u w:val="none" w:color="auto"/>
          <w:lang w:val="en-US" w:eastAsia="zh-CN"/>
        </w:rPr>
        <w:t>5km的矩形区域，</w:t>
      </w:r>
      <w:r>
        <w:rPr>
          <w:rFonts w:hint="default" w:ascii="Times New Roman" w:hAnsi="Times New Roman" w:eastAsia="宋体" w:cs="Times New Roman"/>
          <w:color w:val="auto"/>
          <w:sz w:val="24"/>
          <w:highlight w:val="none"/>
          <w:u w:val="none" w:color="auto"/>
        </w:rPr>
        <w:t>项目厂界浓度满足大气污染物厂界浓度限值，且厂界外大气污染物短期贡献浓度不超过环境质量浓度限值，所以本项目不需要设置大气环境防护距离</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cs="Times New Roman"/>
          <w:color w:val="auto"/>
          <w:highlight w:val="none"/>
          <w:u w:val="none" w:color="auto"/>
          <w:lang w:eastAsia="zh-CN"/>
        </w:rPr>
        <w:t>非正常工况下废气环境影响分析</w:t>
      </w:r>
    </w:p>
    <w:p w14:paraId="37C5E468">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本项目废气非正常排放主要发生</w:t>
      </w:r>
      <w:r>
        <w:rPr>
          <w:rFonts w:hint="default" w:ascii="Times New Roman" w:hAnsi="Times New Roman" w:eastAsia="宋体" w:cs="Times New Roman"/>
          <w:color w:val="auto"/>
          <w:highlight w:val="none"/>
          <w:u w:val="none" w:color="auto"/>
        </w:rPr>
        <w:t>在</w:t>
      </w:r>
      <w:r>
        <w:rPr>
          <w:rFonts w:hint="eastAsia" w:ascii="Times New Roman" w:hAnsi="Times New Roman" w:eastAsia="宋体" w:cs="Times New Roman"/>
          <w:color w:val="auto"/>
          <w:highlight w:val="none"/>
          <w:u w:val="none" w:color="auto"/>
          <w:lang w:val="en-US" w:eastAsia="zh-CN"/>
        </w:rPr>
        <w:t>喷淋塔</w:t>
      </w:r>
      <w:r>
        <w:rPr>
          <w:rFonts w:hint="default" w:ascii="Times New Roman" w:hAnsi="Times New Roman" w:eastAsia="宋体" w:cs="Times New Roman"/>
          <w:color w:val="auto"/>
          <w:highlight w:val="none"/>
          <w:u w:val="none" w:color="auto"/>
        </w:rPr>
        <w:t>+</w:t>
      </w:r>
      <w:r>
        <w:rPr>
          <w:rFonts w:hint="eastAsia" w:ascii="Times New Roman" w:hAnsi="Times New Roman" w:eastAsia="宋体" w:cs="Times New Roman"/>
          <w:color w:val="auto"/>
          <w:highlight w:val="none"/>
          <w:u w:val="none" w:color="auto"/>
          <w:lang w:val="en-US" w:eastAsia="zh-CN"/>
        </w:rPr>
        <w:t>生物</w:t>
      </w:r>
      <w:r>
        <w:rPr>
          <w:rFonts w:hint="eastAsia" w:ascii="Times New Roman" w:hAnsi="Times New Roman" w:cs="Times New Roman"/>
          <w:color w:val="auto"/>
          <w:highlight w:val="none"/>
          <w:u w:val="none" w:color="auto"/>
          <w:lang w:val="en-US" w:eastAsia="zh-CN"/>
        </w:rPr>
        <w:t>滤池</w:t>
      </w:r>
      <w:r>
        <w:rPr>
          <w:rFonts w:hint="default" w:ascii="Times New Roman" w:hAnsi="Times New Roman" w:cs="Times New Roman"/>
          <w:color w:val="auto"/>
          <w:highlight w:val="none"/>
          <w:u w:val="none" w:color="auto"/>
        </w:rPr>
        <w:t>脱附失效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每年发生非正常情况的次数为</w:t>
      </w:r>
      <w:r>
        <w:rPr>
          <w:rFonts w:hint="eastAsia"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rPr>
        <w:t>次，每次持续时间小于1h，非正常情况见表</w:t>
      </w:r>
      <w:r>
        <w:rPr>
          <w:rFonts w:hint="eastAsia"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1</w:t>
      </w:r>
      <w:r>
        <w:rPr>
          <w:rFonts w:hint="eastAsia"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w:t>
      </w:r>
    </w:p>
    <w:p w14:paraId="3AAF29FF">
      <w:pPr>
        <w:pStyle w:val="39"/>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w:t>
      </w: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1</w:t>
      </w:r>
      <w:r>
        <w:rPr>
          <w:rFonts w:hint="eastAsia"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 xml:space="preserve">  项目废气非正常情况排放源强</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109"/>
        <w:gridCol w:w="1230"/>
        <w:gridCol w:w="1065"/>
        <w:gridCol w:w="1065"/>
        <w:gridCol w:w="1065"/>
        <w:gridCol w:w="1065"/>
        <w:gridCol w:w="1066"/>
      </w:tblGrid>
      <w:tr w14:paraId="15B0BC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tcBorders>
              <w:tl2br w:val="nil"/>
              <w:tr2bl w:val="nil"/>
            </w:tcBorders>
            <w:noWrap w:val="0"/>
            <w:vAlign w:val="center"/>
          </w:tcPr>
          <w:p w14:paraId="563E20A7">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烟囱序号</w:t>
            </w:r>
          </w:p>
        </w:tc>
        <w:tc>
          <w:tcPr>
            <w:tcW w:w="651" w:type="pct"/>
            <w:tcBorders>
              <w:tl2br w:val="nil"/>
              <w:tr2bl w:val="nil"/>
            </w:tcBorders>
            <w:noWrap w:val="0"/>
            <w:vAlign w:val="center"/>
          </w:tcPr>
          <w:p w14:paraId="28092F00">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污染源</w:t>
            </w:r>
          </w:p>
        </w:tc>
        <w:tc>
          <w:tcPr>
            <w:tcW w:w="722" w:type="pct"/>
            <w:tcBorders>
              <w:tl2br w:val="nil"/>
              <w:tr2bl w:val="nil"/>
            </w:tcBorders>
            <w:noWrap w:val="0"/>
            <w:vAlign w:val="center"/>
          </w:tcPr>
          <w:p w14:paraId="6F0C2FCB">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非正常排放原因</w:t>
            </w:r>
          </w:p>
        </w:tc>
        <w:tc>
          <w:tcPr>
            <w:tcW w:w="625" w:type="pct"/>
            <w:tcBorders>
              <w:tl2br w:val="nil"/>
              <w:tr2bl w:val="nil"/>
            </w:tcBorders>
            <w:noWrap w:val="0"/>
            <w:vAlign w:val="center"/>
          </w:tcPr>
          <w:p w14:paraId="2C4BF776">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污染物</w:t>
            </w:r>
          </w:p>
        </w:tc>
        <w:tc>
          <w:tcPr>
            <w:tcW w:w="625" w:type="pct"/>
            <w:tcBorders>
              <w:tl2br w:val="nil"/>
              <w:tr2bl w:val="nil"/>
            </w:tcBorders>
            <w:noWrap w:val="0"/>
            <w:vAlign w:val="center"/>
          </w:tcPr>
          <w:p w14:paraId="2CA2DEFD">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非正常</w:t>
            </w:r>
            <w:r>
              <w:rPr>
                <w:rFonts w:hint="eastAsia" w:cs="Times New Roman"/>
                <w:color w:val="auto"/>
                <w:highlight w:val="none"/>
                <w:u w:val="none" w:color="auto"/>
                <w:lang w:val="en-US" w:eastAsia="zh-CN"/>
              </w:rPr>
              <w:t>最大</w:t>
            </w:r>
            <w:r>
              <w:rPr>
                <w:rFonts w:hint="default" w:ascii="Times New Roman" w:hAnsi="Times New Roman" w:cs="Times New Roman"/>
                <w:color w:val="auto"/>
                <w:highlight w:val="none"/>
                <w:u w:val="none" w:color="auto"/>
              </w:rPr>
              <w:t>排放速率（kg/h）</w:t>
            </w:r>
          </w:p>
        </w:tc>
        <w:tc>
          <w:tcPr>
            <w:tcW w:w="625" w:type="pct"/>
            <w:tcBorders>
              <w:tl2br w:val="nil"/>
              <w:tr2bl w:val="nil"/>
            </w:tcBorders>
            <w:noWrap w:val="0"/>
            <w:vAlign w:val="center"/>
          </w:tcPr>
          <w:p w14:paraId="45814245">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单次持续时间/h</w:t>
            </w:r>
          </w:p>
        </w:tc>
        <w:tc>
          <w:tcPr>
            <w:tcW w:w="625" w:type="pct"/>
            <w:tcBorders>
              <w:tl2br w:val="nil"/>
              <w:tr2bl w:val="nil"/>
            </w:tcBorders>
            <w:noWrap w:val="0"/>
            <w:vAlign w:val="center"/>
          </w:tcPr>
          <w:p w14:paraId="34B48349">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年发生频次</w:t>
            </w:r>
          </w:p>
        </w:tc>
        <w:tc>
          <w:tcPr>
            <w:tcW w:w="625" w:type="pct"/>
            <w:tcBorders>
              <w:tl2br w:val="nil"/>
              <w:tr2bl w:val="nil"/>
            </w:tcBorders>
            <w:noWrap w:val="0"/>
            <w:vAlign w:val="center"/>
          </w:tcPr>
          <w:p w14:paraId="16E66040">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应对措施</w:t>
            </w:r>
          </w:p>
        </w:tc>
      </w:tr>
      <w:tr w14:paraId="13C98E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restart"/>
            <w:tcBorders>
              <w:tl2br w:val="nil"/>
              <w:tr2bl w:val="nil"/>
            </w:tcBorders>
            <w:noWrap w:val="0"/>
            <w:vAlign w:val="center"/>
          </w:tcPr>
          <w:p w14:paraId="2ED15743">
            <w:pPr>
              <w:pStyle w:val="43"/>
              <w:keepNext w:val="0"/>
              <w:keepLines w:val="0"/>
              <w:widowControl/>
              <w:suppressLineNumbers w:val="0"/>
              <w:shd w:val="clear"/>
              <w:bidi w:val="0"/>
              <w:spacing w:before="0" w:beforeAutospacing="0" w:after="0" w:afterAutospacing="0"/>
              <w:ind w:left="0" w:right="0" w:rightChars="0" w:firstLine="0" w:firstLineChars="0"/>
              <w:rPr>
                <w:rFonts w:hint="default" w:ascii="Times New Roman" w:hAnsi="Times New Roman" w:cs="Times New Roman"/>
                <w:color w:val="auto"/>
                <w:highlight w:val="none"/>
                <w:u w:val="none" w:color="auto"/>
                <w:lang w:val="en-US"/>
              </w:rPr>
            </w:pPr>
            <w:r>
              <w:rPr>
                <w:rFonts w:hint="default" w:ascii="Times New Roman" w:hAnsi="Times New Roman" w:cs="Times New Roman"/>
                <w:color w:val="auto"/>
                <w:highlight w:val="none"/>
                <w:u w:val="none" w:color="auto"/>
                <w:lang w:val="en-US" w:eastAsia="zh-CN"/>
              </w:rPr>
              <w:t>DA00</w:t>
            </w:r>
            <w:r>
              <w:rPr>
                <w:rFonts w:hint="eastAsia" w:cs="Times New Roman"/>
                <w:color w:val="auto"/>
                <w:highlight w:val="none"/>
                <w:u w:val="none" w:color="auto"/>
                <w:lang w:val="en-US" w:eastAsia="zh-CN"/>
              </w:rPr>
              <w:t>1</w:t>
            </w:r>
          </w:p>
        </w:tc>
        <w:tc>
          <w:tcPr>
            <w:tcW w:w="651" w:type="pct"/>
            <w:vMerge w:val="restart"/>
            <w:tcBorders>
              <w:tl2br w:val="nil"/>
              <w:tr2bl w:val="nil"/>
            </w:tcBorders>
            <w:noWrap w:val="0"/>
            <w:vAlign w:val="center"/>
          </w:tcPr>
          <w:p w14:paraId="3DDEF049">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污水处理</w:t>
            </w:r>
          </w:p>
        </w:tc>
        <w:tc>
          <w:tcPr>
            <w:tcW w:w="722" w:type="pct"/>
            <w:vMerge w:val="restart"/>
            <w:tcBorders>
              <w:tl2br w:val="nil"/>
              <w:tr2bl w:val="nil"/>
            </w:tcBorders>
            <w:noWrap w:val="0"/>
            <w:vAlign w:val="center"/>
          </w:tcPr>
          <w:p w14:paraId="3A33C287">
            <w:pPr>
              <w:pStyle w:val="43"/>
              <w:keepNext w:val="0"/>
              <w:keepLines w:val="0"/>
              <w:widowControl/>
              <w:suppressLineNumbers w:val="0"/>
              <w:shd w:val="clear"/>
              <w:bidi w:val="0"/>
              <w:spacing w:before="0" w:beforeAutospacing="0" w:after="0" w:afterAutospacing="0"/>
              <w:ind w:left="0" w:right="0" w:rightChars="0" w:firstLine="0" w:firstLineChars="0"/>
              <w:rPr>
                <w:rFonts w:hint="default" w:ascii="Times New Roman" w:hAnsi="Times New Roman" w:cs="Times New Roman"/>
                <w:color w:val="auto"/>
                <w:highlight w:val="none"/>
                <w:u w:val="none" w:color="auto"/>
              </w:rPr>
            </w:pPr>
            <w:r>
              <w:rPr>
                <w:rFonts w:hint="eastAsia" w:ascii="Times New Roman" w:hAnsi="Times New Roman" w:eastAsia="宋体" w:cs="Times New Roman"/>
                <w:color w:val="auto"/>
                <w:highlight w:val="none"/>
                <w:u w:val="none" w:color="auto"/>
                <w:lang w:val="en-US" w:eastAsia="zh-CN"/>
              </w:rPr>
              <w:t>喷淋塔+生物滤池失效</w:t>
            </w:r>
          </w:p>
        </w:tc>
        <w:tc>
          <w:tcPr>
            <w:tcW w:w="625" w:type="pct"/>
            <w:tcBorders>
              <w:tl2br w:val="nil"/>
              <w:tr2bl w:val="nil"/>
            </w:tcBorders>
            <w:noWrap w:val="0"/>
            <w:vAlign w:val="center"/>
          </w:tcPr>
          <w:p w14:paraId="25AC7B51">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color w:val="auto"/>
                <w:highlight w:val="none"/>
                <w:u w:val="none" w:color="auto"/>
                <w:lang w:eastAsia="zh-CN"/>
              </w:rPr>
            </w:pPr>
            <w:r>
              <w:rPr>
                <w:rFonts w:hint="eastAsia"/>
                <w:color w:val="auto"/>
                <w:highlight w:val="none"/>
                <w:lang w:eastAsia="zh-CN"/>
              </w:rPr>
              <w:t>NH</w:t>
            </w:r>
            <w:r>
              <w:rPr>
                <w:rFonts w:hint="eastAsia"/>
                <w:color w:val="auto"/>
                <w:highlight w:val="none"/>
                <w:vertAlign w:val="subscript"/>
                <w:lang w:eastAsia="zh-CN"/>
              </w:rPr>
              <w:t>3</w:t>
            </w:r>
          </w:p>
        </w:tc>
        <w:tc>
          <w:tcPr>
            <w:tcW w:w="625" w:type="pct"/>
            <w:tcBorders>
              <w:tl2br w:val="nil"/>
              <w:tr2bl w:val="nil"/>
            </w:tcBorders>
            <w:noWrap w:val="0"/>
            <w:vAlign w:val="center"/>
          </w:tcPr>
          <w:p w14:paraId="1E13177F">
            <w:pPr>
              <w:pStyle w:val="43"/>
              <w:keepNext w:val="0"/>
              <w:keepLines w:val="0"/>
              <w:suppressLineNumbers w:val="0"/>
              <w:shd w:val="clear"/>
              <w:bidi w:val="0"/>
              <w:spacing w:before="0" w:beforeAutospacing="0" w:after="0" w:afterAutospacing="0"/>
              <w:ind w:left="0"/>
              <w:rPr>
                <w:rFonts w:hint="default"/>
                <w:color w:val="auto"/>
                <w:highlight w:val="none"/>
                <w:lang w:val="en-US" w:eastAsia="zh-CN"/>
              </w:rPr>
            </w:pPr>
            <w:r>
              <w:rPr>
                <w:rFonts w:hint="default"/>
                <w:color w:val="auto"/>
                <w:highlight w:val="none"/>
                <w:lang w:val="en-US" w:eastAsia="zh-CN"/>
              </w:rPr>
              <w:t>0.2841</w:t>
            </w:r>
          </w:p>
        </w:tc>
        <w:tc>
          <w:tcPr>
            <w:tcW w:w="625" w:type="pct"/>
            <w:tcBorders>
              <w:tl2br w:val="nil"/>
              <w:tr2bl w:val="nil"/>
            </w:tcBorders>
            <w:noWrap w:val="0"/>
            <w:vAlign w:val="center"/>
          </w:tcPr>
          <w:p w14:paraId="3B815367">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1</w:t>
            </w:r>
          </w:p>
        </w:tc>
        <w:tc>
          <w:tcPr>
            <w:tcW w:w="625" w:type="pct"/>
            <w:tcBorders>
              <w:tl2br w:val="nil"/>
              <w:tr2bl w:val="nil"/>
            </w:tcBorders>
            <w:noWrap w:val="0"/>
            <w:vAlign w:val="center"/>
          </w:tcPr>
          <w:p w14:paraId="63618245">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color w:val="auto"/>
                <w:highlight w:val="none"/>
                <w:u w:val="none" w:color="auto"/>
                <w:lang w:eastAsia="zh-CN"/>
              </w:rPr>
            </w:pPr>
            <w:r>
              <w:rPr>
                <w:rFonts w:hint="eastAsia" w:cs="Times New Roman"/>
                <w:color w:val="auto"/>
                <w:highlight w:val="none"/>
                <w:u w:val="none" w:color="auto"/>
                <w:lang w:val="en-US" w:eastAsia="zh-CN"/>
              </w:rPr>
              <w:t>1</w:t>
            </w:r>
          </w:p>
        </w:tc>
        <w:tc>
          <w:tcPr>
            <w:tcW w:w="625" w:type="pct"/>
            <w:tcBorders>
              <w:tl2br w:val="nil"/>
              <w:tr2bl w:val="nil"/>
            </w:tcBorders>
            <w:noWrap w:val="0"/>
            <w:vAlign w:val="center"/>
          </w:tcPr>
          <w:p w14:paraId="16B9202D">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加强检修</w:t>
            </w:r>
          </w:p>
        </w:tc>
      </w:tr>
      <w:tr w14:paraId="72FF7F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noWrap w:val="0"/>
            <w:vAlign w:val="center"/>
          </w:tcPr>
          <w:p w14:paraId="61394E53">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p>
        </w:tc>
        <w:tc>
          <w:tcPr>
            <w:tcW w:w="651" w:type="pct"/>
            <w:vMerge w:val="continue"/>
            <w:tcBorders>
              <w:tl2br w:val="nil"/>
              <w:tr2bl w:val="nil"/>
            </w:tcBorders>
            <w:noWrap w:val="0"/>
            <w:vAlign w:val="center"/>
          </w:tcPr>
          <w:p w14:paraId="01861EA9">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p>
        </w:tc>
        <w:tc>
          <w:tcPr>
            <w:tcW w:w="722" w:type="pct"/>
            <w:vMerge w:val="continue"/>
            <w:tcBorders>
              <w:tl2br w:val="nil"/>
              <w:tr2bl w:val="nil"/>
            </w:tcBorders>
            <w:noWrap w:val="0"/>
            <w:vAlign w:val="center"/>
          </w:tcPr>
          <w:p w14:paraId="1C0EAA21">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p>
        </w:tc>
        <w:tc>
          <w:tcPr>
            <w:tcW w:w="625" w:type="pct"/>
            <w:tcBorders>
              <w:tl2br w:val="nil"/>
              <w:tr2bl w:val="nil"/>
            </w:tcBorders>
            <w:noWrap w:val="0"/>
            <w:vAlign w:val="center"/>
          </w:tcPr>
          <w:p w14:paraId="17E6608F">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color w:val="auto"/>
                <w:highlight w:val="none"/>
                <w:u w:val="none" w:color="auto"/>
                <w:lang w:eastAsia="zh-CN"/>
              </w:rPr>
            </w:pPr>
            <w:r>
              <w:rPr>
                <w:rFonts w:hint="eastAsia"/>
                <w:color w:val="auto"/>
                <w:highlight w:val="none"/>
                <w:lang w:eastAsia="zh-CN"/>
              </w:rPr>
              <w:t>H</w:t>
            </w:r>
            <w:r>
              <w:rPr>
                <w:rFonts w:hint="eastAsia"/>
                <w:color w:val="auto"/>
                <w:highlight w:val="none"/>
                <w:vertAlign w:val="subscript"/>
                <w:lang w:eastAsia="zh-CN"/>
              </w:rPr>
              <w:t>2</w:t>
            </w:r>
            <w:r>
              <w:rPr>
                <w:rFonts w:hint="eastAsia"/>
                <w:color w:val="auto"/>
                <w:highlight w:val="none"/>
                <w:lang w:eastAsia="zh-CN"/>
              </w:rPr>
              <w:t>S</w:t>
            </w:r>
          </w:p>
        </w:tc>
        <w:tc>
          <w:tcPr>
            <w:tcW w:w="625" w:type="pct"/>
            <w:tcBorders>
              <w:tl2br w:val="nil"/>
              <w:tr2bl w:val="nil"/>
            </w:tcBorders>
            <w:noWrap w:val="0"/>
            <w:vAlign w:val="center"/>
          </w:tcPr>
          <w:p w14:paraId="1011443A">
            <w:pPr>
              <w:pStyle w:val="43"/>
              <w:keepNext w:val="0"/>
              <w:keepLines w:val="0"/>
              <w:suppressLineNumbers w:val="0"/>
              <w:shd w:val="clear"/>
              <w:bidi w:val="0"/>
              <w:spacing w:before="0" w:beforeAutospacing="0" w:after="0" w:afterAutospacing="0"/>
              <w:ind w:left="0"/>
              <w:rPr>
                <w:rFonts w:hint="default"/>
                <w:color w:val="auto"/>
                <w:highlight w:val="none"/>
                <w:lang w:val="en-US" w:eastAsia="zh-CN"/>
              </w:rPr>
            </w:pPr>
            <w:r>
              <w:rPr>
                <w:rFonts w:hint="default"/>
                <w:color w:val="auto"/>
                <w:highlight w:val="none"/>
                <w:lang w:val="en-US" w:eastAsia="zh-CN"/>
              </w:rPr>
              <w:t>0.0011</w:t>
            </w:r>
          </w:p>
        </w:tc>
        <w:tc>
          <w:tcPr>
            <w:tcW w:w="625" w:type="pct"/>
            <w:tcBorders>
              <w:tl2br w:val="nil"/>
              <w:tr2bl w:val="nil"/>
            </w:tcBorders>
            <w:noWrap w:val="0"/>
            <w:vAlign w:val="center"/>
          </w:tcPr>
          <w:p w14:paraId="789819A1">
            <w:pPr>
              <w:pStyle w:val="43"/>
              <w:keepNext w:val="0"/>
              <w:keepLines w:val="0"/>
              <w:widowControl/>
              <w:suppressLineNumbers w:val="0"/>
              <w:shd w:val="clear"/>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1</w:t>
            </w:r>
          </w:p>
        </w:tc>
        <w:tc>
          <w:tcPr>
            <w:tcW w:w="625" w:type="pct"/>
            <w:tcBorders>
              <w:tl2br w:val="nil"/>
              <w:tr2bl w:val="nil"/>
            </w:tcBorders>
            <w:noWrap w:val="0"/>
            <w:vAlign w:val="center"/>
          </w:tcPr>
          <w:p w14:paraId="7CC84E8A">
            <w:pPr>
              <w:pStyle w:val="43"/>
              <w:keepNext w:val="0"/>
              <w:keepLines w:val="0"/>
              <w:widowControl/>
              <w:suppressLineNumbers w:val="0"/>
              <w:shd w:val="clear"/>
              <w:bidi w:val="0"/>
              <w:spacing w:before="0" w:beforeAutospacing="0" w:after="0" w:afterAutospacing="0"/>
              <w:ind w:left="0"/>
              <w:rPr>
                <w:rFonts w:hint="eastAsia" w:ascii="Times New Roman" w:hAnsi="Times New Roman" w:eastAsia="宋体" w:cs="Times New Roman"/>
                <w:color w:val="auto"/>
                <w:highlight w:val="none"/>
                <w:u w:val="none" w:color="auto"/>
                <w:lang w:eastAsia="zh-CN"/>
              </w:rPr>
            </w:pPr>
            <w:r>
              <w:rPr>
                <w:rFonts w:hint="eastAsia" w:cs="Times New Roman"/>
                <w:color w:val="auto"/>
                <w:highlight w:val="none"/>
                <w:u w:val="none" w:color="auto"/>
                <w:lang w:val="en-US" w:eastAsia="zh-CN"/>
              </w:rPr>
              <w:t>1</w:t>
            </w:r>
          </w:p>
        </w:tc>
        <w:tc>
          <w:tcPr>
            <w:tcW w:w="625" w:type="pct"/>
            <w:tcBorders>
              <w:tl2br w:val="nil"/>
              <w:tr2bl w:val="nil"/>
            </w:tcBorders>
            <w:noWrap w:val="0"/>
            <w:vAlign w:val="center"/>
          </w:tcPr>
          <w:p w14:paraId="13095704">
            <w:pPr>
              <w:pStyle w:val="43"/>
              <w:keepNext w:val="0"/>
              <w:keepLines w:val="0"/>
              <w:widowControl/>
              <w:suppressLineNumbers w:val="0"/>
              <w:shd w:val="clear"/>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加强检修</w:t>
            </w:r>
          </w:p>
        </w:tc>
      </w:tr>
    </w:tbl>
    <w:p w14:paraId="1BD528FE">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eastAsia="zh-CN"/>
        </w:rPr>
        <w:t>非正常工况下</w:t>
      </w:r>
      <w:r>
        <w:rPr>
          <w:rFonts w:hint="default" w:ascii="Times New Roman" w:hAnsi="Times New Roman" w:cs="Times New Roman"/>
          <w:color w:val="auto"/>
          <w:highlight w:val="none"/>
          <w:u w:val="none" w:color="auto"/>
        </w:rPr>
        <w:t>主要污染源估算模型计算结果</w:t>
      </w:r>
    </w:p>
    <w:p w14:paraId="35C5AAA6">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采用《环境影响评价技术导则-大气环境》（HJ2.2-2018）中推荐的估算模式—AERSCREEN进行估算，预测结果</w:t>
      </w:r>
      <w:r>
        <w:rPr>
          <w:rFonts w:hint="default" w:ascii="Times New Roman" w:hAnsi="Times New Roman" w:cs="Times New Roman"/>
          <w:color w:val="auto"/>
          <w:highlight w:val="none"/>
          <w:u w:val="none" w:color="auto"/>
          <w:lang w:val="en-US" w:eastAsia="zh-CN"/>
        </w:rPr>
        <w:t>如下</w:t>
      </w:r>
      <w:r>
        <w:rPr>
          <w:rFonts w:hint="default" w:ascii="Times New Roman" w:hAnsi="Times New Roman" w:cs="Times New Roman"/>
          <w:color w:val="auto"/>
          <w:highlight w:val="none"/>
          <w:u w:val="none" w:color="auto"/>
        </w:rPr>
        <w:t>。</w:t>
      </w:r>
    </w:p>
    <w:p w14:paraId="35A2EE56">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6.2</w:t>
      </w:r>
      <w:r>
        <w:rPr>
          <w:rFonts w:hint="default" w:ascii="Times New Roman" w:hAnsi="Times New Roman" w:cs="Times New Roman"/>
          <w:color w:val="auto"/>
          <w:highlight w:val="none"/>
          <w:u w:val="none" w:color="auto"/>
        </w:rPr>
        <w:t>-</w:t>
      </w:r>
      <w:r>
        <w:rPr>
          <w:rFonts w:hint="default" w:ascii="Times New Roman" w:hAnsi="Times New Roman" w:cs="Times New Roman"/>
          <w:color w:val="auto"/>
          <w:highlight w:val="none"/>
          <w:u w:val="none" w:color="auto"/>
          <w:lang w:val="en-US" w:eastAsia="zh-CN"/>
        </w:rPr>
        <w:t>1</w:t>
      </w:r>
      <w:r>
        <w:rPr>
          <w:rFonts w:hint="eastAsia" w:cs="Times New Roman"/>
          <w:color w:val="auto"/>
          <w:highlight w:val="none"/>
          <w:u w:val="none" w:color="auto"/>
          <w:lang w:val="en-US" w:eastAsia="zh-CN"/>
        </w:rPr>
        <w:t>7</w:t>
      </w:r>
      <w:r>
        <w:rPr>
          <w:rFonts w:hint="default" w:ascii="Times New Roman" w:hAnsi="Times New Roman" w:cs="Times New Roman"/>
          <w:color w:val="auto"/>
          <w:highlight w:val="none"/>
          <w:u w:val="none" w:color="auto"/>
          <w:lang w:val="en-US" w:eastAsia="zh-CN"/>
        </w:rPr>
        <w:t xml:space="preserve"> </w:t>
      </w:r>
      <w:r>
        <w:rPr>
          <w:rFonts w:hint="default" w:ascii="Times New Roman" w:hAnsi="Times New Roman" w:cs="Times New Roman"/>
          <w:color w:val="auto"/>
          <w:highlight w:val="none"/>
          <w:u w:val="none" w:color="auto"/>
        </w:rPr>
        <w:t xml:space="preserve"> </w:t>
      </w:r>
      <w:r>
        <w:rPr>
          <w:rFonts w:hint="default" w:ascii="Times New Roman" w:hAnsi="Times New Roman" w:cs="Times New Roman"/>
          <w:color w:val="auto"/>
          <w:highlight w:val="none"/>
          <w:u w:val="none" w:color="auto"/>
          <w:lang w:eastAsia="zh-CN"/>
        </w:rPr>
        <w:t>非正常工况下</w:t>
      </w:r>
      <w:r>
        <w:rPr>
          <w:rFonts w:hint="default" w:ascii="Times New Roman" w:hAnsi="Times New Roman" w:cs="Times New Roman"/>
          <w:color w:val="auto"/>
          <w:highlight w:val="none"/>
          <w:u w:val="none" w:color="auto"/>
        </w:rPr>
        <w:t>污染物下风向预测最大地面浓度、占标率一览表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898"/>
        <w:gridCol w:w="970"/>
        <w:gridCol w:w="1567"/>
        <w:gridCol w:w="1475"/>
        <w:gridCol w:w="1475"/>
        <w:gridCol w:w="1475"/>
      </w:tblGrid>
      <w:tr w14:paraId="4FF1C9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86" w:type="pct"/>
            <w:tcBorders>
              <w:tl2br w:val="nil"/>
              <w:tr2bl w:val="nil"/>
            </w:tcBorders>
            <w:noWrap w:val="0"/>
            <w:vAlign w:val="center"/>
          </w:tcPr>
          <w:p w14:paraId="5238A4DA">
            <w:pPr>
              <w:pStyle w:val="42"/>
              <w:keepNext w:val="0"/>
              <w:keepLines w:val="0"/>
              <w:suppressLineNumbers w:val="0"/>
              <w:bidi w:val="0"/>
              <w:spacing w:before="0" w:beforeAutospacing="0" w:after="0" w:afterAutospacing="0"/>
              <w:rPr>
                <w:rFonts w:hint="default"/>
              </w:rPr>
            </w:pPr>
            <w:r>
              <w:rPr>
                <w:rFonts w:hint="default"/>
              </w:rPr>
              <w:t>类别</w:t>
            </w:r>
          </w:p>
        </w:tc>
        <w:tc>
          <w:tcPr>
            <w:tcW w:w="527" w:type="pct"/>
            <w:tcBorders>
              <w:tl2br w:val="nil"/>
              <w:tr2bl w:val="nil"/>
            </w:tcBorders>
            <w:noWrap w:val="0"/>
            <w:vAlign w:val="center"/>
          </w:tcPr>
          <w:p w14:paraId="628644B0">
            <w:pPr>
              <w:pStyle w:val="42"/>
              <w:keepNext w:val="0"/>
              <w:keepLines w:val="0"/>
              <w:suppressLineNumbers w:val="0"/>
              <w:bidi w:val="0"/>
              <w:spacing w:before="0" w:beforeAutospacing="0" w:after="0" w:afterAutospacing="0"/>
              <w:rPr>
                <w:rFonts w:hint="default"/>
              </w:rPr>
            </w:pPr>
            <w:r>
              <w:rPr>
                <w:rFonts w:hint="default"/>
              </w:rPr>
              <w:t>污染源</w:t>
            </w:r>
          </w:p>
        </w:tc>
        <w:tc>
          <w:tcPr>
            <w:tcW w:w="569" w:type="pct"/>
            <w:tcBorders>
              <w:tl2br w:val="nil"/>
              <w:tr2bl w:val="nil"/>
            </w:tcBorders>
            <w:noWrap w:val="0"/>
            <w:vAlign w:val="center"/>
          </w:tcPr>
          <w:p w14:paraId="050B1A49">
            <w:pPr>
              <w:pStyle w:val="42"/>
              <w:keepNext w:val="0"/>
              <w:keepLines w:val="0"/>
              <w:suppressLineNumbers w:val="0"/>
              <w:bidi w:val="0"/>
              <w:spacing w:before="0" w:beforeAutospacing="0" w:after="0" w:afterAutospacing="0"/>
              <w:rPr>
                <w:rFonts w:hint="default"/>
              </w:rPr>
            </w:pPr>
            <w:r>
              <w:rPr>
                <w:rFonts w:hint="default"/>
              </w:rPr>
              <w:t>污染物</w:t>
            </w:r>
          </w:p>
        </w:tc>
        <w:tc>
          <w:tcPr>
            <w:tcW w:w="919" w:type="pct"/>
            <w:tcBorders>
              <w:tl2br w:val="nil"/>
              <w:tr2bl w:val="nil"/>
            </w:tcBorders>
            <w:noWrap w:val="0"/>
            <w:vAlign w:val="center"/>
          </w:tcPr>
          <w:p w14:paraId="1A41C88A">
            <w:pPr>
              <w:pStyle w:val="42"/>
              <w:keepNext w:val="0"/>
              <w:keepLines w:val="0"/>
              <w:suppressLineNumbers w:val="0"/>
              <w:bidi w:val="0"/>
              <w:spacing w:before="0" w:beforeAutospacing="0" w:after="0" w:afterAutospacing="0"/>
              <w:rPr>
                <w:rFonts w:hint="default"/>
              </w:rPr>
            </w:pPr>
            <w:r>
              <w:rPr>
                <w:rFonts w:hint="default"/>
              </w:rPr>
              <w:t>最大落地浓度占标率Pmax（%）</w:t>
            </w:r>
          </w:p>
        </w:tc>
        <w:tc>
          <w:tcPr>
            <w:tcW w:w="865" w:type="pct"/>
            <w:tcBorders>
              <w:tl2br w:val="nil"/>
              <w:tr2bl w:val="nil"/>
            </w:tcBorders>
            <w:noWrap w:val="0"/>
            <w:vAlign w:val="center"/>
          </w:tcPr>
          <w:p w14:paraId="402E45FC">
            <w:pPr>
              <w:pStyle w:val="42"/>
              <w:keepNext w:val="0"/>
              <w:keepLines w:val="0"/>
              <w:suppressLineNumbers w:val="0"/>
              <w:bidi w:val="0"/>
              <w:spacing w:before="0" w:beforeAutospacing="0" w:after="0" w:afterAutospacing="0"/>
              <w:rPr>
                <w:rFonts w:hint="default"/>
                <w:lang w:eastAsia="zh-CN"/>
              </w:rPr>
            </w:pPr>
            <w:r>
              <w:rPr>
                <w:rFonts w:hint="default"/>
              </w:rPr>
              <w:t>最大落地浓度</w:t>
            </w:r>
            <w:r>
              <w:rPr>
                <w:rFonts w:hint="default"/>
                <w:lang w:eastAsia="zh-CN"/>
              </w:rPr>
              <w:t>（</w:t>
            </w:r>
            <w:r>
              <w:rPr>
                <w:rFonts w:hint="default"/>
                <w:lang w:val="en-US" w:eastAsia="zh-CN"/>
              </w:rPr>
              <w:t>mg/</w:t>
            </w:r>
            <w:r>
              <w:rPr>
                <w:rFonts w:hint="eastAsia"/>
                <w:lang w:val="en-US" w:eastAsia="zh-CN"/>
              </w:rPr>
              <w:t>m</w:t>
            </w:r>
            <w:r>
              <w:rPr>
                <w:rFonts w:hint="eastAsia"/>
                <w:vertAlign w:val="superscript"/>
                <w:lang w:val="en-US" w:eastAsia="zh-CN"/>
              </w:rPr>
              <w:t>3</w:t>
            </w:r>
            <w:r>
              <w:rPr>
                <w:rFonts w:hint="default"/>
                <w:lang w:eastAsia="zh-CN"/>
              </w:rPr>
              <w:t>）</w:t>
            </w:r>
          </w:p>
        </w:tc>
        <w:tc>
          <w:tcPr>
            <w:tcW w:w="865" w:type="pct"/>
            <w:tcBorders>
              <w:tl2br w:val="nil"/>
              <w:tr2bl w:val="nil"/>
            </w:tcBorders>
            <w:noWrap w:val="0"/>
            <w:vAlign w:val="center"/>
          </w:tcPr>
          <w:p w14:paraId="263A0D2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环境质量标准</w:t>
            </w:r>
            <w:r>
              <w:rPr>
                <w:rFonts w:hint="default"/>
                <w:lang w:eastAsia="zh-CN"/>
              </w:rPr>
              <w:t>（</w:t>
            </w:r>
            <w:r>
              <w:rPr>
                <w:rFonts w:hint="default"/>
                <w:lang w:val="en-US" w:eastAsia="zh-CN"/>
              </w:rPr>
              <w:t>mg/</w:t>
            </w:r>
            <w:r>
              <w:rPr>
                <w:rFonts w:hint="eastAsia"/>
                <w:lang w:val="en-US" w:eastAsia="zh-CN"/>
              </w:rPr>
              <w:t>m</w:t>
            </w:r>
            <w:r>
              <w:rPr>
                <w:rFonts w:hint="eastAsia"/>
                <w:vertAlign w:val="superscript"/>
                <w:lang w:val="en-US" w:eastAsia="zh-CN"/>
              </w:rPr>
              <w:t>3</w:t>
            </w:r>
            <w:r>
              <w:rPr>
                <w:rFonts w:hint="default"/>
                <w:lang w:eastAsia="zh-CN"/>
              </w:rPr>
              <w:t>）</w:t>
            </w:r>
          </w:p>
        </w:tc>
        <w:tc>
          <w:tcPr>
            <w:tcW w:w="865" w:type="pct"/>
            <w:tcBorders>
              <w:tl2br w:val="nil"/>
              <w:tr2bl w:val="nil"/>
            </w:tcBorders>
            <w:noWrap w:val="0"/>
            <w:vAlign w:val="center"/>
          </w:tcPr>
          <w:p w14:paraId="4030B1B7">
            <w:pPr>
              <w:pStyle w:val="42"/>
              <w:keepNext w:val="0"/>
              <w:keepLines w:val="0"/>
              <w:suppressLineNumbers w:val="0"/>
              <w:bidi w:val="0"/>
              <w:spacing w:before="0" w:beforeAutospacing="0" w:after="0" w:afterAutospacing="0"/>
              <w:rPr>
                <w:rFonts w:hint="default"/>
              </w:rPr>
            </w:pPr>
            <w:r>
              <w:rPr>
                <w:rFonts w:hint="default"/>
              </w:rPr>
              <w:t>下风向最大浓度出现距离m</w:t>
            </w:r>
          </w:p>
        </w:tc>
      </w:tr>
      <w:tr w14:paraId="674FC2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tcBorders>
              <w:tl2br w:val="nil"/>
              <w:tr2bl w:val="nil"/>
            </w:tcBorders>
            <w:noWrap w:val="0"/>
            <w:vAlign w:val="center"/>
          </w:tcPr>
          <w:p w14:paraId="6D9207FE">
            <w:pPr>
              <w:pStyle w:val="42"/>
              <w:keepNext w:val="0"/>
              <w:keepLines w:val="0"/>
              <w:suppressLineNumbers w:val="0"/>
              <w:bidi w:val="0"/>
              <w:spacing w:before="0" w:beforeAutospacing="0" w:after="0" w:afterAutospacing="0"/>
              <w:rPr>
                <w:rFonts w:hint="default"/>
              </w:rPr>
            </w:pPr>
            <w:r>
              <w:rPr>
                <w:rFonts w:hint="default"/>
              </w:rPr>
              <w:t>有组织</w:t>
            </w:r>
          </w:p>
        </w:tc>
        <w:tc>
          <w:tcPr>
            <w:tcW w:w="527" w:type="pct"/>
            <w:vMerge w:val="restart"/>
            <w:tcBorders>
              <w:tl2br w:val="nil"/>
              <w:tr2bl w:val="nil"/>
            </w:tcBorders>
            <w:noWrap w:val="0"/>
            <w:vAlign w:val="center"/>
          </w:tcPr>
          <w:p w14:paraId="062958C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DA00</w:t>
            </w:r>
            <w:r>
              <w:rPr>
                <w:rFonts w:hint="eastAsia"/>
                <w:lang w:val="en-US" w:eastAsia="zh-CN"/>
              </w:rPr>
              <w:t>1</w:t>
            </w:r>
          </w:p>
        </w:tc>
        <w:tc>
          <w:tcPr>
            <w:tcW w:w="569" w:type="pct"/>
            <w:tcBorders>
              <w:tl2br w:val="nil"/>
              <w:tr2bl w:val="nil"/>
            </w:tcBorders>
            <w:noWrap w:val="0"/>
            <w:vAlign w:val="center"/>
          </w:tcPr>
          <w:p w14:paraId="11C97721">
            <w:pPr>
              <w:pStyle w:val="42"/>
              <w:keepNext w:val="0"/>
              <w:keepLines w:val="0"/>
              <w:suppressLineNumbers w:val="0"/>
              <w:bidi w:val="0"/>
              <w:spacing w:before="0" w:beforeAutospacing="0" w:after="0" w:afterAutospacing="0"/>
              <w:rPr>
                <w:rFonts w:hint="eastAsia" w:eastAsia="宋体"/>
                <w:lang w:val="en-US" w:eastAsia="zh-CN"/>
              </w:rPr>
            </w:pPr>
            <w:r>
              <w:rPr>
                <w:rFonts w:hint="eastAsia"/>
                <w:lang w:eastAsia="zh-CN"/>
              </w:rPr>
              <w:t>NH</w:t>
            </w:r>
            <w:r>
              <w:rPr>
                <w:rFonts w:hint="eastAsia"/>
                <w:vertAlign w:val="subscript"/>
                <w:lang w:eastAsia="zh-CN"/>
              </w:rPr>
              <w:t>3</w:t>
            </w:r>
          </w:p>
        </w:tc>
        <w:tc>
          <w:tcPr>
            <w:tcW w:w="919" w:type="pct"/>
            <w:tcBorders>
              <w:tl2br w:val="nil"/>
              <w:tr2bl w:val="nil"/>
            </w:tcBorders>
            <w:noWrap w:val="0"/>
            <w:vAlign w:val="center"/>
          </w:tcPr>
          <w:p w14:paraId="0DB4DDD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1.32E-02</w:t>
            </w:r>
          </w:p>
        </w:tc>
        <w:tc>
          <w:tcPr>
            <w:tcW w:w="865" w:type="pct"/>
            <w:tcBorders>
              <w:tl2br w:val="nil"/>
              <w:tr2bl w:val="nil"/>
            </w:tcBorders>
            <w:noWrap w:val="0"/>
            <w:vAlign w:val="center"/>
          </w:tcPr>
          <w:p w14:paraId="0243F61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6.61</w:t>
            </w:r>
          </w:p>
        </w:tc>
        <w:tc>
          <w:tcPr>
            <w:tcW w:w="865" w:type="pct"/>
            <w:tcBorders>
              <w:tl2br w:val="nil"/>
              <w:tr2bl w:val="nil"/>
            </w:tcBorders>
            <w:noWrap w:val="0"/>
            <w:vAlign w:val="center"/>
          </w:tcPr>
          <w:p w14:paraId="2B13E16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0.2</w:t>
            </w:r>
          </w:p>
        </w:tc>
        <w:tc>
          <w:tcPr>
            <w:tcW w:w="865" w:type="pct"/>
            <w:vMerge w:val="restart"/>
            <w:tcBorders>
              <w:tl2br w:val="nil"/>
              <w:tr2bl w:val="nil"/>
            </w:tcBorders>
            <w:noWrap w:val="0"/>
            <w:vAlign w:val="center"/>
          </w:tcPr>
          <w:p w14:paraId="749EAB4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148</w:t>
            </w:r>
          </w:p>
        </w:tc>
      </w:tr>
      <w:tr w14:paraId="77A4CF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tcBorders>
              <w:tl2br w:val="nil"/>
              <w:tr2bl w:val="nil"/>
            </w:tcBorders>
            <w:noWrap w:val="0"/>
            <w:vAlign w:val="center"/>
          </w:tcPr>
          <w:p w14:paraId="5D7F3EF6">
            <w:pPr>
              <w:pStyle w:val="42"/>
              <w:keepNext w:val="0"/>
              <w:keepLines w:val="0"/>
              <w:suppressLineNumbers w:val="0"/>
              <w:bidi w:val="0"/>
              <w:spacing w:before="0" w:beforeAutospacing="0" w:after="0" w:afterAutospacing="0"/>
              <w:rPr>
                <w:rFonts w:hint="default"/>
              </w:rPr>
            </w:pPr>
          </w:p>
        </w:tc>
        <w:tc>
          <w:tcPr>
            <w:tcW w:w="527" w:type="pct"/>
            <w:vMerge w:val="continue"/>
            <w:tcBorders>
              <w:tl2br w:val="nil"/>
              <w:tr2bl w:val="nil"/>
            </w:tcBorders>
            <w:noWrap w:val="0"/>
            <w:vAlign w:val="center"/>
          </w:tcPr>
          <w:p w14:paraId="1923A30C">
            <w:pPr>
              <w:pStyle w:val="42"/>
              <w:keepNext w:val="0"/>
              <w:keepLines w:val="0"/>
              <w:suppressLineNumbers w:val="0"/>
              <w:bidi w:val="0"/>
              <w:spacing w:before="0" w:beforeAutospacing="0" w:after="0" w:afterAutospacing="0"/>
              <w:rPr>
                <w:rFonts w:hint="default"/>
                <w:lang w:val="en-US" w:eastAsia="zh-CN"/>
              </w:rPr>
            </w:pPr>
          </w:p>
        </w:tc>
        <w:tc>
          <w:tcPr>
            <w:tcW w:w="569" w:type="pct"/>
            <w:tcBorders>
              <w:tl2br w:val="nil"/>
              <w:tr2bl w:val="nil"/>
            </w:tcBorders>
            <w:noWrap w:val="0"/>
            <w:vAlign w:val="center"/>
          </w:tcPr>
          <w:p w14:paraId="068C5F2A">
            <w:pPr>
              <w:pStyle w:val="42"/>
              <w:keepNext w:val="0"/>
              <w:keepLines w:val="0"/>
              <w:suppressLineNumbers w:val="0"/>
              <w:bidi w:val="0"/>
              <w:spacing w:before="0" w:beforeAutospacing="0" w:after="0" w:afterAutospacing="0"/>
              <w:rPr>
                <w:rFonts w:hint="eastAsia" w:eastAsia="宋体"/>
                <w:lang w:val="en-US" w:eastAsia="zh-CN"/>
              </w:rPr>
            </w:pPr>
            <w:r>
              <w:rPr>
                <w:rFonts w:hint="eastAsia"/>
                <w:lang w:eastAsia="zh-CN"/>
              </w:rPr>
              <w:t>H</w:t>
            </w:r>
            <w:r>
              <w:rPr>
                <w:rFonts w:hint="eastAsia"/>
                <w:vertAlign w:val="subscript"/>
                <w:lang w:eastAsia="zh-CN"/>
              </w:rPr>
              <w:t>2</w:t>
            </w:r>
            <w:r>
              <w:rPr>
                <w:rFonts w:hint="eastAsia"/>
                <w:lang w:eastAsia="zh-CN"/>
              </w:rPr>
              <w:t>S</w:t>
            </w:r>
          </w:p>
        </w:tc>
        <w:tc>
          <w:tcPr>
            <w:tcW w:w="919" w:type="pct"/>
            <w:tcBorders>
              <w:tl2br w:val="nil"/>
              <w:tr2bl w:val="nil"/>
            </w:tcBorders>
            <w:noWrap w:val="0"/>
            <w:vAlign w:val="center"/>
          </w:tcPr>
          <w:p w14:paraId="4ED3AA54">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5.12E-05</w:t>
            </w:r>
          </w:p>
        </w:tc>
        <w:tc>
          <w:tcPr>
            <w:tcW w:w="865" w:type="pct"/>
            <w:tcBorders>
              <w:tl2br w:val="nil"/>
              <w:tr2bl w:val="nil"/>
            </w:tcBorders>
            <w:noWrap w:val="0"/>
            <w:vAlign w:val="center"/>
          </w:tcPr>
          <w:p w14:paraId="0724999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0.51</w:t>
            </w:r>
          </w:p>
        </w:tc>
        <w:tc>
          <w:tcPr>
            <w:tcW w:w="865" w:type="pct"/>
            <w:tcBorders>
              <w:tl2br w:val="nil"/>
              <w:tr2bl w:val="nil"/>
            </w:tcBorders>
            <w:noWrap w:val="0"/>
            <w:vAlign w:val="center"/>
          </w:tcPr>
          <w:p w14:paraId="6F7D83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0.01</w:t>
            </w:r>
          </w:p>
        </w:tc>
        <w:tc>
          <w:tcPr>
            <w:tcW w:w="865" w:type="pct"/>
            <w:vMerge w:val="continue"/>
            <w:tcBorders>
              <w:tl2br w:val="nil"/>
              <w:tr2bl w:val="nil"/>
            </w:tcBorders>
            <w:noWrap w:val="0"/>
            <w:vAlign w:val="center"/>
          </w:tcPr>
          <w:p w14:paraId="1B10CE44">
            <w:pPr>
              <w:pStyle w:val="42"/>
              <w:keepNext w:val="0"/>
              <w:keepLines w:val="0"/>
              <w:suppressLineNumbers w:val="0"/>
              <w:bidi w:val="0"/>
              <w:spacing w:before="0" w:beforeAutospacing="0" w:after="0" w:afterAutospacing="0"/>
              <w:rPr>
                <w:rFonts w:hint="default"/>
                <w:lang w:val="en-US" w:eastAsia="zh-CN"/>
              </w:rPr>
            </w:pPr>
          </w:p>
        </w:tc>
      </w:tr>
    </w:tbl>
    <w:p w14:paraId="007A2D63">
      <w:pPr>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rPr>
        <w:t>由上表可知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在环保设备失效的情况下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废气排放污染物落地浓度小于环境标准值。</w:t>
      </w:r>
      <w:r>
        <w:rPr>
          <w:rFonts w:hint="default" w:ascii="Times New Roman" w:hAnsi="Times New Roman" w:cs="Times New Roman"/>
          <w:color w:val="auto"/>
          <w:highlight w:val="none"/>
          <w:u w:val="none" w:color="auto"/>
          <w:lang w:val="en-US" w:eastAsia="zh-CN"/>
        </w:rPr>
        <w:t>为减少废气处理措施非正常工况，</w:t>
      </w:r>
      <w:r>
        <w:rPr>
          <w:rFonts w:hint="default" w:ascii="Times New Roman" w:hAnsi="Times New Roman" w:cs="Times New Roman"/>
          <w:color w:val="auto"/>
          <w:highlight w:val="none"/>
          <w:u w:val="none" w:color="auto"/>
        </w:rPr>
        <w:t>要求</w:t>
      </w:r>
      <w:r>
        <w:rPr>
          <w:rFonts w:hint="default" w:ascii="Times New Roman" w:hAnsi="Times New Roman" w:cs="Times New Roman"/>
          <w:color w:val="auto"/>
          <w:highlight w:val="none"/>
          <w:u w:val="none" w:color="auto"/>
          <w:lang w:val="en-US" w:eastAsia="zh-CN"/>
        </w:rPr>
        <w:t>建设单位</w:t>
      </w:r>
      <w:r>
        <w:rPr>
          <w:rFonts w:hint="default" w:ascii="Times New Roman" w:hAnsi="Times New Roman" w:cs="Times New Roman"/>
          <w:color w:val="auto"/>
          <w:highlight w:val="none"/>
          <w:u w:val="none" w:color="auto"/>
        </w:rPr>
        <w:t>定期对废气处理设施进行巡查，一旦发生不正常排放，则停止生产，维修废气处理设备</w:t>
      </w:r>
      <w:r>
        <w:rPr>
          <w:rFonts w:hint="default" w:ascii="Times New Roman" w:hAnsi="Times New Roman" w:cs="Times New Roman"/>
          <w:color w:val="auto"/>
          <w:highlight w:val="none"/>
          <w:u w:val="none" w:color="auto"/>
          <w:lang w:eastAsia="zh-CN"/>
        </w:rPr>
        <w:t>。</w:t>
      </w:r>
    </w:p>
    <w:p w14:paraId="25DD80AB">
      <w:pPr>
        <w:pStyle w:val="7"/>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防护距离的确定</w:t>
      </w:r>
    </w:p>
    <w:p w14:paraId="1E51C9E3">
      <w:pPr>
        <w:ind w:firstLine="480"/>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根据估算模式及进一步预测模式计算的结果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本项目大气污染物在评价范围内的最大占标率为</w:t>
      </w:r>
      <w:r>
        <w:rPr>
          <w:rFonts w:hint="eastAsia" w:ascii="Times New Roman" w:hAnsi="Times New Roman" w:cs="Times New Roman"/>
          <w:color w:val="auto"/>
          <w:highlight w:val="none"/>
          <w:u w:val="none" w:color="auto"/>
          <w:lang w:val="en-US" w:eastAsia="zh-CN"/>
        </w:rPr>
        <w:t>7.91</w:t>
      </w:r>
      <w:r>
        <w:rPr>
          <w:rFonts w:hint="default" w:ascii="Times New Roman" w:hAnsi="Times New Roman" w:cs="Times New Roman"/>
          <w:color w:val="auto"/>
          <w:sz w:val="24"/>
          <w:szCs w:val="24"/>
          <w:highlight w:val="none"/>
          <w:u w:val="none" w:color="auto"/>
        </w:rPr>
        <w:t>%</w:t>
      </w:r>
      <w:r>
        <w:rPr>
          <w:rFonts w:hint="default" w:ascii="Times New Roman" w:hAnsi="Times New Roman" w:cs="Times New Roman"/>
          <w:color w:val="auto"/>
          <w:highlight w:val="none"/>
          <w:u w:val="none" w:color="auto"/>
        </w:rPr>
        <w:t>。根据《环境影响评价技术导则 大气环境》(HJ2.2-2018)中8.7.5章节大气环境防护距离的规定：</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对于项目厂界浓度满足大气污染物厂界浓度</w:t>
      </w:r>
      <w:r>
        <w:rPr>
          <w:rFonts w:hint="default" w:ascii="Times New Roman" w:hAnsi="Times New Roman" w:eastAsia="宋体" w:cs="Times New Roman"/>
          <w:color w:val="auto"/>
          <w:highlight w:val="none"/>
          <w:u w:val="none" w:color="auto"/>
        </w:rPr>
        <w:t>限值</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但厂界外大气污染物短期贡献浓度超过环境质量浓度限值的</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可以自厂界向外设置一定范围的大气环境防护区域</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以确保大气环境防护区域外的污染物贡献浓度满足环境质量标准</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。本项目厂界外大气污染物的短期贡献浓度均未超过环境质量浓度限值</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因此无需设置大气环境防护距离。</w:t>
      </w:r>
    </w:p>
    <w:p w14:paraId="0CFB07FE">
      <w:pPr>
        <w:pStyle w:val="7"/>
        <w:ind w:firstLine="480"/>
        <w:rPr>
          <w:rFonts w:hint="default" w:ascii="Times New Roman" w:hAnsi="Times New Roman" w:cs="Times New Roman"/>
          <w:bCs/>
          <w:color w:val="auto"/>
          <w:highlight w:val="none"/>
          <w:u w:val="none" w:color="auto"/>
        </w:rPr>
      </w:pPr>
      <w:r>
        <w:rPr>
          <w:rFonts w:hint="default" w:ascii="Times New Roman" w:hAnsi="Times New Roman" w:cs="Times New Roman"/>
          <w:bCs/>
          <w:color w:val="auto"/>
          <w:highlight w:val="none"/>
          <w:u w:val="none" w:color="auto"/>
        </w:rPr>
        <w:t>污染物排放量核算</w:t>
      </w:r>
    </w:p>
    <w:p w14:paraId="1140EE0F">
      <w:pPr>
        <w:ind w:firstLine="480"/>
        <w:rPr>
          <w:rFonts w:hint="default" w:ascii="Times New Roman" w:hAnsi="Times New Roman" w:cs="Times New Roman"/>
          <w:bCs/>
          <w:color w:val="auto"/>
          <w:highlight w:val="none"/>
          <w:u w:val="none" w:color="auto"/>
        </w:rPr>
      </w:pPr>
      <w:r>
        <w:rPr>
          <w:rFonts w:hint="default" w:ascii="Times New Roman" w:hAnsi="Times New Roman" w:cs="Times New Roman"/>
          <w:bCs/>
          <w:color w:val="auto"/>
          <w:highlight w:val="none"/>
          <w:u w:val="none" w:color="auto"/>
        </w:rPr>
        <w:t>1）有组织污染物排放量核算：</w:t>
      </w:r>
    </w:p>
    <w:p w14:paraId="3CCBDC81">
      <w:pPr>
        <w:pStyle w:val="39"/>
        <w:bidi w:val="0"/>
        <w:rPr>
          <w:rFonts w:hint="default"/>
          <w:highlight w:val="none"/>
        </w:rPr>
      </w:pPr>
      <w:r>
        <w:rPr>
          <w:rFonts w:hint="default"/>
          <w:highlight w:val="none"/>
        </w:rPr>
        <w:t>表</w:t>
      </w:r>
      <w:r>
        <w:rPr>
          <w:rFonts w:hint="eastAsia"/>
          <w:highlight w:val="none"/>
          <w:lang w:val="en-US" w:eastAsia="zh-CN"/>
        </w:rPr>
        <w:t>6</w:t>
      </w:r>
      <w:r>
        <w:rPr>
          <w:rFonts w:hint="default"/>
          <w:highlight w:val="none"/>
        </w:rPr>
        <w:t>.2-</w:t>
      </w:r>
      <w:r>
        <w:rPr>
          <w:rFonts w:hint="default"/>
          <w:highlight w:val="none"/>
          <w:lang w:val="en-US" w:eastAsia="zh-CN"/>
        </w:rPr>
        <w:t>1</w:t>
      </w:r>
      <w:r>
        <w:rPr>
          <w:rFonts w:hint="eastAsia"/>
          <w:highlight w:val="none"/>
          <w:lang w:val="en-US" w:eastAsia="zh-CN"/>
        </w:rPr>
        <w:t>8</w:t>
      </w:r>
      <w:r>
        <w:rPr>
          <w:rFonts w:hint="default"/>
          <w:highlight w:val="none"/>
        </w:rPr>
        <w:t xml:space="preserve">   大气污染物有组织排放量核算表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952"/>
        <w:gridCol w:w="1595"/>
        <w:gridCol w:w="1660"/>
        <w:gridCol w:w="1527"/>
        <w:gridCol w:w="1613"/>
      </w:tblGrid>
      <w:tr w14:paraId="6BF53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noWrap w:val="0"/>
            <w:vAlign w:val="center"/>
          </w:tcPr>
          <w:p w14:paraId="6EC5AE4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序号</w:t>
            </w:r>
          </w:p>
        </w:tc>
        <w:tc>
          <w:tcPr>
            <w:tcW w:w="558" w:type="pct"/>
            <w:noWrap w:val="0"/>
            <w:vAlign w:val="center"/>
          </w:tcPr>
          <w:p w14:paraId="4275AF7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排放口编号</w:t>
            </w:r>
          </w:p>
        </w:tc>
        <w:tc>
          <w:tcPr>
            <w:tcW w:w="936" w:type="pct"/>
            <w:noWrap w:val="0"/>
            <w:vAlign w:val="center"/>
          </w:tcPr>
          <w:p w14:paraId="239F095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w:t>
            </w:r>
          </w:p>
        </w:tc>
        <w:tc>
          <w:tcPr>
            <w:tcW w:w="974" w:type="pct"/>
            <w:noWrap w:val="0"/>
            <w:vAlign w:val="center"/>
          </w:tcPr>
          <w:p w14:paraId="3C85F12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核算排放浓度/(mg/</w:t>
            </w:r>
            <w:r>
              <w:rPr>
                <w:rFonts w:hint="eastAsia" w:cs="Times New Roman"/>
                <w:color w:val="auto"/>
                <w:kern w:val="2"/>
                <w:highlight w:val="none"/>
                <w:u w:val="none" w:color="auto"/>
                <w:lang w:eastAsia="zh-CN"/>
              </w:rPr>
              <w:t>m</w:t>
            </w:r>
            <w:r>
              <w:rPr>
                <w:rFonts w:hint="eastAsia" w:cs="Times New Roman"/>
                <w:color w:val="auto"/>
                <w:kern w:val="2"/>
                <w:highlight w:val="none"/>
                <w:u w:val="none" w:color="auto"/>
                <w:vertAlign w:val="superscript"/>
                <w:lang w:eastAsia="zh-CN"/>
              </w:rPr>
              <w:t>3</w:t>
            </w:r>
            <w:r>
              <w:rPr>
                <w:rFonts w:hint="default" w:ascii="Times New Roman" w:hAnsi="Times New Roman" w:cs="Times New Roman"/>
                <w:color w:val="auto"/>
                <w:kern w:val="2"/>
                <w:highlight w:val="none"/>
                <w:u w:val="none" w:color="auto"/>
              </w:rPr>
              <w:t>)</w:t>
            </w:r>
          </w:p>
        </w:tc>
        <w:tc>
          <w:tcPr>
            <w:tcW w:w="896" w:type="pct"/>
            <w:noWrap w:val="0"/>
            <w:vAlign w:val="center"/>
          </w:tcPr>
          <w:p w14:paraId="4B650EF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核算排放速率/(kg/h)</w:t>
            </w:r>
          </w:p>
        </w:tc>
        <w:tc>
          <w:tcPr>
            <w:tcW w:w="946" w:type="pct"/>
            <w:noWrap w:val="0"/>
            <w:vAlign w:val="center"/>
          </w:tcPr>
          <w:p w14:paraId="336ABF4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核算年排放量/(t/a)</w:t>
            </w:r>
          </w:p>
        </w:tc>
      </w:tr>
      <w:tr w14:paraId="20153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14:paraId="2A362CC6">
            <w:pPr>
              <w:pStyle w:val="43"/>
              <w:keepNext w:val="0"/>
              <w:keepLines w:val="0"/>
              <w:widowControl/>
              <w:suppressLineNumbers w:val="0"/>
              <w:spacing w:before="0" w:beforeAutospacing="0" w:after="0" w:afterAutospacing="0"/>
              <w:ind w:left="0"/>
              <w:rPr>
                <w:rFonts w:hint="eastAsia" w:ascii="Times New Roman" w:hAnsi="Times New Roman" w:eastAsia="宋体" w:cs="Times New Roman"/>
                <w:color w:val="auto"/>
                <w:kern w:val="2"/>
                <w:highlight w:val="none"/>
                <w:u w:val="none" w:color="auto"/>
                <w:lang w:eastAsia="zh-CN"/>
              </w:rPr>
            </w:pPr>
            <w:r>
              <w:rPr>
                <w:rFonts w:hint="default" w:ascii="Times New Roman" w:hAnsi="Times New Roman" w:cs="Times New Roman"/>
                <w:color w:val="auto"/>
                <w:kern w:val="2"/>
                <w:highlight w:val="none"/>
                <w:u w:val="none" w:color="auto"/>
              </w:rPr>
              <w:t>一般排放口</w:t>
            </w:r>
          </w:p>
        </w:tc>
      </w:tr>
      <w:tr w14:paraId="4CCD2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noWrap w:val="0"/>
            <w:vAlign w:val="center"/>
          </w:tcPr>
          <w:p w14:paraId="4CCA954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1</w:t>
            </w:r>
          </w:p>
        </w:tc>
        <w:tc>
          <w:tcPr>
            <w:tcW w:w="558" w:type="pct"/>
            <w:vMerge w:val="restart"/>
            <w:noWrap w:val="0"/>
            <w:vAlign w:val="center"/>
          </w:tcPr>
          <w:p w14:paraId="30F3AFD7">
            <w:pPr>
              <w:pStyle w:val="43"/>
              <w:keepNext w:val="0"/>
              <w:keepLines w:val="0"/>
              <w:widowControl/>
              <w:suppressLineNumbers w:val="0"/>
              <w:spacing w:before="0" w:beforeAutospacing="0" w:after="0" w:afterAutospacing="0"/>
              <w:ind w:left="0"/>
              <w:rPr>
                <w:rFonts w:hint="eastAsia"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DA</w:t>
            </w:r>
            <w:r>
              <w:rPr>
                <w:rFonts w:hint="default" w:ascii="Times New Roman" w:hAnsi="Times New Roman" w:cs="Times New Roman"/>
                <w:color w:val="auto"/>
                <w:kern w:val="2"/>
                <w:highlight w:val="none"/>
                <w:u w:val="none" w:color="auto"/>
              </w:rPr>
              <w:t>00</w:t>
            </w:r>
            <w:r>
              <w:rPr>
                <w:rFonts w:hint="eastAsia" w:cs="Times New Roman"/>
                <w:color w:val="auto"/>
                <w:kern w:val="2"/>
                <w:highlight w:val="none"/>
                <w:u w:val="none" w:color="auto"/>
                <w:lang w:val="en-US" w:eastAsia="zh-CN"/>
              </w:rPr>
              <w:t>1</w:t>
            </w:r>
          </w:p>
        </w:tc>
        <w:tc>
          <w:tcPr>
            <w:tcW w:w="936" w:type="pct"/>
            <w:noWrap w:val="0"/>
            <w:vAlign w:val="center"/>
          </w:tcPr>
          <w:p w14:paraId="6FBACCC9">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highlight w:val="none"/>
                <w:lang w:eastAsia="zh-CN"/>
              </w:rPr>
              <w:t>NH</w:t>
            </w:r>
            <w:r>
              <w:rPr>
                <w:rFonts w:hint="eastAsia"/>
                <w:highlight w:val="none"/>
                <w:vertAlign w:val="subscript"/>
                <w:lang w:eastAsia="zh-CN"/>
              </w:rPr>
              <w:t>3</w:t>
            </w:r>
          </w:p>
        </w:tc>
        <w:tc>
          <w:tcPr>
            <w:tcW w:w="974" w:type="pct"/>
            <w:noWrap w:val="0"/>
            <w:vAlign w:val="center"/>
          </w:tcPr>
          <w:p w14:paraId="24333890">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highlight w:val="none"/>
                <w:u w:val="none" w:color="auto"/>
                <w:lang w:val="en-US" w:eastAsia="zh-CN"/>
              </w:rPr>
              <w:t>2.8411</w:t>
            </w:r>
          </w:p>
        </w:tc>
        <w:tc>
          <w:tcPr>
            <w:tcW w:w="896" w:type="pct"/>
            <w:noWrap w:val="0"/>
            <w:vAlign w:val="center"/>
          </w:tcPr>
          <w:p w14:paraId="7FA7304D">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0.0284</w:t>
            </w:r>
          </w:p>
        </w:tc>
        <w:tc>
          <w:tcPr>
            <w:tcW w:w="946" w:type="pct"/>
            <w:noWrap w:val="0"/>
            <w:vAlign w:val="center"/>
          </w:tcPr>
          <w:p w14:paraId="6E22C4EA">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0.2489</w:t>
            </w:r>
          </w:p>
        </w:tc>
      </w:tr>
      <w:tr w14:paraId="296308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noWrap w:val="0"/>
            <w:vAlign w:val="center"/>
          </w:tcPr>
          <w:p w14:paraId="5BE12E9E">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default" w:ascii="Times New Roman" w:hAnsi="Times New Roman" w:cs="Times New Roman"/>
                <w:color w:val="auto"/>
                <w:kern w:val="2"/>
                <w:highlight w:val="none"/>
                <w:u w:val="none" w:color="auto"/>
                <w:lang w:val="en-US" w:eastAsia="zh-CN"/>
              </w:rPr>
              <w:t>2</w:t>
            </w:r>
          </w:p>
        </w:tc>
        <w:tc>
          <w:tcPr>
            <w:tcW w:w="558" w:type="pct"/>
            <w:vMerge w:val="continue"/>
            <w:noWrap w:val="0"/>
            <w:vAlign w:val="center"/>
          </w:tcPr>
          <w:p w14:paraId="3E1CB75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lang w:val="en-US" w:eastAsia="zh-CN"/>
              </w:rPr>
            </w:pPr>
          </w:p>
        </w:tc>
        <w:tc>
          <w:tcPr>
            <w:tcW w:w="936" w:type="pct"/>
            <w:noWrap w:val="0"/>
            <w:vAlign w:val="center"/>
          </w:tcPr>
          <w:p w14:paraId="77E2E70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highlight w:val="none"/>
                <w:lang w:eastAsia="zh-CN"/>
              </w:rPr>
              <w:t>H</w:t>
            </w:r>
            <w:r>
              <w:rPr>
                <w:rFonts w:hint="eastAsia"/>
                <w:highlight w:val="none"/>
                <w:vertAlign w:val="subscript"/>
                <w:lang w:eastAsia="zh-CN"/>
              </w:rPr>
              <w:t>2</w:t>
            </w:r>
            <w:r>
              <w:rPr>
                <w:rFonts w:hint="eastAsia"/>
                <w:highlight w:val="none"/>
                <w:lang w:eastAsia="zh-CN"/>
              </w:rPr>
              <w:t>S</w:t>
            </w:r>
          </w:p>
        </w:tc>
        <w:tc>
          <w:tcPr>
            <w:tcW w:w="974" w:type="pct"/>
            <w:noWrap w:val="0"/>
            <w:vAlign w:val="center"/>
          </w:tcPr>
          <w:p w14:paraId="02EF5FAB">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highlight w:val="none"/>
                <w:u w:val="none" w:color="auto"/>
                <w:lang w:val="en-US" w:eastAsia="zh-CN"/>
              </w:rPr>
              <w:t>0.0113</w:t>
            </w:r>
          </w:p>
        </w:tc>
        <w:tc>
          <w:tcPr>
            <w:tcW w:w="896" w:type="pct"/>
            <w:noWrap w:val="0"/>
            <w:vAlign w:val="center"/>
          </w:tcPr>
          <w:p w14:paraId="7FB061B2">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0.00011</w:t>
            </w:r>
          </w:p>
        </w:tc>
        <w:tc>
          <w:tcPr>
            <w:tcW w:w="946" w:type="pct"/>
            <w:noWrap w:val="0"/>
            <w:vAlign w:val="center"/>
          </w:tcPr>
          <w:p w14:paraId="62E22E62">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0.00099</w:t>
            </w:r>
          </w:p>
        </w:tc>
      </w:tr>
      <w:tr w14:paraId="13EA4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pct"/>
            <w:gridSpan w:val="2"/>
            <w:vMerge w:val="restart"/>
            <w:noWrap w:val="0"/>
            <w:vAlign w:val="center"/>
          </w:tcPr>
          <w:p w14:paraId="56478F2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有组织排放总计</w:t>
            </w:r>
          </w:p>
        </w:tc>
        <w:tc>
          <w:tcPr>
            <w:tcW w:w="2806" w:type="pct"/>
            <w:gridSpan w:val="3"/>
            <w:shd w:val="clear" w:color="auto" w:fill="auto"/>
            <w:noWrap w:val="0"/>
            <w:vAlign w:val="center"/>
          </w:tcPr>
          <w:p w14:paraId="3FDEE608">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auto"/>
                <w:kern w:val="2"/>
                <w:sz w:val="21"/>
                <w:szCs w:val="21"/>
                <w:highlight w:val="none"/>
                <w:u w:val="none" w:color="auto"/>
                <w:lang w:val="en-US" w:eastAsia="zh-CN" w:bidi="ar-SA"/>
              </w:rPr>
            </w:pPr>
            <w:r>
              <w:rPr>
                <w:rFonts w:hint="eastAsia"/>
                <w:highlight w:val="none"/>
                <w:lang w:eastAsia="zh-CN"/>
              </w:rPr>
              <w:t>NH</w:t>
            </w:r>
            <w:r>
              <w:rPr>
                <w:rFonts w:hint="eastAsia"/>
                <w:highlight w:val="none"/>
                <w:vertAlign w:val="subscript"/>
                <w:lang w:eastAsia="zh-CN"/>
              </w:rPr>
              <w:t>3</w:t>
            </w:r>
          </w:p>
        </w:tc>
        <w:tc>
          <w:tcPr>
            <w:tcW w:w="946" w:type="pct"/>
            <w:shd w:val="clear" w:color="auto" w:fill="auto"/>
            <w:noWrap w:val="0"/>
            <w:vAlign w:val="center"/>
          </w:tcPr>
          <w:p w14:paraId="2C120AD6">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highlight w:val="none"/>
                <w:u w:val="none" w:color="auto"/>
                <w:lang w:val="en-US" w:eastAsia="zh-CN"/>
              </w:rPr>
              <w:t>0.2489</w:t>
            </w:r>
          </w:p>
        </w:tc>
      </w:tr>
      <w:tr w14:paraId="487F9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pct"/>
            <w:gridSpan w:val="2"/>
            <w:vMerge w:val="continue"/>
            <w:noWrap w:val="0"/>
            <w:vAlign w:val="center"/>
          </w:tcPr>
          <w:p w14:paraId="558AE912">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2806" w:type="pct"/>
            <w:gridSpan w:val="3"/>
            <w:shd w:val="clear" w:color="auto" w:fill="auto"/>
            <w:noWrap w:val="0"/>
            <w:vAlign w:val="center"/>
          </w:tcPr>
          <w:p w14:paraId="11830A55">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auto"/>
                <w:kern w:val="2"/>
                <w:sz w:val="21"/>
                <w:szCs w:val="21"/>
                <w:highlight w:val="none"/>
                <w:u w:val="none" w:color="auto"/>
                <w:lang w:val="en-US" w:eastAsia="zh-CN" w:bidi="ar-SA"/>
              </w:rPr>
            </w:pPr>
            <w:r>
              <w:rPr>
                <w:rFonts w:hint="eastAsia"/>
                <w:highlight w:val="none"/>
                <w:lang w:eastAsia="zh-CN"/>
              </w:rPr>
              <w:t>H</w:t>
            </w:r>
            <w:r>
              <w:rPr>
                <w:rFonts w:hint="eastAsia"/>
                <w:highlight w:val="none"/>
                <w:vertAlign w:val="subscript"/>
                <w:lang w:eastAsia="zh-CN"/>
              </w:rPr>
              <w:t>2</w:t>
            </w:r>
            <w:r>
              <w:rPr>
                <w:rFonts w:hint="eastAsia"/>
                <w:highlight w:val="none"/>
                <w:lang w:eastAsia="zh-CN"/>
              </w:rPr>
              <w:t>S</w:t>
            </w:r>
          </w:p>
        </w:tc>
        <w:tc>
          <w:tcPr>
            <w:tcW w:w="946" w:type="pct"/>
            <w:shd w:val="clear" w:color="auto" w:fill="auto"/>
            <w:noWrap w:val="0"/>
            <w:vAlign w:val="center"/>
          </w:tcPr>
          <w:p w14:paraId="4DC3F4E0">
            <w:pPr>
              <w:pStyle w:val="43"/>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0.00099</w:t>
            </w:r>
          </w:p>
        </w:tc>
      </w:tr>
    </w:tbl>
    <w:p w14:paraId="78CE86C4">
      <w:pPr>
        <w:adjustRightInd w:val="0"/>
        <w:snapToGrid w:val="0"/>
        <w:spacing w:before="156" w:beforeLines="50"/>
        <w:ind w:firstLine="480"/>
        <w:rPr>
          <w:rFonts w:hint="default" w:ascii="Times New Roman" w:hAnsi="Times New Roman" w:cs="Times New Roman"/>
          <w:bCs/>
          <w:color w:val="auto"/>
          <w:highlight w:val="none"/>
          <w:u w:val="none" w:color="auto"/>
        </w:rPr>
      </w:pPr>
      <w:r>
        <w:rPr>
          <w:rFonts w:hint="default" w:ascii="Times New Roman" w:hAnsi="Times New Roman" w:cs="Times New Roman"/>
          <w:bCs/>
          <w:color w:val="auto"/>
          <w:highlight w:val="none"/>
          <w:u w:val="none" w:color="auto"/>
        </w:rPr>
        <w:t>2）无组织污染物排放量核算：</w:t>
      </w:r>
    </w:p>
    <w:p w14:paraId="03D2B06C">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.2-</w:t>
      </w:r>
      <w:r>
        <w:rPr>
          <w:rFonts w:hint="default" w:ascii="Times New Roman" w:hAnsi="Times New Roman" w:cs="Times New Roman"/>
          <w:color w:val="auto"/>
          <w:highlight w:val="none"/>
          <w:u w:val="none" w:color="auto"/>
          <w:lang w:val="en-US" w:eastAsia="zh-CN"/>
        </w:rPr>
        <w:t>18</w:t>
      </w:r>
      <w:r>
        <w:rPr>
          <w:rFonts w:hint="default" w:ascii="Times New Roman" w:hAnsi="Times New Roman" w:cs="Times New Roman"/>
          <w:color w:val="auto"/>
          <w:highlight w:val="none"/>
          <w:u w:val="none" w:color="auto"/>
        </w:rPr>
        <w:t xml:space="preserve">   大气污染物无组织排放量核算表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26"/>
        <w:gridCol w:w="635"/>
        <w:gridCol w:w="907"/>
        <w:gridCol w:w="241"/>
        <w:gridCol w:w="1489"/>
        <w:gridCol w:w="2172"/>
        <w:gridCol w:w="1121"/>
        <w:gridCol w:w="900"/>
      </w:tblGrid>
      <w:tr w14:paraId="28E005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 w:type="pct"/>
            <w:vMerge w:val="restart"/>
            <w:noWrap w:val="0"/>
            <w:vAlign w:val="center"/>
          </w:tcPr>
          <w:p w14:paraId="2E2D29D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序号</w:t>
            </w:r>
          </w:p>
        </w:tc>
        <w:tc>
          <w:tcPr>
            <w:tcW w:w="383" w:type="pct"/>
            <w:vMerge w:val="restart"/>
            <w:noWrap w:val="0"/>
            <w:vAlign w:val="center"/>
          </w:tcPr>
          <w:p w14:paraId="07884A4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排放口编号</w:t>
            </w:r>
          </w:p>
        </w:tc>
        <w:tc>
          <w:tcPr>
            <w:tcW w:w="388" w:type="pct"/>
            <w:vMerge w:val="restart"/>
            <w:noWrap w:val="0"/>
            <w:vAlign w:val="center"/>
          </w:tcPr>
          <w:p w14:paraId="2173BFE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产污环节</w:t>
            </w:r>
          </w:p>
        </w:tc>
        <w:tc>
          <w:tcPr>
            <w:tcW w:w="548" w:type="pct"/>
            <w:vMerge w:val="restart"/>
            <w:noWrap w:val="0"/>
            <w:vAlign w:val="center"/>
          </w:tcPr>
          <w:p w14:paraId="0D5A55F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w:t>
            </w:r>
          </w:p>
        </w:tc>
        <w:tc>
          <w:tcPr>
            <w:tcW w:w="1046" w:type="pct"/>
            <w:gridSpan w:val="2"/>
            <w:vMerge w:val="restart"/>
            <w:noWrap w:val="0"/>
            <w:vAlign w:val="center"/>
          </w:tcPr>
          <w:p w14:paraId="78C8E9F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主要污染防治措施</w:t>
            </w:r>
          </w:p>
        </w:tc>
        <w:tc>
          <w:tcPr>
            <w:tcW w:w="1961" w:type="pct"/>
            <w:gridSpan w:val="2"/>
            <w:noWrap w:val="0"/>
            <w:vAlign w:val="center"/>
          </w:tcPr>
          <w:p w14:paraId="2DDC15C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国家或地方污染物排放标准</w:t>
            </w:r>
          </w:p>
        </w:tc>
        <w:tc>
          <w:tcPr>
            <w:tcW w:w="432" w:type="pct"/>
            <w:vMerge w:val="restart"/>
            <w:noWrap w:val="0"/>
            <w:vAlign w:val="center"/>
          </w:tcPr>
          <w:p w14:paraId="7A324D7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年排放量/(t/a)</w:t>
            </w:r>
          </w:p>
        </w:tc>
      </w:tr>
      <w:tr w14:paraId="3BB8BB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 w:type="pct"/>
            <w:vMerge w:val="continue"/>
            <w:noWrap w:val="0"/>
            <w:vAlign w:val="center"/>
          </w:tcPr>
          <w:p w14:paraId="4557D1B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3" w:type="pct"/>
            <w:vMerge w:val="continue"/>
            <w:noWrap w:val="0"/>
            <w:vAlign w:val="center"/>
          </w:tcPr>
          <w:p w14:paraId="75AF13A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8" w:type="pct"/>
            <w:vMerge w:val="continue"/>
            <w:noWrap w:val="0"/>
            <w:vAlign w:val="center"/>
          </w:tcPr>
          <w:p w14:paraId="17A8FF5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548" w:type="pct"/>
            <w:vMerge w:val="continue"/>
            <w:noWrap w:val="0"/>
            <w:vAlign w:val="center"/>
          </w:tcPr>
          <w:p w14:paraId="49FB096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046" w:type="pct"/>
            <w:gridSpan w:val="2"/>
            <w:vMerge w:val="continue"/>
            <w:noWrap w:val="0"/>
            <w:vAlign w:val="center"/>
          </w:tcPr>
          <w:p w14:paraId="0B98760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8" w:type="pct"/>
            <w:noWrap w:val="0"/>
            <w:vAlign w:val="center"/>
          </w:tcPr>
          <w:p w14:paraId="661EB52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标准名称</w:t>
            </w:r>
          </w:p>
        </w:tc>
        <w:tc>
          <w:tcPr>
            <w:tcW w:w="673" w:type="pct"/>
            <w:noWrap w:val="0"/>
            <w:vAlign w:val="center"/>
          </w:tcPr>
          <w:p w14:paraId="4ED272D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浓度限值/(mg/</w:t>
            </w:r>
            <w:r>
              <w:rPr>
                <w:rFonts w:hint="eastAsia" w:cs="Times New Roman"/>
                <w:color w:val="auto"/>
                <w:kern w:val="2"/>
                <w:highlight w:val="none"/>
                <w:u w:val="none" w:color="auto"/>
                <w:lang w:eastAsia="zh-CN"/>
              </w:rPr>
              <w:t>m</w:t>
            </w:r>
            <w:r>
              <w:rPr>
                <w:rFonts w:hint="eastAsia" w:cs="Times New Roman"/>
                <w:color w:val="auto"/>
                <w:kern w:val="2"/>
                <w:highlight w:val="none"/>
                <w:u w:val="none" w:color="auto"/>
                <w:vertAlign w:val="superscript"/>
                <w:lang w:eastAsia="zh-CN"/>
              </w:rPr>
              <w:t>3</w:t>
            </w:r>
            <w:r>
              <w:rPr>
                <w:rFonts w:hint="default" w:ascii="Times New Roman" w:hAnsi="Times New Roman" w:cs="Times New Roman"/>
                <w:color w:val="auto"/>
                <w:kern w:val="2"/>
                <w:highlight w:val="none"/>
                <w:u w:val="none" w:color="auto"/>
              </w:rPr>
              <w:t>)</w:t>
            </w:r>
          </w:p>
        </w:tc>
        <w:tc>
          <w:tcPr>
            <w:tcW w:w="432" w:type="pct"/>
            <w:vMerge w:val="continue"/>
            <w:noWrap w:val="0"/>
            <w:vAlign w:val="center"/>
          </w:tcPr>
          <w:p w14:paraId="59A4A18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r>
      <w:tr w14:paraId="74F1D5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 w:type="pct"/>
            <w:vMerge w:val="restart"/>
            <w:noWrap w:val="0"/>
            <w:vAlign w:val="center"/>
          </w:tcPr>
          <w:p w14:paraId="3F97437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1</w:t>
            </w:r>
          </w:p>
        </w:tc>
        <w:tc>
          <w:tcPr>
            <w:tcW w:w="383" w:type="pct"/>
            <w:vMerge w:val="restart"/>
            <w:noWrap w:val="0"/>
            <w:vAlign w:val="center"/>
          </w:tcPr>
          <w:p w14:paraId="5C48ADE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w:t>
            </w:r>
          </w:p>
        </w:tc>
        <w:tc>
          <w:tcPr>
            <w:tcW w:w="388" w:type="pct"/>
            <w:vMerge w:val="restart"/>
            <w:noWrap w:val="0"/>
            <w:vAlign w:val="center"/>
          </w:tcPr>
          <w:p w14:paraId="0F9F1024">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污水处理站</w:t>
            </w:r>
          </w:p>
        </w:tc>
        <w:tc>
          <w:tcPr>
            <w:tcW w:w="548" w:type="pct"/>
            <w:noWrap w:val="0"/>
            <w:vAlign w:val="center"/>
          </w:tcPr>
          <w:p w14:paraId="57B3FC5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rPr>
            </w:pPr>
            <w:r>
              <w:rPr>
                <w:rFonts w:hint="eastAsia"/>
                <w:highlight w:val="none"/>
                <w:lang w:val="en-US" w:eastAsia="zh-CN"/>
              </w:rPr>
              <w:t>NH</w:t>
            </w:r>
            <w:r>
              <w:rPr>
                <w:rFonts w:hint="eastAsia"/>
                <w:highlight w:val="none"/>
                <w:vertAlign w:val="subscript"/>
                <w:lang w:val="en-US" w:eastAsia="zh-CN"/>
              </w:rPr>
              <w:t>3</w:t>
            </w:r>
          </w:p>
        </w:tc>
        <w:tc>
          <w:tcPr>
            <w:tcW w:w="1046" w:type="pct"/>
            <w:gridSpan w:val="2"/>
            <w:vMerge w:val="restart"/>
            <w:noWrap w:val="0"/>
            <w:vAlign w:val="center"/>
          </w:tcPr>
          <w:p w14:paraId="0F0900E7">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构筑物密闭，或进行加盖</w:t>
            </w:r>
          </w:p>
        </w:tc>
        <w:tc>
          <w:tcPr>
            <w:tcW w:w="1288" w:type="pct"/>
            <w:vMerge w:val="restart"/>
            <w:noWrap w:val="0"/>
            <w:vAlign w:val="center"/>
          </w:tcPr>
          <w:p w14:paraId="6A8CA34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《恶臭污染物排放标准》（GB14554-93）</w:t>
            </w:r>
          </w:p>
        </w:tc>
        <w:tc>
          <w:tcPr>
            <w:tcW w:w="673" w:type="pct"/>
            <w:noWrap w:val="0"/>
            <w:vAlign w:val="center"/>
          </w:tcPr>
          <w:p w14:paraId="72351715">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1.5</w:t>
            </w:r>
          </w:p>
        </w:tc>
        <w:tc>
          <w:tcPr>
            <w:tcW w:w="432" w:type="pct"/>
            <w:noWrap w:val="0"/>
            <w:vAlign w:val="center"/>
          </w:tcPr>
          <w:p w14:paraId="5FB94B9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default"/>
                <w:highlight w:val="none"/>
                <w:lang w:val="en-US" w:eastAsia="zh-CN"/>
              </w:rPr>
              <w:t>0.3253</w:t>
            </w:r>
          </w:p>
        </w:tc>
      </w:tr>
      <w:tr w14:paraId="7B5A13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 w:type="pct"/>
            <w:vMerge w:val="continue"/>
            <w:noWrap w:val="0"/>
            <w:vAlign w:val="center"/>
          </w:tcPr>
          <w:p w14:paraId="1D3BDCB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3" w:type="pct"/>
            <w:vMerge w:val="continue"/>
            <w:noWrap w:val="0"/>
            <w:vAlign w:val="center"/>
          </w:tcPr>
          <w:p w14:paraId="4546569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388" w:type="pct"/>
            <w:vMerge w:val="continue"/>
            <w:noWrap w:val="0"/>
            <w:vAlign w:val="center"/>
          </w:tcPr>
          <w:p w14:paraId="4934433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548" w:type="pct"/>
            <w:noWrap w:val="0"/>
            <w:vAlign w:val="center"/>
          </w:tcPr>
          <w:p w14:paraId="6F7FAF1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eastAsia="zh-CN"/>
              </w:rPr>
            </w:pPr>
            <w:r>
              <w:rPr>
                <w:rFonts w:hint="eastAsia"/>
                <w:highlight w:val="none"/>
                <w:lang w:val="en-US" w:eastAsia="zh-CN"/>
              </w:rPr>
              <w:t>H</w:t>
            </w:r>
            <w:r>
              <w:rPr>
                <w:rFonts w:hint="eastAsia"/>
                <w:highlight w:val="none"/>
                <w:vertAlign w:val="subscript"/>
                <w:lang w:val="en-US" w:eastAsia="zh-CN"/>
              </w:rPr>
              <w:t>2</w:t>
            </w:r>
            <w:r>
              <w:rPr>
                <w:rFonts w:hint="eastAsia"/>
                <w:highlight w:val="none"/>
                <w:lang w:val="en-US" w:eastAsia="zh-CN"/>
              </w:rPr>
              <w:t>S</w:t>
            </w:r>
          </w:p>
        </w:tc>
        <w:tc>
          <w:tcPr>
            <w:tcW w:w="1046" w:type="pct"/>
            <w:gridSpan w:val="2"/>
            <w:vMerge w:val="continue"/>
            <w:noWrap w:val="0"/>
            <w:vAlign w:val="center"/>
          </w:tcPr>
          <w:p w14:paraId="0CD93CB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288" w:type="pct"/>
            <w:vMerge w:val="continue"/>
            <w:noWrap w:val="0"/>
            <w:vAlign w:val="center"/>
          </w:tcPr>
          <w:p w14:paraId="25F1EFC9">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673" w:type="pct"/>
            <w:noWrap w:val="0"/>
            <w:vAlign w:val="center"/>
          </w:tcPr>
          <w:p w14:paraId="16C8CCDB">
            <w:pPr>
              <w:pStyle w:val="43"/>
              <w:keepNext w:val="0"/>
              <w:keepLines w:val="0"/>
              <w:widowControl/>
              <w:suppressLineNumbers w:val="0"/>
              <w:spacing w:before="0" w:beforeAutospacing="0" w:after="0" w:afterAutospacing="0"/>
              <w:ind w:left="0"/>
              <w:rPr>
                <w:rFonts w:hint="default" w:ascii="Times New Roman" w:hAnsi="Times New Roman" w:eastAsia="宋体" w:cs="Times New Roman"/>
                <w:color w:val="auto"/>
                <w:kern w:val="2"/>
                <w:highlight w:val="none"/>
                <w:u w:val="none" w:color="auto"/>
                <w:lang w:val="en-US" w:eastAsia="zh-CN"/>
              </w:rPr>
            </w:pPr>
            <w:r>
              <w:rPr>
                <w:rFonts w:hint="eastAsia" w:cs="Times New Roman"/>
                <w:color w:val="auto"/>
                <w:kern w:val="2"/>
                <w:highlight w:val="none"/>
                <w:u w:val="none" w:color="auto"/>
                <w:lang w:val="en-US" w:eastAsia="zh-CN"/>
              </w:rPr>
              <w:t>0.06</w:t>
            </w:r>
          </w:p>
        </w:tc>
        <w:tc>
          <w:tcPr>
            <w:tcW w:w="432" w:type="pct"/>
            <w:noWrap w:val="0"/>
            <w:vAlign w:val="center"/>
          </w:tcPr>
          <w:p w14:paraId="0C8BEDA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default"/>
                <w:highlight w:val="none"/>
                <w:lang w:val="en-US" w:eastAsia="zh-CN"/>
              </w:rPr>
              <w:t>0.00163</w:t>
            </w:r>
          </w:p>
        </w:tc>
      </w:tr>
      <w:tr w14:paraId="4B9A0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9"/>
            <w:noWrap w:val="0"/>
            <w:vAlign w:val="center"/>
          </w:tcPr>
          <w:p w14:paraId="32CA766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无组织排放总计</w:t>
            </w:r>
          </w:p>
        </w:tc>
      </w:tr>
      <w:tr w14:paraId="52A1E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4" w:type="pct"/>
            <w:gridSpan w:val="5"/>
            <w:vMerge w:val="restart"/>
            <w:noWrap w:val="0"/>
            <w:vAlign w:val="center"/>
          </w:tcPr>
          <w:p w14:paraId="05ED024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无组织排放总计</w:t>
            </w:r>
          </w:p>
        </w:tc>
        <w:tc>
          <w:tcPr>
            <w:tcW w:w="2179" w:type="pct"/>
            <w:gridSpan w:val="2"/>
            <w:noWrap w:val="0"/>
            <w:vAlign w:val="center"/>
          </w:tcPr>
          <w:p w14:paraId="0FB369D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rPr>
            </w:pPr>
            <w:r>
              <w:rPr>
                <w:rFonts w:hint="eastAsia"/>
                <w:highlight w:val="none"/>
                <w:lang w:val="en-US" w:eastAsia="zh-CN"/>
              </w:rPr>
              <w:t>NH</w:t>
            </w:r>
            <w:r>
              <w:rPr>
                <w:rFonts w:hint="eastAsia"/>
                <w:highlight w:val="none"/>
                <w:vertAlign w:val="subscript"/>
                <w:lang w:val="en-US" w:eastAsia="zh-CN"/>
              </w:rPr>
              <w:t>3</w:t>
            </w:r>
          </w:p>
        </w:tc>
        <w:tc>
          <w:tcPr>
            <w:tcW w:w="1106" w:type="pct"/>
            <w:gridSpan w:val="2"/>
            <w:noWrap w:val="0"/>
            <w:vAlign w:val="center"/>
          </w:tcPr>
          <w:p w14:paraId="57E4486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kern w:val="2"/>
                <w:highlight w:val="none"/>
                <w:u w:val="none" w:color="auto"/>
                <w:lang w:val="en-US"/>
              </w:rPr>
            </w:pPr>
            <w:r>
              <w:rPr>
                <w:rFonts w:hint="default"/>
                <w:highlight w:val="none"/>
                <w:lang w:val="en-US" w:eastAsia="zh-CN"/>
              </w:rPr>
              <w:t>0.3253</w:t>
            </w:r>
          </w:p>
        </w:tc>
      </w:tr>
      <w:tr w14:paraId="1413B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4" w:type="pct"/>
            <w:gridSpan w:val="5"/>
            <w:vMerge w:val="continue"/>
            <w:noWrap w:val="0"/>
            <w:vAlign w:val="center"/>
          </w:tcPr>
          <w:p w14:paraId="326F130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2179" w:type="pct"/>
            <w:gridSpan w:val="2"/>
            <w:noWrap w:val="0"/>
            <w:vAlign w:val="center"/>
          </w:tcPr>
          <w:p w14:paraId="799A703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eastAsia"/>
                <w:highlight w:val="none"/>
                <w:lang w:val="en-US" w:eastAsia="zh-CN"/>
              </w:rPr>
              <w:t>H</w:t>
            </w:r>
            <w:r>
              <w:rPr>
                <w:rFonts w:hint="eastAsia"/>
                <w:highlight w:val="none"/>
                <w:vertAlign w:val="subscript"/>
                <w:lang w:val="en-US" w:eastAsia="zh-CN"/>
              </w:rPr>
              <w:t>2</w:t>
            </w:r>
            <w:r>
              <w:rPr>
                <w:rFonts w:hint="eastAsia"/>
                <w:highlight w:val="none"/>
                <w:lang w:val="en-US" w:eastAsia="zh-CN"/>
              </w:rPr>
              <w:t>S</w:t>
            </w:r>
          </w:p>
        </w:tc>
        <w:tc>
          <w:tcPr>
            <w:tcW w:w="1106" w:type="pct"/>
            <w:gridSpan w:val="2"/>
            <w:noWrap w:val="0"/>
            <w:vAlign w:val="center"/>
          </w:tcPr>
          <w:p w14:paraId="17B0C4CB">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highlight w:val="none"/>
                <w:u w:val="none" w:color="auto"/>
                <w:lang w:val="en-US" w:eastAsia="zh-CN"/>
              </w:rPr>
            </w:pPr>
            <w:r>
              <w:rPr>
                <w:rFonts w:hint="default"/>
                <w:highlight w:val="none"/>
                <w:lang w:val="en-US" w:eastAsia="zh-CN"/>
              </w:rPr>
              <w:t>0.00163</w:t>
            </w:r>
          </w:p>
        </w:tc>
      </w:tr>
    </w:tbl>
    <w:p w14:paraId="38308778">
      <w:pPr>
        <w:bidi w:val="0"/>
        <w:rPr>
          <w:rFonts w:hint="default"/>
        </w:rPr>
      </w:pPr>
      <w:r>
        <w:rPr>
          <w:rFonts w:hint="default"/>
        </w:rPr>
        <w:t>3）大气污染物年排放量核算：</w:t>
      </w:r>
    </w:p>
    <w:p w14:paraId="6651B873">
      <w:pPr>
        <w:pStyle w:val="39"/>
        <w:bidi w:val="0"/>
        <w:rPr>
          <w:rFonts w:hint="default"/>
        </w:rPr>
      </w:pPr>
      <w:r>
        <w:rPr>
          <w:rFonts w:hint="default"/>
        </w:rPr>
        <w:t>表</w:t>
      </w:r>
      <w:r>
        <w:rPr>
          <w:rFonts w:hint="eastAsia"/>
          <w:lang w:val="en-US" w:eastAsia="zh-CN"/>
        </w:rPr>
        <w:t>6</w:t>
      </w:r>
      <w:r>
        <w:rPr>
          <w:rFonts w:hint="default"/>
        </w:rPr>
        <w:t>.2-</w:t>
      </w:r>
      <w:r>
        <w:rPr>
          <w:rFonts w:hint="default"/>
          <w:lang w:val="en-US" w:eastAsia="zh-CN"/>
        </w:rPr>
        <w:t>19</w:t>
      </w:r>
      <w:r>
        <w:rPr>
          <w:rFonts w:hint="default"/>
        </w:rPr>
        <w:t xml:space="preserve">  大气污染物年排放量核算表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2840"/>
        <w:gridCol w:w="2838"/>
      </w:tblGrid>
      <w:tr w14:paraId="79D13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noWrap w:val="0"/>
            <w:vAlign w:val="center"/>
          </w:tcPr>
          <w:p w14:paraId="781CF751">
            <w:pPr>
              <w:pStyle w:val="42"/>
              <w:keepNext w:val="0"/>
              <w:keepLines w:val="0"/>
              <w:suppressLineNumbers w:val="0"/>
              <w:bidi w:val="0"/>
              <w:spacing w:before="0" w:beforeAutospacing="0" w:after="0" w:afterAutospacing="0"/>
              <w:rPr>
                <w:rFonts w:hint="default"/>
              </w:rPr>
            </w:pPr>
            <w:r>
              <w:rPr>
                <w:rFonts w:hint="default"/>
              </w:rPr>
              <w:t>序号</w:t>
            </w:r>
          </w:p>
        </w:tc>
        <w:tc>
          <w:tcPr>
            <w:tcW w:w="1666" w:type="pct"/>
            <w:noWrap w:val="0"/>
            <w:vAlign w:val="center"/>
          </w:tcPr>
          <w:p w14:paraId="7FA0F1DE">
            <w:pPr>
              <w:pStyle w:val="42"/>
              <w:keepNext w:val="0"/>
              <w:keepLines w:val="0"/>
              <w:suppressLineNumbers w:val="0"/>
              <w:bidi w:val="0"/>
              <w:spacing w:before="0" w:beforeAutospacing="0" w:after="0" w:afterAutospacing="0"/>
              <w:rPr>
                <w:rFonts w:hint="default"/>
              </w:rPr>
            </w:pPr>
            <w:r>
              <w:rPr>
                <w:rFonts w:hint="default"/>
              </w:rPr>
              <w:t>污染物</w:t>
            </w:r>
          </w:p>
        </w:tc>
        <w:tc>
          <w:tcPr>
            <w:tcW w:w="1665" w:type="pct"/>
            <w:noWrap w:val="0"/>
            <w:vAlign w:val="center"/>
          </w:tcPr>
          <w:p w14:paraId="75D0FA21">
            <w:pPr>
              <w:pStyle w:val="42"/>
              <w:keepNext w:val="0"/>
              <w:keepLines w:val="0"/>
              <w:suppressLineNumbers w:val="0"/>
              <w:bidi w:val="0"/>
              <w:spacing w:before="0" w:beforeAutospacing="0" w:after="0" w:afterAutospacing="0"/>
              <w:rPr>
                <w:rFonts w:hint="default"/>
              </w:rPr>
            </w:pPr>
            <w:r>
              <w:rPr>
                <w:rFonts w:hint="default"/>
              </w:rPr>
              <w:t>年排放量/(t/a)</w:t>
            </w:r>
          </w:p>
        </w:tc>
      </w:tr>
      <w:tr w14:paraId="1A07E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noWrap w:val="0"/>
            <w:vAlign w:val="center"/>
          </w:tcPr>
          <w:p w14:paraId="78A7DC09">
            <w:pPr>
              <w:pStyle w:val="42"/>
              <w:keepNext w:val="0"/>
              <w:keepLines w:val="0"/>
              <w:suppressLineNumbers w:val="0"/>
              <w:bidi w:val="0"/>
              <w:spacing w:before="0" w:beforeAutospacing="0" w:after="0" w:afterAutospacing="0"/>
              <w:rPr>
                <w:rFonts w:hint="default"/>
              </w:rPr>
            </w:pPr>
            <w:r>
              <w:rPr>
                <w:rFonts w:hint="default"/>
              </w:rPr>
              <w:t>1</w:t>
            </w:r>
          </w:p>
        </w:tc>
        <w:tc>
          <w:tcPr>
            <w:tcW w:w="1666" w:type="pct"/>
            <w:noWrap w:val="0"/>
            <w:vAlign w:val="center"/>
          </w:tcPr>
          <w:p w14:paraId="0DA99783">
            <w:pPr>
              <w:pStyle w:val="42"/>
              <w:keepNext w:val="0"/>
              <w:keepLines w:val="0"/>
              <w:suppressLineNumbers w:val="0"/>
              <w:bidi w:val="0"/>
              <w:spacing w:before="0" w:beforeAutospacing="0" w:after="0" w:afterAutospacing="0"/>
              <w:ind w:left="0" w:leftChars="0" w:right="0" w:rightChars="0" w:firstLine="0" w:firstLineChars="0"/>
              <w:rPr>
                <w:rFonts w:hint="default"/>
              </w:rPr>
            </w:pPr>
            <w:r>
              <w:rPr>
                <w:rFonts w:hint="eastAsia"/>
                <w:highlight w:val="none"/>
                <w:lang w:val="en-US" w:eastAsia="zh-CN"/>
              </w:rPr>
              <w:t>NH</w:t>
            </w:r>
            <w:r>
              <w:rPr>
                <w:rFonts w:hint="eastAsia"/>
                <w:highlight w:val="none"/>
                <w:vertAlign w:val="subscript"/>
                <w:lang w:val="en-US" w:eastAsia="zh-CN"/>
              </w:rPr>
              <w:t>3</w:t>
            </w:r>
          </w:p>
        </w:tc>
        <w:tc>
          <w:tcPr>
            <w:tcW w:w="1665" w:type="pct"/>
            <w:noWrap w:val="0"/>
            <w:vAlign w:val="center"/>
          </w:tcPr>
          <w:p w14:paraId="274DEC0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0.5742</w:t>
            </w:r>
          </w:p>
        </w:tc>
      </w:tr>
      <w:tr w14:paraId="5B6B8F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noWrap w:val="0"/>
            <w:vAlign w:val="center"/>
          </w:tcPr>
          <w:p w14:paraId="02ADC7E2">
            <w:pPr>
              <w:pStyle w:val="42"/>
              <w:keepNext w:val="0"/>
              <w:keepLines w:val="0"/>
              <w:suppressLineNumbers w:val="0"/>
              <w:bidi w:val="0"/>
              <w:spacing w:before="0" w:beforeAutospacing="0" w:after="0" w:afterAutospacing="0"/>
              <w:rPr>
                <w:rFonts w:hint="default"/>
              </w:rPr>
            </w:pPr>
            <w:r>
              <w:rPr>
                <w:rFonts w:hint="default"/>
              </w:rPr>
              <w:t>2</w:t>
            </w:r>
          </w:p>
        </w:tc>
        <w:tc>
          <w:tcPr>
            <w:tcW w:w="1666" w:type="pct"/>
            <w:noWrap w:val="0"/>
            <w:vAlign w:val="center"/>
          </w:tcPr>
          <w:p w14:paraId="742B9B9B">
            <w:pPr>
              <w:pStyle w:val="42"/>
              <w:keepNext w:val="0"/>
              <w:keepLines w:val="0"/>
              <w:suppressLineNumbers w:val="0"/>
              <w:bidi w:val="0"/>
              <w:spacing w:before="0" w:beforeAutospacing="0" w:after="0" w:afterAutospacing="0"/>
              <w:ind w:left="0" w:leftChars="0" w:right="0" w:rightChars="0" w:firstLine="0" w:firstLineChars="0"/>
              <w:rPr>
                <w:rFonts w:hint="default"/>
              </w:rPr>
            </w:pPr>
            <w:r>
              <w:rPr>
                <w:rFonts w:hint="eastAsia"/>
                <w:highlight w:val="none"/>
                <w:lang w:val="en-US" w:eastAsia="zh-CN"/>
              </w:rPr>
              <w:t>H</w:t>
            </w:r>
            <w:r>
              <w:rPr>
                <w:rFonts w:hint="eastAsia"/>
                <w:highlight w:val="none"/>
                <w:vertAlign w:val="subscript"/>
                <w:lang w:val="en-US" w:eastAsia="zh-CN"/>
              </w:rPr>
              <w:t>2</w:t>
            </w:r>
            <w:r>
              <w:rPr>
                <w:rFonts w:hint="eastAsia"/>
                <w:highlight w:val="none"/>
                <w:lang w:val="en-US" w:eastAsia="zh-CN"/>
              </w:rPr>
              <w:t>S</w:t>
            </w:r>
          </w:p>
        </w:tc>
        <w:tc>
          <w:tcPr>
            <w:tcW w:w="1665" w:type="pct"/>
            <w:noWrap w:val="0"/>
            <w:vAlign w:val="center"/>
          </w:tcPr>
          <w:p w14:paraId="23E0CC2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0.00262</w:t>
            </w:r>
          </w:p>
        </w:tc>
      </w:tr>
    </w:tbl>
    <w:p w14:paraId="5FBE4409">
      <w:pPr>
        <w:pStyle w:val="7"/>
        <w:bidi w:val="0"/>
        <w:rPr>
          <w:rFonts w:hint="default" w:ascii="Times New Roman" w:hAnsi="Times New Roman" w:cs="Times New Roman"/>
          <w:highlight w:val="none"/>
          <w:u w:val="none" w:color="auto"/>
        </w:rPr>
      </w:pPr>
      <w:r>
        <w:rPr>
          <w:rFonts w:hint="default" w:ascii="Times New Roman" w:hAnsi="Times New Roman" w:cs="Times New Roman"/>
          <w:highlight w:val="none"/>
          <w:u w:val="none" w:color="auto"/>
        </w:rPr>
        <w:t>大气环境影响评价小结</w:t>
      </w:r>
    </w:p>
    <w:p w14:paraId="11177932">
      <w:pPr>
        <w:rPr>
          <w:rFonts w:hint="default" w:ascii="Times New Roman" w:hAnsi="Times New Roman" w:cs="Times New Roman"/>
          <w:color w:val="auto"/>
          <w:highlight w:val="none"/>
          <w:u w:val="none" w:color="auto"/>
        </w:rPr>
      </w:pPr>
      <w:r>
        <w:rPr>
          <w:rFonts w:hint="default" w:ascii="Times New Roman" w:hAnsi="Times New Roman" w:cs="Times New Roman"/>
          <w:highlight w:val="none"/>
          <w:u w:val="none" w:color="auto"/>
        </w:rPr>
        <w:t>根据估算模型计算结果，本项目无组织废气污染物氨排放占标率最大，为</w:t>
      </w:r>
      <w:r>
        <w:rPr>
          <w:rFonts w:hint="eastAsia" w:ascii="Times New Roman" w:hAnsi="Times New Roman" w:cs="Times New Roman"/>
          <w:highlight w:val="none"/>
          <w:u w:val="none" w:color="auto"/>
          <w:lang w:val="en-US" w:eastAsia="zh-CN"/>
        </w:rPr>
        <w:t>7.91</w:t>
      </w:r>
      <w:r>
        <w:rPr>
          <w:rFonts w:hint="default" w:ascii="Times New Roman" w:hAnsi="Times New Roman" w:cs="Times New Roman"/>
          <w:highlight w:val="none"/>
          <w:u w:val="none" w:color="auto"/>
        </w:rPr>
        <w:t>%，1%≤Pmax&lt;10%，因此本项目大气环境影响评价等级为二级评价，不需要进行进一步预测，仅需进行污染物排放量核算。同时，本项目不需要设置大气环境防护距离。本项目建成后，全厂排放的废气污染源对周边大气环境影响较小，不会改变区域大气环境质量现状，环境影响可以接受。</w:t>
      </w:r>
    </w:p>
    <w:p w14:paraId="55667C39">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营运期地表水环境影响分析</w:t>
      </w:r>
    </w:p>
    <w:p w14:paraId="09E3474F">
      <w:pP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①评价等级</w:t>
      </w:r>
    </w:p>
    <w:p w14:paraId="45A778AB">
      <w:pP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根据《环境影响评价技术导则地表水环境》（HJ2.3-2018）：建设项目地表水环境影响评价等级按照影响类型、排放方式、排放量或影响情况、受纳水体环境质量现状、水环境保护目标等综合确定。</w:t>
      </w:r>
    </w:p>
    <w:p w14:paraId="0E3E49F2">
      <w:pPr>
        <w:rPr>
          <w:rFonts w:hint="default" w:ascii="Times New Roman" w:hAnsi="Times New Roman" w:cs="Times New Roman"/>
          <w:kern w:val="0"/>
          <w:highlight w:val="none"/>
        </w:rPr>
      </w:pPr>
      <w:r>
        <w:rPr>
          <w:rFonts w:hint="default" w:ascii="Times New Roman" w:hAnsi="Times New Roman" w:cs="Times New Roman"/>
          <w:kern w:val="0"/>
          <w:highlight w:val="none"/>
        </w:rPr>
        <w:t>由工程分析可知，项目采用“集水池+微滤机+隔油预沉池+调节池/应急池+厌氧流化床+好氧池+缺氧池+消化池+好氧流化床+去磷池+清水池”处理工艺，服务范围为佳海产业园区内企业的生产废水（生活污水进入园区隔油、化粪池处理</w:t>
      </w:r>
      <w:r>
        <w:rPr>
          <w:rFonts w:hint="eastAsia" w:ascii="Times New Roman" w:hAnsi="Times New Roman" w:cs="Times New Roman"/>
          <w:kern w:val="0"/>
          <w:highlight w:val="none"/>
          <w:lang w:val="en-US" w:eastAsia="zh-CN"/>
        </w:rPr>
        <w:t>后外排市政管网</w:t>
      </w:r>
      <w:r>
        <w:rPr>
          <w:rFonts w:hint="default" w:ascii="Times New Roman" w:hAnsi="Times New Roman" w:cs="Times New Roman"/>
          <w:kern w:val="0"/>
          <w:highlight w:val="none"/>
        </w:rPr>
        <w:t>），废水达到废水达到《污水综合排放标准》（GB8978-1996）表4中的三级标准和</w:t>
      </w:r>
      <w:r>
        <w:rPr>
          <w:rFonts w:hint="eastAsia" w:ascii="Times New Roman" w:hAnsi="Times New Roman" w:cs="Times New Roman"/>
          <w:kern w:val="0"/>
          <w:highlight w:val="none"/>
          <w:lang w:val="en-US" w:eastAsia="zh-CN"/>
        </w:rPr>
        <w:t>湘阴</w:t>
      </w:r>
      <w:r>
        <w:rPr>
          <w:rFonts w:hint="default" w:ascii="Times New Roman" w:hAnsi="Times New Roman" w:cs="Times New Roman"/>
          <w:kern w:val="0"/>
          <w:highlight w:val="none"/>
        </w:rPr>
        <w:t>县第二污水处理厂进水水质接纳标准后经城市污水管网进入</w:t>
      </w:r>
      <w:r>
        <w:rPr>
          <w:rFonts w:hint="eastAsia" w:ascii="Times New Roman" w:hAnsi="Times New Roman" w:cs="Times New Roman"/>
          <w:kern w:val="0"/>
          <w:highlight w:val="none"/>
          <w:lang w:val="en-US" w:eastAsia="zh-CN"/>
        </w:rPr>
        <w:t>湘阴</w:t>
      </w:r>
      <w:r>
        <w:rPr>
          <w:rFonts w:hint="default" w:ascii="Times New Roman" w:hAnsi="Times New Roman" w:cs="Times New Roman"/>
          <w:kern w:val="0"/>
          <w:highlight w:val="none"/>
        </w:rPr>
        <w:t>县第二污水处理厂集中处理后排放。</w:t>
      </w:r>
    </w:p>
    <w:p w14:paraId="120E3F69">
      <w:pPr>
        <w:rPr>
          <w:rFonts w:hint="default" w:ascii="Times New Roman" w:hAnsi="Times New Roman" w:cs="Times New Roman"/>
          <w:color w:val="auto"/>
          <w:highlight w:val="none"/>
          <w:u w:val="none" w:color="auto"/>
        </w:rPr>
      </w:pPr>
      <w:r>
        <w:rPr>
          <w:rFonts w:hint="default" w:ascii="Times New Roman" w:hAnsi="Times New Roman" w:cs="Times New Roman"/>
          <w:kern w:val="0"/>
          <w:highlight w:val="none"/>
        </w:rPr>
        <w:t>本项目属于水污染影响型建设项目，排放方式为间接排放，根据《环境影响评价技术导则地表水环境》（HJ2.3-2018），间接排放建设项目评价等级为三级B。因此对水环境影响分析从简，主要评价内容包括水污染控制和水环境影响减缓措施有效性评价（废水达标排放分析）及依托污水处理设施的环境可行性评价。</w:t>
      </w:r>
    </w:p>
    <w:p w14:paraId="0F04DE41">
      <w:pPr>
        <w:autoSpaceDE w:val="0"/>
        <w:autoSpaceDN w:val="0"/>
        <w:adjustRightInd w:val="0"/>
        <w:ind w:firstLine="426" w:firstLineChars="177"/>
        <w:jc w:val="left"/>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w:t>②评价范围</w:t>
      </w:r>
    </w:p>
    <w:p w14:paraId="7C397EC8">
      <w:pPr>
        <w:autoSpaceDE w:val="0"/>
        <w:autoSpaceDN w:val="0"/>
        <w:adjustRightInd w:val="0"/>
        <w:ind w:firstLine="424" w:firstLineChars="177"/>
        <w:jc w:val="left"/>
        <w:rPr>
          <w:rFonts w:hint="default" w:ascii="Times New Roman" w:hAnsi="Times New Roman" w:eastAsia="Calibri" w:cs="Times New Roman"/>
          <w:color w:val="auto"/>
          <w:kern w:val="0"/>
          <w:highlight w:val="none"/>
          <w:u w:val="none" w:color="auto"/>
          <w:lang w:eastAsia="zh-CN"/>
        </w:rPr>
      </w:pPr>
      <w:r>
        <w:rPr>
          <w:rFonts w:hint="default" w:ascii="Times New Roman" w:hAnsi="Times New Roman" w:cs="Times New Roman"/>
          <w:color w:val="auto"/>
          <w:kern w:val="0"/>
          <w:highlight w:val="none"/>
          <w:u w:val="none" w:color="auto"/>
        </w:rPr>
        <w:t>根据《环境影响评价技术导则 地表水环境》（HJ 2.3-2018）中5.3.2.2 三级 B</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其评价范围应符合以下要求：a)应满足其依托污水处理设施环境可行性分析的要求；b)涉及地表水环境风险的</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应覆盖环境风险影响范围所及的水环境保护目标水域。</w:t>
      </w:r>
    </w:p>
    <w:p w14:paraId="1E22106F">
      <w:pPr>
        <w:ind w:firstLine="482"/>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w:t>④</w:t>
      </w:r>
      <w:r>
        <w:rPr>
          <w:rFonts w:hint="default" w:ascii="Times New Roman" w:hAnsi="Times New Roman" w:eastAsia="宋体" w:cs="Times New Roman"/>
          <w:b/>
          <w:color w:val="auto"/>
          <w:highlight w:val="none"/>
          <w:u w:val="none" w:color="auto"/>
          <w:lang w:val="en-US" w:eastAsia="zh-CN"/>
        </w:rPr>
        <w:t>本项目废水</w:t>
      </w:r>
      <w:r>
        <w:rPr>
          <w:rFonts w:hint="default" w:ascii="Times New Roman" w:hAnsi="Times New Roman" w:cs="Times New Roman"/>
          <w:b/>
          <w:color w:val="auto"/>
          <w:highlight w:val="none"/>
          <w:u w:val="none" w:color="auto"/>
        </w:rPr>
        <w:t>纳入</w:t>
      </w:r>
      <w:r>
        <w:rPr>
          <w:rFonts w:hint="eastAsia" w:ascii="Times New Roman" w:hAnsi="Times New Roman" w:cs="Times New Roman"/>
          <w:b/>
          <w:color w:val="auto"/>
          <w:highlight w:val="none"/>
          <w:u w:val="none" w:color="auto"/>
          <w:lang w:val="en-US" w:eastAsia="zh-CN"/>
        </w:rPr>
        <w:t>湘阴县第二</w:t>
      </w:r>
      <w:r>
        <w:rPr>
          <w:rFonts w:hint="default" w:ascii="Times New Roman" w:hAnsi="Times New Roman" w:cs="Times New Roman"/>
          <w:b/>
          <w:color w:val="auto"/>
          <w:highlight w:val="none"/>
          <w:u w:val="none" w:color="auto"/>
          <w:lang w:eastAsia="zh-CN"/>
        </w:rPr>
        <w:t>污水处理厂</w:t>
      </w:r>
      <w:r>
        <w:rPr>
          <w:rFonts w:hint="default" w:ascii="Times New Roman" w:hAnsi="Times New Roman" w:cs="Times New Roman"/>
          <w:b/>
          <w:color w:val="auto"/>
          <w:highlight w:val="none"/>
          <w:u w:val="none" w:color="auto"/>
        </w:rPr>
        <w:t>处理的可行性分析：</w:t>
      </w:r>
    </w:p>
    <w:p w14:paraId="4CB2679A">
      <w:pPr>
        <w:bidi w:val="0"/>
        <w:rPr>
          <w:rFonts w:hint="default" w:ascii="Times New Roman" w:hAnsi="Times New Roman" w:cs="Times New Roman"/>
          <w:highlight w:val="none"/>
        </w:rPr>
      </w:pPr>
      <w:r>
        <w:rPr>
          <w:rFonts w:hint="default" w:ascii="Times New Roman" w:hAnsi="Times New Roman" w:cs="Times New Roman"/>
          <w:highlight w:val="none"/>
        </w:rPr>
        <w:t>湘阴县第二污水处理厂位于湘阴县大道南侧，北纬28°39'51"，东经112°51'51”，服务范围为湘阴高新技术产业开发区、东湖生态新城东部片区等，即南至顺天大道以南的轻工产业园，北至新白水江一烈士公园：西以湘江为界，东至规划的环城大道，总纳污面积28.10平方公里。</w:t>
      </w:r>
    </w:p>
    <w:p w14:paraId="62FD2840">
      <w:pPr>
        <w:bidi w:val="0"/>
        <w:rPr>
          <w:rFonts w:hint="default" w:ascii="Times New Roman" w:hAnsi="Times New Roman" w:cs="Times New Roman"/>
          <w:highlight w:val="none"/>
        </w:rPr>
      </w:pPr>
      <w:r>
        <w:rPr>
          <w:rFonts w:hint="default" w:ascii="Times New Roman" w:hAnsi="Times New Roman" w:cs="Times New Roman"/>
          <w:highlight w:val="none"/>
        </w:rPr>
        <w:t>2012年8月获得岳阳市环境保护局对一期工程的环境批复(岳环评批2012]68号)。2012年开始建设，2016年11月投入运行，处理能力为20000t/d，实际处理规模约7000t/d，采用A/A/O工艺，出水水质为《城镇污水处理厂污染物排放标准》(GB18918-2002)一级B标准。2018年2月BOT单位湘阴首创水务有限责任公司根据相关会议要求，增加事故应急池、高效沉淀、深床滤池等处理工艺，启动提标改造，提标改造规模为10000t/d，2018年4月提标改造工程获得岳阳市环境保护局的批复(岳环评[2018]32号)，2019年4月完成了提标改造工程建设和整体工艺调试。湘阴县第二污水处理厂在废水进水口以及废水出水口均设置了标识标牌，安装了流量计和在线监测设备，废水进水口监测因子：</w:t>
      </w:r>
      <w:r>
        <w:rPr>
          <w:rFonts w:hint="eastAsia" w:ascii="Times New Roman" w:hAnsi="Times New Roman" w:cs="Times New Roman"/>
          <w:highlight w:val="none"/>
          <w:lang w:eastAsia="zh-CN"/>
        </w:rPr>
        <w:t>COD</w:t>
      </w:r>
      <w:r>
        <w:rPr>
          <w:rFonts w:hint="eastAsia" w:ascii="Times New Roman" w:hAnsi="Times New Roman" w:cs="Times New Roman"/>
          <w:highlight w:val="none"/>
          <w:vertAlign w:val="subscript"/>
          <w:lang w:eastAsia="zh-CN"/>
        </w:rPr>
        <w:t>cr</w:t>
      </w:r>
      <w:r>
        <w:rPr>
          <w:rFonts w:hint="default" w:ascii="Times New Roman" w:hAnsi="Times New Roman" w:cs="Times New Roman"/>
          <w:highlight w:val="none"/>
        </w:rPr>
        <w:t>、氨氮；废水总排口监测因子：pH、流量、</w:t>
      </w:r>
      <w:r>
        <w:rPr>
          <w:rFonts w:hint="eastAsia" w:ascii="Times New Roman" w:hAnsi="Times New Roman" w:cs="Times New Roman"/>
          <w:highlight w:val="none"/>
          <w:lang w:eastAsia="zh-CN"/>
        </w:rPr>
        <w:t>COD</w:t>
      </w:r>
      <w:r>
        <w:rPr>
          <w:rFonts w:hint="eastAsia" w:ascii="Times New Roman" w:hAnsi="Times New Roman" w:cs="Times New Roman"/>
          <w:highlight w:val="none"/>
          <w:vertAlign w:val="subscript"/>
          <w:lang w:eastAsia="zh-CN"/>
        </w:rPr>
        <w:t>cr</w:t>
      </w:r>
      <w:r>
        <w:rPr>
          <w:rFonts w:hint="default" w:ascii="Times New Roman" w:hAnsi="Times New Roman" w:cs="Times New Roman"/>
          <w:highlight w:val="none"/>
        </w:rPr>
        <w:t>、氨氮、总磷、总氮。2019年7月11日在岳阳市环境监察支队完成了污染自动监控系统验收备案，2019年7月31日与岳阳市环保局控制中心联网。</w:t>
      </w:r>
    </w:p>
    <w:p w14:paraId="59190238">
      <w:pPr>
        <w:bidi w:val="0"/>
        <w:rPr>
          <w:rFonts w:hint="default" w:ascii="Times New Roman" w:hAnsi="Times New Roman" w:cs="Times New Roman"/>
          <w:highlight w:val="none"/>
        </w:rPr>
      </w:pPr>
      <w:r>
        <w:rPr>
          <w:rFonts w:hint="default" w:ascii="Times New Roman" w:hAnsi="Times New Roman" w:cs="Times New Roman"/>
          <w:highlight w:val="none"/>
        </w:rPr>
        <w:t>2019年8月编制完成《湘阴县第二污水处理厂提标改造工程建设项目竣工环境保护验收监测报告》，已进行自主验收并完成备案。2019年9月1日申领排污许可证，证书编号为：91430624MA4L17P07L。2021年1月对原突发环境事件应急预案进行修编并完成备案：430624-2021-004-L。</w:t>
      </w:r>
    </w:p>
    <w:p w14:paraId="09898A34">
      <w:pPr>
        <w:bidi w:val="0"/>
        <w:rPr>
          <w:rFonts w:hint="default" w:ascii="Times New Roman" w:hAnsi="Times New Roman" w:cs="Times New Roman"/>
          <w:highlight w:val="none"/>
        </w:rPr>
      </w:pPr>
      <w:r>
        <w:rPr>
          <w:rFonts w:hint="default" w:ascii="Times New Roman" w:hAnsi="Times New Roman" w:cs="Times New Roman"/>
          <w:highlight w:val="none"/>
        </w:rPr>
        <w:t>本项目外排废水</w:t>
      </w:r>
      <w:r>
        <w:rPr>
          <w:rFonts w:hint="eastAsia" w:ascii="Times New Roman" w:hAnsi="Times New Roman" w:cs="Times New Roman"/>
          <w:highlight w:val="none"/>
          <w:lang w:val="en-US" w:eastAsia="zh-CN"/>
        </w:rPr>
        <w:t>438000</w:t>
      </w:r>
      <w:r>
        <w:rPr>
          <w:rFonts w:hint="default" w:ascii="Times New Roman" w:hAnsi="Times New Roman" w:cs="Times New Roman"/>
          <w:highlight w:val="none"/>
        </w:rPr>
        <w:t>t/a，</w:t>
      </w:r>
      <w:r>
        <w:rPr>
          <w:rFonts w:hint="eastAsia" w:ascii="Times New Roman" w:hAnsi="Times New Roman" w:cs="Times New Roman"/>
          <w:highlight w:val="none"/>
          <w:lang w:val="en-US" w:eastAsia="zh-CN"/>
        </w:rPr>
        <w:t>1200</w:t>
      </w:r>
      <w:r>
        <w:rPr>
          <w:rFonts w:hint="default" w:ascii="Times New Roman" w:hAnsi="Times New Roman" w:cs="Times New Roman"/>
          <w:highlight w:val="none"/>
        </w:rPr>
        <w:t>t/d，低于湘阴县第二污水处理厂剩余处置能力（剩余处理能力3000t/d）</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本项目处理后尾水可达到进水水质要求，废水类别为食品企业产生的有机废水，废水中盐分经过与其他进入污水处理厂的废水进行稀释后，对后续污水处理厂的生化处理工艺段不会产生影响</w:t>
      </w:r>
      <w:r>
        <w:rPr>
          <w:rFonts w:hint="default" w:ascii="Times New Roman" w:hAnsi="Times New Roman" w:cs="Times New Roman"/>
          <w:highlight w:val="none"/>
        </w:rPr>
        <w:t>。且本项目位于湘阴县第二污水处理厂纳污范围内，水质符合湘阴县第二污水处理厂的接纳标准，不会对该污水处理厂的运行产生不利影响。</w:t>
      </w:r>
    </w:p>
    <w:p w14:paraId="3D751DA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highlight w:val="none"/>
        </w:rPr>
        <w:t>综上，从水质、水量及管网方面，本项目生活污水依托湘阴县第二污水处理厂处理可行。</w:t>
      </w:r>
    </w:p>
    <w:p w14:paraId="233AFB2F">
      <w:pPr>
        <w:bidi w:val="0"/>
        <w:rPr>
          <w:rFonts w:hint="default" w:ascii="Times New Roman" w:hAnsi="Times New Roman" w:cs="Times New Roman"/>
          <w:b/>
          <w:bCs/>
          <w:color w:val="auto"/>
          <w:highlight w:val="none"/>
          <w:u w:val="none" w:color="auto"/>
          <w:lang w:eastAsia="zh-CN"/>
        </w:rPr>
      </w:pPr>
      <w:r>
        <w:rPr>
          <w:rFonts w:hint="default" w:ascii="Times New Roman" w:hAnsi="Times New Roman" w:cs="Times New Roman"/>
          <w:b/>
          <w:bCs/>
          <w:color w:val="auto"/>
          <w:highlight w:val="none"/>
          <w:u w:val="none" w:color="auto"/>
          <w:lang w:eastAsia="zh-CN"/>
        </w:rPr>
        <w:t>⑤污染源排放量核算</w:t>
      </w:r>
    </w:p>
    <w:p w14:paraId="5A442E8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本项目为间接排放，根据《环境影响评价技术导则 地表水环境》（HJ 2.3-2018）中“8.3.2 间接排放建设项目污染物排放量核算根据依托污水处理设施的控制要求核算确定。”</w:t>
      </w:r>
    </w:p>
    <w:p w14:paraId="073285C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项目水污染</w:t>
      </w:r>
      <w:r>
        <w:rPr>
          <w:rFonts w:hint="default" w:ascii="Times New Roman" w:hAnsi="Times New Roman" w:cs="Times New Roman"/>
          <w:color w:val="auto"/>
          <w:highlight w:val="none"/>
          <w:u w:val="none" w:color="auto"/>
          <w:lang w:val="en-US" w:eastAsia="zh-CN"/>
        </w:rPr>
        <w:t>物</w:t>
      </w:r>
      <w:r>
        <w:rPr>
          <w:rFonts w:hint="default" w:ascii="Times New Roman" w:hAnsi="Times New Roman" w:cs="Times New Roman"/>
          <w:color w:val="auto"/>
          <w:highlight w:val="none"/>
          <w:u w:val="none" w:color="auto"/>
          <w:lang w:eastAsia="zh-CN"/>
        </w:rPr>
        <w:t>排放量核算见下表。</w:t>
      </w:r>
    </w:p>
    <w:p w14:paraId="6CA6A7AF">
      <w:pPr>
        <w:pStyle w:val="39"/>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表</w:t>
      </w:r>
      <w:r>
        <w:rPr>
          <w:rFonts w:hint="eastAsia" w:cs="Times New Roman"/>
          <w:color w:val="auto"/>
          <w:highlight w:val="none"/>
          <w:u w:val="none" w:color="auto"/>
          <w:lang w:val="en-US" w:eastAsia="zh-CN"/>
        </w:rPr>
        <w:t>6</w:t>
      </w:r>
      <w:r>
        <w:rPr>
          <w:rFonts w:hint="default" w:ascii="Times New Roman" w:hAnsi="Times New Roman" w:cs="Times New Roman"/>
          <w:color w:val="auto"/>
          <w:highlight w:val="none"/>
          <w:u w:val="none" w:color="auto"/>
          <w:lang w:val="en-US" w:eastAsia="zh-CN"/>
        </w:rPr>
        <w:t>.2-20  废项目废水类别、污染物及污染治理设施信息表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624"/>
        <w:gridCol w:w="962"/>
        <w:gridCol w:w="790"/>
        <w:gridCol w:w="721"/>
        <w:gridCol w:w="794"/>
        <w:gridCol w:w="874"/>
        <w:gridCol w:w="876"/>
        <w:gridCol w:w="779"/>
        <w:gridCol w:w="669"/>
        <w:gridCol w:w="1326"/>
      </w:tblGrid>
      <w:tr w14:paraId="24A315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80" w:type="pct"/>
            <w:vMerge w:val="restart"/>
            <w:noWrap w:val="0"/>
            <w:vAlign w:val="center"/>
          </w:tcPr>
          <w:p w14:paraId="58ED620B">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废水</w:t>
            </w:r>
          </w:p>
          <w:p w14:paraId="436BD9BF">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类别</w:t>
            </w:r>
          </w:p>
        </w:tc>
        <w:tc>
          <w:tcPr>
            <w:tcW w:w="580" w:type="pct"/>
            <w:vMerge w:val="restart"/>
            <w:noWrap w:val="0"/>
            <w:vAlign w:val="center"/>
          </w:tcPr>
          <w:p w14:paraId="38C2FBD6">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污染物种类</w:t>
            </w:r>
          </w:p>
        </w:tc>
        <w:tc>
          <w:tcPr>
            <w:tcW w:w="478" w:type="pct"/>
            <w:vMerge w:val="restart"/>
            <w:noWrap w:val="0"/>
            <w:vAlign w:val="center"/>
          </w:tcPr>
          <w:p w14:paraId="43978B5C">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排放去向</w:t>
            </w:r>
          </w:p>
        </w:tc>
        <w:tc>
          <w:tcPr>
            <w:tcW w:w="437" w:type="pct"/>
            <w:vMerge w:val="restart"/>
            <w:noWrap w:val="0"/>
            <w:vAlign w:val="center"/>
          </w:tcPr>
          <w:p w14:paraId="6BAD5F50">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排放规律</w:t>
            </w:r>
          </w:p>
        </w:tc>
        <w:tc>
          <w:tcPr>
            <w:tcW w:w="1537" w:type="pct"/>
            <w:gridSpan w:val="3"/>
            <w:noWrap w:val="0"/>
            <w:vAlign w:val="center"/>
          </w:tcPr>
          <w:p w14:paraId="4CC094BF">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污染治理设施</w:t>
            </w:r>
          </w:p>
        </w:tc>
        <w:tc>
          <w:tcPr>
            <w:tcW w:w="382" w:type="pct"/>
            <w:vMerge w:val="restart"/>
            <w:noWrap w:val="0"/>
            <w:vAlign w:val="center"/>
          </w:tcPr>
          <w:p w14:paraId="62572AB2">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排放口编号</w:t>
            </w:r>
          </w:p>
        </w:tc>
        <w:tc>
          <w:tcPr>
            <w:tcW w:w="406" w:type="pct"/>
            <w:vMerge w:val="restart"/>
            <w:noWrap w:val="0"/>
            <w:vAlign w:val="center"/>
          </w:tcPr>
          <w:p w14:paraId="5DE31756">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排放口设置是否符合要求</w:t>
            </w:r>
          </w:p>
        </w:tc>
        <w:tc>
          <w:tcPr>
            <w:tcW w:w="796" w:type="pct"/>
            <w:vMerge w:val="restart"/>
            <w:noWrap w:val="0"/>
            <w:vAlign w:val="center"/>
          </w:tcPr>
          <w:p w14:paraId="48D8C9E1">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排放口类型</w:t>
            </w:r>
          </w:p>
        </w:tc>
      </w:tr>
      <w:tr w14:paraId="1071A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80" w:type="pct"/>
            <w:vMerge w:val="continue"/>
            <w:noWrap w:val="0"/>
            <w:vAlign w:val="center"/>
          </w:tcPr>
          <w:p w14:paraId="5866C829">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580" w:type="pct"/>
            <w:vMerge w:val="continue"/>
            <w:noWrap w:val="0"/>
            <w:vAlign w:val="center"/>
          </w:tcPr>
          <w:p w14:paraId="1AAC78D5">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478" w:type="pct"/>
            <w:vMerge w:val="continue"/>
            <w:noWrap w:val="0"/>
            <w:vAlign w:val="center"/>
          </w:tcPr>
          <w:p w14:paraId="32BA6B3A">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437" w:type="pct"/>
            <w:vMerge w:val="continue"/>
            <w:noWrap w:val="0"/>
            <w:vAlign w:val="center"/>
          </w:tcPr>
          <w:p w14:paraId="696E8BB9">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480" w:type="pct"/>
            <w:noWrap w:val="0"/>
            <w:vAlign w:val="center"/>
          </w:tcPr>
          <w:p w14:paraId="5320917C">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污染治理设施编号</w:t>
            </w:r>
          </w:p>
        </w:tc>
        <w:tc>
          <w:tcPr>
            <w:tcW w:w="528" w:type="pct"/>
            <w:noWrap w:val="0"/>
            <w:vAlign w:val="center"/>
          </w:tcPr>
          <w:p w14:paraId="6B5CC9F2">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污染治理设施名称</w:t>
            </w:r>
          </w:p>
        </w:tc>
        <w:tc>
          <w:tcPr>
            <w:tcW w:w="528" w:type="pct"/>
            <w:noWrap w:val="0"/>
            <w:vAlign w:val="center"/>
          </w:tcPr>
          <w:p w14:paraId="02A94A25">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污染治理设施工艺</w:t>
            </w:r>
          </w:p>
        </w:tc>
        <w:tc>
          <w:tcPr>
            <w:tcW w:w="382" w:type="pct"/>
            <w:vMerge w:val="continue"/>
            <w:noWrap w:val="0"/>
            <w:vAlign w:val="center"/>
          </w:tcPr>
          <w:p w14:paraId="03A030B7">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406" w:type="pct"/>
            <w:vMerge w:val="continue"/>
            <w:noWrap w:val="0"/>
            <w:vAlign w:val="center"/>
          </w:tcPr>
          <w:p w14:paraId="1D3496BB">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c>
          <w:tcPr>
            <w:tcW w:w="796" w:type="pct"/>
            <w:vMerge w:val="continue"/>
            <w:noWrap w:val="0"/>
            <w:vAlign w:val="center"/>
          </w:tcPr>
          <w:p w14:paraId="3B130FC6">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p>
        </w:tc>
      </w:tr>
      <w:tr w14:paraId="2AA9E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80" w:type="pct"/>
            <w:noWrap w:val="0"/>
            <w:vAlign w:val="center"/>
          </w:tcPr>
          <w:p w14:paraId="495AB6D4">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highlight w:val="none"/>
                <w:lang w:val="en-US" w:eastAsia="zh-CN"/>
              </w:rPr>
            </w:pPr>
            <w:r>
              <w:rPr>
                <w:rFonts w:hint="eastAsia" w:cs="Times New Roman"/>
                <w:highlight w:val="none"/>
                <w:lang w:val="en-US" w:eastAsia="zh-CN"/>
              </w:rPr>
              <w:t>污水处理站处理尾水</w:t>
            </w:r>
          </w:p>
        </w:tc>
        <w:tc>
          <w:tcPr>
            <w:tcW w:w="580" w:type="pct"/>
            <w:noWrap w:val="0"/>
            <w:vAlign w:val="center"/>
          </w:tcPr>
          <w:p w14:paraId="5C44FB1F">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highlight w:val="none"/>
                <w:lang w:val="en-US" w:eastAsia="zh-CN"/>
              </w:rPr>
            </w:pPr>
            <w:r>
              <w:rPr>
                <w:rFonts w:hint="eastAsia" w:cs="Times New Roman"/>
                <w:highlight w:val="none"/>
                <w:lang w:val="en-US" w:eastAsia="zh-CN"/>
              </w:rPr>
              <w:t>COD、BOD</w:t>
            </w:r>
            <w:r>
              <w:rPr>
                <w:rFonts w:hint="eastAsia" w:cs="Times New Roman"/>
                <w:highlight w:val="none"/>
                <w:vertAlign w:val="subscript"/>
                <w:lang w:val="en-US" w:eastAsia="zh-CN"/>
              </w:rPr>
              <w:t>5</w:t>
            </w:r>
            <w:r>
              <w:rPr>
                <w:rFonts w:hint="eastAsia" w:cs="Times New Roman"/>
                <w:highlight w:val="none"/>
                <w:vertAlign w:val="baseline"/>
                <w:lang w:val="en-US" w:eastAsia="zh-CN"/>
              </w:rPr>
              <w:t>、</w:t>
            </w:r>
            <w:r>
              <w:rPr>
                <w:rFonts w:hint="eastAsia" w:cs="Times New Roman"/>
                <w:highlight w:val="none"/>
                <w:lang w:val="en-US" w:eastAsia="zh-CN"/>
              </w:rPr>
              <w:t>氨氮、总磷、SS</w:t>
            </w:r>
          </w:p>
        </w:tc>
        <w:tc>
          <w:tcPr>
            <w:tcW w:w="478" w:type="pct"/>
            <w:noWrap w:val="0"/>
            <w:vAlign w:val="center"/>
          </w:tcPr>
          <w:p w14:paraId="40D7BED5">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lang w:val="en-US" w:eastAsia="zh-CN"/>
              </w:rPr>
            </w:pPr>
            <w:r>
              <w:rPr>
                <w:rFonts w:hint="eastAsia" w:cs="Times New Roman"/>
                <w:highlight w:val="none"/>
                <w:lang w:val="en-US" w:eastAsia="zh-CN"/>
              </w:rPr>
              <w:t>湘阴县第二污水处理站</w:t>
            </w:r>
          </w:p>
        </w:tc>
        <w:tc>
          <w:tcPr>
            <w:tcW w:w="437" w:type="pct"/>
            <w:noWrap w:val="0"/>
            <w:vAlign w:val="center"/>
          </w:tcPr>
          <w:p w14:paraId="5F2679EC">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eastAsia" w:cs="Times New Roman"/>
                <w:highlight w:val="none"/>
                <w:lang w:val="en-US" w:eastAsia="zh-CN"/>
              </w:rPr>
              <w:t>持续</w:t>
            </w:r>
            <w:r>
              <w:rPr>
                <w:rFonts w:hint="default" w:ascii="Times New Roman" w:hAnsi="Times New Roman" w:cs="Times New Roman"/>
                <w:highlight w:val="none"/>
              </w:rPr>
              <w:t>排放，流量稳定</w:t>
            </w:r>
          </w:p>
        </w:tc>
        <w:tc>
          <w:tcPr>
            <w:tcW w:w="480" w:type="pct"/>
            <w:noWrap w:val="0"/>
            <w:vAlign w:val="center"/>
          </w:tcPr>
          <w:p w14:paraId="62428355">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highlight w:val="none"/>
                <w:lang w:val="en-US" w:eastAsia="zh-CN"/>
              </w:rPr>
            </w:pPr>
            <w:r>
              <w:rPr>
                <w:rFonts w:hint="eastAsia" w:cs="Times New Roman"/>
                <w:highlight w:val="none"/>
                <w:lang w:val="en-US" w:eastAsia="zh-CN"/>
              </w:rPr>
              <w:t>TW001</w:t>
            </w:r>
          </w:p>
        </w:tc>
        <w:tc>
          <w:tcPr>
            <w:tcW w:w="528" w:type="pct"/>
            <w:noWrap w:val="0"/>
            <w:vAlign w:val="center"/>
          </w:tcPr>
          <w:p w14:paraId="3F2DB6D5">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集水池+微滤机+隔油预沉池+调节池/应急池+厌氧流化床+好氧池+缺氧池+消化池+好氧流化床+去磷池+清水池</w:t>
            </w:r>
          </w:p>
        </w:tc>
        <w:tc>
          <w:tcPr>
            <w:tcW w:w="528" w:type="pct"/>
            <w:noWrap w:val="0"/>
            <w:vAlign w:val="center"/>
          </w:tcPr>
          <w:p w14:paraId="0888ADC6">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highlight w:val="none"/>
                <w:lang w:val="en-US" w:eastAsia="zh-CN"/>
              </w:rPr>
            </w:pPr>
            <w:r>
              <w:rPr>
                <w:rFonts w:hint="eastAsia" w:cs="Times New Roman"/>
                <w:highlight w:val="none"/>
                <w:lang w:val="en-US" w:eastAsia="zh-CN"/>
              </w:rPr>
              <w:t>微滤+生化处理+化学去磷</w:t>
            </w:r>
          </w:p>
        </w:tc>
        <w:tc>
          <w:tcPr>
            <w:tcW w:w="382" w:type="pct"/>
            <w:noWrap w:val="0"/>
            <w:vAlign w:val="center"/>
          </w:tcPr>
          <w:p w14:paraId="0D641382">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DW001</w:t>
            </w:r>
          </w:p>
        </w:tc>
        <w:tc>
          <w:tcPr>
            <w:tcW w:w="406" w:type="pct"/>
            <w:noWrap w:val="0"/>
            <w:vAlign w:val="center"/>
          </w:tcPr>
          <w:p w14:paraId="238452BC">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☑是</w:t>
            </w:r>
          </w:p>
          <w:p w14:paraId="5E100311">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□否</w:t>
            </w:r>
          </w:p>
        </w:tc>
        <w:tc>
          <w:tcPr>
            <w:tcW w:w="796" w:type="pct"/>
            <w:noWrap w:val="0"/>
            <w:vAlign w:val="center"/>
          </w:tcPr>
          <w:p w14:paraId="5EE7122D">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☑企业总排</w:t>
            </w:r>
          </w:p>
          <w:p w14:paraId="5E5B4E3A">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□雨水排放</w:t>
            </w:r>
          </w:p>
          <w:p w14:paraId="4C05CDEA">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□清净下水排放</w:t>
            </w:r>
          </w:p>
          <w:p w14:paraId="19E50938">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□温排水排放</w:t>
            </w:r>
          </w:p>
          <w:p w14:paraId="0AC5AB7B">
            <w:pPr>
              <w:pStyle w:val="43"/>
              <w:keepNext w:val="0"/>
              <w:keepLines w:val="0"/>
              <w:widowControl/>
              <w:suppressLineNumbers w:val="0"/>
              <w:bidi w:val="0"/>
              <w:spacing w:before="0" w:beforeAutospacing="0" w:after="0" w:afterAutospacing="0"/>
              <w:ind w:left="0"/>
              <w:rPr>
                <w:rFonts w:hint="default" w:ascii="Times New Roman" w:hAnsi="Times New Roman" w:cs="Times New Roman"/>
                <w:highlight w:val="none"/>
              </w:rPr>
            </w:pPr>
            <w:r>
              <w:rPr>
                <w:rFonts w:hint="default" w:ascii="Times New Roman" w:hAnsi="Times New Roman" w:cs="Times New Roman"/>
                <w:highlight w:val="none"/>
              </w:rPr>
              <w:t>□车间或车间处理设施排放口</w:t>
            </w:r>
          </w:p>
        </w:tc>
      </w:tr>
    </w:tbl>
    <w:p w14:paraId="6BBC5CA8">
      <w:pPr>
        <w:snapToGrid w:val="0"/>
        <w:spacing w:line="360" w:lineRule="auto"/>
        <w:jc w:val="center"/>
        <w:rPr>
          <w:rFonts w:hint="default" w:ascii="Times New Roman" w:hAnsi="Times New Roman" w:eastAsia="黑体" w:cs="Times New Roman"/>
          <w:color w:val="auto"/>
          <w:kern w:val="0"/>
          <w:sz w:val="24"/>
          <w:szCs w:val="22"/>
          <w:highlight w:val="none"/>
          <w:u w:val="none" w:color="auto"/>
          <w:lang w:val="en-US" w:eastAsia="zh-CN" w:bidi="ar-SA"/>
        </w:rPr>
      </w:pPr>
      <w:r>
        <w:rPr>
          <w:rFonts w:hint="default" w:ascii="Times New Roman" w:hAnsi="Times New Roman" w:eastAsia="黑体" w:cs="Times New Roman"/>
          <w:color w:val="auto"/>
          <w:kern w:val="0"/>
          <w:sz w:val="24"/>
          <w:szCs w:val="22"/>
          <w:highlight w:val="none"/>
          <w:u w:val="none" w:color="auto"/>
          <w:lang w:val="en-US" w:eastAsia="zh-CN" w:bidi="ar-SA"/>
        </w:rPr>
        <w:t>表</w:t>
      </w:r>
      <w:r>
        <w:rPr>
          <w:rFonts w:hint="eastAsia" w:ascii="Times New Roman" w:hAnsi="Times New Roman" w:eastAsia="黑体" w:cs="Times New Roman"/>
          <w:color w:val="auto"/>
          <w:kern w:val="0"/>
          <w:sz w:val="24"/>
          <w:szCs w:val="22"/>
          <w:highlight w:val="none"/>
          <w:u w:val="none" w:color="auto"/>
          <w:lang w:val="en-US" w:eastAsia="zh-CN" w:bidi="ar-SA"/>
        </w:rPr>
        <w:t>6</w:t>
      </w:r>
      <w:r>
        <w:rPr>
          <w:rFonts w:hint="default" w:ascii="Times New Roman" w:hAnsi="Times New Roman" w:eastAsia="黑体" w:cs="Times New Roman"/>
          <w:color w:val="auto"/>
          <w:kern w:val="0"/>
          <w:sz w:val="24"/>
          <w:szCs w:val="22"/>
          <w:highlight w:val="none"/>
          <w:u w:val="none" w:color="auto"/>
          <w:lang w:val="en-US" w:eastAsia="zh-CN" w:bidi="ar-SA"/>
        </w:rPr>
        <w:t>.2-21  废水间接排放口基本情况表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779"/>
        <w:gridCol w:w="1419"/>
        <w:gridCol w:w="1224"/>
        <w:gridCol w:w="756"/>
        <w:gridCol w:w="501"/>
        <w:gridCol w:w="597"/>
        <w:gridCol w:w="597"/>
        <w:gridCol w:w="641"/>
        <w:gridCol w:w="911"/>
        <w:gridCol w:w="990"/>
      </w:tblGrid>
      <w:tr w14:paraId="6129C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restart"/>
            <w:noWrap w:val="0"/>
            <w:vAlign w:val="center"/>
          </w:tcPr>
          <w:p w14:paraId="13F9CEF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排放口编号</w:t>
            </w:r>
          </w:p>
        </w:tc>
        <w:tc>
          <w:tcPr>
            <w:tcW w:w="1322" w:type="pct"/>
            <w:gridSpan w:val="2"/>
            <w:noWrap w:val="0"/>
            <w:vAlign w:val="center"/>
          </w:tcPr>
          <w:p w14:paraId="32239C7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排放口地理坐标</w:t>
            </w:r>
          </w:p>
        </w:tc>
        <w:tc>
          <w:tcPr>
            <w:tcW w:w="449" w:type="pct"/>
            <w:vMerge w:val="restart"/>
            <w:noWrap w:val="0"/>
            <w:vAlign w:val="center"/>
          </w:tcPr>
          <w:p w14:paraId="4B2EE8A9">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废水排放量</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t/d</w:t>
            </w:r>
            <w:r>
              <w:rPr>
                <w:rFonts w:hint="default" w:ascii="Times New Roman" w:hAnsi="Times New Roman" w:cs="Times New Roman"/>
                <w:color w:val="auto"/>
                <w:highlight w:val="none"/>
                <w:u w:val="none" w:color="auto"/>
                <w:lang w:eastAsia="zh-CN"/>
              </w:rPr>
              <w:t>）</w:t>
            </w:r>
          </w:p>
        </w:tc>
        <w:tc>
          <w:tcPr>
            <w:tcW w:w="339" w:type="pct"/>
            <w:vMerge w:val="restart"/>
            <w:noWrap w:val="0"/>
            <w:vAlign w:val="center"/>
          </w:tcPr>
          <w:p w14:paraId="781EBBA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排放去向</w:t>
            </w:r>
          </w:p>
        </w:tc>
        <w:tc>
          <w:tcPr>
            <w:tcW w:w="396" w:type="pct"/>
            <w:vMerge w:val="restart"/>
            <w:noWrap w:val="0"/>
            <w:vAlign w:val="center"/>
          </w:tcPr>
          <w:p w14:paraId="609D3B0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排放规律</w:t>
            </w:r>
          </w:p>
        </w:tc>
        <w:tc>
          <w:tcPr>
            <w:tcW w:w="396" w:type="pct"/>
            <w:vMerge w:val="restart"/>
            <w:noWrap w:val="0"/>
            <w:vAlign w:val="center"/>
          </w:tcPr>
          <w:p w14:paraId="48E683AD">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间歇排放时段</w:t>
            </w:r>
          </w:p>
        </w:tc>
        <w:tc>
          <w:tcPr>
            <w:tcW w:w="1633" w:type="pct"/>
            <w:gridSpan w:val="3"/>
            <w:noWrap w:val="0"/>
            <w:vAlign w:val="center"/>
          </w:tcPr>
          <w:p w14:paraId="672CE27F">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受纳污水处理厂信息</w:t>
            </w:r>
          </w:p>
        </w:tc>
      </w:tr>
      <w:tr w14:paraId="67A607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21B39BF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noWrap w:val="0"/>
            <w:vAlign w:val="center"/>
          </w:tcPr>
          <w:p w14:paraId="12EA16F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经度</w:t>
            </w:r>
          </w:p>
        </w:tc>
        <w:tc>
          <w:tcPr>
            <w:tcW w:w="598" w:type="pct"/>
            <w:noWrap w:val="0"/>
            <w:vAlign w:val="center"/>
          </w:tcPr>
          <w:p w14:paraId="4358E57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纬度</w:t>
            </w:r>
          </w:p>
        </w:tc>
        <w:tc>
          <w:tcPr>
            <w:tcW w:w="449" w:type="pct"/>
            <w:vMerge w:val="continue"/>
            <w:noWrap w:val="0"/>
            <w:vAlign w:val="center"/>
          </w:tcPr>
          <w:p w14:paraId="4DC2A37D">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5A1710A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229D1A8A">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4E17F6D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noWrap w:val="0"/>
            <w:vAlign w:val="center"/>
          </w:tcPr>
          <w:p w14:paraId="5EAC3B3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名称</w:t>
            </w:r>
          </w:p>
        </w:tc>
        <w:tc>
          <w:tcPr>
            <w:tcW w:w="582" w:type="pct"/>
            <w:noWrap w:val="0"/>
            <w:vAlign w:val="center"/>
          </w:tcPr>
          <w:p w14:paraId="27E28032">
            <w:pPr>
              <w:pStyle w:val="42"/>
              <w:keepNext w:val="0"/>
              <w:keepLines w:val="0"/>
              <w:suppressLineNumbers w:val="0"/>
              <w:bidi w:val="0"/>
              <w:spacing w:before="0" w:beforeAutospacing="0" w:after="0" w:afterAutospacing="0"/>
              <w:rPr>
                <w:rFonts w:hint="default"/>
                <w:highlight w:val="none"/>
              </w:rPr>
            </w:pPr>
            <w:r>
              <w:rPr>
                <w:rFonts w:hint="default"/>
                <w:highlight w:val="none"/>
              </w:rPr>
              <w:t>污染物种类</w:t>
            </w:r>
          </w:p>
        </w:tc>
        <w:tc>
          <w:tcPr>
            <w:tcW w:w="629" w:type="pct"/>
            <w:noWrap w:val="0"/>
            <w:vAlign w:val="center"/>
          </w:tcPr>
          <w:p w14:paraId="05ED5E76">
            <w:pPr>
              <w:pStyle w:val="42"/>
              <w:keepNext w:val="0"/>
              <w:keepLines w:val="0"/>
              <w:suppressLineNumbers w:val="0"/>
              <w:bidi w:val="0"/>
              <w:spacing w:before="0" w:beforeAutospacing="0" w:after="0" w:afterAutospacing="0"/>
              <w:rPr>
                <w:rFonts w:hint="default"/>
                <w:highlight w:val="none"/>
              </w:rPr>
            </w:pPr>
            <w:r>
              <w:rPr>
                <w:rFonts w:hint="default"/>
                <w:highlight w:val="none"/>
              </w:rPr>
              <w:t>国家或地方污染物排放标准浓度限值</w:t>
            </w:r>
          </w:p>
        </w:tc>
      </w:tr>
      <w:tr w14:paraId="625C6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restart"/>
            <w:noWrap w:val="0"/>
            <w:vAlign w:val="center"/>
          </w:tcPr>
          <w:p w14:paraId="76008DE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DW001</w:t>
            </w:r>
          </w:p>
        </w:tc>
        <w:tc>
          <w:tcPr>
            <w:tcW w:w="723" w:type="pct"/>
            <w:vMerge w:val="restart"/>
            <w:noWrap w:val="0"/>
            <w:vAlign w:val="center"/>
          </w:tcPr>
          <w:p w14:paraId="5568101F">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11</w:t>
            </w:r>
            <w:r>
              <w:rPr>
                <w:rFonts w:hint="eastAsia"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54</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11.180</w:t>
            </w:r>
            <w:r>
              <w:rPr>
                <w:rFonts w:hint="default" w:ascii="Times New Roman" w:hAnsi="Times New Roman" w:cs="Times New Roman"/>
                <w:color w:val="auto"/>
                <w:highlight w:val="none"/>
                <w:u w:val="none" w:color="auto"/>
              </w:rPr>
              <w:t>″</w:t>
            </w:r>
          </w:p>
        </w:tc>
        <w:tc>
          <w:tcPr>
            <w:tcW w:w="598" w:type="pct"/>
            <w:vMerge w:val="restart"/>
            <w:noWrap w:val="0"/>
            <w:vAlign w:val="center"/>
          </w:tcPr>
          <w:p w14:paraId="110CD6DA">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2</w:t>
            </w:r>
            <w:r>
              <w:rPr>
                <w:rFonts w:hint="eastAsia" w:cs="Times New Roman"/>
                <w:color w:val="auto"/>
                <w:highlight w:val="none"/>
                <w:u w:val="none" w:color="auto"/>
                <w:lang w:val="en-US" w:eastAsia="zh-CN"/>
              </w:rPr>
              <w:t>8</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39</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9.615</w:t>
            </w:r>
            <w:r>
              <w:rPr>
                <w:rFonts w:hint="default" w:ascii="Times New Roman" w:hAnsi="Times New Roman" w:cs="Times New Roman"/>
                <w:color w:val="auto"/>
                <w:highlight w:val="none"/>
                <w:u w:val="none" w:color="auto"/>
              </w:rPr>
              <w:t>″</w:t>
            </w:r>
          </w:p>
        </w:tc>
        <w:tc>
          <w:tcPr>
            <w:tcW w:w="449" w:type="pct"/>
            <w:vMerge w:val="restart"/>
            <w:noWrap w:val="0"/>
            <w:vAlign w:val="center"/>
          </w:tcPr>
          <w:p w14:paraId="5963CE61">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1200</w:t>
            </w:r>
          </w:p>
        </w:tc>
        <w:tc>
          <w:tcPr>
            <w:tcW w:w="339" w:type="pct"/>
            <w:vMerge w:val="restart"/>
            <w:noWrap w:val="0"/>
            <w:vAlign w:val="center"/>
          </w:tcPr>
          <w:p w14:paraId="2A99A9EE">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湘阴县第二</w:t>
            </w:r>
            <w:r>
              <w:rPr>
                <w:rFonts w:hint="default" w:ascii="Times New Roman" w:hAnsi="Times New Roman" w:cs="Times New Roman"/>
                <w:color w:val="auto"/>
                <w:highlight w:val="none"/>
                <w:u w:val="none" w:color="auto"/>
              </w:rPr>
              <w:t>污水处理厂</w:t>
            </w:r>
          </w:p>
        </w:tc>
        <w:tc>
          <w:tcPr>
            <w:tcW w:w="396" w:type="pct"/>
            <w:vMerge w:val="restart"/>
            <w:noWrap w:val="0"/>
            <w:vAlign w:val="center"/>
          </w:tcPr>
          <w:p w14:paraId="5E934AD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eastAsia" w:cs="Times New Roman"/>
                <w:highlight w:val="none"/>
                <w:lang w:val="en-US" w:eastAsia="zh-CN"/>
              </w:rPr>
              <w:t>持续</w:t>
            </w:r>
            <w:r>
              <w:rPr>
                <w:rFonts w:hint="default" w:ascii="Times New Roman" w:hAnsi="Times New Roman" w:cs="Times New Roman"/>
                <w:highlight w:val="none"/>
              </w:rPr>
              <w:t>排放，流量稳定</w:t>
            </w:r>
          </w:p>
        </w:tc>
        <w:tc>
          <w:tcPr>
            <w:tcW w:w="396" w:type="pct"/>
            <w:vMerge w:val="restart"/>
            <w:noWrap w:val="0"/>
            <w:vAlign w:val="center"/>
          </w:tcPr>
          <w:p w14:paraId="5BD4C96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c>
          <w:tcPr>
            <w:tcW w:w="422" w:type="pct"/>
            <w:vMerge w:val="restart"/>
            <w:noWrap w:val="0"/>
            <w:vAlign w:val="center"/>
          </w:tcPr>
          <w:p w14:paraId="29752DB6">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湘阴县第二</w:t>
            </w:r>
            <w:r>
              <w:rPr>
                <w:rFonts w:hint="default" w:ascii="Times New Roman" w:hAnsi="Times New Roman" w:cs="Times New Roman"/>
                <w:color w:val="auto"/>
                <w:highlight w:val="none"/>
                <w:u w:val="none" w:color="auto"/>
                <w:lang w:val="en-US" w:eastAsia="zh-CN"/>
              </w:rPr>
              <w:t>污水处理厂</w:t>
            </w:r>
          </w:p>
        </w:tc>
        <w:tc>
          <w:tcPr>
            <w:tcW w:w="582" w:type="pct"/>
            <w:noWrap w:val="0"/>
            <w:vAlign w:val="center"/>
          </w:tcPr>
          <w:p w14:paraId="49876E8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pH值</w:t>
            </w:r>
          </w:p>
        </w:tc>
        <w:tc>
          <w:tcPr>
            <w:tcW w:w="629" w:type="pct"/>
            <w:noWrap w:val="0"/>
            <w:vAlign w:val="center"/>
          </w:tcPr>
          <w:p w14:paraId="0463C3E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6~9（无量纲）</w:t>
            </w:r>
          </w:p>
        </w:tc>
      </w:tr>
      <w:tr w14:paraId="07C3AA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649F9F2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78F3C78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7A7613A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0803147A">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34882A1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00686B5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2842949D">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05223CB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27E0104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COD</w:t>
            </w:r>
          </w:p>
        </w:tc>
        <w:tc>
          <w:tcPr>
            <w:tcW w:w="629" w:type="pct"/>
            <w:noWrap w:val="0"/>
            <w:vAlign w:val="center"/>
          </w:tcPr>
          <w:p w14:paraId="0C36981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0mg/L</w:t>
            </w:r>
          </w:p>
        </w:tc>
      </w:tr>
      <w:tr w14:paraId="43763F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12CA2FC5">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3776F67E">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587B8F9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1DBBB69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3F6C911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02083AD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1A6458CA">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18191DC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2AE3F414">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eastAsia="zh-CN"/>
              </w:rPr>
            </w:pPr>
            <w:r>
              <w:rPr>
                <w:rFonts w:hint="eastAsia" w:cs="Times New Roman"/>
                <w:color w:val="auto"/>
                <w:highlight w:val="none"/>
                <w:u w:val="none" w:color="auto"/>
                <w:lang w:eastAsia="zh-CN"/>
              </w:rPr>
              <w:t>BOD</w:t>
            </w:r>
            <w:r>
              <w:rPr>
                <w:rFonts w:hint="eastAsia" w:cs="Times New Roman"/>
                <w:color w:val="auto"/>
                <w:highlight w:val="none"/>
                <w:u w:val="none" w:color="auto"/>
                <w:vertAlign w:val="subscript"/>
                <w:lang w:eastAsia="zh-CN"/>
              </w:rPr>
              <w:t>5</w:t>
            </w:r>
          </w:p>
        </w:tc>
        <w:tc>
          <w:tcPr>
            <w:tcW w:w="629" w:type="pct"/>
            <w:noWrap w:val="0"/>
            <w:vAlign w:val="center"/>
          </w:tcPr>
          <w:p w14:paraId="7566195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10</w:t>
            </w:r>
            <w:r>
              <w:rPr>
                <w:rFonts w:hint="default" w:ascii="Times New Roman" w:hAnsi="Times New Roman" w:cs="Times New Roman"/>
                <w:color w:val="auto"/>
                <w:highlight w:val="none"/>
                <w:u w:val="none" w:color="auto"/>
              </w:rPr>
              <w:t>mg/L</w:t>
            </w:r>
          </w:p>
        </w:tc>
      </w:tr>
      <w:tr w14:paraId="49D0F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0635CE4A">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69D4054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24E8EC9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7846260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68E9E4F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4260009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293323FF">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0363190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0520AE6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SS</w:t>
            </w:r>
          </w:p>
        </w:tc>
        <w:tc>
          <w:tcPr>
            <w:tcW w:w="629" w:type="pct"/>
            <w:noWrap w:val="0"/>
            <w:vAlign w:val="center"/>
          </w:tcPr>
          <w:p w14:paraId="6174C7A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r>
      <w:tr w14:paraId="1D20D1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0C60633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22DBCB6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21FF153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522A7C0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33661D5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196F74E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1757D07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0BE09B6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62BE14F6">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eastAsia" w:cs="Times New Roman"/>
                <w:color w:val="auto"/>
                <w:highlight w:val="none"/>
                <w:u w:val="none" w:color="auto"/>
                <w:lang w:eastAsia="zh-CN"/>
              </w:rPr>
              <w:t>NH</w:t>
            </w:r>
            <w:r>
              <w:rPr>
                <w:rFonts w:hint="eastAsia" w:cs="Times New Roman"/>
                <w:color w:val="auto"/>
                <w:highlight w:val="none"/>
                <w:u w:val="none" w:color="auto"/>
                <w:vertAlign w:val="subscript"/>
                <w:lang w:eastAsia="zh-CN"/>
              </w:rPr>
              <w:t>3</w:t>
            </w:r>
            <w:r>
              <w:rPr>
                <w:rFonts w:hint="default" w:ascii="Times New Roman" w:hAnsi="Times New Roman" w:cs="Times New Roman"/>
                <w:color w:val="auto"/>
                <w:highlight w:val="none"/>
                <w:u w:val="none" w:color="auto"/>
              </w:rPr>
              <w:t>-N</w:t>
            </w:r>
          </w:p>
        </w:tc>
        <w:tc>
          <w:tcPr>
            <w:tcW w:w="629" w:type="pct"/>
            <w:noWrap w:val="0"/>
            <w:vAlign w:val="center"/>
          </w:tcPr>
          <w:p w14:paraId="6ACB4D9A">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5</w:t>
            </w:r>
            <w:r>
              <w:rPr>
                <w:rFonts w:hint="default" w:ascii="Times New Roman" w:hAnsi="Times New Roman" w:cs="Times New Roman"/>
                <w:color w:val="auto"/>
                <w:highlight w:val="none"/>
                <w:u w:val="none" w:color="auto"/>
              </w:rPr>
              <w:t>mg/L</w:t>
            </w:r>
          </w:p>
        </w:tc>
      </w:tr>
      <w:tr w14:paraId="2CE77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2968A19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26A50D7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53BE1CC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3D8EA81E">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14F2DC06">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59BEA448">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3C5FCE2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56A27FD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7F25993D">
            <w:pPr>
              <w:pStyle w:val="43"/>
              <w:keepNext w:val="0"/>
              <w:keepLines w:val="0"/>
              <w:widowControl/>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TP</w:t>
            </w:r>
          </w:p>
        </w:tc>
        <w:tc>
          <w:tcPr>
            <w:tcW w:w="629" w:type="pct"/>
            <w:noWrap w:val="0"/>
            <w:vAlign w:val="center"/>
          </w:tcPr>
          <w:p w14:paraId="7997F87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0.5mg/L</w:t>
            </w:r>
          </w:p>
        </w:tc>
      </w:tr>
      <w:tr w14:paraId="24837E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10ABD8E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0932EFC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68B53C56">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60C1426D">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3CE96B3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291E5A1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19102BC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27BE1036">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6AC8AAB9">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动植物油</w:t>
            </w:r>
          </w:p>
        </w:tc>
        <w:tc>
          <w:tcPr>
            <w:tcW w:w="629" w:type="pct"/>
            <w:noWrap w:val="0"/>
            <w:vAlign w:val="center"/>
          </w:tcPr>
          <w:p w14:paraId="6F1A58F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1.0</w:t>
            </w:r>
            <w:r>
              <w:rPr>
                <w:rFonts w:hint="default" w:ascii="Times New Roman" w:hAnsi="Times New Roman" w:cs="Times New Roman"/>
                <w:color w:val="auto"/>
                <w:highlight w:val="none"/>
                <w:u w:val="none" w:color="auto"/>
              </w:rPr>
              <w:t>mg/L</w:t>
            </w:r>
          </w:p>
        </w:tc>
      </w:tr>
      <w:tr w14:paraId="4FAC93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62" w:type="pct"/>
            <w:vMerge w:val="continue"/>
            <w:noWrap w:val="0"/>
            <w:vAlign w:val="center"/>
          </w:tcPr>
          <w:p w14:paraId="2A6C2AB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723" w:type="pct"/>
            <w:vMerge w:val="continue"/>
            <w:noWrap w:val="0"/>
            <w:vAlign w:val="center"/>
          </w:tcPr>
          <w:p w14:paraId="18F39AA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98" w:type="pct"/>
            <w:vMerge w:val="continue"/>
            <w:noWrap w:val="0"/>
            <w:vAlign w:val="center"/>
          </w:tcPr>
          <w:p w14:paraId="364F5660">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49" w:type="pct"/>
            <w:vMerge w:val="continue"/>
            <w:noWrap w:val="0"/>
            <w:vAlign w:val="center"/>
          </w:tcPr>
          <w:p w14:paraId="01A93C0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39" w:type="pct"/>
            <w:vMerge w:val="continue"/>
            <w:noWrap w:val="0"/>
            <w:vAlign w:val="center"/>
          </w:tcPr>
          <w:p w14:paraId="737A6547">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188B2E4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396" w:type="pct"/>
            <w:vMerge w:val="continue"/>
            <w:noWrap w:val="0"/>
            <w:vAlign w:val="center"/>
          </w:tcPr>
          <w:p w14:paraId="7C8800D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422" w:type="pct"/>
            <w:vMerge w:val="continue"/>
            <w:noWrap w:val="0"/>
            <w:vAlign w:val="center"/>
          </w:tcPr>
          <w:p w14:paraId="7858263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c>
          <w:tcPr>
            <w:tcW w:w="582" w:type="pct"/>
            <w:noWrap w:val="0"/>
            <w:vAlign w:val="center"/>
          </w:tcPr>
          <w:p w14:paraId="13AEC90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石油类</w:t>
            </w:r>
          </w:p>
        </w:tc>
        <w:tc>
          <w:tcPr>
            <w:tcW w:w="629" w:type="pct"/>
            <w:noWrap w:val="0"/>
            <w:vAlign w:val="center"/>
          </w:tcPr>
          <w:p w14:paraId="137B2F12">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eastAsia" w:cs="Times New Roman"/>
                <w:color w:val="auto"/>
                <w:highlight w:val="none"/>
                <w:u w:val="none" w:color="auto"/>
                <w:lang w:val="en-US" w:eastAsia="zh-CN"/>
              </w:rPr>
              <w:t>1</w:t>
            </w:r>
            <w:r>
              <w:rPr>
                <w:rFonts w:hint="default" w:ascii="Times New Roman" w:hAnsi="Times New Roman" w:cs="Times New Roman"/>
                <w:color w:val="auto"/>
                <w:highlight w:val="none"/>
                <w:u w:val="none" w:color="auto"/>
              </w:rPr>
              <w:t>mg/L</w:t>
            </w:r>
          </w:p>
        </w:tc>
      </w:tr>
    </w:tbl>
    <w:p w14:paraId="11A740B8">
      <w:pPr>
        <w:snapToGrid w:val="0"/>
        <w:spacing w:line="360" w:lineRule="auto"/>
        <w:jc w:val="center"/>
        <w:rPr>
          <w:rFonts w:hint="default" w:ascii="Times New Roman" w:hAnsi="Times New Roman" w:eastAsia="黑体" w:cs="Times New Roman"/>
          <w:color w:val="auto"/>
          <w:kern w:val="0"/>
          <w:sz w:val="24"/>
          <w:szCs w:val="22"/>
          <w:highlight w:val="none"/>
          <w:u w:val="none" w:color="auto"/>
          <w:lang w:val="en-US" w:eastAsia="zh-CN" w:bidi="ar-SA"/>
        </w:rPr>
      </w:pPr>
      <w:r>
        <w:rPr>
          <w:rFonts w:hint="default" w:ascii="Times New Roman" w:hAnsi="Times New Roman" w:eastAsia="黑体" w:cs="Times New Roman"/>
          <w:color w:val="auto"/>
          <w:kern w:val="0"/>
          <w:sz w:val="24"/>
          <w:szCs w:val="22"/>
          <w:highlight w:val="none"/>
          <w:u w:val="none" w:color="auto"/>
          <w:lang w:val="en-US" w:eastAsia="zh-CN" w:bidi="ar-SA"/>
        </w:rPr>
        <w:t>表</w:t>
      </w:r>
      <w:r>
        <w:rPr>
          <w:rFonts w:hint="eastAsia" w:ascii="Times New Roman" w:hAnsi="Times New Roman" w:eastAsia="黑体" w:cs="Times New Roman"/>
          <w:color w:val="auto"/>
          <w:kern w:val="0"/>
          <w:sz w:val="24"/>
          <w:szCs w:val="22"/>
          <w:highlight w:val="none"/>
          <w:u w:val="none" w:color="auto"/>
          <w:lang w:val="en-US" w:eastAsia="zh-CN" w:bidi="ar-SA"/>
        </w:rPr>
        <w:t>6</w:t>
      </w:r>
      <w:r>
        <w:rPr>
          <w:rFonts w:hint="default" w:ascii="Times New Roman" w:hAnsi="Times New Roman" w:eastAsia="黑体" w:cs="Times New Roman"/>
          <w:color w:val="auto"/>
          <w:kern w:val="0"/>
          <w:sz w:val="24"/>
          <w:szCs w:val="22"/>
          <w:highlight w:val="none"/>
          <w:u w:val="none" w:color="auto"/>
          <w:lang w:val="en-US" w:eastAsia="zh-CN" w:bidi="ar-SA"/>
        </w:rPr>
        <w:t>.2-22  废水污染物排放执行标准表</w:t>
      </w:r>
    </w:p>
    <w:tbl>
      <w:tblPr>
        <w:tblStyle w:val="51"/>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57"/>
        <w:gridCol w:w="1089"/>
        <w:gridCol w:w="1477"/>
        <w:gridCol w:w="2692"/>
        <w:gridCol w:w="2508"/>
      </w:tblGrid>
      <w:tr w14:paraId="4E9264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390" w:type="pct"/>
            <w:vMerge w:val="restart"/>
            <w:tcBorders>
              <w:tl2br w:val="nil"/>
              <w:tr2bl w:val="nil"/>
            </w:tcBorders>
            <w:noWrap w:val="0"/>
            <w:vAlign w:val="center"/>
          </w:tcPr>
          <w:p w14:paraId="06EEA407">
            <w:pPr>
              <w:pStyle w:val="46"/>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646" w:type="pct"/>
            <w:vMerge w:val="restart"/>
            <w:tcBorders>
              <w:tl2br w:val="nil"/>
              <w:tr2bl w:val="nil"/>
            </w:tcBorders>
            <w:noWrap w:val="0"/>
            <w:vAlign w:val="center"/>
          </w:tcPr>
          <w:p w14:paraId="4BBC278C">
            <w:pPr>
              <w:pStyle w:val="46"/>
              <w:bidi w:val="0"/>
              <w:rPr>
                <w:rFonts w:hint="default" w:ascii="Times New Roman" w:hAnsi="Times New Roman" w:cs="Times New Roman"/>
                <w:highlight w:val="none"/>
              </w:rPr>
            </w:pPr>
            <w:r>
              <w:rPr>
                <w:rFonts w:hint="default" w:ascii="Times New Roman" w:hAnsi="Times New Roman" w:cs="Times New Roman"/>
                <w:highlight w:val="none"/>
              </w:rPr>
              <w:t>排放口编号</w:t>
            </w:r>
          </w:p>
        </w:tc>
        <w:tc>
          <w:tcPr>
            <w:tcW w:w="876" w:type="pct"/>
            <w:vMerge w:val="restart"/>
            <w:tcBorders>
              <w:tl2br w:val="nil"/>
              <w:tr2bl w:val="nil"/>
            </w:tcBorders>
            <w:noWrap w:val="0"/>
            <w:vAlign w:val="center"/>
          </w:tcPr>
          <w:p w14:paraId="57592517">
            <w:pPr>
              <w:pStyle w:val="46"/>
              <w:bidi w:val="0"/>
              <w:rPr>
                <w:rFonts w:hint="default" w:ascii="Times New Roman" w:hAnsi="Times New Roman" w:cs="Times New Roman"/>
                <w:highlight w:val="none"/>
              </w:rPr>
            </w:pPr>
            <w:r>
              <w:rPr>
                <w:rFonts w:hint="default" w:ascii="Times New Roman" w:hAnsi="Times New Roman" w:cs="Times New Roman"/>
                <w:highlight w:val="none"/>
              </w:rPr>
              <w:t>污染物</w:t>
            </w:r>
          </w:p>
          <w:p w14:paraId="50F4AD6A">
            <w:pPr>
              <w:pStyle w:val="46"/>
              <w:bidi w:val="0"/>
              <w:rPr>
                <w:rFonts w:hint="default" w:ascii="Times New Roman" w:hAnsi="Times New Roman" w:cs="Times New Roman"/>
                <w:highlight w:val="none"/>
              </w:rPr>
            </w:pPr>
            <w:r>
              <w:rPr>
                <w:rFonts w:hint="default" w:ascii="Times New Roman" w:hAnsi="Times New Roman" w:cs="Times New Roman"/>
                <w:highlight w:val="none"/>
              </w:rPr>
              <w:t>种类</w:t>
            </w:r>
          </w:p>
        </w:tc>
        <w:tc>
          <w:tcPr>
            <w:tcW w:w="3085" w:type="pct"/>
            <w:gridSpan w:val="2"/>
            <w:tcBorders>
              <w:tl2br w:val="nil"/>
              <w:tr2bl w:val="nil"/>
            </w:tcBorders>
            <w:noWrap w:val="0"/>
            <w:vAlign w:val="center"/>
          </w:tcPr>
          <w:p w14:paraId="59093A95">
            <w:pPr>
              <w:pStyle w:val="46"/>
              <w:bidi w:val="0"/>
              <w:rPr>
                <w:rFonts w:hint="default" w:ascii="Times New Roman" w:hAnsi="Times New Roman" w:cs="Times New Roman"/>
                <w:highlight w:val="none"/>
              </w:rPr>
            </w:pPr>
            <w:r>
              <w:rPr>
                <w:rFonts w:hint="default" w:ascii="Times New Roman" w:hAnsi="Times New Roman" w:cs="Times New Roman"/>
                <w:highlight w:val="none"/>
              </w:rPr>
              <w:t>国家或地方污染物排放标准及其他按规定商定的排放协议</w:t>
            </w:r>
          </w:p>
        </w:tc>
      </w:tr>
      <w:tr w14:paraId="2BFAF2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390" w:type="pct"/>
            <w:vMerge w:val="continue"/>
            <w:tcBorders>
              <w:tl2br w:val="nil"/>
              <w:tr2bl w:val="nil"/>
            </w:tcBorders>
            <w:noWrap w:val="0"/>
            <w:vAlign w:val="center"/>
          </w:tcPr>
          <w:p w14:paraId="7167886F">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17851A8F">
            <w:pPr>
              <w:pStyle w:val="46"/>
              <w:bidi w:val="0"/>
              <w:rPr>
                <w:rFonts w:hint="default" w:ascii="Times New Roman" w:hAnsi="Times New Roman" w:cs="Times New Roman"/>
                <w:highlight w:val="none"/>
              </w:rPr>
            </w:pPr>
          </w:p>
        </w:tc>
        <w:tc>
          <w:tcPr>
            <w:tcW w:w="876" w:type="pct"/>
            <w:vMerge w:val="continue"/>
            <w:tcBorders>
              <w:tl2br w:val="nil"/>
              <w:tr2bl w:val="nil"/>
            </w:tcBorders>
            <w:noWrap w:val="0"/>
            <w:vAlign w:val="center"/>
          </w:tcPr>
          <w:p w14:paraId="46514BFB">
            <w:pPr>
              <w:pStyle w:val="46"/>
              <w:bidi w:val="0"/>
              <w:rPr>
                <w:rFonts w:hint="default" w:ascii="Times New Roman" w:hAnsi="Times New Roman" w:cs="Times New Roman"/>
                <w:highlight w:val="none"/>
              </w:rPr>
            </w:pPr>
          </w:p>
        </w:tc>
        <w:tc>
          <w:tcPr>
            <w:tcW w:w="1597" w:type="pct"/>
            <w:tcBorders>
              <w:tl2br w:val="nil"/>
              <w:tr2bl w:val="nil"/>
            </w:tcBorders>
            <w:noWrap w:val="0"/>
            <w:vAlign w:val="center"/>
          </w:tcPr>
          <w:p w14:paraId="59BE8494">
            <w:pPr>
              <w:pStyle w:val="46"/>
              <w:bidi w:val="0"/>
              <w:rPr>
                <w:rFonts w:hint="default" w:ascii="Times New Roman" w:hAnsi="Times New Roman" w:cs="Times New Roman"/>
                <w:highlight w:val="none"/>
              </w:rPr>
            </w:pPr>
            <w:r>
              <w:rPr>
                <w:rFonts w:hint="default" w:ascii="Times New Roman" w:hAnsi="Times New Roman" w:cs="Times New Roman"/>
                <w:highlight w:val="none"/>
              </w:rPr>
              <w:t>名称</w:t>
            </w:r>
          </w:p>
        </w:tc>
        <w:tc>
          <w:tcPr>
            <w:tcW w:w="1488" w:type="pct"/>
            <w:tcBorders>
              <w:tl2br w:val="nil"/>
              <w:tr2bl w:val="nil"/>
            </w:tcBorders>
            <w:noWrap w:val="0"/>
            <w:vAlign w:val="center"/>
          </w:tcPr>
          <w:p w14:paraId="1E27FBF1">
            <w:pPr>
              <w:pStyle w:val="46"/>
              <w:bidi w:val="0"/>
              <w:rPr>
                <w:rFonts w:hint="default" w:ascii="Times New Roman" w:hAnsi="Times New Roman" w:cs="Times New Roman"/>
                <w:highlight w:val="none"/>
              </w:rPr>
            </w:pPr>
            <w:r>
              <w:rPr>
                <w:rFonts w:hint="default" w:ascii="Times New Roman" w:hAnsi="Times New Roman" w:cs="Times New Roman"/>
                <w:highlight w:val="none"/>
              </w:rPr>
              <w:t>浓度限值/（mg/L）</w:t>
            </w:r>
          </w:p>
        </w:tc>
      </w:tr>
      <w:tr w14:paraId="65FC6B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390" w:type="pct"/>
            <w:vMerge w:val="restart"/>
            <w:tcBorders>
              <w:tl2br w:val="nil"/>
              <w:tr2bl w:val="nil"/>
            </w:tcBorders>
            <w:noWrap w:val="0"/>
            <w:vAlign w:val="center"/>
          </w:tcPr>
          <w:p w14:paraId="69CB0AA1">
            <w:pPr>
              <w:pStyle w:val="46"/>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646" w:type="pct"/>
            <w:vMerge w:val="restart"/>
            <w:tcBorders>
              <w:tl2br w:val="nil"/>
              <w:tr2bl w:val="nil"/>
            </w:tcBorders>
            <w:noWrap w:val="0"/>
            <w:vAlign w:val="center"/>
          </w:tcPr>
          <w:p w14:paraId="07ADD8B2">
            <w:pPr>
              <w:pStyle w:val="46"/>
              <w:bidi w:val="0"/>
              <w:rPr>
                <w:rFonts w:hint="default" w:ascii="Times New Roman" w:hAnsi="Times New Roman" w:cs="Times New Roman"/>
                <w:highlight w:val="none"/>
              </w:rPr>
            </w:pPr>
            <w:r>
              <w:rPr>
                <w:rFonts w:hint="default" w:ascii="Times New Roman" w:hAnsi="Times New Roman" w:cs="Times New Roman"/>
                <w:highlight w:val="none"/>
              </w:rPr>
              <w:t>DW001</w:t>
            </w:r>
          </w:p>
        </w:tc>
        <w:tc>
          <w:tcPr>
            <w:tcW w:w="876" w:type="pct"/>
            <w:tcBorders>
              <w:tl2br w:val="nil"/>
              <w:tr2bl w:val="nil"/>
            </w:tcBorders>
            <w:noWrap w:val="0"/>
            <w:vAlign w:val="center"/>
          </w:tcPr>
          <w:p w14:paraId="461B415A">
            <w:pPr>
              <w:pStyle w:val="46"/>
              <w:bidi w:val="0"/>
              <w:rPr>
                <w:rFonts w:hint="default" w:ascii="Times New Roman" w:hAnsi="Times New Roman" w:cs="Times New Roman"/>
                <w:highlight w:val="none"/>
              </w:rPr>
            </w:pPr>
            <w:r>
              <w:rPr>
                <w:rFonts w:hint="default" w:ascii="Times New Roman" w:hAnsi="Times New Roman" w:cs="Times New Roman"/>
                <w:highlight w:val="none"/>
              </w:rPr>
              <w:t>pH</w:t>
            </w:r>
          </w:p>
        </w:tc>
        <w:tc>
          <w:tcPr>
            <w:tcW w:w="1597" w:type="pct"/>
            <w:vMerge w:val="restart"/>
            <w:tcBorders>
              <w:tl2br w:val="nil"/>
              <w:tr2bl w:val="nil"/>
            </w:tcBorders>
            <w:noWrap w:val="0"/>
            <w:vAlign w:val="center"/>
          </w:tcPr>
          <w:p w14:paraId="3C00C261">
            <w:pPr>
              <w:pStyle w:val="46"/>
              <w:bidi w:val="0"/>
              <w:rPr>
                <w:rFonts w:hint="default" w:ascii="Times New Roman" w:hAnsi="Times New Roman" w:cs="Times New Roman"/>
                <w:highlight w:val="none"/>
              </w:rPr>
            </w:pPr>
            <w:r>
              <w:rPr>
                <w:rFonts w:hint="eastAsia" w:cs="Times New Roman"/>
                <w:highlight w:val="none"/>
                <w:lang w:val="en-US" w:eastAsia="zh-CN"/>
              </w:rPr>
              <w:t>湘阴县第二</w:t>
            </w:r>
            <w:r>
              <w:rPr>
                <w:rFonts w:hint="default" w:ascii="Times New Roman" w:hAnsi="Times New Roman" w:cs="Times New Roman"/>
                <w:highlight w:val="none"/>
                <w:lang w:eastAsia="zh-CN"/>
              </w:rPr>
              <w:t>污水处理厂</w:t>
            </w:r>
            <w:r>
              <w:rPr>
                <w:rFonts w:hint="default" w:ascii="Times New Roman" w:hAnsi="Times New Roman" w:cs="Times New Roman"/>
                <w:highlight w:val="none"/>
              </w:rPr>
              <w:t>接管标准、《污水综合排放标准》（GB8978-1996）中表4三级标准（从严执行）</w:t>
            </w:r>
          </w:p>
        </w:tc>
        <w:tc>
          <w:tcPr>
            <w:tcW w:w="1488" w:type="pct"/>
            <w:tcBorders>
              <w:tl2br w:val="nil"/>
              <w:tr2bl w:val="nil"/>
            </w:tcBorders>
            <w:noWrap w:val="0"/>
            <w:vAlign w:val="center"/>
          </w:tcPr>
          <w:p w14:paraId="7AA6BA88">
            <w:pPr>
              <w:pStyle w:val="46"/>
              <w:bidi w:val="0"/>
              <w:rPr>
                <w:rFonts w:hint="default" w:ascii="Times New Roman" w:hAnsi="Times New Roman" w:cs="Times New Roman"/>
                <w:highlight w:val="none"/>
              </w:rPr>
            </w:pPr>
            <w:r>
              <w:rPr>
                <w:rFonts w:hint="default" w:ascii="Times New Roman" w:hAnsi="Times New Roman" w:cs="Times New Roman"/>
                <w:highlight w:val="none"/>
              </w:rPr>
              <w:t>6</w:t>
            </w:r>
            <w:r>
              <w:rPr>
                <w:rFonts w:hint="eastAsia" w:cs="Times New Roman"/>
                <w:highlight w:val="none"/>
                <w:lang w:val="en-US" w:eastAsia="zh-CN"/>
              </w:rPr>
              <w:t>.5</w:t>
            </w:r>
            <w:r>
              <w:rPr>
                <w:rFonts w:hint="default" w:ascii="Times New Roman" w:hAnsi="Times New Roman" w:cs="Times New Roman"/>
                <w:highlight w:val="none"/>
              </w:rPr>
              <w:t>~9（无量纲）</w:t>
            </w:r>
          </w:p>
        </w:tc>
      </w:tr>
      <w:tr w14:paraId="1490D1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5" w:hRule="atLeast"/>
        </w:trPr>
        <w:tc>
          <w:tcPr>
            <w:tcW w:w="390" w:type="pct"/>
            <w:vMerge w:val="continue"/>
            <w:tcBorders>
              <w:tl2br w:val="nil"/>
              <w:tr2bl w:val="nil"/>
            </w:tcBorders>
            <w:noWrap w:val="0"/>
            <w:vAlign w:val="center"/>
          </w:tcPr>
          <w:p w14:paraId="67D077D4">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7E6417AB">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644CF8EC">
            <w:pPr>
              <w:pStyle w:val="46"/>
              <w:bidi w:val="0"/>
              <w:rPr>
                <w:rFonts w:hint="default" w:ascii="Times New Roman" w:hAnsi="Times New Roman" w:cs="Times New Roman"/>
                <w:highlight w:val="none"/>
              </w:rPr>
            </w:pPr>
            <w:r>
              <w:rPr>
                <w:rFonts w:hint="default" w:ascii="Times New Roman" w:hAnsi="Times New Roman" w:cs="Times New Roman"/>
                <w:highlight w:val="none"/>
              </w:rPr>
              <w:t>COD</w:t>
            </w:r>
          </w:p>
        </w:tc>
        <w:tc>
          <w:tcPr>
            <w:tcW w:w="1597" w:type="pct"/>
            <w:vMerge w:val="continue"/>
            <w:tcBorders>
              <w:tl2br w:val="nil"/>
              <w:tr2bl w:val="nil"/>
            </w:tcBorders>
            <w:noWrap w:val="0"/>
            <w:vAlign w:val="center"/>
          </w:tcPr>
          <w:p w14:paraId="416D2E7F">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77319EA8">
            <w:pPr>
              <w:pStyle w:val="46"/>
              <w:bidi w:val="0"/>
              <w:rPr>
                <w:rFonts w:hint="default" w:ascii="Times New Roman" w:hAnsi="Times New Roman" w:cs="Times New Roman"/>
                <w:highlight w:val="none"/>
              </w:rPr>
            </w:pPr>
            <w:r>
              <w:rPr>
                <w:rFonts w:hint="default" w:ascii="Times New Roman" w:hAnsi="Times New Roman" w:cs="Times New Roman"/>
                <w:highlight w:val="none"/>
              </w:rPr>
              <w:t>500</w:t>
            </w:r>
          </w:p>
        </w:tc>
      </w:tr>
      <w:tr w14:paraId="20B1EB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390" w:type="pct"/>
            <w:vMerge w:val="continue"/>
            <w:tcBorders>
              <w:tl2br w:val="nil"/>
              <w:tr2bl w:val="nil"/>
            </w:tcBorders>
            <w:noWrap w:val="0"/>
            <w:vAlign w:val="center"/>
          </w:tcPr>
          <w:p w14:paraId="79CD5761">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54D0FAC3">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3DA72602">
            <w:pPr>
              <w:pStyle w:val="46"/>
              <w:bidi w:val="0"/>
              <w:rPr>
                <w:rFonts w:hint="default" w:ascii="Times New Roman" w:hAnsi="Times New Roman" w:cs="Times New Roman"/>
                <w:highlight w:val="none"/>
                <w:lang w:eastAsia="zh-CN"/>
              </w:rPr>
            </w:pPr>
            <w:r>
              <w:rPr>
                <w:rFonts w:hint="eastAsia" w:cs="Times New Roman"/>
                <w:highlight w:val="none"/>
                <w:lang w:eastAsia="zh-CN"/>
              </w:rPr>
              <w:t>BOD</w:t>
            </w:r>
            <w:r>
              <w:rPr>
                <w:rFonts w:hint="eastAsia" w:cs="Times New Roman"/>
                <w:highlight w:val="none"/>
                <w:vertAlign w:val="subscript"/>
                <w:lang w:eastAsia="zh-CN"/>
              </w:rPr>
              <w:t>5</w:t>
            </w:r>
          </w:p>
        </w:tc>
        <w:tc>
          <w:tcPr>
            <w:tcW w:w="1597" w:type="pct"/>
            <w:vMerge w:val="continue"/>
            <w:tcBorders>
              <w:tl2br w:val="nil"/>
              <w:tr2bl w:val="nil"/>
            </w:tcBorders>
            <w:noWrap w:val="0"/>
            <w:vAlign w:val="center"/>
          </w:tcPr>
          <w:p w14:paraId="5F79DA02">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7F430D18">
            <w:pPr>
              <w:pStyle w:val="46"/>
              <w:bidi w:val="0"/>
              <w:rPr>
                <w:rFonts w:hint="default" w:ascii="Times New Roman" w:hAnsi="Times New Roman" w:cs="Times New Roman"/>
                <w:highlight w:val="none"/>
              </w:rPr>
            </w:pPr>
            <w:r>
              <w:rPr>
                <w:rFonts w:hint="default" w:ascii="Times New Roman" w:hAnsi="Times New Roman" w:cs="Times New Roman"/>
                <w:highlight w:val="none"/>
              </w:rPr>
              <w:t>300</w:t>
            </w:r>
          </w:p>
        </w:tc>
      </w:tr>
      <w:tr w14:paraId="6881ED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43" w:hRule="atLeast"/>
        </w:trPr>
        <w:tc>
          <w:tcPr>
            <w:tcW w:w="390" w:type="pct"/>
            <w:vMerge w:val="continue"/>
            <w:tcBorders>
              <w:tl2br w:val="nil"/>
              <w:tr2bl w:val="nil"/>
            </w:tcBorders>
            <w:noWrap w:val="0"/>
            <w:vAlign w:val="center"/>
          </w:tcPr>
          <w:p w14:paraId="34392A5A">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125CBFD0">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2575B88F">
            <w:pPr>
              <w:pStyle w:val="46"/>
              <w:bidi w:val="0"/>
              <w:rPr>
                <w:rFonts w:hint="default" w:ascii="Times New Roman" w:hAnsi="Times New Roman" w:cs="Times New Roman"/>
                <w:highlight w:val="none"/>
              </w:rPr>
            </w:pPr>
            <w:r>
              <w:rPr>
                <w:rFonts w:hint="default" w:ascii="Times New Roman" w:hAnsi="Times New Roman" w:cs="Times New Roman"/>
                <w:highlight w:val="none"/>
              </w:rPr>
              <w:t>SS</w:t>
            </w:r>
          </w:p>
        </w:tc>
        <w:tc>
          <w:tcPr>
            <w:tcW w:w="1597" w:type="pct"/>
            <w:vMerge w:val="continue"/>
            <w:tcBorders>
              <w:tl2br w:val="nil"/>
              <w:tr2bl w:val="nil"/>
            </w:tcBorders>
            <w:noWrap w:val="0"/>
            <w:vAlign w:val="center"/>
          </w:tcPr>
          <w:p w14:paraId="61856E23">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1C22D563">
            <w:pPr>
              <w:pStyle w:val="46"/>
              <w:bidi w:val="0"/>
              <w:rPr>
                <w:rFonts w:hint="default" w:ascii="Times New Roman" w:hAnsi="Times New Roman" w:cs="Times New Roman"/>
                <w:highlight w:val="none"/>
              </w:rPr>
            </w:pPr>
            <w:r>
              <w:rPr>
                <w:rFonts w:hint="default" w:ascii="Times New Roman" w:hAnsi="Times New Roman" w:cs="Times New Roman"/>
                <w:highlight w:val="none"/>
              </w:rPr>
              <w:t>400</w:t>
            </w:r>
          </w:p>
        </w:tc>
      </w:tr>
      <w:tr w14:paraId="2B58A5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390" w:type="pct"/>
            <w:vMerge w:val="continue"/>
            <w:tcBorders>
              <w:tl2br w:val="nil"/>
              <w:tr2bl w:val="nil"/>
            </w:tcBorders>
            <w:noWrap w:val="0"/>
            <w:vAlign w:val="center"/>
          </w:tcPr>
          <w:p w14:paraId="484A5E48">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621D1CAF">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3063F291">
            <w:pPr>
              <w:pStyle w:val="46"/>
              <w:bidi w:val="0"/>
              <w:rPr>
                <w:rFonts w:hint="default" w:ascii="Times New Roman" w:hAnsi="Times New Roman" w:cs="Times New Roman"/>
                <w:highlight w:val="none"/>
              </w:rPr>
            </w:pPr>
            <w:r>
              <w:rPr>
                <w:rFonts w:hint="default" w:ascii="Times New Roman" w:hAnsi="Times New Roman" w:cs="Times New Roman"/>
                <w:highlight w:val="none"/>
              </w:rPr>
              <w:t>氨氮</w:t>
            </w:r>
          </w:p>
        </w:tc>
        <w:tc>
          <w:tcPr>
            <w:tcW w:w="1597" w:type="pct"/>
            <w:vMerge w:val="continue"/>
            <w:tcBorders>
              <w:tl2br w:val="nil"/>
              <w:tr2bl w:val="nil"/>
            </w:tcBorders>
            <w:noWrap w:val="0"/>
            <w:vAlign w:val="center"/>
          </w:tcPr>
          <w:p w14:paraId="762F8D4E">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74A9A928">
            <w:pPr>
              <w:pStyle w:val="46"/>
              <w:bidi w:val="0"/>
              <w:rPr>
                <w:rFonts w:hint="default" w:ascii="Times New Roman" w:hAnsi="Times New Roman" w:cs="Times New Roman"/>
                <w:highlight w:val="none"/>
              </w:rPr>
            </w:pPr>
            <w:r>
              <w:rPr>
                <w:rFonts w:hint="default" w:ascii="Times New Roman" w:hAnsi="Times New Roman" w:cs="Times New Roman"/>
                <w:highlight w:val="none"/>
              </w:rPr>
              <w:t>45</w:t>
            </w:r>
          </w:p>
        </w:tc>
      </w:tr>
      <w:tr w14:paraId="689E32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390" w:type="pct"/>
            <w:vMerge w:val="continue"/>
            <w:tcBorders>
              <w:tl2br w:val="nil"/>
              <w:tr2bl w:val="nil"/>
            </w:tcBorders>
            <w:noWrap w:val="0"/>
            <w:vAlign w:val="center"/>
          </w:tcPr>
          <w:p w14:paraId="57CE2284">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41B73F94">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7B7F314D">
            <w:pPr>
              <w:pStyle w:val="46"/>
              <w:bidi w:val="0"/>
              <w:rPr>
                <w:rFonts w:hint="default" w:ascii="Times New Roman" w:hAnsi="Times New Roman" w:cs="Times New Roman"/>
                <w:highlight w:val="none"/>
              </w:rPr>
            </w:pPr>
            <w:r>
              <w:rPr>
                <w:rFonts w:hint="default" w:ascii="Times New Roman" w:hAnsi="Times New Roman" w:cs="Times New Roman"/>
                <w:highlight w:val="none"/>
              </w:rPr>
              <w:t>总磷</w:t>
            </w:r>
          </w:p>
        </w:tc>
        <w:tc>
          <w:tcPr>
            <w:tcW w:w="1597" w:type="pct"/>
            <w:vMerge w:val="continue"/>
            <w:tcBorders>
              <w:tl2br w:val="nil"/>
              <w:tr2bl w:val="nil"/>
            </w:tcBorders>
            <w:noWrap w:val="0"/>
            <w:vAlign w:val="center"/>
          </w:tcPr>
          <w:p w14:paraId="4B22B582">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6E6BEDF8">
            <w:pPr>
              <w:pStyle w:val="46"/>
              <w:bidi w:val="0"/>
              <w:rPr>
                <w:rFonts w:hint="default" w:ascii="Times New Roman" w:hAnsi="Times New Roman" w:cs="Times New Roman"/>
                <w:highlight w:val="none"/>
              </w:rPr>
            </w:pPr>
            <w:r>
              <w:rPr>
                <w:rFonts w:hint="default" w:ascii="Times New Roman" w:hAnsi="Times New Roman" w:cs="Times New Roman"/>
                <w:highlight w:val="none"/>
              </w:rPr>
              <w:t>8</w:t>
            </w:r>
          </w:p>
        </w:tc>
      </w:tr>
      <w:tr w14:paraId="39647D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390" w:type="pct"/>
            <w:vMerge w:val="continue"/>
            <w:tcBorders>
              <w:tl2br w:val="nil"/>
              <w:tr2bl w:val="nil"/>
            </w:tcBorders>
            <w:noWrap w:val="0"/>
            <w:vAlign w:val="center"/>
          </w:tcPr>
          <w:p w14:paraId="1A651D94">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3A70E9CE">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0C7C576E">
            <w:pPr>
              <w:pStyle w:val="46"/>
              <w:bidi w:val="0"/>
              <w:rPr>
                <w:rFonts w:hint="default" w:ascii="Times New Roman" w:hAnsi="Times New Roman" w:cs="Times New Roman"/>
                <w:highlight w:val="none"/>
              </w:rPr>
            </w:pPr>
            <w:r>
              <w:rPr>
                <w:rFonts w:hint="default" w:ascii="Times New Roman" w:hAnsi="Times New Roman" w:cs="Times New Roman"/>
                <w:highlight w:val="none"/>
              </w:rPr>
              <w:t>动植物油</w:t>
            </w:r>
          </w:p>
        </w:tc>
        <w:tc>
          <w:tcPr>
            <w:tcW w:w="1597" w:type="pct"/>
            <w:vMerge w:val="continue"/>
            <w:tcBorders>
              <w:tl2br w:val="nil"/>
              <w:tr2bl w:val="nil"/>
            </w:tcBorders>
            <w:noWrap w:val="0"/>
            <w:vAlign w:val="center"/>
          </w:tcPr>
          <w:p w14:paraId="78B7B0F4">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599E67BF">
            <w:pPr>
              <w:pStyle w:val="46"/>
              <w:bidi w:val="0"/>
              <w:rPr>
                <w:rFonts w:hint="default" w:ascii="Times New Roman" w:hAnsi="Times New Roman" w:cs="Times New Roman"/>
                <w:highlight w:val="none"/>
              </w:rPr>
            </w:pPr>
            <w:r>
              <w:rPr>
                <w:rFonts w:hint="default" w:ascii="Times New Roman" w:hAnsi="Times New Roman" w:cs="Times New Roman"/>
                <w:highlight w:val="none"/>
              </w:rPr>
              <w:t>100</w:t>
            </w:r>
          </w:p>
        </w:tc>
      </w:tr>
      <w:tr w14:paraId="0E37F5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390" w:type="pct"/>
            <w:vMerge w:val="continue"/>
            <w:tcBorders>
              <w:tl2br w:val="nil"/>
              <w:tr2bl w:val="nil"/>
            </w:tcBorders>
            <w:noWrap w:val="0"/>
            <w:vAlign w:val="center"/>
          </w:tcPr>
          <w:p w14:paraId="2F165B72">
            <w:pPr>
              <w:pStyle w:val="46"/>
              <w:bidi w:val="0"/>
              <w:rPr>
                <w:rFonts w:hint="default" w:ascii="Times New Roman" w:hAnsi="Times New Roman" w:cs="Times New Roman"/>
                <w:highlight w:val="none"/>
              </w:rPr>
            </w:pPr>
          </w:p>
        </w:tc>
        <w:tc>
          <w:tcPr>
            <w:tcW w:w="646" w:type="pct"/>
            <w:vMerge w:val="continue"/>
            <w:tcBorders>
              <w:tl2br w:val="nil"/>
              <w:tr2bl w:val="nil"/>
            </w:tcBorders>
            <w:noWrap w:val="0"/>
            <w:vAlign w:val="center"/>
          </w:tcPr>
          <w:p w14:paraId="7A533B6F">
            <w:pPr>
              <w:pStyle w:val="46"/>
              <w:bidi w:val="0"/>
              <w:rPr>
                <w:rFonts w:hint="default" w:ascii="Times New Roman" w:hAnsi="Times New Roman" w:cs="Times New Roman"/>
                <w:highlight w:val="none"/>
              </w:rPr>
            </w:pPr>
          </w:p>
        </w:tc>
        <w:tc>
          <w:tcPr>
            <w:tcW w:w="876" w:type="pct"/>
            <w:tcBorders>
              <w:tl2br w:val="nil"/>
              <w:tr2bl w:val="nil"/>
            </w:tcBorders>
            <w:noWrap w:val="0"/>
            <w:vAlign w:val="center"/>
          </w:tcPr>
          <w:p w14:paraId="0FC15B5C">
            <w:pPr>
              <w:pStyle w:val="4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石油类</w:t>
            </w:r>
          </w:p>
        </w:tc>
        <w:tc>
          <w:tcPr>
            <w:tcW w:w="1597" w:type="pct"/>
            <w:vMerge w:val="continue"/>
            <w:tcBorders>
              <w:tl2br w:val="nil"/>
              <w:tr2bl w:val="nil"/>
            </w:tcBorders>
            <w:noWrap w:val="0"/>
            <w:vAlign w:val="center"/>
          </w:tcPr>
          <w:p w14:paraId="0CCE61F6">
            <w:pPr>
              <w:pStyle w:val="46"/>
              <w:bidi w:val="0"/>
              <w:rPr>
                <w:rFonts w:hint="default" w:ascii="Times New Roman" w:hAnsi="Times New Roman" w:cs="Times New Roman"/>
                <w:highlight w:val="none"/>
              </w:rPr>
            </w:pPr>
          </w:p>
        </w:tc>
        <w:tc>
          <w:tcPr>
            <w:tcW w:w="1488" w:type="pct"/>
            <w:tcBorders>
              <w:tl2br w:val="nil"/>
              <w:tr2bl w:val="nil"/>
            </w:tcBorders>
            <w:noWrap w:val="0"/>
            <w:vAlign w:val="center"/>
          </w:tcPr>
          <w:p w14:paraId="07EE0484">
            <w:pPr>
              <w:pStyle w:val="46"/>
              <w:bidi w:val="0"/>
              <w:rPr>
                <w:rFonts w:hint="default" w:ascii="Times New Roman" w:hAnsi="Times New Roman" w:cs="Times New Roman"/>
                <w:highlight w:val="none"/>
                <w:lang w:val="en-US" w:eastAsia="zh-CN"/>
              </w:rPr>
            </w:pPr>
            <w:r>
              <w:rPr>
                <w:rFonts w:hint="eastAsia" w:cs="Times New Roman"/>
                <w:highlight w:val="none"/>
                <w:lang w:val="en-US" w:eastAsia="zh-CN"/>
              </w:rPr>
              <w:t>15</w:t>
            </w:r>
          </w:p>
        </w:tc>
      </w:tr>
    </w:tbl>
    <w:p w14:paraId="7212C4CF">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.2-</w:t>
      </w:r>
      <w:r>
        <w:rPr>
          <w:rFonts w:hint="default" w:ascii="Times New Roman" w:hAnsi="Times New Roman" w:cs="Times New Roman"/>
          <w:color w:val="auto"/>
          <w:highlight w:val="none"/>
          <w:u w:val="none" w:color="auto"/>
          <w:lang w:val="en-US" w:eastAsia="zh-CN"/>
        </w:rPr>
        <w:t>23</w:t>
      </w:r>
      <w:r>
        <w:rPr>
          <w:rFonts w:hint="default" w:ascii="Times New Roman" w:hAnsi="Times New Roman" w:cs="Times New Roman"/>
          <w:color w:val="auto"/>
          <w:highlight w:val="none"/>
          <w:u w:val="none" w:color="auto"/>
        </w:rPr>
        <w:t xml:space="preserve">  废水污染物排放信息表</w:t>
      </w:r>
    </w:p>
    <w:tbl>
      <w:tblPr>
        <w:tblStyle w:val="30"/>
        <w:tblW w:w="502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541"/>
        <w:gridCol w:w="1320"/>
        <w:gridCol w:w="1317"/>
        <w:gridCol w:w="1862"/>
        <w:gridCol w:w="1769"/>
        <w:gridCol w:w="1572"/>
      </w:tblGrid>
      <w:tr w14:paraId="3C4D5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73" w:hRule="exact"/>
          <w:jc w:val="center"/>
        </w:trPr>
        <w:tc>
          <w:tcPr>
            <w:tcW w:w="323" w:type="pct"/>
            <w:noWrap w:val="0"/>
            <w:vAlign w:val="center"/>
          </w:tcPr>
          <w:p w14:paraId="010BA3D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序号</w:t>
            </w:r>
          </w:p>
        </w:tc>
        <w:tc>
          <w:tcPr>
            <w:tcW w:w="787" w:type="pct"/>
            <w:noWrap w:val="0"/>
            <w:vAlign w:val="center"/>
          </w:tcPr>
          <w:p w14:paraId="1DD9792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排放口编号</w:t>
            </w:r>
          </w:p>
        </w:tc>
        <w:tc>
          <w:tcPr>
            <w:tcW w:w="785" w:type="pct"/>
            <w:noWrap w:val="0"/>
            <w:vAlign w:val="center"/>
          </w:tcPr>
          <w:p w14:paraId="4135506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污染物种类</w:t>
            </w:r>
          </w:p>
        </w:tc>
        <w:tc>
          <w:tcPr>
            <w:tcW w:w="1110" w:type="pct"/>
            <w:noWrap w:val="0"/>
            <w:vAlign w:val="center"/>
          </w:tcPr>
          <w:p w14:paraId="5295505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排放浓度</w:t>
            </w:r>
            <w:r>
              <w:rPr>
                <w:rFonts w:hint="default" w:ascii="Times New Roman" w:hAnsi="Times New Roman" w:cs="Times New Roman"/>
                <w:color w:val="auto"/>
                <w:kern w:val="2"/>
                <w:highlight w:val="none"/>
                <w:u w:val="none" w:color="auto"/>
                <w:lang w:val="zh-TW"/>
              </w:rPr>
              <w:t>/</w:t>
            </w:r>
            <w:r>
              <w:rPr>
                <w:rFonts w:hint="default" w:ascii="Times New Roman" w:hAnsi="Times New Roman" w:cs="Times New Roman"/>
                <w:color w:val="auto"/>
                <w:kern w:val="2"/>
                <w:highlight w:val="none"/>
                <w:u w:val="none" w:color="auto"/>
              </w:rPr>
              <w:t>(mg/L)</w:t>
            </w:r>
          </w:p>
        </w:tc>
        <w:tc>
          <w:tcPr>
            <w:tcW w:w="1055" w:type="pct"/>
            <w:noWrap w:val="0"/>
            <w:vAlign w:val="center"/>
          </w:tcPr>
          <w:p w14:paraId="4989F2E5">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日排放量</w:t>
            </w:r>
            <w:r>
              <w:rPr>
                <w:rFonts w:hint="default" w:ascii="Times New Roman" w:hAnsi="Times New Roman" w:cs="Times New Roman"/>
                <w:color w:val="auto"/>
                <w:kern w:val="2"/>
                <w:highlight w:val="none"/>
                <w:u w:val="none" w:color="auto"/>
                <w:lang w:val="zh-TW"/>
              </w:rPr>
              <w:t>/</w:t>
            </w:r>
            <w:r>
              <w:rPr>
                <w:rFonts w:hint="default" w:ascii="Times New Roman" w:hAnsi="Times New Roman" w:cs="Times New Roman"/>
                <w:color w:val="auto"/>
                <w:kern w:val="2"/>
                <w:highlight w:val="none"/>
                <w:u w:val="none" w:color="auto"/>
              </w:rPr>
              <w:t>(kg/d)</w:t>
            </w:r>
          </w:p>
        </w:tc>
        <w:tc>
          <w:tcPr>
            <w:tcW w:w="937" w:type="pct"/>
            <w:noWrap w:val="0"/>
            <w:vAlign w:val="center"/>
          </w:tcPr>
          <w:p w14:paraId="4D054FA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年排放量</w:t>
            </w:r>
            <w:r>
              <w:rPr>
                <w:rFonts w:hint="default" w:ascii="Times New Roman" w:hAnsi="Times New Roman" w:cs="Times New Roman"/>
                <w:color w:val="auto"/>
                <w:kern w:val="2"/>
                <w:highlight w:val="none"/>
                <w:u w:val="none" w:color="auto"/>
                <w:lang w:val="zh-TW"/>
              </w:rPr>
              <w:t>/</w:t>
            </w:r>
            <w:r>
              <w:rPr>
                <w:rFonts w:hint="default" w:ascii="Times New Roman" w:hAnsi="Times New Roman" w:cs="Times New Roman"/>
                <w:color w:val="auto"/>
                <w:kern w:val="2"/>
                <w:highlight w:val="none"/>
                <w:u w:val="none" w:color="auto"/>
              </w:rPr>
              <w:t>(t/a)</w:t>
            </w:r>
          </w:p>
        </w:tc>
      </w:tr>
      <w:tr w14:paraId="10D983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3" w:hRule="exact"/>
          <w:jc w:val="center"/>
        </w:trPr>
        <w:tc>
          <w:tcPr>
            <w:tcW w:w="323" w:type="pct"/>
            <w:vMerge w:val="restart"/>
            <w:noWrap w:val="0"/>
            <w:vAlign w:val="center"/>
          </w:tcPr>
          <w:p w14:paraId="617C7CBA">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1</w:t>
            </w:r>
          </w:p>
        </w:tc>
        <w:tc>
          <w:tcPr>
            <w:tcW w:w="787" w:type="pct"/>
            <w:vMerge w:val="restart"/>
            <w:noWrap w:val="0"/>
            <w:vAlign w:val="center"/>
          </w:tcPr>
          <w:p w14:paraId="7645542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highlight w:val="none"/>
              </w:rPr>
              <w:t>DW001</w:t>
            </w:r>
          </w:p>
        </w:tc>
        <w:tc>
          <w:tcPr>
            <w:tcW w:w="1316" w:type="dxa"/>
            <w:noWrap w:val="0"/>
            <w:vAlign w:val="center"/>
          </w:tcPr>
          <w:p w14:paraId="326F1A24">
            <w:pPr>
              <w:pStyle w:val="42"/>
              <w:keepNext w:val="0"/>
              <w:keepLines w:val="0"/>
              <w:suppressLineNumbers w:val="0"/>
              <w:bidi w:val="0"/>
              <w:spacing w:before="0" w:beforeAutospacing="0" w:after="0" w:afterAutospacing="0"/>
              <w:rPr>
                <w:rFonts w:hint="default"/>
                <w:highlight w:val="none"/>
                <w:lang w:eastAsia="zh-CN"/>
              </w:rPr>
            </w:pPr>
            <w:r>
              <w:rPr>
                <w:rFonts w:hint="eastAsia"/>
                <w:highlight w:val="none"/>
                <w:lang w:val="en-US" w:eastAsia="zh-CN"/>
              </w:rPr>
              <w:t>COD</w:t>
            </w:r>
            <w:r>
              <w:rPr>
                <w:rFonts w:hint="eastAsia"/>
                <w:highlight w:val="none"/>
                <w:vertAlign w:val="subscript"/>
                <w:lang w:val="en-US" w:eastAsia="zh-CN"/>
              </w:rPr>
              <w:t>cr</w:t>
            </w:r>
          </w:p>
        </w:tc>
        <w:tc>
          <w:tcPr>
            <w:tcW w:w="1861" w:type="dxa"/>
            <w:noWrap w:val="0"/>
            <w:vAlign w:val="center"/>
          </w:tcPr>
          <w:p w14:paraId="672BEFBC">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50</w:t>
            </w:r>
          </w:p>
        </w:tc>
        <w:tc>
          <w:tcPr>
            <w:tcW w:w="1772" w:type="dxa"/>
            <w:noWrap w:val="0"/>
            <w:vAlign w:val="center"/>
          </w:tcPr>
          <w:p w14:paraId="5F50B521">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60</w:t>
            </w:r>
          </w:p>
        </w:tc>
        <w:tc>
          <w:tcPr>
            <w:tcW w:w="1571" w:type="dxa"/>
            <w:noWrap w:val="0"/>
            <w:vAlign w:val="center"/>
          </w:tcPr>
          <w:p w14:paraId="7B41847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21.9</w:t>
            </w:r>
          </w:p>
        </w:tc>
      </w:tr>
      <w:tr w14:paraId="52A707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3" w:hRule="exact"/>
          <w:jc w:val="center"/>
        </w:trPr>
        <w:tc>
          <w:tcPr>
            <w:tcW w:w="323" w:type="pct"/>
            <w:vMerge w:val="continue"/>
            <w:noWrap w:val="0"/>
            <w:vAlign w:val="center"/>
          </w:tcPr>
          <w:p w14:paraId="38E3C48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095C3BAE">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575B2021">
            <w:pPr>
              <w:pStyle w:val="42"/>
              <w:keepNext w:val="0"/>
              <w:keepLines w:val="0"/>
              <w:suppressLineNumbers w:val="0"/>
              <w:bidi w:val="0"/>
              <w:spacing w:before="0" w:beforeAutospacing="0" w:after="0" w:afterAutospacing="0"/>
              <w:rPr>
                <w:rFonts w:hint="default"/>
                <w:highlight w:val="none"/>
                <w:lang w:eastAsia="zh-CN"/>
              </w:rPr>
            </w:pPr>
            <w:r>
              <w:rPr>
                <w:rFonts w:hint="eastAsia"/>
                <w:highlight w:val="none"/>
                <w:lang w:val="en-US" w:eastAsia="zh-CN"/>
              </w:rPr>
              <w:t>BOD</w:t>
            </w:r>
            <w:r>
              <w:rPr>
                <w:rFonts w:hint="eastAsia"/>
                <w:highlight w:val="none"/>
                <w:vertAlign w:val="subscript"/>
                <w:lang w:val="en-US" w:eastAsia="zh-CN"/>
              </w:rPr>
              <w:t>5</w:t>
            </w:r>
          </w:p>
        </w:tc>
        <w:tc>
          <w:tcPr>
            <w:tcW w:w="1861" w:type="dxa"/>
            <w:noWrap w:val="0"/>
            <w:vAlign w:val="center"/>
          </w:tcPr>
          <w:p w14:paraId="22738507">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10</w:t>
            </w:r>
          </w:p>
        </w:tc>
        <w:tc>
          <w:tcPr>
            <w:tcW w:w="1772" w:type="dxa"/>
            <w:noWrap w:val="0"/>
            <w:vAlign w:val="center"/>
          </w:tcPr>
          <w:p w14:paraId="7B3B1D3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12</w:t>
            </w:r>
          </w:p>
        </w:tc>
        <w:tc>
          <w:tcPr>
            <w:tcW w:w="1571" w:type="dxa"/>
            <w:noWrap w:val="0"/>
            <w:vAlign w:val="center"/>
          </w:tcPr>
          <w:p w14:paraId="76DFD77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4.38</w:t>
            </w:r>
          </w:p>
        </w:tc>
      </w:tr>
      <w:tr w14:paraId="11E53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3" w:hRule="exact"/>
          <w:jc w:val="center"/>
        </w:trPr>
        <w:tc>
          <w:tcPr>
            <w:tcW w:w="323" w:type="pct"/>
            <w:vMerge w:val="continue"/>
            <w:noWrap w:val="0"/>
            <w:vAlign w:val="center"/>
          </w:tcPr>
          <w:p w14:paraId="2950F59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1DF3E22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46E18E8A">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SS</w:t>
            </w:r>
          </w:p>
        </w:tc>
        <w:tc>
          <w:tcPr>
            <w:tcW w:w="1861" w:type="dxa"/>
            <w:noWrap w:val="0"/>
            <w:vAlign w:val="center"/>
          </w:tcPr>
          <w:p w14:paraId="3EA0DA23">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10</w:t>
            </w:r>
          </w:p>
        </w:tc>
        <w:tc>
          <w:tcPr>
            <w:tcW w:w="1772" w:type="dxa"/>
            <w:noWrap w:val="0"/>
            <w:vAlign w:val="center"/>
          </w:tcPr>
          <w:p w14:paraId="4FC0B94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12</w:t>
            </w:r>
          </w:p>
        </w:tc>
        <w:tc>
          <w:tcPr>
            <w:tcW w:w="1571" w:type="dxa"/>
            <w:noWrap w:val="0"/>
            <w:vAlign w:val="center"/>
          </w:tcPr>
          <w:p w14:paraId="3395E1E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4.38</w:t>
            </w:r>
          </w:p>
        </w:tc>
      </w:tr>
      <w:tr w14:paraId="03874D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83" w:hRule="exact"/>
          <w:jc w:val="center"/>
        </w:trPr>
        <w:tc>
          <w:tcPr>
            <w:tcW w:w="323" w:type="pct"/>
            <w:vMerge w:val="continue"/>
            <w:noWrap w:val="0"/>
            <w:vAlign w:val="center"/>
          </w:tcPr>
          <w:p w14:paraId="5F44235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77169757">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1F14DC8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NH</w:t>
            </w:r>
            <w:r>
              <w:rPr>
                <w:rFonts w:hint="eastAsia"/>
                <w:highlight w:val="none"/>
                <w:vertAlign w:val="subscript"/>
                <w:lang w:val="en-US" w:eastAsia="zh-CN"/>
              </w:rPr>
              <w:t>3</w:t>
            </w:r>
            <w:r>
              <w:rPr>
                <w:rFonts w:hint="default"/>
                <w:highlight w:val="none"/>
                <w:lang w:val="en-US" w:eastAsia="zh-CN"/>
              </w:rPr>
              <w:t>-N</w:t>
            </w:r>
          </w:p>
        </w:tc>
        <w:tc>
          <w:tcPr>
            <w:tcW w:w="1861" w:type="dxa"/>
            <w:noWrap w:val="0"/>
            <w:vAlign w:val="center"/>
          </w:tcPr>
          <w:p w14:paraId="639D2381">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5</w:t>
            </w:r>
          </w:p>
        </w:tc>
        <w:tc>
          <w:tcPr>
            <w:tcW w:w="1772" w:type="dxa"/>
            <w:noWrap w:val="0"/>
            <w:vAlign w:val="center"/>
          </w:tcPr>
          <w:p w14:paraId="7580C80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6</w:t>
            </w:r>
          </w:p>
        </w:tc>
        <w:tc>
          <w:tcPr>
            <w:tcW w:w="1571" w:type="dxa"/>
            <w:noWrap w:val="0"/>
            <w:vAlign w:val="center"/>
          </w:tcPr>
          <w:p w14:paraId="7D760B9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2.19</w:t>
            </w:r>
          </w:p>
        </w:tc>
      </w:tr>
      <w:tr w14:paraId="3F398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83" w:hRule="exact"/>
          <w:jc w:val="center"/>
        </w:trPr>
        <w:tc>
          <w:tcPr>
            <w:tcW w:w="323" w:type="pct"/>
            <w:vMerge w:val="continue"/>
            <w:noWrap w:val="0"/>
            <w:vAlign w:val="center"/>
          </w:tcPr>
          <w:p w14:paraId="23F1914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28106BD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6D60F68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TP</w:t>
            </w:r>
          </w:p>
        </w:tc>
        <w:tc>
          <w:tcPr>
            <w:tcW w:w="1861" w:type="dxa"/>
            <w:noWrap w:val="0"/>
            <w:vAlign w:val="center"/>
          </w:tcPr>
          <w:p w14:paraId="6662758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0.5</w:t>
            </w:r>
          </w:p>
        </w:tc>
        <w:tc>
          <w:tcPr>
            <w:tcW w:w="1772" w:type="dxa"/>
            <w:noWrap w:val="0"/>
            <w:vAlign w:val="center"/>
          </w:tcPr>
          <w:p w14:paraId="10EC078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0.6</w:t>
            </w:r>
          </w:p>
        </w:tc>
        <w:tc>
          <w:tcPr>
            <w:tcW w:w="1571" w:type="dxa"/>
            <w:noWrap w:val="0"/>
            <w:vAlign w:val="center"/>
          </w:tcPr>
          <w:p w14:paraId="7E0C7C5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0.219</w:t>
            </w:r>
          </w:p>
        </w:tc>
      </w:tr>
      <w:tr w14:paraId="000F67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83" w:hRule="exact"/>
          <w:jc w:val="center"/>
        </w:trPr>
        <w:tc>
          <w:tcPr>
            <w:tcW w:w="323" w:type="pct"/>
            <w:vMerge w:val="continue"/>
            <w:noWrap w:val="0"/>
            <w:vAlign w:val="center"/>
          </w:tcPr>
          <w:p w14:paraId="0FD9C534">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057B26B3">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4FD7CB2A">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动植物油</w:t>
            </w:r>
          </w:p>
        </w:tc>
        <w:tc>
          <w:tcPr>
            <w:tcW w:w="1861" w:type="dxa"/>
            <w:noWrap w:val="0"/>
            <w:vAlign w:val="center"/>
          </w:tcPr>
          <w:p w14:paraId="2B3D3346">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w:t>
            </w:r>
          </w:p>
        </w:tc>
        <w:tc>
          <w:tcPr>
            <w:tcW w:w="1772" w:type="dxa"/>
            <w:noWrap w:val="0"/>
            <w:vAlign w:val="center"/>
          </w:tcPr>
          <w:p w14:paraId="36D7A78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1.2</w:t>
            </w:r>
          </w:p>
        </w:tc>
        <w:tc>
          <w:tcPr>
            <w:tcW w:w="1571" w:type="dxa"/>
            <w:noWrap w:val="0"/>
            <w:vAlign w:val="center"/>
          </w:tcPr>
          <w:p w14:paraId="1059E1F5">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0.438</w:t>
            </w:r>
          </w:p>
        </w:tc>
      </w:tr>
      <w:tr w14:paraId="20519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83" w:hRule="exact"/>
          <w:jc w:val="center"/>
        </w:trPr>
        <w:tc>
          <w:tcPr>
            <w:tcW w:w="323" w:type="pct"/>
            <w:vMerge w:val="continue"/>
            <w:noWrap w:val="0"/>
            <w:vAlign w:val="center"/>
          </w:tcPr>
          <w:p w14:paraId="05810198">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787" w:type="pct"/>
            <w:vMerge w:val="continue"/>
            <w:noWrap w:val="0"/>
            <w:vAlign w:val="center"/>
          </w:tcPr>
          <w:p w14:paraId="1CC254CF">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1316" w:type="dxa"/>
            <w:noWrap w:val="0"/>
            <w:vAlign w:val="center"/>
          </w:tcPr>
          <w:p w14:paraId="01815A5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石油类</w:t>
            </w:r>
          </w:p>
        </w:tc>
        <w:tc>
          <w:tcPr>
            <w:tcW w:w="1861" w:type="dxa"/>
            <w:noWrap w:val="0"/>
            <w:vAlign w:val="center"/>
          </w:tcPr>
          <w:p w14:paraId="24B2B2B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w:t>
            </w:r>
          </w:p>
        </w:tc>
        <w:tc>
          <w:tcPr>
            <w:tcW w:w="1772" w:type="dxa"/>
            <w:noWrap w:val="0"/>
            <w:vAlign w:val="center"/>
          </w:tcPr>
          <w:p w14:paraId="63E24240">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1.2</w:t>
            </w:r>
          </w:p>
        </w:tc>
        <w:tc>
          <w:tcPr>
            <w:tcW w:w="1571" w:type="dxa"/>
            <w:noWrap w:val="0"/>
            <w:vAlign w:val="center"/>
          </w:tcPr>
          <w:p w14:paraId="046F2BA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0.438</w:t>
            </w:r>
          </w:p>
        </w:tc>
      </w:tr>
      <w:tr w14:paraId="5ADE3C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7" w:hRule="exact"/>
          <w:jc w:val="center"/>
        </w:trPr>
        <w:tc>
          <w:tcPr>
            <w:tcW w:w="1110" w:type="pct"/>
            <w:gridSpan w:val="2"/>
            <w:vMerge w:val="restart"/>
            <w:noWrap w:val="0"/>
            <w:vAlign w:val="center"/>
          </w:tcPr>
          <w:p w14:paraId="12FD8B2C">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r>
              <w:rPr>
                <w:rFonts w:hint="default" w:ascii="Times New Roman" w:hAnsi="Times New Roman" w:cs="Times New Roman"/>
                <w:color w:val="auto"/>
                <w:kern w:val="2"/>
                <w:highlight w:val="none"/>
                <w:u w:val="none" w:color="auto"/>
              </w:rPr>
              <w:t>全厂排放口合计</w:t>
            </w:r>
          </w:p>
        </w:tc>
        <w:tc>
          <w:tcPr>
            <w:tcW w:w="4949" w:type="dxa"/>
            <w:gridSpan w:val="3"/>
            <w:noWrap w:val="0"/>
            <w:vAlign w:val="center"/>
          </w:tcPr>
          <w:p w14:paraId="7DA7A159">
            <w:pPr>
              <w:pStyle w:val="42"/>
              <w:keepNext w:val="0"/>
              <w:keepLines w:val="0"/>
              <w:suppressLineNumbers w:val="0"/>
              <w:bidi w:val="0"/>
              <w:spacing w:before="0" w:beforeAutospacing="0" w:after="0" w:afterAutospacing="0"/>
              <w:rPr>
                <w:rFonts w:hint="default"/>
                <w:highlight w:val="none"/>
                <w:lang w:eastAsia="zh-CN"/>
              </w:rPr>
            </w:pPr>
            <w:r>
              <w:rPr>
                <w:rFonts w:hint="eastAsia"/>
                <w:highlight w:val="none"/>
                <w:lang w:val="en-US" w:eastAsia="zh-CN"/>
              </w:rPr>
              <w:t>COD</w:t>
            </w:r>
            <w:r>
              <w:rPr>
                <w:rFonts w:hint="eastAsia"/>
                <w:highlight w:val="none"/>
                <w:vertAlign w:val="subscript"/>
                <w:lang w:val="en-US" w:eastAsia="zh-CN"/>
              </w:rPr>
              <w:t>cr</w:t>
            </w:r>
          </w:p>
        </w:tc>
        <w:tc>
          <w:tcPr>
            <w:tcW w:w="1571" w:type="dxa"/>
            <w:noWrap w:val="0"/>
            <w:vAlign w:val="center"/>
          </w:tcPr>
          <w:p w14:paraId="4587EA9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21.9</w:t>
            </w:r>
          </w:p>
        </w:tc>
      </w:tr>
      <w:tr w14:paraId="3217DD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7" w:hRule="exact"/>
          <w:jc w:val="center"/>
        </w:trPr>
        <w:tc>
          <w:tcPr>
            <w:tcW w:w="1110" w:type="pct"/>
            <w:gridSpan w:val="2"/>
            <w:vMerge w:val="continue"/>
            <w:noWrap w:val="0"/>
            <w:vAlign w:val="center"/>
          </w:tcPr>
          <w:p w14:paraId="6702CC8B">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763C746B">
            <w:pPr>
              <w:pStyle w:val="42"/>
              <w:keepNext w:val="0"/>
              <w:keepLines w:val="0"/>
              <w:suppressLineNumbers w:val="0"/>
              <w:bidi w:val="0"/>
              <w:spacing w:before="0" w:beforeAutospacing="0" w:after="0" w:afterAutospacing="0"/>
              <w:rPr>
                <w:rFonts w:hint="default"/>
                <w:highlight w:val="none"/>
                <w:lang w:eastAsia="zh-CN"/>
              </w:rPr>
            </w:pPr>
            <w:r>
              <w:rPr>
                <w:rFonts w:hint="eastAsia"/>
                <w:highlight w:val="none"/>
                <w:lang w:val="en-US" w:eastAsia="zh-CN"/>
              </w:rPr>
              <w:t>BOD</w:t>
            </w:r>
            <w:r>
              <w:rPr>
                <w:rFonts w:hint="eastAsia"/>
                <w:highlight w:val="none"/>
                <w:vertAlign w:val="subscript"/>
                <w:lang w:val="en-US" w:eastAsia="zh-CN"/>
              </w:rPr>
              <w:t>5</w:t>
            </w:r>
          </w:p>
        </w:tc>
        <w:tc>
          <w:tcPr>
            <w:tcW w:w="1571" w:type="dxa"/>
            <w:noWrap w:val="0"/>
            <w:vAlign w:val="center"/>
          </w:tcPr>
          <w:p w14:paraId="1CF0B8C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4.38</w:t>
            </w:r>
          </w:p>
        </w:tc>
      </w:tr>
      <w:tr w14:paraId="161C6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7" w:hRule="exact"/>
          <w:jc w:val="center"/>
        </w:trPr>
        <w:tc>
          <w:tcPr>
            <w:tcW w:w="1110" w:type="pct"/>
            <w:gridSpan w:val="2"/>
            <w:vMerge w:val="continue"/>
            <w:noWrap w:val="0"/>
            <w:vAlign w:val="center"/>
          </w:tcPr>
          <w:p w14:paraId="41AC3F46">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0866B049">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SS</w:t>
            </w:r>
          </w:p>
        </w:tc>
        <w:tc>
          <w:tcPr>
            <w:tcW w:w="1571" w:type="dxa"/>
            <w:noWrap w:val="0"/>
            <w:vAlign w:val="center"/>
          </w:tcPr>
          <w:p w14:paraId="3085DD81">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4.38</w:t>
            </w:r>
          </w:p>
        </w:tc>
      </w:tr>
      <w:tr w14:paraId="18F55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1" w:hRule="exact"/>
          <w:jc w:val="center"/>
        </w:trPr>
        <w:tc>
          <w:tcPr>
            <w:tcW w:w="1110" w:type="pct"/>
            <w:gridSpan w:val="2"/>
            <w:vMerge w:val="continue"/>
            <w:noWrap w:val="0"/>
            <w:vAlign w:val="center"/>
          </w:tcPr>
          <w:p w14:paraId="6D95A390">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0C5E3B3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NH</w:t>
            </w:r>
            <w:r>
              <w:rPr>
                <w:rFonts w:hint="eastAsia"/>
                <w:highlight w:val="none"/>
                <w:vertAlign w:val="subscript"/>
                <w:lang w:val="en-US" w:eastAsia="zh-CN"/>
              </w:rPr>
              <w:t>3</w:t>
            </w:r>
            <w:r>
              <w:rPr>
                <w:rFonts w:hint="default"/>
                <w:highlight w:val="none"/>
                <w:lang w:val="en-US" w:eastAsia="zh-CN"/>
              </w:rPr>
              <w:t>-N</w:t>
            </w:r>
          </w:p>
        </w:tc>
        <w:tc>
          <w:tcPr>
            <w:tcW w:w="1571" w:type="dxa"/>
            <w:noWrap w:val="0"/>
            <w:vAlign w:val="center"/>
          </w:tcPr>
          <w:p w14:paraId="0BB3482E">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2.19</w:t>
            </w:r>
          </w:p>
        </w:tc>
      </w:tr>
      <w:tr w14:paraId="664F6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1" w:hRule="exact"/>
          <w:jc w:val="center"/>
        </w:trPr>
        <w:tc>
          <w:tcPr>
            <w:tcW w:w="1110" w:type="pct"/>
            <w:gridSpan w:val="2"/>
            <w:vMerge w:val="continue"/>
            <w:noWrap w:val="0"/>
            <w:vAlign w:val="center"/>
          </w:tcPr>
          <w:p w14:paraId="16EF411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528CACB5">
            <w:pPr>
              <w:pStyle w:val="42"/>
              <w:keepNext w:val="0"/>
              <w:keepLines w:val="0"/>
              <w:suppressLineNumbers w:val="0"/>
              <w:bidi w:val="0"/>
              <w:spacing w:before="0" w:beforeAutospacing="0" w:after="0" w:afterAutospacing="0"/>
              <w:rPr>
                <w:rFonts w:hint="default"/>
                <w:highlight w:val="none"/>
              </w:rPr>
            </w:pPr>
            <w:r>
              <w:rPr>
                <w:rFonts w:hint="default"/>
                <w:highlight w:val="none"/>
                <w:lang w:val="en-US" w:eastAsia="zh-CN"/>
              </w:rPr>
              <w:t>TP</w:t>
            </w:r>
          </w:p>
        </w:tc>
        <w:tc>
          <w:tcPr>
            <w:tcW w:w="1571" w:type="dxa"/>
            <w:noWrap w:val="0"/>
            <w:vAlign w:val="center"/>
          </w:tcPr>
          <w:p w14:paraId="2E12E0D4">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0.219</w:t>
            </w:r>
          </w:p>
        </w:tc>
      </w:tr>
      <w:tr w14:paraId="27BD47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1" w:hRule="exact"/>
          <w:jc w:val="center"/>
        </w:trPr>
        <w:tc>
          <w:tcPr>
            <w:tcW w:w="1110" w:type="pct"/>
            <w:gridSpan w:val="2"/>
            <w:vMerge w:val="continue"/>
            <w:noWrap w:val="0"/>
            <w:vAlign w:val="center"/>
          </w:tcPr>
          <w:p w14:paraId="20A0CFED">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002F2B0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动植物油</w:t>
            </w:r>
          </w:p>
        </w:tc>
        <w:tc>
          <w:tcPr>
            <w:tcW w:w="1571" w:type="dxa"/>
            <w:noWrap w:val="0"/>
            <w:vAlign w:val="center"/>
          </w:tcPr>
          <w:p w14:paraId="74307B6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0.438</w:t>
            </w:r>
          </w:p>
        </w:tc>
      </w:tr>
      <w:tr w14:paraId="6E2268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1" w:hRule="exact"/>
          <w:jc w:val="center"/>
        </w:trPr>
        <w:tc>
          <w:tcPr>
            <w:tcW w:w="1110" w:type="pct"/>
            <w:gridSpan w:val="2"/>
            <w:vMerge w:val="continue"/>
            <w:noWrap w:val="0"/>
            <w:vAlign w:val="center"/>
          </w:tcPr>
          <w:p w14:paraId="6BECCDD1">
            <w:pPr>
              <w:pStyle w:val="43"/>
              <w:keepNext w:val="0"/>
              <w:keepLines w:val="0"/>
              <w:widowControl/>
              <w:suppressLineNumbers w:val="0"/>
              <w:spacing w:before="0" w:beforeAutospacing="0" w:after="0" w:afterAutospacing="0"/>
              <w:ind w:left="0"/>
              <w:rPr>
                <w:rFonts w:hint="default" w:ascii="Times New Roman" w:hAnsi="Times New Roman" w:cs="Times New Roman"/>
                <w:color w:val="auto"/>
                <w:kern w:val="2"/>
                <w:highlight w:val="none"/>
                <w:u w:val="none" w:color="auto"/>
              </w:rPr>
            </w:pPr>
          </w:p>
        </w:tc>
        <w:tc>
          <w:tcPr>
            <w:tcW w:w="4949" w:type="dxa"/>
            <w:gridSpan w:val="3"/>
            <w:noWrap w:val="0"/>
            <w:vAlign w:val="center"/>
          </w:tcPr>
          <w:p w14:paraId="7892140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石油类</w:t>
            </w:r>
          </w:p>
        </w:tc>
        <w:tc>
          <w:tcPr>
            <w:tcW w:w="1571" w:type="dxa"/>
            <w:noWrap w:val="0"/>
            <w:vAlign w:val="center"/>
          </w:tcPr>
          <w:p w14:paraId="387244E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0.438</w:t>
            </w:r>
          </w:p>
        </w:tc>
      </w:tr>
    </w:tbl>
    <w:p w14:paraId="32ABAE53">
      <w:pPr>
        <w:autoSpaceDE w:val="0"/>
        <w:autoSpaceDN w:val="0"/>
        <w:adjustRightInd w:val="0"/>
        <w:ind w:firstLine="426" w:firstLineChars="177"/>
        <w:jc w:val="left"/>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w:t>⑥评价结论</w:t>
      </w:r>
    </w:p>
    <w:p w14:paraId="0AE48E67">
      <w:pPr>
        <w:ind w:firstLine="480"/>
        <w:rPr>
          <w:rFonts w:hint="default" w:ascii="Times New Roman" w:hAnsi="Times New Roman" w:cs="Times New Roman"/>
          <w:highlight w:val="none"/>
        </w:rPr>
      </w:pPr>
      <w:bookmarkStart w:id="157" w:name="_Toc28374"/>
      <w:r>
        <w:rPr>
          <w:rFonts w:hint="default" w:ascii="Times New Roman" w:hAnsi="Times New Roman" w:cs="Times New Roman"/>
          <w:kern w:val="0"/>
          <w:highlight w:val="none"/>
        </w:rPr>
        <w:t>综上所述，项目地表水环境影响评价等级为三级B，项目水污染控制和环境影响减缓措施技术可行，经济合理，依托湘阴县第二污水处理厂进行处理从水量、水质上分析均可行，对地表水环境的影响是可接受的。</w:t>
      </w:r>
    </w:p>
    <w:p w14:paraId="36BF9EA2">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营运期地下水环境影响分析</w:t>
      </w:r>
      <w:bookmarkEnd w:id="157"/>
    </w:p>
    <w:p w14:paraId="083DDF7F">
      <w:pPr>
        <w:pStyle w:val="7"/>
        <w:bidi w:val="0"/>
        <w:ind w:left="-480" w:leftChars="0" w:firstLineChars="0"/>
        <w:rPr>
          <w:rFonts w:hint="default" w:ascii="Times New Roman" w:hAnsi="Times New Roman" w:cs="Times New Roman"/>
          <w:color w:val="auto"/>
          <w:highlight w:val="none"/>
          <w:u w:val="none" w:color="auto"/>
        </w:rPr>
      </w:pPr>
      <w:bookmarkStart w:id="158" w:name="_Toc27703"/>
      <w:r>
        <w:rPr>
          <w:rFonts w:hint="default" w:ascii="Times New Roman" w:hAnsi="Times New Roman" w:cs="Times New Roman"/>
          <w:color w:val="auto"/>
          <w:highlight w:val="none"/>
          <w:u w:val="none" w:color="auto"/>
        </w:rPr>
        <w:t>水文地质概况</w:t>
      </w:r>
    </w:p>
    <w:p w14:paraId="2D062E4A">
      <w:pPr>
        <w:bidi w:val="0"/>
        <w:rPr>
          <w:rFonts w:hint="default"/>
          <w:lang w:val="en-US" w:eastAsia="zh-CN"/>
        </w:rPr>
      </w:pPr>
      <w:r>
        <w:rPr>
          <w:rFonts w:hint="default"/>
          <w:lang w:val="en-US" w:eastAsia="zh-CN"/>
        </w:rPr>
        <w:t>根据区域水文地质资料，本项目水文地质情况如下。</w:t>
      </w:r>
    </w:p>
    <w:p w14:paraId="0786C307">
      <w:pPr>
        <w:bidi w:val="0"/>
        <w:rPr>
          <w:rFonts w:hint="default"/>
          <w:lang w:val="en-US" w:eastAsia="zh-CN"/>
        </w:rPr>
      </w:pPr>
      <w:r>
        <w:rPr>
          <w:rFonts w:hint="default"/>
          <w:lang w:val="en-US" w:eastAsia="zh-CN"/>
        </w:rPr>
        <w:t>（1）地形地貌特征</w:t>
      </w:r>
    </w:p>
    <w:p w14:paraId="7C544B22">
      <w:pPr>
        <w:bidi w:val="0"/>
        <w:rPr>
          <w:rFonts w:hint="default"/>
          <w:lang w:val="en-US" w:eastAsia="zh-CN"/>
        </w:rPr>
      </w:pPr>
      <w:r>
        <w:rPr>
          <w:rFonts w:hint="default"/>
          <w:lang w:val="en-US" w:eastAsia="zh-CN"/>
        </w:rPr>
        <w:t>湘阴县地貌呈低山、岗地、平原三种形态，具有三大特征：其一，地势东南高，西北低。位居幕阜山余脉走向洞庭湖凹陷处的过渡带上，地势自东南向西北递降，形成一个微向洞庭湖盆中心的倾斜面。最高处青山庵，海拔552.4m，最低处濠河口河底，低于黄海水平面4.3 米。其二，以滨湖平原为主体，呈块状分布。地处湘江大断裂带，构成低山、岗地；西盘下切，形成滨湖平原。除去江河湖泊及其它水面，滨湖、江河、溪谷3种平原共702.11k</w:t>
      </w:r>
      <w:r>
        <w:rPr>
          <w:rFonts w:hint="eastAsia"/>
          <w:lang w:val="en-US" w:eastAsia="zh-CN"/>
        </w:rPr>
        <w:t>m</w:t>
      </w:r>
      <w:r>
        <w:rPr>
          <w:rFonts w:hint="eastAsia"/>
          <w:vertAlign w:val="superscript"/>
          <w:lang w:val="en-US" w:eastAsia="zh-CN"/>
        </w:rPr>
        <w:t>2</w:t>
      </w:r>
      <w:r>
        <w:rPr>
          <w:rFonts w:hint="default"/>
          <w:lang w:val="en-US" w:eastAsia="zh-CN"/>
        </w:rPr>
        <w:t>，占全县总面积的44.4%，岗地占13.59%，低山占1.51%。其三，河湖交汇，水域广阔。山岗地区水系发育不良，北部平原、湖洲地区河湖交汇。</w:t>
      </w:r>
    </w:p>
    <w:p w14:paraId="3E0D1666">
      <w:pPr>
        <w:bidi w:val="0"/>
        <w:rPr>
          <w:rFonts w:hint="default"/>
          <w:lang w:val="en-US" w:eastAsia="zh-CN"/>
        </w:rPr>
      </w:pPr>
      <w:r>
        <w:rPr>
          <w:rFonts w:hint="default"/>
          <w:lang w:val="en-US" w:eastAsia="zh-CN"/>
        </w:rPr>
        <w:t>本项目拟场地位于岳阳市湘阴县，大道南侧，地形总体上南高北低，场地</w:t>
      </w:r>
      <w:r>
        <w:rPr>
          <w:rFonts w:hint="eastAsia"/>
          <w:lang w:val="en-US" w:eastAsia="zh-CN"/>
        </w:rPr>
        <w:t>目前已平整</w:t>
      </w:r>
      <w:r>
        <w:rPr>
          <w:rFonts w:hint="default"/>
          <w:lang w:val="en-US" w:eastAsia="zh-CN"/>
        </w:rPr>
        <w:t>。</w:t>
      </w:r>
    </w:p>
    <w:p w14:paraId="26193754">
      <w:pPr>
        <w:bidi w:val="0"/>
        <w:rPr>
          <w:rFonts w:hint="default"/>
          <w:lang w:val="en-US" w:eastAsia="zh-CN"/>
        </w:rPr>
      </w:pPr>
      <w:r>
        <w:rPr>
          <w:rFonts w:hint="default"/>
          <w:lang w:val="en-US" w:eastAsia="zh-CN"/>
        </w:rPr>
        <w:t>（2）地层岩性</w:t>
      </w:r>
    </w:p>
    <w:p w14:paraId="0313FB16">
      <w:pPr>
        <w:bidi w:val="0"/>
        <w:rPr>
          <w:rFonts w:hint="default"/>
          <w:lang w:val="en-US" w:eastAsia="zh-CN"/>
        </w:rPr>
      </w:pPr>
      <w:r>
        <w:rPr>
          <w:rFonts w:hint="default"/>
          <w:lang w:val="en-US" w:eastAsia="zh-CN"/>
        </w:rPr>
        <w:t>拟建场地岩土层组成主要为第四系全新统素填土、淤泥质粉质黏土、粉质黏土、砂质黏性土及燕山期花岗岩。根据本次钻探揭示，勘探深度范围内地层详细描述如下：</w:t>
      </w:r>
    </w:p>
    <w:p w14:paraId="6FB662D0">
      <w:pPr>
        <w:bidi w:val="0"/>
        <w:rPr>
          <w:rFonts w:hint="default"/>
          <w:lang w:val="en-US" w:eastAsia="zh-CN"/>
        </w:rPr>
      </w:pPr>
      <w:r>
        <w:rPr>
          <w:rFonts w:hint="default"/>
          <w:lang w:val="en-US" w:eastAsia="zh-CN"/>
        </w:rPr>
        <w:t>①素填土（Q4ml）：红褐色，稍湿，松散-稍密，主要由黏性土回填而成，局部可见树根及建筑垃圾，机械堆填，堆填年限小于5年。拟建场地内大部分钻孔遇见该层，层厚1.5～11.2m，分布不均匀。</w:t>
      </w:r>
    </w:p>
    <w:p w14:paraId="5CAB81DC">
      <w:pPr>
        <w:bidi w:val="0"/>
        <w:rPr>
          <w:rFonts w:hint="default"/>
          <w:lang w:val="en-US" w:eastAsia="zh-CN"/>
        </w:rPr>
      </w:pPr>
      <w:r>
        <w:rPr>
          <w:rFonts w:hint="default"/>
          <w:lang w:val="en-US" w:eastAsia="zh-CN"/>
        </w:rPr>
        <w:t>②1淤泥质粉质黏土（Q4l）：灰褐色，成分以黏粒为主，含有机质，流塑-软塑，无摇震反应，有腥臭味，场地内局部分布。</w:t>
      </w:r>
    </w:p>
    <w:p w14:paraId="545D7ECB">
      <w:pPr>
        <w:bidi w:val="0"/>
        <w:rPr>
          <w:rFonts w:hint="default"/>
          <w:lang w:val="en-US" w:eastAsia="zh-CN"/>
        </w:rPr>
      </w:pPr>
      <w:r>
        <w:rPr>
          <w:rFonts w:hint="default"/>
          <w:lang w:val="en-US" w:eastAsia="zh-CN"/>
        </w:rPr>
        <w:t>②2粉质黏土（Q4al）：黄褐色，软塑，摇振无反应，稍有光泽,干强度中等， 韧性中等。场地内局部分布。</w:t>
      </w:r>
    </w:p>
    <w:p w14:paraId="261C359A">
      <w:pPr>
        <w:bidi w:val="0"/>
        <w:rPr>
          <w:rFonts w:hint="default"/>
          <w:lang w:val="en-US" w:eastAsia="zh-CN"/>
        </w:rPr>
      </w:pPr>
      <w:r>
        <w:rPr>
          <w:rFonts w:hint="default"/>
          <w:lang w:val="en-US" w:eastAsia="zh-CN"/>
        </w:rPr>
        <w:t>②3粉质黏土（Q4al）：黄褐色，硬塑为主，局部可塑，摇振无反应，稍有光泽，干强度中等，韧性中等。拟建场地内普遍分布。</w:t>
      </w:r>
    </w:p>
    <w:p w14:paraId="3DF15C02">
      <w:pPr>
        <w:bidi w:val="0"/>
        <w:rPr>
          <w:rFonts w:hint="default"/>
          <w:lang w:val="en-US" w:eastAsia="zh-CN"/>
        </w:rPr>
      </w:pPr>
      <w:r>
        <w:rPr>
          <w:rFonts w:hint="default"/>
          <w:lang w:val="en-US" w:eastAsia="zh-CN"/>
        </w:rPr>
        <w:t>③砂质黏性土（Q4al）：灰黄色，硬塑，局部硬可塑，约含5～15%的砂，砂粒径一般为0.2～2mm，成分为石英、长石颗粒，局部夹白色高岭土，具有显著湿化特征，遇水浸泡即崩解为粉状，系下伏花岗岩风化残积而成，摇振不反应，稍有光泽，干强度中等，韧性中等。拟建场地内普遍分布，岩心多呈散状，局部饼状。</w:t>
      </w:r>
    </w:p>
    <w:p w14:paraId="2EAB10DF">
      <w:pPr>
        <w:bidi w:val="0"/>
        <w:rPr>
          <w:rFonts w:hint="default"/>
          <w:lang w:val="en-US" w:eastAsia="zh-CN"/>
        </w:rPr>
      </w:pPr>
      <w:r>
        <w:rPr>
          <w:rFonts w:hint="default"/>
          <w:lang w:val="en-US" w:eastAsia="zh-CN"/>
        </w:rPr>
        <w:t>④1全风化花岗岩（K）：肉红色、灰黄色、灰白色，原岩结构尚可辩认，岩石已完全风化呈白色高岭土混中细砂或中密中粗砂状，风化不均匀，可见长石、石英、云母片等，冲击较困难，岩芯用手捏易碎。拟建场地内普遍分布。</w:t>
      </w:r>
    </w:p>
    <w:p w14:paraId="2DCFFE2B">
      <w:pPr>
        <w:bidi w:val="0"/>
        <w:rPr>
          <w:rFonts w:hint="default"/>
          <w:lang w:val="en-US" w:eastAsia="zh-CN"/>
        </w:rPr>
      </w:pPr>
      <w:r>
        <w:rPr>
          <w:rFonts w:hint="default"/>
          <w:lang w:val="en-US" w:eastAsia="zh-CN"/>
        </w:rPr>
        <w:t>④2强风化花岗岩（K）：灰白色、灰褐色，粗粒结构，块状构造，风化很发育，可见长石、石英、云母片等矿物成分，岩芯多呈碎块状及短柱状，岩体极破碎，岩质软，岩体基本质量等级为Ⅴ级，锤击易碎。拟建场地内普遍分布。</w:t>
      </w:r>
    </w:p>
    <w:p w14:paraId="31759147">
      <w:pPr>
        <w:bidi w:val="0"/>
        <w:rPr>
          <w:rFonts w:hint="default"/>
          <w:lang w:val="en-US" w:eastAsia="zh-CN"/>
        </w:rPr>
      </w:pPr>
      <w:r>
        <w:rPr>
          <w:rFonts w:hint="default"/>
          <w:lang w:val="en-US" w:eastAsia="zh-CN"/>
        </w:rPr>
        <w:t>（3）地质构造</w:t>
      </w:r>
    </w:p>
    <w:p w14:paraId="2040CEF2">
      <w:pPr>
        <w:bidi w:val="0"/>
        <w:rPr>
          <w:rFonts w:hint="default"/>
          <w:lang w:val="en-US" w:eastAsia="zh-CN"/>
        </w:rPr>
      </w:pPr>
      <w:r>
        <w:rPr>
          <w:rFonts w:hint="default"/>
          <w:lang w:val="en-US" w:eastAsia="zh-CN"/>
        </w:rPr>
        <w:t>据广州地震大队湖南地震队一九七三年调查，本场地属洞庭湖东侧北北东向构造带，它由区域性北北东向洪湖-岳阳-鹿角断裂、宁乡-崇阳断裂、长寿-永安断裂和汨罗-宁乡红色盆地、长沙-平江红色盆地所构成。</w:t>
      </w:r>
    </w:p>
    <w:p w14:paraId="692F7B5B">
      <w:pPr>
        <w:bidi w:val="0"/>
        <w:rPr>
          <w:rFonts w:hint="default"/>
          <w:lang w:val="en-US" w:eastAsia="zh-CN"/>
        </w:rPr>
      </w:pPr>
      <w:r>
        <w:rPr>
          <w:rFonts w:hint="default"/>
          <w:lang w:val="en-US" w:eastAsia="zh-CN"/>
        </w:rPr>
        <w:t xml:space="preserve">本次勘察在钻孔控制范围及深度内，未发现断裂构造及新构造运动痕迹。场地内地势整体平坦，现场调查未见断裂等不良地质现象，属于稳定地段。 </w:t>
      </w:r>
    </w:p>
    <w:p w14:paraId="29CB6097">
      <w:pPr>
        <w:bidi w:val="0"/>
        <w:rPr>
          <w:rFonts w:hint="default"/>
          <w:lang w:val="en-US" w:eastAsia="zh-CN"/>
        </w:rPr>
      </w:pPr>
      <w:r>
        <w:rPr>
          <w:rFonts w:hint="default"/>
          <w:lang w:val="en-US" w:eastAsia="zh-CN"/>
        </w:rPr>
        <w:t>（3）地下水类型、埋深、补给和排泄条件</w:t>
      </w:r>
    </w:p>
    <w:p w14:paraId="046E9BA1">
      <w:pPr>
        <w:bidi w:val="0"/>
        <w:rPr>
          <w:rFonts w:hint="default"/>
          <w:lang w:val="en-US" w:eastAsia="zh-CN"/>
        </w:rPr>
      </w:pPr>
      <w:r>
        <w:rPr>
          <w:rFonts w:hint="default"/>
          <w:lang w:val="en-US" w:eastAsia="zh-CN"/>
        </w:rPr>
        <w:t>①地下水类型、分布及赋存条件</w:t>
      </w:r>
    </w:p>
    <w:p w14:paraId="078A4E07">
      <w:pPr>
        <w:bidi w:val="0"/>
        <w:rPr>
          <w:rFonts w:hint="default"/>
          <w:lang w:val="en-US" w:eastAsia="zh-CN"/>
        </w:rPr>
      </w:pPr>
      <w:r>
        <w:rPr>
          <w:rFonts w:hint="default"/>
          <w:lang w:val="en-US" w:eastAsia="zh-CN"/>
        </w:rPr>
        <w:t>洞庭湖盆地平原广泛分布第四系松散岩类孔隙含水层，评估区第四系平均厚度超过130m，松散岩类孔隙承压水是县城及周边地区最主要的含水层类型。</w:t>
      </w:r>
    </w:p>
    <w:p w14:paraId="0BA174EF">
      <w:pPr>
        <w:bidi w:val="0"/>
        <w:rPr>
          <w:rFonts w:hint="default"/>
          <w:lang w:val="en-US" w:eastAsia="zh-CN"/>
        </w:rPr>
      </w:pPr>
      <w:r>
        <w:rPr>
          <w:rFonts w:hint="default"/>
          <w:lang w:val="en-US" w:eastAsia="zh-CN"/>
        </w:rPr>
        <w:t>在评估区范围内，各层分布连续、稳定，主要含水层包括中更新统含砾砂层、下更新统中粉细砂和砂砾层。</w:t>
      </w:r>
    </w:p>
    <w:p w14:paraId="147EF718">
      <w:pPr>
        <w:bidi w:val="0"/>
        <w:rPr>
          <w:rFonts w:hint="default"/>
          <w:lang w:val="en-US" w:eastAsia="zh-CN"/>
        </w:rPr>
      </w:pPr>
      <w:r>
        <w:rPr>
          <w:rFonts w:hint="default"/>
          <w:lang w:val="en-US" w:eastAsia="zh-CN"/>
        </w:rPr>
        <w:t>1、中更新统含水层</w:t>
      </w:r>
    </w:p>
    <w:p w14:paraId="7591B400">
      <w:pPr>
        <w:bidi w:val="0"/>
        <w:rPr>
          <w:rFonts w:hint="default"/>
          <w:lang w:val="en-US" w:eastAsia="zh-CN"/>
        </w:rPr>
      </w:pPr>
      <w:r>
        <w:rPr>
          <w:rFonts w:hint="default"/>
          <w:lang w:val="en-US" w:eastAsia="zh-CN"/>
        </w:rPr>
        <w:t>由于评估区全新统地层分布范围非常有限，因此中更新统含水层是评估区最上层含水层，含水层介质主要为含砾砂层，平均厚度约为35m。评估区该含水层水量丰富，单井水量可达1000</w:t>
      </w:r>
      <w:r>
        <w:rPr>
          <w:rFonts w:hint="eastAsia"/>
          <w:lang w:val="en-US" w:eastAsia="zh-CN"/>
        </w:rPr>
        <w:t>m</w:t>
      </w:r>
      <w:r>
        <w:rPr>
          <w:rFonts w:hint="eastAsia"/>
          <w:vertAlign w:val="superscript"/>
          <w:lang w:val="en-US" w:eastAsia="zh-CN"/>
        </w:rPr>
        <w:t>3</w:t>
      </w:r>
      <w:r>
        <w:rPr>
          <w:rFonts w:hint="default"/>
          <w:lang w:val="en-US" w:eastAsia="zh-CN"/>
        </w:rPr>
        <w:t>/d，水化学类型为重碳酸钙和重碳酸钙镁型，矿化度在0.22-0.71g/L。</w:t>
      </w:r>
    </w:p>
    <w:p w14:paraId="22DBA413">
      <w:pPr>
        <w:bidi w:val="0"/>
        <w:rPr>
          <w:rFonts w:hint="default"/>
          <w:lang w:val="en-US" w:eastAsia="zh-CN"/>
        </w:rPr>
      </w:pPr>
      <w:r>
        <w:rPr>
          <w:rFonts w:hint="default"/>
          <w:lang w:val="en-US" w:eastAsia="zh-CN"/>
        </w:rPr>
        <w:t>2、下更新统含水层</w:t>
      </w:r>
    </w:p>
    <w:p w14:paraId="5253B9A7">
      <w:pPr>
        <w:bidi w:val="0"/>
        <w:rPr>
          <w:rFonts w:hint="default"/>
          <w:lang w:val="en-US" w:eastAsia="zh-CN"/>
        </w:rPr>
      </w:pPr>
      <w:r>
        <w:rPr>
          <w:rFonts w:hint="default"/>
          <w:lang w:val="en-US" w:eastAsia="zh-CN"/>
        </w:rPr>
        <w:t>评估区下更新统地层主要沉积于更新世早期晚时。由于地壳活动，此时期盆地区地面发生较大幅度的沉降，沉积物发生较大变化，多层往复式砂砾石和砂质粘土类沉积组合是本时期最大的特征。该层呈一定的胶结形态，因此含水性一般，但是厚度大，评估区该含水层平均厚度在65m左右。受评估区东部花岗岩体的影响，该层砂砾石成分多为石英、长石。该层单井涌水量也可达1000</w:t>
      </w:r>
      <w:r>
        <w:rPr>
          <w:rFonts w:hint="eastAsia"/>
          <w:lang w:val="en-US" w:eastAsia="zh-CN"/>
        </w:rPr>
        <w:t>m</w:t>
      </w:r>
      <w:r>
        <w:rPr>
          <w:rFonts w:hint="eastAsia"/>
          <w:vertAlign w:val="superscript"/>
          <w:lang w:val="en-US" w:eastAsia="zh-CN"/>
        </w:rPr>
        <w:t>3</w:t>
      </w:r>
      <w:r>
        <w:rPr>
          <w:rFonts w:hint="default"/>
          <w:lang w:val="en-US" w:eastAsia="zh-CN"/>
        </w:rPr>
        <w:t>/d。</w:t>
      </w:r>
    </w:p>
    <w:p w14:paraId="3DCBF00C">
      <w:pPr>
        <w:bidi w:val="0"/>
        <w:rPr>
          <w:rFonts w:hint="default"/>
          <w:lang w:val="en-US" w:eastAsia="zh-CN"/>
        </w:rPr>
      </w:pPr>
      <w:r>
        <w:rPr>
          <w:rFonts w:hint="default"/>
          <w:lang w:val="en-US" w:eastAsia="zh-CN"/>
        </w:rPr>
        <w:t>本次勘察期间测得上层滞水水位埋深为0.5～7.5m，根据区域资料，地下水水位年变化幅度为2～4m。</w:t>
      </w:r>
    </w:p>
    <w:p w14:paraId="6120AEA4">
      <w:pPr>
        <w:bidi w:val="0"/>
        <w:rPr>
          <w:rFonts w:hint="default"/>
          <w:lang w:val="en-US" w:eastAsia="zh-CN"/>
        </w:rPr>
      </w:pPr>
      <w:r>
        <w:rPr>
          <w:rFonts w:hint="default"/>
          <w:lang w:val="en-US" w:eastAsia="zh-CN"/>
        </w:rPr>
        <w:t>②地下水补给、径流、排条件</w:t>
      </w:r>
    </w:p>
    <w:p w14:paraId="5131C28C">
      <w:pPr>
        <w:bidi w:val="0"/>
        <w:rPr>
          <w:rFonts w:hint="default"/>
          <w:lang w:val="en-US" w:eastAsia="zh-CN"/>
        </w:rPr>
      </w:pPr>
      <w:r>
        <w:rPr>
          <w:rFonts w:hint="default"/>
          <w:lang w:val="en-US" w:eastAsia="zh-CN"/>
        </w:rPr>
        <w:t>1、地下水补给</w:t>
      </w:r>
    </w:p>
    <w:p w14:paraId="6BEDD3C4">
      <w:pPr>
        <w:bidi w:val="0"/>
        <w:rPr>
          <w:rFonts w:hint="default"/>
          <w:lang w:val="en-US" w:eastAsia="zh-CN"/>
        </w:rPr>
      </w:pPr>
      <w:r>
        <w:rPr>
          <w:rFonts w:hint="default"/>
          <w:lang w:val="en-US" w:eastAsia="zh-CN"/>
        </w:rPr>
        <w:t>评估区东部为丘岗区，西部为洞庭湖腹地。从整体上看，湖盆底为相对不透水基岩，因而从整体上看区内地下水径流方向是自东部丘岗区至西部洞庭湖。</w:t>
      </w:r>
    </w:p>
    <w:p w14:paraId="5ACC52BB">
      <w:pPr>
        <w:bidi w:val="0"/>
        <w:rPr>
          <w:rFonts w:hint="default"/>
          <w:lang w:val="en-US" w:eastAsia="zh-CN"/>
        </w:rPr>
      </w:pPr>
      <w:r>
        <w:rPr>
          <w:rFonts w:hint="default"/>
          <w:lang w:val="en-US" w:eastAsia="zh-CN"/>
        </w:rPr>
        <w:t>评估区地下水主要的补给来源主要包括大气降水、地表水入渗、东部丘岗区地下水侧向入渗等。大气降水入渗量的多少与降雨量、降雨强度及地形、地貌、地表土层性质、包气带厚度等相关。在评估区范围内，表层分布连续厚层粘土，渗透系数较低。工作区地表普遍分布粉质粘土，包气带厚度一般在3m以上，其地层入渗条件较差。</w:t>
      </w:r>
    </w:p>
    <w:p w14:paraId="33409FD9">
      <w:pPr>
        <w:bidi w:val="0"/>
        <w:rPr>
          <w:rFonts w:hint="default"/>
          <w:lang w:val="en-US" w:eastAsia="zh-CN"/>
        </w:rPr>
      </w:pPr>
      <w:r>
        <w:rPr>
          <w:rFonts w:hint="default"/>
          <w:lang w:val="en-US" w:eastAsia="zh-CN"/>
        </w:rPr>
        <w:t>一般来讲，地表水体底部的地质条件决定地表水对地下水的补给能力。湘江东支（湘阴）多年月平均水位为26.17m，平均水位约高于湘江水位1m；湘江多年平均水深约为6.0m，即湘江河床底标高在20m左右。区内河流（如湘江）、湖泊（如）均未切穿更新统粘土层，没有切割含水层，因此区域地表水体对地下水没有直接的补给作用。</w:t>
      </w:r>
    </w:p>
    <w:p w14:paraId="1903C886">
      <w:pPr>
        <w:bidi w:val="0"/>
        <w:rPr>
          <w:rFonts w:hint="default"/>
          <w:lang w:val="en-US" w:eastAsia="zh-CN"/>
        </w:rPr>
      </w:pPr>
      <w:r>
        <w:rPr>
          <w:rFonts w:hint="default"/>
          <w:lang w:val="en-US" w:eastAsia="zh-CN"/>
        </w:rPr>
        <w:t>从地下水流场来看，东部山区是评估区地下水系统的重要补给区。丘岗区发生降雨后，经地表入渗至裂隙含水层，裂隙水受地形控制向西部径流，补给湖区地下水。由于湘阴县城东部紧靠洞庭湖凹陷断裂，因此其水力坡度较大，径流条件较好。</w:t>
      </w:r>
    </w:p>
    <w:p w14:paraId="50E62A43">
      <w:pPr>
        <w:bidi w:val="0"/>
        <w:rPr>
          <w:rFonts w:hint="default"/>
          <w:lang w:val="en-US" w:eastAsia="zh-CN"/>
        </w:rPr>
      </w:pPr>
      <w:r>
        <w:rPr>
          <w:rFonts w:hint="default"/>
          <w:lang w:val="en-US" w:eastAsia="zh-CN"/>
        </w:rPr>
        <w:t>2、地下水径流</w:t>
      </w:r>
    </w:p>
    <w:p w14:paraId="3B0B0982">
      <w:pPr>
        <w:bidi w:val="0"/>
        <w:rPr>
          <w:rFonts w:hint="default"/>
          <w:lang w:val="en-US" w:eastAsia="zh-CN"/>
        </w:rPr>
      </w:pPr>
      <w:r>
        <w:rPr>
          <w:rFonts w:hint="default"/>
          <w:lang w:val="en-US" w:eastAsia="zh-CN"/>
        </w:rPr>
        <w:t>本次评估区地下水系统属洞庭湖盆汇流型径流类型。评估区东部为地下水径流系统的源，西部洞庭湖腹地为地下水径流系统的汇，评估区可视为地下水径流系统的径流区。在东部丘岗区，地下水呈潜水状态，水力梯度较大，一般可达3‰以上。评估区天然地下水水力梯度在1.0‰~1.5‰，地下水位在25m~31m间，而在湘江以西地下水力梯度下降到0.2‰以下。</w:t>
      </w:r>
    </w:p>
    <w:p w14:paraId="2275A5E6">
      <w:pPr>
        <w:bidi w:val="0"/>
        <w:rPr>
          <w:rFonts w:hint="default"/>
          <w:lang w:val="en-US" w:eastAsia="zh-CN"/>
        </w:rPr>
      </w:pPr>
      <w:r>
        <w:rPr>
          <w:rFonts w:hint="default"/>
          <w:lang w:val="en-US" w:eastAsia="zh-CN"/>
        </w:rPr>
        <w:t>3、地下水排泄</w:t>
      </w:r>
    </w:p>
    <w:p w14:paraId="604F8A6D">
      <w:pPr>
        <w:bidi w:val="0"/>
        <w:rPr>
          <w:rFonts w:hint="default"/>
          <w:lang w:val="en-US" w:eastAsia="zh-CN"/>
        </w:rPr>
      </w:pPr>
      <w:r>
        <w:rPr>
          <w:rFonts w:hint="default"/>
          <w:lang w:val="en-US" w:eastAsia="zh-CN"/>
        </w:rPr>
        <w:t>评估区地下水系统的排泄方式主要包括蒸发、向地表水越流、向洞庭湖腹地侧向径流和人口开采。</w:t>
      </w:r>
    </w:p>
    <w:p w14:paraId="19AF65EA">
      <w:pPr>
        <w:bidi w:val="0"/>
        <w:rPr>
          <w:rFonts w:hint="default"/>
          <w:lang w:val="en-US" w:eastAsia="zh-CN"/>
        </w:rPr>
      </w:pPr>
      <w:r>
        <w:rPr>
          <w:rFonts w:hint="default"/>
          <w:lang w:val="en-US" w:eastAsia="zh-CN"/>
        </w:rPr>
        <w:t>由于评估区地下水具有承压性，在平水或枯水期，部分区域地下水承压水头要高于地表水位（如），此时地下水可通过地表水体底部的弱透水层向上越流补给地表水体。同时，侧向补给洞庭湖腹地地下水系统是评估区天然条件下最主要排泄渠道。</w:t>
      </w:r>
    </w:p>
    <w:p w14:paraId="79FDAE00">
      <w:pPr>
        <w:pStyle w:val="42"/>
        <w:bidi w:val="0"/>
        <w:rPr>
          <w:rFonts w:hint="default"/>
          <w:lang w:val="en-US" w:eastAsia="zh-CN"/>
        </w:rPr>
      </w:pPr>
      <w:r>
        <w:rPr>
          <w:sz w:val="21"/>
        </w:rPr>
        <mc:AlternateContent>
          <mc:Choice Requires="wps">
            <w:drawing>
              <wp:anchor distT="0" distB="0" distL="114300" distR="114300" simplePos="0" relativeHeight="251670528" behindDoc="0" locked="0" layoutInCell="1" allowOverlap="1">
                <wp:simplePos x="0" y="0"/>
                <wp:positionH relativeFrom="column">
                  <wp:posOffset>2553335</wp:posOffset>
                </wp:positionH>
                <wp:positionV relativeFrom="paragraph">
                  <wp:posOffset>774065</wp:posOffset>
                </wp:positionV>
                <wp:extent cx="704215" cy="475615"/>
                <wp:effectExtent l="12700" t="0" r="26035" b="540385"/>
                <wp:wrapNone/>
                <wp:docPr id="19" name="线形标注 1 19"/>
                <wp:cNvGraphicFramePr/>
                <a:graphic xmlns:a="http://schemas.openxmlformats.org/drawingml/2006/main">
                  <a:graphicData uri="http://schemas.microsoft.com/office/word/2010/wordprocessingShape">
                    <wps:wsp>
                      <wps:cNvSpPr/>
                      <wps:spPr>
                        <a:xfrm>
                          <a:off x="4363085" y="4810125"/>
                          <a:ext cx="704215" cy="475615"/>
                        </a:xfrm>
                        <a:prstGeom prst="borderCallout1">
                          <a:avLst>
                            <a:gd name="adj1" fmla="val 108010"/>
                            <a:gd name="adj2" fmla="val 45102"/>
                            <a:gd name="adj3" fmla="val 211081"/>
                            <a:gd name="adj4" fmla="val 7303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08DEA3">
                            <w:pPr>
                              <w:spacing w:line="240" w:lineRule="auto"/>
                              <w:ind w:left="0" w:leftChars="0" w:firstLine="0" w:firstLineChars="0"/>
                              <w:jc w:val="both"/>
                              <w:rPr>
                                <w:rFonts w:hint="default" w:eastAsia="宋体"/>
                                <w:color w:val="auto"/>
                                <w:lang w:val="en-US" w:eastAsia="zh-CN"/>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01.05pt;margin-top:60.95pt;height:37.45pt;width:55.45pt;z-index:251670528;v-text-anchor:middle;mso-width-relative:page;mso-height-relative:page;" filled="f" stroked="t" coordsize="21600,21600" o:gfxdata="UEsDBAoAAAAAAIdO4kAAAAAAAAAAAAAAAAAEAAAAZHJzL1BLAwQUAAAACACHTuJATN9c5dgAAAAL&#10;AQAADwAAAGRycy9kb3ducmV2LnhtbE2PS0/DMBCE70j8B2uRuFHbaanaEKcHXlJvffAD3HgbR/gR&#10;YrcN/HqWUznuzKfZmWo1esfOOKQuBgVyIoBhaKLpQqvgY//2sACWsg5GuxhQwTcmWNW3N5UuTbyE&#10;LZ53uWUUElKpFdic+5Lz1Fj0Ok1ij4G8Yxy8znQOLTeDvlC4d7wQYs697gJ9sLrHZ4vN5+7kFaRZ&#10;2q43U/e6GbX9Se/9fn38elHq/k6KJ2AZx3yF4a8+VYeaOh3iKZjEnIKZKCShZBRyCYyIRzmldQdS&#10;lvMF8Lri/zfUv1BLAwQUAAAACACHTuJAqEhu0MoCAACaBQAADgAAAGRycy9lMm9Eb2MueG1srVTL&#10;btQwFN0j8Q+W9zSPSdrpqJlqNKMipIpWKoi1x3EmQY5tbM+j/AC/gVixZ4eE+BrKb3CcpO3QsuiC&#10;WWSuc0+O7zm+1yenu1aSjbCu0aqgyUFMiVBcl41aFfTtm7MXY0qcZ6pkUitR0Gvh6On0+bOTrZmI&#10;VNdalsISkCg32ZqC1t6bSRQ5XouWuQNthEKy0rZlHku7ikrLtmBvZZTG8WG01bY0VnPhHN4u+iQd&#10;GO1TCHVVNVwsNF+3Qvme1QrJPCS5ujGOTrtqq0pwf1FVTngiCwqlvntiE8TL8IymJ2yysszUDR9K&#10;YE8p4YGmljUKm95RLZhnZG2bR1Rtw612uvIHXLdRL6RzBCqS+IE3VzUzotMCq525M939P1r+enNp&#10;SVOiE44pUazFif/+/vPXjy83nz/dfPtKEoIEXNoaNwH4ylzaYeUQBsm7yrbhH2LIrqDZ6HAUj3NK&#10;rhGPkzhJ895lsfOEA3AUZ2mCPA+Ao/wQMRijeyJjnX8pdEtCUNAl+kXYOZNSr33Sucw25853dpdD&#10;zax8n1BStRKnt2GSJPEYfvYbr/ZA6T4oy5M4fYwZ7WPSBFTJY1C2DzoaxaPxoGKoDXpudYRClT5r&#10;pOy6TSqyLWiaZzGakDOMUIXWRdgaHINTK0qYXGE2ubedWqdlU4bPA5Gzq+VcWgKRBR2N88V41oNq&#10;Vor+bR7jN1QzwDt//+IJxS2Yq/tPutTwiVRAh+PuDzhEfrfcDae+1OU1OsbqfpSc4WcNqM6Z85fM&#10;wn2Iwu3iL/CopIZSPUSU1Np+/Nf7gEdLI0vJFrMIFz6smRWUyFcKzX6cZFkY3m6R5UcpFnY/s9zP&#10;qHU71zAH/YDqujDgvbwNK6vbd2iqWdgVKaY49u79HhZz398RuMa4mM06GAbWMH+urgwP5P2pztZe&#10;V40PDRyM6t0ZFhjZzvfhegl3wv66Q91fqd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TN9c5dgA&#10;AAALAQAADwAAAAAAAAABACAAAAAiAAAAZHJzL2Rvd25yZXYueG1sUEsBAhQAFAAAAAgAh07iQKhI&#10;btDKAgAAmgUAAA4AAAAAAAAAAQAgAAAAJwEAAGRycy9lMm9Eb2MueG1sUEsFBgAAAAAGAAYAWQEA&#10;AGMGAAAAAA==&#10;" adj="15776,45593,9742,23330">
                <v:fill on="f" focussize="0,0"/>
                <v:stroke weight="2pt" color="#385D8A [3204]" joinstyle="round"/>
                <v:imagedata o:title=""/>
                <o:lock v:ext="edit" aspectratio="f"/>
                <v:textbox>
                  <w:txbxContent>
                    <w:p w14:paraId="4D08DEA3">
                      <w:pPr>
                        <w:spacing w:line="240" w:lineRule="auto"/>
                        <w:ind w:left="0" w:leftChars="0" w:firstLine="0" w:firstLineChars="0"/>
                        <w:jc w:val="both"/>
                        <w:rPr>
                          <w:rFonts w:hint="default" w:eastAsia="宋体"/>
                          <w:color w:val="auto"/>
                          <w:lang w:val="en-US" w:eastAsia="zh-CN"/>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drawing>
          <wp:inline distT="0" distB="0" distL="114300" distR="114300">
            <wp:extent cx="5271770" cy="3810635"/>
            <wp:effectExtent l="0" t="0" r="5080" b="1841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43"/>
                    <a:stretch>
                      <a:fillRect/>
                    </a:stretch>
                  </pic:blipFill>
                  <pic:spPr>
                    <a:xfrm>
                      <a:off x="0" y="0"/>
                      <a:ext cx="5271770" cy="3810635"/>
                    </a:xfrm>
                    <a:prstGeom prst="rect">
                      <a:avLst/>
                    </a:prstGeom>
                    <a:noFill/>
                    <a:ln>
                      <a:noFill/>
                    </a:ln>
                  </pic:spPr>
                </pic:pic>
              </a:graphicData>
            </a:graphic>
          </wp:inline>
        </w:drawing>
      </w:r>
    </w:p>
    <w:p w14:paraId="3682C3D7">
      <w:pPr>
        <w:pStyle w:val="39"/>
        <w:shd w:val="clear"/>
        <w:bidi w:val="0"/>
        <w:rPr>
          <w:rFonts w:hint="default"/>
          <w:highlight w:val="none"/>
          <w:lang w:val="en-US" w:eastAsia="zh-CN"/>
        </w:rPr>
      </w:pPr>
      <w:r>
        <w:rPr>
          <w:rFonts w:hint="default"/>
          <w:highlight w:val="none"/>
          <w:lang w:val="en-US" w:eastAsia="zh-CN"/>
        </w:rPr>
        <w:t xml:space="preserve">图 </w:t>
      </w:r>
      <w:r>
        <w:rPr>
          <w:rFonts w:hint="eastAsia"/>
          <w:highlight w:val="none"/>
          <w:lang w:val="en-US" w:eastAsia="zh-CN"/>
        </w:rPr>
        <w:t>6.2</w:t>
      </w:r>
      <w:r>
        <w:rPr>
          <w:rFonts w:hint="default"/>
          <w:highlight w:val="none"/>
          <w:lang w:val="en-US" w:eastAsia="zh-CN"/>
        </w:rPr>
        <w:noBreakHyphen/>
      </w:r>
      <w:r>
        <w:rPr>
          <w:rFonts w:hint="default"/>
          <w:highlight w:val="none"/>
          <w:lang w:val="en-US" w:eastAsia="zh-CN"/>
        </w:rPr>
        <w:t>1 项目所在区域地下水流向图</w:t>
      </w:r>
    </w:p>
    <w:p w14:paraId="276F4DCB">
      <w:pPr>
        <w:shd w:val="clear"/>
        <w:bidi w:val="0"/>
        <w:rPr>
          <w:rFonts w:hint="default"/>
          <w:highlight w:val="none"/>
          <w:lang w:val="en-US" w:eastAsia="zh-CN"/>
        </w:rPr>
      </w:pPr>
      <w:r>
        <w:rPr>
          <w:rFonts w:hint="default"/>
          <w:highlight w:val="none"/>
          <w:lang w:val="en-US" w:eastAsia="zh-CN"/>
        </w:rPr>
        <w:t>（4）集中供水水源地和水源井的分布情况</w:t>
      </w:r>
    </w:p>
    <w:p w14:paraId="006D5F93">
      <w:pPr>
        <w:bidi w:val="0"/>
        <w:rPr>
          <w:rFonts w:hint="default"/>
          <w:lang w:val="en-US" w:eastAsia="zh-CN"/>
        </w:rPr>
      </w:pPr>
      <w:r>
        <w:rPr>
          <w:rFonts w:hint="default"/>
          <w:lang w:val="en-US" w:eastAsia="zh-CN"/>
        </w:rPr>
        <w:t>本项目地下水评价范围内无集中供水水源地和水源井分布。</w:t>
      </w:r>
    </w:p>
    <w:p w14:paraId="1AD799F6">
      <w:pPr>
        <w:bidi w:val="0"/>
        <w:rPr>
          <w:rFonts w:hint="default"/>
          <w:lang w:val="en-US" w:eastAsia="zh-CN"/>
        </w:rPr>
      </w:pPr>
      <w:r>
        <w:rPr>
          <w:rFonts w:hint="default"/>
          <w:lang w:val="en-US" w:eastAsia="zh-CN"/>
        </w:rPr>
        <w:t>（5）泉眼分布情况</w:t>
      </w:r>
    </w:p>
    <w:p w14:paraId="32DD3059">
      <w:pPr>
        <w:bidi w:val="0"/>
        <w:rPr>
          <w:rFonts w:hint="default"/>
          <w:lang w:val="en-US" w:eastAsia="zh-CN"/>
        </w:rPr>
      </w:pPr>
      <w:r>
        <w:rPr>
          <w:rFonts w:hint="default"/>
          <w:lang w:val="en-US" w:eastAsia="zh-CN"/>
        </w:rPr>
        <w:t>本项目地下水评价范围内无泉眼分布。</w:t>
      </w:r>
    </w:p>
    <w:p w14:paraId="71A88F1D">
      <w:pPr>
        <w:bidi w:val="0"/>
        <w:rPr>
          <w:rFonts w:hint="default"/>
          <w:lang w:val="en-US" w:eastAsia="zh-CN"/>
        </w:rPr>
      </w:pPr>
      <w:r>
        <w:rPr>
          <w:rFonts w:hint="default"/>
          <w:lang w:val="en-US" w:eastAsia="zh-CN"/>
        </w:rPr>
        <w:t>（6）地下水开发利用现状与规划</w:t>
      </w:r>
    </w:p>
    <w:p w14:paraId="1C5C65E2">
      <w:pPr>
        <w:bidi w:val="0"/>
        <w:rPr>
          <w:rFonts w:hint="default"/>
          <w:lang w:val="en-US" w:eastAsia="zh-CN"/>
        </w:rPr>
      </w:pPr>
      <w:r>
        <w:rPr>
          <w:rFonts w:hint="default"/>
          <w:lang w:val="en-US" w:eastAsia="zh-CN"/>
        </w:rPr>
        <w:t>本项目地下水评价范围内分散分布有地下水井，目前区域饮用水均来自湘阴县自来水厂，地下水井无饮用功能，主要作为洗手、洗衣等杂用。项目所在区域无地下水开发利用规划。</w:t>
      </w:r>
    </w:p>
    <w:p w14:paraId="4EE3B53F">
      <w:pPr>
        <w:bidi w:val="0"/>
        <w:rPr>
          <w:rFonts w:hint="default"/>
          <w:lang w:val="en-US" w:eastAsia="zh-CN"/>
        </w:rPr>
        <w:sectPr>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7F802433">
      <w:pPr>
        <w:snapToGrid w:val="0"/>
        <w:spacing w:line="240" w:lineRule="auto"/>
        <w:ind w:left="0" w:leftChars="0" w:firstLine="0" w:firstLineChars="0"/>
        <w:jc w:val="center"/>
        <w:rPr>
          <w:rFonts w:hint="eastAsia" w:ascii="Times New Roman" w:hAnsi="Times New Roman" w:eastAsia="宋体" w:cs="Times New Roman"/>
          <w:color w:val="auto"/>
          <w:szCs w:val="22"/>
          <w:u w:val="none" w:color="auto"/>
          <w:lang w:eastAsia="zh-CN"/>
        </w:rPr>
      </w:pPr>
      <w:r>
        <w:rPr>
          <w:color w:val="auto"/>
          <w:sz w:val="24"/>
          <w:u w:val="none" w:color="auto"/>
        </w:rPr>
        <mc:AlternateContent>
          <mc:Choice Requires="wps">
            <w:drawing>
              <wp:anchor distT="0" distB="0" distL="114300" distR="114300" simplePos="0" relativeHeight="251667456" behindDoc="0" locked="0" layoutInCell="1" allowOverlap="1">
                <wp:simplePos x="0" y="0"/>
                <wp:positionH relativeFrom="column">
                  <wp:posOffset>3433445</wp:posOffset>
                </wp:positionH>
                <wp:positionV relativeFrom="paragraph">
                  <wp:posOffset>2150745</wp:posOffset>
                </wp:positionV>
                <wp:extent cx="89535" cy="76200"/>
                <wp:effectExtent l="4445" t="4445" r="20320" b="14605"/>
                <wp:wrapNone/>
                <wp:docPr id="14" name="矩形 2"/>
                <wp:cNvGraphicFramePr/>
                <a:graphic xmlns:a="http://schemas.openxmlformats.org/drawingml/2006/main">
                  <a:graphicData uri="http://schemas.microsoft.com/office/word/2010/wordprocessingShape">
                    <wps:wsp>
                      <wps:cNvSpPr/>
                      <wps:spPr>
                        <a:xfrm>
                          <a:off x="0" y="0"/>
                          <a:ext cx="89535" cy="76200"/>
                        </a:xfrm>
                        <a:prstGeom prst="rect">
                          <a:avLst/>
                        </a:prstGeom>
                        <a:noFill/>
                        <a:ln w="9525" cap="flat" cmpd="sng">
                          <a:solidFill>
                            <a:srgbClr val="FF0000"/>
                          </a:solidFill>
                          <a:prstDash val="solid"/>
                          <a:miter/>
                          <a:headEnd type="none" w="med" len="med"/>
                          <a:tailEnd type="none" w="med" len="med"/>
                        </a:ln>
                      </wps:spPr>
                      <wps:txbx>
                        <w:txbxContent>
                          <w:p w14:paraId="14AEFE97">
                            <w:pPr>
                              <w:jc w:val="center"/>
                            </w:pPr>
                          </w:p>
                        </w:txbxContent>
                      </wps:txbx>
                      <wps:bodyPr upright="1"/>
                    </wps:wsp>
                  </a:graphicData>
                </a:graphic>
              </wp:anchor>
            </w:drawing>
          </mc:Choice>
          <mc:Fallback>
            <w:pict>
              <v:rect id="矩形 2" o:spid="_x0000_s1026" o:spt="1" style="position:absolute;left:0pt;margin-left:270.35pt;margin-top:169.35pt;height:6pt;width:7.05pt;z-index:251667456;mso-width-relative:page;mso-height-relative:page;" filled="f" stroked="t" coordsize="21600,21600" o:gfxdata="UEsDBAoAAAAAAIdO4kAAAAAAAAAAAAAAAAAEAAAAZHJzL1BLAwQUAAAACACHTuJAANl1ttoAAAAL&#10;AQAADwAAAGRycy9kb3ducmV2LnhtbE2PMU/DMBCFdyT+g3VILIjapQ1UIU4HJKhQB9SWgdGJr3FE&#10;fI5iNyn/nmOi2929p3ffK9Zn34kRh9gG0jCfKRBIdbAtNRo+D6/3KxAxGbKmC4QafjDCury+Kkxu&#10;w0Q7HPepERxCMTcaXEp9LmWsHXoTZ6FHYu0YBm8Sr0Mj7WAmDvedfFDqUXrTEn9wpscXh/X3/uQ1&#10;xI+3r+1h9z427WY7uU2Lx7660/r2Zq6eQSQ8p38z/OEzOpTMVIUT2Sg6DdlSPbFVw2Kx4oEdWbbk&#10;MhVfMpZkWcjLDuUvUEsDBBQAAAAIAIdO4kAyrKaD/AEAAP4DAAAOAAAAZHJzL2Uyb0RvYy54bWyt&#10;U82O0zAQviPxDpbvNG2hy27UdA+UckGw0sIDTG0nseQ/edwmfRokbjwEj4N4DcZO6cJy2QM5OGPP&#10;+Jv5vhmvb0dr2FFF1N41fDGbc6ac8FK7ruGfP+1eXHOGCZwE451q+Ekhv908f7YeQq2WvvdGqsgI&#10;xGE9hIb3KYW6qlD0ygLOfFCOnK2PFhJtY1fJCAOhW1Mt5/OravBRhuiFQqTT7eTkZ8T4FEDftlqo&#10;rRcHq1yaUKMykIgS9jog35Rq21aJ9LFtUSVmGk5MU1kpCdn7vFabNdRdhNBrcS4BnlLCI04WtKOk&#10;F6gtJGCHqP+BslpEj75NM+FtNREpihCLxfyRNvc9BFW4kNQYLqLj/4MVH453kWlJk/CKMweWOv7z&#10;y7cf37+yZRZnCFhTzH24i+cdkpmZjm20+U8c2FgEPV0EVWNigg6vb1YvV5wJ8ry+ouZnxOrhaoiY&#10;3ilvWTYaHqlbRUQ4vsc0hf4OyZmc32lj6Bxq49jQ8JvVMqMDTWFL3SfTBmKCrisw6I2W+Uq+gbHb&#10;vzGRHYEmYbeb03eu5q+wnG8L2E9xxZXDoLY6qSwB1L0C+dZJlk6BxHL0SHguxirJmVH0prJVIhNo&#10;85RIksQ4UiaLPcmbrTTuR4LJ5t7LE7XpEKLuelJqUUrPHhqLIul5hPPc/bkvoA/Pdv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Nl1ttoAAAALAQAADwAAAAAAAAABACAAAAAiAAAAZHJzL2Rvd25y&#10;ZXYueG1sUEsBAhQAFAAAAAgAh07iQDKspoP8AQAA/gMAAA4AAAAAAAAAAQAgAAAAKQEAAGRycy9l&#10;Mm9Eb2MueG1sUEsFBgAAAAAGAAYAWQEAAJcFAAAAAA==&#10;">
                <v:fill on="f" focussize="0,0"/>
                <v:stroke color="#FF0000" joinstyle="miter"/>
                <v:imagedata o:title=""/>
                <o:lock v:ext="edit" aspectratio="f"/>
                <v:textbox>
                  <w:txbxContent>
                    <w:p w14:paraId="14AEFE97">
                      <w:pPr>
                        <w:jc w:val="center"/>
                      </w:pPr>
                    </w:p>
                  </w:txbxContent>
                </v:textbox>
              </v:rect>
            </w:pict>
          </mc:Fallback>
        </mc:AlternateContent>
      </w:r>
      <w:r>
        <w:rPr>
          <w:color w:val="auto"/>
          <w:sz w:val="24"/>
          <w:u w:val="none" w:color="auto"/>
        </w:rPr>
        <mc:AlternateContent>
          <mc:Choice Requires="wps">
            <w:drawing>
              <wp:anchor distT="0" distB="0" distL="114300" distR="114300" simplePos="0" relativeHeight="251668480" behindDoc="0" locked="0" layoutInCell="1" allowOverlap="1">
                <wp:simplePos x="0" y="0"/>
                <wp:positionH relativeFrom="column">
                  <wp:posOffset>3630295</wp:posOffset>
                </wp:positionH>
                <wp:positionV relativeFrom="paragraph">
                  <wp:posOffset>1644650</wp:posOffset>
                </wp:positionV>
                <wp:extent cx="542925" cy="239395"/>
                <wp:effectExtent l="147955" t="5080" r="13970" b="346075"/>
                <wp:wrapNone/>
                <wp:docPr id="15" name="自选图形 5"/>
                <wp:cNvGraphicFramePr/>
                <a:graphic xmlns:a="http://schemas.openxmlformats.org/drawingml/2006/main">
                  <a:graphicData uri="http://schemas.microsoft.com/office/word/2010/wordprocessingShape">
                    <wps:wsp>
                      <wps:cNvSpPr/>
                      <wps:spPr>
                        <a:xfrm>
                          <a:off x="0" y="0"/>
                          <a:ext cx="542925" cy="239395"/>
                        </a:xfrm>
                        <a:prstGeom prst="wedgeRectCallout">
                          <a:avLst>
                            <a:gd name="adj1" fmla="val -72573"/>
                            <a:gd name="adj2" fmla="val 179973"/>
                          </a:avLst>
                        </a:prstGeom>
                        <a:solidFill>
                          <a:srgbClr val="FFFFFF"/>
                        </a:solidFill>
                        <a:ln w="9525" cap="flat" cmpd="sng">
                          <a:solidFill>
                            <a:srgbClr val="000000"/>
                          </a:solidFill>
                          <a:prstDash val="solid"/>
                          <a:miter/>
                          <a:headEnd type="none" w="med" len="med"/>
                          <a:tailEnd type="none" w="med" len="med"/>
                        </a:ln>
                      </wps:spPr>
                      <wps:txbx>
                        <w:txbxContent>
                          <w:p w14:paraId="53F8B7DD">
                            <w:pPr>
                              <w:spacing w:line="240" w:lineRule="auto"/>
                              <w:ind w:left="0" w:leftChars="0" w:firstLine="0" w:firstLineChars="0"/>
                              <w:jc w:val="center"/>
                              <w:rPr>
                                <w:rFonts w:hint="eastAsia" w:eastAsia="宋体"/>
                                <w:sz w:val="18"/>
                                <w:szCs w:val="18"/>
                                <w:lang w:eastAsia="zh-CN"/>
                              </w:rPr>
                            </w:pPr>
                            <w:r>
                              <w:rPr>
                                <w:rFonts w:hint="eastAsia"/>
                                <w:sz w:val="18"/>
                                <w:szCs w:val="18"/>
                                <w:lang w:eastAsia="zh-CN"/>
                              </w:rPr>
                              <w:t>项目区</w:t>
                            </w:r>
                          </w:p>
                        </w:txbxContent>
                      </wps:txbx>
                      <wps:bodyPr upright="1"/>
                    </wps:wsp>
                  </a:graphicData>
                </a:graphic>
              </wp:anchor>
            </w:drawing>
          </mc:Choice>
          <mc:Fallback>
            <w:pict>
              <v:shape id="自选图形 5" o:spid="_x0000_s1026" o:spt="61" type="#_x0000_t61" style="position:absolute;left:0pt;margin-left:285.85pt;margin-top:129.5pt;height:18.85pt;width:42.75pt;z-index:251668480;mso-width-relative:page;mso-height-relative:page;" fillcolor="#FFFFFF" filled="t" stroked="t" coordsize="21600,21600" o:gfxdata="UEsDBAoAAAAAAIdO4kAAAAAAAAAAAAAAAAAEAAAAZHJzL1BLAwQUAAAACACHTuJAJEwYmtsAAAAL&#10;AQAADwAAAGRycy9kb3ducmV2LnhtbE2PwU7DMAyG70i8Q2QkbixtRRtWmk5oEpfBkLohzlkT2mqN&#10;U5psC2+POcHR9qff31+toh3Z2cx+cCghXSTADLZOD9hJeN8/3z0A80GhVqNDI+HbeFjV11eVKrW7&#10;YGPOu9AxCkFfKgl9CFPJuW97Y5VfuMkg3T7dbFWgce64ntWFwu3IsyQpuFUD0odeTWbdm/a4O1kJ&#10;91uxeYuNaD6Gr5fjZr+Or0/bKOXtTZo8Agsmhj8YfvVJHWpyOrgTas9GCblIBaESsnxJpYgocpEB&#10;O9BmWQjgdcX/d6h/AFBLAwQUAAAACACHTuJA7YmhszkCAACOBAAADgAAAGRycy9lMm9Eb2MueG1s&#10;rVTNjtMwEL4j8Q6W79u0KaWkarqHLeWCYMXCA7i2kxj5T7bbpDduiGfgxnHfAd5mJXgLxk7odhcO&#10;PZCDM47H38z3zUyWl52SaM+dF0aXeDIaY8Q1NUzousQf3m8uXmDkA9GMSKN5iQ/c48vV0yfL1i54&#10;bhojGXcIQLRftLbETQh2kWWeNlwRPzKWazisjFMkwNbVGXOkBXQls3w8fp61xjHrDOXew9d1f4gH&#10;RHcOoKkqQfna0J3iOvSojksSgJJvhPV4lbKtKk7D26ryPCBZYmAa0gpBwN7GNVstyaJ2xDaCDimQ&#10;c1J4xEkRoSHoEWpNAkE7J/6CUoI6400VRtSorCeSFAEWk/EjbW4aYnniAlJ7exTd/z9Y+mZ/7ZBg&#10;0AkzjDRRUPGfn29/ffpy9/XH3fdvaBYlaq1fgOeNvXbDzoMZ+XaVU/ENTFCXZD0cZeVdQBQ+zp7l&#10;RQ7oFI7yaTEtEmZ2f9k6H15xo1A0StxyVvN3ULorIqXZhSQs2b/2ISnMhjQJ+zjBqFISCrYnEl3M&#10;89l8OlT0xCk/dZrMi6J3gvgDJlh/MogBvJGCbYSUaePq7ZV0CAKUeJOeGAGuPHCTGrUlLmaJJoGp&#10;qKAbgbGyoKzXdaLw4IY/BR6n51/AMbE18U2fQELoGSoRuEvd23DCXmqGwsFC8TQMLY7JKM4wkhxm&#10;PFrJMxAhz/EEdlIDyVj2vtDRCt22G6q/NewAbbOzTtQNVGySUo9O0KZJnWGk4hyc7hPo/W9k9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kTBia2wAAAAsBAAAPAAAAAAAAAAEAIAAAACIAAABkcnMv&#10;ZG93bnJldi54bWxQSwECFAAUAAAACACHTuJA7YmhszkCAACOBAAADgAAAAAAAAABACAAAAAqAQAA&#10;ZHJzL2Uyb0RvYy54bWxQSwUGAAAAAAYABgBZAQAA1QUAAAAA&#10;" adj="-4876,49674">
                <v:fill on="t" focussize="0,0"/>
                <v:stroke color="#000000" joinstyle="miter"/>
                <v:imagedata o:title=""/>
                <o:lock v:ext="edit" aspectratio="f"/>
                <v:textbox>
                  <w:txbxContent>
                    <w:p w14:paraId="53F8B7DD">
                      <w:pPr>
                        <w:spacing w:line="240" w:lineRule="auto"/>
                        <w:ind w:left="0" w:leftChars="0" w:firstLine="0" w:firstLineChars="0"/>
                        <w:jc w:val="center"/>
                        <w:rPr>
                          <w:rFonts w:hint="eastAsia" w:eastAsia="宋体"/>
                          <w:sz w:val="18"/>
                          <w:szCs w:val="18"/>
                          <w:lang w:eastAsia="zh-CN"/>
                        </w:rPr>
                      </w:pPr>
                      <w:r>
                        <w:rPr>
                          <w:rFonts w:hint="eastAsia"/>
                          <w:sz w:val="18"/>
                          <w:szCs w:val="18"/>
                          <w:lang w:eastAsia="zh-CN"/>
                        </w:rPr>
                        <w:t>项目区</w:t>
                      </w:r>
                    </w:p>
                  </w:txbxContent>
                </v:textbox>
              </v:shape>
            </w:pict>
          </mc:Fallback>
        </mc:AlternateContent>
      </w:r>
      <w:r>
        <w:rPr>
          <w:rFonts w:hint="eastAsia" w:ascii="Times New Roman" w:hAnsi="Times New Roman" w:eastAsia="宋体" w:cs="Times New Roman"/>
          <w:color w:val="auto"/>
          <w:szCs w:val="22"/>
          <w:u w:val="none" w:color="auto"/>
          <w:lang w:eastAsia="zh-CN"/>
        </w:rPr>
        <w:drawing>
          <wp:inline distT="0" distB="0" distL="114300" distR="114300">
            <wp:extent cx="8462010" cy="4676140"/>
            <wp:effectExtent l="0" t="0" r="15240" b="10160"/>
            <wp:docPr id="2" name="图片 2" descr="湘阴县地下水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湘阴县地下水 20"/>
                    <pic:cNvPicPr>
                      <a:picLocks noChangeAspect="1"/>
                    </pic:cNvPicPr>
                  </pic:nvPicPr>
                  <pic:blipFill>
                    <a:blip r:embed="rId44"/>
                    <a:srcRect b="18609"/>
                    <a:stretch>
                      <a:fillRect/>
                    </a:stretch>
                  </pic:blipFill>
                  <pic:spPr>
                    <a:xfrm>
                      <a:off x="0" y="0"/>
                      <a:ext cx="8462010" cy="4676140"/>
                    </a:xfrm>
                    <a:prstGeom prst="rect">
                      <a:avLst/>
                    </a:prstGeom>
                  </pic:spPr>
                </pic:pic>
              </a:graphicData>
            </a:graphic>
          </wp:inline>
        </w:drawing>
      </w:r>
    </w:p>
    <w:p w14:paraId="0AC9B58E">
      <w:pPr>
        <w:pStyle w:val="39"/>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图 </w:t>
      </w:r>
      <w:r>
        <w:rPr>
          <w:rFonts w:hint="eastAsia" w:cs="Times New Roman"/>
          <w:color w:val="auto"/>
          <w:u w:val="none" w:color="auto"/>
          <w:lang w:val="en-US" w:eastAsia="zh-CN"/>
        </w:rPr>
        <w:t>6.2</w:t>
      </w:r>
      <w:r>
        <w:rPr>
          <w:rFonts w:hint="default" w:ascii="Times New Roman" w:hAnsi="Times New Roman" w:cs="Times New Roman"/>
          <w:color w:val="auto"/>
          <w:u w:val="none" w:color="auto"/>
        </w:rPr>
        <w:noBreakHyphen/>
      </w:r>
      <w:r>
        <w:rPr>
          <w:rFonts w:hint="eastAsia" w:cs="Times New Roman"/>
          <w:color w:val="auto"/>
          <w:u w:val="none" w:color="auto"/>
          <w:lang w:val="en-US" w:eastAsia="zh-CN"/>
        </w:rPr>
        <w:t>3</w:t>
      </w:r>
      <w:r>
        <w:rPr>
          <w:rFonts w:hint="eastAsia" w:cs="Times New Roman"/>
          <w:color w:val="auto"/>
          <w:u w:val="none" w:color="auto"/>
          <w:lang w:eastAsia="zh-CN"/>
        </w:rPr>
        <w:t>项目区域水文地质图</w:t>
      </w:r>
    </w:p>
    <w:p w14:paraId="3D2B1A43">
      <w:pPr>
        <w:pStyle w:val="39"/>
        <w:bidi w:val="0"/>
        <w:rPr>
          <w:rFonts w:hint="default"/>
          <w:lang w:val="en-US" w:eastAsia="zh-CN"/>
        </w:rPr>
        <w:sectPr>
          <w:pgSz w:w="16838" w:h="11906" w:orient="landscape"/>
          <w:pgMar w:top="1800" w:right="1440" w:bottom="1800" w:left="1440" w:header="850" w:footer="850"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0D58156B">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地下水水质预测分析</w:t>
      </w:r>
    </w:p>
    <w:p w14:paraId="2F656487">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最常见的潜水污染是通过包气带渗入而污染的。深层潜水和承压水的污染是通过各种井孔、坑洞和断层等发生的。评价项目不开采地下水，无大规模的地下构筑物，项目的建设和运营不会引起地下水流场或地下水位变化，不会导致新的环境水文地质问题产生，因此地下水环境影响主要表现在各管线、污水处理站各处理池事故泄漏的影响。</w:t>
      </w:r>
    </w:p>
    <w:p w14:paraId="561B90FF">
      <w:pPr>
        <w:bidi w:val="0"/>
        <w:rPr>
          <w:rFonts w:hint="default"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1、预测情景设置</w:t>
      </w:r>
    </w:p>
    <w:p w14:paraId="1AE990D0">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（1）正常情况下地下水影响分析</w:t>
      </w:r>
    </w:p>
    <w:p w14:paraId="7261A63B">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本项目不开采地下水，无大规模的地下构筑物，项目的建设和运营不会引起地下水流场或地下水位变化，不会导致新的环境水文地质问题产生，本项目用水均取用自来水，不以地下水为水源，因此不会造成地下水水位下降等影响。</w:t>
      </w:r>
    </w:p>
    <w:p w14:paraId="68A1B69E">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本项目是污水处理项目，主要收集处理生产废水，废水经处理达标后排入市政污水管网进入</w:t>
      </w:r>
      <w:r>
        <w:rPr>
          <w:rFonts w:hint="eastAsia" w:ascii="Times New Roman" w:hAnsi="Times New Roman" w:cs="Times New Roman"/>
          <w:color w:val="auto"/>
          <w:highlight w:val="none"/>
          <w:u w:val="none" w:color="auto"/>
          <w:lang w:val="en-US" w:eastAsia="zh-CN"/>
        </w:rPr>
        <w:t>湘阴县</w:t>
      </w:r>
      <w:r>
        <w:rPr>
          <w:rFonts w:hint="eastAsia" w:ascii="Times New Roman" w:hAnsi="Times New Roman" w:eastAsia="宋体" w:cs="Times New Roman"/>
          <w:color w:val="auto"/>
          <w:highlight w:val="none"/>
          <w:u w:val="none" w:color="auto"/>
          <w:lang w:eastAsia="zh-CN"/>
        </w:rPr>
        <w:t>第二污水处理厂，最终排入</w:t>
      </w:r>
      <w:r>
        <w:rPr>
          <w:rFonts w:hint="eastAsia" w:ascii="Times New Roman" w:hAnsi="Times New Roman" w:cs="Times New Roman"/>
          <w:color w:val="auto"/>
          <w:highlight w:val="none"/>
          <w:u w:val="none" w:color="auto"/>
          <w:lang w:val="en-US" w:eastAsia="zh-CN"/>
        </w:rPr>
        <w:t>湘江</w:t>
      </w:r>
      <w:r>
        <w:rPr>
          <w:rFonts w:hint="eastAsia" w:ascii="Times New Roman" w:hAnsi="Times New Roman" w:eastAsia="宋体" w:cs="Times New Roman"/>
          <w:color w:val="auto"/>
          <w:highlight w:val="none"/>
          <w:u w:val="none" w:color="auto"/>
          <w:lang w:eastAsia="zh-CN"/>
        </w:rPr>
        <w:t>。</w:t>
      </w:r>
    </w:p>
    <w:p w14:paraId="32290E48">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因此，只要建设单位落实相关防腐、防渗措施，加强运行管理和定期监测监管，则正常工况下污水处理厂废水经处理达标后排放对区域地下水环境的影响较小。</w:t>
      </w:r>
    </w:p>
    <w:p w14:paraId="118BCB91">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（2）非正常情况下地下水影响分析</w:t>
      </w:r>
    </w:p>
    <w:p w14:paraId="43BFACC5">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本项目对地下水的污染途径主要为废水的跑、冒、滴、漏，污染物经土层的渗漏，通过包气带进入含水层导致地下水的污染，主要事故情景如下。</w:t>
      </w:r>
    </w:p>
    <w:p w14:paraId="6E779215">
      <w:pPr>
        <w:pStyle w:val="39"/>
        <w:bidi w:val="0"/>
        <w:rPr>
          <w:rFonts w:hint="eastAsia"/>
          <w:lang w:eastAsia="zh-CN"/>
        </w:rPr>
      </w:pPr>
      <w:r>
        <w:rPr>
          <w:rFonts w:hint="eastAsia"/>
          <w:lang w:eastAsia="zh-CN"/>
        </w:rPr>
        <w:t>表 6.2-</w:t>
      </w:r>
      <w:r>
        <w:rPr>
          <w:rFonts w:hint="eastAsia"/>
          <w:lang w:val="en-US" w:eastAsia="zh-CN"/>
        </w:rPr>
        <w:t>24</w:t>
      </w:r>
      <w:r>
        <w:rPr>
          <w:rFonts w:hint="eastAsia"/>
          <w:lang w:eastAsia="zh-CN"/>
        </w:rPr>
        <w:t xml:space="preserve">    非正常工况下项目对地下水环境影响</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29"/>
        <w:gridCol w:w="1829"/>
        <w:gridCol w:w="1437"/>
        <w:gridCol w:w="3838"/>
      </w:tblGrid>
      <w:tr w14:paraId="7BD787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rPr>
        <w:tc>
          <w:tcPr>
            <w:tcW w:w="737" w:type="pct"/>
            <w:tcBorders>
              <w:top w:val="single" w:color="000000" w:sz="12" w:space="0"/>
              <w:left w:val="single" w:color="000000" w:sz="12" w:space="0"/>
              <w:bottom w:val="single" w:color="000000" w:sz="4" w:space="0"/>
              <w:right w:val="single" w:color="000000" w:sz="4" w:space="0"/>
            </w:tcBorders>
            <w:vAlign w:val="center"/>
          </w:tcPr>
          <w:p w14:paraId="0818690F">
            <w:pPr>
              <w:pStyle w:val="42"/>
              <w:bidi w:val="0"/>
              <w:jc w:val="center"/>
            </w:pPr>
            <w:r>
              <w:t>潜在污染源</w:t>
            </w:r>
          </w:p>
        </w:tc>
        <w:tc>
          <w:tcPr>
            <w:tcW w:w="1097" w:type="pct"/>
            <w:tcBorders>
              <w:top w:val="single" w:color="000000" w:sz="12" w:space="0"/>
              <w:left w:val="single" w:color="000000" w:sz="4" w:space="0"/>
              <w:bottom w:val="single" w:color="000000" w:sz="4" w:space="0"/>
              <w:right w:val="single" w:color="000000" w:sz="4" w:space="0"/>
            </w:tcBorders>
            <w:vAlign w:val="center"/>
          </w:tcPr>
          <w:p w14:paraId="401C768D">
            <w:pPr>
              <w:pStyle w:val="42"/>
              <w:bidi w:val="0"/>
              <w:jc w:val="center"/>
            </w:pPr>
            <w:r>
              <w:t>潜在污染途径</w:t>
            </w:r>
          </w:p>
        </w:tc>
        <w:tc>
          <w:tcPr>
            <w:tcW w:w="862" w:type="pct"/>
            <w:tcBorders>
              <w:top w:val="single" w:color="000000" w:sz="12" w:space="0"/>
              <w:left w:val="single" w:color="000000" w:sz="4" w:space="0"/>
              <w:bottom w:val="single" w:color="000000" w:sz="4" w:space="0"/>
              <w:right w:val="single" w:color="000000" w:sz="4" w:space="0"/>
            </w:tcBorders>
            <w:vAlign w:val="center"/>
          </w:tcPr>
          <w:p w14:paraId="34CDF118">
            <w:pPr>
              <w:pStyle w:val="42"/>
              <w:bidi w:val="0"/>
              <w:jc w:val="center"/>
            </w:pPr>
            <w:r>
              <w:t>主要污染物</w:t>
            </w:r>
          </w:p>
        </w:tc>
        <w:tc>
          <w:tcPr>
            <w:tcW w:w="2301" w:type="pct"/>
            <w:tcBorders>
              <w:top w:val="single" w:color="000000" w:sz="12" w:space="0"/>
              <w:left w:val="single" w:color="000000" w:sz="4" w:space="0"/>
              <w:bottom w:val="single" w:color="000000" w:sz="4" w:space="0"/>
              <w:right w:val="single" w:color="000000" w:sz="12" w:space="0"/>
            </w:tcBorders>
            <w:vAlign w:val="center"/>
          </w:tcPr>
          <w:p w14:paraId="0A4F8443">
            <w:pPr>
              <w:pStyle w:val="42"/>
              <w:bidi w:val="0"/>
              <w:jc w:val="center"/>
            </w:pPr>
            <w:r>
              <w:t>影响分析</w:t>
            </w:r>
          </w:p>
        </w:tc>
      </w:tr>
      <w:tr w14:paraId="0A230F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737" w:type="pct"/>
            <w:tcBorders>
              <w:top w:val="single" w:color="000000" w:sz="4" w:space="0"/>
              <w:left w:val="single" w:color="000000" w:sz="12" w:space="0"/>
              <w:bottom w:val="single" w:color="000000" w:sz="4" w:space="0"/>
              <w:right w:val="single" w:color="000000" w:sz="4" w:space="0"/>
            </w:tcBorders>
            <w:vAlign w:val="center"/>
          </w:tcPr>
          <w:p w14:paraId="60FF4BE8">
            <w:pPr>
              <w:pStyle w:val="42"/>
              <w:bidi w:val="0"/>
              <w:jc w:val="center"/>
            </w:pPr>
            <w:r>
              <w:t>污水处理池</w:t>
            </w:r>
          </w:p>
        </w:tc>
        <w:tc>
          <w:tcPr>
            <w:tcW w:w="1097" w:type="pct"/>
            <w:tcBorders>
              <w:top w:val="single" w:color="000000" w:sz="4" w:space="0"/>
              <w:left w:val="single" w:color="000000" w:sz="4" w:space="0"/>
              <w:bottom w:val="single" w:color="000000" w:sz="4" w:space="0"/>
              <w:right w:val="single" w:color="000000" w:sz="4" w:space="0"/>
            </w:tcBorders>
            <w:vAlign w:val="center"/>
          </w:tcPr>
          <w:p w14:paraId="049563A6">
            <w:pPr>
              <w:pStyle w:val="42"/>
              <w:bidi w:val="0"/>
              <w:jc w:val="center"/>
            </w:pPr>
            <w:r>
              <w:t>污水池池底或者侧面出现裂缝导致污水发生渗漏</w:t>
            </w:r>
          </w:p>
        </w:tc>
        <w:tc>
          <w:tcPr>
            <w:tcW w:w="862" w:type="pct"/>
            <w:tcBorders>
              <w:top w:val="single" w:color="000000" w:sz="4" w:space="0"/>
              <w:left w:val="single" w:color="000000" w:sz="4" w:space="0"/>
              <w:bottom w:val="single" w:color="000000" w:sz="4" w:space="0"/>
              <w:right w:val="single" w:color="000000" w:sz="4" w:space="0"/>
            </w:tcBorders>
            <w:vAlign w:val="center"/>
          </w:tcPr>
          <w:p w14:paraId="3C32C530">
            <w:pPr>
              <w:pStyle w:val="42"/>
              <w:bidi w:val="0"/>
              <w:jc w:val="center"/>
            </w:pPr>
            <w:r>
              <w:t>pH、氨氮、COD、TN、TP</w:t>
            </w:r>
          </w:p>
        </w:tc>
        <w:tc>
          <w:tcPr>
            <w:tcW w:w="2301" w:type="pct"/>
            <w:tcBorders>
              <w:top w:val="single" w:color="000000" w:sz="4" w:space="0"/>
              <w:left w:val="single" w:color="000000" w:sz="4" w:space="0"/>
              <w:bottom w:val="single" w:color="000000" w:sz="4" w:space="0"/>
              <w:right w:val="single" w:color="000000" w:sz="12" w:space="0"/>
            </w:tcBorders>
            <w:vAlign w:val="center"/>
          </w:tcPr>
          <w:p w14:paraId="20A92B58">
            <w:pPr>
              <w:pStyle w:val="42"/>
              <w:bidi w:val="0"/>
              <w:jc w:val="center"/>
            </w:pPr>
            <w:r>
              <w:t>污水处理池部分为地下构筑，若是地上池体出现裂缝或废水外溢，则不会短期内渗入地下水中，将积聚在地表的污水及受污染的表层土壤处理后，不会对地下水造成明显影响，若是地下池体出现裂缝，较难发现，短期内会对地下水带来影响</w:t>
            </w:r>
          </w:p>
        </w:tc>
      </w:tr>
      <w:tr w14:paraId="7BE5B3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1" w:hRule="atLeast"/>
        </w:trPr>
        <w:tc>
          <w:tcPr>
            <w:tcW w:w="737" w:type="pct"/>
            <w:tcBorders>
              <w:top w:val="single" w:color="000000" w:sz="4" w:space="0"/>
              <w:left w:val="single" w:color="000000" w:sz="12" w:space="0"/>
              <w:bottom w:val="single" w:color="000000" w:sz="12" w:space="0"/>
              <w:right w:val="single" w:color="000000" w:sz="4" w:space="0"/>
            </w:tcBorders>
            <w:vAlign w:val="center"/>
          </w:tcPr>
          <w:p w14:paraId="52198629">
            <w:pPr>
              <w:pStyle w:val="42"/>
              <w:bidi w:val="0"/>
              <w:jc w:val="center"/>
            </w:pPr>
            <w:r>
              <w:t>污水收集管线</w:t>
            </w:r>
          </w:p>
        </w:tc>
        <w:tc>
          <w:tcPr>
            <w:tcW w:w="1097" w:type="pct"/>
            <w:tcBorders>
              <w:top w:val="single" w:color="000000" w:sz="4" w:space="0"/>
              <w:left w:val="single" w:color="000000" w:sz="4" w:space="0"/>
              <w:bottom w:val="single" w:color="000000" w:sz="12" w:space="0"/>
              <w:right w:val="single" w:color="000000" w:sz="4" w:space="0"/>
            </w:tcBorders>
            <w:vAlign w:val="center"/>
          </w:tcPr>
          <w:p w14:paraId="70286E18">
            <w:pPr>
              <w:pStyle w:val="42"/>
              <w:bidi w:val="0"/>
              <w:jc w:val="center"/>
            </w:pPr>
            <w:r>
              <w:t>污水管线出现破损，导致污水渗入地下</w:t>
            </w:r>
          </w:p>
        </w:tc>
        <w:tc>
          <w:tcPr>
            <w:tcW w:w="862" w:type="pct"/>
            <w:tcBorders>
              <w:top w:val="single" w:color="000000" w:sz="4" w:space="0"/>
              <w:left w:val="single" w:color="000000" w:sz="4" w:space="0"/>
              <w:bottom w:val="single" w:color="000000" w:sz="12" w:space="0"/>
              <w:right w:val="single" w:color="000000" w:sz="4" w:space="0"/>
            </w:tcBorders>
            <w:vAlign w:val="center"/>
          </w:tcPr>
          <w:p w14:paraId="2D9A6332">
            <w:pPr>
              <w:pStyle w:val="42"/>
              <w:bidi w:val="0"/>
              <w:jc w:val="center"/>
            </w:pPr>
            <w:r>
              <w:t>pH、氨氮、COD、TN、TP</w:t>
            </w:r>
          </w:p>
        </w:tc>
        <w:tc>
          <w:tcPr>
            <w:tcW w:w="2301" w:type="pct"/>
            <w:tcBorders>
              <w:top w:val="single" w:color="000000" w:sz="4" w:space="0"/>
              <w:left w:val="single" w:color="000000" w:sz="4" w:space="0"/>
              <w:bottom w:val="single" w:color="000000" w:sz="12" w:space="0"/>
              <w:right w:val="single" w:color="000000" w:sz="12" w:space="0"/>
            </w:tcBorders>
            <w:vAlign w:val="center"/>
          </w:tcPr>
          <w:p w14:paraId="439CB709">
            <w:pPr>
              <w:pStyle w:val="42"/>
              <w:bidi w:val="0"/>
              <w:jc w:val="center"/>
            </w:pPr>
            <w:r>
              <w:t>污水管裂缝具有隐蔽性，需要较长时间才能发现。但由于泄漏量不会很大，且管线周边的土层为防渗性能较好的粉土和粉质粘土，不会导致大量污水渗漏到很大区域，对地下水的影响有限，仅会在泄漏点周边较小污染区域造成影响</w:t>
            </w:r>
          </w:p>
        </w:tc>
      </w:tr>
    </w:tbl>
    <w:p w14:paraId="7074FBC7">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由以上分析可以看出，非正常工况下，项目对地下水可能造成的影响主要是各污水处理池底或者侧面出现裂缝导致污水发生渗漏事故，导致污染物进入包气带并最终到达浅层地下水。项目区域包气带为粉质粘土，防渗性能较好，只要不出现大量的持续渗漏，不会导致大范围的地下水污染。</w:t>
      </w:r>
    </w:p>
    <w:p w14:paraId="2D2339EC">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由于未经处理的废水污染物浓度较高，为了分析本项目由于突发事故影响导致的未经处理的废水渗漏进入地下水后运移对周边地下水环境造成的影响，通过水文地质条件概化，参照《环境影响评价技术导则—地下水环境》（HJ 610-2016）提供的常用地下水评价预测模型，基于解析法模型，结合事故情景设置，对不同污染物进入地下水后的迁移及其浓度变化情况进行预测。</w:t>
      </w:r>
    </w:p>
    <w:p w14:paraId="022D20B3">
      <w:pPr>
        <w:bidi w:val="0"/>
        <w:rPr>
          <w:rFonts w:hint="eastAsia" w:ascii="Times New Roman" w:hAnsi="Times New Roman" w:eastAsia="宋体" w:cs="Times New Roman"/>
          <w:color w:val="auto"/>
          <w:highlight w:val="none"/>
          <w:u w:val="none" w:color="auto"/>
          <w:lang w:eastAsia="zh-CN"/>
        </w:rPr>
      </w:pPr>
      <w:r>
        <w:rPr>
          <w:rFonts w:hint="eastAsia" w:ascii="Times New Roman" w:hAnsi="Times New Roman" w:eastAsia="宋体" w:cs="Times New Roman"/>
          <w:color w:val="auto"/>
          <w:highlight w:val="none"/>
          <w:u w:val="none" w:color="auto"/>
          <w:lang w:eastAsia="zh-CN"/>
        </w:rPr>
        <w:t>根据工程分析，废水经</w:t>
      </w:r>
      <w:r>
        <w:rPr>
          <w:rFonts w:hint="eastAsia" w:ascii="Times New Roman" w:hAnsi="Times New Roman" w:cs="Times New Roman"/>
          <w:color w:val="auto"/>
          <w:highlight w:val="none"/>
          <w:u w:val="none" w:color="auto"/>
          <w:lang w:val="en-US" w:eastAsia="zh-CN"/>
        </w:rPr>
        <w:t>微滤</w:t>
      </w:r>
      <w:r>
        <w:rPr>
          <w:rFonts w:hint="eastAsia" w:ascii="Times New Roman" w:hAnsi="Times New Roman" w:eastAsia="宋体" w:cs="Times New Roman"/>
          <w:color w:val="auto"/>
          <w:highlight w:val="none"/>
          <w:u w:val="none" w:color="auto"/>
          <w:lang w:eastAsia="zh-CN"/>
        </w:rPr>
        <w:t>处理后首先进入地下调节池，假设工程调节池局部破损产生裂痕，高浓度废水发生事故渗漏预测污染物对地下水的环境影响，预测因子选取COD、</w:t>
      </w:r>
      <w:r>
        <w:rPr>
          <w:rFonts w:hint="eastAsia" w:ascii="Times New Roman" w:hAnsi="Times New Roman" w:cs="Times New Roman"/>
          <w:color w:val="auto"/>
          <w:highlight w:val="none"/>
          <w:u w:val="none" w:color="auto"/>
          <w:lang w:eastAsia="zh-CN"/>
        </w:rPr>
        <w:t>NH</w:t>
      </w:r>
      <w:r>
        <w:rPr>
          <w:rFonts w:hint="eastAsia" w:ascii="Times New Roman" w:hAnsi="Times New Roman" w:cs="Times New Roman"/>
          <w:color w:val="auto"/>
          <w:highlight w:val="none"/>
          <w:u w:val="none" w:color="auto"/>
          <w:vertAlign w:val="subscript"/>
          <w:lang w:eastAsia="zh-CN"/>
        </w:rPr>
        <w:t>3</w:t>
      </w:r>
      <w:r>
        <w:rPr>
          <w:rFonts w:hint="eastAsia" w:ascii="Times New Roman" w:hAnsi="Times New Roman" w:eastAsia="宋体" w:cs="Times New Roman"/>
          <w:color w:val="auto"/>
          <w:highlight w:val="none"/>
          <w:u w:val="none" w:color="auto"/>
          <w:lang w:eastAsia="zh-CN"/>
        </w:rPr>
        <w:t>-N指标。</w:t>
      </w:r>
    </w:p>
    <w:p w14:paraId="0B7D7DF6">
      <w:pPr>
        <w:bidi w:val="0"/>
        <w:rPr>
          <w:rFonts w:hint="eastAsia"/>
          <w:lang w:eastAsia="zh-CN"/>
        </w:rPr>
      </w:pPr>
      <w:r>
        <w:rPr>
          <w:rFonts w:hint="eastAsia"/>
          <w:lang w:val="en-US" w:eastAsia="zh-CN"/>
        </w:rPr>
        <w:t>2、</w:t>
      </w:r>
      <w:r>
        <w:rPr>
          <w:rFonts w:hint="eastAsia"/>
          <w:lang w:eastAsia="zh-CN"/>
        </w:rPr>
        <w:t>预测模型</w:t>
      </w:r>
    </w:p>
    <w:p w14:paraId="33FFB07F">
      <w:pPr>
        <w:bidi w:val="0"/>
        <w:rPr>
          <w:rFonts w:hint="eastAsia"/>
          <w:lang w:eastAsia="zh-CN"/>
        </w:rPr>
      </w:pPr>
      <w:r>
        <w:rPr>
          <w:rFonts w:hint="eastAsia"/>
          <w:lang w:eastAsia="zh-CN"/>
        </w:rPr>
        <w:t>根据《环境影响评价导则 地下水环境》（HJ610-2016），二级评价项目在水文地质条件复杂且适宜使用数值法时，优先使用数值法。在模拟运移过程中，污染源注入含水层的量不足以改变区域地下水流场，水文地质条件较为简单，满足导则对解析法的使用要求。因此，本次地下水环境影响预测采用解析法进行模拟。根据《环境影响评价技术导则—地下水环境》（HJ610-2016）要求，一维稳定流动二维水动力弥散问题的瞬时注入示踪剂—平面瞬时点源边界可采用的预测数学模型为：</w:t>
      </w:r>
    </w:p>
    <w:p w14:paraId="3FA04FBD">
      <w:pPr>
        <w:pStyle w:val="42"/>
        <w:bidi w:val="0"/>
      </w:pPr>
      <w:r>
        <w:drawing>
          <wp:inline distT="0" distB="0" distL="114300" distR="114300">
            <wp:extent cx="2781300" cy="581660"/>
            <wp:effectExtent l="0" t="0" r="0" b="0"/>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pic:cNvPicPr>
                      <a:picLocks noChangeAspect="1"/>
                    </pic:cNvPicPr>
                  </pic:nvPicPr>
                  <pic:blipFill>
                    <a:blip r:embed="rId45">
                      <a:clrChange>
                        <a:clrFrom>
                          <a:srgbClr val="FFFFFF"/>
                        </a:clrFrom>
                        <a:clrTo>
                          <a:srgbClr val="FFFFFF">
                            <a:alpha val="0"/>
                          </a:srgbClr>
                        </a:clrTo>
                      </a:clrChange>
                    </a:blip>
                    <a:stretch>
                      <a:fillRect/>
                    </a:stretch>
                  </pic:blipFill>
                  <pic:spPr>
                    <a:xfrm>
                      <a:off x="0" y="0"/>
                      <a:ext cx="2781300" cy="581660"/>
                    </a:xfrm>
                    <a:prstGeom prst="rect">
                      <a:avLst/>
                    </a:prstGeom>
                    <a:noFill/>
                    <a:ln>
                      <a:noFill/>
                    </a:ln>
                  </pic:spPr>
                </pic:pic>
              </a:graphicData>
            </a:graphic>
          </wp:inline>
        </w:drawing>
      </w:r>
    </w:p>
    <w:p w14:paraId="555AFFF0">
      <w:pPr>
        <w:bidi w:val="0"/>
        <w:rPr>
          <w:rFonts w:hint="eastAsia"/>
          <w:lang w:eastAsia="zh-CN"/>
        </w:rPr>
      </w:pPr>
      <w:r>
        <w:rPr>
          <w:rFonts w:hint="eastAsia"/>
          <w:lang w:eastAsia="zh-CN"/>
        </w:rPr>
        <w:t>式中：</w:t>
      </w:r>
    </w:p>
    <w:p w14:paraId="0A340008">
      <w:pPr>
        <w:bidi w:val="0"/>
        <w:rPr>
          <w:rFonts w:hint="eastAsia"/>
          <w:lang w:eastAsia="zh-CN"/>
        </w:rPr>
      </w:pPr>
      <w:r>
        <w:rPr>
          <w:rFonts w:hint="eastAsia"/>
          <w:lang w:eastAsia="zh-CN"/>
        </w:rPr>
        <w:t>x，y—计算点处的位置坐标；</w:t>
      </w:r>
    </w:p>
    <w:p w14:paraId="570AF076">
      <w:pPr>
        <w:bidi w:val="0"/>
        <w:rPr>
          <w:rFonts w:hint="eastAsia"/>
          <w:lang w:eastAsia="zh-CN"/>
        </w:rPr>
      </w:pPr>
      <w:r>
        <w:rPr>
          <w:rFonts w:hint="eastAsia"/>
          <w:lang w:eastAsia="zh-CN"/>
        </w:rPr>
        <w:t>t—时间，d；</w:t>
      </w:r>
    </w:p>
    <w:p w14:paraId="4AE5A0FC">
      <w:pPr>
        <w:bidi w:val="0"/>
        <w:rPr>
          <w:rFonts w:hint="eastAsia"/>
          <w:lang w:eastAsia="zh-CN"/>
        </w:rPr>
      </w:pPr>
      <w:r>
        <w:rPr>
          <w:rFonts w:hint="eastAsia"/>
          <w:lang w:eastAsia="zh-CN"/>
        </w:rPr>
        <w:t>—t时刻点x，y处的污染物浓度，mg/L；</w:t>
      </w:r>
    </w:p>
    <w:p w14:paraId="530154B4">
      <w:pPr>
        <w:bidi w:val="0"/>
        <w:rPr>
          <w:rFonts w:hint="eastAsia"/>
          <w:lang w:eastAsia="zh-CN"/>
        </w:rPr>
      </w:pPr>
      <w:r>
        <w:rPr>
          <w:rFonts w:hint="eastAsia"/>
          <w:lang w:eastAsia="zh-CN"/>
        </w:rPr>
        <w:t>M—含水层厚度，m；</w:t>
      </w:r>
    </w:p>
    <w:p w14:paraId="42E54BC3">
      <w:pPr>
        <w:bidi w:val="0"/>
        <w:rPr>
          <w:rFonts w:hint="eastAsia"/>
          <w:lang w:eastAsia="zh-CN"/>
        </w:rPr>
      </w:pPr>
      <m:oMath>
        <m:sSub>
          <m:sSubPr>
            <m:ctrlPr>
              <w:rPr>
                <w:rFonts w:ascii="Cambria Math" w:hAnsi="Cambria Math" w:cs="Times New Roman" w:eastAsiaTheme="minorEastAsia"/>
                <w:i/>
              </w:rPr>
            </m:ctrlPr>
          </m:sSubPr>
          <m:e>
            <m:r>
              <m:rPr/>
              <w:rPr>
                <w:rFonts w:ascii="Cambria Math" w:hAnsi="Cambria Math" w:cs="Times New Roman" w:eastAsiaTheme="minorEastAsia"/>
              </w:rPr>
              <m:t>m</m:t>
            </m:r>
            <m:ctrlPr>
              <w:rPr>
                <w:rFonts w:ascii="Cambria Math" w:hAnsi="Cambria Math" w:cs="Times New Roman" w:eastAsiaTheme="minorEastAsia"/>
                <w:i/>
              </w:rPr>
            </m:ctrlPr>
          </m:e>
          <m:sub>
            <m:r>
              <m:rPr/>
              <w:rPr>
                <w:rFonts w:ascii="Cambria Math" w:hAnsi="Cambria Math" w:cs="Times New Roman" w:eastAsiaTheme="minorEastAsia"/>
              </w:rPr>
              <m:t>M</m:t>
            </m:r>
            <m:ctrlPr>
              <w:rPr>
                <w:rFonts w:ascii="Cambria Math" w:hAnsi="Cambria Math" w:cs="Times New Roman" w:eastAsiaTheme="minorEastAsia"/>
                <w:i/>
              </w:rPr>
            </m:ctrlPr>
          </m:sub>
        </m:sSub>
      </m:oMath>
      <w:r>
        <w:rPr>
          <w:rFonts w:hint="eastAsia"/>
          <w:lang w:eastAsia="zh-CN"/>
        </w:rPr>
        <w:t>—长度为M的线源瞬时注入示踪剂的质量，kg；</w:t>
      </w:r>
    </w:p>
    <w:p w14:paraId="6A47644D">
      <w:pPr>
        <w:bidi w:val="0"/>
        <w:rPr>
          <w:rFonts w:hint="eastAsia"/>
          <w:lang w:eastAsia="zh-CN"/>
        </w:rPr>
      </w:pPr>
      <w:r>
        <w:rPr>
          <w:rFonts w:hint="eastAsia"/>
          <w:lang w:eastAsia="zh-CN"/>
        </w:rPr>
        <w:t>ne—有效孔隙度，无量纲；</w:t>
      </w:r>
    </w:p>
    <w:p w14:paraId="35258D4E">
      <w:pPr>
        <w:bidi w:val="0"/>
        <w:rPr>
          <w:rFonts w:hint="eastAsia"/>
          <w:lang w:eastAsia="zh-CN"/>
        </w:rPr>
      </w:pPr>
      <w:r>
        <w:rPr>
          <w:rFonts w:hint="eastAsia"/>
          <w:lang w:eastAsia="zh-CN"/>
        </w:rPr>
        <w:t>u—地下水流速度，m/d；</w:t>
      </w:r>
    </w:p>
    <w:p w14:paraId="1E8F656E">
      <w:pPr>
        <w:bidi w:val="0"/>
        <w:rPr>
          <w:rFonts w:hint="eastAsia"/>
          <w:lang w:eastAsia="zh-CN"/>
        </w:rPr>
      </w:pPr>
      <w:r>
        <w:rPr>
          <w:rFonts w:hint="eastAsia"/>
          <w:lang w:eastAsia="zh-CN"/>
        </w:rPr>
        <w:t>DL—纵向x方向的弥散系数，m</w:t>
      </w:r>
      <w:r>
        <w:rPr>
          <w:rFonts w:hint="eastAsia"/>
          <w:vertAlign w:val="superscript"/>
          <w:lang w:eastAsia="zh-CN"/>
        </w:rPr>
        <w:t>2</w:t>
      </w:r>
      <w:r>
        <w:rPr>
          <w:rFonts w:hint="eastAsia"/>
          <w:lang w:eastAsia="zh-CN"/>
        </w:rPr>
        <w:t>/d；</w:t>
      </w:r>
    </w:p>
    <w:p w14:paraId="54DBDBB7">
      <w:pPr>
        <w:bidi w:val="0"/>
        <w:rPr>
          <w:rFonts w:hint="eastAsia"/>
          <w:lang w:eastAsia="zh-CN"/>
        </w:rPr>
      </w:pPr>
      <w:r>
        <w:rPr>
          <w:rFonts w:hint="eastAsia"/>
          <w:lang w:eastAsia="zh-CN"/>
        </w:rPr>
        <w:t>DT—横向y方向的弥散系数，m</w:t>
      </w:r>
      <w:r>
        <w:rPr>
          <w:rFonts w:hint="eastAsia"/>
          <w:vertAlign w:val="superscript"/>
          <w:lang w:eastAsia="zh-CN"/>
        </w:rPr>
        <w:t>2</w:t>
      </w:r>
      <w:r>
        <w:rPr>
          <w:rFonts w:hint="eastAsia"/>
          <w:lang w:eastAsia="zh-CN"/>
        </w:rPr>
        <w:t>/d；</w:t>
      </w:r>
    </w:p>
    <w:p w14:paraId="6E3760C5">
      <w:pPr>
        <w:bidi w:val="0"/>
        <w:rPr>
          <w:rFonts w:hint="eastAsia"/>
          <w:lang w:eastAsia="zh-CN"/>
        </w:rPr>
      </w:pPr>
      <w:r>
        <w:rPr>
          <w:rFonts w:hint="eastAsia"/>
          <w:lang w:eastAsia="zh-CN"/>
        </w:rPr>
        <w:t>π—圆周率。</w:t>
      </w:r>
    </w:p>
    <w:p w14:paraId="6AC8E5AA">
      <w:pPr>
        <w:bidi w:val="0"/>
        <w:rPr>
          <w:rFonts w:hint="eastAsia"/>
          <w:lang w:val="en-US" w:eastAsia="zh-CN"/>
        </w:rPr>
      </w:pPr>
      <w:r>
        <w:rPr>
          <w:rFonts w:hint="eastAsia"/>
          <w:lang w:val="en-US" w:eastAsia="zh-CN"/>
        </w:rPr>
        <w:t>3、预测参数</w:t>
      </w:r>
    </w:p>
    <w:p w14:paraId="31389067">
      <w:pPr>
        <w:bidi w:val="0"/>
        <w:rPr>
          <w:rFonts w:hint="default"/>
          <w:lang w:val="en-US" w:eastAsia="zh-CN"/>
        </w:rPr>
      </w:pPr>
      <w:r>
        <w:rPr>
          <w:rFonts w:hint="default"/>
          <w:lang w:val="en-US" w:eastAsia="zh-CN"/>
        </w:rPr>
        <w:t>（1）含水层的厚度M</w:t>
      </w:r>
    </w:p>
    <w:p w14:paraId="1D8097CD">
      <w:pPr>
        <w:bidi w:val="0"/>
        <w:rPr>
          <w:rFonts w:hint="default"/>
          <w:lang w:val="en-US" w:eastAsia="zh-CN"/>
        </w:rPr>
      </w:pPr>
      <w:r>
        <w:rPr>
          <w:rFonts w:hint="default"/>
          <w:lang w:val="en-US" w:eastAsia="zh-CN"/>
        </w:rPr>
        <w:t>评估区含水层平均厚度为35m。</w:t>
      </w:r>
    </w:p>
    <w:p w14:paraId="4A04A31C">
      <w:pPr>
        <w:bidi w:val="0"/>
        <w:rPr>
          <w:rFonts w:hint="default"/>
          <w:lang w:val="en-US" w:eastAsia="zh-CN"/>
        </w:rPr>
      </w:pPr>
      <w:r>
        <w:rPr>
          <w:rFonts w:hint="default"/>
          <w:lang w:val="en-US" w:eastAsia="zh-CN"/>
        </w:rPr>
        <w:t>（2）外泄污染物质量m</w:t>
      </w:r>
    </w:p>
    <w:p w14:paraId="3823E09C">
      <w:pPr>
        <w:bidi w:val="0"/>
        <w:rPr>
          <w:rFonts w:hint="default"/>
          <w:lang w:val="en-US" w:eastAsia="zh-CN"/>
        </w:rPr>
      </w:pPr>
      <w:r>
        <w:rPr>
          <w:rFonts w:hint="default"/>
          <w:lang w:val="en-US" w:eastAsia="zh-CN"/>
        </w:rPr>
        <w:t>根据《给水排水构筑物工程施工及验收规范》(GB50141-2008）9.2.6条，正常情况下钢筋混凝土结构水池渗水量不得超过2L/(</w:t>
      </w:r>
      <w:r>
        <w:rPr>
          <w:rFonts w:hint="eastAsia"/>
          <w:lang w:val="en-US" w:eastAsia="zh-CN"/>
        </w:rPr>
        <w:t>m</w:t>
      </w:r>
      <w:r>
        <w:rPr>
          <w:rFonts w:hint="eastAsia"/>
          <w:vertAlign w:val="superscript"/>
          <w:lang w:val="en-US" w:eastAsia="zh-CN"/>
        </w:rPr>
        <w:t>2</w:t>
      </w:r>
      <w:r>
        <w:rPr>
          <w:rFonts w:hint="default"/>
          <w:lang w:val="en-US" w:eastAsia="zh-CN"/>
        </w:rPr>
        <w:t>·d)，本评价中非正常状况下的渗水量按GB50141中限值的10倍考虑，即废水渗透强度为20L/(</w:t>
      </w:r>
      <w:r>
        <w:rPr>
          <w:rFonts w:hint="eastAsia"/>
          <w:lang w:val="en-US" w:eastAsia="zh-CN"/>
        </w:rPr>
        <w:t>m</w:t>
      </w:r>
      <w:r>
        <w:rPr>
          <w:rFonts w:hint="eastAsia"/>
          <w:vertAlign w:val="superscript"/>
          <w:lang w:val="en-US" w:eastAsia="zh-CN"/>
        </w:rPr>
        <w:t>2</w:t>
      </w:r>
      <w:r>
        <w:rPr>
          <w:rFonts w:hint="default"/>
          <w:lang w:val="en-US" w:eastAsia="zh-CN"/>
        </w:rPr>
        <w:t>·d)。设事故发生10天后排查发现并立即采取相应措施进行处理，由此计算得渗漏量。</w:t>
      </w:r>
    </w:p>
    <w:p w14:paraId="012428EE">
      <w:pPr>
        <w:pStyle w:val="39"/>
        <w:bidi w:val="0"/>
        <w:rPr>
          <w:rFonts w:hint="default"/>
          <w:lang w:val="en-US" w:eastAsia="zh-CN"/>
        </w:rPr>
      </w:pPr>
      <w:r>
        <w:rPr>
          <w:rFonts w:hint="default"/>
          <w:lang w:val="en-US" w:eastAsia="zh-CN"/>
        </w:rPr>
        <w:t xml:space="preserve">表 </w:t>
      </w:r>
      <w:r>
        <w:rPr>
          <w:rFonts w:hint="eastAsia"/>
          <w:lang w:val="en-US" w:eastAsia="zh-CN"/>
        </w:rPr>
        <w:t>6.2</w:t>
      </w:r>
      <w:r>
        <w:rPr>
          <w:rFonts w:hint="default"/>
          <w:lang w:val="en-US" w:eastAsia="zh-CN"/>
        </w:rPr>
        <w:noBreakHyphen/>
      </w:r>
      <w:r>
        <w:rPr>
          <w:rFonts w:hint="default"/>
          <w:lang w:val="en-US" w:eastAsia="zh-CN"/>
        </w:rPr>
        <w:t>2</w:t>
      </w:r>
      <w:r>
        <w:rPr>
          <w:rFonts w:hint="eastAsia"/>
          <w:lang w:val="en-US" w:eastAsia="zh-CN"/>
        </w:rPr>
        <w:t>5</w:t>
      </w:r>
      <w:r>
        <w:rPr>
          <w:rFonts w:hint="default"/>
          <w:lang w:val="en-US" w:eastAsia="zh-CN"/>
        </w:rPr>
        <w:t>地下水污染物泄漏量计算表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67"/>
        <w:gridCol w:w="1217"/>
        <w:gridCol w:w="1401"/>
        <w:gridCol w:w="1243"/>
        <w:gridCol w:w="1243"/>
        <w:gridCol w:w="1346"/>
      </w:tblGrid>
      <w:tr w14:paraId="6718A8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3" w:type="pct"/>
            <w:vAlign w:val="center"/>
          </w:tcPr>
          <w:p w14:paraId="56CBEB5B">
            <w:pPr>
              <w:pStyle w:val="42"/>
              <w:keepNext w:val="0"/>
              <w:keepLines w:val="0"/>
              <w:suppressLineNumbers w:val="0"/>
              <w:bidi w:val="0"/>
              <w:spacing w:before="0" w:beforeAutospacing="0" w:after="0" w:afterAutospacing="0"/>
              <w:rPr>
                <w:rFonts w:hint="default"/>
              </w:rPr>
            </w:pPr>
            <w:r>
              <w:rPr>
                <w:rFonts w:hint="default"/>
              </w:rPr>
              <w:t>泄漏位置</w:t>
            </w:r>
          </w:p>
        </w:tc>
        <w:tc>
          <w:tcPr>
            <w:tcW w:w="714" w:type="pct"/>
            <w:vAlign w:val="center"/>
          </w:tcPr>
          <w:p w14:paraId="54990AF2">
            <w:pPr>
              <w:pStyle w:val="42"/>
              <w:keepNext w:val="0"/>
              <w:keepLines w:val="0"/>
              <w:suppressLineNumbers w:val="0"/>
              <w:bidi w:val="0"/>
              <w:spacing w:before="0" w:beforeAutospacing="0" w:after="0" w:afterAutospacing="0"/>
              <w:rPr>
                <w:rFonts w:hint="default"/>
              </w:rPr>
            </w:pPr>
            <w:r>
              <w:rPr>
                <w:rFonts w:hint="default"/>
              </w:rPr>
              <w:t>污染因子</w:t>
            </w:r>
          </w:p>
        </w:tc>
        <w:tc>
          <w:tcPr>
            <w:tcW w:w="822" w:type="pct"/>
            <w:vAlign w:val="center"/>
          </w:tcPr>
          <w:p w14:paraId="705CDF4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泄漏面积（m</w:t>
            </w:r>
            <w:r>
              <w:rPr>
                <w:rFonts w:hint="eastAsia"/>
                <w:vertAlign w:val="superscript"/>
                <w:lang w:val="en-US" w:eastAsia="zh-CN"/>
              </w:rPr>
              <w:t>2</w:t>
            </w:r>
            <w:r>
              <w:rPr>
                <w:rFonts w:hint="eastAsia"/>
                <w:lang w:val="en-US" w:eastAsia="zh-CN"/>
              </w:rPr>
              <w:t>）</w:t>
            </w:r>
          </w:p>
        </w:tc>
        <w:tc>
          <w:tcPr>
            <w:tcW w:w="729" w:type="pct"/>
            <w:vAlign w:val="center"/>
          </w:tcPr>
          <w:p w14:paraId="78A9E612">
            <w:pPr>
              <w:pStyle w:val="42"/>
              <w:keepNext w:val="0"/>
              <w:keepLines w:val="0"/>
              <w:suppressLineNumbers w:val="0"/>
              <w:bidi w:val="0"/>
              <w:spacing w:before="0" w:beforeAutospacing="0" w:after="0" w:afterAutospacing="0"/>
              <w:rPr>
                <w:rFonts w:hint="default"/>
                <w:lang w:val="en-US" w:eastAsia="zh-CN"/>
              </w:rPr>
            </w:pPr>
            <w:r>
              <w:rPr>
                <w:rFonts w:hint="eastAsia"/>
                <w:lang w:eastAsia="zh-CN"/>
              </w:rPr>
              <w:t>渗水量</w:t>
            </w:r>
            <w:r>
              <w:rPr>
                <w:rFonts w:hint="default"/>
              </w:rPr>
              <w:t>(</w:t>
            </w:r>
            <w:r>
              <w:rPr>
                <w:rFonts w:hint="eastAsia"/>
                <w:lang w:val="en-US" w:eastAsia="zh-CN"/>
              </w:rPr>
              <w:t>m</w:t>
            </w:r>
            <w:r>
              <w:rPr>
                <w:rFonts w:hint="eastAsia"/>
                <w:vertAlign w:val="superscript"/>
                <w:lang w:val="en-US" w:eastAsia="zh-CN"/>
              </w:rPr>
              <w:t>3</w:t>
            </w:r>
            <w:r>
              <w:rPr>
                <w:rFonts w:hint="default"/>
              </w:rPr>
              <w:t>)</w:t>
            </w:r>
          </w:p>
        </w:tc>
        <w:tc>
          <w:tcPr>
            <w:tcW w:w="729" w:type="pct"/>
            <w:vAlign w:val="center"/>
          </w:tcPr>
          <w:p w14:paraId="727C4067">
            <w:pPr>
              <w:pStyle w:val="42"/>
              <w:keepNext w:val="0"/>
              <w:keepLines w:val="0"/>
              <w:suppressLineNumbers w:val="0"/>
              <w:bidi w:val="0"/>
              <w:spacing w:before="0" w:beforeAutospacing="0" w:after="0" w:afterAutospacing="0"/>
              <w:rPr>
                <w:rFonts w:hint="default"/>
                <w:lang w:val="en-US" w:eastAsia="zh-CN"/>
              </w:rPr>
            </w:pPr>
            <w:r>
              <w:rPr>
                <w:rFonts w:hint="eastAsia"/>
                <w:lang w:eastAsia="zh-CN"/>
              </w:rPr>
              <w:t>浓度</w:t>
            </w:r>
            <w:r>
              <w:rPr>
                <w:rFonts w:hint="default"/>
              </w:rPr>
              <w:t>(mg/L)</w:t>
            </w:r>
          </w:p>
        </w:tc>
        <w:tc>
          <w:tcPr>
            <w:tcW w:w="790" w:type="pct"/>
            <w:vAlign w:val="center"/>
          </w:tcPr>
          <w:p w14:paraId="2F5D8356">
            <w:pPr>
              <w:pStyle w:val="42"/>
              <w:keepNext w:val="0"/>
              <w:keepLines w:val="0"/>
              <w:suppressLineNumbers w:val="0"/>
              <w:bidi w:val="0"/>
              <w:spacing w:before="0" w:beforeAutospacing="0" w:after="0" w:afterAutospacing="0"/>
              <w:rPr>
                <w:rFonts w:hint="eastAsia"/>
                <w:lang w:eastAsia="zh-CN"/>
              </w:rPr>
            </w:pPr>
            <w:r>
              <w:rPr>
                <w:rFonts w:hint="eastAsia"/>
                <w:lang w:eastAsia="zh-CN"/>
              </w:rPr>
              <w:t>渗漏量（</w:t>
            </w:r>
            <w:r>
              <w:rPr>
                <w:rFonts w:hint="eastAsia"/>
                <w:lang w:val="en-US" w:eastAsia="zh-CN"/>
              </w:rPr>
              <w:t>kg</w:t>
            </w:r>
            <w:r>
              <w:rPr>
                <w:rFonts w:hint="eastAsia"/>
                <w:lang w:eastAsia="zh-CN"/>
              </w:rPr>
              <w:t>）</w:t>
            </w:r>
          </w:p>
        </w:tc>
      </w:tr>
      <w:tr w14:paraId="34E0ED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3" w:type="pct"/>
            <w:vMerge w:val="restart"/>
            <w:vAlign w:val="center"/>
          </w:tcPr>
          <w:p w14:paraId="5161E15A">
            <w:pPr>
              <w:pStyle w:val="42"/>
              <w:keepNext w:val="0"/>
              <w:keepLines w:val="0"/>
              <w:suppressLineNumbers w:val="0"/>
              <w:bidi w:val="0"/>
              <w:spacing w:before="0" w:beforeAutospacing="0" w:after="0" w:afterAutospacing="0"/>
              <w:rPr>
                <w:rFonts w:hint="eastAsia" w:eastAsia="宋体"/>
                <w:lang w:eastAsia="zh-CN"/>
              </w:rPr>
            </w:pPr>
            <w:r>
              <w:rPr>
                <w:rFonts w:hint="eastAsia"/>
                <w:lang w:val="en-US" w:eastAsia="zh-CN"/>
              </w:rPr>
              <w:t>调节池</w:t>
            </w:r>
          </w:p>
        </w:tc>
        <w:tc>
          <w:tcPr>
            <w:tcW w:w="714" w:type="pct"/>
            <w:vAlign w:val="center"/>
          </w:tcPr>
          <w:p w14:paraId="464100F2">
            <w:pPr>
              <w:pStyle w:val="42"/>
              <w:keepNext w:val="0"/>
              <w:keepLines w:val="0"/>
              <w:suppressLineNumbers w:val="0"/>
              <w:bidi w:val="0"/>
              <w:spacing w:before="0" w:beforeAutospacing="0" w:after="0" w:afterAutospacing="0"/>
              <w:rPr>
                <w:rFonts w:hint="default"/>
              </w:rPr>
            </w:pPr>
            <w:r>
              <w:rPr>
                <w:rFonts w:hint="default"/>
              </w:rPr>
              <w:t>COD</w:t>
            </w:r>
            <w:r>
              <w:rPr>
                <w:rFonts w:hint="default"/>
                <w:vertAlign w:val="subscript"/>
              </w:rPr>
              <w:t>Mn</w:t>
            </w:r>
          </w:p>
        </w:tc>
        <w:tc>
          <w:tcPr>
            <w:tcW w:w="822" w:type="pct"/>
            <w:vAlign w:val="center"/>
          </w:tcPr>
          <w:p w14:paraId="04BE0E3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w:t>
            </w:r>
          </w:p>
        </w:tc>
        <w:tc>
          <w:tcPr>
            <w:tcW w:w="729" w:type="pct"/>
            <w:vAlign w:val="center"/>
          </w:tcPr>
          <w:p w14:paraId="72D0FBBA">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3</w:t>
            </w:r>
          </w:p>
        </w:tc>
        <w:tc>
          <w:tcPr>
            <w:tcW w:w="729" w:type="pct"/>
            <w:vAlign w:val="center"/>
          </w:tcPr>
          <w:p w14:paraId="55495F61">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6000</w:t>
            </w:r>
          </w:p>
        </w:tc>
        <w:tc>
          <w:tcPr>
            <w:tcW w:w="790" w:type="pct"/>
            <w:vAlign w:val="center"/>
          </w:tcPr>
          <w:p w14:paraId="0503284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18</w:t>
            </w:r>
          </w:p>
        </w:tc>
      </w:tr>
      <w:tr w14:paraId="183DC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3" w:type="pct"/>
            <w:vMerge w:val="continue"/>
            <w:vAlign w:val="center"/>
          </w:tcPr>
          <w:p w14:paraId="6D8E9759">
            <w:pPr>
              <w:pStyle w:val="42"/>
              <w:keepNext w:val="0"/>
              <w:keepLines w:val="0"/>
              <w:suppressLineNumbers w:val="0"/>
              <w:bidi w:val="0"/>
              <w:spacing w:before="0" w:beforeAutospacing="0" w:after="0" w:afterAutospacing="0"/>
              <w:rPr>
                <w:rFonts w:hint="default"/>
              </w:rPr>
            </w:pPr>
          </w:p>
        </w:tc>
        <w:tc>
          <w:tcPr>
            <w:tcW w:w="714" w:type="pct"/>
            <w:vAlign w:val="center"/>
          </w:tcPr>
          <w:p w14:paraId="0BE48101">
            <w:pPr>
              <w:pStyle w:val="42"/>
              <w:keepNext w:val="0"/>
              <w:keepLines w:val="0"/>
              <w:suppressLineNumbers w:val="0"/>
              <w:bidi w:val="0"/>
              <w:spacing w:before="0" w:beforeAutospacing="0" w:after="0" w:afterAutospacing="0"/>
              <w:rPr>
                <w:rFonts w:hint="default"/>
              </w:rPr>
            </w:pPr>
            <w:r>
              <w:rPr>
                <w:rFonts w:hint="eastAsia"/>
                <w:lang w:eastAsia="zh-CN"/>
              </w:rPr>
              <w:t>NH</w:t>
            </w:r>
            <w:r>
              <w:rPr>
                <w:rFonts w:hint="eastAsia"/>
                <w:vertAlign w:val="subscript"/>
                <w:lang w:eastAsia="zh-CN"/>
              </w:rPr>
              <w:t>3</w:t>
            </w:r>
            <w:r>
              <w:rPr>
                <w:rFonts w:hint="default"/>
              </w:rPr>
              <w:t>-N</w:t>
            </w:r>
          </w:p>
        </w:tc>
        <w:tc>
          <w:tcPr>
            <w:tcW w:w="822" w:type="pct"/>
            <w:vAlign w:val="center"/>
          </w:tcPr>
          <w:p w14:paraId="440E864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15</w:t>
            </w:r>
          </w:p>
        </w:tc>
        <w:tc>
          <w:tcPr>
            <w:tcW w:w="729" w:type="pct"/>
            <w:vAlign w:val="center"/>
          </w:tcPr>
          <w:p w14:paraId="27A54106">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3</w:t>
            </w:r>
          </w:p>
        </w:tc>
        <w:tc>
          <w:tcPr>
            <w:tcW w:w="729" w:type="pct"/>
            <w:vAlign w:val="center"/>
          </w:tcPr>
          <w:p w14:paraId="206814F2">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100</w:t>
            </w:r>
          </w:p>
        </w:tc>
        <w:tc>
          <w:tcPr>
            <w:tcW w:w="790" w:type="pct"/>
            <w:vAlign w:val="center"/>
          </w:tcPr>
          <w:p w14:paraId="77E16B0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0.3</w:t>
            </w:r>
          </w:p>
        </w:tc>
      </w:tr>
    </w:tbl>
    <w:p w14:paraId="67FD3677">
      <w:pPr>
        <w:bidi w:val="0"/>
        <w:rPr>
          <w:rFonts w:hint="default"/>
          <w:lang w:val="en-US" w:eastAsia="zh-CN"/>
        </w:rPr>
      </w:pPr>
      <w:r>
        <w:rPr>
          <w:rFonts w:hint="default"/>
          <w:lang w:val="en-US" w:eastAsia="zh-CN"/>
        </w:rPr>
        <w:t>（3）有效孔隙度ne</w:t>
      </w:r>
    </w:p>
    <w:p w14:paraId="750E9C6C">
      <w:pPr>
        <w:bidi w:val="0"/>
        <w:rPr>
          <w:rFonts w:hint="default"/>
          <w:lang w:val="en-US" w:eastAsia="zh-CN"/>
        </w:rPr>
      </w:pPr>
      <w:r>
        <w:rPr>
          <w:rFonts w:hint="default"/>
          <w:lang w:val="en-US" w:eastAsia="zh-CN"/>
        </w:rPr>
        <w:t>根据相关经验，有效孔隙度在0.1-0.5之间，本项目取0.3。</w:t>
      </w:r>
    </w:p>
    <w:p w14:paraId="53839FCA">
      <w:pPr>
        <w:bidi w:val="0"/>
        <w:rPr>
          <w:rFonts w:hint="default"/>
          <w:lang w:val="en-US" w:eastAsia="zh-CN"/>
        </w:rPr>
      </w:pPr>
      <w:r>
        <w:rPr>
          <w:rFonts w:hint="default"/>
          <w:lang w:val="en-US" w:eastAsia="zh-CN"/>
        </w:rPr>
        <w:t>（4）地下水平均流速</w:t>
      </w:r>
    </w:p>
    <w:p w14:paraId="30883F7C">
      <w:pPr>
        <w:bidi w:val="0"/>
        <w:rPr>
          <w:rFonts w:hint="default"/>
          <w:lang w:val="en-US" w:eastAsia="zh-CN"/>
        </w:rPr>
      </w:pPr>
      <w:r>
        <w:rPr>
          <w:rFonts w:hint="default"/>
          <w:lang w:val="en-US" w:eastAsia="zh-CN"/>
        </w:rPr>
        <w:t>采用经验公式法达西公式推求地下水流速，式中：</w:t>
      </w:r>
    </w:p>
    <w:p w14:paraId="7AAA02E3">
      <w:pPr>
        <w:bidi w:val="0"/>
        <w:rPr>
          <w:rFonts w:hint="default"/>
          <w:lang w:val="en-US" w:eastAsia="zh-CN"/>
        </w:rPr>
      </w:pPr>
      <w:r>
        <w:rPr>
          <w:rFonts w:hint="default"/>
          <w:lang w:val="en-US" w:eastAsia="zh-CN"/>
        </w:rPr>
        <w:t>u =KI/n</w:t>
      </w:r>
    </w:p>
    <w:p w14:paraId="39398A42">
      <w:pPr>
        <w:bidi w:val="0"/>
        <w:rPr>
          <w:rFonts w:hint="default"/>
          <w:lang w:val="en-US" w:eastAsia="zh-CN"/>
        </w:rPr>
      </w:pPr>
      <w:r>
        <w:rPr>
          <w:rFonts w:hint="default"/>
          <w:lang w:val="en-US" w:eastAsia="zh-CN"/>
        </w:rPr>
        <w:t>K—渗透系数，</w:t>
      </w:r>
    </w:p>
    <w:p w14:paraId="7789333A">
      <w:pPr>
        <w:bidi w:val="0"/>
        <w:rPr>
          <w:rFonts w:hint="default"/>
          <w:lang w:val="en-US" w:eastAsia="zh-CN"/>
        </w:rPr>
      </w:pPr>
      <w:r>
        <w:rPr>
          <w:rFonts w:hint="default"/>
          <w:lang w:val="en-US" w:eastAsia="zh-CN"/>
        </w:rPr>
        <w:t>I—地下水水力坡度，无量纲；</w:t>
      </w:r>
    </w:p>
    <w:p w14:paraId="126DBFC8">
      <w:pPr>
        <w:bidi w:val="0"/>
        <w:rPr>
          <w:rFonts w:hint="default"/>
          <w:lang w:val="en-US" w:eastAsia="zh-CN"/>
        </w:rPr>
      </w:pPr>
      <w:r>
        <w:rPr>
          <w:rFonts w:hint="default"/>
          <w:lang w:val="en-US" w:eastAsia="zh-CN"/>
        </w:rPr>
        <w:t>n—为有效孔隙率，无量纲，参考《地下水污染模拟预测评估工作指南（试行）》，有效孔隙度取0.30。</w:t>
      </w:r>
    </w:p>
    <w:p w14:paraId="4647BFDE">
      <w:pPr>
        <w:bidi w:val="0"/>
        <w:rPr>
          <w:rFonts w:hint="default"/>
          <w:lang w:val="en-US" w:eastAsia="zh-CN"/>
        </w:rPr>
      </w:pPr>
      <w:r>
        <w:rPr>
          <w:rFonts w:hint="default"/>
          <w:lang w:val="en-US" w:eastAsia="zh-CN"/>
        </w:rPr>
        <w:t>评估区地下水水力梯度在0.1%~0.15%，本项目取0.15%；拟建场地渗透系数取2.0×10</w:t>
      </w:r>
      <w:r>
        <w:rPr>
          <w:rFonts w:hint="default"/>
          <w:vertAlign w:val="superscript"/>
          <w:lang w:val="en-US" w:eastAsia="zh-CN"/>
        </w:rPr>
        <w:t>-4</w:t>
      </w:r>
      <w:r>
        <w:rPr>
          <w:rFonts w:hint="default"/>
          <w:lang w:val="en-US" w:eastAsia="zh-CN"/>
        </w:rPr>
        <w:t>cm/s，0.173m/d。因此场区内含水层地下水流速为</w:t>
      </w:r>
    </w:p>
    <w:p w14:paraId="171012B6">
      <w:pPr>
        <w:pStyle w:val="39"/>
        <w:bidi w:val="0"/>
        <w:rPr>
          <w:color w:val="auto"/>
          <w:kern w:val="20"/>
          <w:sz w:val="30"/>
          <w:u w:val="none"/>
        </w:rPr>
      </w:pPr>
      <w:r>
        <w:rPr>
          <w:color w:val="auto"/>
          <w:kern w:val="20"/>
          <w:sz w:val="30"/>
          <w:u w:val="none"/>
        </w:rPr>
        <w:drawing>
          <wp:inline distT="0" distB="0" distL="114300" distR="114300">
            <wp:extent cx="447040" cy="447040"/>
            <wp:effectExtent l="0" t="0" r="10160" b="0"/>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447040" cy="447040"/>
                    </a:xfrm>
                    <a:prstGeom prst="rect">
                      <a:avLst/>
                    </a:prstGeom>
                    <a:noFill/>
                    <a:ln>
                      <a:noFill/>
                    </a:ln>
                  </pic:spPr>
                </pic:pic>
              </a:graphicData>
            </a:graphic>
          </wp:inline>
        </w:drawing>
      </w:r>
    </w:p>
    <w:p w14:paraId="0A27B61B">
      <w:pPr>
        <w:bidi w:val="0"/>
        <w:rPr>
          <w:rFonts w:hint="default"/>
          <w:lang w:val="en-US" w:eastAsia="zh-CN"/>
        </w:rPr>
      </w:pPr>
      <w:r>
        <w:rPr>
          <w:rFonts w:hint="default"/>
          <w:lang w:val="en-US" w:eastAsia="zh-CN"/>
        </w:rPr>
        <w:t>则u=0.173m/d×0.0015/0.3=0.0009m/d。</w:t>
      </w:r>
    </w:p>
    <w:p w14:paraId="74139A04">
      <w:pPr>
        <w:bidi w:val="0"/>
        <w:rPr>
          <w:rFonts w:hint="default"/>
          <w:lang w:val="en-US" w:eastAsia="zh-CN"/>
        </w:rPr>
      </w:pPr>
      <w:r>
        <w:rPr>
          <w:rFonts w:hint="default"/>
          <w:lang w:val="en-US" w:eastAsia="zh-CN"/>
        </w:rPr>
        <w:t>（5）弥散系数</w:t>
      </w:r>
    </w:p>
    <w:p w14:paraId="3283133C">
      <w:pPr>
        <w:bidi w:val="0"/>
        <w:rPr>
          <w:rFonts w:hint="default"/>
          <w:lang w:val="en-US" w:eastAsia="zh-CN"/>
        </w:rPr>
      </w:pPr>
      <w:r>
        <w:rPr>
          <w:rFonts w:hint="default"/>
          <w:lang w:val="en-US" w:eastAsia="zh-CN"/>
        </w:rPr>
        <w:t>弥散系数是污染物溶质运移的关键参数，地质介质中溶质运移主要受渗透系数在空间上变化的制约，即地质介质的结构影响。这一空间上变化影响到地下水流速，从而影响到溶质的对流与弥散。考虑到弥散系数的尺度效应问题，参考孔隙介质解析模型，结合本次评价的模型研究尺度大小，综合确定弥散度的取值应介于1-10之间，按照偏保守的评价原则，本次计算弥散度取10，由此计算项目场地内的纵向弥散系数：</w:t>
      </w:r>
    </w:p>
    <w:p w14:paraId="247D1641">
      <w:pPr>
        <w:pStyle w:val="42"/>
        <w:bidi w:val="0"/>
      </w:pPr>
      <w:r>
        <w:drawing>
          <wp:inline distT="0" distB="0" distL="114300" distR="114300">
            <wp:extent cx="789940" cy="247015"/>
            <wp:effectExtent l="0" t="0" r="10160"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
                    <pic:cNvPicPr>
                      <a:picLocks noChangeAspect="1"/>
                    </pic:cNvPicPr>
                  </pic:nvPicPr>
                  <pic:blipFill>
                    <a:blip r:embed="rId47">
                      <a:clrChange>
                        <a:clrFrom>
                          <a:srgbClr val="FFFFFF"/>
                        </a:clrFrom>
                        <a:clrTo>
                          <a:srgbClr val="FFFFFF">
                            <a:alpha val="0"/>
                          </a:srgbClr>
                        </a:clrTo>
                      </a:clrChange>
                    </a:blip>
                    <a:stretch>
                      <a:fillRect/>
                    </a:stretch>
                  </pic:blipFill>
                  <pic:spPr>
                    <a:xfrm>
                      <a:off x="0" y="0"/>
                      <a:ext cx="789940" cy="247015"/>
                    </a:xfrm>
                    <a:prstGeom prst="rect">
                      <a:avLst/>
                    </a:prstGeom>
                    <a:noFill/>
                    <a:ln>
                      <a:noFill/>
                    </a:ln>
                  </pic:spPr>
                </pic:pic>
              </a:graphicData>
            </a:graphic>
          </wp:inline>
        </w:drawing>
      </w:r>
    </w:p>
    <w:p w14:paraId="15D3F481">
      <w:pPr>
        <w:bidi w:val="0"/>
        <w:rPr>
          <w:rFonts w:hint="default"/>
          <w:lang w:val="en-US" w:eastAsia="zh-CN"/>
        </w:rPr>
      </w:pPr>
      <w:r>
        <w:rPr>
          <w:rFonts w:hint="default"/>
          <w:lang w:val="en-US" w:eastAsia="zh-CN"/>
        </w:rPr>
        <w:t>式中：</w:t>
      </w:r>
    </w:p>
    <w:p w14:paraId="5AF2E7D9">
      <w:pPr>
        <w:bidi w:val="0"/>
        <w:rPr>
          <w:rFonts w:hint="default"/>
          <w:lang w:val="en-US" w:eastAsia="zh-CN"/>
        </w:rPr>
      </w:pPr>
      <m:oMath>
        <m:sSub>
          <m:sSubPr>
            <m:ctrlPr>
              <w:rPr>
                <w:rFonts w:ascii="Cambria Math" w:hAnsi="Cambria Math" w:cs="Times New Roman" w:eastAsiaTheme="minorEastAsia"/>
              </w:rPr>
            </m:ctrlPr>
          </m:sSubPr>
          <m:e>
            <m:r>
              <m:rPr/>
              <w:rPr>
                <w:rFonts w:ascii="Cambria Math" w:hAnsi="Cambria Math" w:cs="Times New Roman" w:eastAsiaTheme="minorEastAsia"/>
              </w:rPr>
              <m:t>D</m:t>
            </m:r>
            <m:ctrlPr>
              <w:rPr>
                <w:rFonts w:ascii="Cambria Math" w:hAnsi="Cambria Math" w:cs="Times New Roman" w:eastAsiaTheme="minorEastAsia"/>
              </w:rPr>
            </m:ctrlPr>
          </m:e>
          <m:sub>
            <m:r>
              <m:rPr/>
              <w:rPr>
                <w:rFonts w:ascii="Cambria Math" w:hAnsi="Cambria Math" w:cs="Times New Roman" w:eastAsiaTheme="minorEastAsia"/>
              </w:rPr>
              <m:t>L</m:t>
            </m:r>
            <m:ctrlPr>
              <w:rPr>
                <w:rFonts w:ascii="Cambria Math" w:hAnsi="Cambria Math" w:cs="Times New Roman" w:eastAsiaTheme="minorEastAsia"/>
              </w:rPr>
            </m:ctrlPr>
          </m:sub>
        </m:sSub>
      </m:oMath>
      <w:r>
        <w:rPr>
          <w:rFonts w:hint="default"/>
          <w:lang w:val="en-US" w:eastAsia="zh-CN"/>
        </w:rPr>
        <w:t>—土层中的纵向弥散系数（</w:t>
      </w:r>
      <w:r>
        <w:rPr>
          <w:rFonts w:hint="eastAsia"/>
          <w:lang w:val="en-US" w:eastAsia="zh-CN"/>
        </w:rPr>
        <w:t>m</w:t>
      </w:r>
      <w:r>
        <w:rPr>
          <w:rFonts w:hint="eastAsia"/>
          <w:vertAlign w:val="superscript"/>
          <w:lang w:val="en-US" w:eastAsia="zh-CN"/>
        </w:rPr>
        <w:t>2</w:t>
      </w:r>
      <w:r>
        <w:rPr>
          <w:rFonts w:hint="default"/>
          <w:lang w:val="en-US" w:eastAsia="zh-CN"/>
        </w:rPr>
        <w:t>/d）；</w:t>
      </w:r>
    </w:p>
    <w:p w14:paraId="2D6D3DDE">
      <w:pPr>
        <w:bidi w:val="0"/>
        <w:rPr>
          <w:rFonts w:hint="default"/>
          <w:lang w:val="en-US" w:eastAsia="zh-CN"/>
        </w:rPr>
      </w:pPr>
      <m:oMath>
        <m:sSub>
          <m:sSubPr>
            <m:ctrlPr>
              <w:rPr>
                <w:rFonts w:ascii="Cambria Math" w:hAnsi="Cambria Math" w:cs="Times New Roman" w:eastAsiaTheme="minorEastAsia"/>
                <w:i/>
              </w:rPr>
            </m:ctrlPr>
          </m:sSubPr>
          <m:e>
            <m:r>
              <m:rPr/>
              <w:rPr>
                <w:rFonts w:ascii="Cambria Math" w:hAnsi="Cambria Math" w:cs="Times New Roman" w:eastAsiaTheme="minorEastAsia"/>
              </w:rPr>
              <m:t>α</m:t>
            </m:r>
            <m:ctrlPr>
              <w:rPr>
                <w:rFonts w:ascii="Cambria Math" w:hAnsi="Cambria Math" w:cs="Times New Roman" w:eastAsiaTheme="minorEastAsia"/>
                <w:i/>
              </w:rPr>
            </m:ctrlPr>
          </m:e>
          <m:sub>
            <m:r>
              <m:rPr/>
              <w:rPr>
                <w:rFonts w:ascii="Cambria Math" w:hAnsi="Cambria Math" w:cs="Times New Roman" w:eastAsiaTheme="minorEastAsia"/>
              </w:rPr>
              <m:t>L</m:t>
            </m:r>
            <m:ctrlPr>
              <w:rPr>
                <w:rFonts w:ascii="Cambria Math" w:hAnsi="Cambria Math" w:cs="Times New Roman" w:eastAsiaTheme="minorEastAsia"/>
                <w:i/>
              </w:rPr>
            </m:ctrlPr>
          </m:sub>
        </m:sSub>
      </m:oMath>
      <w:r>
        <w:rPr>
          <w:rFonts w:hint="default"/>
          <w:lang w:val="en-US" w:eastAsia="zh-CN"/>
        </w:rPr>
        <w:t>—土层中的弥散度（m）；</w:t>
      </w:r>
    </w:p>
    <w:p w14:paraId="2E1B3AFA">
      <w:pPr>
        <w:bidi w:val="0"/>
        <w:rPr>
          <w:rFonts w:hint="default"/>
          <w:lang w:val="en-US" w:eastAsia="zh-CN"/>
        </w:rPr>
      </w:pPr>
      <w:r>
        <w:rPr>
          <w:rFonts w:hint="default"/>
          <w:lang w:val="en-US" w:eastAsia="zh-CN"/>
        </w:rPr>
        <w:t>u—土层中的地下水的流速（m/d）。</w:t>
      </w:r>
    </w:p>
    <w:p w14:paraId="276195F1">
      <w:pPr>
        <w:bidi w:val="0"/>
        <w:rPr>
          <w:rFonts w:hint="default"/>
          <w:lang w:val="en-US" w:eastAsia="zh-CN"/>
        </w:rPr>
      </w:pPr>
      <w:r>
        <w:rPr>
          <w:rFonts w:hint="default"/>
          <w:lang w:val="en-US" w:eastAsia="zh-CN"/>
        </w:rPr>
        <w:t>按照上式计算可得场地的纵向弥散系数=0.009</w:t>
      </w:r>
      <w:r>
        <w:rPr>
          <w:rFonts w:hint="eastAsia"/>
          <w:lang w:val="en-US" w:eastAsia="zh-CN"/>
        </w:rPr>
        <w:t>m</w:t>
      </w:r>
      <w:r>
        <w:rPr>
          <w:rFonts w:hint="eastAsia"/>
          <w:vertAlign w:val="superscript"/>
          <w:lang w:val="en-US" w:eastAsia="zh-CN"/>
        </w:rPr>
        <w:t>2</w:t>
      </w:r>
      <w:r>
        <w:rPr>
          <w:rFonts w:hint="default"/>
          <w:lang w:val="en-US" w:eastAsia="zh-CN"/>
        </w:rPr>
        <w:t>/d。</w:t>
      </w:r>
    </w:p>
    <w:p w14:paraId="6DD32724">
      <w:pPr>
        <w:bidi w:val="0"/>
        <w:rPr>
          <w:rFonts w:hint="default"/>
          <w:lang w:val="en-US" w:eastAsia="zh-CN"/>
        </w:rPr>
      </w:pPr>
      <w:r>
        <w:rPr>
          <w:rFonts w:hint="default"/>
          <w:lang w:val="en-US" w:eastAsia="zh-CN"/>
        </w:rPr>
        <w:t>（6）横向弥散系数DT</w:t>
      </w:r>
    </w:p>
    <w:p w14:paraId="780DC588">
      <w:pPr>
        <w:bidi w:val="0"/>
        <w:rPr>
          <w:rFonts w:hint="default"/>
          <w:lang w:val="en-US" w:eastAsia="zh-CN"/>
        </w:rPr>
      </w:pPr>
      <w:r>
        <w:rPr>
          <w:rFonts w:hint="default"/>
          <w:lang w:val="en-US" w:eastAsia="zh-CN"/>
        </w:rPr>
        <w:t>根据经验，横向弥散系数是纵向弥散系数的比值为0.1，因此DT=0.0009</w:t>
      </w:r>
      <w:r>
        <w:rPr>
          <w:rFonts w:hint="eastAsia"/>
          <w:lang w:val="en-US" w:eastAsia="zh-CN"/>
        </w:rPr>
        <w:t>m</w:t>
      </w:r>
      <w:r>
        <w:rPr>
          <w:rFonts w:hint="eastAsia"/>
          <w:vertAlign w:val="superscript"/>
          <w:lang w:val="en-US" w:eastAsia="zh-CN"/>
        </w:rPr>
        <w:t>2</w:t>
      </w:r>
      <w:r>
        <w:rPr>
          <w:rFonts w:hint="default"/>
          <w:lang w:val="en-US" w:eastAsia="zh-CN"/>
        </w:rPr>
        <w:t>/d。</w:t>
      </w:r>
    </w:p>
    <w:p w14:paraId="78C6728C">
      <w:pPr>
        <w:bidi w:val="0"/>
        <w:rPr>
          <w:rFonts w:hint="default"/>
          <w:lang w:val="en-US" w:eastAsia="zh-CN"/>
        </w:rPr>
      </w:pPr>
      <w:r>
        <w:rPr>
          <w:rFonts w:hint="eastAsia"/>
          <w:lang w:val="en-US" w:eastAsia="zh-CN"/>
        </w:rPr>
        <w:t>（7）参数汇总</w:t>
      </w:r>
    </w:p>
    <w:p w14:paraId="0338D9E6">
      <w:pPr>
        <w:bidi w:val="0"/>
        <w:rPr>
          <w:rFonts w:hint="default"/>
          <w:lang w:val="en-US" w:eastAsia="zh-CN"/>
        </w:rPr>
      </w:pPr>
      <w:r>
        <w:rPr>
          <w:rFonts w:hint="default"/>
          <w:lang w:val="en-US" w:eastAsia="zh-CN"/>
        </w:rPr>
        <w:t>根据上述求得的各参数，估算得结果如下表所示。</w:t>
      </w:r>
    </w:p>
    <w:p w14:paraId="342AE68F">
      <w:pPr>
        <w:pStyle w:val="39"/>
        <w:bidi w:val="0"/>
        <w:rPr>
          <w:rFonts w:hint="default"/>
          <w:lang w:val="en-US" w:eastAsia="zh-CN"/>
        </w:rPr>
      </w:pPr>
      <w:r>
        <w:rPr>
          <w:rFonts w:hint="default"/>
          <w:lang w:val="en-US" w:eastAsia="zh-CN"/>
        </w:rPr>
        <w:t>表</w:t>
      </w:r>
      <w:r>
        <w:rPr>
          <w:rFonts w:hint="eastAsia"/>
          <w:lang w:val="en-US" w:eastAsia="zh-CN"/>
        </w:rPr>
        <w:t>6.2</w:t>
      </w:r>
      <w:r>
        <w:rPr>
          <w:rFonts w:hint="default"/>
          <w:lang w:val="en-US" w:eastAsia="zh-CN"/>
        </w:rPr>
        <w:t>-</w:t>
      </w:r>
      <w:r>
        <w:rPr>
          <w:rFonts w:hint="eastAsia"/>
          <w:lang w:val="en-US" w:eastAsia="zh-CN"/>
        </w:rPr>
        <w:t xml:space="preserve">26 </w:t>
      </w:r>
      <w:r>
        <w:rPr>
          <w:rFonts w:hint="default"/>
          <w:lang w:val="en-US" w:eastAsia="zh-CN"/>
        </w:rPr>
        <w:t>地下水预测需用参数取值汇总表</w:t>
      </w:r>
    </w:p>
    <w:tbl>
      <w:tblPr>
        <w:tblStyle w:val="3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2065"/>
        <w:gridCol w:w="1086"/>
        <w:gridCol w:w="1087"/>
        <w:gridCol w:w="1087"/>
        <w:gridCol w:w="1087"/>
        <w:gridCol w:w="1087"/>
      </w:tblGrid>
      <w:tr w14:paraId="087088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 w:type="pct"/>
            <w:vAlign w:val="center"/>
          </w:tcPr>
          <w:p w14:paraId="568E1FE0">
            <w:pPr>
              <w:pStyle w:val="42"/>
              <w:keepNext w:val="0"/>
              <w:keepLines w:val="0"/>
              <w:suppressLineNumbers w:val="0"/>
              <w:bidi w:val="0"/>
              <w:spacing w:before="0" w:beforeAutospacing="0" w:after="0" w:afterAutospacing="0"/>
              <w:rPr>
                <w:rFonts w:hint="default"/>
              </w:rPr>
            </w:pPr>
            <w:r>
              <w:rPr>
                <w:rFonts w:hint="default"/>
              </w:rPr>
              <w:t>参数</w:t>
            </w:r>
          </w:p>
        </w:tc>
        <w:tc>
          <w:tcPr>
            <w:tcW w:w="1211" w:type="pct"/>
            <w:vAlign w:val="center"/>
          </w:tcPr>
          <w:p w14:paraId="4C53552E">
            <w:pPr>
              <w:pStyle w:val="42"/>
              <w:keepNext w:val="0"/>
              <w:keepLines w:val="0"/>
              <w:suppressLineNumbers w:val="0"/>
              <w:bidi w:val="0"/>
              <w:spacing w:before="0" w:beforeAutospacing="0" w:after="0" w:afterAutospacing="0"/>
              <w:rPr>
                <w:rFonts w:hint="default"/>
              </w:rPr>
            </w:pPr>
            <w:r>
              <w:rPr>
                <w:rFonts w:hint="default"/>
              </w:rPr>
              <w:t>m</w:t>
            </w:r>
          </w:p>
        </w:tc>
        <w:tc>
          <w:tcPr>
            <w:tcW w:w="637" w:type="pct"/>
            <w:vAlign w:val="center"/>
          </w:tcPr>
          <w:p w14:paraId="1D412884">
            <w:pPr>
              <w:pStyle w:val="42"/>
              <w:keepNext w:val="0"/>
              <w:keepLines w:val="0"/>
              <w:suppressLineNumbers w:val="0"/>
              <w:bidi w:val="0"/>
              <w:spacing w:before="0" w:beforeAutospacing="0" w:after="0" w:afterAutospacing="0"/>
              <w:rPr>
                <w:rFonts w:hint="default"/>
              </w:rPr>
            </w:pPr>
            <w:r>
              <w:rPr>
                <w:rFonts w:hint="default"/>
              </w:rPr>
              <w:t>M</w:t>
            </w:r>
          </w:p>
        </w:tc>
        <w:tc>
          <w:tcPr>
            <w:tcW w:w="637" w:type="pct"/>
            <w:vAlign w:val="center"/>
          </w:tcPr>
          <w:p w14:paraId="04FB85EF">
            <w:pPr>
              <w:pStyle w:val="42"/>
              <w:keepNext w:val="0"/>
              <w:keepLines w:val="0"/>
              <w:suppressLineNumbers w:val="0"/>
              <w:bidi w:val="0"/>
              <w:spacing w:before="0" w:beforeAutospacing="0" w:after="0" w:afterAutospacing="0"/>
              <w:rPr>
                <w:rFonts w:hint="default"/>
              </w:rPr>
            </w:pPr>
            <w:r>
              <w:rPr>
                <w:rFonts w:hint="default"/>
              </w:rPr>
              <w:t>ne</w:t>
            </w:r>
          </w:p>
        </w:tc>
        <w:tc>
          <w:tcPr>
            <w:tcW w:w="637" w:type="pct"/>
            <w:vAlign w:val="center"/>
          </w:tcPr>
          <w:p w14:paraId="68587686">
            <w:pPr>
              <w:pStyle w:val="42"/>
              <w:keepNext w:val="0"/>
              <w:keepLines w:val="0"/>
              <w:suppressLineNumbers w:val="0"/>
              <w:bidi w:val="0"/>
              <w:spacing w:before="0" w:beforeAutospacing="0" w:after="0" w:afterAutospacing="0"/>
              <w:rPr>
                <w:rFonts w:hint="default"/>
              </w:rPr>
            </w:pPr>
            <w:r>
              <w:rPr>
                <w:rFonts w:hint="default"/>
              </w:rPr>
              <w:t>u</w:t>
            </w:r>
          </w:p>
        </w:tc>
        <w:tc>
          <w:tcPr>
            <w:tcW w:w="637" w:type="pct"/>
            <w:vAlign w:val="center"/>
          </w:tcPr>
          <w:p w14:paraId="13FCAD5B">
            <w:pPr>
              <w:pStyle w:val="42"/>
              <w:keepNext w:val="0"/>
              <w:keepLines w:val="0"/>
              <w:suppressLineNumbers w:val="0"/>
              <w:bidi w:val="0"/>
              <w:spacing w:before="0" w:beforeAutospacing="0" w:after="0" w:afterAutospacing="0"/>
              <w:rPr>
                <w:rFonts w:hint="default"/>
              </w:rPr>
            </w:pPr>
            <w:r>
              <w:rPr>
                <w:rFonts w:hint="default"/>
              </w:rPr>
              <w:t>DL</w:t>
            </w:r>
          </w:p>
        </w:tc>
        <w:tc>
          <w:tcPr>
            <w:tcW w:w="637" w:type="pct"/>
            <w:vAlign w:val="center"/>
          </w:tcPr>
          <w:p w14:paraId="230B1F48">
            <w:pPr>
              <w:pStyle w:val="42"/>
              <w:keepNext w:val="0"/>
              <w:keepLines w:val="0"/>
              <w:suppressLineNumbers w:val="0"/>
              <w:bidi w:val="0"/>
              <w:spacing w:before="0" w:beforeAutospacing="0" w:after="0" w:afterAutospacing="0"/>
              <w:rPr>
                <w:rFonts w:hint="default"/>
              </w:rPr>
            </w:pPr>
            <w:r>
              <w:rPr>
                <w:rFonts w:hint="default"/>
              </w:rPr>
              <w:t>DT</w:t>
            </w:r>
          </w:p>
        </w:tc>
      </w:tr>
      <w:tr w14:paraId="22EC5E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 w:type="pct"/>
            <w:vAlign w:val="center"/>
          </w:tcPr>
          <w:p w14:paraId="73CDA060">
            <w:pPr>
              <w:pStyle w:val="42"/>
              <w:keepNext w:val="0"/>
              <w:keepLines w:val="0"/>
              <w:suppressLineNumbers w:val="0"/>
              <w:bidi w:val="0"/>
              <w:spacing w:before="0" w:beforeAutospacing="0" w:after="0" w:afterAutospacing="0"/>
              <w:rPr>
                <w:rFonts w:hint="default"/>
              </w:rPr>
            </w:pPr>
            <w:r>
              <w:rPr>
                <w:rFonts w:hint="default"/>
              </w:rPr>
              <w:t>含义</w:t>
            </w:r>
          </w:p>
        </w:tc>
        <w:tc>
          <w:tcPr>
            <w:tcW w:w="1211" w:type="pct"/>
            <w:vAlign w:val="center"/>
          </w:tcPr>
          <w:p w14:paraId="2EE31455">
            <w:pPr>
              <w:pStyle w:val="42"/>
              <w:keepNext w:val="0"/>
              <w:keepLines w:val="0"/>
              <w:suppressLineNumbers w:val="0"/>
              <w:bidi w:val="0"/>
              <w:spacing w:before="0" w:beforeAutospacing="0" w:after="0" w:afterAutospacing="0"/>
              <w:rPr>
                <w:rFonts w:hint="default"/>
              </w:rPr>
            </w:pPr>
            <w:r>
              <w:rPr>
                <w:rFonts w:hint="default"/>
              </w:rPr>
              <w:t>长度为M的线源瞬时注入的示踪剂质量</w:t>
            </w:r>
          </w:p>
        </w:tc>
        <w:tc>
          <w:tcPr>
            <w:tcW w:w="637" w:type="pct"/>
            <w:vAlign w:val="center"/>
          </w:tcPr>
          <w:p w14:paraId="31D733BE">
            <w:pPr>
              <w:pStyle w:val="42"/>
              <w:keepNext w:val="0"/>
              <w:keepLines w:val="0"/>
              <w:suppressLineNumbers w:val="0"/>
              <w:bidi w:val="0"/>
              <w:spacing w:before="0" w:beforeAutospacing="0" w:after="0" w:afterAutospacing="0"/>
              <w:rPr>
                <w:rFonts w:hint="default"/>
              </w:rPr>
            </w:pPr>
            <w:r>
              <w:rPr>
                <w:rFonts w:hint="default"/>
              </w:rPr>
              <w:t>含水层的厚度</w:t>
            </w:r>
          </w:p>
        </w:tc>
        <w:tc>
          <w:tcPr>
            <w:tcW w:w="637" w:type="pct"/>
            <w:vAlign w:val="center"/>
          </w:tcPr>
          <w:p w14:paraId="561F12CB">
            <w:pPr>
              <w:pStyle w:val="42"/>
              <w:keepNext w:val="0"/>
              <w:keepLines w:val="0"/>
              <w:suppressLineNumbers w:val="0"/>
              <w:bidi w:val="0"/>
              <w:spacing w:before="0" w:beforeAutospacing="0" w:after="0" w:afterAutospacing="0"/>
              <w:rPr>
                <w:rFonts w:hint="default"/>
              </w:rPr>
            </w:pPr>
            <w:r>
              <w:rPr>
                <w:rFonts w:hint="default"/>
              </w:rPr>
              <w:t>有效孔隙度</w:t>
            </w:r>
          </w:p>
        </w:tc>
        <w:tc>
          <w:tcPr>
            <w:tcW w:w="637" w:type="pct"/>
            <w:vAlign w:val="center"/>
          </w:tcPr>
          <w:p w14:paraId="43175938">
            <w:pPr>
              <w:pStyle w:val="42"/>
              <w:keepNext w:val="0"/>
              <w:keepLines w:val="0"/>
              <w:suppressLineNumbers w:val="0"/>
              <w:bidi w:val="0"/>
              <w:spacing w:before="0" w:beforeAutospacing="0" w:after="0" w:afterAutospacing="0"/>
              <w:rPr>
                <w:rFonts w:hint="default"/>
              </w:rPr>
            </w:pPr>
            <w:r>
              <w:rPr>
                <w:rFonts w:hint="default"/>
              </w:rPr>
              <w:t>水流速度</w:t>
            </w:r>
          </w:p>
        </w:tc>
        <w:tc>
          <w:tcPr>
            <w:tcW w:w="637" w:type="pct"/>
            <w:vAlign w:val="center"/>
          </w:tcPr>
          <w:p w14:paraId="77FD7136">
            <w:pPr>
              <w:pStyle w:val="42"/>
              <w:keepNext w:val="0"/>
              <w:keepLines w:val="0"/>
              <w:suppressLineNumbers w:val="0"/>
              <w:bidi w:val="0"/>
              <w:spacing w:before="0" w:beforeAutospacing="0" w:after="0" w:afterAutospacing="0"/>
              <w:rPr>
                <w:rFonts w:hint="default"/>
              </w:rPr>
            </w:pPr>
            <w:r>
              <w:rPr>
                <w:rFonts w:hint="default"/>
              </w:rPr>
              <w:t>纵向弥散系数</w:t>
            </w:r>
          </w:p>
        </w:tc>
        <w:tc>
          <w:tcPr>
            <w:tcW w:w="637" w:type="pct"/>
            <w:vAlign w:val="center"/>
          </w:tcPr>
          <w:p w14:paraId="146BDFF7">
            <w:pPr>
              <w:pStyle w:val="42"/>
              <w:keepNext w:val="0"/>
              <w:keepLines w:val="0"/>
              <w:suppressLineNumbers w:val="0"/>
              <w:bidi w:val="0"/>
              <w:spacing w:before="0" w:beforeAutospacing="0" w:after="0" w:afterAutospacing="0"/>
              <w:rPr>
                <w:rFonts w:hint="default"/>
              </w:rPr>
            </w:pPr>
            <w:r>
              <w:rPr>
                <w:rFonts w:hint="default"/>
              </w:rPr>
              <w:t>横向弥散系数</w:t>
            </w:r>
          </w:p>
        </w:tc>
      </w:tr>
      <w:tr w14:paraId="3F073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 w:type="pct"/>
            <w:vAlign w:val="center"/>
          </w:tcPr>
          <w:p w14:paraId="50B89F35">
            <w:pPr>
              <w:pStyle w:val="42"/>
              <w:keepNext w:val="0"/>
              <w:keepLines w:val="0"/>
              <w:suppressLineNumbers w:val="0"/>
              <w:bidi w:val="0"/>
              <w:spacing w:before="0" w:beforeAutospacing="0" w:after="0" w:afterAutospacing="0"/>
              <w:rPr>
                <w:rFonts w:hint="default"/>
              </w:rPr>
            </w:pPr>
            <w:r>
              <w:rPr>
                <w:rFonts w:hint="default"/>
              </w:rPr>
              <w:t>单位</w:t>
            </w:r>
          </w:p>
        </w:tc>
        <w:tc>
          <w:tcPr>
            <w:tcW w:w="1211" w:type="pct"/>
            <w:vAlign w:val="center"/>
          </w:tcPr>
          <w:p w14:paraId="09A1ACB4">
            <w:pPr>
              <w:pStyle w:val="42"/>
              <w:keepNext w:val="0"/>
              <w:keepLines w:val="0"/>
              <w:suppressLineNumbers w:val="0"/>
              <w:bidi w:val="0"/>
              <w:spacing w:before="0" w:beforeAutospacing="0" w:after="0" w:afterAutospacing="0"/>
              <w:rPr>
                <w:rFonts w:hint="default"/>
              </w:rPr>
            </w:pPr>
            <w:r>
              <w:rPr>
                <w:rFonts w:hint="default"/>
              </w:rPr>
              <w:t>g</w:t>
            </w:r>
          </w:p>
        </w:tc>
        <w:tc>
          <w:tcPr>
            <w:tcW w:w="637" w:type="pct"/>
            <w:vAlign w:val="center"/>
          </w:tcPr>
          <w:p w14:paraId="32D89F63">
            <w:pPr>
              <w:pStyle w:val="42"/>
              <w:keepNext w:val="0"/>
              <w:keepLines w:val="0"/>
              <w:suppressLineNumbers w:val="0"/>
              <w:bidi w:val="0"/>
              <w:spacing w:before="0" w:beforeAutospacing="0" w:after="0" w:afterAutospacing="0"/>
              <w:rPr>
                <w:rFonts w:hint="default"/>
              </w:rPr>
            </w:pPr>
            <w:r>
              <w:rPr>
                <w:rFonts w:hint="default"/>
              </w:rPr>
              <w:t>m</w:t>
            </w:r>
          </w:p>
        </w:tc>
        <w:tc>
          <w:tcPr>
            <w:tcW w:w="637" w:type="pct"/>
            <w:vAlign w:val="center"/>
          </w:tcPr>
          <w:p w14:paraId="4E1C77CD">
            <w:pPr>
              <w:pStyle w:val="42"/>
              <w:keepNext w:val="0"/>
              <w:keepLines w:val="0"/>
              <w:suppressLineNumbers w:val="0"/>
              <w:bidi w:val="0"/>
              <w:spacing w:before="0" w:beforeAutospacing="0" w:after="0" w:afterAutospacing="0"/>
              <w:rPr>
                <w:rFonts w:hint="default"/>
              </w:rPr>
            </w:pPr>
            <w:r>
              <w:rPr>
                <w:rFonts w:hint="default"/>
              </w:rPr>
              <w:t>无量纲</w:t>
            </w:r>
          </w:p>
        </w:tc>
        <w:tc>
          <w:tcPr>
            <w:tcW w:w="637" w:type="pct"/>
            <w:vAlign w:val="center"/>
          </w:tcPr>
          <w:p w14:paraId="7BB32F49">
            <w:pPr>
              <w:pStyle w:val="42"/>
              <w:keepNext w:val="0"/>
              <w:keepLines w:val="0"/>
              <w:suppressLineNumbers w:val="0"/>
              <w:bidi w:val="0"/>
              <w:spacing w:before="0" w:beforeAutospacing="0" w:after="0" w:afterAutospacing="0"/>
              <w:rPr>
                <w:rFonts w:hint="default"/>
              </w:rPr>
            </w:pPr>
            <w:r>
              <w:rPr>
                <w:rFonts w:hint="default"/>
              </w:rPr>
              <w:t>m/d</w:t>
            </w:r>
          </w:p>
        </w:tc>
        <w:tc>
          <w:tcPr>
            <w:tcW w:w="637" w:type="pct"/>
            <w:vAlign w:val="center"/>
          </w:tcPr>
          <w:p w14:paraId="686FCF2E">
            <w:pPr>
              <w:pStyle w:val="42"/>
              <w:keepNext w:val="0"/>
              <w:keepLines w:val="0"/>
              <w:suppressLineNumbers w:val="0"/>
              <w:bidi w:val="0"/>
              <w:spacing w:before="0" w:beforeAutospacing="0" w:after="0" w:afterAutospacing="0"/>
              <w:rPr>
                <w:rFonts w:hint="default"/>
              </w:rPr>
            </w:pPr>
            <w:r>
              <w:rPr>
                <w:rFonts w:hint="eastAsia"/>
                <w:lang w:eastAsia="zh-CN"/>
              </w:rPr>
              <w:t>m</w:t>
            </w:r>
            <w:r>
              <w:rPr>
                <w:rFonts w:hint="eastAsia"/>
                <w:vertAlign w:val="superscript"/>
                <w:lang w:eastAsia="zh-CN"/>
              </w:rPr>
              <w:t>2</w:t>
            </w:r>
            <w:r>
              <w:rPr>
                <w:rFonts w:hint="default"/>
              </w:rPr>
              <w:t>/d</w:t>
            </w:r>
          </w:p>
        </w:tc>
        <w:tc>
          <w:tcPr>
            <w:tcW w:w="637" w:type="pct"/>
            <w:vAlign w:val="center"/>
          </w:tcPr>
          <w:p w14:paraId="2AC6E807">
            <w:pPr>
              <w:pStyle w:val="42"/>
              <w:keepNext w:val="0"/>
              <w:keepLines w:val="0"/>
              <w:suppressLineNumbers w:val="0"/>
              <w:bidi w:val="0"/>
              <w:spacing w:before="0" w:beforeAutospacing="0" w:after="0" w:afterAutospacing="0"/>
              <w:rPr>
                <w:rFonts w:hint="default"/>
              </w:rPr>
            </w:pPr>
            <w:r>
              <w:rPr>
                <w:rFonts w:hint="eastAsia"/>
                <w:lang w:eastAsia="zh-CN"/>
              </w:rPr>
              <w:t>m</w:t>
            </w:r>
            <w:r>
              <w:rPr>
                <w:rFonts w:hint="eastAsia"/>
                <w:vertAlign w:val="superscript"/>
                <w:lang w:eastAsia="zh-CN"/>
              </w:rPr>
              <w:t>2</w:t>
            </w:r>
            <w:r>
              <w:rPr>
                <w:rFonts w:hint="default"/>
              </w:rPr>
              <w:t>/d</w:t>
            </w:r>
          </w:p>
        </w:tc>
      </w:tr>
      <w:tr w14:paraId="1E895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9" w:type="pct"/>
            <w:shd w:val="clear" w:color="auto" w:fill="auto"/>
            <w:vAlign w:val="center"/>
          </w:tcPr>
          <w:p w14:paraId="6F692C0B">
            <w:pPr>
              <w:pStyle w:val="42"/>
              <w:keepNext w:val="0"/>
              <w:keepLines w:val="0"/>
              <w:suppressLineNumbers w:val="0"/>
              <w:bidi w:val="0"/>
              <w:spacing w:before="0" w:beforeAutospacing="0" w:after="0" w:afterAutospacing="0"/>
              <w:rPr>
                <w:rFonts w:hint="default"/>
                <w:highlight w:val="none"/>
              </w:rPr>
            </w:pPr>
            <w:r>
              <w:rPr>
                <w:rFonts w:hint="default"/>
                <w:highlight w:val="none"/>
              </w:rPr>
              <w:t>取值</w:t>
            </w:r>
          </w:p>
        </w:tc>
        <w:tc>
          <w:tcPr>
            <w:tcW w:w="1211" w:type="pct"/>
            <w:shd w:val="clear" w:color="auto" w:fill="auto"/>
            <w:vAlign w:val="center"/>
          </w:tcPr>
          <w:p w14:paraId="112261B9">
            <w:pPr>
              <w:pStyle w:val="42"/>
              <w:keepNext w:val="0"/>
              <w:keepLines w:val="0"/>
              <w:suppressLineNumbers w:val="0"/>
              <w:bidi w:val="0"/>
              <w:spacing w:before="0" w:beforeAutospacing="0" w:after="0" w:afterAutospacing="0"/>
              <w:rPr>
                <w:rFonts w:hint="default"/>
                <w:highlight w:val="none"/>
              </w:rPr>
            </w:pPr>
            <w:r>
              <w:rPr>
                <w:rFonts w:hint="default"/>
                <w:highlight w:val="none"/>
              </w:rPr>
              <w:t>COD：</w:t>
            </w:r>
            <w:r>
              <w:rPr>
                <w:rFonts w:hint="eastAsia"/>
                <w:highlight w:val="none"/>
                <w:lang w:val="en-US" w:eastAsia="zh-CN"/>
              </w:rPr>
              <w:t>18000</w:t>
            </w:r>
            <w:r>
              <w:rPr>
                <w:rFonts w:hint="default"/>
                <w:highlight w:val="none"/>
              </w:rPr>
              <w:t>g</w:t>
            </w:r>
          </w:p>
          <w:p w14:paraId="7085B7C1">
            <w:pPr>
              <w:pStyle w:val="42"/>
              <w:keepNext w:val="0"/>
              <w:keepLines w:val="0"/>
              <w:suppressLineNumbers w:val="0"/>
              <w:bidi w:val="0"/>
              <w:spacing w:before="0" w:beforeAutospacing="0" w:after="0" w:afterAutospacing="0"/>
              <w:rPr>
                <w:rFonts w:hint="default"/>
                <w:highlight w:val="none"/>
              </w:rPr>
            </w:pPr>
            <w:r>
              <w:rPr>
                <w:rFonts w:hint="default"/>
                <w:highlight w:val="none"/>
              </w:rPr>
              <w:t>氨氮：</w:t>
            </w:r>
            <w:r>
              <w:rPr>
                <w:rFonts w:hint="eastAsia"/>
                <w:highlight w:val="none"/>
                <w:lang w:val="en-US" w:eastAsia="zh-CN"/>
              </w:rPr>
              <w:t>300</w:t>
            </w:r>
            <w:r>
              <w:rPr>
                <w:rFonts w:hint="default"/>
                <w:highlight w:val="none"/>
              </w:rPr>
              <w:t>g</w:t>
            </w:r>
          </w:p>
        </w:tc>
        <w:tc>
          <w:tcPr>
            <w:tcW w:w="637" w:type="pct"/>
            <w:shd w:val="clear" w:color="auto" w:fill="auto"/>
            <w:vAlign w:val="center"/>
          </w:tcPr>
          <w:p w14:paraId="0181A0DF">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35</w:t>
            </w:r>
          </w:p>
        </w:tc>
        <w:tc>
          <w:tcPr>
            <w:tcW w:w="637" w:type="pct"/>
            <w:shd w:val="clear" w:color="auto" w:fill="auto"/>
            <w:vAlign w:val="center"/>
          </w:tcPr>
          <w:p w14:paraId="10EAC66B">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0.3</w:t>
            </w:r>
          </w:p>
        </w:tc>
        <w:tc>
          <w:tcPr>
            <w:tcW w:w="637" w:type="pct"/>
            <w:shd w:val="clear" w:color="auto" w:fill="auto"/>
            <w:vAlign w:val="center"/>
          </w:tcPr>
          <w:p w14:paraId="5F7AB1E5">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0.0009</w:t>
            </w:r>
          </w:p>
        </w:tc>
        <w:tc>
          <w:tcPr>
            <w:tcW w:w="637" w:type="pct"/>
            <w:shd w:val="clear" w:color="auto" w:fill="auto"/>
            <w:vAlign w:val="center"/>
          </w:tcPr>
          <w:p w14:paraId="625F9E39">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0.009</w:t>
            </w:r>
          </w:p>
        </w:tc>
        <w:tc>
          <w:tcPr>
            <w:tcW w:w="637" w:type="pct"/>
            <w:shd w:val="clear" w:color="auto" w:fill="auto"/>
            <w:vAlign w:val="center"/>
          </w:tcPr>
          <w:p w14:paraId="07F8D3D9">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0.0009</w:t>
            </w:r>
          </w:p>
        </w:tc>
      </w:tr>
    </w:tbl>
    <w:p w14:paraId="7BF6F6C1">
      <w:pPr>
        <w:pStyle w:val="7"/>
        <w:bidi w:val="0"/>
        <w:rPr>
          <w:rFonts w:hint="default"/>
          <w:highlight w:val="none"/>
          <w:lang w:val="en-US" w:eastAsia="zh-CN"/>
        </w:rPr>
      </w:pPr>
      <w:r>
        <w:rPr>
          <w:rFonts w:hint="default"/>
          <w:highlight w:val="none"/>
          <w:lang w:val="en-US" w:eastAsia="zh-CN"/>
        </w:rPr>
        <w:t>预测结果</w:t>
      </w:r>
    </w:p>
    <w:p w14:paraId="08506E66">
      <w:pPr>
        <w:rPr>
          <w:rFonts w:hint="default"/>
          <w:highlight w:val="none"/>
          <w:lang w:val="en-US" w:eastAsia="zh-CN"/>
        </w:rPr>
      </w:pPr>
      <w:r>
        <w:rPr>
          <w:rFonts w:hint="default"/>
          <w:highlight w:val="none"/>
          <w:lang w:val="en-US" w:eastAsia="zh-CN"/>
        </w:rPr>
        <w:t>预测非正常排放对项目周边地下水环境的最大影响程度，预测结果如下表。</w:t>
      </w:r>
    </w:p>
    <w:p w14:paraId="09F4F82E">
      <w:pPr>
        <w:pStyle w:val="39"/>
        <w:bidi w:val="0"/>
        <w:rPr>
          <w:rFonts w:hint="default"/>
          <w:highlight w:val="none"/>
          <w:lang w:val="en-US" w:eastAsia="zh-CN"/>
        </w:rPr>
      </w:pPr>
      <w:r>
        <w:rPr>
          <w:rFonts w:hint="default"/>
          <w:highlight w:val="none"/>
          <w:lang w:val="en-US" w:eastAsia="zh-CN"/>
        </w:rPr>
        <w:t xml:space="preserve">表 </w:t>
      </w:r>
      <w:r>
        <w:rPr>
          <w:rFonts w:hint="eastAsia"/>
          <w:highlight w:val="none"/>
          <w:lang w:val="en-US" w:eastAsia="zh-CN"/>
        </w:rPr>
        <w:t>6.2-27 调节池</w:t>
      </w:r>
      <w:r>
        <w:rPr>
          <w:rFonts w:hint="default"/>
          <w:highlight w:val="none"/>
          <w:lang w:val="en-US" w:eastAsia="zh-CN"/>
        </w:rPr>
        <w:t>泄漏CODMn影响预测 （单位:mg/L）</w:t>
      </w:r>
    </w:p>
    <w:tbl>
      <w:tblPr>
        <w:tblStyle w:val="3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330"/>
        <w:gridCol w:w="1050"/>
        <w:gridCol w:w="1213"/>
        <w:gridCol w:w="1050"/>
        <w:gridCol w:w="1112"/>
        <w:gridCol w:w="3"/>
        <w:gridCol w:w="12"/>
        <w:gridCol w:w="1248"/>
        <w:gridCol w:w="27"/>
        <w:gridCol w:w="1477"/>
      </w:tblGrid>
      <w:tr w14:paraId="7F0465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72CC8537">
            <w:pPr>
              <w:pStyle w:val="42"/>
              <w:keepNext w:val="0"/>
              <w:keepLines w:val="0"/>
              <w:suppressLineNumbers w:val="0"/>
              <w:bidi w:val="0"/>
              <w:spacing w:before="0" w:beforeAutospacing="0" w:after="0" w:afterAutospacing="0"/>
              <w:rPr>
                <w:rFonts w:hint="default"/>
                <w:highlight w:val="none"/>
              </w:rPr>
            </w:pPr>
            <w:r>
              <w:rPr>
                <w:rFonts w:hint="default"/>
                <w:highlight w:val="none"/>
              </w:rPr>
              <w:t>1</w:t>
            </w:r>
            <w:r>
              <w:rPr>
                <w:rFonts w:hint="eastAsia"/>
                <w:highlight w:val="none"/>
                <w:lang w:val="en-US" w:eastAsia="zh-CN"/>
              </w:rPr>
              <w:t>00</w:t>
            </w:r>
            <w:r>
              <w:rPr>
                <w:rFonts w:hint="default"/>
                <w:highlight w:val="none"/>
              </w:rPr>
              <w:t>d</w:t>
            </w:r>
          </w:p>
        </w:tc>
      </w:tr>
      <w:tr w14:paraId="1C122B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38C899DB">
            <w:pPr>
              <w:pStyle w:val="42"/>
              <w:keepNext w:val="0"/>
              <w:keepLines w:val="0"/>
              <w:suppressLineNumbers w:val="0"/>
              <w:bidi w:val="0"/>
              <w:spacing w:before="0" w:beforeAutospacing="0" w:after="0" w:afterAutospacing="0"/>
              <w:rPr>
                <w:rFonts w:hint="default"/>
                <w:highlight w:val="none"/>
              </w:rPr>
            </w:pPr>
            <w:r>
              <w:rPr>
                <w:rFonts w:hint="default"/>
                <w:highlight w:val="none"/>
              </w:rPr>
              <w:t>X/Y</w:t>
            </w:r>
          </w:p>
        </w:tc>
        <w:tc>
          <w:tcPr>
            <w:tcW w:w="1050" w:type="dxa"/>
            <w:tcBorders>
              <w:bottom w:val="single" w:color="auto" w:sz="4" w:space="0"/>
            </w:tcBorders>
            <w:shd w:val="clear" w:color="auto" w:fill="auto"/>
            <w:noWrap/>
            <w:vAlign w:val="center"/>
          </w:tcPr>
          <w:p w14:paraId="25A5D49A">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0</w:t>
            </w:r>
          </w:p>
        </w:tc>
        <w:tc>
          <w:tcPr>
            <w:tcW w:w="1213" w:type="dxa"/>
            <w:shd w:val="clear" w:color="auto" w:fill="auto"/>
            <w:noWrap/>
            <w:vAlign w:val="center"/>
          </w:tcPr>
          <w:p w14:paraId="26F96EE4">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2</w:t>
            </w:r>
          </w:p>
        </w:tc>
        <w:tc>
          <w:tcPr>
            <w:tcW w:w="1050" w:type="dxa"/>
            <w:shd w:val="clear" w:color="auto" w:fill="auto"/>
            <w:noWrap/>
            <w:vAlign w:val="center"/>
          </w:tcPr>
          <w:p w14:paraId="620D26DC">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4</w:t>
            </w:r>
          </w:p>
        </w:tc>
        <w:tc>
          <w:tcPr>
            <w:tcW w:w="1112" w:type="dxa"/>
            <w:shd w:val="clear" w:color="auto" w:fill="auto"/>
            <w:noWrap/>
            <w:vAlign w:val="center"/>
          </w:tcPr>
          <w:p w14:paraId="1AE2AEBC">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6</w:t>
            </w:r>
          </w:p>
        </w:tc>
        <w:tc>
          <w:tcPr>
            <w:tcW w:w="1263" w:type="dxa"/>
            <w:gridSpan w:val="3"/>
            <w:shd w:val="clear" w:color="auto" w:fill="auto"/>
            <w:noWrap/>
            <w:vAlign w:val="center"/>
          </w:tcPr>
          <w:p w14:paraId="453478F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8</w:t>
            </w:r>
          </w:p>
        </w:tc>
        <w:tc>
          <w:tcPr>
            <w:tcW w:w="1504" w:type="dxa"/>
            <w:gridSpan w:val="2"/>
            <w:shd w:val="clear" w:color="auto" w:fill="auto"/>
            <w:noWrap/>
            <w:vAlign w:val="center"/>
          </w:tcPr>
          <w:p w14:paraId="14C761B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10</w:t>
            </w:r>
          </w:p>
        </w:tc>
      </w:tr>
      <w:tr w14:paraId="34AD2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5F34AEB5">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0</w:t>
            </w:r>
          </w:p>
        </w:tc>
        <w:tc>
          <w:tcPr>
            <w:tcW w:w="1050" w:type="dxa"/>
            <w:tcBorders>
              <w:top w:val="single" w:color="auto" w:sz="4" w:space="0"/>
              <w:bottom w:val="single" w:color="auto" w:sz="4" w:space="0"/>
            </w:tcBorders>
            <w:shd w:val="clear" w:color="auto" w:fill="auto"/>
            <w:noWrap/>
            <w:vAlign w:val="center"/>
          </w:tcPr>
          <w:p w14:paraId="2A0761FB">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478.2474405</w:t>
            </w:r>
          </w:p>
        </w:tc>
        <w:tc>
          <w:tcPr>
            <w:tcW w:w="1213" w:type="dxa"/>
            <w:shd w:val="clear" w:color="auto" w:fill="auto"/>
            <w:noWrap/>
            <w:vAlign w:val="center"/>
          </w:tcPr>
          <w:p w14:paraId="099930D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173.9933614</w:t>
            </w:r>
          </w:p>
        </w:tc>
        <w:tc>
          <w:tcPr>
            <w:tcW w:w="1050" w:type="dxa"/>
            <w:shd w:val="clear" w:color="auto" w:fill="auto"/>
            <w:noWrap/>
            <w:vAlign w:val="center"/>
          </w:tcPr>
          <w:p w14:paraId="5B41837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6.859837902</w:t>
            </w:r>
          </w:p>
        </w:tc>
        <w:tc>
          <w:tcPr>
            <w:tcW w:w="1112" w:type="dxa"/>
            <w:shd w:val="clear" w:color="auto" w:fill="auto"/>
            <w:noWrap/>
            <w:vAlign w:val="center"/>
          </w:tcPr>
          <w:p w14:paraId="0948DEA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0.029308675</w:t>
            </w:r>
          </w:p>
        </w:tc>
        <w:tc>
          <w:tcPr>
            <w:tcW w:w="1263" w:type="dxa"/>
            <w:gridSpan w:val="3"/>
            <w:shd w:val="clear" w:color="auto" w:fill="auto"/>
            <w:noWrap/>
            <w:vAlign w:val="center"/>
          </w:tcPr>
          <w:p w14:paraId="6F252A9E">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1.357E-05</w:t>
            </w:r>
          </w:p>
        </w:tc>
        <w:tc>
          <w:tcPr>
            <w:tcW w:w="1504" w:type="dxa"/>
            <w:gridSpan w:val="2"/>
            <w:shd w:val="clear" w:color="auto" w:fill="auto"/>
            <w:noWrap/>
            <w:vAlign w:val="center"/>
          </w:tcPr>
          <w:p w14:paraId="1A3E99E1">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6.8087E-10</w:t>
            </w:r>
          </w:p>
        </w:tc>
      </w:tr>
      <w:tr w14:paraId="28C9A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8EF7AF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tcBorders>
              <w:top w:val="single" w:color="auto" w:sz="4" w:space="0"/>
              <w:bottom w:val="single" w:color="auto" w:sz="4" w:space="0"/>
            </w:tcBorders>
            <w:shd w:val="clear" w:color="auto" w:fill="auto"/>
            <w:noWrap/>
            <w:vAlign w:val="center"/>
          </w:tcPr>
          <w:p w14:paraId="20ECB14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0.00714757</w:t>
            </w:r>
          </w:p>
        </w:tc>
        <w:tc>
          <w:tcPr>
            <w:tcW w:w="1213" w:type="dxa"/>
            <w:shd w:val="clear" w:color="auto" w:fill="auto"/>
            <w:noWrap/>
            <w:vAlign w:val="center"/>
          </w:tcPr>
          <w:p w14:paraId="03D1AA1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0.00260039</w:t>
            </w:r>
          </w:p>
        </w:tc>
        <w:tc>
          <w:tcPr>
            <w:tcW w:w="1050" w:type="dxa"/>
            <w:shd w:val="clear" w:color="auto" w:fill="auto"/>
            <w:noWrap/>
            <w:vAlign w:val="center"/>
          </w:tcPr>
          <w:p w14:paraId="6E3E153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0.000102523</w:t>
            </w:r>
          </w:p>
        </w:tc>
        <w:tc>
          <w:tcPr>
            <w:tcW w:w="1112" w:type="dxa"/>
            <w:shd w:val="clear" w:color="auto" w:fill="auto"/>
            <w:noWrap/>
            <w:vAlign w:val="center"/>
          </w:tcPr>
          <w:p w14:paraId="11EDE66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4.38028E-07</w:t>
            </w:r>
          </w:p>
        </w:tc>
        <w:tc>
          <w:tcPr>
            <w:tcW w:w="1263" w:type="dxa"/>
            <w:gridSpan w:val="3"/>
            <w:shd w:val="clear" w:color="auto" w:fill="auto"/>
            <w:noWrap/>
            <w:vAlign w:val="center"/>
          </w:tcPr>
          <w:p w14:paraId="0678C90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2.02808E-10</w:t>
            </w:r>
          </w:p>
        </w:tc>
        <w:tc>
          <w:tcPr>
            <w:tcW w:w="1504" w:type="dxa"/>
            <w:gridSpan w:val="2"/>
            <w:shd w:val="clear" w:color="auto" w:fill="auto"/>
            <w:noWrap/>
            <w:vAlign w:val="center"/>
          </w:tcPr>
          <w:p w14:paraId="7F4C632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1.01758E-14</w:t>
            </w:r>
          </w:p>
        </w:tc>
      </w:tr>
      <w:tr w14:paraId="6669CD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8F3D47E">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tcBorders>
              <w:top w:val="single" w:color="auto" w:sz="4" w:space="0"/>
              <w:bottom w:val="single" w:color="auto" w:sz="4" w:space="0"/>
            </w:tcBorders>
            <w:shd w:val="clear" w:color="auto" w:fill="auto"/>
            <w:noWrap/>
            <w:vAlign w:val="center"/>
          </w:tcPr>
          <w:p w14:paraId="51A4A18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2.38603E-17</w:t>
            </w:r>
          </w:p>
        </w:tc>
        <w:tc>
          <w:tcPr>
            <w:tcW w:w="1213" w:type="dxa"/>
            <w:shd w:val="clear" w:color="auto" w:fill="auto"/>
            <w:noWrap/>
            <w:vAlign w:val="center"/>
          </w:tcPr>
          <w:p w14:paraId="335933D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8.68072E-18</w:t>
            </w:r>
          </w:p>
        </w:tc>
        <w:tc>
          <w:tcPr>
            <w:tcW w:w="1050" w:type="dxa"/>
            <w:shd w:val="clear" w:color="auto" w:fill="auto"/>
            <w:noWrap/>
            <w:vAlign w:val="center"/>
          </w:tcPr>
          <w:p w14:paraId="5F390EAD">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3.42245E-19</w:t>
            </w:r>
          </w:p>
        </w:tc>
        <w:tc>
          <w:tcPr>
            <w:tcW w:w="1112" w:type="dxa"/>
            <w:shd w:val="clear" w:color="auto" w:fill="auto"/>
            <w:noWrap/>
            <w:vAlign w:val="center"/>
          </w:tcPr>
          <w:p w14:paraId="357F799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1.46224E-21</w:t>
            </w:r>
          </w:p>
        </w:tc>
        <w:tc>
          <w:tcPr>
            <w:tcW w:w="1263" w:type="dxa"/>
            <w:gridSpan w:val="3"/>
            <w:shd w:val="clear" w:color="auto" w:fill="auto"/>
            <w:noWrap/>
            <w:vAlign w:val="center"/>
          </w:tcPr>
          <w:p w14:paraId="6F546AB0">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6.77022E-25</w:t>
            </w:r>
          </w:p>
        </w:tc>
        <w:tc>
          <w:tcPr>
            <w:tcW w:w="1504" w:type="dxa"/>
            <w:gridSpan w:val="2"/>
            <w:shd w:val="clear" w:color="auto" w:fill="auto"/>
            <w:noWrap/>
            <w:vAlign w:val="center"/>
          </w:tcPr>
          <w:p w14:paraId="3CC3A24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3.39694E-29</w:t>
            </w:r>
          </w:p>
        </w:tc>
      </w:tr>
      <w:tr w14:paraId="68465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5A21B20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top w:val="single" w:color="auto" w:sz="4" w:space="0"/>
              <w:bottom w:val="single" w:color="auto" w:sz="4" w:space="0"/>
            </w:tcBorders>
            <w:shd w:val="clear" w:color="auto" w:fill="auto"/>
            <w:noWrap/>
            <w:vAlign w:val="center"/>
          </w:tcPr>
          <w:p w14:paraId="137EE33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1.77912E-41</w:t>
            </w:r>
          </w:p>
        </w:tc>
        <w:tc>
          <w:tcPr>
            <w:tcW w:w="1213" w:type="dxa"/>
            <w:tcBorders>
              <w:bottom w:val="single" w:color="auto" w:sz="4" w:space="0"/>
            </w:tcBorders>
            <w:shd w:val="clear" w:color="auto" w:fill="auto"/>
            <w:noWrap/>
            <w:vAlign w:val="center"/>
          </w:tcPr>
          <w:p w14:paraId="1018BB6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6.47269E-42</w:t>
            </w:r>
          </w:p>
        </w:tc>
        <w:tc>
          <w:tcPr>
            <w:tcW w:w="1050" w:type="dxa"/>
            <w:shd w:val="clear" w:color="auto" w:fill="auto"/>
            <w:noWrap/>
            <w:vAlign w:val="center"/>
          </w:tcPr>
          <w:p w14:paraId="64708E3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2.55191E-43</w:t>
            </w:r>
          </w:p>
        </w:tc>
        <w:tc>
          <w:tcPr>
            <w:tcW w:w="1112" w:type="dxa"/>
            <w:shd w:val="clear" w:color="auto" w:fill="auto"/>
            <w:noWrap/>
            <w:vAlign w:val="center"/>
          </w:tcPr>
          <w:p w14:paraId="2F9BE6E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1.0903E-45</w:t>
            </w:r>
          </w:p>
        </w:tc>
        <w:tc>
          <w:tcPr>
            <w:tcW w:w="1263" w:type="dxa"/>
            <w:gridSpan w:val="3"/>
            <w:shd w:val="clear" w:color="auto" w:fill="auto"/>
            <w:noWrap/>
            <w:vAlign w:val="center"/>
          </w:tcPr>
          <w:p w14:paraId="59608EF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5.04814E-49</w:t>
            </w:r>
          </w:p>
        </w:tc>
        <w:tc>
          <w:tcPr>
            <w:tcW w:w="1504" w:type="dxa"/>
            <w:gridSpan w:val="2"/>
            <w:shd w:val="clear" w:color="auto" w:fill="auto"/>
            <w:noWrap/>
            <w:vAlign w:val="center"/>
          </w:tcPr>
          <w:p w14:paraId="2F94D890">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2.53289E-53</w:t>
            </w:r>
          </w:p>
        </w:tc>
      </w:tr>
      <w:tr w14:paraId="088920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313F56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tcBorders>
            <w:shd w:val="clear" w:color="auto" w:fill="auto"/>
            <w:noWrap/>
            <w:vAlign w:val="center"/>
          </w:tcPr>
          <w:p w14:paraId="6C99143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2.96309E-75</w:t>
            </w:r>
          </w:p>
        </w:tc>
        <w:tc>
          <w:tcPr>
            <w:tcW w:w="1213" w:type="dxa"/>
            <w:tcBorders>
              <w:top w:val="single" w:color="auto" w:sz="4" w:space="0"/>
              <w:bottom w:val="single" w:color="auto" w:sz="4" w:space="0"/>
            </w:tcBorders>
            <w:shd w:val="clear" w:color="auto" w:fill="auto"/>
            <w:noWrap/>
            <w:vAlign w:val="center"/>
          </w:tcPr>
          <w:p w14:paraId="52F6C57F">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1.07801E-75</w:t>
            </w:r>
          </w:p>
        </w:tc>
        <w:tc>
          <w:tcPr>
            <w:tcW w:w="1050" w:type="dxa"/>
            <w:shd w:val="clear" w:color="auto" w:fill="auto"/>
            <w:noWrap/>
            <w:vAlign w:val="center"/>
          </w:tcPr>
          <w:p w14:paraId="7C2BE4C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4.25017E-77</w:t>
            </w:r>
          </w:p>
        </w:tc>
        <w:tc>
          <w:tcPr>
            <w:tcW w:w="1112" w:type="dxa"/>
            <w:shd w:val="clear" w:color="auto" w:fill="auto"/>
            <w:noWrap/>
            <w:vAlign w:val="center"/>
          </w:tcPr>
          <w:p w14:paraId="63B168A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1.81588E-79</w:t>
            </w:r>
          </w:p>
        </w:tc>
        <w:tc>
          <w:tcPr>
            <w:tcW w:w="1263" w:type="dxa"/>
            <w:gridSpan w:val="3"/>
            <w:shd w:val="clear" w:color="auto" w:fill="auto"/>
            <w:noWrap/>
            <w:vAlign w:val="center"/>
          </w:tcPr>
          <w:p w14:paraId="48D70BD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8.40759E-83</w:t>
            </w:r>
          </w:p>
        </w:tc>
        <w:tc>
          <w:tcPr>
            <w:tcW w:w="1504" w:type="dxa"/>
            <w:gridSpan w:val="2"/>
            <w:shd w:val="clear" w:color="auto" w:fill="auto"/>
            <w:noWrap/>
            <w:vAlign w:val="center"/>
          </w:tcPr>
          <w:p w14:paraId="42A53F7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4.21848E-87</w:t>
            </w:r>
          </w:p>
        </w:tc>
      </w:tr>
      <w:tr w14:paraId="267060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3A51F91C">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10</w:t>
            </w:r>
          </w:p>
        </w:tc>
        <w:tc>
          <w:tcPr>
            <w:tcW w:w="1050" w:type="dxa"/>
            <w:shd w:val="clear" w:color="auto" w:fill="auto"/>
            <w:noWrap/>
            <w:vAlign w:val="center"/>
          </w:tcPr>
          <w:p w14:paraId="329C1BE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1.1023E-118</w:t>
            </w:r>
          </w:p>
        </w:tc>
        <w:tc>
          <w:tcPr>
            <w:tcW w:w="1213" w:type="dxa"/>
            <w:tcBorders>
              <w:top w:val="single" w:color="auto" w:sz="4" w:space="0"/>
            </w:tcBorders>
            <w:shd w:val="clear" w:color="auto" w:fill="auto"/>
            <w:noWrap/>
            <w:vAlign w:val="center"/>
          </w:tcPr>
          <w:p w14:paraId="2FEB455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4.0103E-119</w:t>
            </w:r>
          </w:p>
        </w:tc>
        <w:tc>
          <w:tcPr>
            <w:tcW w:w="1050" w:type="dxa"/>
            <w:shd w:val="clear" w:color="auto" w:fill="auto"/>
            <w:noWrap/>
            <w:vAlign w:val="center"/>
          </w:tcPr>
          <w:p w14:paraId="107FD70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1.5811E-120</w:t>
            </w:r>
          </w:p>
        </w:tc>
        <w:tc>
          <w:tcPr>
            <w:tcW w:w="1112" w:type="dxa"/>
            <w:shd w:val="clear" w:color="auto" w:fill="auto"/>
            <w:noWrap/>
            <w:vAlign w:val="center"/>
          </w:tcPr>
          <w:p w14:paraId="66E3B30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6.7552E-123</w:t>
            </w:r>
          </w:p>
        </w:tc>
        <w:tc>
          <w:tcPr>
            <w:tcW w:w="1263" w:type="dxa"/>
            <w:gridSpan w:val="3"/>
            <w:shd w:val="clear" w:color="auto" w:fill="auto"/>
            <w:noWrap/>
            <w:vAlign w:val="center"/>
          </w:tcPr>
          <w:p w14:paraId="7E254EF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3.1277E-126</w:t>
            </w:r>
          </w:p>
        </w:tc>
        <w:tc>
          <w:tcPr>
            <w:tcW w:w="1504" w:type="dxa"/>
            <w:gridSpan w:val="2"/>
            <w:shd w:val="clear" w:color="auto" w:fill="auto"/>
            <w:noWrap/>
            <w:vAlign w:val="center"/>
          </w:tcPr>
          <w:p w14:paraId="10DD954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1.5693E-130</w:t>
            </w:r>
          </w:p>
        </w:tc>
      </w:tr>
      <w:tr w14:paraId="2976F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0C90DAC">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15</w:t>
            </w:r>
          </w:p>
        </w:tc>
        <w:tc>
          <w:tcPr>
            <w:tcW w:w="1050" w:type="dxa"/>
            <w:shd w:val="clear" w:color="auto" w:fill="auto"/>
            <w:noWrap/>
            <w:vAlign w:val="center"/>
          </w:tcPr>
          <w:p w14:paraId="63F40CD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1.7604E-269</w:t>
            </w:r>
          </w:p>
        </w:tc>
        <w:tc>
          <w:tcPr>
            <w:tcW w:w="1213" w:type="dxa"/>
            <w:tcBorders>
              <w:top w:val="single" w:color="auto" w:sz="4" w:space="0"/>
            </w:tcBorders>
            <w:shd w:val="clear" w:color="auto" w:fill="auto"/>
            <w:noWrap/>
            <w:vAlign w:val="center"/>
          </w:tcPr>
          <w:p w14:paraId="382D493F">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6.4044E-270</w:t>
            </w:r>
          </w:p>
        </w:tc>
        <w:tc>
          <w:tcPr>
            <w:tcW w:w="1050" w:type="dxa"/>
            <w:shd w:val="clear" w:color="auto" w:fill="auto"/>
            <w:noWrap/>
            <w:vAlign w:val="center"/>
          </w:tcPr>
          <w:p w14:paraId="158A7E3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2.525E-271</w:t>
            </w:r>
          </w:p>
        </w:tc>
        <w:tc>
          <w:tcPr>
            <w:tcW w:w="1112" w:type="dxa"/>
            <w:shd w:val="clear" w:color="auto" w:fill="auto"/>
            <w:noWrap/>
            <w:vAlign w:val="center"/>
          </w:tcPr>
          <w:p w14:paraId="70E6256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1.0788E-273</w:t>
            </w:r>
          </w:p>
        </w:tc>
        <w:tc>
          <w:tcPr>
            <w:tcW w:w="1263" w:type="dxa"/>
            <w:gridSpan w:val="3"/>
            <w:shd w:val="clear" w:color="auto" w:fill="auto"/>
            <w:noWrap/>
            <w:vAlign w:val="center"/>
          </w:tcPr>
          <w:p w14:paraId="335199D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4.9949E-277</w:t>
            </w:r>
          </w:p>
        </w:tc>
        <w:tc>
          <w:tcPr>
            <w:tcW w:w="1504" w:type="dxa"/>
            <w:gridSpan w:val="2"/>
            <w:shd w:val="clear" w:color="auto" w:fill="auto"/>
            <w:noWrap/>
            <w:vAlign w:val="center"/>
          </w:tcPr>
          <w:p w14:paraId="17169EA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2.5062E-281</w:t>
            </w:r>
          </w:p>
        </w:tc>
      </w:tr>
      <w:tr w14:paraId="75CAEB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32E941CF">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20</w:t>
            </w:r>
          </w:p>
        </w:tc>
        <w:tc>
          <w:tcPr>
            <w:tcW w:w="1050" w:type="dxa"/>
            <w:shd w:val="clear" w:color="auto" w:fill="auto"/>
            <w:noWrap/>
            <w:vAlign w:val="center"/>
          </w:tcPr>
          <w:p w14:paraId="029254D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478.2474405</w:t>
            </w:r>
          </w:p>
        </w:tc>
        <w:tc>
          <w:tcPr>
            <w:tcW w:w="1213" w:type="dxa"/>
            <w:shd w:val="clear" w:color="auto" w:fill="auto"/>
            <w:noWrap/>
            <w:vAlign w:val="center"/>
          </w:tcPr>
          <w:p w14:paraId="7CB9F91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173.9933614</w:t>
            </w:r>
          </w:p>
        </w:tc>
        <w:tc>
          <w:tcPr>
            <w:tcW w:w="1050" w:type="dxa"/>
            <w:shd w:val="clear" w:color="auto" w:fill="auto"/>
            <w:noWrap/>
            <w:vAlign w:val="center"/>
          </w:tcPr>
          <w:p w14:paraId="2B17624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6.859837902</w:t>
            </w:r>
          </w:p>
        </w:tc>
        <w:tc>
          <w:tcPr>
            <w:tcW w:w="1112" w:type="dxa"/>
            <w:shd w:val="clear" w:color="auto" w:fill="auto"/>
            <w:noWrap/>
            <w:vAlign w:val="center"/>
          </w:tcPr>
          <w:p w14:paraId="4A421FE0">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0.029308675</w:t>
            </w:r>
          </w:p>
        </w:tc>
        <w:tc>
          <w:tcPr>
            <w:tcW w:w="1263" w:type="dxa"/>
            <w:gridSpan w:val="3"/>
            <w:shd w:val="clear" w:color="auto" w:fill="auto"/>
            <w:noWrap/>
            <w:vAlign w:val="center"/>
          </w:tcPr>
          <w:p w14:paraId="21E25CB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1.357E-05</w:t>
            </w:r>
          </w:p>
        </w:tc>
        <w:tc>
          <w:tcPr>
            <w:tcW w:w="1504" w:type="dxa"/>
            <w:gridSpan w:val="2"/>
            <w:shd w:val="clear" w:color="auto" w:fill="auto"/>
            <w:noWrap/>
            <w:vAlign w:val="center"/>
          </w:tcPr>
          <w:p w14:paraId="4AB53E0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6.8087E-10</w:t>
            </w:r>
          </w:p>
        </w:tc>
      </w:tr>
      <w:tr w14:paraId="27B391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6580388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365</w:t>
            </w:r>
            <w:r>
              <w:rPr>
                <w:rFonts w:hint="default"/>
                <w:highlight w:val="none"/>
              </w:rPr>
              <w:t>d</w:t>
            </w:r>
          </w:p>
        </w:tc>
      </w:tr>
      <w:tr w14:paraId="725296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474AC6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X/Y</w:t>
            </w:r>
          </w:p>
        </w:tc>
        <w:tc>
          <w:tcPr>
            <w:tcW w:w="1050" w:type="dxa"/>
            <w:tcBorders>
              <w:bottom w:val="single" w:color="auto" w:sz="4" w:space="0"/>
            </w:tcBorders>
            <w:shd w:val="clear" w:color="auto" w:fill="auto"/>
            <w:noWrap/>
            <w:vAlign w:val="center"/>
          </w:tcPr>
          <w:p w14:paraId="0F03656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213" w:type="dxa"/>
            <w:tcBorders>
              <w:bottom w:val="single" w:color="auto" w:sz="4" w:space="0"/>
            </w:tcBorders>
            <w:shd w:val="clear" w:color="auto" w:fill="auto"/>
            <w:noWrap/>
            <w:vAlign w:val="center"/>
          </w:tcPr>
          <w:p w14:paraId="15D3AC5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w:t>
            </w:r>
          </w:p>
        </w:tc>
        <w:tc>
          <w:tcPr>
            <w:tcW w:w="1050" w:type="dxa"/>
            <w:shd w:val="clear" w:color="auto" w:fill="auto"/>
            <w:noWrap/>
            <w:vAlign w:val="center"/>
          </w:tcPr>
          <w:p w14:paraId="03AE4C8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4</w:t>
            </w:r>
          </w:p>
        </w:tc>
        <w:tc>
          <w:tcPr>
            <w:tcW w:w="1115" w:type="dxa"/>
            <w:gridSpan w:val="2"/>
            <w:shd w:val="clear" w:color="auto" w:fill="auto"/>
            <w:noWrap/>
            <w:vAlign w:val="center"/>
          </w:tcPr>
          <w:p w14:paraId="11B678DA">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6</w:t>
            </w:r>
          </w:p>
        </w:tc>
        <w:tc>
          <w:tcPr>
            <w:tcW w:w="1287" w:type="dxa"/>
            <w:gridSpan w:val="3"/>
            <w:shd w:val="clear" w:color="auto" w:fill="auto"/>
            <w:noWrap/>
            <w:vAlign w:val="center"/>
          </w:tcPr>
          <w:p w14:paraId="173553A5">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w:t>
            </w:r>
          </w:p>
        </w:tc>
        <w:tc>
          <w:tcPr>
            <w:tcW w:w="1477" w:type="dxa"/>
            <w:shd w:val="clear" w:color="auto" w:fill="auto"/>
            <w:noWrap/>
            <w:vAlign w:val="center"/>
          </w:tcPr>
          <w:p w14:paraId="324B874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r>
      <w:tr w14:paraId="46E757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9262789">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050" w:type="dxa"/>
            <w:tcBorders>
              <w:bottom w:val="single" w:color="auto" w:sz="4" w:space="0"/>
            </w:tcBorders>
            <w:shd w:val="clear" w:color="auto" w:fill="auto"/>
            <w:noWrap/>
            <w:vAlign w:val="center"/>
          </w:tcPr>
          <w:p w14:paraId="2F304E6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130.2477738</w:t>
            </w:r>
          </w:p>
        </w:tc>
        <w:tc>
          <w:tcPr>
            <w:tcW w:w="1213" w:type="dxa"/>
            <w:tcBorders>
              <w:bottom w:val="single" w:color="auto" w:sz="4" w:space="0"/>
            </w:tcBorders>
            <w:shd w:val="clear" w:color="auto" w:fill="auto"/>
            <w:noWrap/>
            <w:vAlign w:val="center"/>
          </w:tcPr>
          <w:p w14:paraId="6BD4E5C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106.1681954</w:t>
            </w:r>
          </w:p>
        </w:tc>
        <w:tc>
          <w:tcPr>
            <w:tcW w:w="1050" w:type="dxa"/>
            <w:shd w:val="clear" w:color="auto" w:fill="auto"/>
            <w:noWrap/>
            <w:vAlign w:val="center"/>
          </w:tcPr>
          <w:p w14:paraId="6E53946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47.07690668</w:t>
            </w:r>
          </w:p>
        </w:tc>
        <w:tc>
          <w:tcPr>
            <w:tcW w:w="1115" w:type="dxa"/>
            <w:gridSpan w:val="2"/>
            <w:shd w:val="clear" w:color="auto" w:fill="auto"/>
            <w:noWrap/>
            <w:vAlign w:val="center"/>
          </w:tcPr>
          <w:p w14:paraId="312A9D1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11.35561757</w:t>
            </w:r>
          </w:p>
        </w:tc>
        <w:tc>
          <w:tcPr>
            <w:tcW w:w="1287" w:type="dxa"/>
            <w:gridSpan w:val="3"/>
            <w:shd w:val="clear" w:color="auto" w:fill="auto"/>
            <w:noWrap/>
            <w:vAlign w:val="center"/>
          </w:tcPr>
          <w:p w14:paraId="5AB12E78">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1.490057247</w:t>
            </w:r>
          </w:p>
        </w:tc>
        <w:tc>
          <w:tcPr>
            <w:tcW w:w="1477" w:type="dxa"/>
            <w:shd w:val="clear" w:color="auto" w:fill="auto"/>
            <w:noWrap/>
            <w:vAlign w:val="center"/>
          </w:tcPr>
          <w:p w14:paraId="6D41D054">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0.106361513</w:t>
            </w:r>
          </w:p>
        </w:tc>
      </w:tr>
      <w:tr w14:paraId="7A75C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26E3B56">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tcBorders>
              <w:top w:val="single" w:color="auto" w:sz="4" w:space="0"/>
              <w:bottom w:val="single" w:color="auto" w:sz="4" w:space="0"/>
            </w:tcBorders>
            <w:shd w:val="clear" w:color="auto" w:fill="auto"/>
            <w:noWrap/>
            <w:vAlign w:val="center"/>
          </w:tcPr>
          <w:p w14:paraId="3E9CFC3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6.204647192</w:t>
            </w:r>
          </w:p>
        </w:tc>
        <w:tc>
          <w:tcPr>
            <w:tcW w:w="1213" w:type="dxa"/>
            <w:tcBorders>
              <w:top w:val="single" w:color="auto" w:sz="4" w:space="0"/>
              <w:bottom w:val="single" w:color="auto" w:sz="4" w:space="0"/>
            </w:tcBorders>
            <w:shd w:val="clear" w:color="auto" w:fill="auto"/>
            <w:noWrap/>
            <w:vAlign w:val="center"/>
          </w:tcPr>
          <w:p w14:paraId="70C4068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5.057562032</w:t>
            </w:r>
          </w:p>
        </w:tc>
        <w:tc>
          <w:tcPr>
            <w:tcW w:w="1050" w:type="dxa"/>
            <w:shd w:val="clear" w:color="auto" w:fill="auto"/>
            <w:noWrap/>
            <w:vAlign w:val="center"/>
          </w:tcPr>
          <w:p w14:paraId="7581355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2.242614889</w:t>
            </w:r>
          </w:p>
        </w:tc>
        <w:tc>
          <w:tcPr>
            <w:tcW w:w="1115" w:type="dxa"/>
            <w:gridSpan w:val="2"/>
            <w:shd w:val="clear" w:color="auto" w:fill="auto"/>
            <w:noWrap/>
            <w:vAlign w:val="center"/>
          </w:tcPr>
          <w:p w14:paraId="1CEDE70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0.540950518</w:t>
            </w:r>
          </w:p>
        </w:tc>
        <w:tc>
          <w:tcPr>
            <w:tcW w:w="1287" w:type="dxa"/>
            <w:gridSpan w:val="3"/>
            <w:shd w:val="clear" w:color="auto" w:fill="auto"/>
            <w:noWrap/>
            <w:vAlign w:val="center"/>
          </w:tcPr>
          <w:p w14:paraId="07FCECD9">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0.070982246</w:t>
            </w:r>
          </w:p>
        </w:tc>
        <w:tc>
          <w:tcPr>
            <w:tcW w:w="1477" w:type="dxa"/>
            <w:shd w:val="clear" w:color="auto" w:fill="auto"/>
            <w:noWrap/>
            <w:vAlign w:val="center"/>
          </w:tcPr>
          <w:p w14:paraId="377F9CF8">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0.005066771</w:t>
            </w:r>
          </w:p>
        </w:tc>
      </w:tr>
      <w:tr w14:paraId="17966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BDC95C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tcBorders>
              <w:top w:val="single" w:color="auto" w:sz="4" w:space="0"/>
              <w:bottom w:val="single" w:color="auto" w:sz="4" w:space="0"/>
            </w:tcBorders>
            <w:shd w:val="clear" w:color="auto" w:fill="auto"/>
            <w:noWrap/>
            <w:vAlign w:val="center"/>
          </w:tcPr>
          <w:p w14:paraId="4059FC4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0.000670745</w:t>
            </w:r>
          </w:p>
        </w:tc>
        <w:tc>
          <w:tcPr>
            <w:tcW w:w="1213" w:type="dxa"/>
            <w:tcBorders>
              <w:top w:val="single" w:color="auto" w:sz="4" w:space="0"/>
              <w:bottom w:val="single" w:color="auto" w:sz="4" w:space="0"/>
            </w:tcBorders>
            <w:shd w:val="clear" w:color="auto" w:fill="auto"/>
            <w:noWrap/>
            <w:vAlign w:val="center"/>
          </w:tcPr>
          <w:p w14:paraId="368FB64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0.000546741</w:t>
            </w:r>
          </w:p>
        </w:tc>
        <w:tc>
          <w:tcPr>
            <w:tcW w:w="1050" w:type="dxa"/>
            <w:shd w:val="clear" w:color="auto" w:fill="auto"/>
            <w:noWrap/>
            <w:vAlign w:val="center"/>
          </w:tcPr>
          <w:p w14:paraId="2BFC90DB">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0.000242435</w:t>
            </w:r>
          </w:p>
        </w:tc>
        <w:tc>
          <w:tcPr>
            <w:tcW w:w="1115" w:type="dxa"/>
            <w:gridSpan w:val="2"/>
            <w:shd w:val="clear" w:color="auto" w:fill="auto"/>
            <w:noWrap/>
            <w:vAlign w:val="center"/>
          </w:tcPr>
          <w:p w14:paraId="10AD47D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5.84787E-05</w:t>
            </w:r>
          </w:p>
        </w:tc>
        <w:tc>
          <w:tcPr>
            <w:tcW w:w="1287" w:type="dxa"/>
            <w:gridSpan w:val="3"/>
            <w:shd w:val="clear" w:color="auto" w:fill="auto"/>
            <w:noWrap/>
            <w:vAlign w:val="center"/>
          </w:tcPr>
          <w:p w14:paraId="59D9FDF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7.67344E-06</w:t>
            </w:r>
          </w:p>
        </w:tc>
        <w:tc>
          <w:tcPr>
            <w:tcW w:w="1477" w:type="dxa"/>
            <w:shd w:val="clear" w:color="auto" w:fill="auto"/>
            <w:noWrap/>
            <w:vAlign w:val="center"/>
          </w:tcPr>
          <w:p w14:paraId="003FD58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5.47736E-07</w:t>
            </w:r>
          </w:p>
        </w:tc>
      </w:tr>
      <w:tr w14:paraId="011E88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91F8CA7">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top w:val="single" w:color="auto" w:sz="4" w:space="0"/>
              <w:bottom w:val="single" w:color="auto" w:sz="4" w:space="0"/>
            </w:tcBorders>
            <w:shd w:val="clear" w:color="auto" w:fill="auto"/>
            <w:noWrap/>
            <w:vAlign w:val="center"/>
          </w:tcPr>
          <w:p w14:paraId="26889A3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1.64548E-10</w:t>
            </w:r>
          </w:p>
        </w:tc>
        <w:tc>
          <w:tcPr>
            <w:tcW w:w="1213" w:type="dxa"/>
            <w:tcBorders>
              <w:top w:val="single" w:color="auto" w:sz="4" w:space="0"/>
              <w:bottom w:val="single" w:color="auto" w:sz="4" w:space="0"/>
            </w:tcBorders>
            <w:shd w:val="clear" w:color="auto" w:fill="auto"/>
            <w:noWrap/>
            <w:vAlign w:val="center"/>
          </w:tcPr>
          <w:p w14:paraId="1D39023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1.34127E-10</w:t>
            </w:r>
          </w:p>
        </w:tc>
        <w:tc>
          <w:tcPr>
            <w:tcW w:w="1050" w:type="dxa"/>
            <w:shd w:val="clear" w:color="auto" w:fill="auto"/>
            <w:noWrap/>
            <w:vAlign w:val="center"/>
          </w:tcPr>
          <w:p w14:paraId="7B57513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5.94742E-11</w:t>
            </w:r>
          </w:p>
        </w:tc>
        <w:tc>
          <w:tcPr>
            <w:tcW w:w="1115" w:type="dxa"/>
            <w:gridSpan w:val="2"/>
            <w:shd w:val="clear" w:color="auto" w:fill="auto"/>
            <w:noWrap/>
            <w:vAlign w:val="center"/>
          </w:tcPr>
          <w:p w14:paraId="5649804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1.4346E-11</w:t>
            </w:r>
          </w:p>
        </w:tc>
        <w:tc>
          <w:tcPr>
            <w:tcW w:w="1287" w:type="dxa"/>
            <w:gridSpan w:val="3"/>
            <w:shd w:val="clear" w:color="auto" w:fill="auto"/>
            <w:noWrap/>
            <w:vAlign w:val="center"/>
          </w:tcPr>
          <w:p w14:paraId="1D65960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1.88245E-12</w:t>
            </w:r>
          </w:p>
        </w:tc>
        <w:tc>
          <w:tcPr>
            <w:tcW w:w="1477" w:type="dxa"/>
            <w:shd w:val="clear" w:color="auto" w:fill="auto"/>
            <w:noWrap/>
            <w:vAlign w:val="center"/>
          </w:tcPr>
          <w:p w14:paraId="73F3CE84">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1.34371E-13</w:t>
            </w:r>
          </w:p>
        </w:tc>
      </w:tr>
      <w:tr w14:paraId="164C16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E7778CA">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bottom w:val="single" w:color="auto" w:sz="4" w:space="0"/>
            </w:tcBorders>
            <w:shd w:val="clear" w:color="auto" w:fill="auto"/>
            <w:noWrap/>
            <w:vAlign w:val="center"/>
          </w:tcPr>
          <w:p w14:paraId="343C07AA">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9.16049E-20</w:t>
            </w:r>
          </w:p>
        </w:tc>
        <w:tc>
          <w:tcPr>
            <w:tcW w:w="1213" w:type="dxa"/>
            <w:tcBorders>
              <w:top w:val="single" w:color="auto" w:sz="4" w:space="0"/>
              <w:bottom w:val="single" w:color="auto" w:sz="4" w:space="0"/>
            </w:tcBorders>
            <w:shd w:val="clear" w:color="auto" w:fill="auto"/>
            <w:noWrap/>
            <w:vAlign w:val="center"/>
          </w:tcPr>
          <w:p w14:paraId="4216509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7.46695E-20</w:t>
            </w:r>
          </w:p>
        </w:tc>
        <w:tc>
          <w:tcPr>
            <w:tcW w:w="1050" w:type="dxa"/>
            <w:shd w:val="clear" w:color="auto" w:fill="auto"/>
            <w:noWrap/>
            <w:vAlign w:val="center"/>
          </w:tcPr>
          <w:p w14:paraId="5C03F0F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3.31098E-20</w:t>
            </w:r>
          </w:p>
        </w:tc>
        <w:tc>
          <w:tcPr>
            <w:tcW w:w="1115" w:type="dxa"/>
            <w:gridSpan w:val="2"/>
            <w:shd w:val="clear" w:color="auto" w:fill="auto"/>
            <w:noWrap/>
            <w:vAlign w:val="center"/>
          </w:tcPr>
          <w:p w14:paraId="5E761822">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7.98655E-21</w:t>
            </w:r>
          </w:p>
        </w:tc>
        <w:tc>
          <w:tcPr>
            <w:tcW w:w="1287" w:type="dxa"/>
            <w:gridSpan w:val="3"/>
            <w:shd w:val="clear" w:color="auto" w:fill="auto"/>
            <w:noWrap/>
            <w:vAlign w:val="center"/>
          </w:tcPr>
          <w:p w14:paraId="1E73DDB9">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1.04798E-21</w:t>
            </w:r>
          </w:p>
        </w:tc>
        <w:tc>
          <w:tcPr>
            <w:tcW w:w="1477" w:type="dxa"/>
            <w:shd w:val="clear" w:color="auto" w:fill="auto"/>
            <w:noWrap/>
            <w:vAlign w:val="center"/>
          </w:tcPr>
          <w:p w14:paraId="388237F6">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7.48054E-23</w:t>
            </w:r>
          </w:p>
        </w:tc>
      </w:tr>
      <w:tr w14:paraId="0B272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98DDA5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c>
          <w:tcPr>
            <w:tcW w:w="1050" w:type="dxa"/>
            <w:tcBorders>
              <w:top w:val="single" w:color="auto" w:sz="4" w:space="0"/>
              <w:bottom w:val="single" w:color="auto" w:sz="4" w:space="0"/>
            </w:tcBorders>
            <w:shd w:val="clear" w:color="auto" w:fill="auto"/>
            <w:noWrap/>
            <w:vAlign w:val="center"/>
          </w:tcPr>
          <w:p w14:paraId="58555C3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1.15728E-31</w:t>
            </w:r>
          </w:p>
        </w:tc>
        <w:tc>
          <w:tcPr>
            <w:tcW w:w="1213" w:type="dxa"/>
            <w:tcBorders>
              <w:top w:val="single" w:color="auto" w:sz="4" w:space="0"/>
              <w:bottom w:val="single" w:color="auto" w:sz="4" w:space="0"/>
            </w:tcBorders>
            <w:shd w:val="clear" w:color="auto" w:fill="auto"/>
            <w:noWrap/>
            <w:vAlign w:val="center"/>
          </w:tcPr>
          <w:p w14:paraId="10B3DDD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9.43331E-32</w:t>
            </w:r>
          </w:p>
        </w:tc>
        <w:tc>
          <w:tcPr>
            <w:tcW w:w="1050" w:type="dxa"/>
            <w:tcBorders>
              <w:bottom w:val="single" w:color="auto" w:sz="4" w:space="0"/>
            </w:tcBorders>
            <w:shd w:val="clear" w:color="auto" w:fill="auto"/>
            <w:noWrap/>
            <w:vAlign w:val="center"/>
          </w:tcPr>
          <w:p w14:paraId="7417F14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4.1829E-32</w:t>
            </w:r>
          </w:p>
        </w:tc>
        <w:tc>
          <w:tcPr>
            <w:tcW w:w="1115" w:type="dxa"/>
            <w:gridSpan w:val="2"/>
            <w:shd w:val="clear" w:color="auto" w:fill="auto"/>
            <w:noWrap/>
            <w:vAlign w:val="center"/>
          </w:tcPr>
          <w:p w14:paraId="7710AE0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1.00897E-32</w:t>
            </w:r>
          </w:p>
        </w:tc>
        <w:tc>
          <w:tcPr>
            <w:tcW w:w="1287" w:type="dxa"/>
            <w:gridSpan w:val="3"/>
            <w:shd w:val="clear" w:color="auto" w:fill="auto"/>
            <w:noWrap/>
            <w:vAlign w:val="center"/>
          </w:tcPr>
          <w:p w14:paraId="53858D64">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1.32395E-33</w:t>
            </w:r>
          </w:p>
        </w:tc>
        <w:tc>
          <w:tcPr>
            <w:tcW w:w="1477" w:type="dxa"/>
            <w:shd w:val="clear" w:color="auto" w:fill="auto"/>
            <w:noWrap/>
            <w:vAlign w:val="center"/>
          </w:tcPr>
          <w:p w14:paraId="6469B580">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9.45048E-35</w:t>
            </w:r>
          </w:p>
        </w:tc>
      </w:tr>
      <w:tr w14:paraId="498B7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3FB413A">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15</w:t>
            </w:r>
          </w:p>
        </w:tc>
        <w:tc>
          <w:tcPr>
            <w:tcW w:w="1050" w:type="dxa"/>
            <w:tcBorders>
              <w:top w:val="single" w:color="auto" w:sz="4" w:space="0"/>
            </w:tcBorders>
            <w:shd w:val="clear" w:color="auto" w:fill="auto"/>
            <w:noWrap/>
            <w:vAlign w:val="center"/>
          </w:tcPr>
          <w:p w14:paraId="4147489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5.61406E-73</w:t>
            </w:r>
          </w:p>
        </w:tc>
        <w:tc>
          <w:tcPr>
            <w:tcW w:w="1213" w:type="dxa"/>
            <w:tcBorders>
              <w:top w:val="single" w:color="auto" w:sz="4" w:space="0"/>
              <w:bottom w:val="single" w:color="auto" w:sz="4" w:space="0"/>
            </w:tcBorders>
            <w:shd w:val="clear" w:color="auto" w:fill="auto"/>
            <w:noWrap/>
            <w:vAlign w:val="center"/>
          </w:tcPr>
          <w:p w14:paraId="22E951E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4.57616E-73</w:t>
            </w:r>
          </w:p>
        </w:tc>
        <w:tc>
          <w:tcPr>
            <w:tcW w:w="1050" w:type="dxa"/>
            <w:tcBorders>
              <w:top w:val="single" w:color="auto" w:sz="4" w:space="0"/>
              <w:bottom w:val="single" w:color="auto" w:sz="4" w:space="0"/>
            </w:tcBorders>
            <w:shd w:val="clear" w:color="auto" w:fill="auto"/>
            <w:noWrap/>
            <w:vAlign w:val="center"/>
          </w:tcPr>
          <w:p w14:paraId="1AE6A70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2.02915E-73</w:t>
            </w:r>
          </w:p>
        </w:tc>
        <w:tc>
          <w:tcPr>
            <w:tcW w:w="1115" w:type="dxa"/>
            <w:gridSpan w:val="2"/>
            <w:shd w:val="clear" w:color="auto" w:fill="auto"/>
            <w:noWrap/>
            <w:vAlign w:val="center"/>
          </w:tcPr>
          <w:p w14:paraId="7BCC453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4.8946E-74</w:t>
            </w:r>
          </w:p>
        </w:tc>
        <w:tc>
          <w:tcPr>
            <w:tcW w:w="1287" w:type="dxa"/>
            <w:gridSpan w:val="3"/>
            <w:shd w:val="clear" w:color="auto" w:fill="auto"/>
            <w:noWrap/>
            <w:vAlign w:val="center"/>
          </w:tcPr>
          <w:p w14:paraId="520E4BA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6.42258E-75</w:t>
            </w:r>
          </w:p>
        </w:tc>
        <w:tc>
          <w:tcPr>
            <w:tcW w:w="1477" w:type="dxa"/>
            <w:shd w:val="clear" w:color="auto" w:fill="auto"/>
            <w:noWrap/>
            <w:vAlign w:val="center"/>
          </w:tcPr>
          <w:p w14:paraId="64EF46C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4.58449E-76</w:t>
            </w:r>
          </w:p>
        </w:tc>
      </w:tr>
      <w:tr w14:paraId="4EDB18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D63674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20</w:t>
            </w:r>
          </w:p>
        </w:tc>
        <w:tc>
          <w:tcPr>
            <w:tcW w:w="1050" w:type="dxa"/>
            <w:shd w:val="clear" w:color="auto" w:fill="auto"/>
            <w:noWrap/>
            <w:vAlign w:val="center"/>
          </w:tcPr>
          <w:p w14:paraId="7CC5737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8.118E-131</w:t>
            </w:r>
          </w:p>
        </w:tc>
        <w:tc>
          <w:tcPr>
            <w:tcW w:w="1213" w:type="dxa"/>
            <w:tcBorders>
              <w:top w:val="single" w:color="auto" w:sz="4" w:space="0"/>
            </w:tcBorders>
            <w:shd w:val="clear" w:color="auto" w:fill="auto"/>
            <w:noWrap/>
            <w:vAlign w:val="center"/>
          </w:tcPr>
          <w:p w14:paraId="6D45E24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6.6172E-131</w:t>
            </w:r>
          </w:p>
        </w:tc>
        <w:tc>
          <w:tcPr>
            <w:tcW w:w="1050" w:type="dxa"/>
            <w:tcBorders>
              <w:top w:val="single" w:color="auto" w:sz="4" w:space="0"/>
            </w:tcBorders>
            <w:shd w:val="clear" w:color="auto" w:fill="auto"/>
            <w:noWrap/>
            <w:vAlign w:val="center"/>
          </w:tcPr>
          <w:p w14:paraId="482635F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2.9342E-131</w:t>
            </w:r>
          </w:p>
        </w:tc>
        <w:tc>
          <w:tcPr>
            <w:tcW w:w="1115" w:type="dxa"/>
            <w:gridSpan w:val="2"/>
            <w:shd w:val="clear" w:color="auto" w:fill="auto"/>
            <w:noWrap/>
            <w:vAlign w:val="center"/>
          </w:tcPr>
          <w:p w14:paraId="1DCFD62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7.0776E-132</w:t>
            </w:r>
          </w:p>
        </w:tc>
        <w:tc>
          <w:tcPr>
            <w:tcW w:w="1287" w:type="dxa"/>
            <w:gridSpan w:val="3"/>
            <w:shd w:val="clear" w:color="auto" w:fill="auto"/>
            <w:noWrap/>
            <w:vAlign w:val="center"/>
          </w:tcPr>
          <w:p w14:paraId="46774A6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9.2871E-133</w:t>
            </w:r>
          </w:p>
        </w:tc>
        <w:tc>
          <w:tcPr>
            <w:tcW w:w="1477" w:type="dxa"/>
            <w:shd w:val="clear" w:color="auto" w:fill="auto"/>
            <w:noWrap/>
            <w:vAlign w:val="center"/>
          </w:tcPr>
          <w:p w14:paraId="44EA0FD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6.6292E-134</w:t>
            </w:r>
          </w:p>
        </w:tc>
      </w:tr>
      <w:tr w14:paraId="77B56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10157943">
            <w:pPr>
              <w:pStyle w:val="42"/>
              <w:keepNext w:val="0"/>
              <w:keepLines w:val="0"/>
              <w:suppressLineNumbers w:val="0"/>
              <w:bidi w:val="0"/>
              <w:spacing w:before="0" w:beforeAutospacing="0" w:after="0" w:afterAutospacing="0"/>
              <w:rPr>
                <w:rFonts w:hint="default"/>
                <w:highlight w:val="none"/>
              </w:rPr>
            </w:pPr>
            <w:r>
              <w:rPr>
                <w:rFonts w:hint="default"/>
                <w:highlight w:val="none"/>
              </w:rPr>
              <w:t>10</w:t>
            </w:r>
            <w:r>
              <w:rPr>
                <w:rFonts w:hint="eastAsia"/>
                <w:highlight w:val="none"/>
                <w:lang w:val="en-US" w:eastAsia="zh-CN"/>
              </w:rPr>
              <w:t>0</w:t>
            </w:r>
            <w:r>
              <w:rPr>
                <w:rFonts w:hint="default"/>
                <w:highlight w:val="none"/>
              </w:rPr>
              <w:t>0d</w:t>
            </w:r>
          </w:p>
        </w:tc>
      </w:tr>
      <w:tr w14:paraId="27AB3C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3ED9FA4A">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X/Y</w:t>
            </w:r>
          </w:p>
        </w:tc>
        <w:tc>
          <w:tcPr>
            <w:tcW w:w="1050" w:type="dxa"/>
            <w:shd w:val="clear" w:color="auto" w:fill="auto"/>
            <w:noWrap/>
            <w:vAlign w:val="center"/>
          </w:tcPr>
          <w:p w14:paraId="44B4B264">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213" w:type="dxa"/>
            <w:tcBorders>
              <w:bottom w:val="single" w:color="auto" w:sz="4" w:space="0"/>
            </w:tcBorders>
            <w:shd w:val="clear" w:color="auto" w:fill="auto"/>
            <w:noWrap/>
            <w:vAlign w:val="center"/>
          </w:tcPr>
          <w:p w14:paraId="44133F8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w:t>
            </w:r>
          </w:p>
        </w:tc>
        <w:tc>
          <w:tcPr>
            <w:tcW w:w="1050" w:type="dxa"/>
            <w:shd w:val="clear" w:color="auto" w:fill="auto"/>
            <w:noWrap/>
            <w:vAlign w:val="center"/>
          </w:tcPr>
          <w:p w14:paraId="0A8A95FD">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4</w:t>
            </w:r>
          </w:p>
        </w:tc>
        <w:tc>
          <w:tcPr>
            <w:tcW w:w="1127" w:type="dxa"/>
            <w:gridSpan w:val="3"/>
            <w:shd w:val="clear" w:color="auto" w:fill="auto"/>
            <w:noWrap/>
            <w:vAlign w:val="center"/>
          </w:tcPr>
          <w:p w14:paraId="66E9625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6</w:t>
            </w:r>
          </w:p>
        </w:tc>
        <w:tc>
          <w:tcPr>
            <w:tcW w:w="1248" w:type="dxa"/>
            <w:shd w:val="clear" w:color="auto" w:fill="auto"/>
            <w:noWrap/>
            <w:vAlign w:val="center"/>
          </w:tcPr>
          <w:p w14:paraId="4365DEE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w:t>
            </w:r>
          </w:p>
        </w:tc>
        <w:tc>
          <w:tcPr>
            <w:tcW w:w="1504" w:type="dxa"/>
            <w:gridSpan w:val="2"/>
            <w:shd w:val="clear" w:color="auto" w:fill="auto"/>
            <w:noWrap/>
            <w:vAlign w:val="center"/>
          </w:tcPr>
          <w:p w14:paraId="3B75895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r>
      <w:tr w14:paraId="208117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330" w:type="dxa"/>
            <w:shd w:val="clear" w:color="auto" w:fill="auto"/>
            <w:noWrap/>
            <w:vAlign w:val="center"/>
          </w:tcPr>
          <w:p w14:paraId="39A7346F">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050" w:type="dxa"/>
            <w:shd w:val="clear" w:color="auto" w:fill="auto"/>
            <w:noWrap/>
            <w:vAlign w:val="center"/>
          </w:tcPr>
          <w:p w14:paraId="2E5CE8F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46.86603269</w:t>
            </w:r>
          </w:p>
        </w:tc>
        <w:tc>
          <w:tcPr>
            <w:tcW w:w="1213" w:type="dxa"/>
            <w:tcBorders>
              <w:top w:val="single" w:color="auto" w:sz="4" w:space="0"/>
              <w:bottom w:val="single" w:color="auto" w:sz="4" w:space="0"/>
            </w:tcBorders>
            <w:shd w:val="clear" w:color="auto" w:fill="auto"/>
            <w:noWrap/>
            <w:vAlign w:val="center"/>
          </w:tcPr>
          <w:p w14:paraId="2088063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46.34818128</w:t>
            </w:r>
          </w:p>
        </w:tc>
        <w:tc>
          <w:tcPr>
            <w:tcW w:w="1050" w:type="dxa"/>
            <w:shd w:val="clear" w:color="auto" w:fill="auto"/>
            <w:noWrap/>
            <w:vAlign w:val="center"/>
          </w:tcPr>
          <w:p w14:paraId="577F62E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36.70264117</w:t>
            </w:r>
          </w:p>
        </w:tc>
        <w:tc>
          <w:tcPr>
            <w:tcW w:w="1127" w:type="dxa"/>
            <w:gridSpan w:val="3"/>
            <w:shd w:val="clear" w:color="auto" w:fill="auto"/>
            <w:noWrap/>
            <w:vAlign w:val="center"/>
          </w:tcPr>
          <w:p w14:paraId="27E12E8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23.27298308</w:t>
            </w:r>
          </w:p>
        </w:tc>
        <w:tc>
          <w:tcPr>
            <w:tcW w:w="1248" w:type="dxa"/>
            <w:shd w:val="clear" w:color="auto" w:fill="auto"/>
            <w:noWrap/>
            <w:vAlign w:val="center"/>
          </w:tcPr>
          <w:p w14:paraId="111CC05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11.81671891</w:t>
            </w:r>
          </w:p>
        </w:tc>
        <w:tc>
          <w:tcPr>
            <w:tcW w:w="1504" w:type="dxa"/>
            <w:gridSpan w:val="2"/>
            <w:shd w:val="clear" w:color="auto" w:fill="auto"/>
            <w:noWrap/>
            <w:vAlign w:val="center"/>
          </w:tcPr>
          <w:p w14:paraId="00B6A46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4.804319388</w:t>
            </w:r>
          </w:p>
        </w:tc>
      </w:tr>
      <w:tr w14:paraId="49CE47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C6BE44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shd w:val="clear" w:color="auto" w:fill="auto"/>
            <w:noWrap/>
            <w:vAlign w:val="center"/>
          </w:tcPr>
          <w:p w14:paraId="25071A7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15.42796933</w:t>
            </w:r>
          </w:p>
        </w:tc>
        <w:tc>
          <w:tcPr>
            <w:tcW w:w="1213" w:type="dxa"/>
            <w:tcBorders>
              <w:top w:val="single" w:color="auto" w:sz="4" w:space="0"/>
              <w:bottom w:val="single" w:color="auto" w:sz="4" w:space="0"/>
            </w:tcBorders>
            <w:shd w:val="clear" w:color="auto" w:fill="auto"/>
            <w:noWrap/>
            <w:vAlign w:val="center"/>
          </w:tcPr>
          <w:p w14:paraId="2DE28C2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15.25749627</w:t>
            </w:r>
          </w:p>
        </w:tc>
        <w:tc>
          <w:tcPr>
            <w:tcW w:w="1050" w:type="dxa"/>
            <w:shd w:val="clear" w:color="auto" w:fill="auto"/>
            <w:noWrap/>
            <w:vAlign w:val="center"/>
          </w:tcPr>
          <w:p w14:paraId="34F469D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12.08225211</w:t>
            </w:r>
          </w:p>
        </w:tc>
        <w:tc>
          <w:tcPr>
            <w:tcW w:w="1127" w:type="dxa"/>
            <w:gridSpan w:val="3"/>
            <w:shd w:val="clear" w:color="auto" w:fill="auto"/>
            <w:noWrap/>
            <w:vAlign w:val="center"/>
          </w:tcPr>
          <w:p w14:paraId="142AFB8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7.661302836</w:t>
            </w:r>
          </w:p>
        </w:tc>
        <w:tc>
          <w:tcPr>
            <w:tcW w:w="1248" w:type="dxa"/>
            <w:shd w:val="clear" w:color="auto" w:fill="auto"/>
            <w:noWrap/>
            <w:vAlign w:val="center"/>
          </w:tcPr>
          <w:p w14:paraId="33162997">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3.889981005</w:t>
            </w:r>
          </w:p>
        </w:tc>
        <w:tc>
          <w:tcPr>
            <w:tcW w:w="1504" w:type="dxa"/>
            <w:gridSpan w:val="2"/>
            <w:shd w:val="clear" w:color="auto" w:fill="auto"/>
            <w:noWrap/>
            <w:vAlign w:val="center"/>
          </w:tcPr>
          <w:p w14:paraId="503C4D0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1.581548254</w:t>
            </w:r>
          </w:p>
        </w:tc>
      </w:tr>
      <w:tr w14:paraId="21081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3FBC7076">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shd w:val="clear" w:color="auto" w:fill="auto"/>
            <w:noWrap/>
            <w:vAlign w:val="center"/>
          </w:tcPr>
          <w:p w14:paraId="545D65EA">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0.550377275</w:t>
            </w:r>
          </w:p>
        </w:tc>
        <w:tc>
          <w:tcPr>
            <w:tcW w:w="1213" w:type="dxa"/>
            <w:tcBorders>
              <w:top w:val="single" w:color="auto" w:sz="4" w:space="0"/>
              <w:bottom w:val="single" w:color="auto" w:sz="4" w:space="0"/>
            </w:tcBorders>
            <w:shd w:val="clear" w:color="auto" w:fill="auto"/>
            <w:noWrap/>
            <w:vAlign w:val="center"/>
          </w:tcPr>
          <w:p w14:paraId="397CE942">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0.544295821</w:t>
            </w:r>
          </w:p>
        </w:tc>
        <w:tc>
          <w:tcPr>
            <w:tcW w:w="1050" w:type="dxa"/>
            <w:shd w:val="clear" w:color="auto" w:fill="auto"/>
            <w:noWrap/>
            <w:vAlign w:val="center"/>
          </w:tcPr>
          <w:p w14:paraId="2DCBBF2E">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0.431022181</w:t>
            </w:r>
          </w:p>
        </w:tc>
        <w:tc>
          <w:tcPr>
            <w:tcW w:w="1127" w:type="dxa"/>
            <w:gridSpan w:val="3"/>
            <w:shd w:val="clear" w:color="auto" w:fill="auto"/>
            <w:noWrap/>
            <w:vAlign w:val="center"/>
          </w:tcPr>
          <w:p w14:paraId="68A9CF2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0.273309266</w:t>
            </w:r>
          </w:p>
        </w:tc>
        <w:tc>
          <w:tcPr>
            <w:tcW w:w="1248" w:type="dxa"/>
            <w:shd w:val="clear" w:color="auto" w:fill="auto"/>
            <w:noWrap/>
            <w:vAlign w:val="center"/>
          </w:tcPr>
          <w:p w14:paraId="075BD972">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0.138771156</w:t>
            </w:r>
          </w:p>
        </w:tc>
        <w:tc>
          <w:tcPr>
            <w:tcW w:w="1504" w:type="dxa"/>
            <w:gridSpan w:val="2"/>
            <w:shd w:val="clear" w:color="auto" w:fill="auto"/>
            <w:noWrap/>
            <w:vAlign w:val="center"/>
          </w:tcPr>
          <w:p w14:paraId="38379FE8">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0.056420142</w:t>
            </w:r>
          </w:p>
        </w:tc>
      </w:tr>
      <w:tr w14:paraId="510C65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22E0FB82">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bottom w:val="single" w:color="auto" w:sz="4" w:space="0"/>
            </w:tcBorders>
            <w:shd w:val="clear" w:color="auto" w:fill="auto"/>
            <w:noWrap/>
            <w:vAlign w:val="center"/>
          </w:tcPr>
          <w:p w14:paraId="10532F2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0.002127715</w:t>
            </w:r>
          </w:p>
        </w:tc>
        <w:tc>
          <w:tcPr>
            <w:tcW w:w="1213" w:type="dxa"/>
            <w:tcBorders>
              <w:top w:val="single" w:color="auto" w:sz="4" w:space="0"/>
              <w:bottom w:val="single" w:color="auto" w:sz="4" w:space="0"/>
            </w:tcBorders>
            <w:shd w:val="clear" w:color="auto" w:fill="auto"/>
            <w:noWrap/>
            <w:vAlign w:val="center"/>
          </w:tcPr>
          <w:p w14:paraId="32F841A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0.002104204</w:t>
            </w:r>
          </w:p>
        </w:tc>
        <w:tc>
          <w:tcPr>
            <w:tcW w:w="1050" w:type="dxa"/>
            <w:tcBorders>
              <w:bottom w:val="single" w:color="auto" w:sz="4" w:space="0"/>
            </w:tcBorders>
            <w:shd w:val="clear" w:color="auto" w:fill="auto"/>
            <w:noWrap/>
            <w:vAlign w:val="center"/>
          </w:tcPr>
          <w:p w14:paraId="3A9D8D7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0.001666297</w:t>
            </w:r>
          </w:p>
        </w:tc>
        <w:tc>
          <w:tcPr>
            <w:tcW w:w="1127" w:type="dxa"/>
            <w:gridSpan w:val="3"/>
            <w:shd w:val="clear" w:color="auto" w:fill="auto"/>
            <w:noWrap/>
            <w:vAlign w:val="center"/>
          </w:tcPr>
          <w:p w14:paraId="37DD2B7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0.001056592</w:t>
            </w:r>
          </w:p>
        </w:tc>
        <w:tc>
          <w:tcPr>
            <w:tcW w:w="1248" w:type="dxa"/>
            <w:shd w:val="clear" w:color="auto" w:fill="auto"/>
            <w:noWrap/>
            <w:vAlign w:val="center"/>
          </w:tcPr>
          <w:p w14:paraId="2B2F3E0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0.000536478</w:t>
            </w:r>
          </w:p>
        </w:tc>
        <w:tc>
          <w:tcPr>
            <w:tcW w:w="1504" w:type="dxa"/>
            <w:gridSpan w:val="2"/>
            <w:shd w:val="clear" w:color="auto" w:fill="auto"/>
            <w:noWrap/>
            <w:vAlign w:val="center"/>
          </w:tcPr>
          <w:p w14:paraId="3E85108D">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0.000218116</w:t>
            </w:r>
          </w:p>
        </w:tc>
      </w:tr>
      <w:tr w14:paraId="09EB98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6DD247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bottom w:val="single" w:color="auto" w:sz="4" w:space="0"/>
            </w:tcBorders>
            <w:shd w:val="clear" w:color="auto" w:fill="auto"/>
            <w:noWrap/>
            <w:vAlign w:val="center"/>
          </w:tcPr>
          <w:p w14:paraId="0FE8873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8.91389E-07</w:t>
            </w:r>
          </w:p>
        </w:tc>
        <w:tc>
          <w:tcPr>
            <w:tcW w:w="1213" w:type="dxa"/>
            <w:tcBorders>
              <w:top w:val="single" w:color="auto" w:sz="4" w:space="0"/>
              <w:bottom w:val="single" w:color="auto" w:sz="4" w:space="0"/>
            </w:tcBorders>
            <w:shd w:val="clear" w:color="auto" w:fill="auto"/>
            <w:noWrap/>
            <w:vAlign w:val="center"/>
          </w:tcPr>
          <w:p w14:paraId="3C81DB0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8.8154E-07</w:t>
            </w:r>
          </w:p>
        </w:tc>
        <w:tc>
          <w:tcPr>
            <w:tcW w:w="1050" w:type="dxa"/>
            <w:tcBorders>
              <w:top w:val="single" w:color="auto" w:sz="4" w:space="0"/>
              <w:bottom w:val="single" w:color="auto" w:sz="4" w:space="0"/>
            </w:tcBorders>
            <w:shd w:val="clear" w:color="auto" w:fill="auto"/>
            <w:noWrap/>
            <w:vAlign w:val="center"/>
          </w:tcPr>
          <w:p w14:paraId="2119BD7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6.98082E-07</w:t>
            </w:r>
          </w:p>
        </w:tc>
        <w:tc>
          <w:tcPr>
            <w:tcW w:w="1127" w:type="dxa"/>
            <w:gridSpan w:val="3"/>
            <w:shd w:val="clear" w:color="auto" w:fill="auto"/>
            <w:noWrap/>
            <w:vAlign w:val="center"/>
          </w:tcPr>
          <w:p w14:paraId="7E91530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4.42651E-07</w:t>
            </w:r>
          </w:p>
        </w:tc>
        <w:tc>
          <w:tcPr>
            <w:tcW w:w="1248" w:type="dxa"/>
            <w:shd w:val="clear" w:color="auto" w:fill="auto"/>
            <w:noWrap/>
            <w:vAlign w:val="center"/>
          </w:tcPr>
          <w:p w14:paraId="6641FAD9">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2.24753E-07</w:t>
            </w:r>
          </w:p>
        </w:tc>
        <w:tc>
          <w:tcPr>
            <w:tcW w:w="1504" w:type="dxa"/>
            <w:gridSpan w:val="2"/>
            <w:shd w:val="clear" w:color="auto" w:fill="auto"/>
            <w:noWrap/>
            <w:vAlign w:val="center"/>
          </w:tcPr>
          <w:p w14:paraId="422FB25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9.13779E-08</w:t>
            </w:r>
          </w:p>
        </w:tc>
      </w:tr>
      <w:tr w14:paraId="3006C4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4E5905F">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c>
          <w:tcPr>
            <w:tcW w:w="1050" w:type="dxa"/>
            <w:tcBorders>
              <w:top w:val="single" w:color="auto" w:sz="4" w:space="0"/>
              <w:bottom w:val="single" w:color="auto" w:sz="4" w:space="0"/>
            </w:tcBorders>
            <w:shd w:val="clear" w:color="auto" w:fill="auto"/>
            <w:noWrap/>
            <w:vAlign w:val="center"/>
          </w:tcPr>
          <w:p w14:paraId="11C4DBB0">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4.0469E-11</w:t>
            </w:r>
          </w:p>
        </w:tc>
        <w:tc>
          <w:tcPr>
            <w:tcW w:w="1213" w:type="dxa"/>
            <w:tcBorders>
              <w:top w:val="single" w:color="auto" w:sz="4" w:space="0"/>
              <w:bottom w:val="single" w:color="auto" w:sz="4" w:space="0"/>
            </w:tcBorders>
            <w:shd w:val="clear" w:color="auto" w:fill="auto"/>
            <w:noWrap/>
            <w:vAlign w:val="center"/>
          </w:tcPr>
          <w:p w14:paraId="32BE368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4.00218E-11</w:t>
            </w:r>
          </w:p>
        </w:tc>
        <w:tc>
          <w:tcPr>
            <w:tcW w:w="1050" w:type="dxa"/>
            <w:tcBorders>
              <w:top w:val="single" w:color="auto" w:sz="4" w:space="0"/>
              <w:bottom w:val="single" w:color="auto" w:sz="4" w:space="0"/>
            </w:tcBorders>
            <w:shd w:val="clear" w:color="auto" w:fill="auto"/>
            <w:noWrap/>
            <w:vAlign w:val="center"/>
          </w:tcPr>
          <w:p w14:paraId="6CE9E3C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3.16929E-11</w:t>
            </w:r>
          </w:p>
        </w:tc>
        <w:tc>
          <w:tcPr>
            <w:tcW w:w="1127" w:type="dxa"/>
            <w:gridSpan w:val="3"/>
            <w:shd w:val="clear" w:color="auto" w:fill="auto"/>
            <w:noWrap/>
            <w:vAlign w:val="center"/>
          </w:tcPr>
          <w:p w14:paraId="77620E4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2.00963E-11</w:t>
            </w:r>
          </w:p>
        </w:tc>
        <w:tc>
          <w:tcPr>
            <w:tcW w:w="1248" w:type="dxa"/>
            <w:shd w:val="clear" w:color="auto" w:fill="auto"/>
            <w:noWrap/>
            <w:vAlign w:val="center"/>
          </w:tcPr>
          <w:p w14:paraId="3D5235D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1.02038E-11</w:t>
            </w:r>
          </w:p>
        </w:tc>
        <w:tc>
          <w:tcPr>
            <w:tcW w:w="1504" w:type="dxa"/>
            <w:gridSpan w:val="2"/>
            <w:shd w:val="clear" w:color="auto" w:fill="auto"/>
            <w:noWrap/>
            <w:vAlign w:val="center"/>
          </w:tcPr>
          <w:p w14:paraId="63BA048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4.14855E-12</w:t>
            </w:r>
          </w:p>
        </w:tc>
      </w:tr>
      <w:tr w14:paraId="65B7A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E751AC6">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15</w:t>
            </w:r>
          </w:p>
        </w:tc>
        <w:tc>
          <w:tcPr>
            <w:tcW w:w="1050" w:type="dxa"/>
            <w:tcBorders>
              <w:top w:val="single" w:color="auto" w:sz="4" w:space="0"/>
            </w:tcBorders>
            <w:shd w:val="clear" w:color="auto" w:fill="auto"/>
            <w:noWrap/>
            <w:vAlign w:val="center"/>
          </w:tcPr>
          <w:p w14:paraId="75F700E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3.36863E-26</w:t>
            </w:r>
          </w:p>
        </w:tc>
        <w:tc>
          <w:tcPr>
            <w:tcW w:w="1213" w:type="dxa"/>
            <w:tcBorders>
              <w:top w:val="single" w:color="auto" w:sz="4" w:space="0"/>
            </w:tcBorders>
            <w:shd w:val="clear" w:color="auto" w:fill="auto"/>
            <w:noWrap/>
            <w:vAlign w:val="center"/>
          </w:tcPr>
          <w:p w14:paraId="5C6F5E0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3.33141E-26</w:t>
            </w:r>
          </w:p>
        </w:tc>
        <w:tc>
          <w:tcPr>
            <w:tcW w:w="1050" w:type="dxa"/>
            <w:tcBorders>
              <w:top w:val="single" w:color="auto" w:sz="4" w:space="0"/>
              <w:bottom w:val="single" w:color="auto" w:sz="4" w:space="0"/>
            </w:tcBorders>
            <w:shd w:val="clear" w:color="auto" w:fill="auto"/>
            <w:noWrap/>
            <w:vAlign w:val="center"/>
          </w:tcPr>
          <w:p w14:paraId="3953EFB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2.63811E-26</w:t>
            </w:r>
          </w:p>
        </w:tc>
        <w:tc>
          <w:tcPr>
            <w:tcW w:w="1127" w:type="dxa"/>
            <w:gridSpan w:val="3"/>
            <w:shd w:val="clear" w:color="auto" w:fill="auto"/>
            <w:noWrap/>
            <w:vAlign w:val="center"/>
          </w:tcPr>
          <w:p w14:paraId="09426F9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1.67281E-26</w:t>
            </w:r>
          </w:p>
        </w:tc>
        <w:tc>
          <w:tcPr>
            <w:tcW w:w="1248" w:type="dxa"/>
            <w:shd w:val="clear" w:color="auto" w:fill="auto"/>
            <w:noWrap/>
            <w:vAlign w:val="center"/>
          </w:tcPr>
          <w:p w14:paraId="39BBF48D">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8.4936E-27</w:t>
            </w:r>
          </w:p>
        </w:tc>
        <w:tc>
          <w:tcPr>
            <w:tcW w:w="1504" w:type="dxa"/>
            <w:gridSpan w:val="2"/>
            <w:shd w:val="clear" w:color="auto" w:fill="auto"/>
            <w:noWrap/>
            <w:vAlign w:val="center"/>
          </w:tcPr>
          <w:p w14:paraId="15D7965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3.45324E-27</w:t>
            </w:r>
          </w:p>
        </w:tc>
      </w:tr>
      <w:tr w14:paraId="1B3514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27474D64">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20</w:t>
            </w:r>
          </w:p>
        </w:tc>
        <w:tc>
          <w:tcPr>
            <w:tcW w:w="1050" w:type="dxa"/>
            <w:shd w:val="clear" w:color="auto" w:fill="auto"/>
            <w:noWrap/>
            <w:vAlign w:val="center"/>
          </w:tcPr>
          <w:p w14:paraId="6F81A72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2.60565E-47</w:t>
            </w:r>
          </w:p>
        </w:tc>
        <w:tc>
          <w:tcPr>
            <w:tcW w:w="1213" w:type="dxa"/>
            <w:shd w:val="clear" w:color="auto" w:fill="auto"/>
            <w:noWrap/>
            <w:vAlign w:val="center"/>
          </w:tcPr>
          <w:p w14:paraId="77833C7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2.57686E-47</w:t>
            </w:r>
          </w:p>
        </w:tc>
        <w:tc>
          <w:tcPr>
            <w:tcW w:w="1050" w:type="dxa"/>
            <w:tcBorders>
              <w:top w:val="single" w:color="auto" w:sz="4" w:space="0"/>
            </w:tcBorders>
            <w:shd w:val="clear" w:color="auto" w:fill="auto"/>
            <w:noWrap/>
            <w:vAlign w:val="center"/>
          </w:tcPr>
          <w:p w14:paraId="3A92EAA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2.04059E-47</w:t>
            </w:r>
          </w:p>
        </w:tc>
        <w:tc>
          <w:tcPr>
            <w:tcW w:w="1127" w:type="dxa"/>
            <w:gridSpan w:val="3"/>
            <w:shd w:val="clear" w:color="auto" w:fill="auto"/>
            <w:noWrap/>
            <w:vAlign w:val="center"/>
          </w:tcPr>
          <w:p w14:paraId="4E17997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1.29393E-47</w:t>
            </w:r>
          </w:p>
        </w:tc>
        <w:tc>
          <w:tcPr>
            <w:tcW w:w="1248" w:type="dxa"/>
            <w:shd w:val="clear" w:color="auto" w:fill="auto"/>
            <w:noWrap/>
            <w:vAlign w:val="center"/>
          </w:tcPr>
          <w:p w14:paraId="1990C81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6.56984E-48</w:t>
            </w:r>
          </w:p>
        </w:tc>
        <w:tc>
          <w:tcPr>
            <w:tcW w:w="1504" w:type="dxa"/>
            <w:gridSpan w:val="2"/>
            <w:shd w:val="clear" w:color="auto" w:fill="auto"/>
            <w:noWrap/>
            <w:vAlign w:val="center"/>
          </w:tcPr>
          <w:p w14:paraId="604FAA4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2.6711E-48</w:t>
            </w:r>
          </w:p>
        </w:tc>
      </w:tr>
    </w:tbl>
    <w:p w14:paraId="6539E687">
      <w:pPr>
        <w:pStyle w:val="39"/>
        <w:bidi w:val="0"/>
        <w:rPr>
          <w:rFonts w:hint="default"/>
          <w:highlight w:val="none"/>
          <w:lang w:val="en-US" w:eastAsia="zh-CN"/>
        </w:rPr>
      </w:pPr>
      <w:r>
        <w:rPr>
          <w:rFonts w:hint="default"/>
          <w:highlight w:val="none"/>
          <w:lang w:val="en-US" w:eastAsia="zh-CN"/>
        </w:rPr>
        <w:t xml:space="preserve">表 </w:t>
      </w:r>
      <w:r>
        <w:rPr>
          <w:rFonts w:hint="eastAsia"/>
          <w:highlight w:val="none"/>
          <w:lang w:val="en-US" w:eastAsia="zh-CN"/>
        </w:rPr>
        <w:t>6.2</w:t>
      </w:r>
      <w:r>
        <w:rPr>
          <w:rFonts w:hint="default"/>
          <w:highlight w:val="none"/>
          <w:lang w:val="en-US" w:eastAsia="zh-CN"/>
        </w:rPr>
        <w:noBreakHyphen/>
      </w:r>
      <w:r>
        <w:rPr>
          <w:rFonts w:hint="eastAsia"/>
          <w:highlight w:val="none"/>
          <w:lang w:val="en-US" w:eastAsia="zh-CN"/>
        </w:rPr>
        <w:t>28调节池</w:t>
      </w:r>
      <w:r>
        <w:rPr>
          <w:rFonts w:hint="default"/>
          <w:highlight w:val="none"/>
          <w:lang w:val="en-US" w:eastAsia="zh-CN"/>
        </w:rPr>
        <w:t>泄漏</w:t>
      </w:r>
      <w:r>
        <w:rPr>
          <w:rFonts w:hint="eastAsia"/>
          <w:highlight w:val="none"/>
          <w:lang w:val="en-US" w:eastAsia="zh-CN"/>
        </w:rPr>
        <w:t>NH</w:t>
      </w:r>
      <w:r>
        <w:rPr>
          <w:rFonts w:hint="eastAsia"/>
          <w:highlight w:val="none"/>
          <w:vertAlign w:val="subscript"/>
          <w:lang w:val="en-US" w:eastAsia="zh-CN"/>
        </w:rPr>
        <w:t>3</w:t>
      </w:r>
      <w:r>
        <w:rPr>
          <w:rFonts w:hint="default"/>
          <w:highlight w:val="none"/>
          <w:lang w:val="en-US" w:eastAsia="zh-CN"/>
        </w:rPr>
        <w:t>-N影响预测 （单位:mg/L）</w:t>
      </w:r>
    </w:p>
    <w:tbl>
      <w:tblPr>
        <w:tblStyle w:val="3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330"/>
        <w:gridCol w:w="1050"/>
        <w:gridCol w:w="1213"/>
        <w:gridCol w:w="1050"/>
        <w:gridCol w:w="1112"/>
        <w:gridCol w:w="3"/>
        <w:gridCol w:w="12"/>
        <w:gridCol w:w="1248"/>
        <w:gridCol w:w="27"/>
        <w:gridCol w:w="1477"/>
      </w:tblGrid>
      <w:tr w14:paraId="571FE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53D08114">
            <w:pPr>
              <w:pStyle w:val="42"/>
              <w:keepNext w:val="0"/>
              <w:keepLines w:val="0"/>
              <w:suppressLineNumbers w:val="0"/>
              <w:bidi w:val="0"/>
              <w:spacing w:before="0" w:beforeAutospacing="0" w:after="0" w:afterAutospacing="0"/>
              <w:rPr>
                <w:rFonts w:hint="default"/>
                <w:highlight w:val="none"/>
              </w:rPr>
            </w:pPr>
            <w:r>
              <w:rPr>
                <w:rFonts w:hint="default"/>
                <w:highlight w:val="none"/>
              </w:rPr>
              <w:t>1</w:t>
            </w:r>
            <w:r>
              <w:rPr>
                <w:rFonts w:hint="eastAsia"/>
                <w:highlight w:val="none"/>
                <w:lang w:val="en-US" w:eastAsia="zh-CN"/>
              </w:rPr>
              <w:t>00</w:t>
            </w:r>
            <w:r>
              <w:rPr>
                <w:rFonts w:hint="default"/>
                <w:highlight w:val="none"/>
              </w:rPr>
              <w:t>d</w:t>
            </w:r>
          </w:p>
        </w:tc>
      </w:tr>
      <w:tr w14:paraId="04C1CD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5BC95FF8">
            <w:pPr>
              <w:pStyle w:val="42"/>
              <w:keepNext w:val="0"/>
              <w:keepLines w:val="0"/>
              <w:suppressLineNumbers w:val="0"/>
              <w:bidi w:val="0"/>
              <w:spacing w:before="0" w:beforeAutospacing="0" w:after="0" w:afterAutospacing="0"/>
              <w:rPr>
                <w:rFonts w:hint="default"/>
                <w:highlight w:val="none"/>
              </w:rPr>
            </w:pPr>
            <w:r>
              <w:rPr>
                <w:rFonts w:hint="default"/>
                <w:highlight w:val="none"/>
              </w:rPr>
              <w:t>X/Y</w:t>
            </w:r>
          </w:p>
        </w:tc>
        <w:tc>
          <w:tcPr>
            <w:tcW w:w="1050" w:type="dxa"/>
            <w:tcBorders>
              <w:bottom w:val="single" w:color="auto" w:sz="4" w:space="0"/>
            </w:tcBorders>
            <w:shd w:val="clear" w:color="auto" w:fill="auto"/>
            <w:noWrap/>
            <w:vAlign w:val="center"/>
          </w:tcPr>
          <w:p w14:paraId="4543B740">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0</w:t>
            </w:r>
          </w:p>
        </w:tc>
        <w:tc>
          <w:tcPr>
            <w:tcW w:w="1213" w:type="dxa"/>
            <w:shd w:val="clear" w:color="auto" w:fill="auto"/>
            <w:noWrap/>
            <w:vAlign w:val="center"/>
          </w:tcPr>
          <w:p w14:paraId="20C785C3">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2</w:t>
            </w:r>
          </w:p>
        </w:tc>
        <w:tc>
          <w:tcPr>
            <w:tcW w:w="1050" w:type="dxa"/>
            <w:shd w:val="clear" w:color="auto" w:fill="auto"/>
            <w:noWrap/>
            <w:vAlign w:val="center"/>
          </w:tcPr>
          <w:p w14:paraId="02633643">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4</w:t>
            </w:r>
          </w:p>
        </w:tc>
        <w:tc>
          <w:tcPr>
            <w:tcW w:w="1112" w:type="dxa"/>
            <w:shd w:val="clear" w:color="auto" w:fill="auto"/>
            <w:noWrap/>
            <w:vAlign w:val="center"/>
          </w:tcPr>
          <w:p w14:paraId="1D4FA46A">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6</w:t>
            </w:r>
          </w:p>
        </w:tc>
        <w:tc>
          <w:tcPr>
            <w:tcW w:w="1263" w:type="dxa"/>
            <w:gridSpan w:val="3"/>
            <w:shd w:val="clear" w:color="auto" w:fill="auto"/>
            <w:noWrap/>
            <w:vAlign w:val="center"/>
          </w:tcPr>
          <w:p w14:paraId="2F561BB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8</w:t>
            </w:r>
          </w:p>
        </w:tc>
        <w:tc>
          <w:tcPr>
            <w:tcW w:w="1504" w:type="dxa"/>
            <w:gridSpan w:val="2"/>
            <w:shd w:val="clear" w:color="auto" w:fill="auto"/>
            <w:noWrap/>
            <w:vAlign w:val="center"/>
          </w:tcPr>
          <w:p w14:paraId="33D0E14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10</w:t>
            </w:r>
          </w:p>
        </w:tc>
      </w:tr>
      <w:tr w14:paraId="2C021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7A46A67">
            <w:pPr>
              <w:pStyle w:val="42"/>
              <w:keepNext w:val="0"/>
              <w:keepLines w:val="0"/>
              <w:suppressLineNumbers w:val="0"/>
              <w:bidi w:val="0"/>
              <w:spacing w:before="0" w:beforeAutospacing="0" w:after="0" w:afterAutospacing="0"/>
              <w:rPr>
                <w:rFonts w:hint="eastAsia"/>
                <w:highlight w:val="none"/>
                <w:lang w:eastAsia="zh-CN"/>
              </w:rPr>
            </w:pPr>
            <w:r>
              <w:rPr>
                <w:rFonts w:hint="eastAsia"/>
                <w:highlight w:val="none"/>
                <w:lang w:val="en-US" w:eastAsia="zh-CN"/>
              </w:rPr>
              <w:t>0</w:t>
            </w:r>
          </w:p>
        </w:tc>
        <w:tc>
          <w:tcPr>
            <w:tcW w:w="1050" w:type="dxa"/>
            <w:tcBorders>
              <w:top w:val="single" w:color="auto" w:sz="4" w:space="0"/>
              <w:bottom w:val="single" w:color="auto" w:sz="4" w:space="0"/>
            </w:tcBorders>
            <w:shd w:val="clear" w:color="auto" w:fill="auto"/>
            <w:noWrap/>
            <w:vAlign w:val="center"/>
          </w:tcPr>
          <w:p w14:paraId="6D04B35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7.970790675</w:t>
            </w:r>
          </w:p>
        </w:tc>
        <w:tc>
          <w:tcPr>
            <w:tcW w:w="1213" w:type="dxa"/>
            <w:shd w:val="clear" w:color="auto" w:fill="auto"/>
            <w:noWrap/>
            <w:vAlign w:val="center"/>
          </w:tcPr>
          <w:p w14:paraId="3B2DF78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2.899889356</w:t>
            </w:r>
          </w:p>
        </w:tc>
        <w:tc>
          <w:tcPr>
            <w:tcW w:w="1050" w:type="dxa"/>
            <w:shd w:val="clear" w:color="auto" w:fill="auto"/>
            <w:noWrap/>
            <w:vAlign w:val="center"/>
          </w:tcPr>
          <w:p w14:paraId="7C02463B">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0.114330632</w:t>
            </w:r>
          </w:p>
        </w:tc>
        <w:tc>
          <w:tcPr>
            <w:tcW w:w="1112" w:type="dxa"/>
            <w:shd w:val="clear" w:color="auto" w:fill="auto"/>
            <w:noWrap/>
            <w:vAlign w:val="center"/>
          </w:tcPr>
          <w:p w14:paraId="2DA98F8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0.000488478</w:t>
            </w:r>
          </w:p>
        </w:tc>
        <w:tc>
          <w:tcPr>
            <w:tcW w:w="1263" w:type="dxa"/>
            <w:gridSpan w:val="3"/>
            <w:shd w:val="clear" w:color="auto" w:fill="auto"/>
            <w:noWrap/>
            <w:vAlign w:val="center"/>
          </w:tcPr>
          <w:p w14:paraId="7102E269">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2.26167E-07</w:t>
            </w:r>
          </w:p>
        </w:tc>
        <w:tc>
          <w:tcPr>
            <w:tcW w:w="1504" w:type="dxa"/>
            <w:gridSpan w:val="2"/>
            <w:shd w:val="clear" w:color="auto" w:fill="auto"/>
            <w:noWrap/>
            <w:vAlign w:val="center"/>
          </w:tcPr>
          <w:p w14:paraId="0EB68A7F">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1.13478E-11</w:t>
            </w:r>
          </w:p>
        </w:tc>
      </w:tr>
      <w:tr w14:paraId="58A245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ADFFAD3">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tcBorders>
              <w:top w:val="single" w:color="auto" w:sz="4" w:space="0"/>
              <w:bottom w:val="single" w:color="auto" w:sz="4" w:space="0"/>
            </w:tcBorders>
            <w:shd w:val="clear" w:color="auto" w:fill="auto"/>
            <w:noWrap/>
            <w:vAlign w:val="center"/>
          </w:tcPr>
          <w:p w14:paraId="22D0B0B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0.000119126</w:t>
            </w:r>
          </w:p>
        </w:tc>
        <w:tc>
          <w:tcPr>
            <w:tcW w:w="1213" w:type="dxa"/>
            <w:shd w:val="clear" w:color="auto" w:fill="auto"/>
            <w:noWrap/>
            <w:vAlign w:val="center"/>
          </w:tcPr>
          <w:p w14:paraId="540DBB2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4.33398E-05</w:t>
            </w:r>
          </w:p>
        </w:tc>
        <w:tc>
          <w:tcPr>
            <w:tcW w:w="1050" w:type="dxa"/>
            <w:shd w:val="clear" w:color="auto" w:fill="auto"/>
            <w:noWrap/>
            <w:vAlign w:val="center"/>
          </w:tcPr>
          <w:p w14:paraId="33A730D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1.70871E-06</w:t>
            </w:r>
          </w:p>
        </w:tc>
        <w:tc>
          <w:tcPr>
            <w:tcW w:w="1112" w:type="dxa"/>
            <w:shd w:val="clear" w:color="auto" w:fill="auto"/>
            <w:noWrap/>
            <w:vAlign w:val="center"/>
          </w:tcPr>
          <w:p w14:paraId="4E228CC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7.30047E-09</w:t>
            </w:r>
          </w:p>
        </w:tc>
        <w:tc>
          <w:tcPr>
            <w:tcW w:w="1263" w:type="dxa"/>
            <w:gridSpan w:val="3"/>
            <w:shd w:val="clear" w:color="auto" w:fill="auto"/>
            <w:noWrap/>
            <w:vAlign w:val="center"/>
          </w:tcPr>
          <w:p w14:paraId="610A443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3.38014E-12</w:t>
            </w:r>
          </w:p>
        </w:tc>
        <w:tc>
          <w:tcPr>
            <w:tcW w:w="1504" w:type="dxa"/>
            <w:gridSpan w:val="2"/>
            <w:shd w:val="clear" w:color="auto" w:fill="auto"/>
            <w:noWrap/>
            <w:vAlign w:val="center"/>
          </w:tcPr>
          <w:p w14:paraId="60B90B6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1.69597E-16</w:t>
            </w:r>
          </w:p>
        </w:tc>
      </w:tr>
      <w:tr w14:paraId="236530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0BFC7F6">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tcBorders>
              <w:top w:val="single" w:color="auto" w:sz="4" w:space="0"/>
              <w:bottom w:val="single" w:color="auto" w:sz="4" w:space="0"/>
            </w:tcBorders>
            <w:shd w:val="clear" w:color="auto" w:fill="auto"/>
            <w:noWrap/>
            <w:vAlign w:val="center"/>
          </w:tcPr>
          <w:p w14:paraId="3D5583E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3.97671E-19</w:t>
            </w:r>
          </w:p>
        </w:tc>
        <w:tc>
          <w:tcPr>
            <w:tcW w:w="1213" w:type="dxa"/>
            <w:shd w:val="clear" w:color="auto" w:fill="auto"/>
            <w:noWrap/>
            <w:vAlign w:val="center"/>
          </w:tcPr>
          <w:p w14:paraId="240FB0A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1.44679E-19</w:t>
            </w:r>
          </w:p>
        </w:tc>
        <w:tc>
          <w:tcPr>
            <w:tcW w:w="1050" w:type="dxa"/>
            <w:shd w:val="clear" w:color="auto" w:fill="auto"/>
            <w:noWrap/>
            <w:vAlign w:val="center"/>
          </w:tcPr>
          <w:p w14:paraId="06F6A23A">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5.70408E-21</w:t>
            </w:r>
          </w:p>
        </w:tc>
        <w:tc>
          <w:tcPr>
            <w:tcW w:w="1112" w:type="dxa"/>
            <w:shd w:val="clear" w:color="auto" w:fill="auto"/>
            <w:noWrap/>
            <w:vAlign w:val="center"/>
          </w:tcPr>
          <w:p w14:paraId="3B264C8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2.43707E-23</w:t>
            </w:r>
          </w:p>
        </w:tc>
        <w:tc>
          <w:tcPr>
            <w:tcW w:w="1263" w:type="dxa"/>
            <w:gridSpan w:val="3"/>
            <w:shd w:val="clear" w:color="auto" w:fill="auto"/>
            <w:noWrap/>
            <w:vAlign w:val="center"/>
          </w:tcPr>
          <w:p w14:paraId="52CD0D4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1.12837E-26</w:t>
            </w:r>
          </w:p>
        </w:tc>
        <w:tc>
          <w:tcPr>
            <w:tcW w:w="1504" w:type="dxa"/>
            <w:gridSpan w:val="2"/>
            <w:shd w:val="clear" w:color="auto" w:fill="auto"/>
            <w:noWrap/>
            <w:vAlign w:val="center"/>
          </w:tcPr>
          <w:p w14:paraId="45D88C2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5.66156E-31</w:t>
            </w:r>
          </w:p>
        </w:tc>
      </w:tr>
      <w:tr w14:paraId="0C4B3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88EB5DC">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top w:val="single" w:color="auto" w:sz="4" w:space="0"/>
              <w:bottom w:val="single" w:color="auto" w:sz="4" w:space="0"/>
            </w:tcBorders>
            <w:shd w:val="clear" w:color="auto" w:fill="auto"/>
            <w:noWrap/>
            <w:vAlign w:val="center"/>
          </w:tcPr>
          <w:p w14:paraId="065AB1E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2.96519E-43</w:t>
            </w:r>
          </w:p>
        </w:tc>
        <w:tc>
          <w:tcPr>
            <w:tcW w:w="1213" w:type="dxa"/>
            <w:tcBorders>
              <w:bottom w:val="single" w:color="auto" w:sz="4" w:space="0"/>
            </w:tcBorders>
            <w:shd w:val="clear" w:color="auto" w:fill="auto"/>
            <w:noWrap/>
            <w:vAlign w:val="center"/>
          </w:tcPr>
          <w:p w14:paraId="5854E35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1.07878E-43</w:t>
            </w:r>
          </w:p>
        </w:tc>
        <w:tc>
          <w:tcPr>
            <w:tcW w:w="1050" w:type="dxa"/>
            <w:shd w:val="clear" w:color="auto" w:fill="auto"/>
            <w:noWrap/>
            <w:vAlign w:val="center"/>
          </w:tcPr>
          <w:p w14:paraId="7F67BF7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4.25319E-45</w:t>
            </w:r>
          </w:p>
        </w:tc>
        <w:tc>
          <w:tcPr>
            <w:tcW w:w="1112" w:type="dxa"/>
            <w:shd w:val="clear" w:color="auto" w:fill="auto"/>
            <w:noWrap/>
            <w:vAlign w:val="center"/>
          </w:tcPr>
          <w:p w14:paraId="059CD0E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1.81717E-47</w:t>
            </w:r>
          </w:p>
        </w:tc>
        <w:tc>
          <w:tcPr>
            <w:tcW w:w="1263" w:type="dxa"/>
            <w:gridSpan w:val="3"/>
            <w:shd w:val="clear" w:color="auto" w:fill="auto"/>
            <w:noWrap/>
            <w:vAlign w:val="center"/>
          </w:tcPr>
          <w:p w14:paraId="49DA386F">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8.41357E-51</w:t>
            </w:r>
          </w:p>
        </w:tc>
        <w:tc>
          <w:tcPr>
            <w:tcW w:w="1504" w:type="dxa"/>
            <w:gridSpan w:val="2"/>
            <w:shd w:val="clear" w:color="auto" w:fill="auto"/>
            <w:noWrap/>
            <w:vAlign w:val="center"/>
          </w:tcPr>
          <w:p w14:paraId="613E9BA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4.22148E-55</w:t>
            </w:r>
          </w:p>
        </w:tc>
      </w:tr>
      <w:tr w14:paraId="6C241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1A709F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tcBorders>
            <w:shd w:val="clear" w:color="auto" w:fill="auto"/>
            <w:noWrap/>
            <w:vAlign w:val="center"/>
          </w:tcPr>
          <w:p w14:paraId="291CE0E2">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4.93848E-77</w:t>
            </w:r>
          </w:p>
        </w:tc>
        <w:tc>
          <w:tcPr>
            <w:tcW w:w="1213" w:type="dxa"/>
            <w:tcBorders>
              <w:top w:val="single" w:color="auto" w:sz="4" w:space="0"/>
              <w:bottom w:val="single" w:color="auto" w:sz="4" w:space="0"/>
            </w:tcBorders>
            <w:shd w:val="clear" w:color="auto" w:fill="auto"/>
            <w:noWrap/>
            <w:vAlign w:val="center"/>
          </w:tcPr>
          <w:p w14:paraId="5600427C">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1.79669E-77</w:t>
            </w:r>
          </w:p>
        </w:tc>
        <w:tc>
          <w:tcPr>
            <w:tcW w:w="1050" w:type="dxa"/>
            <w:shd w:val="clear" w:color="auto" w:fill="auto"/>
            <w:noWrap/>
            <w:vAlign w:val="center"/>
          </w:tcPr>
          <w:p w14:paraId="3124E12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7.08361E-79</w:t>
            </w:r>
          </w:p>
        </w:tc>
        <w:tc>
          <w:tcPr>
            <w:tcW w:w="1112" w:type="dxa"/>
            <w:shd w:val="clear" w:color="auto" w:fill="auto"/>
            <w:noWrap/>
            <w:vAlign w:val="center"/>
          </w:tcPr>
          <w:p w14:paraId="3A9B2CF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3.02647E-81</w:t>
            </w:r>
          </w:p>
        </w:tc>
        <w:tc>
          <w:tcPr>
            <w:tcW w:w="1263" w:type="dxa"/>
            <w:gridSpan w:val="3"/>
            <w:shd w:val="clear" w:color="auto" w:fill="auto"/>
            <w:noWrap/>
            <w:vAlign w:val="center"/>
          </w:tcPr>
          <w:p w14:paraId="4DE9E91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1.40127E-84</w:t>
            </w:r>
          </w:p>
        </w:tc>
        <w:tc>
          <w:tcPr>
            <w:tcW w:w="1504" w:type="dxa"/>
            <w:gridSpan w:val="2"/>
            <w:shd w:val="clear" w:color="auto" w:fill="auto"/>
            <w:noWrap/>
            <w:vAlign w:val="center"/>
          </w:tcPr>
          <w:p w14:paraId="14F8DAB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7.03081E-89</w:t>
            </w:r>
          </w:p>
        </w:tc>
      </w:tr>
      <w:tr w14:paraId="14C73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674D870">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10</w:t>
            </w:r>
          </w:p>
        </w:tc>
        <w:tc>
          <w:tcPr>
            <w:tcW w:w="1050" w:type="dxa"/>
            <w:shd w:val="clear" w:color="auto" w:fill="auto"/>
            <w:noWrap/>
            <w:vAlign w:val="center"/>
          </w:tcPr>
          <w:p w14:paraId="4118162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1.8372E-120</w:t>
            </w:r>
          </w:p>
        </w:tc>
        <w:tc>
          <w:tcPr>
            <w:tcW w:w="1213" w:type="dxa"/>
            <w:tcBorders>
              <w:top w:val="single" w:color="auto" w:sz="4" w:space="0"/>
            </w:tcBorders>
            <w:shd w:val="clear" w:color="auto" w:fill="auto"/>
            <w:noWrap/>
            <w:vAlign w:val="center"/>
          </w:tcPr>
          <w:p w14:paraId="7AE58AF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6.6838E-121</w:t>
            </w:r>
          </w:p>
        </w:tc>
        <w:tc>
          <w:tcPr>
            <w:tcW w:w="1050" w:type="dxa"/>
            <w:shd w:val="clear" w:color="auto" w:fill="auto"/>
            <w:noWrap/>
            <w:vAlign w:val="center"/>
          </w:tcPr>
          <w:p w14:paraId="1A2EA28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2.6352E-122</w:t>
            </w:r>
          </w:p>
        </w:tc>
        <w:tc>
          <w:tcPr>
            <w:tcW w:w="1112" w:type="dxa"/>
            <w:shd w:val="clear" w:color="auto" w:fill="auto"/>
            <w:noWrap/>
            <w:vAlign w:val="center"/>
          </w:tcPr>
          <w:p w14:paraId="1A39928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1.1259E-124</w:t>
            </w:r>
          </w:p>
        </w:tc>
        <w:tc>
          <w:tcPr>
            <w:tcW w:w="1263" w:type="dxa"/>
            <w:gridSpan w:val="3"/>
            <w:shd w:val="clear" w:color="auto" w:fill="auto"/>
            <w:noWrap/>
            <w:vAlign w:val="center"/>
          </w:tcPr>
          <w:p w14:paraId="75798D4D">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5.2128E-128</w:t>
            </w:r>
          </w:p>
        </w:tc>
        <w:tc>
          <w:tcPr>
            <w:tcW w:w="1504" w:type="dxa"/>
            <w:gridSpan w:val="2"/>
            <w:shd w:val="clear" w:color="auto" w:fill="auto"/>
            <w:noWrap/>
            <w:vAlign w:val="center"/>
          </w:tcPr>
          <w:p w14:paraId="46C3C4A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2.6155E-132</w:t>
            </w:r>
          </w:p>
        </w:tc>
      </w:tr>
      <w:tr w14:paraId="7EB91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54C219DB">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15</w:t>
            </w:r>
          </w:p>
        </w:tc>
        <w:tc>
          <w:tcPr>
            <w:tcW w:w="1050" w:type="dxa"/>
            <w:shd w:val="clear" w:color="auto" w:fill="auto"/>
            <w:noWrap/>
            <w:vAlign w:val="center"/>
          </w:tcPr>
          <w:p w14:paraId="45DF56B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2.9339E-271</w:t>
            </w:r>
          </w:p>
        </w:tc>
        <w:tc>
          <w:tcPr>
            <w:tcW w:w="1213" w:type="dxa"/>
            <w:tcBorders>
              <w:top w:val="single" w:color="auto" w:sz="4" w:space="0"/>
            </w:tcBorders>
            <w:shd w:val="clear" w:color="auto" w:fill="auto"/>
            <w:noWrap/>
            <w:vAlign w:val="center"/>
          </w:tcPr>
          <w:p w14:paraId="02A7F879">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1.0674E-271</w:t>
            </w:r>
          </w:p>
        </w:tc>
        <w:tc>
          <w:tcPr>
            <w:tcW w:w="1050" w:type="dxa"/>
            <w:shd w:val="clear" w:color="auto" w:fill="auto"/>
            <w:noWrap/>
            <w:vAlign w:val="center"/>
          </w:tcPr>
          <w:p w14:paraId="7AA5B36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4.2083E-273</w:t>
            </w:r>
          </w:p>
        </w:tc>
        <w:tc>
          <w:tcPr>
            <w:tcW w:w="1112" w:type="dxa"/>
            <w:shd w:val="clear" w:color="auto" w:fill="auto"/>
            <w:noWrap/>
            <w:vAlign w:val="center"/>
          </w:tcPr>
          <w:p w14:paraId="0BEB414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1.798E-275</w:t>
            </w:r>
          </w:p>
        </w:tc>
        <w:tc>
          <w:tcPr>
            <w:tcW w:w="1263" w:type="dxa"/>
            <w:gridSpan w:val="3"/>
            <w:shd w:val="clear" w:color="auto" w:fill="auto"/>
            <w:noWrap/>
            <w:vAlign w:val="center"/>
          </w:tcPr>
          <w:p w14:paraId="51C4BC2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8.3249E-279</w:t>
            </w:r>
          </w:p>
        </w:tc>
        <w:tc>
          <w:tcPr>
            <w:tcW w:w="1504" w:type="dxa"/>
            <w:gridSpan w:val="2"/>
            <w:shd w:val="clear" w:color="auto" w:fill="auto"/>
            <w:noWrap/>
            <w:vAlign w:val="center"/>
          </w:tcPr>
          <w:p w14:paraId="39D5A11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4.177E-283</w:t>
            </w:r>
          </w:p>
        </w:tc>
      </w:tr>
      <w:tr w14:paraId="46ABA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D51EE69">
            <w:pPr>
              <w:pStyle w:val="42"/>
              <w:keepNext w:val="0"/>
              <w:keepLines w:val="0"/>
              <w:suppressLineNumbers w:val="0"/>
              <w:bidi w:val="0"/>
              <w:spacing w:before="0" w:beforeAutospacing="0" w:after="0" w:afterAutospacing="0"/>
              <w:rPr>
                <w:rFonts w:hint="default" w:eastAsia="宋体"/>
                <w:highlight w:val="none"/>
                <w:lang w:val="en-US" w:eastAsia="zh-CN"/>
              </w:rPr>
            </w:pPr>
            <w:r>
              <w:rPr>
                <w:rFonts w:hint="eastAsia"/>
                <w:highlight w:val="none"/>
                <w:lang w:val="en-US" w:eastAsia="zh-CN"/>
              </w:rPr>
              <w:t>20</w:t>
            </w:r>
          </w:p>
        </w:tc>
        <w:tc>
          <w:tcPr>
            <w:tcW w:w="1050" w:type="dxa"/>
            <w:shd w:val="clear" w:color="auto" w:fill="auto"/>
            <w:noWrap/>
            <w:vAlign w:val="center"/>
          </w:tcPr>
          <w:p w14:paraId="4F7916D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7.970790675</w:t>
            </w:r>
          </w:p>
        </w:tc>
        <w:tc>
          <w:tcPr>
            <w:tcW w:w="1213" w:type="dxa"/>
            <w:shd w:val="clear" w:color="auto" w:fill="auto"/>
            <w:noWrap/>
            <w:vAlign w:val="center"/>
          </w:tcPr>
          <w:p w14:paraId="506AA2D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2.899889356</w:t>
            </w:r>
          </w:p>
        </w:tc>
        <w:tc>
          <w:tcPr>
            <w:tcW w:w="1050" w:type="dxa"/>
            <w:shd w:val="clear" w:color="auto" w:fill="auto"/>
            <w:noWrap/>
            <w:vAlign w:val="center"/>
          </w:tcPr>
          <w:p w14:paraId="58C7FB4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0.114330632</w:t>
            </w:r>
          </w:p>
        </w:tc>
        <w:tc>
          <w:tcPr>
            <w:tcW w:w="1112" w:type="dxa"/>
            <w:shd w:val="clear" w:color="auto" w:fill="auto"/>
            <w:noWrap/>
            <w:vAlign w:val="center"/>
          </w:tcPr>
          <w:p w14:paraId="5FB22A8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0.000488478</w:t>
            </w:r>
          </w:p>
        </w:tc>
        <w:tc>
          <w:tcPr>
            <w:tcW w:w="1263" w:type="dxa"/>
            <w:gridSpan w:val="3"/>
            <w:shd w:val="clear" w:color="auto" w:fill="auto"/>
            <w:noWrap/>
            <w:vAlign w:val="center"/>
          </w:tcPr>
          <w:p w14:paraId="11581278">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2.26167E-07</w:t>
            </w:r>
          </w:p>
        </w:tc>
        <w:tc>
          <w:tcPr>
            <w:tcW w:w="1504" w:type="dxa"/>
            <w:gridSpan w:val="2"/>
            <w:shd w:val="clear" w:color="auto" w:fill="auto"/>
            <w:noWrap/>
            <w:vAlign w:val="center"/>
          </w:tcPr>
          <w:p w14:paraId="4F4179C2">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1.13478E-11</w:t>
            </w:r>
          </w:p>
        </w:tc>
      </w:tr>
      <w:tr w14:paraId="3F3A2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3D57B550">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365</w:t>
            </w:r>
            <w:r>
              <w:rPr>
                <w:rFonts w:hint="default"/>
                <w:highlight w:val="none"/>
              </w:rPr>
              <w:t>d</w:t>
            </w:r>
          </w:p>
        </w:tc>
      </w:tr>
      <w:tr w14:paraId="0F3A29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54EC612">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X/Y</w:t>
            </w:r>
          </w:p>
        </w:tc>
        <w:tc>
          <w:tcPr>
            <w:tcW w:w="1050" w:type="dxa"/>
            <w:tcBorders>
              <w:bottom w:val="single" w:color="auto" w:sz="4" w:space="0"/>
            </w:tcBorders>
            <w:shd w:val="clear" w:color="auto" w:fill="auto"/>
            <w:noWrap/>
            <w:vAlign w:val="center"/>
          </w:tcPr>
          <w:p w14:paraId="2AC042C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213" w:type="dxa"/>
            <w:tcBorders>
              <w:bottom w:val="single" w:color="auto" w:sz="4" w:space="0"/>
            </w:tcBorders>
            <w:shd w:val="clear" w:color="auto" w:fill="auto"/>
            <w:noWrap/>
            <w:vAlign w:val="center"/>
          </w:tcPr>
          <w:p w14:paraId="1ECA6602">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w:t>
            </w:r>
          </w:p>
        </w:tc>
        <w:tc>
          <w:tcPr>
            <w:tcW w:w="1050" w:type="dxa"/>
            <w:shd w:val="clear" w:color="auto" w:fill="auto"/>
            <w:noWrap/>
            <w:vAlign w:val="center"/>
          </w:tcPr>
          <w:p w14:paraId="3930A916">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4</w:t>
            </w:r>
          </w:p>
        </w:tc>
        <w:tc>
          <w:tcPr>
            <w:tcW w:w="1115" w:type="dxa"/>
            <w:gridSpan w:val="2"/>
            <w:shd w:val="clear" w:color="auto" w:fill="auto"/>
            <w:noWrap/>
            <w:vAlign w:val="center"/>
          </w:tcPr>
          <w:p w14:paraId="04A6007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6</w:t>
            </w:r>
          </w:p>
        </w:tc>
        <w:tc>
          <w:tcPr>
            <w:tcW w:w="1287" w:type="dxa"/>
            <w:gridSpan w:val="3"/>
            <w:shd w:val="clear" w:color="auto" w:fill="auto"/>
            <w:noWrap/>
            <w:vAlign w:val="center"/>
          </w:tcPr>
          <w:p w14:paraId="7299DA75">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w:t>
            </w:r>
          </w:p>
        </w:tc>
        <w:tc>
          <w:tcPr>
            <w:tcW w:w="1477" w:type="dxa"/>
            <w:shd w:val="clear" w:color="auto" w:fill="auto"/>
            <w:noWrap/>
            <w:vAlign w:val="center"/>
          </w:tcPr>
          <w:p w14:paraId="477D528E">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r>
      <w:tr w14:paraId="7A896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0C64E0D">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050" w:type="dxa"/>
            <w:tcBorders>
              <w:bottom w:val="single" w:color="auto" w:sz="4" w:space="0"/>
            </w:tcBorders>
            <w:shd w:val="clear" w:color="auto" w:fill="auto"/>
            <w:noWrap/>
            <w:vAlign w:val="center"/>
          </w:tcPr>
          <w:p w14:paraId="485C4EC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2.17079623</w:t>
            </w:r>
          </w:p>
        </w:tc>
        <w:tc>
          <w:tcPr>
            <w:tcW w:w="1213" w:type="dxa"/>
            <w:tcBorders>
              <w:bottom w:val="single" w:color="auto" w:sz="4" w:space="0"/>
            </w:tcBorders>
            <w:shd w:val="clear" w:color="auto" w:fill="auto"/>
            <w:noWrap/>
            <w:vAlign w:val="center"/>
          </w:tcPr>
          <w:p w14:paraId="0D3B5B7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1.769469924</w:t>
            </w:r>
          </w:p>
        </w:tc>
        <w:tc>
          <w:tcPr>
            <w:tcW w:w="1050" w:type="dxa"/>
            <w:shd w:val="clear" w:color="auto" w:fill="auto"/>
            <w:noWrap/>
            <w:vAlign w:val="center"/>
          </w:tcPr>
          <w:p w14:paraId="1E82D55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0.784615111</w:t>
            </w:r>
          </w:p>
        </w:tc>
        <w:tc>
          <w:tcPr>
            <w:tcW w:w="1115" w:type="dxa"/>
            <w:gridSpan w:val="2"/>
            <w:shd w:val="clear" w:color="auto" w:fill="auto"/>
            <w:noWrap/>
            <w:vAlign w:val="center"/>
          </w:tcPr>
          <w:p w14:paraId="5861E5F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0.189260293</w:t>
            </w:r>
          </w:p>
        </w:tc>
        <w:tc>
          <w:tcPr>
            <w:tcW w:w="1287" w:type="dxa"/>
            <w:gridSpan w:val="3"/>
            <w:shd w:val="clear" w:color="auto" w:fill="auto"/>
            <w:noWrap/>
            <w:vAlign w:val="center"/>
          </w:tcPr>
          <w:p w14:paraId="702A6F1F">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0.024834287</w:t>
            </w:r>
          </w:p>
        </w:tc>
        <w:tc>
          <w:tcPr>
            <w:tcW w:w="1477" w:type="dxa"/>
            <w:shd w:val="clear" w:color="auto" w:fill="auto"/>
            <w:noWrap/>
            <w:vAlign w:val="center"/>
          </w:tcPr>
          <w:p w14:paraId="51565F2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0.001772692</w:t>
            </w:r>
          </w:p>
        </w:tc>
      </w:tr>
      <w:tr w14:paraId="390B04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EA901BB">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tcBorders>
              <w:top w:val="single" w:color="auto" w:sz="4" w:space="0"/>
              <w:bottom w:val="single" w:color="auto" w:sz="4" w:space="0"/>
            </w:tcBorders>
            <w:shd w:val="clear" w:color="auto" w:fill="auto"/>
            <w:noWrap/>
            <w:vAlign w:val="center"/>
          </w:tcPr>
          <w:p w14:paraId="1BB3478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0.103410787</w:t>
            </w:r>
          </w:p>
        </w:tc>
        <w:tc>
          <w:tcPr>
            <w:tcW w:w="1213" w:type="dxa"/>
            <w:tcBorders>
              <w:top w:val="single" w:color="auto" w:sz="4" w:space="0"/>
              <w:bottom w:val="single" w:color="auto" w:sz="4" w:space="0"/>
            </w:tcBorders>
            <w:shd w:val="clear" w:color="auto" w:fill="auto"/>
            <w:noWrap/>
            <w:vAlign w:val="center"/>
          </w:tcPr>
          <w:p w14:paraId="6AD3D65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0.084292701</w:t>
            </w:r>
          </w:p>
        </w:tc>
        <w:tc>
          <w:tcPr>
            <w:tcW w:w="1050" w:type="dxa"/>
            <w:shd w:val="clear" w:color="auto" w:fill="auto"/>
            <w:noWrap/>
            <w:vAlign w:val="center"/>
          </w:tcPr>
          <w:p w14:paraId="0B80AF5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0.037376915</w:t>
            </w:r>
          </w:p>
        </w:tc>
        <w:tc>
          <w:tcPr>
            <w:tcW w:w="1115" w:type="dxa"/>
            <w:gridSpan w:val="2"/>
            <w:shd w:val="clear" w:color="auto" w:fill="auto"/>
            <w:noWrap/>
            <w:vAlign w:val="center"/>
          </w:tcPr>
          <w:p w14:paraId="2EF6ABF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0.009015842</w:t>
            </w:r>
          </w:p>
        </w:tc>
        <w:tc>
          <w:tcPr>
            <w:tcW w:w="1287" w:type="dxa"/>
            <w:gridSpan w:val="3"/>
            <w:shd w:val="clear" w:color="auto" w:fill="auto"/>
            <w:noWrap/>
            <w:vAlign w:val="center"/>
          </w:tcPr>
          <w:p w14:paraId="41291F5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0.001183037</w:t>
            </w:r>
          </w:p>
        </w:tc>
        <w:tc>
          <w:tcPr>
            <w:tcW w:w="1477" w:type="dxa"/>
            <w:shd w:val="clear" w:color="auto" w:fill="auto"/>
            <w:noWrap/>
            <w:vAlign w:val="center"/>
          </w:tcPr>
          <w:p w14:paraId="73B4B8A7">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8.44462E-05</w:t>
            </w:r>
          </w:p>
        </w:tc>
      </w:tr>
      <w:tr w14:paraId="32A308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453A8A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tcBorders>
              <w:top w:val="single" w:color="auto" w:sz="4" w:space="0"/>
              <w:bottom w:val="single" w:color="auto" w:sz="4" w:space="0"/>
            </w:tcBorders>
            <w:shd w:val="clear" w:color="auto" w:fill="auto"/>
            <w:noWrap/>
            <w:vAlign w:val="center"/>
          </w:tcPr>
          <w:p w14:paraId="144C5FE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1.11791E-05</w:t>
            </w:r>
          </w:p>
        </w:tc>
        <w:tc>
          <w:tcPr>
            <w:tcW w:w="1213" w:type="dxa"/>
            <w:tcBorders>
              <w:top w:val="single" w:color="auto" w:sz="4" w:space="0"/>
              <w:bottom w:val="single" w:color="auto" w:sz="4" w:space="0"/>
            </w:tcBorders>
            <w:shd w:val="clear" w:color="auto" w:fill="auto"/>
            <w:noWrap/>
            <w:vAlign w:val="center"/>
          </w:tcPr>
          <w:p w14:paraId="2FADB4D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9.11235E-06</w:t>
            </w:r>
          </w:p>
        </w:tc>
        <w:tc>
          <w:tcPr>
            <w:tcW w:w="1050" w:type="dxa"/>
            <w:shd w:val="clear" w:color="auto" w:fill="auto"/>
            <w:noWrap/>
            <w:vAlign w:val="center"/>
          </w:tcPr>
          <w:p w14:paraId="68CBD4A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4.04058E-06</w:t>
            </w:r>
          </w:p>
        </w:tc>
        <w:tc>
          <w:tcPr>
            <w:tcW w:w="1115" w:type="dxa"/>
            <w:gridSpan w:val="2"/>
            <w:shd w:val="clear" w:color="auto" w:fill="auto"/>
            <w:noWrap/>
            <w:vAlign w:val="center"/>
          </w:tcPr>
          <w:p w14:paraId="59BB86B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9.74645E-07</w:t>
            </w:r>
          </w:p>
        </w:tc>
        <w:tc>
          <w:tcPr>
            <w:tcW w:w="1287" w:type="dxa"/>
            <w:gridSpan w:val="3"/>
            <w:shd w:val="clear" w:color="auto" w:fill="auto"/>
            <w:noWrap/>
            <w:vAlign w:val="center"/>
          </w:tcPr>
          <w:p w14:paraId="1B12D323">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1.27891E-07</w:t>
            </w:r>
          </w:p>
        </w:tc>
        <w:tc>
          <w:tcPr>
            <w:tcW w:w="1477" w:type="dxa"/>
            <w:shd w:val="clear" w:color="auto" w:fill="auto"/>
            <w:noWrap/>
            <w:vAlign w:val="center"/>
          </w:tcPr>
          <w:p w14:paraId="02C6672D">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9.12894E-09</w:t>
            </w:r>
          </w:p>
        </w:tc>
      </w:tr>
      <w:tr w14:paraId="23944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0AFF476">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top w:val="single" w:color="auto" w:sz="4" w:space="0"/>
              <w:bottom w:val="single" w:color="auto" w:sz="4" w:space="0"/>
            </w:tcBorders>
            <w:shd w:val="clear" w:color="auto" w:fill="auto"/>
            <w:noWrap/>
            <w:vAlign w:val="center"/>
          </w:tcPr>
          <w:p w14:paraId="43EF017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2.74246E-12</w:t>
            </w:r>
          </w:p>
        </w:tc>
        <w:tc>
          <w:tcPr>
            <w:tcW w:w="1213" w:type="dxa"/>
            <w:tcBorders>
              <w:top w:val="single" w:color="auto" w:sz="4" w:space="0"/>
              <w:bottom w:val="single" w:color="auto" w:sz="4" w:space="0"/>
            </w:tcBorders>
            <w:shd w:val="clear" w:color="auto" w:fill="auto"/>
            <w:noWrap/>
            <w:vAlign w:val="center"/>
          </w:tcPr>
          <w:p w14:paraId="6DAC8B2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2.23545E-12</w:t>
            </w:r>
          </w:p>
        </w:tc>
        <w:tc>
          <w:tcPr>
            <w:tcW w:w="1050" w:type="dxa"/>
            <w:shd w:val="clear" w:color="auto" w:fill="auto"/>
            <w:noWrap/>
            <w:vAlign w:val="center"/>
          </w:tcPr>
          <w:p w14:paraId="7442232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9.91237E-13</w:t>
            </w:r>
          </w:p>
        </w:tc>
        <w:tc>
          <w:tcPr>
            <w:tcW w:w="1115" w:type="dxa"/>
            <w:gridSpan w:val="2"/>
            <w:shd w:val="clear" w:color="auto" w:fill="auto"/>
            <w:noWrap/>
            <w:vAlign w:val="center"/>
          </w:tcPr>
          <w:p w14:paraId="7583F09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2.39101E-13</w:t>
            </w:r>
          </w:p>
        </w:tc>
        <w:tc>
          <w:tcPr>
            <w:tcW w:w="1287" w:type="dxa"/>
            <w:gridSpan w:val="3"/>
            <w:shd w:val="clear" w:color="auto" w:fill="auto"/>
            <w:noWrap/>
            <w:vAlign w:val="center"/>
          </w:tcPr>
          <w:p w14:paraId="0C19B31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3.13742E-14</w:t>
            </w:r>
          </w:p>
        </w:tc>
        <w:tc>
          <w:tcPr>
            <w:tcW w:w="1477" w:type="dxa"/>
            <w:shd w:val="clear" w:color="auto" w:fill="auto"/>
            <w:noWrap/>
            <w:vAlign w:val="center"/>
          </w:tcPr>
          <w:p w14:paraId="0591340A">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2.23952E-15</w:t>
            </w:r>
          </w:p>
        </w:tc>
      </w:tr>
      <w:tr w14:paraId="1E2184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8213D0D">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bottom w:val="single" w:color="auto" w:sz="4" w:space="0"/>
            </w:tcBorders>
            <w:shd w:val="clear" w:color="auto" w:fill="auto"/>
            <w:noWrap/>
            <w:vAlign w:val="center"/>
          </w:tcPr>
          <w:p w14:paraId="486C3B4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1.52675E-21</w:t>
            </w:r>
          </w:p>
        </w:tc>
        <w:tc>
          <w:tcPr>
            <w:tcW w:w="1213" w:type="dxa"/>
            <w:tcBorders>
              <w:top w:val="single" w:color="auto" w:sz="4" w:space="0"/>
              <w:bottom w:val="single" w:color="auto" w:sz="4" w:space="0"/>
            </w:tcBorders>
            <w:shd w:val="clear" w:color="auto" w:fill="auto"/>
            <w:noWrap/>
            <w:vAlign w:val="center"/>
          </w:tcPr>
          <w:p w14:paraId="0F37A8F6">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1.24449E-21</w:t>
            </w:r>
          </w:p>
        </w:tc>
        <w:tc>
          <w:tcPr>
            <w:tcW w:w="1050" w:type="dxa"/>
            <w:shd w:val="clear" w:color="auto" w:fill="auto"/>
            <w:noWrap/>
            <w:vAlign w:val="center"/>
          </w:tcPr>
          <w:p w14:paraId="5A64DEE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5.5183E-22</w:t>
            </w:r>
          </w:p>
        </w:tc>
        <w:tc>
          <w:tcPr>
            <w:tcW w:w="1115" w:type="dxa"/>
            <w:gridSpan w:val="2"/>
            <w:shd w:val="clear" w:color="auto" w:fill="auto"/>
            <w:noWrap/>
            <w:vAlign w:val="center"/>
          </w:tcPr>
          <w:p w14:paraId="5943BCB7">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1.33109E-22</w:t>
            </w:r>
          </w:p>
        </w:tc>
        <w:tc>
          <w:tcPr>
            <w:tcW w:w="1287" w:type="dxa"/>
            <w:gridSpan w:val="3"/>
            <w:shd w:val="clear" w:color="auto" w:fill="auto"/>
            <w:noWrap/>
            <w:vAlign w:val="center"/>
          </w:tcPr>
          <w:p w14:paraId="0B32F95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1.74663E-23</w:t>
            </w:r>
          </w:p>
        </w:tc>
        <w:tc>
          <w:tcPr>
            <w:tcW w:w="1477" w:type="dxa"/>
            <w:shd w:val="clear" w:color="auto" w:fill="auto"/>
            <w:noWrap/>
            <w:vAlign w:val="center"/>
          </w:tcPr>
          <w:p w14:paraId="6763DD70">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1.24676E-24</w:t>
            </w:r>
          </w:p>
        </w:tc>
      </w:tr>
      <w:tr w14:paraId="20B88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1DFC09F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c>
          <w:tcPr>
            <w:tcW w:w="1050" w:type="dxa"/>
            <w:tcBorders>
              <w:top w:val="single" w:color="auto" w:sz="4" w:space="0"/>
              <w:bottom w:val="single" w:color="auto" w:sz="4" w:space="0"/>
            </w:tcBorders>
            <w:shd w:val="clear" w:color="auto" w:fill="auto"/>
            <w:noWrap/>
            <w:vAlign w:val="center"/>
          </w:tcPr>
          <w:p w14:paraId="3EB926F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1.92881E-33</w:t>
            </w:r>
          </w:p>
        </w:tc>
        <w:tc>
          <w:tcPr>
            <w:tcW w:w="1213" w:type="dxa"/>
            <w:tcBorders>
              <w:top w:val="single" w:color="auto" w:sz="4" w:space="0"/>
              <w:bottom w:val="single" w:color="auto" w:sz="4" w:space="0"/>
            </w:tcBorders>
            <w:shd w:val="clear" w:color="auto" w:fill="auto"/>
            <w:noWrap/>
            <w:vAlign w:val="center"/>
          </w:tcPr>
          <w:p w14:paraId="10E0627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1.57222E-33</w:t>
            </w:r>
          </w:p>
        </w:tc>
        <w:tc>
          <w:tcPr>
            <w:tcW w:w="1050" w:type="dxa"/>
            <w:tcBorders>
              <w:bottom w:val="single" w:color="auto" w:sz="4" w:space="0"/>
            </w:tcBorders>
            <w:shd w:val="clear" w:color="auto" w:fill="auto"/>
            <w:noWrap/>
            <w:vAlign w:val="center"/>
          </w:tcPr>
          <w:p w14:paraId="1B196D0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6.9715E-34</w:t>
            </w:r>
          </w:p>
        </w:tc>
        <w:tc>
          <w:tcPr>
            <w:tcW w:w="1115" w:type="dxa"/>
            <w:gridSpan w:val="2"/>
            <w:shd w:val="clear" w:color="auto" w:fill="auto"/>
            <w:noWrap/>
            <w:vAlign w:val="center"/>
          </w:tcPr>
          <w:p w14:paraId="230C8A8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1.68162E-34</w:t>
            </w:r>
          </w:p>
        </w:tc>
        <w:tc>
          <w:tcPr>
            <w:tcW w:w="1287" w:type="dxa"/>
            <w:gridSpan w:val="3"/>
            <w:shd w:val="clear" w:color="auto" w:fill="auto"/>
            <w:noWrap/>
            <w:vAlign w:val="center"/>
          </w:tcPr>
          <w:p w14:paraId="0ADD20A6">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2.20659E-35</w:t>
            </w:r>
          </w:p>
        </w:tc>
        <w:tc>
          <w:tcPr>
            <w:tcW w:w="1477" w:type="dxa"/>
            <w:shd w:val="clear" w:color="auto" w:fill="auto"/>
            <w:noWrap/>
            <w:vAlign w:val="center"/>
          </w:tcPr>
          <w:p w14:paraId="4F22F2DB">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1.57508E-36</w:t>
            </w:r>
          </w:p>
        </w:tc>
      </w:tr>
      <w:tr w14:paraId="2952D9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245338B1">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15</w:t>
            </w:r>
          </w:p>
        </w:tc>
        <w:tc>
          <w:tcPr>
            <w:tcW w:w="1050" w:type="dxa"/>
            <w:tcBorders>
              <w:top w:val="single" w:color="auto" w:sz="4" w:space="0"/>
            </w:tcBorders>
            <w:shd w:val="clear" w:color="auto" w:fill="auto"/>
            <w:noWrap/>
            <w:vAlign w:val="center"/>
          </w:tcPr>
          <w:p w14:paraId="252AD09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9.35676E-75</w:t>
            </w:r>
          </w:p>
        </w:tc>
        <w:tc>
          <w:tcPr>
            <w:tcW w:w="1213" w:type="dxa"/>
            <w:tcBorders>
              <w:top w:val="single" w:color="auto" w:sz="4" w:space="0"/>
              <w:bottom w:val="single" w:color="auto" w:sz="4" w:space="0"/>
            </w:tcBorders>
            <w:shd w:val="clear" w:color="auto" w:fill="auto"/>
            <w:noWrap/>
            <w:vAlign w:val="center"/>
          </w:tcPr>
          <w:p w14:paraId="6C836D1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7.62693E-75</w:t>
            </w:r>
          </w:p>
        </w:tc>
        <w:tc>
          <w:tcPr>
            <w:tcW w:w="1050" w:type="dxa"/>
            <w:tcBorders>
              <w:top w:val="single" w:color="auto" w:sz="4" w:space="0"/>
              <w:bottom w:val="single" w:color="auto" w:sz="4" w:space="0"/>
            </w:tcBorders>
            <w:shd w:val="clear" w:color="auto" w:fill="auto"/>
            <w:noWrap/>
            <w:vAlign w:val="center"/>
          </w:tcPr>
          <w:p w14:paraId="1784320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3.38192E-75</w:t>
            </w:r>
          </w:p>
        </w:tc>
        <w:tc>
          <w:tcPr>
            <w:tcW w:w="1115" w:type="dxa"/>
            <w:gridSpan w:val="2"/>
            <w:shd w:val="clear" w:color="auto" w:fill="auto"/>
            <w:noWrap/>
            <w:vAlign w:val="center"/>
          </w:tcPr>
          <w:p w14:paraId="40518FC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8.15767E-76</w:t>
            </w:r>
          </w:p>
        </w:tc>
        <w:tc>
          <w:tcPr>
            <w:tcW w:w="1287" w:type="dxa"/>
            <w:gridSpan w:val="3"/>
            <w:shd w:val="clear" w:color="auto" w:fill="auto"/>
            <w:noWrap/>
            <w:vAlign w:val="center"/>
          </w:tcPr>
          <w:p w14:paraId="1B59925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1.07043E-76</w:t>
            </w:r>
          </w:p>
        </w:tc>
        <w:tc>
          <w:tcPr>
            <w:tcW w:w="1477" w:type="dxa"/>
            <w:shd w:val="clear" w:color="auto" w:fill="auto"/>
            <w:noWrap/>
            <w:vAlign w:val="center"/>
          </w:tcPr>
          <w:p w14:paraId="0E7CF399">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7.64082E-78</w:t>
            </w:r>
          </w:p>
        </w:tc>
      </w:tr>
      <w:tr w14:paraId="597476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5388916">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20</w:t>
            </w:r>
          </w:p>
        </w:tc>
        <w:tc>
          <w:tcPr>
            <w:tcW w:w="1050" w:type="dxa"/>
            <w:shd w:val="clear" w:color="auto" w:fill="auto"/>
            <w:noWrap/>
            <w:vAlign w:val="center"/>
          </w:tcPr>
          <w:p w14:paraId="5F6B73B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1.353E-132</w:t>
            </w:r>
          </w:p>
        </w:tc>
        <w:tc>
          <w:tcPr>
            <w:tcW w:w="1213" w:type="dxa"/>
            <w:tcBorders>
              <w:top w:val="single" w:color="auto" w:sz="4" w:space="0"/>
            </w:tcBorders>
            <w:shd w:val="clear" w:color="auto" w:fill="auto"/>
            <w:noWrap/>
            <w:vAlign w:val="center"/>
          </w:tcPr>
          <w:p w14:paraId="47A3EBE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1.1029E-132</w:t>
            </w:r>
          </w:p>
        </w:tc>
        <w:tc>
          <w:tcPr>
            <w:tcW w:w="1050" w:type="dxa"/>
            <w:tcBorders>
              <w:top w:val="single" w:color="auto" w:sz="4" w:space="0"/>
            </w:tcBorders>
            <w:shd w:val="clear" w:color="auto" w:fill="auto"/>
            <w:noWrap/>
            <w:vAlign w:val="center"/>
          </w:tcPr>
          <w:p w14:paraId="1575B12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4.8903E-133</w:t>
            </w:r>
          </w:p>
        </w:tc>
        <w:tc>
          <w:tcPr>
            <w:tcW w:w="1115" w:type="dxa"/>
            <w:gridSpan w:val="2"/>
            <w:shd w:val="clear" w:color="auto" w:fill="auto"/>
            <w:noWrap/>
            <w:vAlign w:val="center"/>
          </w:tcPr>
          <w:p w14:paraId="5CDE4218">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1.1796E-133</w:t>
            </w:r>
          </w:p>
        </w:tc>
        <w:tc>
          <w:tcPr>
            <w:tcW w:w="1287" w:type="dxa"/>
            <w:gridSpan w:val="3"/>
            <w:shd w:val="clear" w:color="auto" w:fill="auto"/>
            <w:noWrap/>
            <w:vAlign w:val="center"/>
          </w:tcPr>
          <w:p w14:paraId="11F40F2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1.5479E-134</w:t>
            </w:r>
          </w:p>
        </w:tc>
        <w:tc>
          <w:tcPr>
            <w:tcW w:w="1477" w:type="dxa"/>
            <w:shd w:val="clear" w:color="auto" w:fill="auto"/>
            <w:noWrap/>
            <w:vAlign w:val="center"/>
          </w:tcPr>
          <w:p w14:paraId="6273CA5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1.1049E-135</w:t>
            </w:r>
          </w:p>
        </w:tc>
      </w:tr>
      <w:tr w14:paraId="3DC6A4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2" w:type="dxa"/>
            <w:gridSpan w:val="10"/>
            <w:shd w:val="clear" w:color="auto" w:fill="auto"/>
            <w:noWrap/>
            <w:vAlign w:val="center"/>
          </w:tcPr>
          <w:p w14:paraId="2005062A">
            <w:pPr>
              <w:pStyle w:val="42"/>
              <w:keepNext w:val="0"/>
              <w:keepLines w:val="0"/>
              <w:suppressLineNumbers w:val="0"/>
              <w:bidi w:val="0"/>
              <w:spacing w:before="0" w:beforeAutospacing="0" w:after="0" w:afterAutospacing="0"/>
              <w:rPr>
                <w:rFonts w:hint="default"/>
                <w:highlight w:val="none"/>
              </w:rPr>
            </w:pPr>
            <w:r>
              <w:rPr>
                <w:rFonts w:hint="default"/>
                <w:highlight w:val="none"/>
              </w:rPr>
              <w:t>10</w:t>
            </w:r>
            <w:r>
              <w:rPr>
                <w:rFonts w:hint="eastAsia"/>
                <w:highlight w:val="none"/>
                <w:lang w:val="en-US" w:eastAsia="zh-CN"/>
              </w:rPr>
              <w:t>0</w:t>
            </w:r>
            <w:r>
              <w:rPr>
                <w:rFonts w:hint="default"/>
                <w:highlight w:val="none"/>
              </w:rPr>
              <w:t>0d</w:t>
            </w:r>
          </w:p>
        </w:tc>
      </w:tr>
      <w:tr w14:paraId="5E915F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C8A2A66">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X/Y</w:t>
            </w:r>
          </w:p>
        </w:tc>
        <w:tc>
          <w:tcPr>
            <w:tcW w:w="1050" w:type="dxa"/>
            <w:shd w:val="clear" w:color="auto" w:fill="auto"/>
            <w:noWrap/>
            <w:vAlign w:val="center"/>
          </w:tcPr>
          <w:p w14:paraId="0BDA195C">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213" w:type="dxa"/>
            <w:tcBorders>
              <w:bottom w:val="single" w:color="auto" w:sz="4" w:space="0"/>
            </w:tcBorders>
            <w:shd w:val="clear" w:color="auto" w:fill="auto"/>
            <w:noWrap/>
            <w:vAlign w:val="center"/>
          </w:tcPr>
          <w:p w14:paraId="1EF69097">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w:t>
            </w:r>
          </w:p>
        </w:tc>
        <w:tc>
          <w:tcPr>
            <w:tcW w:w="1050" w:type="dxa"/>
            <w:shd w:val="clear" w:color="auto" w:fill="auto"/>
            <w:noWrap/>
            <w:vAlign w:val="center"/>
          </w:tcPr>
          <w:p w14:paraId="02097307">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4</w:t>
            </w:r>
          </w:p>
        </w:tc>
        <w:tc>
          <w:tcPr>
            <w:tcW w:w="1127" w:type="dxa"/>
            <w:gridSpan w:val="3"/>
            <w:shd w:val="clear" w:color="auto" w:fill="auto"/>
            <w:noWrap/>
            <w:vAlign w:val="center"/>
          </w:tcPr>
          <w:p w14:paraId="469427A3">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6</w:t>
            </w:r>
          </w:p>
        </w:tc>
        <w:tc>
          <w:tcPr>
            <w:tcW w:w="1248" w:type="dxa"/>
            <w:shd w:val="clear" w:color="auto" w:fill="auto"/>
            <w:noWrap/>
            <w:vAlign w:val="center"/>
          </w:tcPr>
          <w:p w14:paraId="64C9F61A">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8</w:t>
            </w:r>
          </w:p>
        </w:tc>
        <w:tc>
          <w:tcPr>
            <w:tcW w:w="1504" w:type="dxa"/>
            <w:gridSpan w:val="2"/>
            <w:shd w:val="clear" w:color="auto" w:fill="auto"/>
            <w:noWrap/>
            <w:vAlign w:val="center"/>
          </w:tcPr>
          <w:p w14:paraId="416BC7F7">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r>
      <w:tr w14:paraId="5D7B02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55183E57">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0</w:t>
            </w:r>
          </w:p>
        </w:tc>
        <w:tc>
          <w:tcPr>
            <w:tcW w:w="1050" w:type="dxa"/>
            <w:shd w:val="clear" w:color="auto" w:fill="auto"/>
            <w:noWrap/>
            <w:vAlign w:val="center"/>
          </w:tcPr>
          <w:p w14:paraId="0729BAB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0.781100545</w:t>
            </w:r>
          </w:p>
        </w:tc>
        <w:tc>
          <w:tcPr>
            <w:tcW w:w="1213" w:type="dxa"/>
            <w:tcBorders>
              <w:top w:val="single" w:color="auto" w:sz="4" w:space="0"/>
              <w:bottom w:val="single" w:color="auto" w:sz="4" w:space="0"/>
            </w:tcBorders>
            <w:shd w:val="clear" w:color="auto" w:fill="auto"/>
            <w:noWrap/>
            <w:vAlign w:val="center"/>
          </w:tcPr>
          <w:p w14:paraId="1C97F82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0.772469688</w:t>
            </w:r>
          </w:p>
        </w:tc>
        <w:tc>
          <w:tcPr>
            <w:tcW w:w="1050" w:type="dxa"/>
            <w:shd w:val="clear" w:color="auto" w:fill="auto"/>
            <w:noWrap/>
            <w:vAlign w:val="center"/>
          </w:tcPr>
          <w:p w14:paraId="74D8FC33">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0.611710686</w:t>
            </w:r>
          </w:p>
        </w:tc>
        <w:tc>
          <w:tcPr>
            <w:tcW w:w="1127" w:type="dxa"/>
            <w:gridSpan w:val="3"/>
            <w:shd w:val="clear" w:color="auto" w:fill="auto"/>
            <w:noWrap/>
            <w:vAlign w:val="center"/>
          </w:tcPr>
          <w:p w14:paraId="00EE335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0.387883051</w:t>
            </w:r>
          </w:p>
        </w:tc>
        <w:tc>
          <w:tcPr>
            <w:tcW w:w="1248" w:type="dxa"/>
            <w:shd w:val="clear" w:color="auto" w:fill="auto"/>
            <w:noWrap/>
            <w:vAlign w:val="center"/>
          </w:tcPr>
          <w:p w14:paraId="6396D9B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0.196945315</w:t>
            </w:r>
          </w:p>
        </w:tc>
        <w:tc>
          <w:tcPr>
            <w:tcW w:w="1504" w:type="dxa"/>
            <w:gridSpan w:val="2"/>
            <w:shd w:val="clear" w:color="auto" w:fill="auto"/>
            <w:noWrap/>
            <w:vAlign w:val="center"/>
          </w:tcPr>
          <w:p w14:paraId="4962FBC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0.08007199</w:t>
            </w:r>
          </w:p>
        </w:tc>
      </w:tr>
      <w:tr w14:paraId="6888D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790F4289">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w:t>
            </w:r>
          </w:p>
        </w:tc>
        <w:tc>
          <w:tcPr>
            <w:tcW w:w="1050" w:type="dxa"/>
            <w:shd w:val="clear" w:color="auto" w:fill="auto"/>
            <w:noWrap/>
            <w:vAlign w:val="center"/>
          </w:tcPr>
          <w:p w14:paraId="12B4903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0.257132822</w:t>
            </w:r>
          </w:p>
        </w:tc>
        <w:tc>
          <w:tcPr>
            <w:tcW w:w="1213" w:type="dxa"/>
            <w:tcBorders>
              <w:top w:val="single" w:color="auto" w:sz="4" w:space="0"/>
              <w:bottom w:val="single" w:color="auto" w:sz="4" w:space="0"/>
            </w:tcBorders>
            <w:shd w:val="clear" w:color="auto" w:fill="auto"/>
            <w:noWrap/>
            <w:vAlign w:val="center"/>
          </w:tcPr>
          <w:p w14:paraId="42DE38A5">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0.254291605</w:t>
            </w:r>
          </w:p>
        </w:tc>
        <w:tc>
          <w:tcPr>
            <w:tcW w:w="1050" w:type="dxa"/>
            <w:shd w:val="clear" w:color="auto" w:fill="auto"/>
            <w:noWrap/>
            <w:vAlign w:val="center"/>
          </w:tcPr>
          <w:p w14:paraId="5384B5B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0.201370868</w:t>
            </w:r>
          </w:p>
        </w:tc>
        <w:tc>
          <w:tcPr>
            <w:tcW w:w="1127" w:type="dxa"/>
            <w:gridSpan w:val="3"/>
            <w:shd w:val="clear" w:color="auto" w:fill="auto"/>
            <w:noWrap/>
            <w:vAlign w:val="center"/>
          </w:tcPr>
          <w:p w14:paraId="6BACBAE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0.127688381</w:t>
            </w:r>
          </w:p>
        </w:tc>
        <w:tc>
          <w:tcPr>
            <w:tcW w:w="1248" w:type="dxa"/>
            <w:shd w:val="clear" w:color="auto" w:fill="auto"/>
            <w:noWrap/>
            <w:vAlign w:val="center"/>
          </w:tcPr>
          <w:p w14:paraId="490D2031">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0.064833017</w:t>
            </w:r>
          </w:p>
        </w:tc>
        <w:tc>
          <w:tcPr>
            <w:tcW w:w="1504" w:type="dxa"/>
            <w:gridSpan w:val="2"/>
            <w:shd w:val="clear" w:color="auto" w:fill="auto"/>
            <w:noWrap/>
            <w:vAlign w:val="center"/>
          </w:tcPr>
          <w:p w14:paraId="4ACD1225">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0.026359138</w:t>
            </w:r>
          </w:p>
        </w:tc>
      </w:tr>
      <w:tr w14:paraId="6733C4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D2F0613">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4</w:t>
            </w:r>
          </w:p>
        </w:tc>
        <w:tc>
          <w:tcPr>
            <w:tcW w:w="1050" w:type="dxa"/>
            <w:shd w:val="clear" w:color="auto" w:fill="auto"/>
            <w:noWrap/>
            <w:vAlign w:val="center"/>
          </w:tcPr>
          <w:p w14:paraId="19B5EE67">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0.009172955</w:t>
            </w:r>
          </w:p>
        </w:tc>
        <w:tc>
          <w:tcPr>
            <w:tcW w:w="1213" w:type="dxa"/>
            <w:tcBorders>
              <w:top w:val="single" w:color="auto" w:sz="4" w:space="0"/>
              <w:bottom w:val="single" w:color="auto" w:sz="4" w:space="0"/>
            </w:tcBorders>
            <w:shd w:val="clear" w:color="auto" w:fill="auto"/>
            <w:noWrap/>
            <w:vAlign w:val="center"/>
          </w:tcPr>
          <w:p w14:paraId="43E5ABA6">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0.009071597</w:t>
            </w:r>
          </w:p>
        </w:tc>
        <w:tc>
          <w:tcPr>
            <w:tcW w:w="1050" w:type="dxa"/>
            <w:shd w:val="clear" w:color="auto" w:fill="auto"/>
            <w:noWrap/>
            <w:vAlign w:val="center"/>
          </w:tcPr>
          <w:p w14:paraId="257CA92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0.007183703</w:t>
            </w:r>
          </w:p>
        </w:tc>
        <w:tc>
          <w:tcPr>
            <w:tcW w:w="1127" w:type="dxa"/>
            <w:gridSpan w:val="3"/>
            <w:shd w:val="clear" w:color="auto" w:fill="auto"/>
            <w:noWrap/>
            <w:vAlign w:val="center"/>
          </w:tcPr>
          <w:p w14:paraId="2AE306E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0.004555154</w:t>
            </w:r>
          </w:p>
        </w:tc>
        <w:tc>
          <w:tcPr>
            <w:tcW w:w="1248" w:type="dxa"/>
            <w:shd w:val="clear" w:color="auto" w:fill="auto"/>
            <w:noWrap/>
            <w:vAlign w:val="center"/>
          </w:tcPr>
          <w:p w14:paraId="18BFDD54">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0.002312853</w:t>
            </w:r>
          </w:p>
        </w:tc>
        <w:tc>
          <w:tcPr>
            <w:tcW w:w="1504" w:type="dxa"/>
            <w:gridSpan w:val="2"/>
            <w:shd w:val="clear" w:color="auto" w:fill="auto"/>
            <w:noWrap/>
            <w:vAlign w:val="center"/>
          </w:tcPr>
          <w:p w14:paraId="19B373E1">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0.000940336</w:t>
            </w:r>
          </w:p>
        </w:tc>
      </w:tr>
      <w:tr w14:paraId="0E37D0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8F06482">
            <w:pPr>
              <w:pStyle w:val="42"/>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2"/>
                <w:sz w:val="21"/>
                <w:szCs w:val="21"/>
                <w:highlight w:val="none"/>
                <w:lang w:val="en-US" w:eastAsia="zh-CN" w:bidi="ar-SA"/>
              </w:rPr>
            </w:pPr>
            <w:r>
              <w:rPr>
                <w:rFonts w:hint="default"/>
                <w:highlight w:val="none"/>
              </w:rPr>
              <w:t>6</w:t>
            </w:r>
          </w:p>
        </w:tc>
        <w:tc>
          <w:tcPr>
            <w:tcW w:w="1050" w:type="dxa"/>
            <w:tcBorders>
              <w:bottom w:val="single" w:color="auto" w:sz="4" w:space="0"/>
            </w:tcBorders>
            <w:shd w:val="clear" w:color="auto" w:fill="auto"/>
            <w:noWrap/>
            <w:vAlign w:val="center"/>
          </w:tcPr>
          <w:p w14:paraId="2099FE5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3.54619E-05</w:t>
            </w:r>
          </w:p>
        </w:tc>
        <w:tc>
          <w:tcPr>
            <w:tcW w:w="1213" w:type="dxa"/>
            <w:tcBorders>
              <w:top w:val="single" w:color="auto" w:sz="4" w:space="0"/>
              <w:bottom w:val="single" w:color="auto" w:sz="4" w:space="0"/>
            </w:tcBorders>
            <w:shd w:val="clear" w:color="auto" w:fill="auto"/>
            <w:noWrap/>
            <w:vAlign w:val="center"/>
          </w:tcPr>
          <w:p w14:paraId="450C629A">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3.50701E-05</w:t>
            </w:r>
          </w:p>
        </w:tc>
        <w:tc>
          <w:tcPr>
            <w:tcW w:w="1050" w:type="dxa"/>
            <w:tcBorders>
              <w:bottom w:val="single" w:color="auto" w:sz="4" w:space="0"/>
            </w:tcBorders>
            <w:shd w:val="clear" w:color="auto" w:fill="auto"/>
            <w:noWrap/>
            <w:vAlign w:val="center"/>
          </w:tcPr>
          <w:p w14:paraId="5401E87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2.77716E-05</w:t>
            </w:r>
          </w:p>
        </w:tc>
        <w:tc>
          <w:tcPr>
            <w:tcW w:w="1127" w:type="dxa"/>
            <w:gridSpan w:val="3"/>
            <w:shd w:val="clear" w:color="auto" w:fill="auto"/>
            <w:noWrap/>
            <w:vAlign w:val="center"/>
          </w:tcPr>
          <w:p w14:paraId="0F88E1B0">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1.76099E-05</w:t>
            </w:r>
          </w:p>
        </w:tc>
        <w:tc>
          <w:tcPr>
            <w:tcW w:w="1248" w:type="dxa"/>
            <w:shd w:val="clear" w:color="auto" w:fill="auto"/>
            <w:noWrap/>
            <w:vAlign w:val="center"/>
          </w:tcPr>
          <w:p w14:paraId="3BF868A9">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8.9413E-06</w:t>
            </w:r>
          </w:p>
        </w:tc>
        <w:tc>
          <w:tcPr>
            <w:tcW w:w="1504" w:type="dxa"/>
            <w:gridSpan w:val="2"/>
            <w:shd w:val="clear" w:color="auto" w:fill="auto"/>
            <w:noWrap/>
            <w:vAlign w:val="center"/>
          </w:tcPr>
          <w:p w14:paraId="036B1EEC">
            <w:pPr>
              <w:pStyle w:val="42"/>
              <w:keepNext w:val="0"/>
              <w:keepLines w:val="0"/>
              <w:suppressLineNumbers w:val="0"/>
              <w:bidi w:val="0"/>
              <w:spacing w:before="0" w:beforeAutospacing="0" w:after="0" w:afterAutospacing="0"/>
              <w:rPr>
                <w:rFonts w:hint="eastAsia"/>
                <w:highlight w:val="none"/>
                <w:lang w:val="en-US" w:eastAsia="zh-CN"/>
              </w:rPr>
            </w:pPr>
            <w:r>
              <w:rPr>
                <w:rFonts w:hint="eastAsia"/>
                <w:highlight w:val="none"/>
                <w:lang w:val="en-US" w:eastAsia="zh-CN"/>
              </w:rPr>
              <w:t>3.63526E-06</w:t>
            </w:r>
          </w:p>
        </w:tc>
      </w:tr>
      <w:tr w14:paraId="737D33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4C48B50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8</w:t>
            </w:r>
          </w:p>
        </w:tc>
        <w:tc>
          <w:tcPr>
            <w:tcW w:w="1050" w:type="dxa"/>
            <w:tcBorders>
              <w:top w:val="single" w:color="auto" w:sz="4" w:space="0"/>
              <w:bottom w:val="single" w:color="auto" w:sz="4" w:space="0"/>
            </w:tcBorders>
            <w:shd w:val="clear" w:color="auto" w:fill="auto"/>
            <w:noWrap/>
            <w:vAlign w:val="center"/>
          </w:tcPr>
          <w:p w14:paraId="2ED6B7B6">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1.48565E-08</w:t>
            </w:r>
          </w:p>
        </w:tc>
        <w:tc>
          <w:tcPr>
            <w:tcW w:w="1213" w:type="dxa"/>
            <w:tcBorders>
              <w:top w:val="single" w:color="auto" w:sz="4" w:space="0"/>
              <w:bottom w:val="single" w:color="auto" w:sz="4" w:space="0"/>
            </w:tcBorders>
            <w:shd w:val="clear" w:color="auto" w:fill="auto"/>
            <w:noWrap/>
            <w:vAlign w:val="center"/>
          </w:tcPr>
          <w:p w14:paraId="4DE54A97">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1.46923E-08</w:t>
            </w:r>
          </w:p>
        </w:tc>
        <w:tc>
          <w:tcPr>
            <w:tcW w:w="1050" w:type="dxa"/>
            <w:tcBorders>
              <w:top w:val="single" w:color="auto" w:sz="4" w:space="0"/>
              <w:bottom w:val="single" w:color="auto" w:sz="4" w:space="0"/>
            </w:tcBorders>
            <w:shd w:val="clear" w:color="auto" w:fill="auto"/>
            <w:noWrap/>
            <w:vAlign w:val="center"/>
          </w:tcPr>
          <w:p w14:paraId="0CBDD421">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1.16347E-08</w:t>
            </w:r>
          </w:p>
        </w:tc>
        <w:tc>
          <w:tcPr>
            <w:tcW w:w="1127" w:type="dxa"/>
            <w:gridSpan w:val="3"/>
            <w:shd w:val="clear" w:color="auto" w:fill="auto"/>
            <w:noWrap/>
            <w:vAlign w:val="center"/>
          </w:tcPr>
          <w:p w14:paraId="722ADCAC">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7.37751E-09</w:t>
            </w:r>
          </w:p>
        </w:tc>
        <w:tc>
          <w:tcPr>
            <w:tcW w:w="1248" w:type="dxa"/>
            <w:shd w:val="clear" w:color="auto" w:fill="auto"/>
            <w:noWrap/>
            <w:vAlign w:val="center"/>
          </w:tcPr>
          <w:p w14:paraId="733BCF2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3.74589E-09</w:t>
            </w:r>
          </w:p>
        </w:tc>
        <w:tc>
          <w:tcPr>
            <w:tcW w:w="1504" w:type="dxa"/>
            <w:gridSpan w:val="2"/>
            <w:shd w:val="clear" w:color="auto" w:fill="auto"/>
            <w:noWrap/>
            <w:vAlign w:val="center"/>
          </w:tcPr>
          <w:p w14:paraId="4E0F9A0F">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1.52296E-09</w:t>
            </w:r>
          </w:p>
        </w:tc>
      </w:tr>
      <w:tr w14:paraId="5F33B7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46C581D">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10</w:t>
            </w:r>
          </w:p>
        </w:tc>
        <w:tc>
          <w:tcPr>
            <w:tcW w:w="1050" w:type="dxa"/>
            <w:tcBorders>
              <w:top w:val="single" w:color="auto" w:sz="4" w:space="0"/>
              <w:bottom w:val="single" w:color="auto" w:sz="4" w:space="0"/>
            </w:tcBorders>
            <w:shd w:val="clear" w:color="auto" w:fill="auto"/>
            <w:noWrap/>
            <w:vAlign w:val="center"/>
          </w:tcPr>
          <w:p w14:paraId="029DDDF3">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6.74484E-13</w:t>
            </w:r>
          </w:p>
        </w:tc>
        <w:tc>
          <w:tcPr>
            <w:tcW w:w="1213" w:type="dxa"/>
            <w:tcBorders>
              <w:top w:val="single" w:color="auto" w:sz="4" w:space="0"/>
              <w:bottom w:val="single" w:color="auto" w:sz="4" w:space="0"/>
            </w:tcBorders>
            <w:shd w:val="clear" w:color="auto" w:fill="auto"/>
            <w:noWrap/>
            <w:vAlign w:val="center"/>
          </w:tcPr>
          <w:p w14:paraId="5E85DB3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6.67031E-13</w:t>
            </w:r>
          </w:p>
        </w:tc>
        <w:tc>
          <w:tcPr>
            <w:tcW w:w="1050" w:type="dxa"/>
            <w:tcBorders>
              <w:top w:val="single" w:color="auto" w:sz="4" w:space="0"/>
              <w:bottom w:val="single" w:color="auto" w:sz="4" w:space="0"/>
            </w:tcBorders>
            <w:shd w:val="clear" w:color="auto" w:fill="auto"/>
            <w:noWrap/>
            <w:vAlign w:val="center"/>
          </w:tcPr>
          <w:p w14:paraId="109CA4E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5.28215E-13</w:t>
            </w:r>
          </w:p>
        </w:tc>
        <w:tc>
          <w:tcPr>
            <w:tcW w:w="1127" w:type="dxa"/>
            <w:gridSpan w:val="3"/>
            <w:shd w:val="clear" w:color="auto" w:fill="auto"/>
            <w:noWrap/>
            <w:vAlign w:val="center"/>
          </w:tcPr>
          <w:p w14:paraId="18C0A5FF">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3.34939E-13</w:t>
            </w:r>
          </w:p>
        </w:tc>
        <w:tc>
          <w:tcPr>
            <w:tcW w:w="1248" w:type="dxa"/>
            <w:shd w:val="clear" w:color="auto" w:fill="auto"/>
            <w:noWrap/>
            <w:vAlign w:val="center"/>
          </w:tcPr>
          <w:p w14:paraId="608FDF59">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1.70063E-13</w:t>
            </w:r>
          </w:p>
        </w:tc>
        <w:tc>
          <w:tcPr>
            <w:tcW w:w="1504" w:type="dxa"/>
            <w:gridSpan w:val="2"/>
            <w:shd w:val="clear" w:color="auto" w:fill="auto"/>
            <w:noWrap/>
            <w:vAlign w:val="center"/>
          </w:tcPr>
          <w:p w14:paraId="7234E4DE">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6.91425E-14</w:t>
            </w:r>
          </w:p>
        </w:tc>
      </w:tr>
      <w:tr w14:paraId="100400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6605DDF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15</w:t>
            </w:r>
          </w:p>
        </w:tc>
        <w:tc>
          <w:tcPr>
            <w:tcW w:w="1050" w:type="dxa"/>
            <w:tcBorders>
              <w:top w:val="single" w:color="auto" w:sz="4" w:space="0"/>
            </w:tcBorders>
            <w:shd w:val="clear" w:color="auto" w:fill="auto"/>
            <w:noWrap/>
            <w:vAlign w:val="center"/>
          </w:tcPr>
          <w:p w14:paraId="5D8F24E4">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5.61438E-28</w:t>
            </w:r>
          </w:p>
        </w:tc>
        <w:tc>
          <w:tcPr>
            <w:tcW w:w="1213" w:type="dxa"/>
            <w:tcBorders>
              <w:top w:val="single" w:color="auto" w:sz="4" w:space="0"/>
            </w:tcBorders>
            <w:shd w:val="clear" w:color="auto" w:fill="auto"/>
            <w:noWrap/>
            <w:vAlign w:val="center"/>
          </w:tcPr>
          <w:p w14:paraId="6C294ABB">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5.55234E-28</w:t>
            </w:r>
          </w:p>
        </w:tc>
        <w:tc>
          <w:tcPr>
            <w:tcW w:w="1050" w:type="dxa"/>
            <w:tcBorders>
              <w:top w:val="single" w:color="auto" w:sz="4" w:space="0"/>
              <w:bottom w:val="single" w:color="auto" w:sz="4" w:space="0"/>
            </w:tcBorders>
            <w:shd w:val="clear" w:color="auto" w:fill="auto"/>
            <w:noWrap/>
            <w:vAlign w:val="center"/>
          </w:tcPr>
          <w:p w14:paraId="3580B659">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4.39684E-28</w:t>
            </w:r>
          </w:p>
        </w:tc>
        <w:tc>
          <w:tcPr>
            <w:tcW w:w="1127" w:type="dxa"/>
            <w:gridSpan w:val="3"/>
            <w:shd w:val="clear" w:color="auto" w:fill="auto"/>
            <w:noWrap/>
            <w:vAlign w:val="center"/>
          </w:tcPr>
          <w:p w14:paraId="2615FD3E">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2.78802E-28</w:t>
            </w:r>
          </w:p>
        </w:tc>
        <w:tc>
          <w:tcPr>
            <w:tcW w:w="1248" w:type="dxa"/>
            <w:shd w:val="clear" w:color="auto" w:fill="auto"/>
            <w:noWrap/>
            <w:vAlign w:val="center"/>
          </w:tcPr>
          <w:p w14:paraId="677F8AC9">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1.4156E-28</w:t>
            </w:r>
          </w:p>
        </w:tc>
        <w:tc>
          <w:tcPr>
            <w:tcW w:w="1504" w:type="dxa"/>
            <w:gridSpan w:val="2"/>
            <w:shd w:val="clear" w:color="auto" w:fill="auto"/>
            <w:noWrap/>
            <w:vAlign w:val="center"/>
          </w:tcPr>
          <w:p w14:paraId="5C8CE597">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5.7554E-29</w:t>
            </w:r>
          </w:p>
        </w:tc>
      </w:tr>
      <w:tr w14:paraId="2D5DE2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0" w:type="dxa"/>
            <w:shd w:val="clear" w:color="auto" w:fill="auto"/>
            <w:noWrap/>
            <w:vAlign w:val="center"/>
          </w:tcPr>
          <w:p w14:paraId="03AD332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eastAsia"/>
                <w:highlight w:val="none"/>
                <w:lang w:val="en-US" w:eastAsia="zh-CN"/>
              </w:rPr>
              <w:t>20</w:t>
            </w:r>
          </w:p>
        </w:tc>
        <w:tc>
          <w:tcPr>
            <w:tcW w:w="1050" w:type="dxa"/>
            <w:shd w:val="clear" w:color="auto" w:fill="auto"/>
            <w:noWrap/>
            <w:vAlign w:val="center"/>
          </w:tcPr>
          <w:p w14:paraId="3C326C45">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4.34275E-49</w:t>
            </w:r>
          </w:p>
        </w:tc>
        <w:tc>
          <w:tcPr>
            <w:tcW w:w="1213" w:type="dxa"/>
            <w:shd w:val="clear" w:color="auto" w:fill="auto"/>
            <w:noWrap/>
            <w:vAlign w:val="center"/>
          </w:tcPr>
          <w:p w14:paraId="70CB4466">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4.29476E-49</w:t>
            </w:r>
          </w:p>
        </w:tc>
        <w:tc>
          <w:tcPr>
            <w:tcW w:w="1050" w:type="dxa"/>
            <w:tcBorders>
              <w:top w:val="single" w:color="auto" w:sz="4" w:space="0"/>
            </w:tcBorders>
            <w:shd w:val="clear" w:color="auto" w:fill="auto"/>
            <w:noWrap/>
            <w:vAlign w:val="center"/>
          </w:tcPr>
          <w:p w14:paraId="774A182B">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3.40098E-49</w:t>
            </w:r>
          </w:p>
        </w:tc>
        <w:tc>
          <w:tcPr>
            <w:tcW w:w="1127" w:type="dxa"/>
            <w:gridSpan w:val="3"/>
            <w:shd w:val="clear" w:color="auto" w:fill="auto"/>
            <w:noWrap/>
            <w:vAlign w:val="center"/>
          </w:tcPr>
          <w:p w14:paraId="78F5395D">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lang w:val="en-US" w:eastAsia="zh-CN"/>
              </w:rPr>
              <w:t>2.15654E-49</w:t>
            </w:r>
          </w:p>
        </w:tc>
        <w:tc>
          <w:tcPr>
            <w:tcW w:w="1248" w:type="dxa"/>
            <w:shd w:val="clear" w:color="auto" w:fill="auto"/>
            <w:noWrap/>
            <w:vAlign w:val="center"/>
          </w:tcPr>
          <w:p w14:paraId="12E39A21">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1.09497E-49</w:t>
            </w:r>
          </w:p>
        </w:tc>
        <w:tc>
          <w:tcPr>
            <w:tcW w:w="1504" w:type="dxa"/>
            <w:gridSpan w:val="2"/>
            <w:shd w:val="clear" w:color="auto" w:fill="auto"/>
            <w:noWrap/>
            <w:vAlign w:val="center"/>
          </w:tcPr>
          <w:p w14:paraId="24E3F64A">
            <w:pPr>
              <w:pStyle w:val="42"/>
              <w:keepNext w:val="0"/>
              <w:keepLines w:val="0"/>
              <w:suppressLineNumbers w:val="0"/>
              <w:bidi w:val="0"/>
              <w:spacing w:before="0" w:beforeAutospacing="0" w:after="0" w:afterAutospacing="0"/>
              <w:rPr>
                <w:rFonts w:hint="default"/>
                <w:highlight w:val="none"/>
              </w:rPr>
            </w:pPr>
            <w:r>
              <w:rPr>
                <w:rFonts w:hint="eastAsia"/>
                <w:highlight w:val="none"/>
                <w:lang w:val="en-US" w:eastAsia="zh-CN"/>
              </w:rPr>
              <w:t>4.45183E-50</w:t>
            </w:r>
          </w:p>
        </w:tc>
      </w:tr>
    </w:tbl>
    <w:p w14:paraId="628572EB">
      <w:pPr>
        <w:bidi w:val="0"/>
        <w:rPr>
          <w:rFonts w:hint="default"/>
          <w:highlight w:val="none"/>
          <w:lang w:val="en-US" w:eastAsia="zh-CN"/>
        </w:rPr>
      </w:pPr>
      <w:r>
        <w:rPr>
          <w:rFonts w:hint="default"/>
          <w:highlight w:val="none"/>
          <w:lang w:val="en-US" w:eastAsia="zh-CN"/>
        </w:rPr>
        <w:t>由预测结果可知：</w:t>
      </w:r>
    </w:p>
    <w:p w14:paraId="5EC1A6ED">
      <w:pPr>
        <w:bidi w:val="0"/>
        <w:rPr>
          <w:rFonts w:hint="default"/>
          <w:highlight w:val="none"/>
          <w:lang w:val="en-US" w:eastAsia="zh-CN"/>
        </w:rPr>
      </w:pPr>
      <w:r>
        <w:rPr>
          <w:rFonts w:hint="default"/>
          <w:highlight w:val="none"/>
          <w:lang w:val="en-US" w:eastAsia="zh-CN"/>
        </w:rPr>
        <w:t>从上述预测结果可以看出：在模拟期内，非正常工况下，</w:t>
      </w:r>
      <w:r>
        <w:rPr>
          <w:rFonts w:hint="eastAsia"/>
          <w:highlight w:val="none"/>
          <w:lang w:val="en-US" w:eastAsia="zh-CN"/>
        </w:rPr>
        <w:t>调节</w:t>
      </w:r>
      <w:r>
        <w:rPr>
          <w:rFonts w:hint="default"/>
          <w:highlight w:val="none"/>
          <w:lang w:val="en-US" w:eastAsia="zh-CN"/>
        </w:rPr>
        <w:t>池底开裂叠加防渗层出现破裂情景下，随着时间的增长，污染晕中心随着水流向下游迁移，污染物在运移的过程中随着地下水的稀释作用，浓度逐渐降低，随污染物运移，污染范围随之扩大。</w:t>
      </w:r>
    </w:p>
    <w:p w14:paraId="792BFFF6">
      <w:pPr>
        <w:bidi w:val="0"/>
        <w:rPr>
          <w:rFonts w:hint="default"/>
          <w:highlight w:val="none"/>
          <w:lang w:val="en-US" w:eastAsia="zh-CN"/>
        </w:rPr>
      </w:pPr>
      <w:r>
        <w:rPr>
          <w:rFonts w:hint="default"/>
          <w:highlight w:val="none"/>
          <w:lang w:val="en-US" w:eastAsia="zh-CN"/>
        </w:rPr>
        <w:t>CODMn在模拟期内，100天时，下游最大浓度为</w:t>
      </w:r>
      <w:r>
        <w:rPr>
          <w:rFonts w:hint="eastAsia"/>
          <w:highlight w:val="none"/>
          <w:lang w:val="en-US" w:eastAsia="zh-CN"/>
        </w:rPr>
        <w:t>478</w:t>
      </w:r>
      <w:r>
        <w:rPr>
          <w:rFonts w:hint="default"/>
          <w:highlight w:val="none"/>
          <w:lang w:val="en-US" w:eastAsia="zh-CN"/>
        </w:rPr>
        <w:t>mg/L，超标最远距离为</w:t>
      </w:r>
      <w:r>
        <w:rPr>
          <w:rFonts w:hint="eastAsia"/>
          <w:highlight w:val="none"/>
          <w:lang w:val="en-US" w:eastAsia="zh-CN"/>
        </w:rPr>
        <w:t>5</w:t>
      </w:r>
      <w:r>
        <w:rPr>
          <w:rFonts w:hint="default"/>
          <w:highlight w:val="none"/>
          <w:lang w:val="en-US" w:eastAsia="zh-CN"/>
        </w:rPr>
        <w:t>m，未超出厂区边界；365天时，下游最大浓度为</w:t>
      </w:r>
      <w:r>
        <w:rPr>
          <w:rFonts w:hint="eastAsia"/>
          <w:highlight w:val="none"/>
          <w:lang w:val="en-US" w:eastAsia="zh-CN"/>
        </w:rPr>
        <w:t>130</w:t>
      </w:r>
      <w:r>
        <w:rPr>
          <w:rFonts w:hint="default"/>
          <w:highlight w:val="none"/>
          <w:lang w:val="en-US" w:eastAsia="zh-CN"/>
        </w:rPr>
        <w:t>1mg/L，超标最远距离为</w:t>
      </w:r>
      <w:r>
        <w:rPr>
          <w:rFonts w:hint="eastAsia"/>
          <w:highlight w:val="none"/>
          <w:lang w:val="en-US" w:eastAsia="zh-CN"/>
        </w:rPr>
        <w:t>6</w:t>
      </w:r>
      <w:r>
        <w:rPr>
          <w:rFonts w:hint="default"/>
          <w:highlight w:val="none"/>
          <w:lang w:val="en-US" w:eastAsia="zh-CN"/>
        </w:rPr>
        <w:t>m，未超出厂区边界；1000天时，下游最大浓度为</w:t>
      </w:r>
      <w:r>
        <w:rPr>
          <w:rFonts w:hint="eastAsia"/>
          <w:highlight w:val="none"/>
          <w:lang w:val="en-US" w:eastAsia="zh-CN"/>
        </w:rPr>
        <w:t>47</w:t>
      </w:r>
      <w:r>
        <w:rPr>
          <w:rFonts w:hint="default"/>
          <w:highlight w:val="none"/>
          <w:lang w:val="en-US" w:eastAsia="zh-CN"/>
        </w:rPr>
        <w:t>mg/L，超标最远距离为</w:t>
      </w:r>
      <w:r>
        <w:rPr>
          <w:rFonts w:hint="eastAsia"/>
          <w:highlight w:val="none"/>
          <w:lang w:val="en-US" w:eastAsia="zh-CN"/>
        </w:rPr>
        <w:t>10</w:t>
      </w:r>
      <w:r>
        <w:rPr>
          <w:rFonts w:hint="default"/>
          <w:highlight w:val="none"/>
          <w:lang w:val="en-US" w:eastAsia="zh-CN"/>
        </w:rPr>
        <w:t>m，未超出厂区边界。</w:t>
      </w:r>
    </w:p>
    <w:p w14:paraId="5432707B">
      <w:pPr>
        <w:bidi w:val="0"/>
        <w:rPr>
          <w:rFonts w:hint="default"/>
          <w:highlight w:val="none"/>
          <w:lang w:val="en-US" w:eastAsia="zh-CN"/>
        </w:rPr>
      </w:pPr>
      <w:r>
        <w:rPr>
          <w:rFonts w:hint="default"/>
          <w:highlight w:val="none"/>
          <w:lang w:val="en-US" w:eastAsia="zh-CN"/>
        </w:rPr>
        <w:t>氨氮在模拟期内，100天时，下游最大浓度为</w:t>
      </w:r>
      <w:r>
        <w:rPr>
          <w:rFonts w:hint="eastAsia"/>
          <w:highlight w:val="none"/>
          <w:lang w:val="en-US" w:eastAsia="zh-CN"/>
        </w:rPr>
        <w:t>7.97</w:t>
      </w:r>
      <w:r>
        <w:rPr>
          <w:rFonts w:hint="default"/>
          <w:highlight w:val="none"/>
          <w:lang w:val="en-US" w:eastAsia="zh-CN"/>
        </w:rPr>
        <w:t>mg/L，超标最远距离为</w:t>
      </w:r>
      <w:r>
        <w:rPr>
          <w:rFonts w:hint="eastAsia"/>
          <w:highlight w:val="none"/>
          <w:lang w:val="en-US" w:eastAsia="zh-CN"/>
        </w:rPr>
        <w:t>6</w:t>
      </w:r>
      <w:r>
        <w:rPr>
          <w:rFonts w:hint="default"/>
          <w:highlight w:val="none"/>
          <w:lang w:val="en-US" w:eastAsia="zh-CN"/>
        </w:rPr>
        <w:t>m，未超出厂区边界；365天时，下游最大浓度为</w:t>
      </w:r>
      <w:r>
        <w:rPr>
          <w:rFonts w:hint="eastAsia"/>
          <w:highlight w:val="none"/>
          <w:lang w:val="en-US" w:eastAsia="zh-CN"/>
        </w:rPr>
        <w:t>2.17</w:t>
      </w:r>
      <w:r>
        <w:rPr>
          <w:rFonts w:hint="default"/>
          <w:highlight w:val="none"/>
          <w:lang w:val="en-US" w:eastAsia="zh-CN"/>
        </w:rPr>
        <w:t>mg/L，超标最远距离为</w:t>
      </w:r>
      <w:r>
        <w:rPr>
          <w:rFonts w:hint="eastAsia"/>
          <w:highlight w:val="none"/>
          <w:lang w:val="en-US" w:eastAsia="zh-CN"/>
        </w:rPr>
        <w:t>6</w:t>
      </w:r>
      <w:r>
        <w:rPr>
          <w:rFonts w:hint="default"/>
          <w:highlight w:val="none"/>
          <w:lang w:val="en-US" w:eastAsia="zh-CN"/>
        </w:rPr>
        <w:t>m，未超出厂区边界；1000天时，下游最大浓度为</w:t>
      </w:r>
      <w:r>
        <w:rPr>
          <w:rFonts w:hint="eastAsia"/>
          <w:highlight w:val="none"/>
          <w:lang w:val="en-US" w:eastAsia="zh-CN"/>
        </w:rPr>
        <w:t>0.78</w:t>
      </w:r>
      <w:r>
        <w:rPr>
          <w:rFonts w:hint="default"/>
          <w:highlight w:val="none"/>
          <w:lang w:val="en-US" w:eastAsia="zh-CN"/>
        </w:rPr>
        <w:t>mg/L，超标最远距离为</w:t>
      </w:r>
      <w:r>
        <w:rPr>
          <w:rFonts w:hint="eastAsia"/>
          <w:highlight w:val="none"/>
          <w:lang w:val="en-US" w:eastAsia="zh-CN"/>
        </w:rPr>
        <w:t>8</w:t>
      </w:r>
      <w:r>
        <w:rPr>
          <w:rFonts w:hint="default"/>
          <w:highlight w:val="none"/>
          <w:lang w:val="en-US" w:eastAsia="zh-CN"/>
        </w:rPr>
        <w:t>m，未超出厂区边界。</w:t>
      </w:r>
    </w:p>
    <w:p w14:paraId="6B06CD67">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地下水污染防治措施</w:t>
      </w:r>
    </w:p>
    <w:p w14:paraId="523B6028">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1、源头控制</w:t>
      </w:r>
    </w:p>
    <w:p w14:paraId="57E1E6CF">
      <w:pPr>
        <w:spacing w:line="360" w:lineRule="auto"/>
        <w:ind w:firstLine="480" w:firstLineChars="200"/>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从源头上减少污染物排放；严格按照国家相关规范要求，对工艺、设备、污水储存及处理构筑物采取相应的措施，防止和降低污染物的跑、冒、滴、漏，将污染物泄漏的环境风险事故降低到最低程度；优化排水系统设计。</w:t>
      </w:r>
    </w:p>
    <w:p w14:paraId="02C43621">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highlight w:val="none"/>
          <w:u w:val="none" w:color="auto"/>
        </w:rPr>
        <w:t>针对本建设项目地下水污染防治的重点是对污水处理区、污泥处理区等采取相应的防渗措施，并建立完善的风险应急预案、设置合理有效的监测井，加强地下水环境监测，把地下水污染控制在源头或起始阶段，防止有害物质渗入地下水中。</w:t>
      </w:r>
    </w:p>
    <w:p w14:paraId="0A151656">
      <w:pPr>
        <w:spacing w:line="360" w:lineRule="auto"/>
        <w:ind w:firstLine="480"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2、分区防控措施</w:t>
      </w:r>
    </w:p>
    <w:p w14:paraId="381A7194">
      <w:pPr>
        <w:adjustRightInd w:val="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根据本工程的特点，将厂区不同的区域划分为重点防渗区、一般防渗区和简单防渗区。</w:t>
      </w:r>
    </w:p>
    <w:p w14:paraId="0362AB9B">
      <w:pPr>
        <w:adjustRightInd w:val="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①重点防渗区：危险废物暂存间、</w:t>
      </w:r>
      <w:r>
        <w:rPr>
          <w:rFonts w:hint="default" w:ascii="Times New Roman" w:hAnsi="Times New Roman" w:cs="Times New Roman"/>
          <w:color w:val="auto"/>
          <w:sz w:val="24"/>
          <w:szCs w:val="24"/>
          <w:highlight w:val="none"/>
          <w:u w:val="none" w:color="auto"/>
          <w:lang w:eastAsia="zh-CN"/>
        </w:rPr>
        <w:t>危化品仓库</w:t>
      </w:r>
      <w:r>
        <w:rPr>
          <w:rFonts w:hint="default" w:ascii="Times New Roman" w:hAnsi="Times New Roman" w:cs="Times New Roman"/>
          <w:color w:val="auto"/>
          <w:sz w:val="24"/>
          <w:szCs w:val="24"/>
          <w:highlight w:val="none"/>
          <w:u w:val="none" w:color="auto"/>
        </w:rPr>
        <w:t>，铺设2mm厚渗透系数不高于1.0×10</w:t>
      </w:r>
      <w:r>
        <w:rPr>
          <w:rFonts w:hint="eastAsia" w:ascii="Times New Roman" w:hAnsi="Times New Roman" w:cs="Times New Roman"/>
          <w:color w:val="auto"/>
          <w:sz w:val="24"/>
          <w:szCs w:val="24"/>
          <w:highlight w:val="none"/>
          <w:u w:val="none" w:color="auto"/>
          <w:vertAlign w:val="superscript"/>
          <w:lang w:val="en-US" w:eastAsia="zh-CN"/>
        </w:rPr>
        <w:t>-</w:t>
      </w:r>
      <w:r>
        <w:rPr>
          <w:rFonts w:hint="default" w:ascii="Times New Roman" w:hAnsi="Times New Roman" w:cs="Times New Roman"/>
          <w:color w:val="auto"/>
          <w:sz w:val="24"/>
          <w:szCs w:val="24"/>
          <w:highlight w:val="none"/>
          <w:u w:val="none" w:color="auto"/>
          <w:vertAlign w:val="superscript"/>
        </w:rPr>
        <w:t>10</w:t>
      </w:r>
      <w:r>
        <w:rPr>
          <w:rFonts w:hint="default" w:ascii="Times New Roman" w:hAnsi="Times New Roman" w:cs="Times New Roman"/>
          <w:color w:val="auto"/>
          <w:sz w:val="24"/>
          <w:szCs w:val="24"/>
          <w:highlight w:val="none"/>
          <w:u w:val="none" w:color="auto"/>
        </w:rPr>
        <w:t>cm/s的HDPE膜防渗层，上覆保护层，保护层表面涂环氧地坪防腐漆。</w:t>
      </w:r>
    </w:p>
    <w:p w14:paraId="7BD0BA72">
      <w:pPr>
        <w:keepNext w:val="0"/>
        <w:keepLines w:val="0"/>
        <w:widowControl/>
        <w:suppressLineNumbers w:val="0"/>
        <w:jc w:val="both"/>
        <w:rPr>
          <w:rFonts w:hint="default" w:ascii="Times New Roman" w:hAnsi="Times New Roman" w:cs="Times New Roman"/>
          <w:color w:val="auto"/>
          <w:highlight w:val="none"/>
          <w:u w:val="none" w:color="auto"/>
        </w:rPr>
      </w:pPr>
      <w:r>
        <w:rPr>
          <w:rFonts w:hint="default" w:ascii="Times New Roman" w:hAnsi="Times New Roman" w:cs="Times New Roman"/>
          <w:color w:val="auto"/>
          <w:sz w:val="24"/>
          <w:szCs w:val="24"/>
          <w:highlight w:val="none"/>
          <w:u w:val="none" w:color="auto"/>
        </w:rPr>
        <w:t>②一般防渗区：生产车间</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lang w:val="en-US" w:eastAsia="zh-CN"/>
        </w:rPr>
        <w:t>仓库</w:t>
      </w:r>
      <w:r>
        <w:rPr>
          <w:rFonts w:hint="default" w:ascii="Times New Roman" w:hAnsi="Times New Roman" w:cs="Times New Roman"/>
          <w:color w:val="auto"/>
          <w:sz w:val="24"/>
          <w:szCs w:val="24"/>
          <w:highlight w:val="none"/>
          <w:u w:val="none" w:color="auto"/>
        </w:rPr>
        <w:t>其他区域等采用钢筋混凝土防渗，防渗等级为P4（0.78×10</w:t>
      </w:r>
      <w:r>
        <w:rPr>
          <w:rFonts w:hint="eastAsia" w:ascii="Times New Roman" w:hAnsi="Times New Roman" w:cs="Times New Roman"/>
          <w:color w:val="auto"/>
          <w:sz w:val="24"/>
          <w:szCs w:val="24"/>
          <w:highlight w:val="none"/>
          <w:u w:val="none" w:color="auto"/>
          <w:vertAlign w:val="superscript"/>
          <w:lang w:val="en-US" w:eastAsia="zh-CN"/>
        </w:rPr>
        <w:t>-</w:t>
      </w:r>
      <w:r>
        <w:rPr>
          <w:rFonts w:hint="default" w:ascii="Times New Roman" w:hAnsi="Times New Roman" w:cs="Times New Roman"/>
          <w:color w:val="auto"/>
          <w:sz w:val="24"/>
          <w:szCs w:val="24"/>
          <w:highlight w:val="none"/>
          <w:u w:val="none" w:color="auto"/>
          <w:vertAlign w:val="superscript"/>
        </w:rPr>
        <w:t>8</w:t>
      </w:r>
      <w:r>
        <w:rPr>
          <w:rFonts w:hint="default" w:ascii="Times New Roman" w:hAnsi="Times New Roman" w:cs="Times New Roman"/>
          <w:color w:val="auto"/>
          <w:sz w:val="24"/>
          <w:szCs w:val="24"/>
          <w:highlight w:val="none"/>
          <w:u w:val="none" w:color="auto"/>
        </w:rPr>
        <w:t>cm/s），混凝土厚度不低于20cm；</w:t>
      </w:r>
    </w:p>
    <w:p w14:paraId="288A596D">
      <w:pPr>
        <w:keepNext w:val="0"/>
        <w:keepLines w:val="0"/>
        <w:widowControl/>
        <w:suppressLineNumbers w:val="0"/>
        <w:jc w:val="left"/>
        <w:rPr>
          <w:rFonts w:hint="default" w:ascii="Times New Roman" w:hAnsi="Times New Roman" w:cs="Times New Roman"/>
          <w:color w:val="auto"/>
          <w:highlight w:val="none"/>
          <w:u w:val="none" w:color="auto"/>
        </w:rPr>
      </w:pPr>
      <w:r>
        <w:rPr>
          <w:rFonts w:hint="default" w:ascii="Times New Roman" w:hAnsi="Times New Roman" w:eastAsia="宋体" w:cs="Times New Roman"/>
          <w:color w:val="auto"/>
          <w:kern w:val="0"/>
          <w:sz w:val="24"/>
          <w:szCs w:val="24"/>
          <w:highlight w:val="none"/>
          <w:u w:val="none" w:color="auto"/>
          <w:lang w:val="en-US" w:eastAsia="zh-CN" w:bidi="ar"/>
        </w:rPr>
        <w:t>③简单防渗区：厂区道路、办公区、</w:t>
      </w:r>
      <w:r>
        <w:rPr>
          <w:rFonts w:hint="default" w:ascii="Times New Roman" w:hAnsi="Times New Roman" w:cs="Times New Roman"/>
          <w:color w:val="auto"/>
          <w:kern w:val="0"/>
          <w:sz w:val="24"/>
          <w:szCs w:val="24"/>
          <w:highlight w:val="none"/>
          <w:u w:val="none" w:color="auto"/>
          <w:lang w:val="en-US" w:eastAsia="zh-CN" w:bidi="ar"/>
        </w:rPr>
        <w:t>停车场</w:t>
      </w:r>
      <w:r>
        <w:rPr>
          <w:rFonts w:hint="default" w:ascii="Times New Roman" w:hAnsi="Times New Roman" w:eastAsia="宋体" w:cs="Times New Roman"/>
          <w:color w:val="auto"/>
          <w:kern w:val="0"/>
          <w:sz w:val="24"/>
          <w:szCs w:val="24"/>
          <w:highlight w:val="none"/>
          <w:u w:val="none" w:color="auto"/>
          <w:lang w:val="en-US" w:eastAsia="zh-CN" w:bidi="ar"/>
        </w:rPr>
        <w:t>等，铺设</w:t>
      </w:r>
      <w:r>
        <w:rPr>
          <w:rFonts w:hint="default" w:ascii="Times New Roman" w:hAnsi="Times New Roman" w:cs="Times New Roman"/>
          <w:color w:val="auto"/>
          <w:sz w:val="24"/>
          <w:szCs w:val="24"/>
          <w:highlight w:val="none"/>
          <w:u w:val="none" w:color="auto"/>
        </w:rPr>
        <w:t>10</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14cm 的水泥进行硬化</w:t>
      </w:r>
      <w:r>
        <w:rPr>
          <w:rFonts w:hint="default" w:ascii="Times New Roman" w:hAnsi="Times New Roman" w:cs="Times New Roman"/>
          <w:color w:val="auto"/>
          <w:kern w:val="0"/>
          <w:sz w:val="24"/>
          <w:szCs w:val="24"/>
          <w:highlight w:val="none"/>
          <w:u w:val="none" w:color="auto"/>
          <w:lang w:val="en-US" w:eastAsia="zh-CN" w:bidi="ar"/>
        </w:rPr>
        <w:t>。</w:t>
      </w:r>
    </w:p>
    <w:p w14:paraId="52AF5E90">
      <w:pPr>
        <w:ind w:firstLine="480"/>
        <w:jc w:val="left"/>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sz w:val="24"/>
          <w:szCs w:val="24"/>
          <w:highlight w:val="none"/>
          <w:u w:val="none" w:color="auto"/>
        </w:rPr>
        <w:t>经以上防护措施后，可有效防止污染物渗漏污染地下水</w:t>
      </w:r>
      <w:r>
        <w:rPr>
          <w:rFonts w:hint="default" w:ascii="Times New Roman" w:hAnsi="Times New Roman" w:cs="Times New Roman"/>
          <w:color w:val="auto"/>
          <w:sz w:val="24"/>
          <w:szCs w:val="24"/>
          <w:highlight w:val="none"/>
          <w:u w:val="none" w:color="auto"/>
          <w:lang w:eastAsia="zh-CN"/>
        </w:rPr>
        <w:t>。</w:t>
      </w:r>
    </w:p>
    <w:p w14:paraId="1B862310">
      <w:pPr>
        <w:pStyle w:val="6"/>
        <w:bidi w:val="0"/>
        <w:rPr>
          <w:rFonts w:hint="default" w:ascii="Times New Roman" w:hAnsi="Times New Roman" w:cs="Times New Roman"/>
          <w:highlight w:val="none"/>
        </w:rPr>
      </w:pPr>
      <w:r>
        <w:rPr>
          <w:rFonts w:hint="default" w:ascii="Times New Roman" w:hAnsi="Times New Roman" w:cs="Times New Roman"/>
          <w:highlight w:val="none"/>
        </w:rPr>
        <w:t>营运期噪声环境影响分析</w:t>
      </w:r>
      <w:bookmarkEnd w:id="158"/>
    </w:p>
    <w:p w14:paraId="13CC94D6">
      <w:pPr>
        <w:pStyle w:val="7"/>
        <w:bidi w:val="0"/>
        <w:rPr>
          <w:rFonts w:hint="default" w:ascii="Times New Roman" w:hAnsi="Times New Roman" w:cs="Times New Roman"/>
          <w:highlight w:val="none"/>
        </w:rPr>
      </w:pPr>
      <w:bookmarkStart w:id="159" w:name="_Toc20108"/>
      <w:r>
        <w:rPr>
          <w:rFonts w:hint="default" w:ascii="Times New Roman" w:hAnsi="Times New Roman" w:cs="Times New Roman"/>
          <w:highlight w:val="none"/>
        </w:rPr>
        <w:t>噪声源强</w:t>
      </w:r>
    </w:p>
    <w:p w14:paraId="11C20BCB">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污水处理厂噪声主要来自风机房的鼓风机、污水站的各类水泵、污泥泵及脱水机等设备运行时产生的机械噪声，声源强度在70-85dB（A）之间。</w:t>
      </w:r>
    </w:p>
    <w:p w14:paraId="36CC229D">
      <w:pPr>
        <w:spacing w:line="360" w:lineRule="auto"/>
        <w:ind w:firstLine="480" w:firstLineChars="200"/>
        <w:rPr>
          <w:rFonts w:hint="default" w:ascii="Times New Roman" w:hAnsi="Times New Roman" w:cs="Times New Roman"/>
          <w:color w:val="000000"/>
          <w:sz w:val="24"/>
          <w:highlight w:val="none"/>
        </w:rPr>
        <w:sectPr>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5C9824A6">
      <w:pPr>
        <w:pStyle w:val="39"/>
        <w:bidi w:val="0"/>
        <w:rPr>
          <w:rFonts w:hint="default" w:ascii="Times New Roman" w:hAnsi="Times New Roman" w:cs="Times New Roman"/>
          <w:highlight w:val="none"/>
        </w:rPr>
      </w:pPr>
      <w:r>
        <w:rPr>
          <w:rFonts w:hint="default" w:ascii="Times New Roman" w:hAnsi="Times New Roman" w:cs="Times New Roman"/>
          <w:highlight w:val="none"/>
        </w:rPr>
        <w:t>表</w:t>
      </w:r>
      <w:r>
        <w:rPr>
          <w:rFonts w:hint="eastAsia" w:cs="Times New Roman"/>
          <w:highlight w:val="none"/>
          <w:lang w:val="en-US" w:eastAsia="zh-CN"/>
        </w:rPr>
        <w:t>6.2-29</w:t>
      </w:r>
      <w:r>
        <w:rPr>
          <w:rFonts w:hint="default" w:ascii="Times New Roman" w:hAnsi="Times New Roman" w:cs="Times New Roman"/>
          <w:highlight w:val="none"/>
        </w:rPr>
        <w:t xml:space="preserve">  工业企业噪声源强调查清单（室内声源）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441"/>
        <w:gridCol w:w="1167"/>
        <w:gridCol w:w="975"/>
        <w:gridCol w:w="1370"/>
        <w:gridCol w:w="604"/>
        <w:gridCol w:w="604"/>
        <w:gridCol w:w="213"/>
        <w:gridCol w:w="489"/>
        <w:gridCol w:w="489"/>
        <w:gridCol w:w="489"/>
        <w:gridCol w:w="482"/>
        <w:gridCol w:w="442"/>
        <w:gridCol w:w="442"/>
        <w:gridCol w:w="442"/>
        <w:gridCol w:w="441"/>
        <w:gridCol w:w="825"/>
        <w:gridCol w:w="490"/>
        <w:gridCol w:w="490"/>
        <w:gridCol w:w="490"/>
        <w:gridCol w:w="491"/>
        <w:gridCol w:w="393"/>
        <w:gridCol w:w="393"/>
        <w:gridCol w:w="393"/>
        <w:gridCol w:w="393"/>
        <w:gridCol w:w="1178"/>
      </w:tblGrid>
      <w:tr w14:paraId="415C52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vMerge w:val="restart"/>
            <w:tcBorders>
              <w:tl2br w:val="nil"/>
              <w:tr2bl w:val="nil"/>
            </w:tcBorders>
            <w:noWrap/>
            <w:vAlign w:val="center"/>
          </w:tcPr>
          <w:p w14:paraId="0AE7D82E">
            <w:pPr>
              <w:pStyle w:val="42"/>
              <w:keepNext w:val="0"/>
              <w:keepLines w:val="0"/>
              <w:suppressLineNumbers w:val="0"/>
              <w:bidi w:val="0"/>
              <w:spacing w:before="0" w:beforeAutospacing="0" w:after="0" w:afterAutospacing="0"/>
              <w:jc w:val="center"/>
              <w:rPr>
                <w:rFonts w:hint="default"/>
              </w:rPr>
            </w:pPr>
            <w:bookmarkStart w:id="160" w:name="PT_6"/>
            <w:r>
              <w:rPr>
                <w:rFonts w:hint="default"/>
              </w:rPr>
              <w:t>序号</w:t>
            </w:r>
            <w:bookmarkEnd w:id="160"/>
          </w:p>
        </w:tc>
        <w:tc>
          <w:tcPr>
            <w:tcW w:w="1167" w:type="dxa"/>
            <w:vMerge w:val="restart"/>
            <w:tcBorders>
              <w:tl2br w:val="nil"/>
              <w:tr2bl w:val="nil"/>
            </w:tcBorders>
            <w:noWrap/>
            <w:vAlign w:val="center"/>
          </w:tcPr>
          <w:p w14:paraId="5B45E746">
            <w:pPr>
              <w:pStyle w:val="42"/>
              <w:keepNext w:val="0"/>
              <w:keepLines w:val="0"/>
              <w:suppressLineNumbers w:val="0"/>
              <w:bidi w:val="0"/>
              <w:spacing w:before="0" w:beforeAutospacing="0" w:after="0" w:afterAutospacing="0"/>
              <w:jc w:val="center"/>
              <w:rPr>
                <w:rFonts w:hint="default"/>
              </w:rPr>
            </w:pPr>
            <w:r>
              <w:rPr>
                <w:rFonts w:hint="default"/>
              </w:rPr>
              <w:t>建筑物名称</w:t>
            </w:r>
          </w:p>
        </w:tc>
        <w:tc>
          <w:tcPr>
            <w:tcW w:w="975" w:type="dxa"/>
            <w:vMerge w:val="restart"/>
            <w:tcBorders>
              <w:tl2br w:val="nil"/>
              <w:tr2bl w:val="nil"/>
            </w:tcBorders>
            <w:noWrap/>
            <w:vAlign w:val="center"/>
          </w:tcPr>
          <w:p w14:paraId="06F8BC4C">
            <w:pPr>
              <w:pStyle w:val="42"/>
              <w:keepNext w:val="0"/>
              <w:keepLines w:val="0"/>
              <w:suppressLineNumbers w:val="0"/>
              <w:bidi w:val="0"/>
              <w:spacing w:before="0" w:beforeAutospacing="0" w:after="0" w:afterAutospacing="0"/>
              <w:jc w:val="center"/>
              <w:rPr>
                <w:rFonts w:hint="default"/>
              </w:rPr>
            </w:pPr>
            <w:r>
              <w:rPr>
                <w:rFonts w:hint="default"/>
              </w:rPr>
              <w:t>声源名称</w:t>
            </w:r>
          </w:p>
        </w:tc>
        <w:tc>
          <w:tcPr>
            <w:tcW w:w="1370" w:type="dxa"/>
            <w:tcBorders>
              <w:tl2br w:val="nil"/>
              <w:tr2bl w:val="nil"/>
            </w:tcBorders>
            <w:noWrap/>
            <w:vAlign w:val="center"/>
          </w:tcPr>
          <w:p w14:paraId="3B530D63">
            <w:pPr>
              <w:pStyle w:val="42"/>
              <w:keepNext w:val="0"/>
              <w:keepLines w:val="0"/>
              <w:suppressLineNumbers w:val="0"/>
              <w:bidi w:val="0"/>
              <w:spacing w:before="0" w:beforeAutospacing="0" w:after="0" w:afterAutospacing="0"/>
              <w:jc w:val="center"/>
              <w:rPr>
                <w:rFonts w:hint="default"/>
              </w:rPr>
            </w:pPr>
            <w:r>
              <w:rPr>
                <w:rFonts w:hint="default"/>
              </w:rPr>
              <w:t>声源源强</w:t>
            </w:r>
          </w:p>
        </w:tc>
        <w:tc>
          <w:tcPr>
            <w:tcW w:w="1421" w:type="dxa"/>
            <w:gridSpan w:val="3"/>
            <w:tcBorders>
              <w:tl2br w:val="nil"/>
              <w:tr2bl w:val="nil"/>
            </w:tcBorders>
            <w:noWrap/>
            <w:vAlign w:val="center"/>
          </w:tcPr>
          <w:p w14:paraId="1B0C214F">
            <w:pPr>
              <w:pStyle w:val="42"/>
              <w:keepNext w:val="0"/>
              <w:keepLines w:val="0"/>
              <w:suppressLineNumbers w:val="0"/>
              <w:bidi w:val="0"/>
              <w:spacing w:before="0" w:beforeAutospacing="0" w:after="0" w:afterAutospacing="0"/>
              <w:jc w:val="center"/>
              <w:rPr>
                <w:rFonts w:hint="default"/>
              </w:rPr>
            </w:pPr>
            <w:r>
              <w:rPr>
                <w:rFonts w:hint="default"/>
              </w:rPr>
              <w:t>空间相对位置/m</w:t>
            </w:r>
          </w:p>
        </w:tc>
        <w:tc>
          <w:tcPr>
            <w:tcW w:w="1949" w:type="dxa"/>
            <w:gridSpan w:val="4"/>
            <w:tcBorders>
              <w:tl2br w:val="nil"/>
              <w:tr2bl w:val="nil"/>
            </w:tcBorders>
            <w:noWrap/>
            <w:vAlign w:val="center"/>
          </w:tcPr>
          <w:p w14:paraId="2C42F823">
            <w:pPr>
              <w:pStyle w:val="42"/>
              <w:keepNext w:val="0"/>
              <w:keepLines w:val="0"/>
              <w:suppressLineNumbers w:val="0"/>
              <w:bidi w:val="0"/>
              <w:spacing w:before="0" w:beforeAutospacing="0" w:after="0" w:afterAutospacing="0"/>
              <w:jc w:val="center"/>
              <w:rPr>
                <w:rFonts w:hint="default"/>
              </w:rPr>
            </w:pPr>
            <w:r>
              <w:rPr>
                <w:rFonts w:hint="default"/>
              </w:rPr>
              <w:t>距室内边界距离/m</w:t>
            </w:r>
          </w:p>
        </w:tc>
        <w:tc>
          <w:tcPr>
            <w:tcW w:w="1767" w:type="dxa"/>
            <w:gridSpan w:val="4"/>
            <w:tcBorders>
              <w:tl2br w:val="nil"/>
              <w:tr2bl w:val="nil"/>
            </w:tcBorders>
            <w:noWrap/>
            <w:vAlign w:val="center"/>
          </w:tcPr>
          <w:p w14:paraId="6C79E64C">
            <w:pPr>
              <w:pStyle w:val="42"/>
              <w:keepNext w:val="0"/>
              <w:keepLines w:val="0"/>
              <w:suppressLineNumbers w:val="0"/>
              <w:bidi w:val="0"/>
              <w:spacing w:before="0" w:beforeAutospacing="0" w:after="0" w:afterAutospacing="0"/>
              <w:jc w:val="center"/>
              <w:rPr>
                <w:rFonts w:hint="default"/>
              </w:rPr>
            </w:pPr>
            <w:r>
              <w:rPr>
                <w:rFonts w:hint="default"/>
              </w:rPr>
              <w:t>室内边界声级/dB(A)</w:t>
            </w:r>
          </w:p>
        </w:tc>
        <w:tc>
          <w:tcPr>
            <w:tcW w:w="825" w:type="dxa"/>
            <w:vMerge w:val="restart"/>
            <w:tcBorders>
              <w:tl2br w:val="nil"/>
              <w:tr2bl w:val="nil"/>
            </w:tcBorders>
            <w:noWrap/>
            <w:vAlign w:val="center"/>
          </w:tcPr>
          <w:p w14:paraId="02CD924D">
            <w:pPr>
              <w:pStyle w:val="42"/>
              <w:keepNext w:val="0"/>
              <w:keepLines w:val="0"/>
              <w:suppressLineNumbers w:val="0"/>
              <w:bidi w:val="0"/>
              <w:spacing w:before="0" w:beforeAutospacing="0" w:after="0" w:afterAutospacing="0"/>
              <w:jc w:val="center"/>
              <w:rPr>
                <w:rFonts w:hint="default"/>
              </w:rPr>
            </w:pPr>
            <w:r>
              <w:rPr>
                <w:rFonts w:hint="default"/>
              </w:rPr>
              <w:t>运行时段</w:t>
            </w:r>
          </w:p>
        </w:tc>
        <w:tc>
          <w:tcPr>
            <w:tcW w:w="1961" w:type="dxa"/>
            <w:gridSpan w:val="4"/>
            <w:tcBorders>
              <w:tl2br w:val="nil"/>
              <w:tr2bl w:val="nil"/>
            </w:tcBorders>
            <w:noWrap/>
            <w:vAlign w:val="center"/>
          </w:tcPr>
          <w:p w14:paraId="2DF2ED5C">
            <w:pPr>
              <w:pStyle w:val="42"/>
              <w:keepNext w:val="0"/>
              <w:keepLines w:val="0"/>
              <w:suppressLineNumbers w:val="0"/>
              <w:bidi w:val="0"/>
              <w:spacing w:before="0" w:beforeAutospacing="0" w:after="0" w:afterAutospacing="0"/>
              <w:jc w:val="center"/>
              <w:rPr>
                <w:rFonts w:hint="default"/>
              </w:rPr>
            </w:pPr>
            <w:r>
              <w:rPr>
                <w:rFonts w:hint="default"/>
              </w:rPr>
              <w:t>建筑物插入损失/dB(A)</w:t>
            </w:r>
            <w:bookmarkStart w:id="161" w:name="PT_10"/>
            <w:bookmarkEnd w:id="161"/>
          </w:p>
        </w:tc>
        <w:tc>
          <w:tcPr>
            <w:tcW w:w="2750" w:type="dxa"/>
            <w:gridSpan w:val="5"/>
            <w:tcBorders>
              <w:tl2br w:val="nil"/>
              <w:tr2bl w:val="nil"/>
            </w:tcBorders>
            <w:noWrap/>
            <w:vAlign w:val="center"/>
          </w:tcPr>
          <w:p w14:paraId="4669BAA5">
            <w:pPr>
              <w:pStyle w:val="42"/>
              <w:keepNext w:val="0"/>
              <w:keepLines w:val="0"/>
              <w:suppressLineNumbers w:val="0"/>
              <w:bidi w:val="0"/>
              <w:spacing w:before="0" w:beforeAutospacing="0" w:after="0" w:afterAutospacing="0"/>
              <w:jc w:val="center"/>
              <w:rPr>
                <w:rFonts w:hint="default"/>
              </w:rPr>
            </w:pPr>
            <w:r>
              <w:rPr>
                <w:rFonts w:hint="default"/>
              </w:rPr>
              <w:t>建筑物外噪声声压级/dB(A)</w:t>
            </w:r>
          </w:p>
        </w:tc>
      </w:tr>
      <w:tr w14:paraId="01C645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vMerge w:val="continue"/>
            <w:tcBorders>
              <w:tl2br w:val="nil"/>
              <w:tr2bl w:val="nil"/>
            </w:tcBorders>
            <w:noWrap w:val="0"/>
            <w:vAlign w:val="center"/>
          </w:tcPr>
          <w:p w14:paraId="6F843F72">
            <w:pPr>
              <w:pStyle w:val="42"/>
              <w:keepNext w:val="0"/>
              <w:keepLines w:val="0"/>
              <w:suppressLineNumbers w:val="0"/>
              <w:bidi w:val="0"/>
              <w:spacing w:before="0" w:beforeAutospacing="0" w:after="0" w:afterAutospacing="0"/>
              <w:jc w:val="center"/>
              <w:rPr>
                <w:rFonts w:hint="default"/>
              </w:rPr>
            </w:pPr>
          </w:p>
        </w:tc>
        <w:tc>
          <w:tcPr>
            <w:tcW w:w="1167" w:type="dxa"/>
            <w:vMerge w:val="continue"/>
            <w:tcBorders>
              <w:tl2br w:val="nil"/>
              <w:tr2bl w:val="nil"/>
            </w:tcBorders>
            <w:noWrap w:val="0"/>
            <w:vAlign w:val="center"/>
          </w:tcPr>
          <w:p w14:paraId="0B302AF5">
            <w:pPr>
              <w:pStyle w:val="42"/>
              <w:keepNext w:val="0"/>
              <w:keepLines w:val="0"/>
              <w:suppressLineNumbers w:val="0"/>
              <w:bidi w:val="0"/>
              <w:spacing w:before="0" w:beforeAutospacing="0" w:after="0" w:afterAutospacing="0"/>
              <w:jc w:val="center"/>
              <w:rPr>
                <w:rFonts w:hint="default"/>
              </w:rPr>
            </w:pPr>
          </w:p>
        </w:tc>
        <w:tc>
          <w:tcPr>
            <w:tcW w:w="975" w:type="dxa"/>
            <w:vMerge w:val="continue"/>
            <w:tcBorders>
              <w:tl2br w:val="nil"/>
              <w:tr2bl w:val="nil"/>
            </w:tcBorders>
            <w:noWrap w:val="0"/>
            <w:vAlign w:val="center"/>
          </w:tcPr>
          <w:p w14:paraId="63C32104">
            <w:pPr>
              <w:pStyle w:val="42"/>
              <w:keepNext w:val="0"/>
              <w:keepLines w:val="0"/>
              <w:suppressLineNumbers w:val="0"/>
              <w:bidi w:val="0"/>
              <w:spacing w:before="0" w:beforeAutospacing="0" w:after="0" w:afterAutospacing="0"/>
              <w:jc w:val="center"/>
              <w:rPr>
                <w:rFonts w:hint="default"/>
              </w:rPr>
            </w:pPr>
          </w:p>
        </w:tc>
        <w:tc>
          <w:tcPr>
            <w:tcW w:w="1370" w:type="dxa"/>
            <w:tcBorders>
              <w:tl2br w:val="nil"/>
              <w:tr2bl w:val="nil"/>
            </w:tcBorders>
            <w:noWrap/>
            <w:vAlign w:val="center"/>
          </w:tcPr>
          <w:p w14:paraId="2E3CF051">
            <w:pPr>
              <w:pStyle w:val="42"/>
              <w:keepNext w:val="0"/>
              <w:keepLines w:val="0"/>
              <w:suppressLineNumbers w:val="0"/>
              <w:bidi w:val="0"/>
              <w:spacing w:before="0" w:beforeAutospacing="0" w:after="0" w:afterAutospacing="0"/>
              <w:jc w:val="center"/>
              <w:rPr>
                <w:rFonts w:hint="default"/>
              </w:rPr>
            </w:pPr>
            <w:r>
              <w:rPr>
                <w:rFonts w:hint="default"/>
              </w:rPr>
              <w:t>声功率级/</w:t>
            </w:r>
            <w:r>
              <w:rPr>
                <w:rFonts w:hint="default"/>
                <w:lang w:val="en-US" w:eastAsia="zh-CN"/>
              </w:rPr>
              <w:t>d</w:t>
            </w:r>
            <w:r>
              <w:rPr>
                <w:rFonts w:hint="default"/>
              </w:rPr>
              <w:t>B(A)</w:t>
            </w:r>
          </w:p>
        </w:tc>
        <w:tc>
          <w:tcPr>
            <w:tcW w:w="604" w:type="dxa"/>
            <w:tcBorders>
              <w:tl2br w:val="nil"/>
              <w:tr2bl w:val="nil"/>
            </w:tcBorders>
            <w:noWrap/>
            <w:vAlign w:val="center"/>
          </w:tcPr>
          <w:p w14:paraId="247D5D31">
            <w:pPr>
              <w:pStyle w:val="42"/>
              <w:keepNext w:val="0"/>
              <w:keepLines w:val="0"/>
              <w:suppressLineNumbers w:val="0"/>
              <w:bidi w:val="0"/>
              <w:spacing w:before="0" w:beforeAutospacing="0" w:after="0" w:afterAutospacing="0"/>
              <w:jc w:val="center"/>
              <w:rPr>
                <w:rFonts w:hint="default"/>
              </w:rPr>
            </w:pPr>
            <w:r>
              <w:rPr>
                <w:rFonts w:hint="default"/>
              </w:rPr>
              <w:t>X</w:t>
            </w:r>
          </w:p>
        </w:tc>
        <w:tc>
          <w:tcPr>
            <w:tcW w:w="604" w:type="dxa"/>
            <w:tcBorders>
              <w:tl2br w:val="nil"/>
              <w:tr2bl w:val="nil"/>
            </w:tcBorders>
            <w:noWrap/>
            <w:vAlign w:val="center"/>
          </w:tcPr>
          <w:p w14:paraId="4EA96286">
            <w:pPr>
              <w:pStyle w:val="42"/>
              <w:keepNext w:val="0"/>
              <w:keepLines w:val="0"/>
              <w:suppressLineNumbers w:val="0"/>
              <w:bidi w:val="0"/>
              <w:spacing w:before="0" w:beforeAutospacing="0" w:after="0" w:afterAutospacing="0"/>
              <w:jc w:val="center"/>
              <w:rPr>
                <w:rFonts w:hint="default"/>
              </w:rPr>
            </w:pPr>
            <w:r>
              <w:rPr>
                <w:rFonts w:hint="default"/>
              </w:rPr>
              <w:t>Y</w:t>
            </w:r>
          </w:p>
        </w:tc>
        <w:tc>
          <w:tcPr>
            <w:tcW w:w="191" w:type="dxa"/>
            <w:tcBorders>
              <w:tl2br w:val="nil"/>
              <w:tr2bl w:val="nil"/>
            </w:tcBorders>
            <w:noWrap/>
            <w:vAlign w:val="center"/>
          </w:tcPr>
          <w:p w14:paraId="5A6178DF">
            <w:pPr>
              <w:pStyle w:val="42"/>
              <w:keepNext w:val="0"/>
              <w:keepLines w:val="0"/>
              <w:suppressLineNumbers w:val="0"/>
              <w:bidi w:val="0"/>
              <w:spacing w:before="0" w:beforeAutospacing="0" w:after="0" w:afterAutospacing="0"/>
              <w:jc w:val="center"/>
              <w:rPr>
                <w:rFonts w:hint="default"/>
              </w:rPr>
            </w:pPr>
            <w:r>
              <w:rPr>
                <w:rFonts w:hint="default"/>
              </w:rPr>
              <w:t>Z</w:t>
            </w:r>
          </w:p>
        </w:tc>
        <w:tc>
          <w:tcPr>
            <w:tcW w:w="489" w:type="dxa"/>
            <w:tcBorders>
              <w:tl2br w:val="nil"/>
              <w:tr2bl w:val="nil"/>
            </w:tcBorders>
            <w:noWrap/>
            <w:vAlign w:val="center"/>
          </w:tcPr>
          <w:p w14:paraId="5452B168">
            <w:pPr>
              <w:pStyle w:val="42"/>
              <w:keepNext w:val="0"/>
              <w:keepLines w:val="0"/>
              <w:suppressLineNumbers w:val="0"/>
              <w:bidi w:val="0"/>
              <w:spacing w:before="0" w:beforeAutospacing="0" w:after="0" w:afterAutospacing="0"/>
              <w:jc w:val="center"/>
              <w:rPr>
                <w:rFonts w:hint="default"/>
              </w:rPr>
            </w:pPr>
            <w:r>
              <w:rPr>
                <w:rFonts w:hint="default"/>
              </w:rPr>
              <w:t>东</w:t>
            </w:r>
          </w:p>
        </w:tc>
        <w:tc>
          <w:tcPr>
            <w:tcW w:w="489" w:type="dxa"/>
            <w:tcBorders>
              <w:tl2br w:val="nil"/>
              <w:tr2bl w:val="nil"/>
            </w:tcBorders>
            <w:noWrap/>
            <w:vAlign w:val="center"/>
          </w:tcPr>
          <w:p w14:paraId="65A14F65">
            <w:pPr>
              <w:pStyle w:val="42"/>
              <w:keepNext w:val="0"/>
              <w:keepLines w:val="0"/>
              <w:suppressLineNumbers w:val="0"/>
              <w:bidi w:val="0"/>
              <w:spacing w:before="0" w:beforeAutospacing="0" w:after="0" w:afterAutospacing="0"/>
              <w:jc w:val="center"/>
              <w:rPr>
                <w:rFonts w:hint="default"/>
              </w:rPr>
            </w:pPr>
            <w:r>
              <w:rPr>
                <w:rFonts w:hint="default"/>
              </w:rPr>
              <w:t>南</w:t>
            </w:r>
          </w:p>
        </w:tc>
        <w:tc>
          <w:tcPr>
            <w:tcW w:w="489" w:type="dxa"/>
            <w:tcBorders>
              <w:tl2br w:val="nil"/>
              <w:tr2bl w:val="nil"/>
            </w:tcBorders>
            <w:noWrap/>
            <w:vAlign w:val="center"/>
          </w:tcPr>
          <w:p w14:paraId="57553CC0">
            <w:pPr>
              <w:pStyle w:val="42"/>
              <w:keepNext w:val="0"/>
              <w:keepLines w:val="0"/>
              <w:suppressLineNumbers w:val="0"/>
              <w:bidi w:val="0"/>
              <w:spacing w:before="0" w:beforeAutospacing="0" w:after="0" w:afterAutospacing="0"/>
              <w:jc w:val="center"/>
              <w:rPr>
                <w:rFonts w:hint="default"/>
              </w:rPr>
            </w:pPr>
            <w:r>
              <w:rPr>
                <w:rFonts w:hint="default"/>
              </w:rPr>
              <w:t>西</w:t>
            </w:r>
          </w:p>
        </w:tc>
        <w:tc>
          <w:tcPr>
            <w:tcW w:w="482" w:type="dxa"/>
            <w:tcBorders>
              <w:tl2br w:val="nil"/>
              <w:tr2bl w:val="nil"/>
            </w:tcBorders>
            <w:noWrap/>
            <w:vAlign w:val="center"/>
          </w:tcPr>
          <w:p w14:paraId="1784E688">
            <w:pPr>
              <w:pStyle w:val="42"/>
              <w:keepNext w:val="0"/>
              <w:keepLines w:val="0"/>
              <w:suppressLineNumbers w:val="0"/>
              <w:bidi w:val="0"/>
              <w:spacing w:before="0" w:beforeAutospacing="0" w:after="0" w:afterAutospacing="0"/>
              <w:jc w:val="center"/>
              <w:rPr>
                <w:rFonts w:hint="default"/>
              </w:rPr>
            </w:pPr>
            <w:r>
              <w:rPr>
                <w:rFonts w:hint="default"/>
              </w:rPr>
              <w:t>北</w:t>
            </w:r>
          </w:p>
        </w:tc>
        <w:tc>
          <w:tcPr>
            <w:tcW w:w="442" w:type="dxa"/>
            <w:tcBorders>
              <w:tl2br w:val="nil"/>
              <w:tr2bl w:val="nil"/>
            </w:tcBorders>
            <w:noWrap/>
            <w:vAlign w:val="center"/>
          </w:tcPr>
          <w:p w14:paraId="4DF6C41F">
            <w:pPr>
              <w:pStyle w:val="42"/>
              <w:keepNext w:val="0"/>
              <w:keepLines w:val="0"/>
              <w:suppressLineNumbers w:val="0"/>
              <w:bidi w:val="0"/>
              <w:spacing w:before="0" w:beforeAutospacing="0" w:after="0" w:afterAutospacing="0"/>
              <w:jc w:val="center"/>
              <w:rPr>
                <w:rFonts w:hint="default"/>
              </w:rPr>
            </w:pPr>
            <w:r>
              <w:rPr>
                <w:rFonts w:hint="default"/>
              </w:rPr>
              <w:t>东</w:t>
            </w:r>
          </w:p>
        </w:tc>
        <w:tc>
          <w:tcPr>
            <w:tcW w:w="442" w:type="dxa"/>
            <w:tcBorders>
              <w:tl2br w:val="nil"/>
              <w:tr2bl w:val="nil"/>
            </w:tcBorders>
            <w:noWrap/>
            <w:vAlign w:val="center"/>
          </w:tcPr>
          <w:p w14:paraId="158BE049">
            <w:pPr>
              <w:pStyle w:val="42"/>
              <w:keepNext w:val="0"/>
              <w:keepLines w:val="0"/>
              <w:suppressLineNumbers w:val="0"/>
              <w:bidi w:val="0"/>
              <w:spacing w:before="0" w:beforeAutospacing="0" w:after="0" w:afterAutospacing="0"/>
              <w:jc w:val="center"/>
              <w:rPr>
                <w:rFonts w:hint="default"/>
              </w:rPr>
            </w:pPr>
            <w:r>
              <w:rPr>
                <w:rFonts w:hint="default"/>
              </w:rPr>
              <w:t>南</w:t>
            </w:r>
          </w:p>
        </w:tc>
        <w:tc>
          <w:tcPr>
            <w:tcW w:w="442" w:type="dxa"/>
            <w:tcBorders>
              <w:tl2br w:val="nil"/>
              <w:tr2bl w:val="nil"/>
            </w:tcBorders>
            <w:noWrap/>
            <w:vAlign w:val="center"/>
          </w:tcPr>
          <w:p w14:paraId="396C41DE">
            <w:pPr>
              <w:pStyle w:val="42"/>
              <w:keepNext w:val="0"/>
              <w:keepLines w:val="0"/>
              <w:suppressLineNumbers w:val="0"/>
              <w:bidi w:val="0"/>
              <w:spacing w:before="0" w:beforeAutospacing="0" w:after="0" w:afterAutospacing="0"/>
              <w:jc w:val="center"/>
              <w:rPr>
                <w:rFonts w:hint="default"/>
              </w:rPr>
            </w:pPr>
            <w:r>
              <w:rPr>
                <w:rFonts w:hint="default"/>
              </w:rPr>
              <w:t>西</w:t>
            </w:r>
          </w:p>
        </w:tc>
        <w:tc>
          <w:tcPr>
            <w:tcW w:w="441" w:type="dxa"/>
            <w:tcBorders>
              <w:tl2br w:val="nil"/>
              <w:tr2bl w:val="nil"/>
            </w:tcBorders>
            <w:noWrap/>
            <w:vAlign w:val="center"/>
          </w:tcPr>
          <w:p w14:paraId="16EBDC65">
            <w:pPr>
              <w:pStyle w:val="42"/>
              <w:keepNext w:val="0"/>
              <w:keepLines w:val="0"/>
              <w:suppressLineNumbers w:val="0"/>
              <w:bidi w:val="0"/>
              <w:spacing w:before="0" w:beforeAutospacing="0" w:after="0" w:afterAutospacing="0"/>
              <w:jc w:val="center"/>
              <w:rPr>
                <w:rFonts w:hint="default"/>
              </w:rPr>
            </w:pPr>
            <w:r>
              <w:rPr>
                <w:rFonts w:hint="default"/>
              </w:rPr>
              <w:t>北</w:t>
            </w:r>
          </w:p>
        </w:tc>
        <w:tc>
          <w:tcPr>
            <w:tcW w:w="825" w:type="dxa"/>
            <w:vMerge w:val="continue"/>
            <w:tcBorders>
              <w:tl2br w:val="nil"/>
              <w:tr2bl w:val="nil"/>
            </w:tcBorders>
            <w:noWrap w:val="0"/>
            <w:vAlign w:val="center"/>
          </w:tcPr>
          <w:p w14:paraId="69E91B52">
            <w:pPr>
              <w:pStyle w:val="42"/>
              <w:keepNext w:val="0"/>
              <w:keepLines w:val="0"/>
              <w:suppressLineNumbers w:val="0"/>
              <w:bidi w:val="0"/>
              <w:spacing w:before="0" w:beforeAutospacing="0" w:after="0" w:afterAutospacing="0"/>
              <w:jc w:val="center"/>
              <w:rPr>
                <w:rFonts w:hint="default"/>
              </w:rPr>
            </w:pPr>
          </w:p>
        </w:tc>
        <w:tc>
          <w:tcPr>
            <w:tcW w:w="490" w:type="dxa"/>
            <w:tcBorders>
              <w:tl2br w:val="nil"/>
              <w:tr2bl w:val="nil"/>
            </w:tcBorders>
            <w:noWrap/>
            <w:tcMar>
              <w:top w:w="0" w:type="dxa"/>
              <w:left w:w="0" w:type="dxa"/>
              <w:bottom w:w="0" w:type="dxa"/>
              <w:right w:w="0" w:type="dxa"/>
            </w:tcMar>
            <w:vAlign w:val="center"/>
          </w:tcPr>
          <w:p w14:paraId="7F39B9A8">
            <w:pPr>
              <w:pStyle w:val="42"/>
              <w:keepNext w:val="0"/>
              <w:keepLines w:val="0"/>
              <w:suppressLineNumbers w:val="0"/>
              <w:bidi w:val="0"/>
              <w:spacing w:before="0" w:beforeAutospacing="0" w:after="0" w:afterAutospacing="0"/>
              <w:jc w:val="center"/>
              <w:rPr>
                <w:rFonts w:hint="default"/>
              </w:rPr>
            </w:pPr>
            <w:r>
              <w:rPr>
                <w:rFonts w:hint="default"/>
              </w:rPr>
              <w:t>东</w:t>
            </w:r>
          </w:p>
        </w:tc>
        <w:tc>
          <w:tcPr>
            <w:tcW w:w="490" w:type="dxa"/>
            <w:tcBorders>
              <w:tl2br w:val="nil"/>
              <w:tr2bl w:val="nil"/>
            </w:tcBorders>
            <w:noWrap/>
            <w:tcMar>
              <w:top w:w="0" w:type="dxa"/>
              <w:left w:w="0" w:type="dxa"/>
              <w:bottom w:w="0" w:type="dxa"/>
              <w:right w:w="0" w:type="dxa"/>
            </w:tcMar>
            <w:vAlign w:val="center"/>
          </w:tcPr>
          <w:p w14:paraId="167F28FC">
            <w:pPr>
              <w:pStyle w:val="42"/>
              <w:keepNext w:val="0"/>
              <w:keepLines w:val="0"/>
              <w:suppressLineNumbers w:val="0"/>
              <w:bidi w:val="0"/>
              <w:spacing w:before="0" w:beforeAutospacing="0" w:after="0" w:afterAutospacing="0"/>
              <w:jc w:val="center"/>
              <w:rPr>
                <w:rFonts w:hint="default"/>
              </w:rPr>
            </w:pPr>
            <w:r>
              <w:rPr>
                <w:rFonts w:hint="default"/>
              </w:rPr>
              <w:t>南</w:t>
            </w:r>
          </w:p>
        </w:tc>
        <w:tc>
          <w:tcPr>
            <w:tcW w:w="490" w:type="dxa"/>
            <w:tcBorders>
              <w:tl2br w:val="nil"/>
              <w:tr2bl w:val="nil"/>
            </w:tcBorders>
            <w:noWrap/>
            <w:tcMar>
              <w:top w:w="0" w:type="dxa"/>
              <w:left w:w="0" w:type="dxa"/>
              <w:bottom w:w="0" w:type="dxa"/>
              <w:right w:w="0" w:type="dxa"/>
            </w:tcMar>
            <w:vAlign w:val="center"/>
          </w:tcPr>
          <w:p w14:paraId="4CE21EC2">
            <w:pPr>
              <w:pStyle w:val="42"/>
              <w:keepNext w:val="0"/>
              <w:keepLines w:val="0"/>
              <w:suppressLineNumbers w:val="0"/>
              <w:bidi w:val="0"/>
              <w:spacing w:before="0" w:beforeAutospacing="0" w:after="0" w:afterAutospacing="0"/>
              <w:jc w:val="center"/>
              <w:rPr>
                <w:rFonts w:hint="default"/>
              </w:rPr>
            </w:pPr>
            <w:r>
              <w:rPr>
                <w:rFonts w:hint="default"/>
              </w:rPr>
              <w:t>西</w:t>
            </w:r>
          </w:p>
        </w:tc>
        <w:tc>
          <w:tcPr>
            <w:tcW w:w="491" w:type="dxa"/>
            <w:tcBorders>
              <w:tl2br w:val="nil"/>
              <w:tr2bl w:val="nil"/>
            </w:tcBorders>
            <w:noWrap/>
            <w:tcMar>
              <w:top w:w="0" w:type="dxa"/>
              <w:left w:w="0" w:type="dxa"/>
              <w:bottom w:w="0" w:type="dxa"/>
              <w:right w:w="0" w:type="dxa"/>
            </w:tcMar>
            <w:vAlign w:val="center"/>
          </w:tcPr>
          <w:p w14:paraId="748787D9">
            <w:pPr>
              <w:pStyle w:val="42"/>
              <w:keepNext w:val="0"/>
              <w:keepLines w:val="0"/>
              <w:suppressLineNumbers w:val="0"/>
              <w:bidi w:val="0"/>
              <w:spacing w:before="0" w:beforeAutospacing="0" w:after="0" w:afterAutospacing="0"/>
              <w:jc w:val="center"/>
              <w:rPr>
                <w:rFonts w:hint="default"/>
              </w:rPr>
            </w:pPr>
            <w:r>
              <w:rPr>
                <w:rFonts w:hint="default"/>
              </w:rPr>
              <w:t>北</w:t>
            </w:r>
          </w:p>
        </w:tc>
        <w:tc>
          <w:tcPr>
            <w:tcW w:w="393" w:type="dxa"/>
            <w:tcBorders>
              <w:tl2br w:val="nil"/>
              <w:tr2bl w:val="nil"/>
            </w:tcBorders>
            <w:noWrap/>
            <w:tcMar>
              <w:top w:w="0" w:type="dxa"/>
              <w:left w:w="0" w:type="dxa"/>
              <w:bottom w:w="0" w:type="dxa"/>
              <w:right w:w="0" w:type="dxa"/>
            </w:tcMar>
            <w:vAlign w:val="center"/>
          </w:tcPr>
          <w:p w14:paraId="44194A81">
            <w:pPr>
              <w:pStyle w:val="42"/>
              <w:keepNext w:val="0"/>
              <w:keepLines w:val="0"/>
              <w:suppressLineNumbers w:val="0"/>
              <w:bidi w:val="0"/>
              <w:spacing w:before="0" w:beforeAutospacing="0" w:after="0" w:afterAutospacing="0"/>
              <w:jc w:val="center"/>
              <w:rPr>
                <w:rFonts w:hint="default"/>
              </w:rPr>
            </w:pPr>
            <w:r>
              <w:rPr>
                <w:rFonts w:hint="default"/>
              </w:rPr>
              <w:t>东</w:t>
            </w:r>
          </w:p>
        </w:tc>
        <w:tc>
          <w:tcPr>
            <w:tcW w:w="393" w:type="dxa"/>
            <w:tcBorders>
              <w:tl2br w:val="nil"/>
              <w:tr2bl w:val="nil"/>
            </w:tcBorders>
            <w:noWrap/>
            <w:tcMar>
              <w:top w:w="0" w:type="dxa"/>
              <w:left w:w="0" w:type="dxa"/>
              <w:bottom w:w="0" w:type="dxa"/>
              <w:right w:w="0" w:type="dxa"/>
            </w:tcMar>
            <w:vAlign w:val="center"/>
          </w:tcPr>
          <w:p w14:paraId="4DB1F2D3">
            <w:pPr>
              <w:pStyle w:val="42"/>
              <w:keepNext w:val="0"/>
              <w:keepLines w:val="0"/>
              <w:suppressLineNumbers w:val="0"/>
              <w:bidi w:val="0"/>
              <w:spacing w:before="0" w:beforeAutospacing="0" w:after="0" w:afterAutospacing="0"/>
              <w:jc w:val="center"/>
              <w:rPr>
                <w:rFonts w:hint="default"/>
              </w:rPr>
            </w:pPr>
            <w:r>
              <w:rPr>
                <w:rFonts w:hint="default"/>
              </w:rPr>
              <w:t>南</w:t>
            </w:r>
          </w:p>
        </w:tc>
        <w:tc>
          <w:tcPr>
            <w:tcW w:w="393" w:type="dxa"/>
            <w:tcBorders>
              <w:tl2br w:val="nil"/>
              <w:tr2bl w:val="nil"/>
            </w:tcBorders>
            <w:noWrap/>
            <w:tcMar>
              <w:top w:w="0" w:type="dxa"/>
              <w:left w:w="0" w:type="dxa"/>
              <w:bottom w:w="0" w:type="dxa"/>
              <w:right w:w="0" w:type="dxa"/>
            </w:tcMar>
            <w:vAlign w:val="center"/>
          </w:tcPr>
          <w:p w14:paraId="2EA69D52">
            <w:pPr>
              <w:pStyle w:val="42"/>
              <w:keepNext w:val="0"/>
              <w:keepLines w:val="0"/>
              <w:suppressLineNumbers w:val="0"/>
              <w:bidi w:val="0"/>
              <w:spacing w:before="0" w:beforeAutospacing="0" w:after="0" w:afterAutospacing="0"/>
              <w:jc w:val="center"/>
              <w:rPr>
                <w:rFonts w:hint="default"/>
              </w:rPr>
            </w:pPr>
            <w:r>
              <w:rPr>
                <w:rFonts w:hint="default"/>
              </w:rPr>
              <w:t>西</w:t>
            </w:r>
          </w:p>
        </w:tc>
        <w:tc>
          <w:tcPr>
            <w:tcW w:w="393" w:type="dxa"/>
            <w:tcBorders>
              <w:tl2br w:val="nil"/>
              <w:tr2bl w:val="nil"/>
            </w:tcBorders>
            <w:noWrap/>
            <w:tcMar>
              <w:top w:w="0" w:type="dxa"/>
              <w:left w:w="0" w:type="dxa"/>
              <w:bottom w:w="0" w:type="dxa"/>
              <w:right w:w="0" w:type="dxa"/>
            </w:tcMar>
            <w:vAlign w:val="center"/>
          </w:tcPr>
          <w:p w14:paraId="0745062B">
            <w:pPr>
              <w:pStyle w:val="42"/>
              <w:keepNext w:val="0"/>
              <w:keepLines w:val="0"/>
              <w:suppressLineNumbers w:val="0"/>
              <w:bidi w:val="0"/>
              <w:spacing w:before="0" w:beforeAutospacing="0" w:after="0" w:afterAutospacing="0"/>
              <w:jc w:val="center"/>
              <w:rPr>
                <w:rFonts w:hint="default"/>
              </w:rPr>
            </w:pPr>
            <w:r>
              <w:rPr>
                <w:rFonts w:hint="default"/>
              </w:rPr>
              <w:t>北</w:t>
            </w:r>
          </w:p>
        </w:tc>
        <w:tc>
          <w:tcPr>
            <w:tcW w:w="1178" w:type="dxa"/>
            <w:tcBorders>
              <w:tl2br w:val="nil"/>
              <w:tr2bl w:val="nil"/>
            </w:tcBorders>
            <w:noWrap/>
            <w:tcMar>
              <w:top w:w="0" w:type="dxa"/>
              <w:left w:w="0" w:type="dxa"/>
              <w:bottom w:w="0" w:type="dxa"/>
              <w:right w:w="0" w:type="dxa"/>
            </w:tcMar>
            <w:vAlign w:val="center"/>
          </w:tcPr>
          <w:p w14:paraId="23F5F114">
            <w:pPr>
              <w:pStyle w:val="42"/>
              <w:keepNext w:val="0"/>
              <w:keepLines w:val="0"/>
              <w:suppressLineNumbers w:val="0"/>
              <w:bidi w:val="0"/>
              <w:spacing w:before="0" w:beforeAutospacing="0" w:after="0" w:afterAutospacing="0"/>
              <w:jc w:val="center"/>
              <w:rPr>
                <w:rFonts w:hint="default"/>
              </w:rPr>
            </w:pPr>
            <w:r>
              <w:rPr>
                <w:rFonts w:hint="default"/>
              </w:rPr>
              <w:t>建筑物外距离</w:t>
            </w:r>
          </w:p>
        </w:tc>
      </w:tr>
      <w:tr w14:paraId="0FE53A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71ED9C64">
            <w:pPr>
              <w:pStyle w:val="42"/>
              <w:keepNext w:val="0"/>
              <w:keepLines w:val="0"/>
              <w:suppressLineNumbers w:val="0"/>
              <w:bidi w:val="0"/>
              <w:spacing w:before="0" w:beforeAutospacing="0" w:after="0" w:afterAutospacing="0"/>
              <w:jc w:val="center"/>
              <w:rPr>
                <w:rFonts w:hint="default"/>
              </w:rPr>
            </w:pPr>
            <w:r>
              <w:rPr>
                <w:rFonts w:hint="default"/>
              </w:rPr>
              <w:t>1</w:t>
            </w:r>
          </w:p>
        </w:tc>
        <w:tc>
          <w:tcPr>
            <w:tcW w:w="1167" w:type="dxa"/>
            <w:tcBorders>
              <w:tl2br w:val="nil"/>
              <w:tr2bl w:val="nil"/>
            </w:tcBorders>
            <w:noWrap/>
            <w:tcMar>
              <w:top w:w="0" w:type="dxa"/>
              <w:left w:w="0" w:type="dxa"/>
              <w:bottom w:w="0" w:type="dxa"/>
              <w:right w:w="0" w:type="dxa"/>
            </w:tcMar>
            <w:vAlign w:val="center"/>
          </w:tcPr>
          <w:p w14:paraId="560A34AD">
            <w:pPr>
              <w:pStyle w:val="42"/>
              <w:keepNext w:val="0"/>
              <w:keepLines w:val="0"/>
              <w:suppressLineNumbers w:val="0"/>
              <w:bidi w:val="0"/>
              <w:spacing w:before="0" w:beforeAutospacing="0" w:after="0" w:afterAutospacing="0"/>
              <w:jc w:val="center"/>
              <w:rPr>
                <w:rFonts w:hint="default"/>
                <w:lang w:val="en-US" w:eastAsia="zh-CN"/>
              </w:rPr>
            </w:pPr>
            <w:r>
              <w:rPr>
                <w:rFonts w:hint="default"/>
              </w:rPr>
              <w:t>风机房</w:t>
            </w:r>
          </w:p>
        </w:tc>
        <w:tc>
          <w:tcPr>
            <w:tcW w:w="975" w:type="dxa"/>
            <w:tcBorders>
              <w:tl2br w:val="nil"/>
              <w:tr2bl w:val="nil"/>
            </w:tcBorders>
            <w:shd w:val="clear" w:color="auto" w:fill="auto"/>
            <w:noWrap/>
            <w:tcMar>
              <w:top w:w="0" w:type="dxa"/>
              <w:left w:w="0" w:type="dxa"/>
              <w:bottom w:w="0" w:type="dxa"/>
              <w:right w:w="0" w:type="dxa"/>
            </w:tcMar>
            <w:vAlign w:val="center"/>
          </w:tcPr>
          <w:p w14:paraId="6A043E2E">
            <w:pPr>
              <w:pStyle w:val="42"/>
              <w:keepNext w:val="0"/>
              <w:keepLines w:val="0"/>
              <w:suppressLineNumbers w:val="0"/>
              <w:bidi w:val="0"/>
              <w:spacing w:before="0" w:beforeAutospacing="0" w:after="0" w:afterAutospacing="0"/>
              <w:jc w:val="center"/>
              <w:rPr>
                <w:rFonts w:hint="default"/>
                <w:lang w:val="en-US" w:eastAsia="zh-CN"/>
              </w:rPr>
            </w:pPr>
            <w:r>
              <w:rPr>
                <w:rFonts w:hint="default"/>
              </w:rPr>
              <w:t>鼓风机</w:t>
            </w:r>
          </w:p>
        </w:tc>
        <w:tc>
          <w:tcPr>
            <w:tcW w:w="1370" w:type="dxa"/>
            <w:tcBorders>
              <w:tl2br w:val="nil"/>
              <w:tr2bl w:val="nil"/>
            </w:tcBorders>
            <w:shd w:val="clear" w:color="auto" w:fill="auto"/>
            <w:noWrap/>
            <w:tcMar>
              <w:top w:w="0" w:type="dxa"/>
              <w:left w:w="0" w:type="dxa"/>
              <w:bottom w:w="0" w:type="dxa"/>
              <w:right w:w="0" w:type="dxa"/>
            </w:tcMar>
            <w:vAlign w:val="center"/>
          </w:tcPr>
          <w:p w14:paraId="4C0CAA5E">
            <w:pPr>
              <w:pStyle w:val="42"/>
              <w:keepNext w:val="0"/>
              <w:keepLines w:val="0"/>
              <w:suppressLineNumbers w:val="0"/>
              <w:bidi w:val="0"/>
              <w:spacing w:before="0" w:beforeAutospacing="0" w:after="0" w:afterAutospacing="0"/>
              <w:jc w:val="center"/>
              <w:rPr>
                <w:rFonts w:hint="default"/>
                <w:lang w:val="en-US" w:eastAsia="zh-CN"/>
              </w:rPr>
            </w:pPr>
            <w:r>
              <w:rPr>
                <w:rFonts w:hint="default"/>
              </w:rPr>
              <w:t>85</w:t>
            </w:r>
          </w:p>
        </w:tc>
        <w:tc>
          <w:tcPr>
            <w:tcW w:w="604" w:type="dxa"/>
            <w:tcBorders>
              <w:tl2br w:val="nil"/>
              <w:tr2bl w:val="nil"/>
            </w:tcBorders>
            <w:noWrap/>
            <w:tcMar>
              <w:top w:w="0" w:type="dxa"/>
              <w:left w:w="0" w:type="dxa"/>
              <w:bottom w:w="0" w:type="dxa"/>
              <w:right w:w="0" w:type="dxa"/>
            </w:tcMar>
            <w:vAlign w:val="center"/>
          </w:tcPr>
          <w:p w14:paraId="7CD14B5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27.39</w:t>
            </w:r>
          </w:p>
        </w:tc>
        <w:tc>
          <w:tcPr>
            <w:tcW w:w="604" w:type="dxa"/>
            <w:tcBorders>
              <w:tl2br w:val="nil"/>
              <w:tr2bl w:val="nil"/>
            </w:tcBorders>
            <w:noWrap/>
            <w:tcMar>
              <w:top w:w="0" w:type="dxa"/>
              <w:left w:w="0" w:type="dxa"/>
              <w:bottom w:w="0" w:type="dxa"/>
              <w:right w:w="0" w:type="dxa"/>
            </w:tcMar>
            <w:vAlign w:val="center"/>
          </w:tcPr>
          <w:p w14:paraId="288E0AE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34.19</w:t>
            </w:r>
          </w:p>
        </w:tc>
        <w:tc>
          <w:tcPr>
            <w:tcW w:w="191" w:type="dxa"/>
            <w:tcBorders>
              <w:tl2br w:val="nil"/>
              <w:tr2bl w:val="nil"/>
            </w:tcBorders>
            <w:noWrap/>
            <w:tcMar>
              <w:top w:w="0" w:type="dxa"/>
              <w:left w:w="0" w:type="dxa"/>
              <w:bottom w:w="0" w:type="dxa"/>
              <w:right w:w="0" w:type="dxa"/>
            </w:tcMar>
            <w:vAlign w:val="center"/>
          </w:tcPr>
          <w:p w14:paraId="3F1627A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3F333EB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19.78</w:t>
            </w:r>
          </w:p>
        </w:tc>
        <w:tc>
          <w:tcPr>
            <w:tcW w:w="489" w:type="dxa"/>
            <w:tcBorders>
              <w:tl2br w:val="nil"/>
              <w:tr2bl w:val="nil"/>
            </w:tcBorders>
            <w:noWrap/>
            <w:tcMar>
              <w:top w:w="0" w:type="dxa"/>
              <w:left w:w="0" w:type="dxa"/>
              <w:bottom w:w="0" w:type="dxa"/>
              <w:right w:w="0" w:type="dxa"/>
            </w:tcMar>
            <w:vAlign w:val="center"/>
          </w:tcPr>
          <w:p w14:paraId="5249C5A1">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18.66</w:t>
            </w:r>
          </w:p>
        </w:tc>
        <w:tc>
          <w:tcPr>
            <w:tcW w:w="489" w:type="dxa"/>
            <w:tcBorders>
              <w:tl2br w:val="nil"/>
              <w:tr2bl w:val="nil"/>
            </w:tcBorders>
            <w:noWrap/>
            <w:tcMar>
              <w:top w:w="0" w:type="dxa"/>
              <w:left w:w="0" w:type="dxa"/>
              <w:bottom w:w="0" w:type="dxa"/>
              <w:right w:w="0" w:type="dxa"/>
            </w:tcMar>
            <w:vAlign w:val="center"/>
          </w:tcPr>
          <w:p w14:paraId="35804F8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38.14</w:t>
            </w:r>
          </w:p>
        </w:tc>
        <w:tc>
          <w:tcPr>
            <w:tcW w:w="482" w:type="dxa"/>
            <w:tcBorders>
              <w:tl2br w:val="nil"/>
              <w:tr2bl w:val="nil"/>
            </w:tcBorders>
            <w:noWrap/>
            <w:tcMar>
              <w:top w:w="0" w:type="dxa"/>
              <w:left w:w="0" w:type="dxa"/>
              <w:bottom w:w="0" w:type="dxa"/>
              <w:right w:w="0" w:type="dxa"/>
            </w:tcMar>
            <w:vAlign w:val="center"/>
          </w:tcPr>
          <w:p w14:paraId="043F6FD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1.49</w:t>
            </w:r>
          </w:p>
        </w:tc>
        <w:tc>
          <w:tcPr>
            <w:tcW w:w="442" w:type="dxa"/>
            <w:tcBorders>
              <w:tl2br w:val="nil"/>
              <w:tr2bl w:val="nil"/>
            </w:tcBorders>
            <w:noWrap/>
            <w:tcMar>
              <w:top w:w="0" w:type="dxa"/>
              <w:left w:w="0" w:type="dxa"/>
              <w:bottom w:w="0" w:type="dxa"/>
              <w:right w:w="0" w:type="dxa"/>
            </w:tcMar>
            <w:vAlign w:val="center"/>
          </w:tcPr>
          <w:p w14:paraId="47C7023F">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59.1</w:t>
            </w:r>
          </w:p>
        </w:tc>
        <w:tc>
          <w:tcPr>
            <w:tcW w:w="442" w:type="dxa"/>
            <w:tcBorders>
              <w:tl2br w:val="nil"/>
              <w:tr2bl w:val="nil"/>
            </w:tcBorders>
            <w:noWrap/>
            <w:tcMar>
              <w:top w:w="0" w:type="dxa"/>
              <w:left w:w="0" w:type="dxa"/>
              <w:bottom w:w="0" w:type="dxa"/>
              <w:right w:w="0" w:type="dxa"/>
            </w:tcMar>
            <w:vAlign w:val="center"/>
          </w:tcPr>
          <w:p w14:paraId="5E30CE36">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59.6</w:t>
            </w:r>
          </w:p>
        </w:tc>
        <w:tc>
          <w:tcPr>
            <w:tcW w:w="442" w:type="dxa"/>
            <w:tcBorders>
              <w:tl2br w:val="nil"/>
              <w:tr2bl w:val="nil"/>
            </w:tcBorders>
            <w:noWrap/>
            <w:tcMar>
              <w:top w:w="0" w:type="dxa"/>
              <w:left w:w="0" w:type="dxa"/>
              <w:bottom w:w="0" w:type="dxa"/>
              <w:right w:w="0" w:type="dxa"/>
            </w:tcMar>
            <w:vAlign w:val="center"/>
          </w:tcPr>
          <w:p w14:paraId="7D579C15">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53.4</w:t>
            </w:r>
          </w:p>
        </w:tc>
        <w:tc>
          <w:tcPr>
            <w:tcW w:w="441" w:type="dxa"/>
            <w:tcBorders>
              <w:tl2br w:val="nil"/>
              <w:tr2bl w:val="nil"/>
            </w:tcBorders>
            <w:noWrap/>
            <w:tcMar>
              <w:top w:w="0" w:type="dxa"/>
              <w:left w:w="0" w:type="dxa"/>
              <w:bottom w:w="0" w:type="dxa"/>
              <w:right w:w="0" w:type="dxa"/>
            </w:tcMar>
            <w:vAlign w:val="center"/>
          </w:tcPr>
          <w:p w14:paraId="64D43B2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81.5</w:t>
            </w:r>
          </w:p>
        </w:tc>
        <w:tc>
          <w:tcPr>
            <w:tcW w:w="825" w:type="dxa"/>
            <w:tcBorders>
              <w:tl2br w:val="nil"/>
              <w:tr2bl w:val="nil"/>
            </w:tcBorders>
            <w:noWrap/>
            <w:tcMar>
              <w:top w:w="0" w:type="dxa"/>
              <w:left w:w="0" w:type="dxa"/>
              <w:bottom w:w="0" w:type="dxa"/>
              <w:right w:w="0" w:type="dxa"/>
            </w:tcMar>
            <w:vAlign w:val="center"/>
          </w:tcPr>
          <w:p w14:paraId="219CA46A">
            <w:pPr>
              <w:pStyle w:val="42"/>
              <w:keepNext w:val="0"/>
              <w:keepLines w:val="0"/>
              <w:suppressLineNumbers w:val="0"/>
              <w:bidi w:val="0"/>
              <w:spacing w:before="0" w:beforeAutospacing="0" w:after="0" w:afterAutospacing="0"/>
              <w:jc w:val="center"/>
              <w:rPr>
                <w:rFonts w:hint="default"/>
                <w:lang w:val="en-US" w:eastAsia="zh-CN"/>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3D3C9AA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2E68F72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5954263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0CC6691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77145458">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39.1</w:t>
            </w:r>
          </w:p>
        </w:tc>
        <w:tc>
          <w:tcPr>
            <w:tcW w:w="393" w:type="dxa"/>
            <w:tcBorders>
              <w:tl2br w:val="nil"/>
              <w:tr2bl w:val="nil"/>
            </w:tcBorders>
            <w:noWrap/>
            <w:tcMar>
              <w:top w:w="0" w:type="dxa"/>
              <w:left w:w="0" w:type="dxa"/>
              <w:bottom w:w="0" w:type="dxa"/>
              <w:right w:w="0" w:type="dxa"/>
            </w:tcMar>
            <w:vAlign w:val="center"/>
          </w:tcPr>
          <w:p w14:paraId="4022601B">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39.6</w:t>
            </w:r>
          </w:p>
        </w:tc>
        <w:tc>
          <w:tcPr>
            <w:tcW w:w="393" w:type="dxa"/>
            <w:tcBorders>
              <w:tl2br w:val="nil"/>
              <w:tr2bl w:val="nil"/>
            </w:tcBorders>
            <w:noWrap/>
            <w:tcMar>
              <w:top w:w="0" w:type="dxa"/>
              <w:left w:w="0" w:type="dxa"/>
              <w:bottom w:w="0" w:type="dxa"/>
              <w:right w:w="0" w:type="dxa"/>
            </w:tcMar>
            <w:vAlign w:val="center"/>
          </w:tcPr>
          <w:p w14:paraId="574FFFE3">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33.4</w:t>
            </w:r>
          </w:p>
        </w:tc>
        <w:tc>
          <w:tcPr>
            <w:tcW w:w="393" w:type="dxa"/>
            <w:tcBorders>
              <w:tl2br w:val="nil"/>
              <w:tr2bl w:val="nil"/>
            </w:tcBorders>
            <w:noWrap/>
            <w:tcMar>
              <w:top w:w="0" w:type="dxa"/>
              <w:left w:w="0" w:type="dxa"/>
              <w:bottom w:w="0" w:type="dxa"/>
              <w:right w:w="0" w:type="dxa"/>
            </w:tcMar>
            <w:vAlign w:val="center"/>
          </w:tcPr>
          <w:p w14:paraId="6BF36F6E">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61.5</w:t>
            </w:r>
          </w:p>
        </w:tc>
        <w:tc>
          <w:tcPr>
            <w:tcW w:w="1178" w:type="dxa"/>
            <w:tcBorders>
              <w:tl2br w:val="nil"/>
              <w:tr2bl w:val="nil"/>
            </w:tcBorders>
            <w:noWrap/>
            <w:tcMar>
              <w:top w:w="0" w:type="dxa"/>
              <w:left w:w="0" w:type="dxa"/>
              <w:bottom w:w="0" w:type="dxa"/>
              <w:right w:w="0" w:type="dxa"/>
            </w:tcMar>
            <w:vAlign w:val="center"/>
          </w:tcPr>
          <w:p w14:paraId="57B2C029">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1</w:t>
            </w:r>
          </w:p>
        </w:tc>
      </w:tr>
      <w:tr w14:paraId="36594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24279076">
            <w:pPr>
              <w:pStyle w:val="42"/>
              <w:keepNext w:val="0"/>
              <w:keepLines w:val="0"/>
              <w:suppressLineNumbers w:val="0"/>
              <w:bidi w:val="0"/>
              <w:spacing w:before="0" w:beforeAutospacing="0" w:after="0" w:afterAutospacing="0"/>
              <w:jc w:val="center"/>
              <w:rPr>
                <w:rFonts w:hint="default"/>
                <w:lang w:val="en-US" w:eastAsia="zh-CN"/>
              </w:rPr>
            </w:pPr>
            <w:r>
              <w:rPr>
                <w:rFonts w:hint="default"/>
              </w:rPr>
              <w:t>2</w:t>
            </w:r>
          </w:p>
        </w:tc>
        <w:tc>
          <w:tcPr>
            <w:tcW w:w="1167" w:type="dxa"/>
            <w:vMerge w:val="restart"/>
            <w:tcBorders>
              <w:tl2br w:val="nil"/>
              <w:tr2bl w:val="nil"/>
            </w:tcBorders>
            <w:noWrap/>
            <w:tcMar>
              <w:top w:w="0" w:type="dxa"/>
              <w:left w:w="0" w:type="dxa"/>
              <w:bottom w:w="0" w:type="dxa"/>
              <w:right w:w="0" w:type="dxa"/>
            </w:tcMar>
            <w:vAlign w:val="center"/>
          </w:tcPr>
          <w:p w14:paraId="269EE99F">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加药间</w:t>
            </w:r>
          </w:p>
        </w:tc>
        <w:tc>
          <w:tcPr>
            <w:tcW w:w="975" w:type="dxa"/>
            <w:tcBorders>
              <w:tl2br w:val="nil"/>
              <w:tr2bl w:val="nil"/>
            </w:tcBorders>
            <w:shd w:val="clear" w:color="auto" w:fill="auto"/>
            <w:noWrap/>
            <w:tcMar>
              <w:top w:w="0" w:type="dxa"/>
              <w:left w:w="0" w:type="dxa"/>
              <w:bottom w:w="0" w:type="dxa"/>
              <w:right w:w="0" w:type="dxa"/>
            </w:tcMar>
            <w:vAlign w:val="center"/>
          </w:tcPr>
          <w:p w14:paraId="5CECD7A8">
            <w:pPr>
              <w:pStyle w:val="42"/>
              <w:keepNext w:val="0"/>
              <w:keepLines w:val="0"/>
              <w:suppressLineNumbers w:val="0"/>
              <w:bidi w:val="0"/>
              <w:spacing w:before="0" w:beforeAutospacing="0" w:after="0" w:afterAutospacing="0"/>
              <w:jc w:val="center"/>
              <w:rPr>
                <w:rFonts w:hint="default"/>
                <w:lang w:val="en-US" w:eastAsia="zh-CN"/>
              </w:rPr>
            </w:pPr>
            <w:r>
              <w:rPr>
                <w:rFonts w:hint="default"/>
              </w:rPr>
              <w:t>加药泵</w:t>
            </w:r>
          </w:p>
        </w:tc>
        <w:tc>
          <w:tcPr>
            <w:tcW w:w="1370" w:type="dxa"/>
            <w:tcBorders>
              <w:tl2br w:val="nil"/>
              <w:tr2bl w:val="nil"/>
            </w:tcBorders>
            <w:shd w:val="clear" w:color="auto" w:fill="auto"/>
            <w:noWrap/>
            <w:tcMar>
              <w:top w:w="0" w:type="dxa"/>
              <w:left w:w="0" w:type="dxa"/>
              <w:bottom w:w="0" w:type="dxa"/>
              <w:right w:w="0" w:type="dxa"/>
            </w:tcMar>
            <w:vAlign w:val="center"/>
          </w:tcPr>
          <w:p w14:paraId="72634C53">
            <w:pPr>
              <w:pStyle w:val="42"/>
              <w:keepNext w:val="0"/>
              <w:keepLines w:val="0"/>
              <w:suppressLineNumbers w:val="0"/>
              <w:bidi w:val="0"/>
              <w:spacing w:before="0" w:beforeAutospacing="0" w:after="0" w:afterAutospacing="0"/>
              <w:jc w:val="center"/>
              <w:rPr>
                <w:rFonts w:hint="default"/>
                <w:lang w:val="en-US" w:eastAsia="zh-CN"/>
              </w:rPr>
            </w:pPr>
            <w:r>
              <w:rPr>
                <w:rFonts w:hint="default"/>
              </w:rPr>
              <w:t>75</w:t>
            </w:r>
          </w:p>
        </w:tc>
        <w:tc>
          <w:tcPr>
            <w:tcW w:w="604" w:type="dxa"/>
            <w:tcBorders>
              <w:tl2br w:val="nil"/>
              <w:tr2bl w:val="nil"/>
            </w:tcBorders>
            <w:noWrap/>
            <w:tcMar>
              <w:top w:w="0" w:type="dxa"/>
              <w:left w:w="0" w:type="dxa"/>
              <w:bottom w:w="0" w:type="dxa"/>
              <w:right w:w="0" w:type="dxa"/>
            </w:tcMar>
            <w:vAlign w:val="center"/>
          </w:tcPr>
          <w:p w14:paraId="02199A9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20.53</w:t>
            </w:r>
          </w:p>
        </w:tc>
        <w:tc>
          <w:tcPr>
            <w:tcW w:w="604" w:type="dxa"/>
            <w:tcBorders>
              <w:tl2br w:val="nil"/>
              <w:tr2bl w:val="nil"/>
            </w:tcBorders>
            <w:noWrap/>
            <w:tcMar>
              <w:top w:w="0" w:type="dxa"/>
              <w:left w:w="0" w:type="dxa"/>
              <w:bottom w:w="0" w:type="dxa"/>
              <w:right w:w="0" w:type="dxa"/>
            </w:tcMar>
            <w:vAlign w:val="center"/>
          </w:tcPr>
          <w:p w14:paraId="4071F88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21.95</w:t>
            </w:r>
          </w:p>
        </w:tc>
        <w:tc>
          <w:tcPr>
            <w:tcW w:w="191" w:type="dxa"/>
            <w:tcBorders>
              <w:tl2br w:val="nil"/>
              <w:tr2bl w:val="nil"/>
            </w:tcBorders>
            <w:noWrap/>
            <w:tcMar>
              <w:top w:w="0" w:type="dxa"/>
              <w:left w:w="0" w:type="dxa"/>
              <w:bottom w:w="0" w:type="dxa"/>
              <w:right w:w="0" w:type="dxa"/>
            </w:tcMar>
            <w:vAlign w:val="center"/>
          </w:tcPr>
          <w:p w14:paraId="2327E6C5">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27D1B9BD">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26.65</w:t>
            </w:r>
          </w:p>
        </w:tc>
        <w:tc>
          <w:tcPr>
            <w:tcW w:w="489" w:type="dxa"/>
            <w:tcBorders>
              <w:tl2br w:val="nil"/>
              <w:tr2bl w:val="nil"/>
            </w:tcBorders>
            <w:noWrap/>
            <w:tcMar>
              <w:top w:w="0" w:type="dxa"/>
              <w:left w:w="0" w:type="dxa"/>
              <w:bottom w:w="0" w:type="dxa"/>
              <w:right w:w="0" w:type="dxa"/>
            </w:tcMar>
            <w:vAlign w:val="center"/>
          </w:tcPr>
          <w:p w14:paraId="5B72D87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6.42</w:t>
            </w:r>
          </w:p>
        </w:tc>
        <w:tc>
          <w:tcPr>
            <w:tcW w:w="489" w:type="dxa"/>
            <w:tcBorders>
              <w:tl2br w:val="nil"/>
              <w:tr2bl w:val="nil"/>
            </w:tcBorders>
            <w:noWrap/>
            <w:tcMar>
              <w:top w:w="0" w:type="dxa"/>
              <w:left w:w="0" w:type="dxa"/>
              <w:bottom w:w="0" w:type="dxa"/>
              <w:right w:w="0" w:type="dxa"/>
            </w:tcMar>
            <w:vAlign w:val="center"/>
          </w:tcPr>
          <w:p w14:paraId="458200A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31.28</w:t>
            </w:r>
          </w:p>
        </w:tc>
        <w:tc>
          <w:tcPr>
            <w:tcW w:w="482" w:type="dxa"/>
            <w:tcBorders>
              <w:tl2br w:val="nil"/>
              <w:tr2bl w:val="nil"/>
            </w:tcBorders>
            <w:noWrap/>
            <w:tcMar>
              <w:top w:w="0" w:type="dxa"/>
              <w:left w:w="0" w:type="dxa"/>
              <w:bottom w:w="0" w:type="dxa"/>
              <w:right w:w="0" w:type="dxa"/>
            </w:tcMar>
            <w:vAlign w:val="center"/>
          </w:tcPr>
          <w:p w14:paraId="3E89DE6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10.75</w:t>
            </w:r>
          </w:p>
        </w:tc>
        <w:tc>
          <w:tcPr>
            <w:tcW w:w="442" w:type="dxa"/>
            <w:tcBorders>
              <w:tl2br w:val="nil"/>
              <w:tr2bl w:val="nil"/>
            </w:tcBorders>
            <w:noWrap/>
            <w:tcMar>
              <w:top w:w="0" w:type="dxa"/>
              <w:left w:w="0" w:type="dxa"/>
              <w:bottom w:w="0" w:type="dxa"/>
              <w:right w:w="0" w:type="dxa"/>
            </w:tcMar>
            <w:vAlign w:val="center"/>
          </w:tcPr>
          <w:p w14:paraId="49E93F96">
            <w:pPr>
              <w:pStyle w:val="42"/>
              <w:keepNext w:val="0"/>
              <w:keepLines w:val="0"/>
              <w:suppressLineNumbers w:val="0"/>
              <w:bidi w:val="0"/>
              <w:spacing w:before="0" w:beforeAutospacing="0" w:after="0" w:afterAutospacing="0"/>
              <w:jc w:val="center"/>
              <w:rPr>
                <w:rFonts w:hint="default"/>
              </w:rPr>
            </w:pPr>
            <w:r>
              <w:rPr>
                <w:rFonts w:hint="default"/>
                <w:lang w:val="en-US" w:eastAsia="zh-CN"/>
              </w:rPr>
              <w:t>46.5</w:t>
            </w:r>
          </w:p>
        </w:tc>
        <w:tc>
          <w:tcPr>
            <w:tcW w:w="442" w:type="dxa"/>
            <w:tcBorders>
              <w:tl2br w:val="nil"/>
              <w:tr2bl w:val="nil"/>
            </w:tcBorders>
            <w:noWrap/>
            <w:tcMar>
              <w:top w:w="0" w:type="dxa"/>
              <w:left w:w="0" w:type="dxa"/>
              <w:bottom w:w="0" w:type="dxa"/>
              <w:right w:w="0" w:type="dxa"/>
            </w:tcMar>
            <w:vAlign w:val="center"/>
          </w:tcPr>
          <w:p w14:paraId="3994B6D5">
            <w:pPr>
              <w:pStyle w:val="42"/>
              <w:keepNext w:val="0"/>
              <w:keepLines w:val="0"/>
              <w:suppressLineNumbers w:val="0"/>
              <w:bidi w:val="0"/>
              <w:spacing w:before="0" w:beforeAutospacing="0" w:after="0" w:afterAutospacing="0"/>
              <w:jc w:val="center"/>
              <w:rPr>
                <w:rFonts w:hint="default"/>
              </w:rPr>
            </w:pPr>
            <w:r>
              <w:rPr>
                <w:rFonts w:hint="default"/>
                <w:lang w:val="en-US" w:eastAsia="zh-CN"/>
              </w:rPr>
              <w:t>58.8</w:t>
            </w:r>
          </w:p>
        </w:tc>
        <w:tc>
          <w:tcPr>
            <w:tcW w:w="442" w:type="dxa"/>
            <w:tcBorders>
              <w:tl2br w:val="nil"/>
              <w:tr2bl w:val="nil"/>
            </w:tcBorders>
            <w:noWrap/>
            <w:tcMar>
              <w:top w:w="0" w:type="dxa"/>
              <w:left w:w="0" w:type="dxa"/>
              <w:bottom w:w="0" w:type="dxa"/>
              <w:right w:w="0" w:type="dxa"/>
            </w:tcMar>
            <w:vAlign w:val="center"/>
          </w:tcPr>
          <w:p w14:paraId="563DB7EC">
            <w:pPr>
              <w:pStyle w:val="42"/>
              <w:keepNext w:val="0"/>
              <w:keepLines w:val="0"/>
              <w:suppressLineNumbers w:val="0"/>
              <w:bidi w:val="0"/>
              <w:spacing w:before="0" w:beforeAutospacing="0" w:after="0" w:afterAutospacing="0"/>
              <w:jc w:val="center"/>
              <w:rPr>
                <w:rFonts w:hint="default"/>
              </w:rPr>
            </w:pPr>
            <w:r>
              <w:rPr>
                <w:rFonts w:hint="default"/>
                <w:lang w:val="en-US" w:eastAsia="zh-CN"/>
              </w:rPr>
              <w:t>45.1</w:t>
            </w:r>
          </w:p>
        </w:tc>
        <w:tc>
          <w:tcPr>
            <w:tcW w:w="441" w:type="dxa"/>
            <w:tcBorders>
              <w:tl2br w:val="nil"/>
              <w:tr2bl w:val="nil"/>
            </w:tcBorders>
            <w:noWrap/>
            <w:tcMar>
              <w:top w:w="0" w:type="dxa"/>
              <w:left w:w="0" w:type="dxa"/>
              <w:bottom w:w="0" w:type="dxa"/>
              <w:right w:w="0" w:type="dxa"/>
            </w:tcMar>
            <w:vAlign w:val="center"/>
          </w:tcPr>
          <w:p w14:paraId="0CA90FA2">
            <w:pPr>
              <w:pStyle w:val="42"/>
              <w:keepNext w:val="0"/>
              <w:keepLines w:val="0"/>
              <w:suppressLineNumbers w:val="0"/>
              <w:bidi w:val="0"/>
              <w:spacing w:before="0" w:beforeAutospacing="0" w:after="0" w:afterAutospacing="0"/>
              <w:jc w:val="center"/>
              <w:rPr>
                <w:rFonts w:hint="default"/>
              </w:rPr>
            </w:pPr>
            <w:r>
              <w:rPr>
                <w:rFonts w:hint="default"/>
                <w:lang w:val="en-US" w:eastAsia="zh-CN"/>
              </w:rPr>
              <w:t>54.4</w:t>
            </w:r>
          </w:p>
        </w:tc>
        <w:tc>
          <w:tcPr>
            <w:tcW w:w="825" w:type="dxa"/>
            <w:tcBorders>
              <w:tl2br w:val="nil"/>
              <w:tr2bl w:val="nil"/>
            </w:tcBorders>
            <w:noWrap/>
            <w:tcMar>
              <w:top w:w="0" w:type="dxa"/>
              <w:left w:w="0" w:type="dxa"/>
              <w:bottom w:w="0" w:type="dxa"/>
              <w:right w:w="0" w:type="dxa"/>
            </w:tcMar>
            <w:vAlign w:val="center"/>
          </w:tcPr>
          <w:p w14:paraId="1FF34FD3">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7528CAD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06C8F8BF">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4EA1EE5B">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629200E5">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4CF83426">
            <w:pPr>
              <w:pStyle w:val="42"/>
              <w:keepNext w:val="0"/>
              <w:keepLines w:val="0"/>
              <w:suppressLineNumbers w:val="0"/>
              <w:bidi w:val="0"/>
              <w:spacing w:before="0" w:beforeAutospacing="0" w:after="0" w:afterAutospacing="0"/>
              <w:jc w:val="center"/>
              <w:rPr>
                <w:rFonts w:hint="default"/>
              </w:rPr>
            </w:pPr>
            <w:r>
              <w:rPr>
                <w:rFonts w:hint="default"/>
                <w:lang w:val="en-US" w:eastAsia="zh-CN"/>
              </w:rPr>
              <w:t>26.5</w:t>
            </w:r>
          </w:p>
        </w:tc>
        <w:tc>
          <w:tcPr>
            <w:tcW w:w="393" w:type="dxa"/>
            <w:tcBorders>
              <w:tl2br w:val="nil"/>
              <w:tr2bl w:val="nil"/>
            </w:tcBorders>
            <w:noWrap/>
            <w:tcMar>
              <w:top w:w="0" w:type="dxa"/>
              <w:left w:w="0" w:type="dxa"/>
              <w:bottom w:w="0" w:type="dxa"/>
              <w:right w:w="0" w:type="dxa"/>
            </w:tcMar>
            <w:vAlign w:val="center"/>
          </w:tcPr>
          <w:p w14:paraId="492B48E9">
            <w:pPr>
              <w:pStyle w:val="42"/>
              <w:keepNext w:val="0"/>
              <w:keepLines w:val="0"/>
              <w:suppressLineNumbers w:val="0"/>
              <w:bidi w:val="0"/>
              <w:spacing w:before="0" w:beforeAutospacing="0" w:after="0" w:afterAutospacing="0"/>
              <w:jc w:val="center"/>
              <w:rPr>
                <w:rFonts w:hint="default"/>
              </w:rPr>
            </w:pPr>
            <w:r>
              <w:rPr>
                <w:rFonts w:hint="default"/>
                <w:lang w:val="en-US" w:eastAsia="zh-CN"/>
              </w:rPr>
              <w:t>38.8</w:t>
            </w:r>
          </w:p>
        </w:tc>
        <w:tc>
          <w:tcPr>
            <w:tcW w:w="393" w:type="dxa"/>
            <w:tcBorders>
              <w:tl2br w:val="nil"/>
              <w:tr2bl w:val="nil"/>
            </w:tcBorders>
            <w:noWrap/>
            <w:tcMar>
              <w:top w:w="0" w:type="dxa"/>
              <w:left w:w="0" w:type="dxa"/>
              <w:bottom w:w="0" w:type="dxa"/>
              <w:right w:w="0" w:type="dxa"/>
            </w:tcMar>
            <w:vAlign w:val="center"/>
          </w:tcPr>
          <w:p w14:paraId="3A7415DA">
            <w:pPr>
              <w:pStyle w:val="42"/>
              <w:keepNext w:val="0"/>
              <w:keepLines w:val="0"/>
              <w:suppressLineNumbers w:val="0"/>
              <w:bidi w:val="0"/>
              <w:spacing w:before="0" w:beforeAutospacing="0" w:after="0" w:afterAutospacing="0"/>
              <w:jc w:val="center"/>
              <w:rPr>
                <w:rFonts w:hint="default"/>
              </w:rPr>
            </w:pPr>
            <w:r>
              <w:rPr>
                <w:rFonts w:hint="default"/>
                <w:lang w:val="en-US" w:eastAsia="zh-CN"/>
              </w:rPr>
              <w:t>25.1</w:t>
            </w:r>
          </w:p>
        </w:tc>
        <w:tc>
          <w:tcPr>
            <w:tcW w:w="393" w:type="dxa"/>
            <w:tcBorders>
              <w:tl2br w:val="nil"/>
              <w:tr2bl w:val="nil"/>
            </w:tcBorders>
            <w:noWrap/>
            <w:tcMar>
              <w:top w:w="0" w:type="dxa"/>
              <w:left w:w="0" w:type="dxa"/>
              <w:bottom w:w="0" w:type="dxa"/>
              <w:right w:w="0" w:type="dxa"/>
            </w:tcMar>
            <w:vAlign w:val="center"/>
          </w:tcPr>
          <w:p w14:paraId="2C37B7F0">
            <w:pPr>
              <w:pStyle w:val="42"/>
              <w:keepNext w:val="0"/>
              <w:keepLines w:val="0"/>
              <w:suppressLineNumbers w:val="0"/>
              <w:bidi w:val="0"/>
              <w:spacing w:before="0" w:beforeAutospacing="0" w:after="0" w:afterAutospacing="0"/>
              <w:jc w:val="center"/>
              <w:rPr>
                <w:rFonts w:hint="default"/>
              </w:rPr>
            </w:pPr>
            <w:r>
              <w:rPr>
                <w:rFonts w:hint="default"/>
                <w:lang w:val="en-US" w:eastAsia="zh-CN"/>
              </w:rPr>
              <w:t>34.4</w:t>
            </w:r>
          </w:p>
        </w:tc>
        <w:tc>
          <w:tcPr>
            <w:tcW w:w="1178" w:type="dxa"/>
            <w:tcBorders>
              <w:tl2br w:val="nil"/>
              <w:tr2bl w:val="nil"/>
            </w:tcBorders>
            <w:noWrap/>
            <w:tcMar>
              <w:top w:w="0" w:type="dxa"/>
              <w:left w:w="0" w:type="dxa"/>
              <w:bottom w:w="0" w:type="dxa"/>
              <w:right w:w="0" w:type="dxa"/>
            </w:tcMar>
            <w:vAlign w:val="center"/>
          </w:tcPr>
          <w:p w14:paraId="7DD48A1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1</w:t>
            </w:r>
          </w:p>
        </w:tc>
      </w:tr>
      <w:tr w14:paraId="78FE15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7748543E">
            <w:pPr>
              <w:pStyle w:val="42"/>
              <w:keepNext w:val="0"/>
              <w:keepLines w:val="0"/>
              <w:suppressLineNumbers w:val="0"/>
              <w:bidi w:val="0"/>
              <w:spacing w:before="0" w:beforeAutospacing="0" w:after="0" w:afterAutospacing="0"/>
              <w:jc w:val="center"/>
              <w:rPr>
                <w:rFonts w:hint="default"/>
                <w:lang w:val="en-US" w:eastAsia="zh-CN"/>
              </w:rPr>
            </w:pPr>
            <w:r>
              <w:rPr>
                <w:rFonts w:hint="default"/>
              </w:rPr>
              <w:t>3</w:t>
            </w:r>
          </w:p>
        </w:tc>
        <w:tc>
          <w:tcPr>
            <w:tcW w:w="1167" w:type="dxa"/>
            <w:vMerge w:val="continue"/>
            <w:tcBorders>
              <w:tl2br w:val="nil"/>
              <w:tr2bl w:val="nil"/>
            </w:tcBorders>
            <w:noWrap/>
            <w:tcMar>
              <w:top w:w="0" w:type="dxa"/>
              <w:left w:w="0" w:type="dxa"/>
              <w:bottom w:w="0" w:type="dxa"/>
              <w:right w:w="0" w:type="dxa"/>
            </w:tcMar>
            <w:vAlign w:val="center"/>
          </w:tcPr>
          <w:p w14:paraId="3147E594">
            <w:pPr>
              <w:pStyle w:val="42"/>
              <w:keepNext w:val="0"/>
              <w:keepLines w:val="0"/>
              <w:suppressLineNumbers w:val="0"/>
              <w:bidi w:val="0"/>
              <w:spacing w:before="0" w:beforeAutospacing="0" w:after="0" w:afterAutospacing="0"/>
              <w:jc w:val="center"/>
              <w:rPr>
                <w:rFonts w:hint="default"/>
                <w:lang w:val="en-US" w:eastAsia="zh-CN"/>
              </w:rPr>
            </w:pPr>
          </w:p>
        </w:tc>
        <w:tc>
          <w:tcPr>
            <w:tcW w:w="975" w:type="dxa"/>
            <w:tcBorders>
              <w:tl2br w:val="nil"/>
              <w:tr2bl w:val="nil"/>
            </w:tcBorders>
            <w:noWrap/>
            <w:tcMar>
              <w:top w:w="0" w:type="dxa"/>
              <w:left w:w="0" w:type="dxa"/>
              <w:bottom w:w="0" w:type="dxa"/>
              <w:right w:w="0" w:type="dxa"/>
            </w:tcMar>
            <w:vAlign w:val="center"/>
          </w:tcPr>
          <w:p w14:paraId="194B5344">
            <w:pPr>
              <w:pStyle w:val="42"/>
              <w:keepNext w:val="0"/>
              <w:keepLines w:val="0"/>
              <w:suppressLineNumbers w:val="0"/>
              <w:bidi w:val="0"/>
              <w:spacing w:before="0" w:beforeAutospacing="0" w:after="0" w:afterAutospacing="0"/>
              <w:jc w:val="center"/>
              <w:rPr>
                <w:rFonts w:hint="default"/>
                <w:lang w:val="en-US" w:eastAsia="zh-CN"/>
              </w:rPr>
            </w:pPr>
            <w:r>
              <w:rPr>
                <w:rFonts w:hint="default"/>
              </w:rPr>
              <w:t>搅拌</w:t>
            </w:r>
            <w:r>
              <w:rPr>
                <w:rFonts w:hint="eastAsia"/>
                <w:lang w:val="en-US" w:eastAsia="zh-CN"/>
              </w:rPr>
              <w:t>系统</w:t>
            </w:r>
          </w:p>
        </w:tc>
        <w:tc>
          <w:tcPr>
            <w:tcW w:w="1370" w:type="dxa"/>
            <w:tcBorders>
              <w:tl2br w:val="nil"/>
              <w:tr2bl w:val="nil"/>
            </w:tcBorders>
            <w:shd w:val="clear" w:color="auto" w:fill="auto"/>
            <w:noWrap/>
            <w:tcMar>
              <w:top w:w="0" w:type="dxa"/>
              <w:left w:w="0" w:type="dxa"/>
              <w:bottom w:w="0" w:type="dxa"/>
              <w:right w:w="0" w:type="dxa"/>
            </w:tcMar>
            <w:vAlign w:val="center"/>
          </w:tcPr>
          <w:p w14:paraId="637332B8">
            <w:pPr>
              <w:pStyle w:val="42"/>
              <w:keepNext w:val="0"/>
              <w:keepLines w:val="0"/>
              <w:suppressLineNumbers w:val="0"/>
              <w:bidi w:val="0"/>
              <w:spacing w:before="0" w:beforeAutospacing="0" w:after="0" w:afterAutospacing="0"/>
              <w:jc w:val="center"/>
              <w:rPr>
                <w:rFonts w:hint="default"/>
                <w:lang w:val="en-US" w:eastAsia="zh-CN"/>
              </w:rPr>
            </w:pPr>
            <w:r>
              <w:rPr>
                <w:rFonts w:hint="default"/>
              </w:rPr>
              <w:t>70</w:t>
            </w:r>
          </w:p>
        </w:tc>
        <w:tc>
          <w:tcPr>
            <w:tcW w:w="604" w:type="dxa"/>
            <w:tcBorders>
              <w:tl2br w:val="nil"/>
              <w:tr2bl w:val="nil"/>
            </w:tcBorders>
            <w:noWrap/>
            <w:tcMar>
              <w:top w:w="0" w:type="dxa"/>
              <w:left w:w="0" w:type="dxa"/>
              <w:bottom w:w="0" w:type="dxa"/>
              <w:right w:w="0" w:type="dxa"/>
            </w:tcMar>
            <w:vAlign w:val="center"/>
          </w:tcPr>
          <w:p w14:paraId="50BE3E2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21.27</w:t>
            </w:r>
          </w:p>
        </w:tc>
        <w:tc>
          <w:tcPr>
            <w:tcW w:w="604" w:type="dxa"/>
            <w:tcBorders>
              <w:tl2br w:val="nil"/>
              <w:tr2bl w:val="nil"/>
            </w:tcBorders>
            <w:noWrap/>
            <w:tcMar>
              <w:top w:w="0" w:type="dxa"/>
              <w:left w:w="0" w:type="dxa"/>
              <w:bottom w:w="0" w:type="dxa"/>
              <w:right w:w="0" w:type="dxa"/>
            </w:tcMar>
            <w:vAlign w:val="center"/>
          </w:tcPr>
          <w:p w14:paraId="5842BA76">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20.90</w:t>
            </w:r>
          </w:p>
        </w:tc>
        <w:tc>
          <w:tcPr>
            <w:tcW w:w="191" w:type="dxa"/>
            <w:tcBorders>
              <w:tl2br w:val="nil"/>
              <w:tr2bl w:val="nil"/>
            </w:tcBorders>
            <w:noWrap/>
            <w:tcMar>
              <w:top w:w="0" w:type="dxa"/>
              <w:left w:w="0" w:type="dxa"/>
              <w:bottom w:w="0" w:type="dxa"/>
              <w:right w:w="0" w:type="dxa"/>
            </w:tcMar>
            <w:vAlign w:val="center"/>
          </w:tcPr>
          <w:p w14:paraId="5AF11B54">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7372EAB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25.90</w:t>
            </w:r>
          </w:p>
        </w:tc>
        <w:tc>
          <w:tcPr>
            <w:tcW w:w="489" w:type="dxa"/>
            <w:tcBorders>
              <w:tl2br w:val="nil"/>
              <w:tr2bl w:val="nil"/>
            </w:tcBorders>
            <w:noWrap/>
            <w:tcMar>
              <w:top w:w="0" w:type="dxa"/>
              <w:left w:w="0" w:type="dxa"/>
              <w:bottom w:w="0" w:type="dxa"/>
              <w:right w:w="0" w:type="dxa"/>
            </w:tcMar>
            <w:vAlign w:val="center"/>
          </w:tcPr>
          <w:p w14:paraId="172FF46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5.37</w:t>
            </w:r>
          </w:p>
        </w:tc>
        <w:tc>
          <w:tcPr>
            <w:tcW w:w="489" w:type="dxa"/>
            <w:tcBorders>
              <w:tl2br w:val="nil"/>
              <w:tr2bl w:val="nil"/>
            </w:tcBorders>
            <w:noWrap/>
            <w:tcMar>
              <w:top w:w="0" w:type="dxa"/>
              <w:left w:w="0" w:type="dxa"/>
              <w:bottom w:w="0" w:type="dxa"/>
              <w:right w:w="0" w:type="dxa"/>
            </w:tcMar>
            <w:vAlign w:val="center"/>
          </w:tcPr>
          <w:p w14:paraId="4C2B2C3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32.02</w:t>
            </w:r>
          </w:p>
        </w:tc>
        <w:tc>
          <w:tcPr>
            <w:tcW w:w="482" w:type="dxa"/>
            <w:tcBorders>
              <w:tl2br w:val="nil"/>
              <w:tr2bl w:val="nil"/>
            </w:tcBorders>
            <w:noWrap/>
            <w:tcMar>
              <w:top w:w="0" w:type="dxa"/>
              <w:left w:w="0" w:type="dxa"/>
              <w:bottom w:w="0" w:type="dxa"/>
              <w:right w:w="0" w:type="dxa"/>
            </w:tcMar>
            <w:vAlign w:val="center"/>
          </w:tcPr>
          <w:p w14:paraId="0E0C26C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11.79</w:t>
            </w:r>
          </w:p>
        </w:tc>
        <w:tc>
          <w:tcPr>
            <w:tcW w:w="442" w:type="dxa"/>
            <w:tcBorders>
              <w:tl2br w:val="nil"/>
              <w:tr2bl w:val="nil"/>
            </w:tcBorders>
            <w:noWrap/>
            <w:tcMar>
              <w:top w:w="0" w:type="dxa"/>
              <w:left w:w="0" w:type="dxa"/>
              <w:bottom w:w="0" w:type="dxa"/>
              <w:right w:w="0" w:type="dxa"/>
            </w:tcMar>
            <w:vAlign w:val="center"/>
          </w:tcPr>
          <w:p w14:paraId="0B1B56C8">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41.7</w:t>
            </w:r>
          </w:p>
        </w:tc>
        <w:tc>
          <w:tcPr>
            <w:tcW w:w="442" w:type="dxa"/>
            <w:tcBorders>
              <w:tl2br w:val="nil"/>
              <w:tr2bl w:val="nil"/>
            </w:tcBorders>
            <w:noWrap/>
            <w:tcMar>
              <w:top w:w="0" w:type="dxa"/>
              <w:left w:w="0" w:type="dxa"/>
              <w:bottom w:w="0" w:type="dxa"/>
              <w:right w:w="0" w:type="dxa"/>
            </w:tcMar>
            <w:vAlign w:val="center"/>
          </w:tcPr>
          <w:p w14:paraId="119E6769">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55.4</w:t>
            </w:r>
          </w:p>
        </w:tc>
        <w:tc>
          <w:tcPr>
            <w:tcW w:w="442" w:type="dxa"/>
            <w:tcBorders>
              <w:tl2br w:val="nil"/>
              <w:tr2bl w:val="nil"/>
            </w:tcBorders>
            <w:noWrap/>
            <w:tcMar>
              <w:top w:w="0" w:type="dxa"/>
              <w:left w:w="0" w:type="dxa"/>
              <w:bottom w:w="0" w:type="dxa"/>
              <w:right w:w="0" w:type="dxa"/>
            </w:tcMar>
            <w:vAlign w:val="center"/>
          </w:tcPr>
          <w:p w14:paraId="5517BD1C">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39.9</w:t>
            </w:r>
          </w:p>
        </w:tc>
        <w:tc>
          <w:tcPr>
            <w:tcW w:w="441" w:type="dxa"/>
            <w:tcBorders>
              <w:tl2br w:val="nil"/>
              <w:tr2bl w:val="nil"/>
            </w:tcBorders>
            <w:noWrap/>
            <w:tcMar>
              <w:top w:w="0" w:type="dxa"/>
              <w:left w:w="0" w:type="dxa"/>
              <w:bottom w:w="0" w:type="dxa"/>
              <w:right w:w="0" w:type="dxa"/>
            </w:tcMar>
            <w:vAlign w:val="center"/>
          </w:tcPr>
          <w:p w14:paraId="1E4C22E9">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48.6</w:t>
            </w:r>
          </w:p>
        </w:tc>
        <w:tc>
          <w:tcPr>
            <w:tcW w:w="825" w:type="dxa"/>
            <w:tcBorders>
              <w:tl2br w:val="nil"/>
              <w:tr2bl w:val="nil"/>
            </w:tcBorders>
            <w:noWrap/>
            <w:tcMar>
              <w:top w:w="0" w:type="dxa"/>
              <w:left w:w="0" w:type="dxa"/>
              <w:bottom w:w="0" w:type="dxa"/>
              <w:right w:w="0" w:type="dxa"/>
            </w:tcMar>
            <w:vAlign w:val="center"/>
          </w:tcPr>
          <w:p w14:paraId="61A8A488">
            <w:pPr>
              <w:pStyle w:val="42"/>
              <w:keepNext w:val="0"/>
              <w:keepLines w:val="0"/>
              <w:suppressLineNumbers w:val="0"/>
              <w:bidi w:val="0"/>
              <w:spacing w:before="0" w:beforeAutospacing="0" w:after="0" w:afterAutospacing="0"/>
              <w:jc w:val="center"/>
              <w:rPr>
                <w:rFonts w:hint="default"/>
                <w:lang w:val="en-US" w:eastAsia="zh-CN"/>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4A6A108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7999F1E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40C78C1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68A3612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776F0F06">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21.7</w:t>
            </w:r>
          </w:p>
        </w:tc>
        <w:tc>
          <w:tcPr>
            <w:tcW w:w="393" w:type="dxa"/>
            <w:tcBorders>
              <w:tl2br w:val="nil"/>
              <w:tr2bl w:val="nil"/>
            </w:tcBorders>
            <w:noWrap/>
            <w:tcMar>
              <w:top w:w="0" w:type="dxa"/>
              <w:left w:w="0" w:type="dxa"/>
              <w:bottom w:w="0" w:type="dxa"/>
              <w:right w:w="0" w:type="dxa"/>
            </w:tcMar>
            <w:vAlign w:val="center"/>
          </w:tcPr>
          <w:p w14:paraId="577611CD">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35.4</w:t>
            </w:r>
          </w:p>
        </w:tc>
        <w:tc>
          <w:tcPr>
            <w:tcW w:w="393" w:type="dxa"/>
            <w:tcBorders>
              <w:tl2br w:val="nil"/>
              <w:tr2bl w:val="nil"/>
            </w:tcBorders>
            <w:noWrap/>
            <w:tcMar>
              <w:top w:w="0" w:type="dxa"/>
              <w:left w:w="0" w:type="dxa"/>
              <w:bottom w:w="0" w:type="dxa"/>
              <w:right w:w="0" w:type="dxa"/>
            </w:tcMar>
            <w:vAlign w:val="center"/>
          </w:tcPr>
          <w:p w14:paraId="32A09F68">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19.9</w:t>
            </w:r>
          </w:p>
        </w:tc>
        <w:tc>
          <w:tcPr>
            <w:tcW w:w="393" w:type="dxa"/>
            <w:tcBorders>
              <w:tl2br w:val="nil"/>
              <w:tr2bl w:val="nil"/>
            </w:tcBorders>
            <w:noWrap/>
            <w:tcMar>
              <w:top w:w="0" w:type="dxa"/>
              <w:left w:w="0" w:type="dxa"/>
              <w:bottom w:w="0" w:type="dxa"/>
              <w:right w:w="0" w:type="dxa"/>
            </w:tcMar>
            <w:vAlign w:val="center"/>
          </w:tcPr>
          <w:p w14:paraId="42E142A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28.6</w:t>
            </w:r>
          </w:p>
        </w:tc>
        <w:tc>
          <w:tcPr>
            <w:tcW w:w="1178" w:type="dxa"/>
            <w:tcBorders>
              <w:tl2br w:val="nil"/>
              <w:tr2bl w:val="nil"/>
            </w:tcBorders>
            <w:noWrap/>
            <w:tcMar>
              <w:top w:w="0" w:type="dxa"/>
              <w:left w:w="0" w:type="dxa"/>
              <w:bottom w:w="0" w:type="dxa"/>
              <w:right w:w="0" w:type="dxa"/>
            </w:tcMar>
            <w:vAlign w:val="center"/>
          </w:tcPr>
          <w:p w14:paraId="015EF5E3">
            <w:pPr>
              <w:pStyle w:val="42"/>
              <w:keepNext w:val="0"/>
              <w:keepLines w:val="0"/>
              <w:suppressLineNumbers w:val="0"/>
              <w:bidi w:val="0"/>
              <w:spacing w:before="0" w:beforeAutospacing="0" w:after="0" w:afterAutospacing="0"/>
              <w:jc w:val="center"/>
              <w:rPr>
                <w:rFonts w:hint="default"/>
                <w:lang w:val="en-US" w:eastAsia="zh-CN"/>
              </w:rPr>
            </w:pPr>
            <w:r>
              <w:rPr>
                <w:rFonts w:hint="default"/>
              </w:rPr>
              <w:t>1</w:t>
            </w:r>
          </w:p>
        </w:tc>
      </w:tr>
      <w:tr w14:paraId="1E4FF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0ABE90EE">
            <w:pPr>
              <w:pStyle w:val="42"/>
              <w:keepNext w:val="0"/>
              <w:keepLines w:val="0"/>
              <w:suppressLineNumbers w:val="0"/>
              <w:bidi w:val="0"/>
              <w:spacing w:before="0" w:beforeAutospacing="0" w:after="0" w:afterAutospacing="0"/>
              <w:jc w:val="center"/>
              <w:rPr>
                <w:rFonts w:hint="default"/>
                <w:lang w:val="en-US" w:eastAsia="zh-CN"/>
              </w:rPr>
            </w:pPr>
            <w:r>
              <w:rPr>
                <w:rFonts w:hint="default"/>
              </w:rPr>
              <w:t>4</w:t>
            </w:r>
          </w:p>
        </w:tc>
        <w:tc>
          <w:tcPr>
            <w:tcW w:w="1167" w:type="dxa"/>
            <w:vMerge w:val="restart"/>
            <w:tcBorders>
              <w:tl2br w:val="nil"/>
              <w:tr2bl w:val="nil"/>
            </w:tcBorders>
            <w:noWrap/>
            <w:tcMar>
              <w:top w:w="0" w:type="dxa"/>
              <w:left w:w="0" w:type="dxa"/>
              <w:bottom w:w="0" w:type="dxa"/>
              <w:right w:w="0" w:type="dxa"/>
            </w:tcMar>
            <w:vAlign w:val="center"/>
          </w:tcPr>
          <w:p w14:paraId="618251FB">
            <w:pPr>
              <w:pStyle w:val="42"/>
              <w:keepNext w:val="0"/>
              <w:keepLines w:val="0"/>
              <w:suppressLineNumbers w:val="0"/>
              <w:bidi w:val="0"/>
              <w:spacing w:before="0" w:beforeAutospacing="0" w:after="0" w:afterAutospacing="0"/>
              <w:jc w:val="center"/>
              <w:rPr>
                <w:rFonts w:hint="default"/>
                <w:lang w:val="en-US" w:eastAsia="zh-CN"/>
              </w:rPr>
            </w:pPr>
            <w:r>
              <w:rPr>
                <w:rFonts w:hint="default"/>
              </w:rPr>
              <w:t>污泥脱水间</w:t>
            </w:r>
          </w:p>
        </w:tc>
        <w:tc>
          <w:tcPr>
            <w:tcW w:w="975" w:type="dxa"/>
            <w:tcBorders>
              <w:tl2br w:val="nil"/>
              <w:tr2bl w:val="nil"/>
            </w:tcBorders>
            <w:shd w:val="clear" w:color="auto" w:fill="auto"/>
            <w:noWrap/>
            <w:tcMar>
              <w:top w:w="0" w:type="dxa"/>
              <w:left w:w="0" w:type="dxa"/>
              <w:bottom w:w="0" w:type="dxa"/>
              <w:right w:w="0" w:type="dxa"/>
            </w:tcMar>
            <w:vAlign w:val="center"/>
          </w:tcPr>
          <w:p w14:paraId="057BEF11">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板框压榨机</w:t>
            </w:r>
          </w:p>
        </w:tc>
        <w:tc>
          <w:tcPr>
            <w:tcW w:w="1370" w:type="dxa"/>
            <w:tcBorders>
              <w:tl2br w:val="nil"/>
              <w:tr2bl w:val="nil"/>
            </w:tcBorders>
            <w:shd w:val="clear" w:color="auto" w:fill="auto"/>
            <w:noWrap/>
            <w:tcMar>
              <w:top w:w="0" w:type="dxa"/>
              <w:left w:w="0" w:type="dxa"/>
              <w:bottom w:w="0" w:type="dxa"/>
              <w:right w:w="0" w:type="dxa"/>
            </w:tcMar>
            <w:vAlign w:val="center"/>
          </w:tcPr>
          <w:p w14:paraId="55EED02B">
            <w:pPr>
              <w:pStyle w:val="42"/>
              <w:keepNext w:val="0"/>
              <w:keepLines w:val="0"/>
              <w:suppressLineNumbers w:val="0"/>
              <w:bidi w:val="0"/>
              <w:spacing w:before="0" w:beforeAutospacing="0" w:after="0" w:afterAutospacing="0"/>
              <w:jc w:val="center"/>
              <w:rPr>
                <w:rFonts w:hint="default"/>
                <w:lang w:val="en-US" w:eastAsia="zh-CN"/>
              </w:rPr>
            </w:pPr>
            <w:r>
              <w:rPr>
                <w:rFonts w:hint="default"/>
              </w:rPr>
              <w:t>80</w:t>
            </w:r>
          </w:p>
        </w:tc>
        <w:tc>
          <w:tcPr>
            <w:tcW w:w="604" w:type="dxa"/>
            <w:tcBorders>
              <w:tl2br w:val="nil"/>
              <w:tr2bl w:val="nil"/>
            </w:tcBorders>
            <w:noWrap/>
            <w:tcMar>
              <w:top w:w="0" w:type="dxa"/>
              <w:left w:w="0" w:type="dxa"/>
              <w:bottom w:w="0" w:type="dxa"/>
              <w:right w:w="0" w:type="dxa"/>
            </w:tcMar>
            <w:vAlign w:val="center"/>
          </w:tcPr>
          <w:p w14:paraId="716899D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18.14</w:t>
            </w:r>
          </w:p>
        </w:tc>
        <w:tc>
          <w:tcPr>
            <w:tcW w:w="604" w:type="dxa"/>
            <w:tcBorders>
              <w:tl2br w:val="nil"/>
              <w:tr2bl w:val="nil"/>
            </w:tcBorders>
            <w:noWrap/>
            <w:tcMar>
              <w:top w:w="0" w:type="dxa"/>
              <w:left w:w="0" w:type="dxa"/>
              <w:bottom w:w="0" w:type="dxa"/>
              <w:right w:w="0" w:type="dxa"/>
            </w:tcMar>
            <w:vAlign w:val="center"/>
          </w:tcPr>
          <w:p w14:paraId="2740F8B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17.62</w:t>
            </w:r>
          </w:p>
        </w:tc>
        <w:tc>
          <w:tcPr>
            <w:tcW w:w="191" w:type="dxa"/>
            <w:tcBorders>
              <w:tl2br w:val="nil"/>
              <w:tr2bl w:val="nil"/>
            </w:tcBorders>
            <w:noWrap/>
            <w:tcMar>
              <w:top w:w="0" w:type="dxa"/>
              <w:left w:w="0" w:type="dxa"/>
              <w:bottom w:w="0" w:type="dxa"/>
              <w:right w:w="0" w:type="dxa"/>
            </w:tcMar>
            <w:vAlign w:val="center"/>
          </w:tcPr>
          <w:p w14:paraId="44357E14">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307607DF">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29.04</w:t>
            </w:r>
          </w:p>
        </w:tc>
        <w:tc>
          <w:tcPr>
            <w:tcW w:w="489" w:type="dxa"/>
            <w:tcBorders>
              <w:tl2br w:val="nil"/>
              <w:tr2bl w:val="nil"/>
            </w:tcBorders>
            <w:noWrap/>
            <w:tcMar>
              <w:top w:w="0" w:type="dxa"/>
              <w:left w:w="0" w:type="dxa"/>
              <w:bottom w:w="0" w:type="dxa"/>
              <w:right w:w="0" w:type="dxa"/>
            </w:tcMar>
            <w:vAlign w:val="center"/>
          </w:tcPr>
          <w:p w14:paraId="451470C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2.09</w:t>
            </w:r>
          </w:p>
        </w:tc>
        <w:tc>
          <w:tcPr>
            <w:tcW w:w="489" w:type="dxa"/>
            <w:tcBorders>
              <w:tl2br w:val="nil"/>
              <w:tr2bl w:val="nil"/>
            </w:tcBorders>
            <w:noWrap/>
            <w:tcMar>
              <w:top w:w="0" w:type="dxa"/>
              <w:left w:w="0" w:type="dxa"/>
              <w:bottom w:w="0" w:type="dxa"/>
              <w:right w:w="0" w:type="dxa"/>
            </w:tcMar>
            <w:vAlign w:val="center"/>
          </w:tcPr>
          <w:p w14:paraId="2C87FE06">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28.89</w:t>
            </w:r>
          </w:p>
        </w:tc>
        <w:tc>
          <w:tcPr>
            <w:tcW w:w="482" w:type="dxa"/>
            <w:tcBorders>
              <w:tl2br w:val="nil"/>
              <w:tr2bl w:val="nil"/>
            </w:tcBorders>
            <w:noWrap/>
            <w:tcMar>
              <w:top w:w="0" w:type="dxa"/>
              <w:left w:w="0" w:type="dxa"/>
              <w:bottom w:w="0" w:type="dxa"/>
              <w:right w:w="0" w:type="dxa"/>
            </w:tcMar>
            <w:vAlign w:val="center"/>
          </w:tcPr>
          <w:p w14:paraId="11BE26A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15.08</w:t>
            </w:r>
          </w:p>
        </w:tc>
        <w:tc>
          <w:tcPr>
            <w:tcW w:w="442" w:type="dxa"/>
            <w:tcBorders>
              <w:tl2br w:val="nil"/>
              <w:tr2bl w:val="nil"/>
            </w:tcBorders>
            <w:noWrap/>
            <w:tcMar>
              <w:top w:w="0" w:type="dxa"/>
              <w:left w:w="0" w:type="dxa"/>
              <w:bottom w:w="0" w:type="dxa"/>
              <w:right w:w="0" w:type="dxa"/>
            </w:tcMar>
            <w:vAlign w:val="center"/>
          </w:tcPr>
          <w:p w14:paraId="598262CA">
            <w:pPr>
              <w:pStyle w:val="42"/>
              <w:keepNext w:val="0"/>
              <w:keepLines w:val="0"/>
              <w:suppressLineNumbers w:val="0"/>
              <w:bidi w:val="0"/>
              <w:spacing w:before="0" w:beforeAutospacing="0" w:after="0" w:afterAutospacing="0"/>
              <w:jc w:val="center"/>
              <w:rPr>
                <w:rFonts w:hint="default"/>
              </w:rPr>
            </w:pPr>
            <w:r>
              <w:rPr>
                <w:rFonts w:hint="default"/>
                <w:lang w:val="en-US" w:eastAsia="zh-CN"/>
              </w:rPr>
              <w:t>50.7</w:t>
            </w:r>
          </w:p>
        </w:tc>
        <w:tc>
          <w:tcPr>
            <w:tcW w:w="442" w:type="dxa"/>
            <w:tcBorders>
              <w:tl2br w:val="nil"/>
              <w:tr2bl w:val="nil"/>
            </w:tcBorders>
            <w:noWrap/>
            <w:tcMar>
              <w:top w:w="0" w:type="dxa"/>
              <w:left w:w="0" w:type="dxa"/>
              <w:bottom w:w="0" w:type="dxa"/>
              <w:right w:w="0" w:type="dxa"/>
            </w:tcMar>
            <w:vAlign w:val="center"/>
          </w:tcPr>
          <w:p w14:paraId="4BE2C9D1">
            <w:pPr>
              <w:pStyle w:val="42"/>
              <w:keepNext w:val="0"/>
              <w:keepLines w:val="0"/>
              <w:suppressLineNumbers w:val="0"/>
              <w:bidi w:val="0"/>
              <w:spacing w:before="0" w:beforeAutospacing="0" w:after="0" w:afterAutospacing="0"/>
              <w:jc w:val="center"/>
              <w:rPr>
                <w:rFonts w:hint="default"/>
              </w:rPr>
            </w:pPr>
            <w:r>
              <w:rPr>
                <w:rFonts w:hint="default"/>
                <w:lang w:val="en-US" w:eastAsia="zh-CN"/>
              </w:rPr>
              <w:t>73.6</w:t>
            </w:r>
          </w:p>
        </w:tc>
        <w:tc>
          <w:tcPr>
            <w:tcW w:w="442" w:type="dxa"/>
            <w:tcBorders>
              <w:tl2br w:val="nil"/>
              <w:tr2bl w:val="nil"/>
            </w:tcBorders>
            <w:noWrap/>
            <w:tcMar>
              <w:top w:w="0" w:type="dxa"/>
              <w:left w:w="0" w:type="dxa"/>
              <w:bottom w:w="0" w:type="dxa"/>
              <w:right w:w="0" w:type="dxa"/>
            </w:tcMar>
            <w:vAlign w:val="center"/>
          </w:tcPr>
          <w:p w14:paraId="198CAB83">
            <w:pPr>
              <w:pStyle w:val="42"/>
              <w:keepNext w:val="0"/>
              <w:keepLines w:val="0"/>
              <w:suppressLineNumbers w:val="0"/>
              <w:bidi w:val="0"/>
              <w:spacing w:before="0" w:beforeAutospacing="0" w:after="0" w:afterAutospacing="0"/>
              <w:jc w:val="center"/>
              <w:rPr>
                <w:rFonts w:hint="default"/>
              </w:rPr>
            </w:pPr>
            <w:r>
              <w:rPr>
                <w:rFonts w:hint="default"/>
                <w:lang w:val="en-US" w:eastAsia="zh-CN"/>
              </w:rPr>
              <w:t>50.8</w:t>
            </w:r>
          </w:p>
        </w:tc>
        <w:tc>
          <w:tcPr>
            <w:tcW w:w="441" w:type="dxa"/>
            <w:tcBorders>
              <w:tl2br w:val="nil"/>
              <w:tr2bl w:val="nil"/>
            </w:tcBorders>
            <w:noWrap/>
            <w:tcMar>
              <w:top w:w="0" w:type="dxa"/>
              <w:left w:w="0" w:type="dxa"/>
              <w:bottom w:w="0" w:type="dxa"/>
              <w:right w:w="0" w:type="dxa"/>
            </w:tcMar>
            <w:vAlign w:val="center"/>
          </w:tcPr>
          <w:p w14:paraId="2219D521">
            <w:pPr>
              <w:pStyle w:val="42"/>
              <w:keepNext w:val="0"/>
              <w:keepLines w:val="0"/>
              <w:suppressLineNumbers w:val="0"/>
              <w:bidi w:val="0"/>
              <w:spacing w:before="0" w:beforeAutospacing="0" w:after="0" w:afterAutospacing="0"/>
              <w:jc w:val="center"/>
              <w:rPr>
                <w:rFonts w:hint="default"/>
              </w:rPr>
            </w:pPr>
            <w:r>
              <w:rPr>
                <w:rFonts w:hint="default"/>
                <w:lang w:val="en-US" w:eastAsia="zh-CN"/>
              </w:rPr>
              <w:t>56.4</w:t>
            </w:r>
          </w:p>
        </w:tc>
        <w:tc>
          <w:tcPr>
            <w:tcW w:w="825" w:type="dxa"/>
            <w:tcBorders>
              <w:tl2br w:val="nil"/>
              <w:tr2bl w:val="nil"/>
            </w:tcBorders>
            <w:noWrap/>
            <w:tcMar>
              <w:top w:w="0" w:type="dxa"/>
              <w:left w:w="0" w:type="dxa"/>
              <w:bottom w:w="0" w:type="dxa"/>
              <w:right w:w="0" w:type="dxa"/>
            </w:tcMar>
            <w:vAlign w:val="center"/>
          </w:tcPr>
          <w:p w14:paraId="7E8977D6">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208B401D">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14C310EE">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4C01739D">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472E2C11">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0454C4E5">
            <w:pPr>
              <w:pStyle w:val="42"/>
              <w:keepNext w:val="0"/>
              <w:keepLines w:val="0"/>
              <w:suppressLineNumbers w:val="0"/>
              <w:bidi w:val="0"/>
              <w:spacing w:before="0" w:beforeAutospacing="0" w:after="0" w:afterAutospacing="0"/>
              <w:jc w:val="center"/>
              <w:rPr>
                <w:rFonts w:hint="default"/>
              </w:rPr>
            </w:pPr>
            <w:r>
              <w:rPr>
                <w:rFonts w:hint="default"/>
                <w:lang w:val="en-US" w:eastAsia="zh-CN"/>
              </w:rPr>
              <w:t>30.7</w:t>
            </w:r>
          </w:p>
        </w:tc>
        <w:tc>
          <w:tcPr>
            <w:tcW w:w="393" w:type="dxa"/>
            <w:tcBorders>
              <w:tl2br w:val="nil"/>
              <w:tr2bl w:val="nil"/>
            </w:tcBorders>
            <w:noWrap/>
            <w:tcMar>
              <w:top w:w="0" w:type="dxa"/>
              <w:left w:w="0" w:type="dxa"/>
              <w:bottom w:w="0" w:type="dxa"/>
              <w:right w:w="0" w:type="dxa"/>
            </w:tcMar>
            <w:vAlign w:val="center"/>
          </w:tcPr>
          <w:p w14:paraId="566DABB8">
            <w:pPr>
              <w:pStyle w:val="42"/>
              <w:keepNext w:val="0"/>
              <w:keepLines w:val="0"/>
              <w:suppressLineNumbers w:val="0"/>
              <w:bidi w:val="0"/>
              <w:spacing w:before="0" w:beforeAutospacing="0" w:after="0" w:afterAutospacing="0"/>
              <w:jc w:val="center"/>
              <w:rPr>
                <w:rFonts w:hint="default"/>
              </w:rPr>
            </w:pPr>
            <w:r>
              <w:rPr>
                <w:rFonts w:hint="default"/>
                <w:lang w:val="en-US" w:eastAsia="zh-CN"/>
              </w:rPr>
              <w:t>53.6</w:t>
            </w:r>
          </w:p>
        </w:tc>
        <w:tc>
          <w:tcPr>
            <w:tcW w:w="393" w:type="dxa"/>
            <w:tcBorders>
              <w:tl2br w:val="nil"/>
              <w:tr2bl w:val="nil"/>
            </w:tcBorders>
            <w:noWrap/>
            <w:tcMar>
              <w:top w:w="0" w:type="dxa"/>
              <w:left w:w="0" w:type="dxa"/>
              <w:bottom w:w="0" w:type="dxa"/>
              <w:right w:w="0" w:type="dxa"/>
            </w:tcMar>
            <w:vAlign w:val="center"/>
          </w:tcPr>
          <w:p w14:paraId="7F491D3E">
            <w:pPr>
              <w:pStyle w:val="42"/>
              <w:keepNext w:val="0"/>
              <w:keepLines w:val="0"/>
              <w:suppressLineNumbers w:val="0"/>
              <w:bidi w:val="0"/>
              <w:spacing w:before="0" w:beforeAutospacing="0" w:after="0" w:afterAutospacing="0"/>
              <w:jc w:val="center"/>
              <w:rPr>
                <w:rFonts w:hint="default"/>
              </w:rPr>
            </w:pPr>
            <w:r>
              <w:rPr>
                <w:rFonts w:hint="default"/>
                <w:lang w:val="en-US" w:eastAsia="zh-CN"/>
              </w:rPr>
              <w:t>30.8</w:t>
            </w:r>
          </w:p>
        </w:tc>
        <w:tc>
          <w:tcPr>
            <w:tcW w:w="393" w:type="dxa"/>
            <w:tcBorders>
              <w:tl2br w:val="nil"/>
              <w:tr2bl w:val="nil"/>
            </w:tcBorders>
            <w:noWrap/>
            <w:tcMar>
              <w:top w:w="0" w:type="dxa"/>
              <w:left w:w="0" w:type="dxa"/>
              <w:bottom w:w="0" w:type="dxa"/>
              <w:right w:w="0" w:type="dxa"/>
            </w:tcMar>
            <w:vAlign w:val="center"/>
          </w:tcPr>
          <w:p w14:paraId="25F62BDE">
            <w:pPr>
              <w:pStyle w:val="42"/>
              <w:keepNext w:val="0"/>
              <w:keepLines w:val="0"/>
              <w:suppressLineNumbers w:val="0"/>
              <w:bidi w:val="0"/>
              <w:spacing w:before="0" w:beforeAutospacing="0" w:after="0" w:afterAutospacing="0"/>
              <w:jc w:val="center"/>
              <w:rPr>
                <w:rFonts w:hint="default"/>
              </w:rPr>
            </w:pPr>
            <w:r>
              <w:rPr>
                <w:rFonts w:hint="default"/>
                <w:lang w:val="en-US" w:eastAsia="zh-CN"/>
              </w:rPr>
              <w:t>36.4</w:t>
            </w:r>
          </w:p>
        </w:tc>
        <w:tc>
          <w:tcPr>
            <w:tcW w:w="1178" w:type="dxa"/>
            <w:tcBorders>
              <w:tl2br w:val="nil"/>
              <w:tr2bl w:val="nil"/>
            </w:tcBorders>
            <w:noWrap/>
            <w:tcMar>
              <w:top w:w="0" w:type="dxa"/>
              <w:left w:w="0" w:type="dxa"/>
              <w:bottom w:w="0" w:type="dxa"/>
              <w:right w:w="0" w:type="dxa"/>
            </w:tcMar>
            <w:vAlign w:val="center"/>
          </w:tcPr>
          <w:p w14:paraId="5FCD43F9">
            <w:pPr>
              <w:pStyle w:val="42"/>
              <w:keepNext w:val="0"/>
              <w:keepLines w:val="0"/>
              <w:suppressLineNumbers w:val="0"/>
              <w:bidi w:val="0"/>
              <w:spacing w:before="0" w:beforeAutospacing="0" w:after="0" w:afterAutospacing="0"/>
              <w:jc w:val="center"/>
              <w:rPr>
                <w:rFonts w:hint="default"/>
              </w:rPr>
            </w:pPr>
            <w:r>
              <w:rPr>
                <w:rFonts w:hint="default"/>
              </w:rPr>
              <w:t>1</w:t>
            </w:r>
          </w:p>
        </w:tc>
      </w:tr>
      <w:tr w14:paraId="671BA4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00F2FD7B">
            <w:pPr>
              <w:pStyle w:val="42"/>
              <w:keepNext w:val="0"/>
              <w:keepLines w:val="0"/>
              <w:suppressLineNumbers w:val="0"/>
              <w:bidi w:val="0"/>
              <w:spacing w:before="0" w:beforeAutospacing="0" w:after="0" w:afterAutospacing="0"/>
              <w:jc w:val="center"/>
              <w:rPr>
                <w:rFonts w:hint="default"/>
                <w:lang w:val="en-US" w:eastAsia="zh-CN"/>
              </w:rPr>
            </w:pPr>
            <w:r>
              <w:rPr>
                <w:rFonts w:hint="default"/>
              </w:rPr>
              <w:t>5</w:t>
            </w:r>
          </w:p>
        </w:tc>
        <w:tc>
          <w:tcPr>
            <w:tcW w:w="1167" w:type="dxa"/>
            <w:vMerge w:val="continue"/>
            <w:tcBorders>
              <w:tl2br w:val="nil"/>
              <w:tr2bl w:val="nil"/>
            </w:tcBorders>
            <w:noWrap/>
            <w:tcMar>
              <w:top w:w="0" w:type="dxa"/>
              <w:left w:w="0" w:type="dxa"/>
              <w:bottom w:w="0" w:type="dxa"/>
              <w:right w:w="0" w:type="dxa"/>
            </w:tcMar>
            <w:vAlign w:val="center"/>
          </w:tcPr>
          <w:p w14:paraId="165735B8">
            <w:pPr>
              <w:pStyle w:val="42"/>
              <w:keepNext w:val="0"/>
              <w:keepLines w:val="0"/>
              <w:suppressLineNumbers w:val="0"/>
              <w:bidi w:val="0"/>
              <w:spacing w:before="0" w:beforeAutospacing="0" w:after="0" w:afterAutospacing="0"/>
              <w:jc w:val="center"/>
              <w:rPr>
                <w:rFonts w:hint="default"/>
              </w:rPr>
            </w:pPr>
          </w:p>
        </w:tc>
        <w:tc>
          <w:tcPr>
            <w:tcW w:w="975" w:type="dxa"/>
            <w:tcBorders>
              <w:tl2br w:val="nil"/>
              <w:tr2bl w:val="nil"/>
            </w:tcBorders>
            <w:shd w:val="clear" w:color="auto" w:fill="auto"/>
            <w:noWrap/>
            <w:tcMar>
              <w:top w:w="0" w:type="dxa"/>
              <w:left w:w="0" w:type="dxa"/>
              <w:bottom w:w="0" w:type="dxa"/>
              <w:right w:w="0" w:type="dxa"/>
            </w:tcMar>
            <w:vAlign w:val="center"/>
          </w:tcPr>
          <w:p w14:paraId="30DAB98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空压机</w:t>
            </w:r>
          </w:p>
        </w:tc>
        <w:tc>
          <w:tcPr>
            <w:tcW w:w="1370" w:type="dxa"/>
            <w:tcBorders>
              <w:tl2br w:val="nil"/>
              <w:tr2bl w:val="nil"/>
            </w:tcBorders>
            <w:shd w:val="clear" w:color="auto" w:fill="auto"/>
            <w:noWrap/>
            <w:tcMar>
              <w:top w:w="0" w:type="dxa"/>
              <w:left w:w="0" w:type="dxa"/>
              <w:bottom w:w="0" w:type="dxa"/>
              <w:right w:w="0" w:type="dxa"/>
            </w:tcMar>
            <w:vAlign w:val="center"/>
          </w:tcPr>
          <w:p w14:paraId="737949E8">
            <w:pPr>
              <w:pStyle w:val="42"/>
              <w:keepNext w:val="0"/>
              <w:keepLines w:val="0"/>
              <w:suppressLineNumbers w:val="0"/>
              <w:bidi w:val="0"/>
              <w:spacing w:before="0" w:beforeAutospacing="0" w:after="0" w:afterAutospacing="0"/>
              <w:jc w:val="center"/>
              <w:rPr>
                <w:rFonts w:hint="default"/>
                <w:lang w:val="en-US" w:eastAsia="zh-CN"/>
              </w:rPr>
            </w:pPr>
            <w:r>
              <w:rPr>
                <w:rFonts w:hint="default"/>
              </w:rPr>
              <w:t>80</w:t>
            </w:r>
          </w:p>
        </w:tc>
        <w:tc>
          <w:tcPr>
            <w:tcW w:w="604" w:type="dxa"/>
            <w:tcBorders>
              <w:tl2br w:val="nil"/>
              <w:tr2bl w:val="nil"/>
            </w:tcBorders>
            <w:noWrap/>
            <w:tcMar>
              <w:top w:w="0" w:type="dxa"/>
              <w:left w:w="0" w:type="dxa"/>
              <w:bottom w:w="0" w:type="dxa"/>
              <w:right w:w="0" w:type="dxa"/>
            </w:tcMar>
            <w:vAlign w:val="center"/>
          </w:tcPr>
          <w:p w14:paraId="4AD7CA05">
            <w:pPr>
              <w:pStyle w:val="42"/>
              <w:keepNext w:val="0"/>
              <w:keepLines w:val="0"/>
              <w:suppressLineNumbers w:val="0"/>
              <w:bidi w:val="0"/>
              <w:spacing w:before="0" w:beforeAutospacing="0" w:after="0" w:afterAutospacing="0"/>
              <w:jc w:val="center"/>
              <w:rPr>
                <w:rFonts w:hint="default"/>
              </w:rPr>
            </w:pPr>
            <w:r>
              <w:rPr>
                <w:rFonts w:hint="eastAsia"/>
                <w:lang w:val="en-US" w:eastAsia="zh-CN"/>
              </w:rPr>
              <w:t>15.00</w:t>
            </w:r>
          </w:p>
        </w:tc>
        <w:tc>
          <w:tcPr>
            <w:tcW w:w="604" w:type="dxa"/>
            <w:tcBorders>
              <w:tl2br w:val="nil"/>
              <w:tr2bl w:val="nil"/>
            </w:tcBorders>
            <w:noWrap/>
            <w:tcMar>
              <w:top w:w="0" w:type="dxa"/>
              <w:left w:w="0" w:type="dxa"/>
              <w:bottom w:w="0" w:type="dxa"/>
              <w:right w:w="0" w:type="dxa"/>
            </w:tcMar>
            <w:vAlign w:val="center"/>
          </w:tcPr>
          <w:p w14:paraId="2C3FED9F">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16.87</w:t>
            </w:r>
          </w:p>
        </w:tc>
        <w:tc>
          <w:tcPr>
            <w:tcW w:w="191" w:type="dxa"/>
            <w:tcBorders>
              <w:tl2br w:val="nil"/>
              <w:tr2bl w:val="nil"/>
            </w:tcBorders>
            <w:noWrap/>
            <w:tcMar>
              <w:top w:w="0" w:type="dxa"/>
              <w:left w:w="0" w:type="dxa"/>
              <w:bottom w:w="0" w:type="dxa"/>
              <w:right w:w="0" w:type="dxa"/>
            </w:tcMar>
            <w:vAlign w:val="center"/>
          </w:tcPr>
          <w:p w14:paraId="798AB082">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2BFA2D5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32.17</w:t>
            </w:r>
          </w:p>
        </w:tc>
        <w:tc>
          <w:tcPr>
            <w:tcW w:w="489" w:type="dxa"/>
            <w:tcBorders>
              <w:tl2br w:val="nil"/>
              <w:tr2bl w:val="nil"/>
            </w:tcBorders>
            <w:noWrap/>
            <w:tcMar>
              <w:top w:w="0" w:type="dxa"/>
              <w:left w:w="0" w:type="dxa"/>
              <w:bottom w:w="0" w:type="dxa"/>
              <w:right w:w="0" w:type="dxa"/>
            </w:tcMar>
            <w:vAlign w:val="center"/>
          </w:tcPr>
          <w:p w14:paraId="57B7C4C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1.34</w:t>
            </w:r>
          </w:p>
        </w:tc>
        <w:tc>
          <w:tcPr>
            <w:tcW w:w="489" w:type="dxa"/>
            <w:tcBorders>
              <w:tl2br w:val="nil"/>
              <w:tr2bl w:val="nil"/>
            </w:tcBorders>
            <w:noWrap/>
            <w:tcMar>
              <w:top w:w="0" w:type="dxa"/>
              <w:left w:w="0" w:type="dxa"/>
              <w:bottom w:w="0" w:type="dxa"/>
              <w:right w:w="0" w:type="dxa"/>
            </w:tcMar>
            <w:vAlign w:val="center"/>
          </w:tcPr>
          <w:p w14:paraId="72C59D6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25.75</w:t>
            </w:r>
          </w:p>
        </w:tc>
        <w:tc>
          <w:tcPr>
            <w:tcW w:w="482" w:type="dxa"/>
            <w:tcBorders>
              <w:tl2br w:val="nil"/>
              <w:tr2bl w:val="nil"/>
            </w:tcBorders>
            <w:noWrap/>
            <w:tcMar>
              <w:top w:w="0" w:type="dxa"/>
              <w:left w:w="0" w:type="dxa"/>
              <w:bottom w:w="0" w:type="dxa"/>
              <w:right w:w="0" w:type="dxa"/>
            </w:tcMar>
            <w:vAlign w:val="center"/>
          </w:tcPr>
          <w:p w14:paraId="4EB8F33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15.82</w:t>
            </w:r>
          </w:p>
        </w:tc>
        <w:tc>
          <w:tcPr>
            <w:tcW w:w="442" w:type="dxa"/>
            <w:tcBorders>
              <w:tl2br w:val="nil"/>
              <w:tr2bl w:val="nil"/>
            </w:tcBorders>
            <w:noWrap/>
            <w:tcMar>
              <w:top w:w="0" w:type="dxa"/>
              <w:left w:w="0" w:type="dxa"/>
              <w:bottom w:w="0" w:type="dxa"/>
              <w:right w:w="0" w:type="dxa"/>
            </w:tcMar>
            <w:vAlign w:val="center"/>
          </w:tcPr>
          <w:p w14:paraId="08BAF266">
            <w:pPr>
              <w:pStyle w:val="42"/>
              <w:keepNext w:val="0"/>
              <w:keepLines w:val="0"/>
              <w:suppressLineNumbers w:val="0"/>
              <w:bidi w:val="0"/>
              <w:spacing w:before="0" w:beforeAutospacing="0" w:after="0" w:afterAutospacing="0"/>
              <w:jc w:val="center"/>
              <w:rPr>
                <w:rFonts w:hint="default"/>
              </w:rPr>
            </w:pPr>
            <w:r>
              <w:rPr>
                <w:rFonts w:hint="default"/>
                <w:lang w:val="en-US" w:eastAsia="zh-CN"/>
              </w:rPr>
              <w:t>49.9</w:t>
            </w:r>
          </w:p>
        </w:tc>
        <w:tc>
          <w:tcPr>
            <w:tcW w:w="442" w:type="dxa"/>
            <w:tcBorders>
              <w:tl2br w:val="nil"/>
              <w:tr2bl w:val="nil"/>
            </w:tcBorders>
            <w:noWrap/>
            <w:tcMar>
              <w:top w:w="0" w:type="dxa"/>
              <w:left w:w="0" w:type="dxa"/>
              <w:bottom w:w="0" w:type="dxa"/>
              <w:right w:w="0" w:type="dxa"/>
            </w:tcMar>
            <w:vAlign w:val="center"/>
          </w:tcPr>
          <w:p w14:paraId="769C5D72">
            <w:pPr>
              <w:pStyle w:val="42"/>
              <w:keepNext w:val="0"/>
              <w:keepLines w:val="0"/>
              <w:suppressLineNumbers w:val="0"/>
              <w:bidi w:val="0"/>
              <w:spacing w:before="0" w:beforeAutospacing="0" w:after="0" w:afterAutospacing="0"/>
              <w:jc w:val="center"/>
              <w:rPr>
                <w:rFonts w:hint="default"/>
              </w:rPr>
            </w:pPr>
            <w:r>
              <w:rPr>
                <w:rFonts w:hint="default"/>
                <w:lang w:val="en-US" w:eastAsia="zh-CN"/>
              </w:rPr>
              <w:t>77.5</w:t>
            </w:r>
          </w:p>
        </w:tc>
        <w:tc>
          <w:tcPr>
            <w:tcW w:w="442" w:type="dxa"/>
            <w:tcBorders>
              <w:tl2br w:val="nil"/>
              <w:tr2bl w:val="nil"/>
            </w:tcBorders>
            <w:noWrap/>
            <w:tcMar>
              <w:top w:w="0" w:type="dxa"/>
              <w:left w:w="0" w:type="dxa"/>
              <w:bottom w:w="0" w:type="dxa"/>
              <w:right w:w="0" w:type="dxa"/>
            </w:tcMar>
            <w:vAlign w:val="center"/>
          </w:tcPr>
          <w:p w14:paraId="66A333C3">
            <w:pPr>
              <w:pStyle w:val="42"/>
              <w:keepNext w:val="0"/>
              <w:keepLines w:val="0"/>
              <w:suppressLineNumbers w:val="0"/>
              <w:bidi w:val="0"/>
              <w:spacing w:before="0" w:beforeAutospacing="0" w:after="0" w:afterAutospacing="0"/>
              <w:jc w:val="center"/>
              <w:rPr>
                <w:rFonts w:hint="default"/>
              </w:rPr>
            </w:pPr>
            <w:r>
              <w:rPr>
                <w:rFonts w:hint="default"/>
                <w:lang w:val="en-US" w:eastAsia="zh-CN"/>
              </w:rPr>
              <w:t>51.8</w:t>
            </w:r>
          </w:p>
        </w:tc>
        <w:tc>
          <w:tcPr>
            <w:tcW w:w="441" w:type="dxa"/>
            <w:tcBorders>
              <w:tl2br w:val="nil"/>
              <w:tr2bl w:val="nil"/>
            </w:tcBorders>
            <w:noWrap/>
            <w:tcMar>
              <w:top w:w="0" w:type="dxa"/>
              <w:left w:w="0" w:type="dxa"/>
              <w:bottom w:w="0" w:type="dxa"/>
              <w:right w:w="0" w:type="dxa"/>
            </w:tcMar>
            <w:vAlign w:val="center"/>
          </w:tcPr>
          <w:p w14:paraId="52D39ACC">
            <w:pPr>
              <w:pStyle w:val="42"/>
              <w:keepNext w:val="0"/>
              <w:keepLines w:val="0"/>
              <w:suppressLineNumbers w:val="0"/>
              <w:bidi w:val="0"/>
              <w:spacing w:before="0" w:beforeAutospacing="0" w:after="0" w:afterAutospacing="0"/>
              <w:jc w:val="center"/>
              <w:rPr>
                <w:rFonts w:hint="default"/>
              </w:rPr>
            </w:pPr>
            <w:r>
              <w:rPr>
                <w:rFonts w:hint="default"/>
                <w:lang w:val="en-US" w:eastAsia="zh-CN"/>
              </w:rPr>
              <w:t>56.0</w:t>
            </w:r>
          </w:p>
        </w:tc>
        <w:tc>
          <w:tcPr>
            <w:tcW w:w="825" w:type="dxa"/>
            <w:tcBorders>
              <w:tl2br w:val="nil"/>
              <w:tr2bl w:val="nil"/>
            </w:tcBorders>
            <w:noWrap/>
            <w:tcMar>
              <w:top w:w="0" w:type="dxa"/>
              <w:left w:w="0" w:type="dxa"/>
              <w:bottom w:w="0" w:type="dxa"/>
              <w:right w:w="0" w:type="dxa"/>
            </w:tcMar>
            <w:vAlign w:val="center"/>
          </w:tcPr>
          <w:p w14:paraId="2B0BFB33">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01DD3FE5">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183059E4">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6D11729F">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2B584C03">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323A8E0F">
            <w:pPr>
              <w:pStyle w:val="42"/>
              <w:keepNext w:val="0"/>
              <w:keepLines w:val="0"/>
              <w:suppressLineNumbers w:val="0"/>
              <w:bidi w:val="0"/>
              <w:spacing w:before="0" w:beforeAutospacing="0" w:after="0" w:afterAutospacing="0"/>
              <w:jc w:val="center"/>
              <w:rPr>
                <w:rFonts w:hint="default"/>
              </w:rPr>
            </w:pPr>
            <w:r>
              <w:rPr>
                <w:rFonts w:hint="default"/>
                <w:lang w:val="en-US" w:eastAsia="zh-CN"/>
              </w:rPr>
              <w:t>29.9</w:t>
            </w:r>
          </w:p>
        </w:tc>
        <w:tc>
          <w:tcPr>
            <w:tcW w:w="393" w:type="dxa"/>
            <w:tcBorders>
              <w:tl2br w:val="nil"/>
              <w:tr2bl w:val="nil"/>
            </w:tcBorders>
            <w:noWrap/>
            <w:tcMar>
              <w:top w:w="0" w:type="dxa"/>
              <w:left w:w="0" w:type="dxa"/>
              <w:bottom w:w="0" w:type="dxa"/>
              <w:right w:w="0" w:type="dxa"/>
            </w:tcMar>
            <w:vAlign w:val="center"/>
          </w:tcPr>
          <w:p w14:paraId="7251B10B">
            <w:pPr>
              <w:pStyle w:val="42"/>
              <w:keepNext w:val="0"/>
              <w:keepLines w:val="0"/>
              <w:suppressLineNumbers w:val="0"/>
              <w:bidi w:val="0"/>
              <w:spacing w:before="0" w:beforeAutospacing="0" w:after="0" w:afterAutospacing="0"/>
              <w:jc w:val="center"/>
              <w:rPr>
                <w:rFonts w:hint="default"/>
              </w:rPr>
            </w:pPr>
            <w:r>
              <w:rPr>
                <w:rFonts w:hint="default"/>
                <w:lang w:val="en-US" w:eastAsia="zh-CN"/>
              </w:rPr>
              <w:t>57.5</w:t>
            </w:r>
          </w:p>
        </w:tc>
        <w:tc>
          <w:tcPr>
            <w:tcW w:w="393" w:type="dxa"/>
            <w:tcBorders>
              <w:tl2br w:val="nil"/>
              <w:tr2bl w:val="nil"/>
            </w:tcBorders>
            <w:noWrap/>
            <w:tcMar>
              <w:top w:w="0" w:type="dxa"/>
              <w:left w:w="0" w:type="dxa"/>
              <w:bottom w:w="0" w:type="dxa"/>
              <w:right w:w="0" w:type="dxa"/>
            </w:tcMar>
            <w:vAlign w:val="center"/>
          </w:tcPr>
          <w:p w14:paraId="633D05F0">
            <w:pPr>
              <w:pStyle w:val="42"/>
              <w:keepNext w:val="0"/>
              <w:keepLines w:val="0"/>
              <w:suppressLineNumbers w:val="0"/>
              <w:bidi w:val="0"/>
              <w:spacing w:before="0" w:beforeAutospacing="0" w:after="0" w:afterAutospacing="0"/>
              <w:jc w:val="center"/>
              <w:rPr>
                <w:rFonts w:hint="default"/>
              </w:rPr>
            </w:pPr>
            <w:r>
              <w:rPr>
                <w:rFonts w:hint="default"/>
                <w:lang w:val="en-US" w:eastAsia="zh-CN"/>
              </w:rPr>
              <w:t>31.8</w:t>
            </w:r>
          </w:p>
        </w:tc>
        <w:tc>
          <w:tcPr>
            <w:tcW w:w="393" w:type="dxa"/>
            <w:tcBorders>
              <w:tl2br w:val="nil"/>
              <w:tr2bl w:val="nil"/>
            </w:tcBorders>
            <w:noWrap/>
            <w:tcMar>
              <w:top w:w="0" w:type="dxa"/>
              <w:left w:w="0" w:type="dxa"/>
              <w:bottom w:w="0" w:type="dxa"/>
              <w:right w:w="0" w:type="dxa"/>
            </w:tcMar>
            <w:vAlign w:val="center"/>
          </w:tcPr>
          <w:p w14:paraId="5CDF460E">
            <w:pPr>
              <w:pStyle w:val="42"/>
              <w:keepNext w:val="0"/>
              <w:keepLines w:val="0"/>
              <w:suppressLineNumbers w:val="0"/>
              <w:bidi w:val="0"/>
              <w:spacing w:before="0" w:beforeAutospacing="0" w:after="0" w:afterAutospacing="0"/>
              <w:jc w:val="center"/>
              <w:rPr>
                <w:rFonts w:hint="default"/>
              </w:rPr>
            </w:pPr>
            <w:r>
              <w:rPr>
                <w:rFonts w:hint="default"/>
                <w:lang w:val="en-US" w:eastAsia="zh-CN"/>
              </w:rPr>
              <w:t>36.0</w:t>
            </w:r>
          </w:p>
        </w:tc>
        <w:tc>
          <w:tcPr>
            <w:tcW w:w="1178" w:type="dxa"/>
            <w:tcBorders>
              <w:tl2br w:val="nil"/>
              <w:tr2bl w:val="nil"/>
            </w:tcBorders>
            <w:noWrap/>
            <w:tcMar>
              <w:top w:w="0" w:type="dxa"/>
              <w:left w:w="0" w:type="dxa"/>
              <w:bottom w:w="0" w:type="dxa"/>
              <w:right w:w="0" w:type="dxa"/>
            </w:tcMar>
            <w:vAlign w:val="center"/>
          </w:tcPr>
          <w:p w14:paraId="565C7D6F">
            <w:pPr>
              <w:pStyle w:val="42"/>
              <w:keepNext w:val="0"/>
              <w:keepLines w:val="0"/>
              <w:suppressLineNumbers w:val="0"/>
              <w:bidi w:val="0"/>
              <w:spacing w:before="0" w:beforeAutospacing="0" w:after="0" w:afterAutospacing="0"/>
              <w:jc w:val="center"/>
              <w:rPr>
                <w:rFonts w:hint="default"/>
              </w:rPr>
            </w:pPr>
            <w:r>
              <w:rPr>
                <w:rFonts w:hint="default"/>
              </w:rPr>
              <w:t>1</w:t>
            </w:r>
          </w:p>
        </w:tc>
      </w:tr>
      <w:tr w14:paraId="615B81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1AE8311B">
            <w:pPr>
              <w:pStyle w:val="42"/>
              <w:keepNext w:val="0"/>
              <w:keepLines w:val="0"/>
              <w:suppressLineNumbers w:val="0"/>
              <w:bidi w:val="0"/>
              <w:spacing w:before="0" w:beforeAutospacing="0" w:after="0" w:afterAutospacing="0"/>
              <w:jc w:val="center"/>
              <w:rPr>
                <w:rFonts w:hint="default"/>
                <w:lang w:val="en-US" w:eastAsia="zh-CN"/>
              </w:rPr>
            </w:pPr>
            <w:r>
              <w:rPr>
                <w:rFonts w:hint="default"/>
              </w:rPr>
              <w:t>6</w:t>
            </w:r>
          </w:p>
        </w:tc>
        <w:tc>
          <w:tcPr>
            <w:tcW w:w="1167" w:type="dxa"/>
            <w:tcBorders>
              <w:tl2br w:val="nil"/>
              <w:tr2bl w:val="nil"/>
            </w:tcBorders>
            <w:noWrap/>
            <w:tcMar>
              <w:top w:w="0" w:type="dxa"/>
              <w:left w:w="0" w:type="dxa"/>
              <w:bottom w:w="0" w:type="dxa"/>
              <w:right w:w="0" w:type="dxa"/>
            </w:tcMar>
            <w:vAlign w:val="center"/>
          </w:tcPr>
          <w:p w14:paraId="634BE984">
            <w:pPr>
              <w:pStyle w:val="42"/>
              <w:keepNext w:val="0"/>
              <w:keepLines w:val="0"/>
              <w:suppressLineNumbers w:val="0"/>
              <w:bidi w:val="0"/>
              <w:spacing w:before="0" w:beforeAutospacing="0" w:after="0" w:afterAutospacing="0"/>
              <w:jc w:val="center"/>
              <w:rPr>
                <w:rFonts w:hint="default"/>
              </w:rPr>
            </w:pPr>
            <w:r>
              <w:rPr>
                <w:rFonts w:hint="default"/>
              </w:rPr>
              <w:t>臭气处理设备</w:t>
            </w:r>
          </w:p>
        </w:tc>
        <w:tc>
          <w:tcPr>
            <w:tcW w:w="975" w:type="dxa"/>
            <w:tcBorders>
              <w:tl2br w:val="nil"/>
              <w:tr2bl w:val="nil"/>
            </w:tcBorders>
            <w:shd w:val="clear" w:color="auto" w:fill="auto"/>
            <w:noWrap/>
            <w:tcMar>
              <w:top w:w="0" w:type="dxa"/>
              <w:left w:w="0" w:type="dxa"/>
              <w:bottom w:w="0" w:type="dxa"/>
              <w:right w:w="0" w:type="dxa"/>
            </w:tcMar>
            <w:vAlign w:val="center"/>
          </w:tcPr>
          <w:p w14:paraId="5BA04D50">
            <w:pPr>
              <w:pStyle w:val="42"/>
              <w:keepNext w:val="0"/>
              <w:keepLines w:val="0"/>
              <w:suppressLineNumbers w:val="0"/>
              <w:bidi w:val="0"/>
              <w:spacing w:before="0" w:beforeAutospacing="0" w:after="0" w:afterAutospacing="0"/>
              <w:jc w:val="center"/>
              <w:rPr>
                <w:rFonts w:hint="default"/>
                <w:lang w:val="en-US" w:eastAsia="zh-CN"/>
              </w:rPr>
            </w:pPr>
            <w:r>
              <w:rPr>
                <w:rFonts w:hint="default"/>
              </w:rPr>
              <w:t>离心风机</w:t>
            </w:r>
          </w:p>
        </w:tc>
        <w:tc>
          <w:tcPr>
            <w:tcW w:w="1370" w:type="dxa"/>
            <w:tcBorders>
              <w:tl2br w:val="nil"/>
              <w:tr2bl w:val="nil"/>
            </w:tcBorders>
            <w:shd w:val="clear" w:color="auto" w:fill="auto"/>
            <w:noWrap/>
            <w:tcMar>
              <w:top w:w="0" w:type="dxa"/>
              <w:left w:w="0" w:type="dxa"/>
              <w:bottom w:w="0" w:type="dxa"/>
              <w:right w:w="0" w:type="dxa"/>
            </w:tcMar>
            <w:vAlign w:val="center"/>
          </w:tcPr>
          <w:p w14:paraId="57A16D0A">
            <w:pPr>
              <w:pStyle w:val="42"/>
              <w:keepNext w:val="0"/>
              <w:keepLines w:val="0"/>
              <w:suppressLineNumbers w:val="0"/>
              <w:bidi w:val="0"/>
              <w:spacing w:before="0" w:beforeAutospacing="0" w:after="0" w:afterAutospacing="0"/>
              <w:jc w:val="center"/>
              <w:rPr>
                <w:rFonts w:hint="default"/>
                <w:lang w:val="en-US" w:eastAsia="zh-CN"/>
              </w:rPr>
            </w:pPr>
            <w:r>
              <w:rPr>
                <w:rFonts w:hint="default"/>
              </w:rPr>
              <w:t>85</w:t>
            </w:r>
          </w:p>
        </w:tc>
        <w:tc>
          <w:tcPr>
            <w:tcW w:w="604" w:type="dxa"/>
            <w:tcBorders>
              <w:tl2br w:val="nil"/>
              <w:tr2bl w:val="nil"/>
            </w:tcBorders>
            <w:noWrap/>
            <w:tcMar>
              <w:top w:w="0" w:type="dxa"/>
              <w:left w:w="0" w:type="dxa"/>
              <w:bottom w:w="0" w:type="dxa"/>
              <w:right w:w="0" w:type="dxa"/>
            </w:tcMar>
            <w:vAlign w:val="center"/>
          </w:tcPr>
          <w:p w14:paraId="2DD2A44A">
            <w:pPr>
              <w:pStyle w:val="42"/>
              <w:keepNext w:val="0"/>
              <w:keepLines w:val="0"/>
              <w:suppressLineNumbers w:val="0"/>
              <w:bidi w:val="0"/>
              <w:spacing w:before="0" w:beforeAutospacing="0" w:after="0" w:afterAutospacing="0"/>
              <w:jc w:val="center"/>
              <w:rPr>
                <w:rFonts w:hint="default"/>
              </w:rPr>
            </w:pPr>
            <w:r>
              <w:rPr>
                <w:rFonts w:hint="eastAsia"/>
                <w:lang w:val="en-US" w:eastAsia="zh-CN"/>
              </w:rPr>
              <w:t>16.05</w:t>
            </w:r>
          </w:p>
        </w:tc>
        <w:tc>
          <w:tcPr>
            <w:tcW w:w="604" w:type="dxa"/>
            <w:tcBorders>
              <w:tl2br w:val="nil"/>
              <w:tr2bl w:val="nil"/>
            </w:tcBorders>
            <w:noWrap/>
            <w:tcMar>
              <w:top w:w="0" w:type="dxa"/>
              <w:left w:w="0" w:type="dxa"/>
              <w:bottom w:w="0" w:type="dxa"/>
              <w:right w:w="0" w:type="dxa"/>
            </w:tcMar>
            <w:vAlign w:val="center"/>
          </w:tcPr>
          <w:p w14:paraId="60BC2A5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14.78</w:t>
            </w:r>
          </w:p>
        </w:tc>
        <w:tc>
          <w:tcPr>
            <w:tcW w:w="191" w:type="dxa"/>
            <w:tcBorders>
              <w:tl2br w:val="nil"/>
              <w:tr2bl w:val="nil"/>
            </w:tcBorders>
            <w:noWrap/>
            <w:tcMar>
              <w:top w:w="0" w:type="dxa"/>
              <w:left w:w="0" w:type="dxa"/>
              <w:bottom w:w="0" w:type="dxa"/>
              <w:right w:w="0" w:type="dxa"/>
            </w:tcMar>
            <w:vAlign w:val="center"/>
          </w:tcPr>
          <w:p w14:paraId="164DF277">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6A5E8661">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31.13</w:t>
            </w:r>
          </w:p>
        </w:tc>
        <w:tc>
          <w:tcPr>
            <w:tcW w:w="489" w:type="dxa"/>
            <w:tcBorders>
              <w:tl2br w:val="nil"/>
              <w:tr2bl w:val="nil"/>
            </w:tcBorders>
            <w:noWrap/>
            <w:tcMar>
              <w:top w:w="0" w:type="dxa"/>
              <w:left w:w="0" w:type="dxa"/>
              <w:bottom w:w="0" w:type="dxa"/>
              <w:right w:w="0" w:type="dxa"/>
            </w:tcMar>
            <w:vAlign w:val="center"/>
          </w:tcPr>
          <w:p w14:paraId="3F3EED5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2.00</w:t>
            </w:r>
          </w:p>
        </w:tc>
        <w:tc>
          <w:tcPr>
            <w:tcW w:w="489" w:type="dxa"/>
            <w:tcBorders>
              <w:tl2br w:val="nil"/>
              <w:tr2bl w:val="nil"/>
            </w:tcBorders>
            <w:noWrap/>
            <w:tcMar>
              <w:top w:w="0" w:type="dxa"/>
              <w:left w:w="0" w:type="dxa"/>
              <w:bottom w:w="0" w:type="dxa"/>
              <w:right w:w="0" w:type="dxa"/>
            </w:tcMar>
            <w:vAlign w:val="center"/>
          </w:tcPr>
          <w:p w14:paraId="104301DD">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26.80</w:t>
            </w:r>
          </w:p>
        </w:tc>
        <w:tc>
          <w:tcPr>
            <w:tcW w:w="482" w:type="dxa"/>
            <w:tcBorders>
              <w:tl2br w:val="nil"/>
              <w:tr2bl w:val="nil"/>
            </w:tcBorders>
            <w:noWrap/>
            <w:tcMar>
              <w:top w:w="0" w:type="dxa"/>
              <w:left w:w="0" w:type="dxa"/>
              <w:bottom w:w="0" w:type="dxa"/>
              <w:right w:w="0" w:type="dxa"/>
            </w:tcMar>
            <w:vAlign w:val="center"/>
          </w:tcPr>
          <w:p w14:paraId="71A8458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17.91</w:t>
            </w:r>
          </w:p>
        </w:tc>
        <w:tc>
          <w:tcPr>
            <w:tcW w:w="442" w:type="dxa"/>
            <w:tcBorders>
              <w:tl2br w:val="nil"/>
              <w:tr2bl w:val="nil"/>
            </w:tcBorders>
            <w:noWrap/>
            <w:tcMar>
              <w:top w:w="0" w:type="dxa"/>
              <w:left w:w="0" w:type="dxa"/>
              <w:bottom w:w="0" w:type="dxa"/>
              <w:right w:w="0" w:type="dxa"/>
            </w:tcMar>
            <w:vAlign w:val="center"/>
          </w:tcPr>
          <w:p w14:paraId="7ADD1F6B">
            <w:pPr>
              <w:pStyle w:val="42"/>
              <w:keepNext w:val="0"/>
              <w:keepLines w:val="0"/>
              <w:suppressLineNumbers w:val="0"/>
              <w:bidi w:val="0"/>
              <w:spacing w:before="0" w:beforeAutospacing="0" w:after="0" w:afterAutospacing="0"/>
              <w:jc w:val="center"/>
              <w:rPr>
                <w:rFonts w:hint="default"/>
              </w:rPr>
            </w:pPr>
            <w:r>
              <w:rPr>
                <w:rFonts w:hint="default"/>
                <w:lang w:val="en-US" w:eastAsia="zh-CN"/>
              </w:rPr>
              <w:t>55.1</w:t>
            </w:r>
          </w:p>
        </w:tc>
        <w:tc>
          <w:tcPr>
            <w:tcW w:w="442" w:type="dxa"/>
            <w:tcBorders>
              <w:tl2br w:val="nil"/>
              <w:tr2bl w:val="nil"/>
            </w:tcBorders>
            <w:noWrap/>
            <w:tcMar>
              <w:top w:w="0" w:type="dxa"/>
              <w:left w:w="0" w:type="dxa"/>
              <w:bottom w:w="0" w:type="dxa"/>
              <w:right w:w="0" w:type="dxa"/>
            </w:tcMar>
            <w:vAlign w:val="center"/>
          </w:tcPr>
          <w:p w14:paraId="6B7E9A06">
            <w:pPr>
              <w:pStyle w:val="42"/>
              <w:keepNext w:val="0"/>
              <w:keepLines w:val="0"/>
              <w:suppressLineNumbers w:val="0"/>
              <w:bidi w:val="0"/>
              <w:spacing w:before="0" w:beforeAutospacing="0" w:after="0" w:afterAutospacing="0"/>
              <w:jc w:val="center"/>
              <w:rPr>
                <w:rFonts w:hint="default"/>
                <w:lang w:val="en-US"/>
              </w:rPr>
            </w:pPr>
            <w:r>
              <w:rPr>
                <w:rFonts w:hint="eastAsia"/>
                <w:lang w:val="en-US" w:eastAsia="zh-CN"/>
              </w:rPr>
              <w:t>78.9</w:t>
            </w:r>
          </w:p>
        </w:tc>
        <w:tc>
          <w:tcPr>
            <w:tcW w:w="442" w:type="dxa"/>
            <w:tcBorders>
              <w:tl2br w:val="nil"/>
              <w:tr2bl w:val="nil"/>
            </w:tcBorders>
            <w:noWrap/>
            <w:tcMar>
              <w:top w:w="0" w:type="dxa"/>
              <w:left w:w="0" w:type="dxa"/>
              <w:bottom w:w="0" w:type="dxa"/>
              <w:right w:w="0" w:type="dxa"/>
            </w:tcMar>
            <w:vAlign w:val="center"/>
          </w:tcPr>
          <w:p w14:paraId="4C5ED64A">
            <w:pPr>
              <w:pStyle w:val="42"/>
              <w:keepNext w:val="0"/>
              <w:keepLines w:val="0"/>
              <w:suppressLineNumbers w:val="0"/>
              <w:bidi w:val="0"/>
              <w:spacing w:before="0" w:beforeAutospacing="0" w:after="0" w:afterAutospacing="0"/>
              <w:jc w:val="center"/>
              <w:rPr>
                <w:rFonts w:hint="default"/>
              </w:rPr>
            </w:pPr>
            <w:r>
              <w:rPr>
                <w:rFonts w:hint="default"/>
                <w:lang w:val="en-US" w:eastAsia="zh-CN"/>
              </w:rPr>
              <w:t>56.4</w:t>
            </w:r>
          </w:p>
        </w:tc>
        <w:tc>
          <w:tcPr>
            <w:tcW w:w="441" w:type="dxa"/>
            <w:tcBorders>
              <w:tl2br w:val="nil"/>
              <w:tr2bl w:val="nil"/>
            </w:tcBorders>
            <w:noWrap/>
            <w:tcMar>
              <w:top w:w="0" w:type="dxa"/>
              <w:left w:w="0" w:type="dxa"/>
              <w:bottom w:w="0" w:type="dxa"/>
              <w:right w:w="0" w:type="dxa"/>
            </w:tcMar>
            <w:vAlign w:val="center"/>
          </w:tcPr>
          <w:p w14:paraId="01B6699D">
            <w:pPr>
              <w:pStyle w:val="42"/>
              <w:keepNext w:val="0"/>
              <w:keepLines w:val="0"/>
              <w:suppressLineNumbers w:val="0"/>
              <w:bidi w:val="0"/>
              <w:spacing w:before="0" w:beforeAutospacing="0" w:after="0" w:afterAutospacing="0"/>
              <w:jc w:val="center"/>
              <w:rPr>
                <w:rFonts w:hint="default"/>
              </w:rPr>
            </w:pPr>
            <w:r>
              <w:rPr>
                <w:rFonts w:hint="default"/>
                <w:lang w:val="en-US" w:eastAsia="zh-CN"/>
              </w:rPr>
              <w:t>59.9</w:t>
            </w:r>
          </w:p>
        </w:tc>
        <w:tc>
          <w:tcPr>
            <w:tcW w:w="825" w:type="dxa"/>
            <w:tcBorders>
              <w:tl2br w:val="nil"/>
              <w:tr2bl w:val="nil"/>
            </w:tcBorders>
            <w:noWrap/>
            <w:tcMar>
              <w:top w:w="0" w:type="dxa"/>
              <w:left w:w="0" w:type="dxa"/>
              <w:bottom w:w="0" w:type="dxa"/>
              <w:right w:w="0" w:type="dxa"/>
            </w:tcMar>
            <w:vAlign w:val="center"/>
          </w:tcPr>
          <w:p w14:paraId="4739EBBD">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50CFFFD5">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188F4B3C">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2839C5E9">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14F6FB3B">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2D0FB1A7">
            <w:pPr>
              <w:pStyle w:val="42"/>
              <w:keepNext w:val="0"/>
              <w:keepLines w:val="0"/>
              <w:suppressLineNumbers w:val="0"/>
              <w:bidi w:val="0"/>
              <w:spacing w:before="0" w:beforeAutospacing="0" w:after="0" w:afterAutospacing="0"/>
              <w:jc w:val="center"/>
              <w:rPr>
                <w:rFonts w:hint="default"/>
              </w:rPr>
            </w:pPr>
            <w:r>
              <w:rPr>
                <w:rFonts w:hint="default"/>
                <w:lang w:val="en-US" w:eastAsia="zh-CN"/>
              </w:rPr>
              <w:t>35.1</w:t>
            </w:r>
          </w:p>
        </w:tc>
        <w:tc>
          <w:tcPr>
            <w:tcW w:w="393" w:type="dxa"/>
            <w:tcBorders>
              <w:tl2br w:val="nil"/>
              <w:tr2bl w:val="nil"/>
            </w:tcBorders>
            <w:noWrap/>
            <w:tcMar>
              <w:top w:w="0" w:type="dxa"/>
              <w:left w:w="0" w:type="dxa"/>
              <w:bottom w:w="0" w:type="dxa"/>
              <w:right w:w="0" w:type="dxa"/>
            </w:tcMar>
            <w:vAlign w:val="center"/>
          </w:tcPr>
          <w:p w14:paraId="49E52657">
            <w:pPr>
              <w:pStyle w:val="42"/>
              <w:keepNext w:val="0"/>
              <w:keepLines w:val="0"/>
              <w:suppressLineNumbers w:val="0"/>
              <w:bidi w:val="0"/>
              <w:spacing w:before="0" w:beforeAutospacing="0" w:after="0" w:afterAutospacing="0"/>
              <w:jc w:val="center"/>
              <w:rPr>
                <w:rFonts w:hint="default" w:eastAsia="宋体"/>
                <w:lang w:val="en-US" w:eastAsia="zh-CN"/>
              </w:rPr>
            </w:pPr>
            <w:r>
              <w:rPr>
                <w:rFonts w:hint="eastAsia"/>
                <w:lang w:val="en-US" w:eastAsia="zh-CN"/>
              </w:rPr>
              <w:t>58.9</w:t>
            </w:r>
          </w:p>
        </w:tc>
        <w:tc>
          <w:tcPr>
            <w:tcW w:w="393" w:type="dxa"/>
            <w:tcBorders>
              <w:tl2br w:val="nil"/>
              <w:tr2bl w:val="nil"/>
            </w:tcBorders>
            <w:noWrap/>
            <w:tcMar>
              <w:top w:w="0" w:type="dxa"/>
              <w:left w:w="0" w:type="dxa"/>
              <w:bottom w:w="0" w:type="dxa"/>
              <w:right w:w="0" w:type="dxa"/>
            </w:tcMar>
            <w:vAlign w:val="center"/>
          </w:tcPr>
          <w:p w14:paraId="6C5B0E55">
            <w:pPr>
              <w:pStyle w:val="42"/>
              <w:keepNext w:val="0"/>
              <w:keepLines w:val="0"/>
              <w:suppressLineNumbers w:val="0"/>
              <w:bidi w:val="0"/>
              <w:spacing w:before="0" w:beforeAutospacing="0" w:after="0" w:afterAutospacing="0"/>
              <w:jc w:val="center"/>
              <w:rPr>
                <w:rFonts w:hint="default"/>
              </w:rPr>
            </w:pPr>
            <w:r>
              <w:rPr>
                <w:rFonts w:hint="default"/>
                <w:lang w:val="en-US" w:eastAsia="zh-CN"/>
              </w:rPr>
              <w:t>36.4</w:t>
            </w:r>
          </w:p>
        </w:tc>
        <w:tc>
          <w:tcPr>
            <w:tcW w:w="393" w:type="dxa"/>
            <w:tcBorders>
              <w:tl2br w:val="nil"/>
              <w:tr2bl w:val="nil"/>
            </w:tcBorders>
            <w:noWrap/>
            <w:tcMar>
              <w:top w:w="0" w:type="dxa"/>
              <w:left w:w="0" w:type="dxa"/>
              <w:bottom w:w="0" w:type="dxa"/>
              <w:right w:w="0" w:type="dxa"/>
            </w:tcMar>
            <w:vAlign w:val="center"/>
          </w:tcPr>
          <w:p w14:paraId="57F6399B">
            <w:pPr>
              <w:pStyle w:val="42"/>
              <w:keepNext w:val="0"/>
              <w:keepLines w:val="0"/>
              <w:suppressLineNumbers w:val="0"/>
              <w:bidi w:val="0"/>
              <w:spacing w:before="0" w:beforeAutospacing="0" w:after="0" w:afterAutospacing="0"/>
              <w:jc w:val="center"/>
              <w:rPr>
                <w:rFonts w:hint="default"/>
              </w:rPr>
            </w:pPr>
            <w:r>
              <w:rPr>
                <w:rFonts w:hint="default"/>
                <w:lang w:val="en-US" w:eastAsia="zh-CN"/>
              </w:rPr>
              <w:t>39.9</w:t>
            </w:r>
          </w:p>
        </w:tc>
        <w:tc>
          <w:tcPr>
            <w:tcW w:w="1178" w:type="dxa"/>
            <w:tcBorders>
              <w:tl2br w:val="nil"/>
              <w:tr2bl w:val="nil"/>
            </w:tcBorders>
            <w:noWrap/>
            <w:tcMar>
              <w:top w:w="0" w:type="dxa"/>
              <w:left w:w="0" w:type="dxa"/>
              <w:bottom w:w="0" w:type="dxa"/>
              <w:right w:w="0" w:type="dxa"/>
            </w:tcMar>
            <w:vAlign w:val="center"/>
          </w:tcPr>
          <w:p w14:paraId="09C7D24F">
            <w:pPr>
              <w:pStyle w:val="42"/>
              <w:keepNext w:val="0"/>
              <w:keepLines w:val="0"/>
              <w:suppressLineNumbers w:val="0"/>
              <w:bidi w:val="0"/>
              <w:spacing w:before="0" w:beforeAutospacing="0" w:after="0" w:afterAutospacing="0"/>
              <w:jc w:val="center"/>
              <w:rPr>
                <w:rFonts w:hint="default"/>
              </w:rPr>
            </w:pPr>
            <w:r>
              <w:rPr>
                <w:rFonts w:hint="default"/>
              </w:rPr>
              <w:t>1</w:t>
            </w:r>
          </w:p>
        </w:tc>
      </w:tr>
      <w:tr w14:paraId="4514D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594DD220">
            <w:pPr>
              <w:pStyle w:val="42"/>
              <w:keepNext w:val="0"/>
              <w:keepLines w:val="0"/>
              <w:suppressLineNumbers w:val="0"/>
              <w:bidi w:val="0"/>
              <w:spacing w:before="0" w:beforeAutospacing="0" w:after="0" w:afterAutospacing="0"/>
              <w:jc w:val="center"/>
              <w:rPr>
                <w:rFonts w:hint="default"/>
                <w:lang w:val="en-US" w:eastAsia="zh-CN"/>
              </w:rPr>
            </w:pPr>
            <w:r>
              <w:rPr>
                <w:rFonts w:hint="default"/>
              </w:rPr>
              <w:t>7</w:t>
            </w:r>
          </w:p>
        </w:tc>
        <w:tc>
          <w:tcPr>
            <w:tcW w:w="1167" w:type="dxa"/>
            <w:vMerge w:val="restart"/>
            <w:tcBorders>
              <w:tl2br w:val="nil"/>
              <w:tr2bl w:val="nil"/>
            </w:tcBorders>
            <w:noWrap/>
            <w:tcMar>
              <w:top w:w="0" w:type="dxa"/>
              <w:left w:w="0" w:type="dxa"/>
              <w:bottom w:w="0" w:type="dxa"/>
              <w:right w:w="0" w:type="dxa"/>
            </w:tcMar>
            <w:vAlign w:val="center"/>
          </w:tcPr>
          <w:p w14:paraId="08A7ED9C">
            <w:pPr>
              <w:pStyle w:val="42"/>
              <w:keepNext w:val="0"/>
              <w:keepLines w:val="0"/>
              <w:suppressLineNumbers w:val="0"/>
              <w:bidi w:val="0"/>
              <w:spacing w:before="0" w:beforeAutospacing="0" w:after="0" w:afterAutospacing="0"/>
              <w:jc w:val="center"/>
              <w:rPr>
                <w:rFonts w:hint="default"/>
              </w:rPr>
            </w:pPr>
            <w:r>
              <w:rPr>
                <w:rFonts w:hint="default"/>
              </w:rPr>
              <w:t>各池体内</w:t>
            </w:r>
          </w:p>
        </w:tc>
        <w:tc>
          <w:tcPr>
            <w:tcW w:w="975" w:type="dxa"/>
            <w:tcBorders>
              <w:tl2br w:val="nil"/>
              <w:tr2bl w:val="nil"/>
            </w:tcBorders>
            <w:shd w:val="clear" w:color="auto" w:fill="auto"/>
            <w:noWrap/>
            <w:tcMar>
              <w:top w:w="0" w:type="dxa"/>
              <w:left w:w="0" w:type="dxa"/>
              <w:bottom w:w="0" w:type="dxa"/>
              <w:right w:w="0" w:type="dxa"/>
            </w:tcMar>
            <w:vAlign w:val="center"/>
          </w:tcPr>
          <w:p w14:paraId="4F652049">
            <w:pPr>
              <w:pStyle w:val="42"/>
              <w:keepNext w:val="0"/>
              <w:keepLines w:val="0"/>
              <w:suppressLineNumbers w:val="0"/>
              <w:bidi w:val="0"/>
              <w:spacing w:before="0" w:beforeAutospacing="0" w:after="0" w:afterAutospacing="0"/>
              <w:jc w:val="center"/>
              <w:rPr>
                <w:rFonts w:hint="default"/>
                <w:lang w:val="en-US" w:eastAsia="zh-CN"/>
              </w:rPr>
            </w:pPr>
            <w:r>
              <w:rPr>
                <w:rFonts w:hint="eastAsia"/>
              </w:rPr>
              <w:t>潜污泵</w:t>
            </w:r>
          </w:p>
        </w:tc>
        <w:tc>
          <w:tcPr>
            <w:tcW w:w="1370" w:type="dxa"/>
            <w:tcBorders>
              <w:tl2br w:val="nil"/>
              <w:tr2bl w:val="nil"/>
            </w:tcBorders>
            <w:shd w:val="clear" w:color="auto" w:fill="auto"/>
            <w:noWrap/>
            <w:tcMar>
              <w:top w:w="0" w:type="dxa"/>
              <w:left w:w="0" w:type="dxa"/>
              <w:bottom w:w="0" w:type="dxa"/>
              <w:right w:w="0" w:type="dxa"/>
            </w:tcMar>
            <w:vAlign w:val="center"/>
          </w:tcPr>
          <w:p w14:paraId="3BABE513">
            <w:pPr>
              <w:pStyle w:val="42"/>
              <w:keepNext w:val="0"/>
              <w:keepLines w:val="0"/>
              <w:suppressLineNumbers w:val="0"/>
              <w:bidi w:val="0"/>
              <w:spacing w:before="0" w:beforeAutospacing="0" w:after="0" w:afterAutospacing="0"/>
              <w:jc w:val="center"/>
              <w:rPr>
                <w:rFonts w:hint="default"/>
                <w:lang w:val="en-US" w:eastAsia="zh-CN"/>
              </w:rPr>
            </w:pPr>
            <w:r>
              <w:rPr>
                <w:rFonts w:hint="default"/>
              </w:rPr>
              <w:t>80</w:t>
            </w:r>
          </w:p>
        </w:tc>
        <w:tc>
          <w:tcPr>
            <w:tcW w:w="604" w:type="dxa"/>
            <w:tcBorders>
              <w:tl2br w:val="nil"/>
              <w:tr2bl w:val="nil"/>
            </w:tcBorders>
            <w:noWrap/>
            <w:tcMar>
              <w:top w:w="0" w:type="dxa"/>
              <w:left w:w="0" w:type="dxa"/>
              <w:bottom w:w="0" w:type="dxa"/>
              <w:right w:w="0" w:type="dxa"/>
            </w:tcMar>
            <w:vAlign w:val="center"/>
          </w:tcPr>
          <w:p w14:paraId="6735726F">
            <w:pPr>
              <w:pStyle w:val="42"/>
              <w:keepNext w:val="0"/>
              <w:keepLines w:val="0"/>
              <w:suppressLineNumbers w:val="0"/>
              <w:bidi w:val="0"/>
              <w:spacing w:before="0" w:beforeAutospacing="0" w:after="0" w:afterAutospacing="0"/>
              <w:jc w:val="center"/>
              <w:rPr>
                <w:rFonts w:hint="default"/>
              </w:rPr>
            </w:pPr>
            <w:r>
              <w:rPr>
                <w:rFonts w:hint="eastAsia"/>
                <w:lang w:val="en-US" w:eastAsia="zh-CN"/>
              </w:rPr>
              <w:t>4.25</w:t>
            </w:r>
          </w:p>
        </w:tc>
        <w:tc>
          <w:tcPr>
            <w:tcW w:w="604" w:type="dxa"/>
            <w:tcBorders>
              <w:tl2br w:val="nil"/>
              <w:tr2bl w:val="nil"/>
            </w:tcBorders>
            <w:noWrap/>
            <w:tcMar>
              <w:top w:w="0" w:type="dxa"/>
              <w:left w:w="0" w:type="dxa"/>
              <w:bottom w:w="0" w:type="dxa"/>
              <w:right w:w="0" w:type="dxa"/>
            </w:tcMar>
            <w:vAlign w:val="center"/>
          </w:tcPr>
          <w:p w14:paraId="4C85176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23.14</w:t>
            </w:r>
          </w:p>
        </w:tc>
        <w:tc>
          <w:tcPr>
            <w:tcW w:w="191" w:type="dxa"/>
            <w:tcBorders>
              <w:tl2br w:val="nil"/>
              <w:tr2bl w:val="nil"/>
            </w:tcBorders>
            <w:noWrap/>
            <w:tcMar>
              <w:top w:w="0" w:type="dxa"/>
              <w:left w:w="0" w:type="dxa"/>
              <w:bottom w:w="0" w:type="dxa"/>
              <w:right w:w="0" w:type="dxa"/>
            </w:tcMar>
            <w:vAlign w:val="center"/>
          </w:tcPr>
          <w:p w14:paraId="3C864814">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563AB93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42.92</w:t>
            </w:r>
          </w:p>
        </w:tc>
        <w:tc>
          <w:tcPr>
            <w:tcW w:w="489" w:type="dxa"/>
            <w:tcBorders>
              <w:tl2br w:val="nil"/>
              <w:tr2bl w:val="nil"/>
            </w:tcBorders>
            <w:noWrap/>
            <w:tcMar>
              <w:top w:w="0" w:type="dxa"/>
              <w:left w:w="0" w:type="dxa"/>
              <w:bottom w:w="0" w:type="dxa"/>
              <w:right w:w="0" w:type="dxa"/>
            </w:tcMar>
            <w:vAlign w:val="center"/>
          </w:tcPr>
          <w:p w14:paraId="6B63F6A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7.61</w:t>
            </w:r>
          </w:p>
        </w:tc>
        <w:tc>
          <w:tcPr>
            <w:tcW w:w="489" w:type="dxa"/>
            <w:tcBorders>
              <w:tl2br w:val="nil"/>
              <w:tr2bl w:val="nil"/>
            </w:tcBorders>
            <w:noWrap/>
            <w:tcMar>
              <w:top w:w="0" w:type="dxa"/>
              <w:left w:w="0" w:type="dxa"/>
              <w:bottom w:w="0" w:type="dxa"/>
              <w:right w:w="0" w:type="dxa"/>
            </w:tcMar>
            <w:vAlign w:val="center"/>
          </w:tcPr>
          <w:p w14:paraId="2A6A42D5">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15.00</w:t>
            </w:r>
          </w:p>
        </w:tc>
        <w:tc>
          <w:tcPr>
            <w:tcW w:w="482" w:type="dxa"/>
            <w:tcBorders>
              <w:tl2br w:val="nil"/>
              <w:tr2bl w:val="nil"/>
            </w:tcBorders>
            <w:noWrap/>
            <w:tcMar>
              <w:top w:w="0" w:type="dxa"/>
              <w:left w:w="0" w:type="dxa"/>
              <w:bottom w:w="0" w:type="dxa"/>
              <w:right w:w="0" w:type="dxa"/>
            </w:tcMar>
            <w:vAlign w:val="center"/>
          </w:tcPr>
          <w:p w14:paraId="3B9B896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9.55</w:t>
            </w:r>
          </w:p>
        </w:tc>
        <w:tc>
          <w:tcPr>
            <w:tcW w:w="442" w:type="dxa"/>
            <w:tcBorders>
              <w:tl2br w:val="nil"/>
              <w:tr2bl w:val="nil"/>
            </w:tcBorders>
            <w:noWrap/>
            <w:tcMar>
              <w:top w:w="0" w:type="dxa"/>
              <w:left w:w="0" w:type="dxa"/>
              <w:bottom w:w="0" w:type="dxa"/>
              <w:right w:w="0" w:type="dxa"/>
            </w:tcMar>
            <w:vAlign w:val="center"/>
          </w:tcPr>
          <w:p w14:paraId="1ADA0F83">
            <w:pPr>
              <w:pStyle w:val="42"/>
              <w:keepNext w:val="0"/>
              <w:keepLines w:val="0"/>
              <w:suppressLineNumbers w:val="0"/>
              <w:bidi w:val="0"/>
              <w:spacing w:before="0" w:beforeAutospacing="0" w:after="0" w:afterAutospacing="0"/>
              <w:jc w:val="center"/>
              <w:rPr>
                <w:rFonts w:hint="default"/>
              </w:rPr>
            </w:pPr>
            <w:r>
              <w:rPr>
                <w:rFonts w:hint="default"/>
                <w:lang w:val="en-US" w:eastAsia="zh-CN"/>
              </w:rPr>
              <w:t>47.3</w:t>
            </w:r>
          </w:p>
        </w:tc>
        <w:tc>
          <w:tcPr>
            <w:tcW w:w="442" w:type="dxa"/>
            <w:tcBorders>
              <w:tl2br w:val="nil"/>
              <w:tr2bl w:val="nil"/>
            </w:tcBorders>
            <w:noWrap/>
            <w:tcMar>
              <w:top w:w="0" w:type="dxa"/>
              <w:left w:w="0" w:type="dxa"/>
              <w:bottom w:w="0" w:type="dxa"/>
              <w:right w:w="0" w:type="dxa"/>
            </w:tcMar>
            <w:vAlign w:val="center"/>
          </w:tcPr>
          <w:p w14:paraId="53A71127">
            <w:pPr>
              <w:pStyle w:val="42"/>
              <w:keepNext w:val="0"/>
              <w:keepLines w:val="0"/>
              <w:suppressLineNumbers w:val="0"/>
              <w:bidi w:val="0"/>
              <w:spacing w:before="0" w:beforeAutospacing="0" w:after="0" w:afterAutospacing="0"/>
              <w:jc w:val="center"/>
              <w:rPr>
                <w:rFonts w:hint="default"/>
              </w:rPr>
            </w:pPr>
            <w:r>
              <w:rPr>
                <w:rFonts w:hint="default"/>
                <w:lang w:val="en-US" w:eastAsia="zh-CN"/>
              </w:rPr>
              <w:t>62.4</w:t>
            </w:r>
          </w:p>
        </w:tc>
        <w:tc>
          <w:tcPr>
            <w:tcW w:w="442" w:type="dxa"/>
            <w:tcBorders>
              <w:tl2br w:val="nil"/>
              <w:tr2bl w:val="nil"/>
            </w:tcBorders>
            <w:noWrap/>
            <w:tcMar>
              <w:top w:w="0" w:type="dxa"/>
              <w:left w:w="0" w:type="dxa"/>
              <w:bottom w:w="0" w:type="dxa"/>
              <w:right w:w="0" w:type="dxa"/>
            </w:tcMar>
            <w:vAlign w:val="center"/>
          </w:tcPr>
          <w:p w14:paraId="515116E0">
            <w:pPr>
              <w:pStyle w:val="42"/>
              <w:keepNext w:val="0"/>
              <w:keepLines w:val="0"/>
              <w:suppressLineNumbers w:val="0"/>
              <w:bidi w:val="0"/>
              <w:spacing w:before="0" w:beforeAutospacing="0" w:after="0" w:afterAutospacing="0"/>
              <w:jc w:val="center"/>
              <w:rPr>
                <w:rFonts w:hint="default"/>
              </w:rPr>
            </w:pPr>
            <w:r>
              <w:rPr>
                <w:rFonts w:hint="default"/>
                <w:lang w:val="en-US" w:eastAsia="zh-CN"/>
              </w:rPr>
              <w:t>56.5</w:t>
            </w:r>
          </w:p>
        </w:tc>
        <w:tc>
          <w:tcPr>
            <w:tcW w:w="441" w:type="dxa"/>
            <w:tcBorders>
              <w:tl2br w:val="nil"/>
              <w:tr2bl w:val="nil"/>
            </w:tcBorders>
            <w:noWrap/>
            <w:tcMar>
              <w:top w:w="0" w:type="dxa"/>
              <w:left w:w="0" w:type="dxa"/>
              <w:bottom w:w="0" w:type="dxa"/>
              <w:right w:w="0" w:type="dxa"/>
            </w:tcMar>
            <w:vAlign w:val="center"/>
          </w:tcPr>
          <w:p w14:paraId="67756BA7">
            <w:pPr>
              <w:pStyle w:val="42"/>
              <w:keepNext w:val="0"/>
              <w:keepLines w:val="0"/>
              <w:suppressLineNumbers w:val="0"/>
              <w:bidi w:val="0"/>
              <w:spacing w:before="0" w:beforeAutospacing="0" w:after="0" w:afterAutospacing="0"/>
              <w:jc w:val="center"/>
              <w:rPr>
                <w:rFonts w:hint="default"/>
              </w:rPr>
            </w:pPr>
            <w:r>
              <w:rPr>
                <w:rFonts w:hint="default"/>
                <w:lang w:val="en-US" w:eastAsia="zh-CN"/>
              </w:rPr>
              <w:t>60.4</w:t>
            </w:r>
          </w:p>
        </w:tc>
        <w:tc>
          <w:tcPr>
            <w:tcW w:w="825" w:type="dxa"/>
            <w:tcBorders>
              <w:tl2br w:val="nil"/>
              <w:tr2bl w:val="nil"/>
            </w:tcBorders>
            <w:noWrap/>
            <w:tcMar>
              <w:top w:w="0" w:type="dxa"/>
              <w:left w:w="0" w:type="dxa"/>
              <w:bottom w:w="0" w:type="dxa"/>
              <w:right w:w="0" w:type="dxa"/>
            </w:tcMar>
            <w:vAlign w:val="center"/>
          </w:tcPr>
          <w:p w14:paraId="6D744666">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35CE668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5B78B98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7EA65A4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1E4E3DF0">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5D230908">
            <w:pPr>
              <w:pStyle w:val="42"/>
              <w:keepNext w:val="0"/>
              <w:keepLines w:val="0"/>
              <w:suppressLineNumbers w:val="0"/>
              <w:bidi w:val="0"/>
              <w:spacing w:before="0" w:beforeAutospacing="0" w:after="0" w:afterAutospacing="0"/>
              <w:jc w:val="center"/>
              <w:rPr>
                <w:rFonts w:hint="default"/>
              </w:rPr>
            </w:pPr>
            <w:r>
              <w:rPr>
                <w:rFonts w:hint="default"/>
                <w:lang w:val="en-US" w:eastAsia="zh-CN"/>
              </w:rPr>
              <w:t>27.3</w:t>
            </w:r>
          </w:p>
        </w:tc>
        <w:tc>
          <w:tcPr>
            <w:tcW w:w="393" w:type="dxa"/>
            <w:tcBorders>
              <w:tl2br w:val="nil"/>
              <w:tr2bl w:val="nil"/>
            </w:tcBorders>
            <w:noWrap/>
            <w:tcMar>
              <w:top w:w="0" w:type="dxa"/>
              <w:left w:w="0" w:type="dxa"/>
              <w:bottom w:w="0" w:type="dxa"/>
              <w:right w:w="0" w:type="dxa"/>
            </w:tcMar>
            <w:vAlign w:val="center"/>
          </w:tcPr>
          <w:p w14:paraId="04F6E495">
            <w:pPr>
              <w:pStyle w:val="42"/>
              <w:keepNext w:val="0"/>
              <w:keepLines w:val="0"/>
              <w:suppressLineNumbers w:val="0"/>
              <w:bidi w:val="0"/>
              <w:spacing w:before="0" w:beforeAutospacing="0" w:after="0" w:afterAutospacing="0"/>
              <w:jc w:val="center"/>
              <w:rPr>
                <w:rFonts w:hint="default"/>
              </w:rPr>
            </w:pPr>
            <w:r>
              <w:rPr>
                <w:rFonts w:hint="default"/>
                <w:lang w:val="en-US" w:eastAsia="zh-CN"/>
              </w:rPr>
              <w:t>42.4</w:t>
            </w:r>
          </w:p>
        </w:tc>
        <w:tc>
          <w:tcPr>
            <w:tcW w:w="393" w:type="dxa"/>
            <w:tcBorders>
              <w:tl2br w:val="nil"/>
              <w:tr2bl w:val="nil"/>
            </w:tcBorders>
            <w:noWrap/>
            <w:tcMar>
              <w:top w:w="0" w:type="dxa"/>
              <w:left w:w="0" w:type="dxa"/>
              <w:bottom w:w="0" w:type="dxa"/>
              <w:right w:w="0" w:type="dxa"/>
            </w:tcMar>
            <w:vAlign w:val="center"/>
          </w:tcPr>
          <w:p w14:paraId="5611E788">
            <w:pPr>
              <w:pStyle w:val="42"/>
              <w:keepNext w:val="0"/>
              <w:keepLines w:val="0"/>
              <w:suppressLineNumbers w:val="0"/>
              <w:bidi w:val="0"/>
              <w:spacing w:before="0" w:beforeAutospacing="0" w:after="0" w:afterAutospacing="0"/>
              <w:jc w:val="center"/>
              <w:rPr>
                <w:rFonts w:hint="default"/>
              </w:rPr>
            </w:pPr>
            <w:r>
              <w:rPr>
                <w:rFonts w:hint="default"/>
                <w:lang w:val="en-US" w:eastAsia="zh-CN"/>
              </w:rPr>
              <w:t>36.5</w:t>
            </w:r>
          </w:p>
        </w:tc>
        <w:tc>
          <w:tcPr>
            <w:tcW w:w="393" w:type="dxa"/>
            <w:tcBorders>
              <w:tl2br w:val="nil"/>
              <w:tr2bl w:val="nil"/>
            </w:tcBorders>
            <w:noWrap/>
            <w:tcMar>
              <w:top w:w="0" w:type="dxa"/>
              <w:left w:w="0" w:type="dxa"/>
              <w:bottom w:w="0" w:type="dxa"/>
              <w:right w:w="0" w:type="dxa"/>
            </w:tcMar>
            <w:vAlign w:val="center"/>
          </w:tcPr>
          <w:p w14:paraId="4519B3E0">
            <w:pPr>
              <w:pStyle w:val="42"/>
              <w:keepNext w:val="0"/>
              <w:keepLines w:val="0"/>
              <w:suppressLineNumbers w:val="0"/>
              <w:bidi w:val="0"/>
              <w:spacing w:before="0" w:beforeAutospacing="0" w:after="0" w:afterAutospacing="0"/>
              <w:jc w:val="center"/>
              <w:rPr>
                <w:rFonts w:hint="default"/>
              </w:rPr>
            </w:pPr>
            <w:r>
              <w:rPr>
                <w:rFonts w:hint="default"/>
                <w:lang w:val="en-US" w:eastAsia="zh-CN"/>
              </w:rPr>
              <w:t>40.4</w:t>
            </w:r>
          </w:p>
        </w:tc>
        <w:tc>
          <w:tcPr>
            <w:tcW w:w="1178" w:type="dxa"/>
            <w:tcBorders>
              <w:tl2br w:val="nil"/>
              <w:tr2bl w:val="nil"/>
            </w:tcBorders>
            <w:noWrap/>
            <w:tcMar>
              <w:top w:w="0" w:type="dxa"/>
              <w:left w:w="0" w:type="dxa"/>
              <w:bottom w:w="0" w:type="dxa"/>
              <w:right w:w="0" w:type="dxa"/>
            </w:tcMar>
            <w:vAlign w:val="center"/>
          </w:tcPr>
          <w:p w14:paraId="322E4A9B">
            <w:pPr>
              <w:pStyle w:val="42"/>
              <w:keepNext w:val="0"/>
              <w:keepLines w:val="0"/>
              <w:suppressLineNumbers w:val="0"/>
              <w:bidi w:val="0"/>
              <w:spacing w:before="0" w:beforeAutospacing="0" w:after="0" w:afterAutospacing="0"/>
              <w:jc w:val="center"/>
              <w:rPr>
                <w:rFonts w:hint="default"/>
              </w:rPr>
            </w:pPr>
            <w:r>
              <w:rPr>
                <w:rFonts w:hint="default"/>
              </w:rPr>
              <w:t>1</w:t>
            </w:r>
          </w:p>
        </w:tc>
      </w:tr>
      <w:tr w14:paraId="34007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6292D392">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8</w:t>
            </w:r>
          </w:p>
        </w:tc>
        <w:tc>
          <w:tcPr>
            <w:tcW w:w="1167" w:type="dxa"/>
            <w:vMerge w:val="continue"/>
            <w:tcBorders>
              <w:tl2br w:val="nil"/>
              <w:tr2bl w:val="nil"/>
            </w:tcBorders>
            <w:noWrap/>
            <w:tcMar>
              <w:top w:w="0" w:type="dxa"/>
              <w:left w:w="0" w:type="dxa"/>
              <w:bottom w:w="0" w:type="dxa"/>
              <w:right w:w="0" w:type="dxa"/>
            </w:tcMar>
            <w:vAlign w:val="center"/>
          </w:tcPr>
          <w:p w14:paraId="0869894D">
            <w:pPr>
              <w:pStyle w:val="42"/>
              <w:keepNext w:val="0"/>
              <w:keepLines w:val="0"/>
              <w:suppressLineNumbers w:val="0"/>
              <w:bidi w:val="0"/>
              <w:spacing w:before="0" w:beforeAutospacing="0" w:after="0" w:afterAutospacing="0"/>
              <w:jc w:val="center"/>
              <w:rPr>
                <w:rFonts w:hint="default"/>
                <w:lang w:val="en-US" w:eastAsia="zh-CN"/>
              </w:rPr>
            </w:pPr>
          </w:p>
        </w:tc>
        <w:tc>
          <w:tcPr>
            <w:tcW w:w="975" w:type="dxa"/>
            <w:tcBorders>
              <w:tl2br w:val="nil"/>
              <w:tr2bl w:val="nil"/>
            </w:tcBorders>
            <w:shd w:val="clear" w:color="auto" w:fill="auto"/>
            <w:noWrap/>
            <w:tcMar>
              <w:top w:w="0" w:type="dxa"/>
              <w:left w:w="0" w:type="dxa"/>
              <w:bottom w:w="0" w:type="dxa"/>
              <w:right w:w="0" w:type="dxa"/>
            </w:tcMar>
            <w:vAlign w:val="center"/>
          </w:tcPr>
          <w:p w14:paraId="0162609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微滤机</w:t>
            </w:r>
          </w:p>
        </w:tc>
        <w:tc>
          <w:tcPr>
            <w:tcW w:w="1370" w:type="dxa"/>
            <w:tcBorders>
              <w:tl2br w:val="nil"/>
              <w:tr2bl w:val="nil"/>
            </w:tcBorders>
            <w:shd w:val="clear" w:color="auto" w:fill="auto"/>
            <w:noWrap/>
            <w:tcMar>
              <w:top w:w="0" w:type="dxa"/>
              <w:left w:w="0" w:type="dxa"/>
              <w:bottom w:w="0" w:type="dxa"/>
              <w:right w:w="0" w:type="dxa"/>
            </w:tcMar>
            <w:vAlign w:val="center"/>
          </w:tcPr>
          <w:p w14:paraId="08652D8F">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75</w:t>
            </w:r>
          </w:p>
        </w:tc>
        <w:tc>
          <w:tcPr>
            <w:tcW w:w="604" w:type="dxa"/>
            <w:tcBorders>
              <w:tl2br w:val="nil"/>
              <w:tr2bl w:val="nil"/>
            </w:tcBorders>
            <w:noWrap/>
            <w:tcMar>
              <w:top w:w="0" w:type="dxa"/>
              <w:left w:w="0" w:type="dxa"/>
              <w:bottom w:w="0" w:type="dxa"/>
              <w:right w:w="0" w:type="dxa"/>
            </w:tcMar>
            <w:vAlign w:val="center"/>
          </w:tcPr>
          <w:p w14:paraId="6EBD64AA">
            <w:pPr>
              <w:pStyle w:val="42"/>
              <w:keepNext w:val="0"/>
              <w:keepLines w:val="0"/>
              <w:suppressLineNumbers w:val="0"/>
              <w:bidi w:val="0"/>
              <w:spacing w:before="0" w:beforeAutospacing="0" w:after="0" w:afterAutospacing="0"/>
              <w:jc w:val="center"/>
              <w:rPr>
                <w:rFonts w:hint="default"/>
              </w:rPr>
            </w:pPr>
            <w:r>
              <w:rPr>
                <w:rFonts w:hint="eastAsia"/>
                <w:lang w:val="en-US" w:eastAsia="zh-CN"/>
              </w:rPr>
              <w:t>4.40</w:t>
            </w:r>
          </w:p>
        </w:tc>
        <w:tc>
          <w:tcPr>
            <w:tcW w:w="604" w:type="dxa"/>
            <w:tcBorders>
              <w:tl2br w:val="nil"/>
              <w:tr2bl w:val="nil"/>
            </w:tcBorders>
            <w:noWrap/>
            <w:tcMar>
              <w:top w:w="0" w:type="dxa"/>
              <w:left w:w="0" w:type="dxa"/>
              <w:bottom w:w="0" w:type="dxa"/>
              <w:right w:w="0" w:type="dxa"/>
            </w:tcMar>
            <w:vAlign w:val="center"/>
          </w:tcPr>
          <w:p w14:paraId="48411185">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11.05</w:t>
            </w:r>
          </w:p>
        </w:tc>
        <w:tc>
          <w:tcPr>
            <w:tcW w:w="191" w:type="dxa"/>
            <w:tcBorders>
              <w:tl2br w:val="nil"/>
              <w:tr2bl w:val="nil"/>
            </w:tcBorders>
            <w:noWrap/>
            <w:tcMar>
              <w:top w:w="0" w:type="dxa"/>
              <w:left w:w="0" w:type="dxa"/>
              <w:bottom w:w="0" w:type="dxa"/>
              <w:right w:w="0" w:type="dxa"/>
            </w:tcMar>
            <w:vAlign w:val="center"/>
          </w:tcPr>
          <w:p w14:paraId="048E7E04">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3DA2E37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42.77</w:t>
            </w:r>
          </w:p>
        </w:tc>
        <w:tc>
          <w:tcPr>
            <w:tcW w:w="489" w:type="dxa"/>
            <w:tcBorders>
              <w:tl2br w:val="nil"/>
              <w:tr2bl w:val="nil"/>
            </w:tcBorders>
            <w:noWrap/>
            <w:tcMar>
              <w:top w:w="0" w:type="dxa"/>
              <w:left w:w="0" w:type="dxa"/>
              <w:bottom w:w="0" w:type="dxa"/>
              <w:right w:w="0" w:type="dxa"/>
            </w:tcMar>
            <w:vAlign w:val="center"/>
          </w:tcPr>
          <w:p w14:paraId="62FD16EF">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4.48</w:t>
            </w:r>
          </w:p>
        </w:tc>
        <w:tc>
          <w:tcPr>
            <w:tcW w:w="489" w:type="dxa"/>
            <w:tcBorders>
              <w:tl2br w:val="nil"/>
              <w:tr2bl w:val="nil"/>
            </w:tcBorders>
            <w:noWrap/>
            <w:tcMar>
              <w:top w:w="0" w:type="dxa"/>
              <w:left w:w="0" w:type="dxa"/>
              <w:bottom w:w="0" w:type="dxa"/>
              <w:right w:w="0" w:type="dxa"/>
            </w:tcMar>
            <w:vAlign w:val="center"/>
          </w:tcPr>
          <w:p w14:paraId="6C3896E1">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15.15</w:t>
            </w:r>
          </w:p>
        </w:tc>
        <w:tc>
          <w:tcPr>
            <w:tcW w:w="482" w:type="dxa"/>
            <w:tcBorders>
              <w:tl2br w:val="nil"/>
              <w:tr2bl w:val="nil"/>
            </w:tcBorders>
            <w:noWrap/>
            <w:tcMar>
              <w:top w:w="0" w:type="dxa"/>
              <w:left w:w="0" w:type="dxa"/>
              <w:bottom w:w="0" w:type="dxa"/>
              <w:right w:w="0" w:type="dxa"/>
            </w:tcMar>
            <w:vAlign w:val="center"/>
          </w:tcPr>
          <w:p w14:paraId="38B62D5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21.65</w:t>
            </w:r>
          </w:p>
        </w:tc>
        <w:tc>
          <w:tcPr>
            <w:tcW w:w="442" w:type="dxa"/>
            <w:tcBorders>
              <w:tl2br w:val="nil"/>
              <w:tr2bl w:val="nil"/>
            </w:tcBorders>
            <w:noWrap/>
            <w:tcMar>
              <w:top w:w="0" w:type="dxa"/>
              <w:left w:w="0" w:type="dxa"/>
              <w:bottom w:w="0" w:type="dxa"/>
              <w:right w:w="0" w:type="dxa"/>
            </w:tcMar>
            <w:vAlign w:val="center"/>
          </w:tcPr>
          <w:p w14:paraId="06E03B5E">
            <w:pPr>
              <w:pStyle w:val="42"/>
              <w:keepNext w:val="0"/>
              <w:keepLines w:val="0"/>
              <w:suppressLineNumbers w:val="0"/>
              <w:bidi w:val="0"/>
              <w:spacing w:before="0" w:beforeAutospacing="0" w:after="0" w:afterAutospacing="0"/>
              <w:jc w:val="center"/>
              <w:rPr>
                <w:rFonts w:hint="default"/>
              </w:rPr>
            </w:pPr>
            <w:r>
              <w:rPr>
                <w:rFonts w:hint="default"/>
                <w:lang w:val="en-US" w:eastAsia="zh-CN"/>
              </w:rPr>
              <w:t>42.4</w:t>
            </w:r>
          </w:p>
        </w:tc>
        <w:tc>
          <w:tcPr>
            <w:tcW w:w="442" w:type="dxa"/>
            <w:tcBorders>
              <w:tl2br w:val="nil"/>
              <w:tr2bl w:val="nil"/>
            </w:tcBorders>
            <w:noWrap/>
            <w:tcMar>
              <w:top w:w="0" w:type="dxa"/>
              <w:left w:w="0" w:type="dxa"/>
              <w:bottom w:w="0" w:type="dxa"/>
              <w:right w:w="0" w:type="dxa"/>
            </w:tcMar>
            <w:vAlign w:val="center"/>
          </w:tcPr>
          <w:p w14:paraId="6D822099">
            <w:pPr>
              <w:pStyle w:val="42"/>
              <w:keepNext w:val="0"/>
              <w:keepLines w:val="0"/>
              <w:suppressLineNumbers w:val="0"/>
              <w:bidi w:val="0"/>
              <w:spacing w:before="0" w:beforeAutospacing="0" w:after="0" w:afterAutospacing="0"/>
              <w:jc w:val="center"/>
              <w:rPr>
                <w:rFonts w:hint="default"/>
              </w:rPr>
            </w:pPr>
            <w:r>
              <w:rPr>
                <w:rFonts w:hint="default"/>
                <w:lang w:val="en-US" w:eastAsia="zh-CN"/>
              </w:rPr>
              <w:t>62.0</w:t>
            </w:r>
          </w:p>
        </w:tc>
        <w:tc>
          <w:tcPr>
            <w:tcW w:w="442" w:type="dxa"/>
            <w:tcBorders>
              <w:tl2br w:val="nil"/>
              <w:tr2bl w:val="nil"/>
            </w:tcBorders>
            <w:noWrap/>
            <w:tcMar>
              <w:top w:w="0" w:type="dxa"/>
              <w:left w:w="0" w:type="dxa"/>
              <w:bottom w:w="0" w:type="dxa"/>
              <w:right w:w="0" w:type="dxa"/>
            </w:tcMar>
            <w:vAlign w:val="center"/>
          </w:tcPr>
          <w:p w14:paraId="6E250319">
            <w:pPr>
              <w:pStyle w:val="42"/>
              <w:keepNext w:val="0"/>
              <w:keepLines w:val="0"/>
              <w:suppressLineNumbers w:val="0"/>
              <w:bidi w:val="0"/>
              <w:spacing w:before="0" w:beforeAutospacing="0" w:after="0" w:afterAutospacing="0"/>
              <w:jc w:val="center"/>
              <w:rPr>
                <w:rFonts w:hint="default"/>
              </w:rPr>
            </w:pPr>
            <w:r>
              <w:rPr>
                <w:rFonts w:hint="default"/>
                <w:lang w:val="en-US" w:eastAsia="zh-CN"/>
              </w:rPr>
              <w:t>51.4</w:t>
            </w:r>
          </w:p>
        </w:tc>
        <w:tc>
          <w:tcPr>
            <w:tcW w:w="441" w:type="dxa"/>
            <w:tcBorders>
              <w:tl2br w:val="nil"/>
              <w:tr2bl w:val="nil"/>
            </w:tcBorders>
            <w:noWrap/>
            <w:tcMar>
              <w:top w:w="0" w:type="dxa"/>
              <w:left w:w="0" w:type="dxa"/>
              <w:bottom w:w="0" w:type="dxa"/>
              <w:right w:w="0" w:type="dxa"/>
            </w:tcMar>
            <w:vAlign w:val="center"/>
          </w:tcPr>
          <w:p w14:paraId="6E1932DA">
            <w:pPr>
              <w:pStyle w:val="42"/>
              <w:keepNext w:val="0"/>
              <w:keepLines w:val="0"/>
              <w:suppressLineNumbers w:val="0"/>
              <w:bidi w:val="0"/>
              <w:spacing w:before="0" w:beforeAutospacing="0" w:after="0" w:afterAutospacing="0"/>
              <w:jc w:val="center"/>
              <w:rPr>
                <w:rFonts w:hint="default"/>
              </w:rPr>
            </w:pPr>
            <w:r>
              <w:rPr>
                <w:rFonts w:hint="default"/>
                <w:lang w:val="en-US" w:eastAsia="zh-CN"/>
              </w:rPr>
              <w:t>48.3</w:t>
            </w:r>
          </w:p>
        </w:tc>
        <w:tc>
          <w:tcPr>
            <w:tcW w:w="825" w:type="dxa"/>
            <w:tcBorders>
              <w:tl2br w:val="nil"/>
              <w:tr2bl w:val="nil"/>
            </w:tcBorders>
            <w:noWrap/>
            <w:tcMar>
              <w:top w:w="0" w:type="dxa"/>
              <w:left w:w="0" w:type="dxa"/>
              <w:bottom w:w="0" w:type="dxa"/>
              <w:right w:w="0" w:type="dxa"/>
            </w:tcMar>
            <w:vAlign w:val="center"/>
          </w:tcPr>
          <w:p w14:paraId="7AB71FE3">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4C5DDFA2">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166D7CAC">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72657052">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52E7A38D">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520FBB5A">
            <w:pPr>
              <w:pStyle w:val="42"/>
              <w:keepNext w:val="0"/>
              <w:keepLines w:val="0"/>
              <w:suppressLineNumbers w:val="0"/>
              <w:bidi w:val="0"/>
              <w:spacing w:before="0" w:beforeAutospacing="0" w:after="0" w:afterAutospacing="0"/>
              <w:jc w:val="center"/>
              <w:rPr>
                <w:rFonts w:hint="default"/>
              </w:rPr>
            </w:pPr>
            <w:r>
              <w:rPr>
                <w:rFonts w:hint="default"/>
                <w:lang w:val="en-US" w:eastAsia="zh-CN"/>
              </w:rPr>
              <w:t>22.4</w:t>
            </w:r>
          </w:p>
        </w:tc>
        <w:tc>
          <w:tcPr>
            <w:tcW w:w="393" w:type="dxa"/>
            <w:tcBorders>
              <w:tl2br w:val="nil"/>
              <w:tr2bl w:val="nil"/>
            </w:tcBorders>
            <w:noWrap/>
            <w:tcMar>
              <w:top w:w="0" w:type="dxa"/>
              <w:left w:w="0" w:type="dxa"/>
              <w:bottom w:w="0" w:type="dxa"/>
              <w:right w:w="0" w:type="dxa"/>
            </w:tcMar>
            <w:vAlign w:val="center"/>
          </w:tcPr>
          <w:p w14:paraId="7DC88A6A">
            <w:pPr>
              <w:pStyle w:val="42"/>
              <w:keepNext w:val="0"/>
              <w:keepLines w:val="0"/>
              <w:suppressLineNumbers w:val="0"/>
              <w:bidi w:val="0"/>
              <w:spacing w:before="0" w:beforeAutospacing="0" w:after="0" w:afterAutospacing="0"/>
              <w:jc w:val="center"/>
              <w:rPr>
                <w:rFonts w:hint="default"/>
              </w:rPr>
            </w:pPr>
            <w:r>
              <w:rPr>
                <w:rFonts w:hint="default"/>
                <w:lang w:val="en-US" w:eastAsia="zh-CN"/>
              </w:rPr>
              <w:t>42.0</w:t>
            </w:r>
          </w:p>
        </w:tc>
        <w:tc>
          <w:tcPr>
            <w:tcW w:w="393" w:type="dxa"/>
            <w:tcBorders>
              <w:tl2br w:val="nil"/>
              <w:tr2bl w:val="nil"/>
            </w:tcBorders>
            <w:noWrap/>
            <w:tcMar>
              <w:top w:w="0" w:type="dxa"/>
              <w:left w:w="0" w:type="dxa"/>
              <w:bottom w:w="0" w:type="dxa"/>
              <w:right w:w="0" w:type="dxa"/>
            </w:tcMar>
            <w:vAlign w:val="center"/>
          </w:tcPr>
          <w:p w14:paraId="6684DA17">
            <w:pPr>
              <w:pStyle w:val="42"/>
              <w:keepNext w:val="0"/>
              <w:keepLines w:val="0"/>
              <w:suppressLineNumbers w:val="0"/>
              <w:bidi w:val="0"/>
              <w:spacing w:before="0" w:beforeAutospacing="0" w:after="0" w:afterAutospacing="0"/>
              <w:jc w:val="center"/>
              <w:rPr>
                <w:rFonts w:hint="default"/>
              </w:rPr>
            </w:pPr>
            <w:r>
              <w:rPr>
                <w:rFonts w:hint="default"/>
                <w:lang w:val="en-US" w:eastAsia="zh-CN"/>
              </w:rPr>
              <w:t>31.4</w:t>
            </w:r>
          </w:p>
        </w:tc>
        <w:tc>
          <w:tcPr>
            <w:tcW w:w="393" w:type="dxa"/>
            <w:tcBorders>
              <w:tl2br w:val="nil"/>
              <w:tr2bl w:val="nil"/>
            </w:tcBorders>
            <w:noWrap/>
            <w:tcMar>
              <w:top w:w="0" w:type="dxa"/>
              <w:left w:w="0" w:type="dxa"/>
              <w:bottom w:w="0" w:type="dxa"/>
              <w:right w:w="0" w:type="dxa"/>
            </w:tcMar>
            <w:vAlign w:val="center"/>
          </w:tcPr>
          <w:p w14:paraId="3F3375D1">
            <w:pPr>
              <w:pStyle w:val="42"/>
              <w:keepNext w:val="0"/>
              <w:keepLines w:val="0"/>
              <w:suppressLineNumbers w:val="0"/>
              <w:bidi w:val="0"/>
              <w:spacing w:before="0" w:beforeAutospacing="0" w:after="0" w:afterAutospacing="0"/>
              <w:jc w:val="center"/>
              <w:rPr>
                <w:rFonts w:hint="default"/>
              </w:rPr>
            </w:pPr>
            <w:r>
              <w:rPr>
                <w:rFonts w:hint="default"/>
                <w:lang w:val="en-US" w:eastAsia="zh-CN"/>
              </w:rPr>
              <w:t>28.3</w:t>
            </w:r>
          </w:p>
        </w:tc>
        <w:tc>
          <w:tcPr>
            <w:tcW w:w="1178" w:type="dxa"/>
            <w:tcBorders>
              <w:tl2br w:val="nil"/>
              <w:tr2bl w:val="nil"/>
            </w:tcBorders>
            <w:noWrap/>
            <w:tcMar>
              <w:top w:w="0" w:type="dxa"/>
              <w:left w:w="0" w:type="dxa"/>
              <w:bottom w:w="0" w:type="dxa"/>
              <w:right w:w="0" w:type="dxa"/>
            </w:tcMar>
            <w:vAlign w:val="center"/>
          </w:tcPr>
          <w:p w14:paraId="2E1BD43E">
            <w:pPr>
              <w:pStyle w:val="42"/>
              <w:keepNext w:val="0"/>
              <w:keepLines w:val="0"/>
              <w:suppressLineNumbers w:val="0"/>
              <w:bidi w:val="0"/>
              <w:spacing w:before="0" w:beforeAutospacing="0" w:after="0" w:afterAutospacing="0"/>
              <w:jc w:val="center"/>
              <w:rPr>
                <w:rFonts w:hint="default"/>
              </w:rPr>
            </w:pPr>
            <w:r>
              <w:rPr>
                <w:rFonts w:hint="default"/>
              </w:rPr>
              <w:t>1</w:t>
            </w:r>
          </w:p>
        </w:tc>
      </w:tr>
      <w:tr w14:paraId="559035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71B58AC2">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9</w:t>
            </w:r>
          </w:p>
        </w:tc>
        <w:tc>
          <w:tcPr>
            <w:tcW w:w="1167" w:type="dxa"/>
            <w:vMerge w:val="continue"/>
            <w:tcBorders>
              <w:tl2br w:val="nil"/>
              <w:tr2bl w:val="nil"/>
            </w:tcBorders>
            <w:noWrap/>
            <w:tcMar>
              <w:top w:w="0" w:type="dxa"/>
              <w:left w:w="0" w:type="dxa"/>
              <w:bottom w:w="0" w:type="dxa"/>
              <w:right w:w="0" w:type="dxa"/>
            </w:tcMar>
            <w:vAlign w:val="center"/>
          </w:tcPr>
          <w:p w14:paraId="2FFB5371">
            <w:pPr>
              <w:pStyle w:val="42"/>
              <w:keepNext w:val="0"/>
              <w:keepLines w:val="0"/>
              <w:suppressLineNumbers w:val="0"/>
              <w:bidi w:val="0"/>
              <w:spacing w:before="0" w:beforeAutospacing="0" w:after="0" w:afterAutospacing="0"/>
              <w:jc w:val="center"/>
              <w:rPr>
                <w:rFonts w:hint="default"/>
              </w:rPr>
            </w:pPr>
          </w:p>
        </w:tc>
        <w:tc>
          <w:tcPr>
            <w:tcW w:w="975" w:type="dxa"/>
            <w:tcBorders>
              <w:tl2br w:val="nil"/>
              <w:tr2bl w:val="nil"/>
            </w:tcBorders>
            <w:shd w:val="clear" w:color="auto" w:fill="auto"/>
            <w:noWrap/>
            <w:tcMar>
              <w:top w:w="0" w:type="dxa"/>
              <w:left w:w="0" w:type="dxa"/>
              <w:bottom w:w="0" w:type="dxa"/>
              <w:right w:w="0" w:type="dxa"/>
            </w:tcMar>
            <w:vAlign w:val="center"/>
          </w:tcPr>
          <w:p w14:paraId="15B792D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刮渣机</w:t>
            </w:r>
          </w:p>
        </w:tc>
        <w:tc>
          <w:tcPr>
            <w:tcW w:w="1370" w:type="dxa"/>
            <w:tcBorders>
              <w:tl2br w:val="nil"/>
              <w:tr2bl w:val="nil"/>
            </w:tcBorders>
            <w:shd w:val="clear" w:color="auto" w:fill="auto"/>
            <w:noWrap/>
            <w:tcMar>
              <w:top w:w="0" w:type="dxa"/>
              <w:left w:w="0" w:type="dxa"/>
              <w:bottom w:w="0" w:type="dxa"/>
              <w:right w:w="0" w:type="dxa"/>
            </w:tcMar>
            <w:vAlign w:val="center"/>
          </w:tcPr>
          <w:p w14:paraId="1D4F9755">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70</w:t>
            </w:r>
          </w:p>
        </w:tc>
        <w:tc>
          <w:tcPr>
            <w:tcW w:w="604" w:type="dxa"/>
            <w:tcBorders>
              <w:tl2br w:val="nil"/>
              <w:tr2bl w:val="nil"/>
            </w:tcBorders>
            <w:noWrap/>
            <w:tcMar>
              <w:top w:w="0" w:type="dxa"/>
              <w:left w:w="0" w:type="dxa"/>
              <w:bottom w:w="0" w:type="dxa"/>
              <w:right w:w="0" w:type="dxa"/>
            </w:tcMar>
            <w:vAlign w:val="center"/>
          </w:tcPr>
          <w:p w14:paraId="12980B48">
            <w:pPr>
              <w:pStyle w:val="42"/>
              <w:keepNext w:val="0"/>
              <w:keepLines w:val="0"/>
              <w:suppressLineNumbers w:val="0"/>
              <w:bidi w:val="0"/>
              <w:spacing w:before="0" w:beforeAutospacing="0" w:after="0" w:afterAutospacing="0"/>
              <w:jc w:val="center"/>
              <w:rPr>
                <w:rFonts w:hint="default"/>
              </w:rPr>
            </w:pPr>
            <w:r>
              <w:rPr>
                <w:rFonts w:hint="eastAsia"/>
                <w:lang w:val="en-US" w:eastAsia="zh-CN"/>
              </w:rPr>
              <w:t>5.00</w:t>
            </w:r>
          </w:p>
        </w:tc>
        <w:tc>
          <w:tcPr>
            <w:tcW w:w="604" w:type="dxa"/>
            <w:tcBorders>
              <w:tl2br w:val="nil"/>
              <w:tr2bl w:val="nil"/>
            </w:tcBorders>
            <w:noWrap/>
            <w:tcMar>
              <w:top w:w="0" w:type="dxa"/>
              <w:left w:w="0" w:type="dxa"/>
              <w:bottom w:w="0" w:type="dxa"/>
              <w:right w:w="0" w:type="dxa"/>
            </w:tcMar>
            <w:vAlign w:val="center"/>
          </w:tcPr>
          <w:p w14:paraId="0FC9C15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17.91</w:t>
            </w:r>
          </w:p>
        </w:tc>
        <w:tc>
          <w:tcPr>
            <w:tcW w:w="191" w:type="dxa"/>
            <w:tcBorders>
              <w:tl2br w:val="nil"/>
              <w:tr2bl w:val="nil"/>
            </w:tcBorders>
            <w:noWrap/>
            <w:tcMar>
              <w:top w:w="0" w:type="dxa"/>
              <w:left w:w="0" w:type="dxa"/>
              <w:bottom w:w="0" w:type="dxa"/>
              <w:right w:w="0" w:type="dxa"/>
            </w:tcMar>
            <w:vAlign w:val="center"/>
          </w:tcPr>
          <w:p w14:paraId="33B6F97B">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51F118C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42.17</w:t>
            </w:r>
          </w:p>
        </w:tc>
        <w:tc>
          <w:tcPr>
            <w:tcW w:w="489" w:type="dxa"/>
            <w:tcBorders>
              <w:tl2br w:val="nil"/>
              <w:tr2bl w:val="nil"/>
            </w:tcBorders>
            <w:noWrap/>
            <w:tcMar>
              <w:top w:w="0" w:type="dxa"/>
              <w:left w:w="0" w:type="dxa"/>
              <w:bottom w:w="0" w:type="dxa"/>
              <w:right w:w="0" w:type="dxa"/>
            </w:tcMar>
            <w:vAlign w:val="center"/>
          </w:tcPr>
          <w:p w14:paraId="07C1D926">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2.39</w:t>
            </w:r>
          </w:p>
        </w:tc>
        <w:tc>
          <w:tcPr>
            <w:tcW w:w="489" w:type="dxa"/>
            <w:tcBorders>
              <w:tl2br w:val="nil"/>
              <w:tr2bl w:val="nil"/>
            </w:tcBorders>
            <w:noWrap/>
            <w:tcMar>
              <w:top w:w="0" w:type="dxa"/>
              <w:left w:w="0" w:type="dxa"/>
              <w:bottom w:w="0" w:type="dxa"/>
              <w:right w:w="0" w:type="dxa"/>
            </w:tcMar>
            <w:vAlign w:val="center"/>
          </w:tcPr>
          <w:p w14:paraId="16E2903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15.75</w:t>
            </w:r>
          </w:p>
        </w:tc>
        <w:tc>
          <w:tcPr>
            <w:tcW w:w="482" w:type="dxa"/>
            <w:tcBorders>
              <w:tl2br w:val="nil"/>
              <w:tr2bl w:val="nil"/>
            </w:tcBorders>
            <w:noWrap/>
            <w:tcMar>
              <w:top w:w="0" w:type="dxa"/>
              <w:left w:w="0" w:type="dxa"/>
              <w:bottom w:w="0" w:type="dxa"/>
              <w:right w:w="0" w:type="dxa"/>
            </w:tcMar>
            <w:vAlign w:val="center"/>
          </w:tcPr>
          <w:p w14:paraId="3731856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14.78</w:t>
            </w:r>
          </w:p>
        </w:tc>
        <w:tc>
          <w:tcPr>
            <w:tcW w:w="442" w:type="dxa"/>
            <w:tcBorders>
              <w:tl2br w:val="nil"/>
              <w:tr2bl w:val="nil"/>
            </w:tcBorders>
            <w:noWrap/>
            <w:tcMar>
              <w:top w:w="0" w:type="dxa"/>
              <w:left w:w="0" w:type="dxa"/>
              <w:bottom w:w="0" w:type="dxa"/>
              <w:right w:w="0" w:type="dxa"/>
            </w:tcMar>
            <w:vAlign w:val="center"/>
          </w:tcPr>
          <w:p w14:paraId="0C4FB82A">
            <w:pPr>
              <w:pStyle w:val="42"/>
              <w:keepNext w:val="0"/>
              <w:keepLines w:val="0"/>
              <w:suppressLineNumbers w:val="0"/>
              <w:bidi w:val="0"/>
              <w:spacing w:before="0" w:beforeAutospacing="0" w:after="0" w:afterAutospacing="0"/>
              <w:jc w:val="center"/>
              <w:rPr>
                <w:rFonts w:hint="default"/>
              </w:rPr>
            </w:pPr>
            <w:r>
              <w:rPr>
                <w:rFonts w:hint="default"/>
                <w:lang w:val="en-US" w:eastAsia="zh-CN"/>
              </w:rPr>
              <w:t>37.5</w:t>
            </w:r>
          </w:p>
        </w:tc>
        <w:tc>
          <w:tcPr>
            <w:tcW w:w="442" w:type="dxa"/>
            <w:tcBorders>
              <w:tl2br w:val="nil"/>
              <w:tr2bl w:val="nil"/>
            </w:tcBorders>
            <w:noWrap/>
            <w:tcMar>
              <w:top w:w="0" w:type="dxa"/>
              <w:left w:w="0" w:type="dxa"/>
              <w:bottom w:w="0" w:type="dxa"/>
              <w:right w:w="0" w:type="dxa"/>
            </w:tcMar>
            <w:vAlign w:val="center"/>
          </w:tcPr>
          <w:p w14:paraId="5CCECFC2">
            <w:pPr>
              <w:pStyle w:val="42"/>
              <w:keepNext w:val="0"/>
              <w:keepLines w:val="0"/>
              <w:suppressLineNumbers w:val="0"/>
              <w:bidi w:val="0"/>
              <w:spacing w:before="0" w:beforeAutospacing="0" w:after="0" w:afterAutospacing="0"/>
              <w:jc w:val="center"/>
              <w:rPr>
                <w:rFonts w:hint="default"/>
              </w:rPr>
            </w:pPr>
            <w:r>
              <w:rPr>
                <w:rFonts w:hint="default"/>
                <w:lang w:val="en-US" w:eastAsia="zh-CN"/>
              </w:rPr>
              <w:t>62.4</w:t>
            </w:r>
          </w:p>
        </w:tc>
        <w:tc>
          <w:tcPr>
            <w:tcW w:w="442" w:type="dxa"/>
            <w:tcBorders>
              <w:tl2br w:val="nil"/>
              <w:tr2bl w:val="nil"/>
            </w:tcBorders>
            <w:noWrap/>
            <w:tcMar>
              <w:top w:w="0" w:type="dxa"/>
              <w:left w:w="0" w:type="dxa"/>
              <w:bottom w:w="0" w:type="dxa"/>
              <w:right w:w="0" w:type="dxa"/>
            </w:tcMar>
            <w:vAlign w:val="center"/>
          </w:tcPr>
          <w:p w14:paraId="16E4D587">
            <w:pPr>
              <w:pStyle w:val="42"/>
              <w:keepNext w:val="0"/>
              <w:keepLines w:val="0"/>
              <w:suppressLineNumbers w:val="0"/>
              <w:bidi w:val="0"/>
              <w:spacing w:before="0" w:beforeAutospacing="0" w:after="0" w:afterAutospacing="0"/>
              <w:jc w:val="center"/>
              <w:rPr>
                <w:rFonts w:hint="default"/>
              </w:rPr>
            </w:pPr>
            <w:r>
              <w:rPr>
                <w:rFonts w:hint="default"/>
                <w:lang w:val="en-US" w:eastAsia="zh-CN"/>
              </w:rPr>
              <w:t>46.1</w:t>
            </w:r>
          </w:p>
        </w:tc>
        <w:tc>
          <w:tcPr>
            <w:tcW w:w="441" w:type="dxa"/>
            <w:tcBorders>
              <w:tl2br w:val="nil"/>
              <w:tr2bl w:val="nil"/>
            </w:tcBorders>
            <w:noWrap/>
            <w:tcMar>
              <w:top w:w="0" w:type="dxa"/>
              <w:left w:w="0" w:type="dxa"/>
              <w:bottom w:w="0" w:type="dxa"/>
              <w:right w:w="0" w:type="dxa"/>
            </w:tcMar>
            <w:vAlign w:val="center"/>
          </w:tcPr>
          <w:p w14:paraId="3FD11B7D">
            <w:pPr>
              <w:pStyle w:val="42"/>
              <w:keepNext w:val="0"/>
              <w:keepLines w:val="0"/>
              <w:suppressLineNumbers w:val="0"/>
              <w:bidi w:val="0"/>
              <w:spacing w:before="0" w:beforeAutospacing="0" w:after="0" w:afterAutospacing="0"/>
              <w:jc w:val="center"/>
              <w:rPr>
                <w:rFonts w:hint="default"/>
              </w:rPr>
            </w:pPr>
            <w:r>
              <w:rPr>
                <w:rFonts w:hint="default"/>
                <w:lang w:val="en-US" w:eastAsia="zh-CN"/>
              </w:rPr>
              <w:t>46.6</w:t>
            </w:r>
          </w:p>
        </w:tc>
        <w:tc>
          <w:tcPr>
            <w:tcW w:w="825" w:type="dxa"/>
            <w:tcBorders>
              <w:tl2br w:val="nil"/>
              <w:tr2bl w:val="nil"/>
            </w:tcBorders>
            <w:noWrap/>
            <w:tcMar>
              <w:top w:w="0" w:type="dxa"/>
              <w:left w:w="0" w:type="dxa"/>
              <w:bottom w:w="0" w:type="dxa"/>
              <w:right w:w="0" w:type="dxa"/>
            </w:tcMar>
            <w:vAlign w:val="center"/>
          </w:tcPr>
          <w:p w14:paraId="4A129151">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2F304EAE">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78559B48">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6C8A67A6">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274F691E">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249A2909">
            <w:pPr>
              <w:pStyle w:val="42"/>
              <w:keepNext w:val="0"/>
              <w:keepLines w:val="0"/>
              <w:suppressLineNumbers w:val="0"/>
              <w:bidi w:val="0"/>
              <w:spacing w:before="0" w:beforeAutospacing="0" w:after="0" w:afterAutospacing="0"/>
              <w:jc w:val="center"/>
              <w:rPr>
                <w:rFonts w:hint="default"/>
              </w:rPr>
            </w:pPr>
            <w:r>
              <w:rPr>
                <w:rFonts w:hint="default"/>
                <w:lang w:val="en-US" w:eastAsia="zh-CN"/>
              </w:rPr>
              <w:t>17.5</w:t>
            </w:r>
          </w:p>
        </w:tc>
        <w:tc>
          <w:tcPr>
            <w:tcW w:w="393" w:type="dxa"/>
            <w:tcBorders>
              <w:tl2br w:val="nil"/>
              <w:tr2bl w:val="nil"/>
            </w:tcBorders>
            <w:noWrap/>
            <w:tcMar>
              <w:top w:w="0" w:type="dxa"/>
              <w:left w:w="0" w:type="dxa"/>
              <w:bottom w:w="0" w:type="dxa"/>
              <w:right w:w="0" w:type="dxa"/>
            </w:tcMar>
            <w:vAlign w:val="center"/>
          </w:tcPr>
          <w:p w14:paraId="63FF6F6D">
            <w:pPr>
              <w:pStyle w:val="42"/>
              <w:keepNext w:val="0"/>
              <w:keepLines w:val="0"/>
              <w:suppressLineNumbers w:val="0"/>
              <w:bidi w:val="0"/>
              <w:spacing w:before="0" w:beforeAutospacing="0" w:after="0" w:afterAutospacing="0"/>
              <w:jc w:val="center"/>
              <w:rPr>
                <w:rFonts w:hint="default"/>
              </w:rPr>
            </w:pPr>
            <w:r>
              <w:rPr>
                <w:rFonts w:hint="default"/>
                <w:lang w:val="en-US" w:eastAsia="zh-CN"/>
              </w:rPr>
              <w:t>42.4</w:t>
            </w:r>
          </w:p>
        </w:tc>
        <w:tc>
          <w:tcPr>
            <w:tcW w:w="393" w:type="dxa"/>
            <w:tcBorders>
              <w:tl2br w:val="nil"/>
              <w:tr2bl w:val="nil"/>
            </w:tcBorders>
            <w:noWrap/>
            <w:tcMar>
              <w:top w:w="0" w:type="dxa"/>
              <w:left w:w="0" w:type="dxa"/>
              <w:bottom w:w="0" w:type="dxa"/>
              <w:right w:w="0" w:type="dxa"/>
            </w:tcMar>
            <w:vAlign w:val="center"/>
          </w:tcPr>
          <w:p w14:paraId="05C29FB0">
            <w:pPr>
              <w:pStyle w:val="42"/>
              <w:keepNext w:val="0"/>
              <w:keepLines w:val="0"/>
              <w:suppressLineNumbers w:val="0"/>
              <w:bidi w:val="0"/>
              <w:spacing w:before="0" w:beforeAutospacing="0" w:after="0" w:afterAutospacing="0"/>
              <w:jc w:val="center"/>
              <w:rPr>
                <w:rFonts w:hint="default"/>
              </w:rPr>
            </w:pPr>
            <w:r>
              <w:rPr>
                <w:rFonts w:hint="default"/>
                <w:lang w:val="en-US" w:eastAsia="zh-CN"/>
              </w:rPr>
              <w:t>26.1</w:t>
            </w:r>
          </w:p>
        </w:tc>
        <w:tc>
          <w:tcPr>
            <w:tcW w:w="393" w:type="dxa"/>
            <w:tcBorders>
              <w:tl2br w:val="nil"/>
              <w:tr2bl w:val="nil"/>
            </w:tcBorders>
            <w:noWrap/>
            <w:tcMar>
              <w:top w:w="0" w:type="dxa"/>
              <w:left w:w="0" w:type="dxa"/>
              <w:bottom w:w="0" w:type="dxa"/>
              <w:right w:w="0" w:type="dxa"/>
            </w:tcMar>
            <w:vAlign w:val="center"/>
          </w:tcPr>
          <w:p w14:paraId="3FB1737C">
            <w:pPr>
              <w:pStyle w:val="42"/>
              <w:keepNext w:val="0"/>
              <w:keepLines w:val="0"/>
              <w:suppressLineNumbers w:val="0"/>
              <w:bidi w:val="0"/>
              <w:spacing w:before="0" w:beforeAutospacing="0" w:after="0" w:afterAutospacing="0"/>
              <w:jc w:val="center"/>
              <w:rPr>
                <w:rFonts w:hint="default"/>
              </w:rPr>
            </w:pPr>
            <w:r>
              <w:rPr>
                <w:rFonts w:hint="default"/>
                <w:lang w:val="en-US" w:eastAsia="zh-CN"/>
              </w:rPr>
              <w:t>26.6</w:t>
            </w:r>
          </w:p>
        </w:tc>
        <w:tc>
          <w:tcPr>
            <w:tcW w:w="1178" w:type="dxa"/>
            <w:tcBorders>
              <w:tl2br w:val="nil"/>
              <w:tr2bl w:val="nil"/>
            </w:tcBorders>
            <w:noWrap/>
            <w:tcMar>
              <w:top w:w="0" w:type="dxa"/>
              <w:left w:w="0" w:type="dxa"/>
              <w:bottom w:w="0" w:type="dxa"/>
              <w:right w:w="0" w:type="dxa"/>
            </w:tcMar>
            <w:vAlign w:val="center"/>
          </w:tcPr>
          <w:p w14:paraId="22533C6B">
            <w:pPr>
              <w:pStyle w:val="42"/>
              <w:keepNext w:val="0"/>
              <w:keepLines w:val="0"/>
              <w:suppressLineNumbers w:val="0"/>
              <w:bidi w:val="0"/>
              <w:spacing w:before="0" w:beforeAutospacing="0" w:after="0" w:afterAutospacing="0"/>
              <w:jc w:val="center"/>
              <w:rPr>
                <w:rFonts w:hint="default"/>
              </w:rPr>
            </w:pPr>
            <w:r>
              <w:rPr>
                <w:rFonts w:hint="default"/>
              </w:rPr>
              <w:t>1</w:t>
            </w:r>
          </w:p>
        </w:tc>
      </w:tr>
      <w:tr w14:paraId="74001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tcBorders>
              <w:tl2br w:val="nil"/>
              <w:tr2bl w:val="nil"/>
            </w:tcBorders>
            <w:noWrap/>
            <w:tcMar>
              <w:top w:w="0" w:type="dxa"/>
              <w:left w:w="0" w:type="dxa"/>
              <w:bottom w:w="0" w:type="dxa"/>
              <w:right w:w="0" w:type="dxa"/>
            </w:tcMar>
            <w:vAlign w:val="center"/>
          </w:tcPr>
          <w:p w14:paraId="2A62119E">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10</w:t>
            </w:r>
          </w:p>
        </w:tc>
        <w:tc>
          <w:tcPr>
            <w:tcW w:w="1167" w:type="dxa"/>
            <w:vMerge w:val="continue"/>
            <w:tcBorders>
              <w:tl2br w:val="nil"/>
              <w:tr2bl w:val="nil"/>
            </w:tcBorders>
            <w:noWrap/>
            <w:tcMar>
              <w:top w:w="0" w:type="dxa"/>
              <w:left w:w="0" w:type="dxa"/>
              <w:bottom w:w="0" w:type="dxa"/>
              <w:right w:w="0" w:type="dxa"/>
            </w:tcMar>
            <w:vAlign w:val="center"/>
          </w:tcPr>
          <w:p w14:paraId="34693702">
            <w:pPr>
              <w:pStyle w:val="42"/>
              <w:keepNext w:val="0"/>
              <w:keepLines w:val="0"/>
              <w:suppressLineNumbers w:val="0"/>
              <w:bidi w:val="0"/>
              <w:spacing w:before="0" w:beforeAutospacing="0" w:after="0" w:afterAutospacing="0"/>
              <w:jc w:val="center"/>
              <w:rPr>
                <w:rFonts w:hint="default"/>
              </w:rPr>
            </w:pPr>
          </w:p>
        </w:tc>
        <w:tc>
          <w:tcPr>
            <w:tcW w:w="975" w:type="dxa"/>
            <w:tcBorders>
              <w:tl2br w:val="nil"/>
              <w:tr2bl w:val="nil"/>
            </w:tcBorders>
            <w:shd w:val="clear" w:color="auto" w:fill="auto"/>
            <w:noWrap/>
            <w:tcMar>
              <w:top w:w="0" w:type="dxa"/>
              <w:left w:w="0" w:type="dxa"/>
              <w:bottom w:w="0" w:type="dxa"/>
              <w:right w:w="0" w:type="dxa"/>
            </w:tcMar>
            <w:vAlign w:val="center"/>
          </w:tcPr>
          <w:p w14:paraId="1DE429B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回流泵</w:t>
            </w:r>
          </w:p>
        </w:tc>
        <w:tc>
          <w:tcPr>
            <w:tcW w:w="1370" w:type="dxa"/>
            <w:tcBorders>
              <w:tl2br w:val="nil"/>
              <w:tr2bl w:val="nil"/>
            </w:tcBorders>
            <w:shd w:val="clear" w:color="auto" w:fill="auto"/>
            <w:noWrap/>
            <w:tcMar>
              <w:top w:w="0" w:type="dxa"/>
              <w:left w:w="0" w:type="dxa"/>
              <w:bottom w:w="0" w:type="dxa"/>
              <w:right w:w="0" w:type="dxa"/>
            </w:tcMar>
            <w:vAlign w:val="center"/>
          </w:tcPr>
          <w:p w14:paraId="0DDCDF9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80</w:t>
            </w:r>
          </w:p>
        </w:tc>
        <w:tc>
          <w:tcPr>
            <w:tcW w:w="604" w:type="dxa"/>
            <w:tcBorders>
              <w:tl2br w:val="nil"/>
              <w:tr2bl w:val="nil"/>
            </w:tcBorders>
            <w:noWrap/>
            <w:tcMar>
              <w:top w:w="0" w:type="dxa"/>
              <w:left w:w="0" w:type="dxa"/>
              <w:bottom w:w="0" w:type="dxa"/>
              <w:right w:w="0" w:type="dxa"/>
            </w:tcMar>
            <w:vAlign w:val="center"/>
          </w:tcPr>
          <w:p w14:paraId="5B800A49">
            <w:pPr>
              <w:pStyle w:val="42"/>
              <w:keepNext w:val="0"/>
              <w:keepLines w:val="0"/>
              <w:suppressLineNumbers w:val="0"/>
              <w:bidi w:val="0"/>
              <w:spacing w:before="0" w:beforeAutospacing="0" w:after="0" w:afterAutospacing="0"/>
              <w:jc w:val="center"/>
              <w:rPr>
                <w:rFonts w:hint="default"/>
              </w:rPr>
            </w:pPr>
            <w:r>
              <w:rPr>
                <w:rFonts w:hint="eastAsia"/>
                <w:lang w:val="en-US" w:eastAsia="zh-CN"/>
              </w:rPr>
              <w:t>12.17</w:t>
            </w:r>
          </w:p>
        </w:tc>
        <w:tc>
          <w:tcPr>
            <w:tcW w:w="604" w:type="dxa"/>
            <w:tcBorders>
              <w:tl2br w:val="nil"/>
              <w:tr2bl w:val="nil"/>
            </w:tcBorders>
            <w:noWrap/>
            <w:tcMar>
              <w:top w:w="0" w:type="dxa"/>
              <w:left w:w="0" w:type="dxa"/>
              <w:bottom w:w="0" w:type="dxa"/>
              <w:right w:w="0" w:type="dxa"/>
            </w:tcMar>
            <w:vAlign w:val="center"/>
          </w:tcPr>
          <w:p w14:paraId="655DC9B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29.71</w:t>
            </w:r>
          </w:p>
        </w:tc>
        <w:tc>
          <w:tcPr>
            <w:tcW w:w="191" w:type="dxa"/>
            <w:tcBorders>
              <w:tl2br w:val="nil"/>
              <w:tr2bl w:val="nil"/>
            </w:tcBorders>
            <w:noWrap/>
            <w:tcMar>
              <w:top w:w="0" w:type="dxa"/>
              <w:left w:w="0" w:type="dxa"/>
              <w:bottom w:w="0" w:type="dxa"/>
              <w:right w:w="0" w:type="dxa"/>
            </w:tcMar>
            <w:vAlign w:val="center"/>
          </w:tcPr>
          <w:p w14:paraId="425E6178">
            <w:pPr>
              <w:pStyle w:val="42"/>
              <w:keepNext w:val="0"/>
              <w:keepLines w:val="0"/>
              <w:suppressLineNumbers w:val="0"/>
              <w:bidi w:val="0"/>
              <w:spacing w:before="0" w:beforeAutospacing="0" w:after="0" w:afterAutospacing="0"/>
              <w:jc w:val="center"/>
              <w:rPr>
                <w:rFonts w:hint="default"/>
                <w:lang w:val="en-US" w:eastAsia="zh-CN"/>
              </w:rPr>
            </w:pPr>
            <w:r>
              <w:rPr>
                <w:rFonts w:hint="default"/>
                <w:lang w:val="en-US" w:eastAsia="zh-CN"/>
              </w:rPr>
              <w:t>0</w:t>
            </w:r>
          </w:p>
        </w:tc>
        <w:tc>
          <w:tcPr>
            <w:tcW w:w="489" w:type="dxa"/>
            <w:tcBorders>
              <w:tl2br w:val="nil"/>
              <w:tr2bl w:val="nil"/>
            </w:tcBorders>
            <w:noWrap/>
            <w:tcMar>
              <w:top w:w="0" w:type="dxa"/>
              <w:left w:w="0" w:type="dxa"/>
              <w:bottom w:w="0" w:type="dxa"/>
              <w:right w:w="0" w:type="dxa"/>
            </w:tcMar>
            <w:vAlign w:val="center"/>
          </w:tcPr>
          <w:p w14:paraId="03E8F51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14.18</w:t>
            </w:r>
          </w:p>
        </w:tc>
        <w:tc>
          <w:tcPr>
            <w:tcW w:w="489" w:type="dxa"/>
            <w:tcBorders>
              <w:tl2br w:val="nil"/>
              <w:tr2bl w:val="nil"/>
            </w:tcBorders>
            <w:noWrap/>
            <w:tcMar>
              <w:top w:w="0" w:type="dxa"/>
              <w:left w:w="0" w:type="dxa"/>
              <w:bottom w:w="0" w:type="dxa"/>
              <w:right w:w="0" w:type="dxa"/>
            </w:tcMar>
            <w:vAlign w:val="center"/>
          </w:tcPr>
          <w:p w14:paraId="5CD255D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14.18</w:t>
            </w:r>
          </w:p>
        </w:tc>
        <w:tc>
          <w:tcPr>
            <w:tcW w:w="489" w:type="dxa"/>
            <w:tcBorders>
              <w:tl2br w:val="nil"/>
              <w:tr2bl w:val="nil"/>
            </w:tcBorders>
            <w:noWrap/>
            <w:tcMar>
              <w:top w:w="0" w:type="dxa"/>
              <w:left w:w="0" w:type="dxa"/>
              <w:bottom w:w="0" w:type="dxa"/>
              <w:right w:w="0" w:type="dxa"/>
            </w:tcMar>
            <w:vAlign w:val="center"/>
          </w:tcPr>
          <w:p w14:paraId="1E72671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22.92</w:t>
            </w:r>
          </w:p>
        </w:tc>
        <w:tc>
          <w:tcPr>
            <w:tcW w:w="482" w:type="dxa"/>
            <w:tcBorders>
              <w:tl2br w:val="nil"/>
              <w:tr2bl w:val="nil"/>
            </w:tcBorders>
            <w:noWrap/>
            <w:tcMar>
              <w:top w:w="0" w:type="dxa"/>
              <w:left w:w="0" w:type="dxa"/>
              <w:bottom w:w="0" w:type="dxa"/>
              <w:right w:w="0" w:type="dxa"/>
            </w:tcMar>
            <w:vAlign w:val="center"/>
          </w:tcPr>
          <w:p w14:paraId="2DE6961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2.99</w:t>
            </w:r>
          </w:p>
        </w:tc>
        <w:tc>
          <w:tcPr>
            <w:tcW w:w="442" w:type="dxa"/>
            <w:tcBorders>
              <w:tl2br w:val="nil"/>
              <w:tr2bl w:val="nil"/>
            </w:tcBorders>
            <w:noWrap/>
            <w:tcMar>
              <w:top w:w="0" w:type="dxa"/>
              <w:left w:w="0" w:type="dxa"/>
              <w:bottom w:w="0" w:type="dxa"/>
              <w:right w:w="0" w:type="dxa"/>
            </w:tcMar>
            <w:vAlign w:val="center"/>
          </w:tcPr>
          <w:p w14:paraId="2087B075">
            <w:pPr>
              <w:pStyle w:val="42"/>
              <w:keepNext w:val="0"/>
              <w:keepLines w:val="0"/>
              <w:suppressLineNumbers w:val="0"/>
              <w:bidi w:val="0"/>
              <w:spacing w:before="0" w:beforeAutospacing="0" w:after="0" w:afterAutospacing="0"/>
              <w:jc w:val="center"/>
              <w:rPr>
                <w:rFonts w:hint="default"/>
              </w:rPr>
            </w:pPr>
            <w:r>
              <w:rPr>
                <w:rFonts w:hint="default"/>
                <w:lang w:val="en-US" w:eastAsia="zh-CN"/>
              </w:rPr>
              <w:t>57.0</w:t>
            </w:r>
          </w:p>
        </w:tc>
        <w:tc>
          <w:tcPr>
            <w:tcW w:w="442" w:type="dxa"/>
            <w:tcBorders>
              <w:tl2br w:val="nil"/>
              <w:tr2bl w:val="nil"/>
            </w:tcBorders>
            <w:noWrap/>
            <w:tcMar>
              <w:top w:w="0" w:type="dxa"/>
              <w:left w:w="0" w:type="dxa"/>
              <w:bottom w:w="0" w:type="dxa"/>
              <w:right w:w="0" w:type="dxa"/>
            </w:tcMar>
            <w:vAlign w:val="center"/>
          </w:tcPr>
          <w:p w14:paraId="49B1862A">
            <w:pPr>
              <w:pStyle w:val="42"/>
              <w:keepNext w:val="0"/>
              <w:keepLines w:val="0"/>
              <w:suppressLineNumbers w:val="0"/>
              <w:bidi w:val="0"/>
              <w:spacing w:before="0" w:beforeAutospacing="0" w:after="0" w:afterAutospacing="0"/>
              <w:jc w:val="center"/>
              <w:rPr>
                <w:rFonts w:hint="default"/>
              </w:rPr>
            </w:pPr>
            <w:r>
              <w:rPr>
                <w:rFonts w:hint="default"/>
                <w:lang w:val="en-US" w:eastAsia="zh-CN"/>
              </w:rPr>
              <w:t>57.0</w:t>
            </w:r>
          </w:p>
        </w:tc>
        <w:tc>
          <w:tcPr>
            <w:tcW w:w="442" w:type="dxa"/>
            <w:tcBorders>
              <w:tl2br w:val="nil"/>
              <w:tr2bl w:val="nil"/>
            </w:tcBorders>
            <w:noWrap/>
            <w:tcMar>
              <w:top w:w="0" w:type="dxa"/>
              <w:left w:w="0" w:type="dxa"/>
              <w:bottom w:w="0" w:type="dxa"/>
              <w:right w:w="0" w:type="dxa"/>
            </w:tcMar>
            <w:vAlign w:val="center"/>
          </w:tcPr>
          <w:p w14:paraId="604A6F35">
            <w:pPr>
              <w:pStyle w:val="42"/>
              <w:keepNext w:val="0"/>
              <w:keepLines w:val="0"/>
              <w:suppressLineNumbers w:val="0"/>
              <w:bidi w:val="0"/>
              <w:spacing w:before="0" w:beforeAutospacing="0" w:after="0" w:afterAutospacing="0"/>
              <w:jc w:val="center"/>
              <w:rPr>
                <w:rFonts w:hint="default"/>
              </w:rPr>
            </w:pPr>
            <w:r>
              <w:rPr>
                <w:rFonts w:hint="default"/>
                <w:lang w:val="en-US" w:eastAsia="zh-CN"/>
              </w:rPr>
              <w:t>52.8</w:t>
            </w:r>
          </w:p>
        </w:tc>
        <w:tc>
          <w:tcPr>
            <w:tcW w:w="441" w:type="dxa"/>
            <w:tcBorders>
              <w:tl2br w:val="nil"/>
              <w:tr2bl w:val="nil"/>
            </w:tcBorders>
            <w:noWrap/>
            <w:tcMar>
              <w:top w:w="0" w:type="dxa"/>
              <w:left w:w="0" w:type="dxa"/>
              <w:bottom w:w="0" w:type="dxa"/>
              <w:right w:w="0" w:type="dxa"/>
            </w:tcMar>
            <w:vAlign w:val="center"/>
          </w:tcPr>
          <w:p w14:paraId="59E175A5">
            <w:pPr>
              <w:pStyle w:val="42"/>
              <w:keepNext w:val="0"/>
              <w:keepLines w:val="0"/>
              <w:suppressLineNumbers w:val="0"/>
              <w:bidi w:val="0"/>
              <w:spacing w:before="0" w:beforeAutospacing="0" w:after="0" w:afterAutospacing="0"/>
              <w:jc w:val="center"/>
              <w:rPr>
                <w:rFonts w:hint="default"/>
              </w:rPr>
            </w:pPr>
            <w:r>
              <w:rPr>
                <w:rFonts w:hint="default"/>
                <w:lang w:val="en-US" w:eastAsia="zh-CN"/>
              </w:rPr>
              <w:t>70.5</w:t>
            </w:r>
          </w:p>
        </w:tc>
        <w:tc>
          <w:tcPr>
            <w:tcW w:w="825" w:type="dxa"/>
            <w:tcBorders>
              <w:tl2br w:val="nil"/>
              <w:tr2bl w:val="nil"/>
            </w:tcBorders>
            <w:noWrap/>
            <w:tcMar>
              <w:top w:w="0" w:type="dxa"/>
              <w:left w:w="0" w:type="dxa"/>
              <w:bottom w:w="0" w:type="dxa"/>
              <w:right w:w="0" w:type="dxa"/>
            </w:tcMar>
            <w:vAlign w:val="center"/>
          </w:tcPr>
          <w:p w14:paraId="5E260478">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tcBorders>
              <w:tl2br w:val="nil"/>
              <w:tr2bl w:val="nil"/>
            </w:tcBorders>
            <w:noWrap/>
            <w:tcMar>
              <w:top w:w="0" w:type="dxa"/>
              <w:left w:w="0" w:type="dxa"/>
              <w:bottom w:w="0" w:type="dxa"/>
              <w:right w:w="0" w:type="dxa"/>
            </w:tcMar>
            <w:vAlign w:val="center"/>
          </w:tcPr>
          <w:p w14:paraId="7DFEA4D9">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481C0168">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tcBorders>
              <w:tl2br w:val="nil"/>
              <w:tr2bl w:val="nil"/>
            </w:tcBorders>
            <w:noWrap/>
            <w:tcMar>
              <w:top w:w="0" w:type="dxa"/>
              <w:left w:w="0" w:type="dxa"/>
              <w:bottom w:w="0" w:type="dxa"/>
              <w:right w:w="0" w:type="dxa"/>
            </w:tcMar>
            <w:vAlign w:val="center"/>
          </w:tcPr>
          <w:p w14:paraId="463E5151">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tcBorders>
              <w:tl2br w:val="nil"/>
              <w:tr2bl w:val="nil"/>
            </w:tcBorders>
            <w:noWrap/>
            <w:tcMar>
              <w:top w:w="0" w:type="dxa"/>
              <w:left w:w="0" w:type="dxa"/>
              <w:bottom w:w="0" w:type="dxa"/>
              <w:right w:w="0" w:type="dxa"/>
            </w:tcMar>
            <w:vAlign w:val="center"/>
          </w:tcPr>
          <w:p w14:paraId="04694E23">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tcBorders>
              <w:tl2br w:val="nil"/>
              <w:tr2bl w:val="nil"/>
            </w:tcBorders>
            <w:noWrap/>
            <w:tcMar>
              <w:top w:w="0" w:type="dxa"/>
              <w:left w:w="0" w:type="dxa"/>
              <w:bottom w:w="0" w:type="dxa"/>
              <w:right w:w="0" w:type="dxa"/>
            </w:tcMar>
            <w:vAlign w:val="center"/>
          </w:tcPr>
          <w:p w14:paraId="604C353A">
            <w:pPr>
              <w:pStyle w:val="42"/>
              <w:keepNext w:val="0"/>
              <w:keepLines w:val="0"/>
              <w:suppressLineNumbers w:val="0"/>
              <w:bidi w:val="0"/>
              <w:spacing w:before="0" w:beforeAutospacing="0" w:after="0" w:afterAutospacing="0"/>
              <w:jc w:val="center"/>
              <w:rPr>
                <w:rFonts w:hint="default"/>
              </w:rPr>
            </w:pPr>
            <w:r>
              <w:rPr>
                <w:rFonts w:hint="default"/>
                <w:lang w:val="en-US" w:eastAsia="zh-CN"/>
              </w:rPr>
              <w:t>37.0</w:t>
            </w:r>
          </w:p>
        </w:tc>
        <w:tc>
          <w:tcPr>
            <w:tcW w:w="393" w:type="dxa"/>
            <w:tcBorders>
              <w:tl2br w:val="nil"/>
              <w:tr2bl w:val="nil"/>
            </w:tcBorders>
            <w:noWrap/>
            <w:tcMar>
              <w:top w:w="0" w:type="dxa"/>
              <w:left w:w="0" w:type="dxa"/>
              <w:bottom w:w="0" w:type="dxa"/>
              <w:right w:w="0" w:type="dxa"/>
            </w:tcMar>
            <w:vAlign w:val="center"/>
          </w:tcPr>
          <w:p w14:paraId="57C265EA">
            <w:pPr>
              <w:pStyle w:val="42"/>
              <w:keepNext w:val="0"/>
              <w:keepLines w:val="0"/>
              <w:suppressLineNumbers w:val="0"/>
              <w:bidi w:val="0"/>
              <w:spacing w:before="0" w:beforeAutospacing="0" w:after="0" w:afterAutospacing="0"/>
              <w:jc w:val="center"/>
              <w:rPr>
                <w:rFonts w:hint="default"/>
              </w:rPr>
            </w:pPr>
            <w:r>
              <w:rPr>
                <w:rFonts w:hint="default"/>
                <w:lang w:val="en-US" w:eastAsia="zh-CN"/>
              </w:rPr>
              <w:t>37.0</w:t>
            </w:r>
          </w:p>
        </w:tc>
        <w:tc>
          <w:tcPr>
            <w:tcW w:w="393" w:type="dxa"/>
            <w:tcBorders>
              <w:tl2br w:val="nil"/>
              <w:tr2bl w:val="nil"/>
            </w:tcBorders>
            <w:noWrap/>
            <w:tcMar>
              <w:top w:w="0" w:type="dxa"/>
              <w:left w:w="0" w:type="dxa"/>
              <w:bottom w:w="0" w:type="dxa"/>
              <w:right w:w="0" w:type="dxa"/>
            </w:tcMar>
            <w:vAlign w:val="center"/>
          </w:tcPr>
          <w:p w14:paraId="2299EFC1">
            <w:pPr>
              <w:pStyle w:val="42"/>
              <w:keepNext w:val="0"/>
              <w:keepLines w:val="0"/>
              <w:suppressLineNumbers w:val="0"/>
              <w:bidi w:val="0"/>
              <w:spacing w:before="0" w:beforeAutospacing="0" w:after="0" w:afterAutospacing="0"/>
              <w:jc w:val="center"/>
              <w:rPr>
                <w:rFonts w:hint="default"/>
              </w:rPr>
            </w:pPr>
            <w:r>
              <w:rPr>
                <w:rFonts w:hint="default"/>
                <w:lang w:val="en-US" w:eastAsia="zh-CN"/>
              </w:rPr>
              <w:t>32.8</w:t>
            </w:r>
          </w:p>
        </w:tc>
        <w:tc>
          <w:tcPr>
            <w:tcW w:w="393" w:type="dxa"/>
            <w:tcBorders>
              <w:tl2br w:val="nil"/>
              <w:tr2bl w:val="nil"/>
            </w:tcBorders>
            <w:noWrap/>
            <w:tcMar>
              <w:top w:w="0" w:type="dxa"/>
              <w:left w:w="0" w:type="dxa"/>
              <w:bottom w:w="0" w:type="dxa"/>
              <w:right w:w="0" w:type="dxa"/>
            </w:tcMar>
            <w:vAlign w:val="center"/>
          </w:tcPr>
          <w:p w14:paraId="19CDE235">
            <w:pPr>
              <w:pStyle w:val="42"/>
              <w:keepNext w:val="0"/>
              <w:keepLines w:val="0"/>
              <w:suppressLineNumbers w:val="0"/>
              <w:bidi w:val="0"/>
              <w:spacing w:before="0" w:beforeAutospacing="0" w:after="0" w:afterAutospacing="0"/>
              <w:jc w:val="center"/>
              <w:rPr>
                <w:rFonts w:hint="default"/>
              </w:rPr>
            </w:pPr>
            <w:r>
              <w:rPr>
                <w:rFonts w:hint="default"/>
                <w:lang w:val="en-US" w:eastAsia="zh-CN"/>
              </w:rPr>
              <w:t>50.5</w:t>
            </w:r>
          </w:p>
        </w:tc>
        <w:tc>
          <w:tcPr>
            <w:tcW w:w="1178" w:type="dxa"/>
            <w:tcBorders>
              <w:tl2br w:val="nil"/>
              <w:tr2bl w:val="nil"/>
            </w:tcBorders>
            <w:noWrap/>
            <w:tcMar>
              <w:top w:w="0" w:type="dxa"/>
              <w:left w:w="0" w:type="dxa"/>
              <w:bottom w:w="0" w:type="dxa"/>
              <w:right w:w="0" w:type="dxa"/>
            </w:tcMar>
            <w:vAlign w:val="center"/>
          </w:tcPr>
          <w:p w14:paraId="67587FCA">
            <w:pPr>
              <w:pStyle w:val="42"/>
              <w:keepNext w:val="0"/>
              <w:keepLines w:val="0"/>
              <w:suppressLineNumbers w:val="0"/>
              <w:bidi w:val="0"/>
              <w:spacing w:before="0" w:beforeAutospacing="0" w:after="0" w:afterAutospacing="0"/>
              <w:jc w:val="center"/>
              <w:rPr>
                <w:rFonts w:hint="default"/>
              </w:rPr>
            </w:pPr>
            <w:r>
              <w:rPr>
                <w:rFonts w:hint="default"/>
              </w:rPr>
              <w:t>1</w:t>
            </w:r>
          </w:p>
        </w:tc>
      </w:tr>
      <w:tr w14:paraId="415FC4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vAlign w:val="center"/>
          </w:tcPr>
          <w:p w14:paraId="3F69BE75">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11</w:t>
            </w:r>
          </w:p>
        </w:tc>
        <w:tc>
          <w:tcPr>
            <w:tcW w:w="1167" w:type="dxa"/>
            <w:vMerge w:val="continue"/>
            <w:vAlign w:val="center"/>
          </w:tcPr>
          <w:p w14:paraId="623DDDE8">
            <w:pPr>
              <w:pStyle w:val="42"/>
              <w:keepNext w:val="0"/>
              <w:keepLines w:val="0"/>
              <w:suppressLineNumbers w:val="0"/>
              <w:bidi w:val="0"/>
              <w:spacing w:before="0" w:beforeAutospacing="0" w:after="0" w:afterAutospacing="0"/>
              <w:jc w:val="center"/>
              <w:rPr>
                <w:rFonts w:hint="default"/>
              </w:rPr>
            </w:pPr>
          </w:p>
        </w:tc>
        <w:tc>
          <w:tcPr>
            <w:tcW w:w="975" w:type="dxa"/>
            <w:shd w:val="clear" w:color="auto" w:fill="auto"/>
            <w:vAlign w:val="center"/>
          </w:tcPr>
          <w:p w14:paraId="24980A4F">
            <w:pPr>
              <w:pStyle w:val="42"/>
              <w:keepNext w:val="0"/>
              <w:keepLines w:val="0"/>
              <w:suppressLineNumbers w:val="0"/>
              <w:bidi w:val="0"/>
              <w:spacing w:before="0" w:beforeAutospacing="0" w:after="0" w:afterAutospacing="0"/>
              <w:jc w:val="center"/>
              <w:rPr>
                <w:rFonts w:hint="default"/>
                <w:lang w:val="en-US" w:eastAsia="zh-CN"/>
              </w:rPr>
            </w:pPr>
            <w:r>
              <w:rPr>
                <w:rFonts w:hint="default"/>
              </w:rPr>
              <w:t>搅拌机</w:t>
            </w:r>
          </w:p>
        </w:tc>
        <w:tc>
          <w:tcPr>
            <w:tcW w:w="1370" w:type="dxa"/>
            <w:shd w:val="clear" w:color="auto" w:fill="auto"/>
            <w:vAlign w:val="center"/>
          </w:tcPr>
          <w:p w14:paraId="4E351576">
            <w:pPr>
              <w:pStyle w:val="42"/>
              <w:keepNext w:val="0"/>
              <w:keepLines w:val="0"/>
              <w:suppressLineNumbers w:val="0"/>
              <w:bidi w:val="0"/>
              <w:spacing w:before="0" w:beforeAutospacing="0" w:after="0" w:afterAutospacing="0"/>
              <w:jc w:val="center"/>
              <w:rPr>
                <w:rFonts w:hint="default"/>
                <w:lang w:val="en-US" w:eastAsia="zh-CN"/>
              </w:rPr>
            </w:pPr>
            <w:r>
              <w:rPr>
                <w:rFonts w:hint="default"/>
              </w:rPr>
              <w:t>70</w:t>
            </w:r>
          </w:p>
        </w:tc>
        <w:tc>
          <w:tcPr>
            <w:tcW w:w="604" w:type="dxa"/>
            <w:vAlign w:val="center"/>
          </w:tcPr>
          <w:p w14:paraId="24579421">
            <w:pPr>
              <w:pStyle w:val="42"/>
              <w:keepNext w:val="0"/>
              <w:keepLines w:val="0"/>
              <w:suppressLineNumbers w:val="0"/>
              <w:bidi w:val="0"/>
              <w:spacing w:before="0" w:beforeAutospacing="0" w:after="0" w:afterAutospacing="0"/>
              <w:jc w:val="center"/>
              <w:rPr>
                <w:rFonts w:hint="default"/>
              </w:rPr>
            </w:pPr>
            <w:r>
              <w:rPr>
                <w:rFonts w:hint="eastAsia"/>
                <w:lang w:val="en-US" w:eastAsia="zh-CN"/>
              </w:rPr>
              <w:t>22.32</w:t>
            </w:r>
          </w:p>
        </w:tc>
        <w:tc>
          <w:tcPr>
            <w:tcW w:w="604" w:type="dxa"/>
            <w:vAlign w:val="center"/>
          </w:tcPr>
          <w:p w14:paraId="5A6A2B91">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28.96</w:t>
            </w:r>
          </w:p>
        </w:tc>
        <w:tc>
          <w:tcPr>
            <w:tcW w:w="191" w:type="dxa"/>
            <w:vAlign w:val="center"/>
          </w:tcPr>
          <w:p w14:paraId="77743C1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0</w:t>
            </w:r>
          </w:p>
        </w:tc>
        <w:tc>
          <w:tcPr>
            <w:tcW w:w="489" w:type="dxa"/>
            <w:vAlign w:val="center"/>
          </w:tcPr>
          <w:p w14:paraId="19B0A9E0">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13.44</w:t>
            </w:r>
          </w:p>
        </w:tc>
        <w:tc>
          <w:tcPr>
            <w:tcW w:w="489" w:type="dxa"/>
            <w:vAlign w:val="center"/>
          </w:tcPr>
          <w:p w14:paraId="7CF0DF1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13.44</w:t>
            </w:r>
          </w:p>
        </w:tc>
        <w:tc>
          <w:tcPr>
            <w:tcW w:w="489" w:type="dxa"/>
            <w:vAlign w:val="center"/>
          </w:tcPr>
          <w:p w14:paraId="5856EBAC">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33.07</w:t>
            </w:r>
          </w:p>
        </w:tc>
        <w:tc>
          <w:tcPr>
            <w:tcW w:w="482" w:type="dxa"/>
            <w:vAlign w:val="center"/>
          </w:tcPr>
          <w:p w14:paraId="0CB0E6B2">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3.73</w:t>
            </w:r>
          </w:p>
        </w:tc>
        <w:tc>
          <w:tcPr>
            <w:tcW w:w="442" w:type="dxa"/>
            <w:vAlign w:val="center"/>
          </w:tcPr>
          <w:p w14:paraId="03725503">
            <w:pPr>
              <w:pStyle w:val="42"/>
              <w:keepNext w:val="0"/>
              <w:keepLines w:val="0"/>
              <w:suppressLineNumbers w:val="0"/>
              <w:bidi w:val="0"/>
              <w:spacing w:before="0" w:beforeAutospacing="0" w:after="0" w:afterAutospacing="0"/>
              <w:jc w:val="center"/>
              <w:rPr>
                <w:rFonts w:hint="default"/>
              </w:rPr>
            </w:pPr>
            <w:r>
              <w:rPr>
                <w:rFonts w:hint="default"/>
                <w:lang w:val="en-US" w:eastAsia="zh-CN"/>
              </w:rPr>
              <w:t>47.4</w:t>
            </w:r>
          </w:p>
        </w:tc>
        <w:tc>
          <w:tcPr>
            <w:tcW w:w="442" w:type="dxa"/>
            <w:vAlign w:val="center"/>
          </w:tcPr>
          <w:p w14:paraId="62757527">
            <w:pPr>
              <w:pStyle w:val="42"/>
              <w:keepNext w:val="0"/>
              <w:keepLines w:val="0"/>
              <w:suppressLineNumbers w:val="0"/>
              <w:bidi w:val="0"/>
              <w:spacing w:before="0" w:beforeAutospacing="0" w:after="0" w:afterAutospacing="0"/>
              <w:jc w:val="center"/>
              <w:rPr>
                <w:rFonts w:hint="default"/>
              </w:rPr>
            </w:pPr>
            <w:r>
              <w:rPr>
                <w:rFonts w:hint="default"/>
                <w:lang w:val="en-US" w:eastAsia="zh-CN"/>
              </w:rPr>
              <w:t>47.4</w:t>
            </w:r>
          </w:p>
        </w:tc>
        <w:tc>
          <w:tcPr>
            <w:tcW w:w="442" w:type="dxa"/>
            <w:vAlign w:val="center"/>
          </w:tcPr>
          <w:p w14:paraId="5755E323">
            <w:pPr>
              <w:pStyle w:val="42"/>
              <w:keepNext w:val="0"/>
              <w:keepLines w:val="0"/>
              <w:suppressLineNumbers w:val="0"/>
              <w:bidi w:val="0"/>
              <w:spacing w:before="0" w:beforeAutospacing="0" w:after="0" w:afterAutospacing="0"/>
              <w:jc w:val="center"/>
              <w:rPr>
                <w:rFonts w:hint="default"/>
              </w:rPr>
            </w:pPr>
            <w:r>
              <w:rPr>
                <w:rFonts w:hint="default"/>
                <w:lang w:val="en-US" w:eastAsia="zh-CN"/>
              </w:rPr>
              <w:t>39.6</w:t>
            </w:r>
          </w:p>
        </w:tc>
        <w:tc>
          <w:tcPr>
            <w:tcW w:w="441" w:type="dxa"/>
            <w:vAlign w:val="center"/>
          </w:tcPr>
          <w:p w14:paraId="60FC5DB6">
            <w:pPr>
              <w:pStyle w:val="42"/>
              <w:keepNext w:val="0"/>
              <w:keepLines w:val="0"/>
              <w:suppressLineNumbers w:val="0"/>
              <w:bidi w:val="0"/>
              <w:spacing w:before="0" w:beforeAutospacing="0" w:after="0" w:afterAutospacing="0"/>
              <w:jc w:val="center"/>
              <w:rPr>
                <w:rFonts w:hint="default"/>
              </w:rPr>
            </w:pPr>
            <w:r>
              <w:rPr>
                <w:rFonts w:hint="default"/>
                <w:lang w:val="en-US" w:eastAsia="zh-CN"/>
              </w:rPr>
              <w:t>58.6</w:t>
            </w:r>
          </w:p>
        </w:tc>
        <w:tc>
          <w:tcPr>
            <w:tcW w:w="825" w:type="dxa"/>
            <w:vAlign w:val="center"/>
          </w:tcPr>
          <w:p w14:paraId="7C185711">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vAlign w:val="center"/>
          </w:tcPr>
          <w:p w14:paraId="2B6DE5E2">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7FC3CFD5">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36EEB992">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vAlign w:val="center"/>
          </w:tcPr>
          <w:p w14:paraId="40548886">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vAlign w:val="center"/>
          </w:tcPr>
          <w:p w14:paraId="3A203046">
            <w:pPr>
              <w:pStyle w:val="42"/>
              <w:keepNext w:val="0"/>
              <w:keepLines w:val="0"/>
              <w:suppressLineNumbers w:val="0"/>
              <w:bidi w:val="0"/>
              <w:spacing w:before="0" w:beforeAutospacing="0" w:after="0" w:afterAutospacing="0"/>
              <w:jc w:val="center"/>
              <w:rPr>
                <w:rFonts w:hint="default"/>
              </w:rPr>
            </w:pPr>
            <w:r>
              <w:rPr>
                <w:rFonts w:hint="default"/>
                <w:lang w:val="en-US" w:eastAsia="zh-CN"/>
              </w:rPr>
              <w:t>27.4</w:t>
            </w:r>
          </w:p>
        </w:tc>
        <w:tc>
          <w:tcPr>
            <w:tcW w:w="393" w:type="dxa"/>
            <w:vAlign w:val="center"/>
          </w:tcPr>
          <w:p w14:paraId="5CF43D0C">
            <w:pPr>
              <w:pStyle w:val="42"/>
              <w:keepNext w:val="0"/>
              <w:keepLines w:val="0"/>
              <w:suppressLineNumbers w:val="0"/>
              <w:bidi w:val="0"/>
              <w:spacing w:before="0" w:beforeAutospacing="0" w:after="0" w:afterAutospacing="0"/>
              <w:jc w:val="center"/>
              <w:rPr>
                <w:rFonts w:hint="default"/>
              </w:rPr>
            </w:pPr>
            <w:r>
              <w:rPr>
                <w:rFonts w:hint="default"/>
                <w:lang w:val="en-US" w:eastAsia="zh-CN"/>
              </w:rPr>
              <w:t>27.4</w:t>
            </w:r>
          </w:p>
        </w:tc>
        <w:tc>
          <w:tcPr>
            <w:tcW w:w="393" w:type="dxa"/>
            <w:vAlign w:val="center"/>
          </w:tcPr>
          <w:p w14:paraId="12F4AA1E">
            <w:pPr>
              <w:pStyle w:val="42"/>
              <w:keepNext w:val="0"/>
              <w:keepLines w:val="0"/>
              <w:suppressLineNumbers w:val="0"/>
              <w:bidi w:val="0"/>
              <w:spacing w:before="0" w:beforeAutospacing="0" w:after="0" w:afterAutospacing="0"/>
              <w:jc w:val="center"/>
              <w:rPr>
                <w:rFonts w:hint="default"/>
              </w:rPr>
            </w:pPr>
            <w:r>
              <w:rPr>
                <w:rFonts w:hint="default"/>
                <w:lang w:val="en-US" w:eastAsia="zh-CN"/>
              </w:rPr>
              <w:t>19.6</w:t>
            </w:r>
          </w:p>
        </w:tc>
        <w:tc>
          <w:tcPr>
            <w:tcW w:w="393" w:type="dxa"/>
            <w:vAlign w:val="center"/>
          </w:tcPr>
          <w:p w14:paraId="7B51A7B7">
            <w:pPr>
              <w:pStyle w:val="42"/>
              <w:keepNext w:val="0"/>
              <w:keepLines w:val="0"/>
              <w:suppressLineNumbers w:val="0"/>
              <w:bidi w:val="0"/>
              <w:spacing w:before="0" w:beforeAutospacing="0" w:after="0" w:afterAutospacing="0"/>
              <w:jc w:val="center"/>
              <w:rPr>
                <w:rFonts w:hint="default"/>
              </w:rPr>
            </w:pPr>
            <w:r>
              <w:rPr>
                <w:rFonts w:hint="default"/>
                <w:lang w:val="en-US" w:eastAsia="zh-CN"/>
              </w:rPr>
              <w:t>38.6</w:t>
            </w:r>
          </w:p>
        </w:tc>
        <w:tc>
          <w:tcPr>
            <w:tcW w:w="1178" w:type="dxa"/>
            <w:vAlign w:val="center"/>
          </w:tcPr>
          <w:p w14:paraId="1672FF66">
            <w:pPr>
              <w:pStyle w:val="42"/>
              <w:keepNext w:val="0"/>
              <w:keepLines w:val="0"/>
              <w:suppressLineNumbers w:val="0"/>
              <w:bidi w:val="0"/>
              <w:spacing w:before="0" w:beforeAutospacing="0" w:after="0" w:afterAutospacing="0"/>
              <w:jc w:val="center"/>
              <w:rPr>
                <w:rFonts w:hint="eastAsia" w:eastAsia="宋体"/>
                <w:lang w:val="en-US" w:eastAsia="zh-CN"/>
              </w:rPr>
            </w:pPr>
            <w:r>
              <w:rPr>
                <w:rFonts w:hint="eastAsia"/>
                <w:lang w:val="en-US" w:eastAsia="zh-CN"/>
              </w:rPr>
              <w:t>1</w:t>
            </w:r>
          </w:p>
        </w:tc>
      </w:tr>
      <w:tr w14:paraId="49660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vAlign w:val="center"/>
          </w:tcPr>
          <w:p w14:paraId="76F9ABB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12</w:t>
            </w:r>
          </w:p>
        </w:tc>
        <w:tc>
          <w:tcPr>
            <w:tcW w:w="1167" w:type="dxa"/>
            <w:vMerge w:val="continue"/>
            <w:vAlign w:val="center"/>
          </w:tcPr>
          <w:p w14:paraId="6274997C">
            <w:pPr>
              <w:pStyle w:val="42"/>
              <w:keepNext w:val="0"/>
              <w:keepLines w:val="0"/>
              <w:suppressLineNumbers w:val="0"/>
              <w:bidi w:val="0"/>
              <w:spacing w:before="0" w:beforeAutospacing="0" w:after="0" w:afterAutospacing="0"/>
              <w:jc w:val="center"/>
              <w:rPr>
                <w:rFonts w:hint="default"/>
              </w:rPr>
            </w:pPr>
          </w:p>
        </w:tc>
        <w:tc>
          <w:tcPr>
            <w:tcW w:w="975" w:type="dxa"/>
            <w:shd w:val="clear" w:color="auto" w:fill="auto"/>
            <w:vAlign w:val="center"/>
          </w:tcPr>
          <w:p w14:paraId="23E9920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离心泵</w:t>
            </w:r>
          </w:p>
        </w:tc>
        <w:tc>
          <w:tcPr>
            <w:tcW w:w="1370" w:type="dxa"/>
            <w:shd w:val="clear" w:color="auto" w:fill="auto"/>
            <w:vAlign w:val="center"/>
          </w:tcPr>
          <w:p w14:paraId="5BE784AE">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80</w:t>
            </w:r>
          </w:p>
        </w:tc>
        <w:tc>
          <w:tcPr>
            <w:tcW w:w="604" w:type="dxa"/>
            <w:vAlign w:val="center"/>
          </w:tcPr>
          <w:p w14:paraId="2EC96EA0">
            <w:pPr>
              <w:pStyle w:val="42"/>
              <w:keepNext w:val="0"/>
              <w:keepLines w:val="0"/>
              <w:suppressLineNumbers w:val="0"/>
              <w:bidi w:val="0"/>
              <w:spacing w:before="0" w:beforeAutospacing="0" w:after="0" w:afterAutospacing="0"/>
              <w:jc w:val="center"/>
              <w:rPr>
                <w:rFonts w:hint="default"/>
              </w:rPr>
            </w:pPr>
            <w:r>
              <w:rPr>
                <w:rFonts w:hint="eastAsia"/>
                <w:lang w:val="en-US" w:eastAsia="zh-CN"/>
              </w:rPr>
              <w:t>5.15</w:t>
            </w:r>
          </w:p>
        </w:tc>
        <w:tc>
          <w:tcPr>
            <w:tcW w:w="604" w:type="dxa"/>
            <w:vAlign w:val="center"/>
          </w:tcPr>
          <w:p w14:paraId="754FCB5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30.60</w:t>
            </w:r>
          </w:p>
        </w:tc>
        <w:tc>
          <w:tcPr>
            <w:tcW w:w="191" w:type="dxa"/>
            <w:vAlign w:val="center"/>
          </w:tcPr>
          <w:p w14:paraId="73D3402B">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0</w:t>
            </w:r>
          </w:p>
        </w:tc>
        <w:tc>
          <w:tcPr>
            <w:tcW w:w="489" w:type="dxa"/>
            <w:vAlign w:val="center"/>
          </w:tcPr>
          <w:p w14:paraId="5EBC1926">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15.08</w:t>
            </w:r>
          </w:p>
        </w:tc>
        <w:tc>
          <w:tcPr>
            <w:tcW w:w="489" w:type="dxa"/>
            <w:vAlign w:val="center"/>
          </w:tcPr>
          <w:p w14:paraId="1659726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15.08</w:t>
            </w:r>
          </w:p>
        </w:tc>
        <w:tc>
          <w:tcPr>
            <w:tcW w:w="489" w:type="dxa"/>
            <w:vAlign w:val="center"/>
          </w:tcPr>
          <w:p w14:paraId="038C704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15.90</w:t>
            </w:r>
          </w:p>
        </w:tc>
        <w:tc>
          <w:tcPr>
            <w:tcW w:w="482" w:type="dxa"/>
            <w:vAlign w:val="center"/>
          </w:tcPr>
          <w:p w14:paraId="6A4819FA">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2.09</w:t>
            </w:r>
          </w:p>
        </w:tc>
        <w:tc>
          <w:tcPr>
            <w:tcW w:w="442" w:type="dxa"/>
            <w:vAlign w:val="center"/>
          </w:tcPr>
          <w:p w14:paraId="6EB3EB99">
            <w:pPr>
              <w:pStyle w:val="42"/>
              <w:keepNext w:val="0"/>
              <w:keepLines w:val="0"/>
              <w:suppressLineNumbers w:val="0"/>
              <w:bidi w:val="0"/>
              <w:spacing w:before="0" w:beforeAutospacing="0" w:after="0" w:afterAutospacing="0"/>
              <w:jc w:val="center"/>
              <w:rPr>
                <w:rFonts w:hint="default"/>
              </w:rPr>
            </w:pPr>
            <w:r>
              <w:rPr>
                <w:rFonts w:hint="default"/>
                <w:lang w:val="en-US" w:eastAsia="zh-CN"/>
              </w:rPr>
              <w:t>56.4</w:t>
            </w:r>
          </w:p>
        </w:tc>
        <w:tc>
          <w:tcPr>
            <w:tcW w:w="442" w:type="dxa"/>
            <w:vAlign w:val="center"/>
          </w:tcPr>
          <w:p w14:paraId="673AB83A">
            <w:pPr>
              <w:pStyle w:val="42"/>
              <w:keepNext w:val="0"/>
              <w:keepLines w:val="0"/>
              <w:suppressLineNumbers w:val="0"/>
              <w:bidi w:val="0"/>
              <w:spacing w:before="0" w:beforeAutospacing="0" w:after="0" w:afterAutospacing="0"/>
              <w:jc w:val="center"/>
              <w:rPr>
                <w:rFonts w:hint="default"/>
              </w:rPr>
            </w:pPr>
            <w:r>
              <w:rPr>
                <w:rFonts w:hint="default"/>
                <w:lang w:val="en-US" w:eastAsia="zh-CN"/>
              </w:rPr>
              <w:t>56.4</w:t>
            </w:r>
          </w:p>
        </w:tc>
        <w:tc>
          <w:tcPr>
            <w:tcW w:w="442" w:type="dxa"/>
            <w:vAlign w:val="center"/>
          </w:tcPr>
          <w:p w14:paraId="192A2919">
            <w:pPr>
              <w:pStyle w:val="42"/>
              <w:keepNext w:val="0"/>
              <w:keepLines w:val="0"/>
              <w:suppressLineNumbers w:val="0"/>
              <w:bidi w:val="0"/>
              <w:spacing w:before="0" w:beforeAutospacing="0" w:after="0" w:afterAutospacing="0"/>
              <w:jc w:val="center"/>
              <w:rPr>
                <w:rFonts w:hint="default"/>
              </w:rPr>
            </w:pPr>
            <w:r>
              <w:rPr>
                <w:rFonts w:hint="default"/>
                <w:lang w:val="en-US" w:eastAsia="zh-CN"/>
              </w:rPr>
              <w:t>56.0</w:t>
            </w:r>
          </w:p>
        </w:tc>
        <w:tc>
          <w:tcPr>
            <w:tcW w:w="441" w:type="dxa"/>
            <w:vAlign w:val="center"/>
          </w:tcPr>
          <w:p w14:paraId="25E704FB">
            <w:pPr>
              <w:pStyle w:val="42"/>
              <w:keepNext w:val="0"/>
              <w:keepLines w:val="0"/>
              <w:suppressLineNumbers w:val="0"/>
              <w:bidi w:val="0"/>
              <w:spacing w:before="0" w:beforeAutospacing="0" w:after="0" w:afterAutospacing="0"/>
              <w:jc w:val="center"/>
              <w:rPr>
                <w:rFonts w:hint="default"/>
              </w:rPr>
            </w:pPr>
            <w:r>
              <w:rPr>
                <w:rFonts w:hint="default"/>
                <w:lang w:val="en-US" w:eastAsia="zh-CN"/>
              </w:rPr>
              <w:t>73.6</w:t>
            </w:r>
          </w:p>
        </w:tc>
        <w:tc>
          <w:tcPr>
            <w:tcW w:w="825" w:type="dxa"/>
            <w:vAlign w:val="center"/>
          </w:tcPr>
          <w:p w14:paraId="73A9C373">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vAlign w:val="center"/>
          </w:tcPr>
          <w:p w14:paraId="25715830">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2450B589">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2639B861">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vAlign w:val="center"/>
          </w:tcPr>
          <w:p w14:paraId="400C9687">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vAlign w:val="center"/>
          </w:tcPr>
          <w:p w14:paraId="5957CF68">
            <w:pPr>
              <w:pStyle w:val="42"/>
              <w:keepNext w:val="0"/>
              <w:keepLines w:val="0"/>
              <w:suppressLineNumbers w:val="0"/>
              <w:bidi w:val="0"/>
              <w:spacing w:before="0" w:beforeAutospacing="0" w:after="0" w:afterAutospacing="0"/>
              <w:jc w:val="center"/>
              <w:rPr>
                <w:rFonts w:hint="default"/>
              </w:rPr>
            </w:pPr>
            <w:r>
              <w:rPr>
                <w:rFonts w:hint="default"/>
                <w:lang w:val="en-US" w:eastAsia="zh-CN"/>
              </w:rPr>
              <w:t>36.4</w:t>
            </w:r>
          </w:p>
        </w:tc>
        <w:tc>
          <w:tcPr>
            <w:tcW w:w="393" w:type="dxa"/>
            <w:vAlign w:val="center"/>
          </w:tcPr>
          <w:p w14:paraId="3CF6CF17">
            <w:pPr>
              <w:pStyle w:val="42"/>
              <w:keepNext w:val="0"/>
              <w:keepLines w:val="0"/>
              <w:suppressLineNumbers w:val="0"/>
              <w:bidi w:val="0"/>
              <w:spacing w:before="0" w:beforeAutospacing="0" w:after="0" w:afterAutospacing="0"/>
              <w:jc w:val="center"/>
              <w:rPr>
                <w:rFonts w:hint="default"/>
              </w:rPr>
            </w:pPr>
            <w:r>
              <w:rPr>
                <w:rFonts w:hint="default"/>
                <w:lang w:val="en-US" w:eastAsia="zh-CN"/>
              </w:rPr>
              <w:t>36.4</w:t>
            </w:r>
          </w:p>
        </w:tc>
        <w:tc>
          <w:tcPr>
            <w:tcW w:w="393" w:type="dxa"/>
            <w:vAlign w:val="center"/>
          </w:tcPr>
          <w:p w14:paraId="1EDE330F">
            <w:pPr>
              <w:pStyle w:val="42"/>
              <w:keepNext w:val="0"/>
              <w:keepLines w:val="0"/>
              <w:suppressLineNumbers w:val="0"/>
              <w:bidi w:val="0"/>
              <w:spacing w:before="0" w:beforeAutospacing="0" w:after="0" w:afterAutospacing="0"/>
              <w:jc w:val="center"/>
              <w:rPr>
                <w:rFonts w:hint="default"/>
              </w:rPr>
            </w:pPr>
            <w:r>
              <w:rPr>
                <w:rFonts w:hint="default"/>
                <w:lang w:val="en-US" w:eastAsia="zh-CN"/>
              </w:rPr>
              <w:t>36.0</w:t>
            </w:r>
          </w:p>
        </w:tc>
        <w:tc>
          <w:tcPr>
            <w:tcW w:w="393" w:type="dxa"/>
            <w:vAlign w:val="center"/>
          </w:tcPr>
          <w:p w14:paraId="0CD7ECAB">
            <w:pPr>
              <w:pStyle w:val="42"/>
              <w:keepNext w:val="0"/>
              <w:keepLines w:val="0"/>
              <w:suppressLineNumbers w:val="0"/>
              <w:bidi w:val="0"/>
              <w:spacing w:before="0" w:beforeAutospacing="0" w:after="0" w:afterAutospacing="0"/>
              <w:jc w:val="center"/>
              <w:rPr>
                <w:rFonts w:hint="default"/>
              </w:rPr>
            </w:pPr>
            <w:r>
              <w:rPr>
                <w:rFonts w:hint="default"/>
                <w:lang w:val="en-US" w:eastAsia="zh-CN"/>
              </w:rPr>
              <w:t>53.6</w:t>
            </w:r>
          </w:p>
        </w:tc>
        <w:tc>
          <w:tcPr>
            <w:tcW w:w="1178" w:type="dxa"/>
            <w:vAlign w:val="center"/>
          </w:tcPr>
          <w:p w14:paraId="67376936">
            <w:pPr>
              <w:pStyle w:val="42"/>
              <w:keepNext w:val="0"/>
              <w:keepLines w:val="0"/>
              <w:suppressLineNumbers w:val="0"/>
              <w:bidi w:val="0"/>
              <w:spacing w:before="0" w:beforeAutospacing="0" w:after="0" w:afterAutospacing="0"/>
              <w:jc w:val="center"/>
              <w:rPr>
                <w:rFonts w:hint="eastAsia" w:eastAsia="宋体"/>
                <w:lang w:val="en-US" w:eastAsia="zh-CN"/>
              </w:rPr>
            </w:pPr>
            <w:r>
              <w:rPr>
                <w:rFonts w:hint="eastAsia"/>
                <w:lang w:val="en-US" w:eastAsia="zh-CN"/>
              </w:rPr>
              <w:t>1</w:t>
            </w:r>
          </w:p>
        </w:tc>
      </w:tr>
      <w:tr w14:paraId="59713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41" w:type="dxa"/>
            <w:vAlign w:val="center"/>
          </w:tcPr>
          <w:p w14:paraId="7796EE4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13</w:t>
            </w:r>
          </w:p>
        </w:tc>
        <w:tc>
          <w:tcPr>
            <w:tcW w:w="1167" w:type="dxa"/>
            <w:vMerge w:val="continue"/>
            <w:vAlign w:val="center"/>
          </w:tcPr>
          <w:p w14:paraId="5ADD0FDE">
            <w:pPr>
              <w:pStyle w:val="42"/>
              <w:keepNext w:val="0"/>
              <w:keepLines w:val="0"/>
              <w:suppressLineNumbers w:val="0"/>
              <w:bidi w:val="0"/>
              <w:spacing w:before="0" w:beforeAutospacing="0" w:after="0" w:afterAutospacing="0"/>
              <w:jc w:val="center"/>
              <w:rPr>
                <w:rFonts w:hint="default"/>
              </w:rPr>
            </w:pPr>
          </w:p>
        </w:tc>
        <w:tc>
          <w:tcPr>
            <w:tcW w:w="975" w:type="dxa"/>
            <w:shd w:val="clear" w:color="auto" w:fill="auto"/>
            <w:vAlign w:val="center"/>
          </w:tcPr>
          <w:p w14:paraId="5A2162F9">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污泥调理</w:t>
            </w:r>
            <w:r>
              <w:rPr>
                <w:rFonts w:hint="default"/>
              </w:rPr>
              <w:t>泵</w:t>
            </w:r>
          </w:p>
        </w:tc>
        <w:tc>
          <w:tcPr>
            <w:tcW w:w="1370" w:type="dxa"/>
            <w:shd w:val="clear" w:color="auto" w:fill="auto"/>
            <w:vAlign w:val="center"/>
          </w:tcPr>
          <w:p w14:paraId="7A717320">
            <w:pPr>
              <w:pStyle w:val="42"/>
              <w:keepNext w:val="0"/>
              <w:keepLines w:val="0"/>
              <w:suppressLineNumbers w:val="0"/>
              <w:bidi w:val="0"/>
              <w:spacing w:before="0" w:beforeAutospacing="0" w:after="0" w:afterAutospacing="0"/>
              <w:jc w:val="center"/>
              <w:rPr>
                <w:rFonts w:hint="default"/>
                <w:lang w:val="en-US" w:eastAsia="zh-CN"/>
              </w:rPr>
            </w:pPr>
            <w:r>
              <w:rPr>
                <w:rFonts w:hint="default"/>
              </w:rPr>
              <w:t>80</w:t>
            </w:r>
          </w:p>
        </w:tc>
        <w:tc>
          <w:tcPr>
            <w:tcW w:w="604" w:type="dxa"/>
            <w:vAlign w:val="center"/>
          </w:tcPr>
          <w:p w14:paraId="22F8BBBD">
            <w:pPr>
              <w:pStyle w:val="42"/>
              <w:keepNext w:val="0"/>
              <w:keepLines w:val="0"/>
              <w:suppressLineNumbers w:val="0"/>
              <w:bidi w:val="0"/>
              <w:spacing w:before="0" w:beforeAutospacing="0" w:after="0" w:afterAutospacing="0"/>
              <w:jc w:val="center"/>
              <w:rPr>
                <w:rFonts w:hint="default"/>
              </w:rPr>
            </w:pPr>
            <w:r>
              <w:rPr>
                <w:rFonts w:hint="eastAsia"/>
                <w:lang w:val="en-US" w:eastAsia="zh-CN"/>
              </w:rPr>
              <w:t>34.56</w:t>
            </w:r>
          </w:p>
        </w:tc>
        <w:tc>
          <w:tcPr>
            <w:tcW w:w="604" w:type="dxa"/>
            <w:vAlign w:val="center"/>
          </w:tcPr>
          <w:p w14:paraId="5D9865C8">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21.05</w:t>
            </w:r>
          </w:p>
        </w:tc>
        <w:tc>
          <w:tcPr>
            <w:tcW w:w="191" w:type="dxa"/>
            <w:vAlign w:val="center"/>
          </w:tcPr>
          <w:p w14:paraId="354E735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0</w:t>
            </w:r>
          </w:p>
        </w:tc>
        <w:tc>
          <w:tcPr>
            <w:tcW w:w="489" w:type="dxa"/>
            <w:vAlign w:val="center"/>
          </w:tcPr>
          <w:p w14:paraId="2BE80AD7">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5.52</w:t>
            </w:r>
          </w:p>
        </w:tc>
        <w:tc>
          <w:tcPr>
            <w:tcW w:w="489" w:type="dxa"/>
            <w:vAlign w:val="center"/>
          </w:tcPr>
          <w:p w14:paraId="22DAB163">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5.52</w:t>
            </w:r>
          </w:p>
        </w:tc>
        <w:tc>
          <w:tcPr>
            <w:tcW w:w="489" w:type="dxa"/>
            <w:vAlign w:val="center"/>
          </w:tcPr>
          <w:p w14:paraId="585C8330">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45.31</w:t>
            </w:r>
          </w:p>
        </w:tc>
        <w:tc>
          <w:tcPr>
            <w:tcW w:w="482" w:type="dxa"/>
            <w:vAlign w:val="center"/>
          </w:tcPr>
          <w:p w14:paraId="4FB2AB24">
            <w:pPr>
              <w:pStyle w:val="42"/>
              <w:keepNext w:val="0"/>
              <w:keepLines w:val="0"/>
              <w:suppressLineNumbers w:val="0"/>
              <w:bidi w:val="0"/>
              <w:spacing w:before="0" w:beforeAutospacing="0" w:after="0" w:afterAutospacing="0"/>
              <w:jc w:val="center"/>
              <w:rPr>
                <w:rFonts w:hint="default"/>
                <w:lang w:val="en-US" w:eastAsia="zh-CN"/>
              </w:rPr>
            </w:pPr>
            <w:r>
              <w:rPr>
                <w:rFonts w:hint="eastAsia"/>
                <w:lang w:val="en-US" w:eastAsia="zh-CN"/>
              </w:rPr>
              <w:t>11.64</w:t>
            </w:r>
          </w:p>
        </w:tc>
        <w:tc>
          <w:tcPr>
            <w:tcW w:w="442" w:type="dxa"/>
            <w:vAlign w:val="center"/>
          </w:tcPr>
          <w:p w14:paraId="3269D6CD">
            <w:pPr>
              <w:pStyle w:val="42"/>
              <w:keepNext w:val="0"/>
              <w:keepLines w:val="0"/>
              <w:suppressLineNumbers w:val="0"/>
              <w:bidi w:val="0"/>
              <w:spacing w:before="0" w:beforeAutospacing="0" w:after="0" w:afterAutospacing="0"/>
              <w:jc w:val="center"/>
              <w:rPr>
                <w:rFonts w:hint="default"/>
              </w:rPr>
            </w:pPr>
            <w:r>
              <w:rPr>
                <w:rFonts w:hint="default"/>
                <w:lang w:val="en-US" w:eastAsia="zh-CN"/>
              </w:rPr>
              <w:t>65.2</w:t>
            </w:r>
          </w:p>
        </w:tc>
        <w:tc>
          <w:tcPr>
            <w:tcW w:w="442" w:type="dxa"/>
            <w:vAlign w:val="center"/>
          </w:tcPr>
          <w:p w14:paraId="55397F1E">
            <w:pPr>
              <w:pStyle w:val="42"/>
              <w:keepNext w:val="0"/>
              <w:keepLines w:val="0"/>
              <w:suppressLineNumbers w:val="0"/>
              <w:bidi w:val="0"/>
              <w:spacing w:before="0" w:beforeAutospacing="0" w:after="0" w:afterAutospacing="0"/>
              <w:jc w:val="center"/>
              <w:rPr>
                <w:rFonts w:hint="default"/>
              </w:rPr>
            </w:pPr>
            <w:r>
              <w:rPr>
                <w:rFonts w:hint="default"/>
                <w:lang w:val="en-US" w:eastAsia="zh-CN"/>
              </w:rPr>
              <w:t>65.2</w:t>
            </w:r>
          </w:p>
        </w:tc>
        <w:tc>
          <w:tcPr>
            <w:tcW w:w="442" w:type="dxa"/>
            <w:vAlign w:val="center"/>
          </w:tcPr>
          <w:p w14:paraId="7CC2EBB8">
            <w:pPr>
              <w:pStyle w:val="42"/>
              <w:keepNext w:val="0"/>
              <w:keepLines w:val="0"/>
              <w:suppressLineNumbers w:val="0"/>
              <w:bidi w:val="0"/>
              <w:spacing w:before="0" w:beforeAutospacing="0" w:after="0" w:afterAutospacing="0"/>
              <w:jc w:val="center"/>
              <w:rPr>
                <w:rFonts w:hint="default"/>
              </w:rPr>
            </w:pPr>
            <w:r>
              <w:rPr>
                <w:rFonts w:hint="default"/>
                <w:lang w:val="en-US" w:eastAsia="zh-CN"/>
              </w:rPr>
              <w:t>46.9</w:t>
            </w:r>
          </w:p>
        </w:tc>
        <w:tc>
          <w:tcPr>
            <w:tcW w:w="441" w:type="dxa"/>
            <w:vAlign w:val="center"/>
          </w:tcPr>
          <w:p w14:paraId="4A5CA8B0">
            <w:pPr>
              <w:pStyle w:val="42"/>
              <w:keepNext w:val="0"/>
              <w:keepLines w:val="0"/>
              <w:suppressLineNumbers w:val="0"/>
              <w:bidi w:val="0"/>
              <w:spacing w:before="0" w:beforeAutospacing="0" w:after="0" w:afterAutospacing="0"/>
              <w:jc w:val="center"/>
              <w:rPr>
                <w:rFonts w:hint="default"/>
              </w:rPr>
            </w:pPr>
            <w:r>
              <w:rPr>
                <w:rFonts w:hint="default"/>
                <w:lang w:val="en-US" w:eastAsia="zh-CN"/>
              </w:rPr>
              <w:t>58.7</w:t>
            </w:r>
          </w:p>
        </w:tc>
        <w:tc>
          <w:tcPr>
            <w:tcW w:w="825" w:type="dxa"/>
            <w:vAlign w:val="center"/>
          </w:tcPr>
          <w:p w14:paraId="0FFF3D16">
            <w:pPr>
              <w:pStyle w:val="42"/>
              <w:keepNext w:val="0"/>
              <w:keepLines w:val="0"/>
              <w:suppressLineNumbers w:val="0"/>
              <w:bidi w:val="0"/>
              <w:spacing w:before="0" w:beforeAutospacing="0" w:after="0" w:afterAutospacing="0"/>
              <w:jc w:val="center"/>
              <w:rPr>
                <w:rFonts w:hint="default"/>
              </w:rPr>
            </w:pPr>
            <w:r>
              <w:rPr>
                <w:rFonts w:hint="default"/>
              </w:rPr>
              <w:t>昼</w:t>
            </w:r>
            <w:r>
              <w:rPr>
                <w:rFonts w:hint="eastAsia"/>
                <w:lang w:val="en-US" w:eastAsia="zh-CN"/>
              </w:rPr>
              <w:t>/夜</w:t>
            </w:r>
          </w:p>
        </w:tc>
        <w:tc>
          <w:tcPr>
            <w:tcW w:w="490" w:type="dxa"/>
            <w:vAlign w:val="center"/>
          </w:tcPr>
          <w:p w14:paraId="2115C32D">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6CDD2C4B">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0" w:type="dxa"/>
            <w:vAlign w:val="center"/>
          </w:tcPr>
          <w:p w14:paraId="4C0A3AF8">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491" w:type="dxa"/>
            <w:vAlign w:val="center"/>
          </w:tcPr>
          <w:p w14:paraId="765B40E9">
            <w:pPr>
              <w:pStyle w:val="42"/>
              <w:keepNext w:val="0"/>
              <w:keepLines w:val="0"/>
              <w:suppressLineNumbers w:val="0"/>
              <w:bidi w:val="0"/>
              <w:spacing w:before="0" w:beforeAutospacing="0" w:after="0" w:afterAutospacing="0"/>
              <w:jc w:val="center"/>
              <w:rPr>
                <w:rFonts w:hint="default"/>
              </w:rPr>
            </w:pPr>
            <w:r>
              <w:rPr>
                <w:rFonts w:hint="eastAsia"/>
                <w:lang w:val="en-US" w:eastAsia="zh-CN"/>
              </w:rPr>
              <w:t>20</w:t>
            </w:r>
          </w:p>
        </w:tc>
        <w:tc>
          <w:tcPr>
            <w:tcW w:w="393" w:type="dxa"/>
            <w:vAlign w:val="center"/>
          </w:tcPr>
          <w:p w14:paraId="670F18A4">
            <w:pPr>
              <w:pStyle w:val="42"/>
              <w:keepNext w:val="0"/>
              <w:keepLines w:val="0"/>
              <w:suppressLineNumbers w:val="0"/>
              <w:bidi w:val="0"/>
              <w:spacing w:before="0" w:beforeAutospacing="0" w:after="0" w:afterAutospacing="0"/>
              <w:jc w:val="center"/>
              <w:rPr>
                <w:rFonts w:hint="default"/>
              </w:rPr>
            </w:pPr>
            <w:r>
              <w:rPr>
                <w:rFonts w:hint="default"/>
                <w:lang w:val="en-US" w:eastAsia="zh-CN"/>
              </w:rPr>
              <w:t>45.2</w:t>
            </w:r>
          </w:p>
        </w:tc>
        <w:tc>
          <w:tcPr>
            <w:tcW w:w="393" w:type="dxa"/>
            <w:vAlign w:val="center"/>
          </w:tcPr>
          <w:p w14:paraId="577137E2">
            <w:pPr>
              <w:pStyle w:val="42"/>
              <w:keepNext w:val="0"/>
              <w:keepLines w:val="0"/>
              <w:suppressLineNumbers w:val="0"/>
              <w:bidi w:val="0"/>
              <w:spacing w:before="0" w:beforeAutospacing="0" w:after="0" w:afterAutospacing="0"/>
              <w:jc w:val="center"/>
              <w:rPr>
                <w:rFonts w:hint="default"/>
              </w:rPr>
            </w:pPr>
            <w:r>
              <w:rPr>
                <w:rFonts w:hint="default"/>
                <w:lang w:val="en-US" w:eastAsia="zh-CN"/>
              </w:rPr>
              <w:t>45.2</w:t>
            </w:r>
          </w:p>
        </w:tc>
        <w:tc>
          <w:tcPr>
            <w:tcW w:w="393" w:type="dxa"/>
            <w:vAlign w:val="center"/>
          </w:tcPr>
          <w:p w14:paraId="38F13A40">
            <w:pPr>
              <w:pStyle w:val="42"/>
              <w:keepNext w:val="0"/>
              <w:keepLines w:val="0"/>
              <w:suppressLineNumbers w:val="0"/>
              <w:bidi w:val="0"/>
              <w:spacing w:before="0" w:beforeAutospacing="0" w:after="0" w:afterAutospacing="0"/>
              <w:jc w:val="center"/>
              <w:rPr>
                <w:rFonts w:hint="default"/>
              </w:rPr>
            </w:pPr>
            <w:r>
              <w:rPr>
                <w:rFonts w:hint="default"/>
                <w:lang w:val="en-US" w:eastAsia="zh-CN"/>
              </w:rPr>
              <w:t>26.9</w:t>
            </w:r>
          </w:p>
        </w:tc>
        <w:tc>
          <w:tcPr>
            <w:tcW w:w="393" w:type="dxa"/>
            <w:vAlign w:val="center"/>
          </w:tcPr>
          <w:p w14:paraId="5101D029">
            <w:pPr>
              <w:pStyle w:val="42"/>
              <w:keepNext w:val="0"/>
              <w:keepLines w:val="0"/>
              <w:suppressLineNumbers w:val="0"/>
              <w:bidi w:val="0"/>
              <w:spacing w:before="0" w:beforeAutospacing="0" w:after="0" w:afterAutospacing="0"/>
              <w:jc w:val="center"/>
              <w:rPr>
                <w:rFonts w:hint="default"/>
              </w:rPr>
            </w:pPr>
            <w:r>
              <w:rPr>
                <w:rFonts w:hint="default"/>
                <w:lang w:val="en-US" w:eastAsia="zh-CN"/>
              </w:rPr>
              <w:t>38.7</w:t>
            </w:r>
          </w:p>
        </w:tc>
        <w:tc>
          <w:tcPr>
            <w:tcW w:w="1178" w:type="dxa"/>
            <w:vAlign w:val="center"/>
          </w:tcPr>
          <w:p w14:paraId="7F6E7369">
            <w:pPr>
              <w:pStyle w:val="42"/>
              <w:keepNext w:val="0"/>
              <w:keepLines w:val="0"/>
              <w:suppressLineNumbers w:val="0"/>
              <w:bidi w:val="0"/>
              <w:spacing w:before="0" w:beforeAutospacing="0" w:after="0" w:afterAutospacing="0"/>
              <w:jc w:val="center"/>
              <w:rPr>
                <w:rFonts w:hint="eastAsia" w:eastAsia="宋体"/>
                <w:lang w:val="en-US" w:eastAsia="zh-CN"/>
              </w:rPr>
            </w:pPr>
            <w:r>
              <w:rPr>
                <w:rFonts w:hint="eastAsia"/>
                <w:lang w:val="en-US" w:eastAsia="zh-CN"/>
              </w:rPr>
              <w:t>1</w:t>
            </w:r>
          </w:p>
        </w:tc>
      </w:tr>
    </w:tbl>
    <w:p w14:paraId="00601940">
      <w:pPr>
        <w:spacing w:line="360" w:lineRule="auto"/>
        <w:ind w:left="0" w:leftChars="0" w:firstLine="0" w:firstLineChars="0"/>
        <w:rPr>
          <w:rFonts w:hint="default" w:ascii="Times New Roman" w:hAnsi="Times New Roman" w:cs="Times New Roman"/>
          <w:color w:val="000000"/>
          <w:sz w:val="24"/>
          <w:highlight w:val="none"/>
        </w:rPr>
        <w:sectPr>
          <w:pgSz w:w="16838" w:h="11906" w:orient="landscape"/>
          <w:pgMar w:top="1800" w:right="1440" w:bottom="1800" w:left="1440" w:header="850" w:footer="850"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4226A49B">
      <w:pPr>
        <w:spacing w:line="360" w:lineRule="auto"/>
        <w:ind w:firstLine="480" w:firstLineChars="200"/>
        <w:rPr>
          <w:rFonts w:hint="default" w:ascii="Times New Roman" w:hAnsi="Times New Roman" w:cs="Times New Roman"/>
          <w:color w:val="000000"/>
          <w:sz w:val="24"/>
          <w:highlight w:val="none"/>
        </w:rPr>
      </w:pPr>
    </w:p>
    <w:p w14:paraId="047F0E9A">
      <w:pPr>
        <w:pStyle w:val="7"/>
        <w:bidi w:val="0"/>
        <w:rPr>
          <w:rFonts w:hint="default" w:ascii="Times New Roman" w:hAnsi="Times New Roman" w:cs="Times New Roman"/>
          <w:highlight w:val="none"/>
        </w:rPr>
      </w:pPr>
      <w:r>
        <w:rPr>
          <w:rFonts w:hint="default" w:ascii="Times New Roman" w:hAnsi="Times New Roman" w:cs="Times New Roman"/>
          <w:highlight w:val="none"/>
        </w:rPr>
        <w:t>环境数据</w:t>
      </w:r>
    </w:p>
    <w:p w14:paraId="22B01703">
      <w:pPr>
        <w:ind w:firstLine="480"/>
        <w:rPr>
          <w:rFonts w:hint="default" w:ascii="Times New Roman" w:hAnsi="Times New Roman" w:cs="Times New Roman"/>
          <w:highlight w:val="none"/>
        </w:rPr>
      </w:pPr>
      <w:r>
        <w:rPr>
          <w:rFonts w:hint="default" w:ascii="Times New Roman" w:hAnsi="Times New Roman" w:cs="Times New Roman"/>
          <w:highlight w:val="none"/>
        </w:rPr>
        <w:t>项目噪声环境影响预测基础数据见下表。</w:t>
      </w:r>
    </w:p>
    <w:p w14:paraId="332E1D95">
      <w:pPr>
        <w:pStyle w:val="3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表</w:t>
      </w:r>
      <w:r>
        <w:rPr>
          <w:rFonts w:hint="eastAsia" w:cs="Times New Roman"/>
          <w:highlight w:val="none"/>
          <w:lang w:val="en-US" w:eastAsia="zh-CN"/>
        </w:rPr>
        <w:t>6.2</w:t>
      </w:r>
      <w:r>
        <w:rPr>
          <w:rFonts w:hint="default" w:ascii="Times New Roman" w:hAnsi="Times New Roman" w:cs="Times New Roman"/>
          <w:highlight w:val="none"/>
          <w:lang w:val="en-US" w:eastAsia="zh-CN"/>
        </w:rPr>
        <w:t>-</w:t>
      </w:r>
      <w:r>
        <w:rPr>
          <w:rFonts w:hint="eastAsia" w:cs="Times New Roman"/>
          <w:highlight w:val="none"/>
          <w:lang w:val="en-US" w:eastAsia="zh-CN"/>
        </w:rPr>
        <w:t>30</w:t>
      </w:r>
      <w:r>
        <w:rPr>
          <w:rFonts w:hint="default" w:ascii="Times New Roman" w:hAnsi="Times New Roman" w:cs="Times New Roman"/>
          <w:highlight w:val="none"/>
        </w:rPr>
        <w:t>项目噪声环境影响预测基础数据表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12"/>
        <w:gridCol w:w="3263"/>
        <w:gridCol w:w="1827"/>
        <w:gridCol w:w="1832"/>
      </w:tblGrid>
      <w:tr w14:paraId="4BE505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4E67B94A">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序号</w:t>
            </w:r>
          </w:p>
        </w:tc>
        <w:tc>
          <w:tcPr>
            <w:tcW w:w="1957" w:type="pct"/>
            <w:tcBorders>
              <w:tl2br w:val="nil"/>
              <w:tr2bl w:val="nil"/>
            </w:tcBorders>
            <w:noWrap w:val="0"/>
            <w:vAlign w:val="center"/>
          </w:tcPr>
          <w:p w14:paraId="76D98434">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名称</w:t>
            </w:r>
          </w:p>
        </w:tc>
        <w:tc>
          <w:tcPr>
            <w:tcW w:w="1096" w:type="pct"/>
            <w:tcBorders>
              <w:tl2br w:val="nil"/>
              <w:tr2bl w:val="nil"/>
            </w:tcBorders>
            <w:noWrap w:val="0"/>
            <w:vAlign w:val="center"/>
          </w:tcPr>
          <w:p w14:paraId="30585A42">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单位</w:t>
            </w:r>
          </w:p>
        </w:tc>
        <w:tc>
          <w:tcPr>
            <w:tcW w:w="1098" w:type="pct"/>
            <w:tcBorders>
              <w:tl2br w:val="nil"/>
              <w:tr2bl w:val="nil"/>
            </w:tcBorders>
            <w:noWrap w:val="0"/>
            <w:vAlign w:val="center"/>
          </w:tcPr>
          <w:p w14:paraId="5C50AAB0">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数据</w:t>
            </w:r>
          </w:p>
        </w:tc>
      </w:tr>
      <w:tr w14:paraId="225A26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2CBCA6C1">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1</w:t>
            </w:r>
          </w:p>
        </w:tc>
        <w:tc>
          <w:tcPr>
            <w:tcW w:w="1957" w:type="pct"/>
            <w:tcBorders>
              <w:tl2br w:val="nil"/>
              <w:tr2bl w:val="nil"/>
            </w:tcBorders>
            <w:noWrap w:val="0"/>
            <w:vAlign w:val="center"/>
          </w:tcPr>
          <w:p w14:paraId="3225699B">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年平均风速</w:t>
            </w:r>
          </w:p>
        </w:tc>
        <w:tc>
          <w:tcPr>
            <w:tcW w:w="1096" w:type="pct"/>
            <w:tcBorders>
              <w:tl2br w:val="nil"/>
              <w:tr2bl w:val="nil"/>
            </w:tcBorders>
            <w:noWrap w:val="0"/>
            <w:vAlign w:val="center"/>
          </w:tcPr>
          <w:p w14:paraId="4911FD10">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m/s</w:t>
            </w:r>
          </w:p>
        </w:tc>
        <w:tc>
          <w:tcPr>
            <w:tcW w:w="1098" w:type="pct"/>
            <w:tcBorders>
              <w:tl2br w:val="nil"/>
              <w:tr2bl w:val="nil"/>
            </w:tcBorders>
            <w:noWrap w:val="0"/>
            <w:vAlign w:val="center"/>
          </w:tcPr>
          <w:p w14:paraId="313A35F8">
            <w:pPr>
              <w:pStyle w:val="3"/>
              <w:keepNext w:val="0"/>
              <w:keepLines w:val="0"/>
              <w:suppressLineNumbers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w:t>
            </w:r>
            <w:r>
              <w:rPr>
                <w:rFonts w:hint="eastAsia" w:cs="Times New Roman"/>
                <w:highlight w:val="none"/>
                <w:lang w:val="en-US" w:eastAsia="zh-CN"/>
              </w:rPr>
              <w:t>5</w:t>
            </w:r>
          </w:p>
        </w:tc>
      </w:tr>
      <w:tr w14:paraId="554C6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0C692B84">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2</w:t>
            </w:r>
          </w:p>
        </w:tc>
        <w:tc>
          <w:tcPr>
            <w:tcW w:w="1957" w:type="pct"/>
            <w:tcBorders>
              <w:tl2br w:val="nil"/>
              <w:tr2bl w:val="nil"/>
            </w:tcBorders>
            <w:noWrap w:val="0"/>
            <w:vAlign w:val="center"/>
          </w:tcPr>
          <w:p w14:paraId="27F0D732">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主导风向</w:t>
            </w:r>
          </w:p>
        </w:tc>
        <w:tc>
          <w:tcPr>
            <w:tcW w:w="1096" w:type="pct"/>
            <w:tcBorders>
              <w:tl2br w:val="nil"/>
              <w:tr2bl w:val="nil"/>
            </w:tcBorders>
            <w:noWrap w:val="0"/>
            <w:vAlign w:val="center"/>
          </w:tcPr>
          <w:p w14:paraId="506C2939">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w:t>
            </w:r>
          </w:p>
        </w:tc>
        <w:tc>
          <w:tcPr>
            <w:tcW w:w="1098" w:type="pct"/>
            <w:tcBorders>
              <w:tl2br w:val="nil"/>
              <w:tr2bl w:val="nil"/>
            </w:tcBorders>
            <w:noWrap w:val="0"/>
            <w:vAlign w:val="center"/>
          </w:tcPr>
          <w:p w14:paraId="2F577B5F">
            <w:pPr>
              <w:pStyle w:val="3"/>
              <w:keepNext w:val="0"/>
              <w:keepLines w:val="0"/>
              <w:suppressLineNumbers w:val="0"/>
              <w:spacing w:before="0" w:beforeAutospacing="0" w:after="0" w:afterAutospacing="0"/>
              <w:ind w:left="0" w:right="0"/>
              <w:rPr>
                <w:rFonts w:hint="default" w:ascii="Times New Roman" w:hAnsi="Times New Roman" w:cs="Times New Roman"/>
                <w:highlight w:val="none"/>
                <w:lang w:val="en-US"/>
              </w:rPr>
            </w:pPr>
            <w:r>
              <w:rPr>
                <w:rFonts w:hint="default" w:ascii="Times New Roman" w:hAnsi="Times New Roman" w:cs="Times New Roman"/>
                <w:highlight w:val="none"/>
              </w:rPr>
              <w:t>N</w:t>
            </w:r>
            <w:r>
              <w:rPr>
                <w:rFonts w:hint="default" w:ascii="Times New Roman" w:hAnsi="Times New Roman" w:cs="Times New Roman"/>
                <w:highlight w:val="none"/>
                <w:lang w:val="en-US" w:eastAsia="zh-CN"/>
              </w:rPr>
              <w:t>N</w:t>
            </w:r>
            <w:r>
              <w:rPr>
                <w:rFonts w:hint="eastAsia" w:cs="Times New Roman"/>
                <w:highlight w:val="none"/>
                <w:lang w:val="en-US" w:eastAsia="zh-CN"/>
              </w:rPr>
              <w:t>W</w:t>
            </w:r>
          </w:p>
        </w:tc>
      </w:tr>
      <w:tr w14:paraId="1070EB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42693AF4">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3</w:t>
            </w:r>
          </w:p>
        </w:tc>
        <w:tc>
          <w:tcPr>
            <w:tcW w:w="1957" w:type="pct"/>
            <w:tcBorders>
              <w:tl2br w:val="nil"/>
              <w:tr2bl w:val="nil"/>
            </w:tcBorders>
            <w:noWrap w:val="0"/>
            <w:vAlign w:val="center"/>
          </w:tcPr>
          <w:p w14:paraId="30C6534E">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年均气温</w:t>
            </w:r>
          </w:p>
        </w:tc>
        <w:tc>
          <w:tcPr>
            <w:tcW w:w="1096" w:type="pct"/>
            <w:tcBorders>
              <w:tl2br w:val="nil"/>
              <w:tr2bl w:val="nil"/>
            </w:tcBorders>
            <w:noWrap w:val="0"/>
            <w:vAlign w:val="center"/>
          </w:tcPr>
          <w:p w14:paraId="63CDB8E4">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w:t>
            </w:r>
          </w:p>
        </w:tc>
        <w:tc>
          <w:tcPr>
            <w:tcW w:w="1098" w:type="pct"/>
            <w:tcBorders>
              <w:tl2br w:val="nil"/>
              <w:tr2bl w:val="nil"/>
            </w:tcBorders>
            <w:noWrap w:val="0"/>
            <w:vAlign w:val="center"/>
          </w:tcPr>
          <w:p w14:paraId="567DF90C">
            <w:pPr>
              <w:pStyle w:val="3"/>
              <w:keepNext w:val="0"/>
              <w:keepLines w:val="0"/>
              <w:suppressLineNumbers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cs="Times New Roman"/>
                <w:highlight w:val="none"/>
                <w:lang w:val="en-US" w:eastAsia="zh-CN"/>
              </w:rPr>
              <w:t>16.9</w:t>
            </w:r>
          </w:p>
        </w:tc>
      </w:tr>
      <w:tr w14:paraId="313A7C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35E789F5">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4</w:t>
            </w:r>
          </w:p>
        </w:tc>
        <w:tc>
          <w:tcPr>
            <w:tcW w:w="1957" w:type="pct"/>
            <w:tcBorders>
              <w:tl2br w:val="nil"/>
              <w:tr2bl w:val="nil"/>
            </w:tcBorders>
            <w:noWrap w:val="0"/>
            <w:vAlign w:val="center"/>
          </w:tcPr>
          <w:p w14:paraId="2B446336">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年平均相对湿度</w:t>
            </w:r>
          </w:p>
        </w:tc>
        <w:tc>
          <w:tcPr>
            <w:tcW w:w="1096" w:type="pct"/>
            <w:tcBorders>
              <w:tl2br w:val="nil"/>
              <w:tr2bl w:val="nil"/>
            </w:tcBorders>
            <w:noWrap w:val="0"/>
            <w:vAlign w:val="center"/>
          </w:tcPr>
          <w:p w14:paraId="3D1397E5">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w:t>
            </w:r>
          </w:p>
        </w:tc>
        <w:tc>
          <w:tcPr>
            <w:tcW w:w="1098" w:type="pct"/>
            <w:tcBorders>
              <w:tl2br w:val="nil"/>
              <w:tr2bl w:val="nil"/>
            </w:tcBorders>
            <w:noWrap w:val="0"/>
            <w:vAlign w:val="center"/>
          </w:tcPr>
          <w:p w14:paraId="1C8F6662">
            <w:pPr>
              <w:pStyle w:val="3"/>
              <w:keepNext w:val="0"/>
              <w:keepLines w:val="0"/>
              <w:suppressLineNumbers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81</w:t>
            </w:r>
          </w:p>
        </w:tc>
      </w:tr>
      <w:tr w14:paraId="5CA70B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47" w:type="pct"/>
            <w:tcBorders>
              <w:tl2br w:val="nil"/>
              <w:tr2bl w:val="nil"/>
            </w:tcBorders>
            <w:noWrap w:val="0"/>
            <w:vAlign w:val="center"/>
          </w:tcPr>
          <w:p w14:paraId="7798912F">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5</w:t>
            </w:r>
          </w:p>
        </w:tc>
        <w:tc>
          <w:tcPr>
            <w:tcW w:w="1957" w:type="pct"/>
            <w:tcBorders>
              <w:tl2br w:val="nil"/>
              <w:tr2bl w:val="nil"/>
            </w:tcBorders>
            <w:noWrap w:val="0"/>
            <w:vAlign w:val="center"/>
          </w:tcPr>
          <w:p w14:paraId="7D9D4D07">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大气压强</w:t>
            </w:r>
          </w:p>
        </w:tc>
        <w:tc>
          <w:tcPr>
            <w:tcW w:w="1096" w:type="pct"/>
            <w:tcBorders>
              <w:tl2br w:val="nil"/>
              <w:tr2bl w:val="nil"/>
            </w:tcBorders>
            <w:noWrap w:val="0"/>
            <w:vAlign w:val="center"/>
          </w:tcPr>
          <w:p w14:paraId="0ABF5740">
            <w:pPr>
              <w:pStyle w:val="3"/>
              <w:keepNext w:val="0"/>
              <w:keepLines w:val="0"/>
              <w:suppressLineNumbers w:val="0"/>
              <w:spacing w:before="0"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hPa</w:t>
            </w:r>
          </w:p>
        </w:tc>
        <w:tc>
          <w:tcPr>
            <w:tcW w:w="1098" w:type="pct"/>
            <w:tcBorders>
              <w:tl2br w:val="nil"/>
              <w:tr2bl w:val="nil"/>
            </w:tcBorders>
            <w:noWrap w:val="0"/>
            <w:vAlign w:val="center"/>
          </w:tcPr>
          <w:p w14:paraId="4320679D">
            <w:pPr>
              <w:pStyle w:val="3"/>
              <w:keepNext w:val="0"/>
              <w:keepLines w:val="0"/>
              <w:suppressLineNumbers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977.7</w:t>
            </w:r>
          </w:p>
        </w:tc>
      </w:tr>
    </w:tbl>
    <w:p w14:paraId="6E3E1020">
      <w:pPr>
        <w:ind w:firstLine="480"/>
        <w:rPr>
          <w:rFonts w:hint="default" w:ascii="Times New Roman" w:hAnsi="Times New Roman" w:cs="Times New Roman"/>
          <w:highlight w:val="none"/>
        </w:rPr>
      </w:pPr>
      <w:r>
        <w:rPr>
          <w:rFonts w:hint="default" w:ascii="Times New Roman" w:hAnsi="Times New Roman" w:cs="Times New Roman"/>
          <w:highlight w:val="none"/>
        </w:rPr>
        <w:t>声源和预测点间的地形、高差、障碍物、树林、灌木等的分布情况以及地面覆盖情况（如草地、水面、水泥地面、土质地面等）根据现场踏勘、项目总平图等，并结合卫星图片地理信息数据确定，数据精度为10m。</w:t>
      </w:r>
    </w:p>
    <w:p w14:paraId="2E6AAB15">
      <w:pPr>
        <w:pStyle w:val="7"/>
        <w:bidi w:val="0"/>
        <w:rPr>
          <w:rFonts w:hint="default" w:ascii="Times New Roman" w:hAnsi="Times New Roman" w:cs="Times New Roman"/>
          <w:highlight w:val="none"/>
        </w:rPr>
      </w:pPr>
      <w:r>
        <w:rPr>
          <w:rFonts w:hint="default" w:ascii="Times New Roman" w:hAnsi="Times New Roman" w:cs="Times New Roman"/>
          <w:highlight w:val="none"/>
        </w:rPr>
        <w:t>声环境影响预测</w:t>
      </w:r>
    </w:p>
    <w:p w14:paraId="74E0C5E2">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本报告采用《环境影响评价技术导则 声环境》（HJ 2.4-2021）中工业噪声预测计算模式的室内噪声源进行预测计算。</w:t>
      </w:r>
    </w:p>
    <w:p w14:paraId="4DA259F6">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1）室内声源等效室外声源声功率级计算方法</w:t>
      </w:r>
    </w:p>
    <w:p w14:paraId="3BB1EAD8">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如图所示，声源位于室内，室内声源可采用等效室外声源声功率级法进行计算。设靠近开口处（或窗户）室内、室外某倍频带的声压级分别为 Lp1 和 Lp2。若声源所在室内声场为近似扩散声场，则室外的倍频带声压级可按下式近似求出：</w:t>
      </w:r>
    </w:p>
    <w:p w14:paraId="62FF8D6C">
      <w:pPr>
        <w:tabs>
          <w:tab w:val="left" w:pos="540"/>
        </w:tabs>
        <w:spacing w:line="360" w:lineRule="auto"/>
        <w:ind w:firstLine="480"/>
        <w:jc w:val="center"/>
        <w:rPr>
          <w:rFonts w:hint="default" w:ascii="Times New Roman" w:hAnsi="Times New Roman" w:cs="Times New Roman"/>
          <w:highlight w:val="none"/>
          <w:u w:val="none"/>
        </w:rPr>
      </w:pPr>
      <w:r>
        <w:rPr>
          <w:rFonts w:hint="default" w:ascii="Times New Roman" w:hAnsi="Times New Roman" w:cs="Times New Roman"/>
          <w:highlight w:val="none"/>
          <w:u w:val="none"/>
        </w:rPr>
        <w:t>Lp2=Lp1-（TL+6）</w:t>
      </w:r>
    </w:p>
    <w:p w14:paraId="7D540003">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ab/>
      </w:r>
      <w:r>
        <w:rPr>
          <w:rFonts w:hint="default" w:ascii="Times New Roman" w:hAnsi="Times New Roman" w:cs="Times New Roman"/>
          <w:highlight w:val="none"/>
          <w:u w:val="none"/>
        </w:rPr>
        <w:t>式中：TL——隔墙（或窗户）倍频带的隔声量，dB。</w:t>
      </w:r>
    </w:p>
    <w:p w14:paraId="6FDE02ED">
      <w:pPr>
        <w:tabs>
          <w:tab w:val="left" w:pos="540"/>
        </w:tabs>
        <w:spacing w:line="240" w:lineRule="auto"/>
        <w:ind w:firstLine="480"/>
        <w:jc w:val="center"/>
        <w:rPr>
          <w:rFonts w:hint="default" w:ascii="Times New Roman" w:hAnsi="Times New Roman" w:cs="Times New Roman"/>
          <w:highlight w:val="none"/>
          <w:u w:val="none"/>
        </w:rPr>
      </w:pPr>
      <w:r>
        <w:rPr>
          <w:rFonts w:hint="default" w:ascii="Times New Roman" w:hAnsi="Times New Roman" w:cs="Times New Roman"/>
          <w:highlight w:val="none"/>
          <w:u w:val="none"/>
        </w:rPr>
        <mc:AlternateContent>
          <mc:Choice Requires="wpg">
            <w:drawing>
              <wp:inline distT="0" distB="0" distL="114300" distR="114300">
                <wp:extent cx="2025015" cy="1075690"/>
                <wp:effectExtent l="0" t="0" r="13335" b="10160"/>
                <wp:docPr id="119" name="组合 119"/>
                <wp:cNvGraphicFramePr/>
                <a:graphic xmlns:a="http://schemas.openxmlformats.org/drawingml/2006/main">
                  <a:graphicData uri="http://schemas.microsoft.com/office/word/2010/wordprocessingGroup">
                    <wpg:wgp>
                      <wpg:cNvGrpSpPr>
                        <a:grpSpLocks noRot="1"/>
                      </wpg:cNvGrpSpPr>
                      <wpg:grpSpPr>
                        <a:xfrm>
                          <a:off x="0" y="0"/>
                          <a:ext cx="2025015" cy="1075690"/>
                          <a:chOff x="4625" y="616"/>
                          <a:chExt cx="3189" cy="1694"/>
                        </a:xfrm>
                        <a:effectLst/>
                      </wpg:grpSpPr>
                      <pic:pic xmlns:pic="http://schemas.openxmlformats.org/drawingml/2006/picture">
                        <pic:nvPicPr>
                          <pic:cNvPr id="120" name="图片 2050"/>
                          <pic:cNvPicPr>
                            <a:picLocks noChangeAspect="1"/>
                          </pic:cNvPicPr>
                        </pic:nvPicPr>
                        <pic:blipFill>
                          <a:blip r:embed="rId48"/>
                          <a:stretch>
                            <a:fillRect/>
                          </a:stretch>
                        </pic:blipFill>
                        <pic:spPr>
                          <a:xfrm>
                            <a:off x="4625" y="616"/>
                            <a:ext cx="3189" cy="1694"/>
                          </a:xfrm>
                          <a:prstGeom prst="rect">
                            <a:avLst/>
                          </a:prstGeom>
                          <a:noFill/>
                          <a:ln>
                            <a:noFill/>
                          </a:ln>
                          <a:effectLst/>
                        </pic:spPr>
                      </pic:pic>
                      <wps:wsp>
                        <wps:cNvPr id="64" name="文本框 5"/>
                        <wps:cNvSpPr txBox="1"/>
                        <wps:spPr>
                          <a:xfrm>
                            <a:off x="6285" y="975"/>
                            <a:ext cx="130" cy="200"/>
                          </a:xfrm>
                          <a:prstGeom prst="rect">
                            <a:avLst/>
                          </a:prstGeom>
                          <a:noFill/>
                          <a:ln>
                            <a:noFill/>
                          </a:ln>
                          <a:effectLst/>
                        </wps:spPr>
                        <wps:txbx>
                          <w:txbxContent>
                            <w:p w14:paraId="50809C04">
                              <w:pPr>
                                <w:spacing w:line="199" w:lineRule="exact"/>
                                <w:ind w:firstLine="360"/>
                                <w:jc w:val="left"/>
                                <w:rPr>
                                  <w:sz w:val="18"/>
                                </w:rPr>
                              </w:pPr>
                              <w:r>
                                <w:rPr>
                                  <w:sz w:val="18"/>
                                </w:rPr>
                                <w:t>L</w:t>
                              </w:r>
                            </w:p>
                          </w:txbxContent>
                        </wps:txbx>
                        <wps:bodyPr lIns="0" tIns="0" rIns="0" bIns="0" upright="1"/>
                      </wps:wsp>
                    </wpg:wgp>
                  </a:graphicData>
                </a:graphic>
              </wp:inline>
            </w:drawing>
          </mc:Choice>
          <mc:Fallback>
            <w:pict>
              <v:group id="_x0000_s1026" o:spid="_x0000_s1026" o:spt="203" style="height:84.7pt;width:159.45pt;" coordorigin="4625,616" coordsize="3189,1694" o:gfxdata="UEsDBAoAAAAAAIdO4kAAAAAAAAAAAAAAAAAEAAAAZHJzL1BLAwQUAAAACACHTuJANkrdH9YAAAAF&#10;AQAADwAAAGRycy9kb3ducmV2LnhtbE2PQUvDQBCF74L/YRnBm93EamljNkWKeipCW0G8TbPTJDQ7&#10;G7LbpP33jl708mB4j/e+yZdn16qB+tB4NpBOElDEpbcNVwY+dq93c1AhIltsPZOBCwVYFtdXOWbW&#10;j7yhYRsrJSUcMjRQx9hlWoeyJodh4jti8Q6+dxjl7Cttexyl3LX6Pklm2mHDslBjR6uayuP25Ay8&#10;jTg+T9OXYX08rC5fu8f3z3VKxtzepMkTqEjn+BeGH3xBh0KY9v7ENqjWgDwSf1W8aTpfgNpLaLZ4&#10;AF3k+j998Q1QSwMEFAAAAAgAh07iQEjq2dTjAgAAJAcAAA4AAABkcnMvZTJvRG9jLnhtbLVVzW4T&#10;MRC+I/EO1t7p/rTZNqsmFVBaVaqgauEBHK/3R+zalu0k2zuicOPEBS7ceQMk3qbtazDj3U2aREBB&#10;cMhqbM+Mv/m+GWf/oKkrMuPalFKMvHAr8AgXTKalyEfeq5dHj/Y8YiwVKa2k4CPvkhvvYPzwwf5c&#10;JTyShaxSrgkkESaZq5FXWKsS3zes4DU1W1JxAYeZ1DW1sNS5n2o6h+x15UdBEPtzqVOlJePGwO5h&#10;e+h1GfV9EsosKxk/lGxac2HbrJpX1EJJpiiV8cYObZZxZl9kmeGWVCMPKrXuC5eAPcGvP96nSa6p&#10;KkrWQaD3gbBWU01LAZcuUh1SS8lUlxup6pJpaWRmt5is/bYQxwhUEQZr3BxrOVWuljyZ52pBOgi1&#10;xvpfp2XPZ2ealCl0Qjj0iKA1SH777c31h3cEd4CfucoTcDvW6kKd6bZIME8le22IkOcSSA3R0V/3&#10;xHW+DGsyXWM4VE0aJ8HlQgLeWMJgMwqiQRAOPMLgLAx2B/GwE4kVoCTG7cQRnMNxHMatfqx41oVv&#10;h3tQhYuNhzsOFE36e7nrh1Nje6wLbKpkCfw6gsHaIPj3bQ1Rdqo5yIXZxOysZMgWLu6QHEHjtSRf&#10;f/p++/6KRMHAFdj7tVEU4fQMPy2oyPljo6Cbe6pX3X1crlw5qUp1VFYV8o32vx0vohNeTzh0jT5J&#10;nfY0MVZzywq8MIOLzwEs8nznwKFcAkPMpuuoXqKuNTYl7vvjlwIrbewxlzVBA7ABBJCDJnTWiQ60&#10;di64LSQyBCBpUomVDUDd7qy0zBKwqwSWOBzwCpqeXlhtdM4fjeZFQRW2EKZddk280zfNzcerm89f&#10;b768JYN2NJ0bziWxzRMJ0+HUwPCfUBtHe+30DHddCpr01Ibb0Js4OvBKr01Oz9p/InYJFy3bTBoQ&#10;Bc2JTC+htOpEAK/4fPeG7o1Jb0yVLvNiMR8YDbp0jxI8nq4Vu4ceX+e7a+e1/HMb/wBQSwMECgAA&#10;AAAAh07iQAAAAAAAAAAAAAAAAAoAAABkcnMvbWVkaWEvUEsDBBQAAAAIAIdO4kDmC1oTFREAABAR&#10;AAAVAAAAZHJzL21lZGlhL2ltYWdlMS5qcGVnARAR7+7/2P/gABBKRklGAAEBAQBgAGAAAP/bAEMA&#10;AwICAwICAwMDAwQDAwQFCAUFBAQFCgcHBggMCgwMCwoLCw0OEhANDhEOCwsQFhARExQVFRUMDxcY&#10;FhQYEhQVFP/bAEMBAwQEBQQFCQUFCRQNCw0UFBQUFBQUFBQUFBQUFBQUFBQUFBQUFBQUFBQUFBQU&#10;FBQUFBQUFBQUFBQUFBQUFBQUFP/AABEIAIAA8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e1L4xeAtFv7mx1Hxv4c0++t22T213q0EUsTf3&#10;WRnytQ/8L2+Gv/RRPCv/AIO7X/4ul+Dv/Ip6h/2MWu/+nW7ruqAOE/4Xt8Nf+iieFf8Awd2v/wAX&#10;R/wvb4a/9FE8K/8Ag7tf/i67uigDhP8Ahe3w1/6KJ4V/8Hdr/wDF0f8AC9vhr/0UTwr/AODu1/8A&#10;i67uigDhP+F7fDX/AKKJ4V/8Hdr/APF0f8L2+Gv/AEUTwr/4O7X/AOLru6KAOE/4Xt8Nf+iieFf/&#10;AAd2v/xdH/C9vhr/ANFE8K/+Du1/+Lru6KAOE/4Xt8Nf+iieFf8Awd2v/wAXR/wvb4a/9FE8K/8A&#10;g7tf/i67uigDhP8Ahe3w1/6KJ4V/8Hdr/wDF0f8AC9vhr/0UTwr/AODu1/8Ai67uigDhP+F7fDX/&#10;AKKJ4V/8Hdr/APF0f8L2+Gv/AEUTwr/4O7X/AOLru6KAOE/4Xt8Nf+iieFf/AAd2v/xdH/C9vhr/&#10;ANFE8K/+Du1/+Lru6KAOE/4Xt8Nf+iieFf8Awd2v/wAXR/wvb4a/9FE8K/8Ag7tf/i67uigDhP8A&#10;he3w1/6KJ4V/8Hdr/wDF0f8AC9vhr/0UTwr/AODu1/8Ai67uigDhP+F7fDX/AKKJ4V/8Hdr/APF0&#10;f8L2+Gv/AEUTwr/4O7X/AOLru6KAOE/4Xt8Nf+iieFf/AAd2v/xdWNI+LPgjxNqcOm6R4z0HVdRu&#10;C3lWdjqUE00m1dzbURy3Cq30rs64b4h/8jb8Mv8AsYZf/TVqFAHc0UUUAFFFFAHC/B3/AJFPUP8A&#10;sYtd/wDTrd13VcL8Hf8AkU9Q/wCxi13/ANOt3XdUAFFFFABRRRQAUUUUAFFFFABRRRQAUUUUAFFF&#10;FABRRRQAUUUUAFFFFABRRRQAVw3xD/5G34Zf9jDL/wCmrUK5vwP4Os/F2l6jqmran4huLp9b1a3J&#10;t/EN/bxqkWpXEUSLHFOqLtRFX5V/hrcuvgr4bvriznnm8RTS2UxngZvFGqHym2Mm5f8ASPvbXdf+&#10;BNQB6DRXF/8ACpdF/wCf7xN/4Veqf/JFU/g00o8EyxS3d3em21rWLWOa8upbmXyotSuo4kaSRmZt&#10;qKq/M38NAHoFFFFAHC/B3/kU9Q/7GLXf/Trd13VcL8Hf+RT1D/sYtd/9Ot3XdUAFFFFABRRRQAUU&#10;UUAFFFFABRRRQAUUUUAFFFFABRRRQAUUUUAFFFFABRXE+H/G1z4h+IPi3Qk0+FdM8P8A2WB9QS43&#10;NLdSxee8Rj2/Lsie3bdu/wCWtdtQBwvwd/5FPUP+xi13/wBOt3XdVwvwd/5FPUP+xi13/wBOt3Xd&#10;UAFcL8Hf+RT1D/sYtd/9Ot3XdVwvwd/5FPUP+xi13/063dAHdUVw/wANvGNx49sdY1CSwhs7G11i&#10;902zliuGm+0rbXD27SsCi7P3sUg2/N93du+au4oA4X4O/wDIp6h/2MWu/wDp1u67quF+Dv8AyKeo&#10;f9jFrv8A6dbuud1v4kajb+JbS2sJ3ltrae6guYU0pj57RRb9qPv/AIf+A0AeuUV4l47+LmqeGfDm&#10;lavpzxzwz29jdSNJY7YriKe6gV5Yv325NiOysj/xXELbvkbd0Hws8cX/AIyvtUhvbizuDBbwXCGy&#10;jdIkWWW42L8/zb1SJd/8O77u2gDvNb1mx8O6VdalqdzHaafaxtLPcSttVF965XTfidp9/qVlZXmm&#10;6voQ1A40+fVbJ4I7lv7v/TJzjiKXY7f3aZ4yUa7488F6FOT9mR7rXZUx8s32UxJEjeyy3UUv+9At&#10;bnjfw5F4x8K6po0szWzXUO2K4T79vLndFMv+0jqrr/tKKAOioryvwV8c9L8Q+D9C1a607xDDdX9j&#10;BdSpB4a1GVFZ4kdtrrb7WXn71dB/wtrRf+fHxN/4Smqf/I9AHaUVxf8AwtrRf+fHxN/4Smqf/I9H&#10;/C2tF/58fE3/AISmqf8AyPQB2lFcX/wtrRf+fHxN/wCEpqn/AMj0f8La0X/nx8Tf+Epqn/yPQB2l&#10;FcX/AMLa0X/nx8Tf+Epqn/yPR/wtrRf+fHxN/wCEpqn/AMj0ARfEnxNq3h210GDQbaK51jVtYtrC&#10;FLtWaHy/mkuHba67dtvFOwPPzKvytXSaRFqEWmWa6nNBdamIl+0y2kTRRNJt+ZkRnZlXd/DubtWB&#10;/wALa0X/AJ8fE3/hKap/8j0f8La0X/nx8Tf+Epqn/wAj0AdpRXF/8La0X/nx8Tf+Epqn/wAj0f8A&#10;C2tF/wCfHxN/4Smqf/I9AHaUVxf/AAtrRf8Anx8Tf+Epqn/yPR/wtrRf+fHxN/4Smqf/ACPQB2lF&#10;cX/wtrRf+fHxN/4Smqf/ACPR/wALa0X/AJ8fE3/hKap/8j0AcpdfDTVPBljq934c8S69cajqeqve&#10;PFOlqyCW5ZIjK2233MtvFhkVs/6pd+6up8LaDr+n67dX2tX0V8LjTLO3domx+/jkumlbbsVdu2WJ&#10;d/8AFs+6lfIf7V//AAU+sf2c/iTpHhTTPBF7r6m3ivb+fUzPpbqjO67IopYdzNhd29vl7c9a+3fD&#10;2s2/iTQdN1i08z7Nf20V1F5q7W2Ou5d34NQBzXwd/wCRT1D/ALGLXf8A063dd1XC/B3/AJFPUP8A&#10;sYtd/wDTrd13VABXn3woR5fBepRq7wu2v66qypjcv/E1u/m+avQa+dfGfxwsf2cv2bvGHxA1HTrn&#10;V7bSte1YCztW2NI0utXESLux8q7nX5qAOjtfhjr3w58K6B4f8I+J9au/LRLBJdS+zOlvGqNI88m2&#10;3+dpXiVWZt3+tbZszXZ+A/D2p6BJrJ1CO2ikvL0zrJa3bypKNipvZHRfKd9u5lXd8zH5jXGfsrft&#10;G2X7UnwgsfHNno0/h/zriW1uLCeXzvKlj+8Fl2rvXlfm2rXs9AHC/B3/AJFPUP8AsYtd/wDTrd1o&#10;aL4G0mwtZ/Psra9urm4mup7i4hV2kkkfc3Ufd6KvoqrWf8Hf+RT1D/sYtd/9Ot3XdUAedeJfhLpv&#10;ibxJBqk9xc2sUVotl9ktNsS7FZtmxsbk+/8Aw90Rl2suau/D34dw/Du0u4I9Ru777TLLKyTN+6Rn&#10;uZ59ypztb9/tJ/iESV3FFAHn3j2RPDvizwl4mm4sbeWfSbuR+FgiuvKKysf+u8FumP8Apru/hra8&#10;feKj4Q8J6hqcMa3F6iCKxtC3/H1dP8sES+7yMi/jWzf2FtqdncWl5BHdWs8bRyQTLvSRW4ZWU8Mv&#10;Nc1ovwv8PeHdRgvrS0vJbm1VltTf6jc3iWu4bf3CSyMsXykp8m35fl+7xQBqeCfDi+D/AAX4f0IS&#10;+eml6fb2Xm/3/KiVN3/jtb9FFABRRRQAUUUUAFFFFABRRRQAUUUUAFFFFABRRRQB5h8S/wBnL4af&#10;GPXdK1jxt4K0rxHqemYW1ub2Leyru3bG/vpuz8jbl+Y8c16YiLGoVRtUdBT6KAOF+Dv/ACKeof8A&#10;Yxa7/wCnW7ruq4X4O/8AIp6h/wBjFrv/AKdbuu6oAK80+HOi2HiT4e63purWFtqum3Wu67FPZX0C&#10;yxSp/at18rI3ystel1wvwd/5FPUP+xi13/063dAHQ+G/DekeDtFtNI0LSrPRNLtU2QWGn26wQRL6&#10;KifKtbNFFAHC/B3/AJFPUP8AsYtd/wDTrd13VcL8Hf8AkU9Q/wCxi13/ANOt3XdUAFFFFABRRRQA&#10;UUUUAFFFFABRRRQAUUUUAFFFFABRRRQAUUUUAFFFFABRRRQBwvwd/wCRT1D/ALGLXf8A063dd1XC&#10;/B3/AJFPUP8AsYtd/wDTrd13VABXC/B3/kU9Q/7GLXf/AE63dd1XC/B3/kU9Q/7GLXf/AE63dAHd&#10;UUUUAcL8Hf8AkU9Q/wCxi13/ANOt3XdVwvwd/wCRT1D/ALGLXf8A063dd1QAUUUUAFFFFABRRRQA&#10;UUUUAFFFFABRRRQAUUUUAFFFFABRRRQAUUUUAFFFFAHn8nwe8OS3N1PHJr9p9pnmuZIrDxJqNrD5&#10;kjs7uscVwqruZmb5V/irlvGfww0zTvEfgS3t9W8UxQahrUtrcp/wl2rfvYv7PvZdv/H1/fijb/gN&#10;e01w3xD/AORt+GX/AGMMv/pq1CgBv/CmdB/6CHiv/wALDV//AJKrd8L+F7DwZo0elaTFMlokssu2&#10;5uZbiRnklaWVmllZ3Zmd3bLN/FW9RQAUUUUAcL8Hf+RT1D/sYtd/9Ot3XdVwEPw1utLku10vxn4g&#10;0izuLm4vDZW0dg8UUk8ryylWltWf77u3zMetW/8AhA9c/wCij+J//AbS/wD5CoA7SiuL/wCED1z/&#10;AKKP4n/8BtL/APkKj/hA9c/6KP4n/wDAbS//AJCoA7SiuL/4QPXP+ij+J/8AwG0v/wCQqP8AhA9c&#10;/wCij+J//AbS/wD5CoA7SiuL/wCED1z/AKKP4n/8BtL/APkKj/hA9c/6KP4n/wDAbS//AJCoA7Si&#10;uL/4QPXP+ij+J/8AwG0v/wCQqP8AhA9c/wCij+J//AbS/wD5CoA7SiuL/wCED1z/AKKP4n/8BtL/&#10;APkKj/hA9c/6KP4n/wDAbS//AJCoA7SiuL/4QPXP+ij+J/8AwG0v/wCQqP8AhA9c/wCij+J//AbS&#10;/wD5CoA7SiuL/wCED1z/AKKP4n/8BtL/APkKj/hA9c/6KP4n/wDAbS//AJCoA7SiuL/4QPXP+ij+&#10;J/8AwG0v/wCQqP8AhA9c/wCij+J//AbS/wD5CoA7SiuL/wCED1z/AKKP4n/8BtL/APkKj/hA9c/6&#10;KP4n/wDAbS//AJCoA7SiuL/4QPXP+ij+J/8AwG0v/wCQqP8AhA9c/wCij+J//AbS/wD5CoA7SiuL&#10;/wCED1z/AKKP4n/8BtL/APkKj/hA9c/6KP4n/wDAbS//AJCoA7SuG+If/I2/DL/sYZf/AE1ahUv/&#10;AAgeuf8ARR/E/wD4DaX/APIVQQfDe4bXNF1PUvF2t602k3DXVta3sVmsXmtBLAWbyrdH+5O/8VAH&#10;d0UUUAFFFFAH/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VFwAAW0NvbnRlbnRfVHlwZXNdLnhtbFBLAQIUAAoA&#10;AAAAAIdO4kAAAAAAAAAAAAAAAAAGAAAAAAAAAAAAEAAAAKQVAABfcmVscy9QSwECFAAUAAAACACH&#10;TuJAihRmPNEAAACUAQAACwAAAAAAAAABACAAAADIFQAAX3JlbHMvLnJlbHNQSwECFAAKAAAAAACH&#10;TuJAAAAAAAAAAAAAAAAABAAAAAAAAAAAABAAAAAAAAAAZHJzL1BLAQIUAAoAAAAAAIdO4kAAAAAA&#10;AAAAAAAAAAAKAAAAAAAAAAAAEAAAAMIWAABkcnMvX3JlbHMvUEsBAhQAFAAAAAgAh07iQFhgsxu0&#10;AAAAIgEAABkAAAAAAAAAAQAgAAAA6hYAAGRycy9fcmVscy9lMm9Eb2MueG1sLnJlbHNQSwECFAAU&#10;AAAACACHTuJANkrdH9YAAAAFAQAADwAAAAAAAAABACAAAAAiAAAAZHJzL2Rvd25yZXYueG1sUEsB&#10;AhQAFAAAAAgAh07iQEjq2dTjAgAAJAcAAA4AAAAAAAAAAQAgAAAAJQEAAGRycy9lMm9Eb2MueG1s&#10;UEsBAhQACgAAAAAAh07iQAAAAAAAAAAAAAAAAAoAAAAAAAAAAAAQAAAANAQAAGRycy9tZWRpYS9Q&#10;SwECFAAUAAAACACHTuJA5gtaExURAAAQEQAAFQAAAAAAAAABACAAAABcBAAAZHJzL21lZGlhL2lt&#10;YWdlMS5qcGVnUEsFBgAAAAAKAAoAUwIAABkZAAAAAA==&#10;">
                <o:lock v:ext="edit" rotation="t" aspectratio="f"/>
                <v:shape id="图片 2050" o:spid="_x0000_s1026" o:spt="75" type="#_x0000_t75" style="position:absolute;left:4625;top:616;height:1694;width:3189;" filled="f" o:preferrelative="t" stroked="f" coordsize="21600,21600" o:gfxdata="UEsDBAoAAAAAAIdO4kAAAAAAAAAAAAAAAAAEAAAAZHJzL1BLAwQUAAAACACHTuJAXr2LqLwAAADc&#10;AAAADwAAAGRycy9kb3ducmV2LnhtbEWPQU/DMAyF70j7D5GRuLF0lZhQt2wHJiQEJwbb2WpMU1E7&#10;XZO15d/jAxI3W+/5vc/b/cydGWlIbRQHq2UBhqSOvpXGwefH8/0jmJRRPHZRyMEPJdjvFjdbrHyc&#10;5J3GY26Mhkiq0EHIua+sTXUgxrSMPYlqX3FgzLoOjfUDThrOnS2LYm0ZW9GGgD09Baq/j1d28PDK&#10;wa4P1/OJD2EeucRpfrs4d3e7KjZgMs353/x3/eIVv1R8fUYnsL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69i6i8AAAA&#10;3AAAAA8AAAAAAAAAAQAgAAAAIgAAAGRycy9kb3ducmV2LnhtbFBLAQIUABQAAAAIAIdO4kAzLwWe&#10;OwAAADkAAAAQAAAAAAAAAAEAIAAAAAsBAABkcnMvc2hhcGV4bWwueG1sUEsFBgAAAAAGAAYAWwEA&#10;ALUDAAAAAA==&#10;">
                  <v:fill on="f" focussize="0,0"/>
                  <v:stroke on="f"/>
                  <v:imagedata r:id="rId48" o:title=""/>
                  <o:lock v:ext="edit" aspectratio="t"/>
                </v:shape>
                <v:shape id="文本框 5" o:spid="_x0000_s1026" o:spt="202" type="#_x0000_t202" style="position:absolute;left:6285;top:975;height:200;width:130;" filled="f" stroked="f" coordsize="21600,21600" o:gfxdata="UEsDBAoAAAAAAIdO4kAAAAAAAAAAAAAAAAAEAAAAZHJzL1BLAwQUAAAACACHTuJALTeExr0AAADb&#10;AAAADwAAAGRycy9kb3ducmV2LnhtbEWPQWsCMRSE7wX/Q3hCbzWxlK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4TG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50809C04">
                        <w:pPr>
                          <w:spacing w:line="199" w:lineRule="exact"/>
                          <w:ind w:firstLine="360"/>
                          <w:jc w:val="left"/>
                          <w:rPr>
                            <w:sz w:val="18"/>
                          </w:rPr>
                        </w:pPr>
                        <w:r>
                          <w:rPr>
                            <w:sz w:val="18"/>
                          </w:rPr>
                          <w:t>L</w:t>
                        </w:r>
                      </w:p>
                    </w:txbxContent>
                  </v:textbox>
                </v:shape>
                <w10:wrap type="none"/>
                <w10:anchorlock/>
              </v:group>
            </w:pict>
          </mc:Fallback>
        </mc:AlternateContent>
      </w:r>
    </w:p>
    <w:p w14:paraId="23C90A0F">
      <w:pPr>
        <w:bidi w:val="0"/>
        <w:rPr>
          <w:rFonts w:hint="default" w:ascii="Times New Roman" w:hAnsi="Times New Roman" w:cs="Times New Roman"/>
          <w:highlight w:val="none"/>
        </w:rPr>
      </w:pPr>
      <w:r>
        <w:rPr>
          <w:rFonts w:hint="default" w:ascii="Times New Roman" w:hAnsi="Times New Roman" w:cs="Times New Roman"/>
          <w:highlight w:val="none"/>
        </w:rPr>
        <w:t>也可按下式计算某一室内声源靠近围护结构处产生的倍频带声压级：</w:t>
      </w:r>
    </w:p>
    <w:p w14:paraId="15BCAF4F">
      <w:pPr>
        <w:spacing w:line="360" w:lineRule="auto"/>
        <w:ind w:firstLine="0" w:firstLineChars="0"/>
        <w:jc w:val="center"/>
        <w:rPr>
          <w:rFonts w:hint="default" w:ascii="Times New Roman" w:hAnsi="Times New Roman" w:cs="Times New Roman"/>
          <w:highlight w:val="none"/>
          <w:u w:val="none"/>
        </w:rPr>
      </w:pPr>
      <w:r>
        <w:rPr>
          <w:rFonts w:hint="default" w:ascii="Times New Roman" w:hAnsi="Times New Roman" w:cs="Times New Roman"/>
          <w:highlight w:val="none"/>
          <w:u w:val="none"/>
        </w:rPr>
        <w:drawing>
          <wp:inline distT="0" distB="0" distL="114300" distR="114300">
            <wp:extent cx="1654810" cy="326390"/>
            <wp:effectExtent l="0" t="0" r="2540" b="16510"/>
            <wp:docPr id="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9"/>
                    <pic:cNvPicPr>
                      <a:picLocks noChangeAspect="1"/>
                    </pic:cNvPicPr>
                  </pic:nvPicPr>
                  <pic:blipFill>
                    <a:blip r:embed="rId49"/>
                    <a:stretch>
                      <a:fillRect/>
                    </a:stretch>
                  </pic:blipFill>
                  <pic:spPr>
                    <a:xfrm>
                      <a:off x="0" y="0"/>
                      <a:ext cx="1654810" cy="326390"/>
                    </a:xfrm>
                    <a:prstGeom prst="rect">
                      <a:avLst/>
                    </a:prstGeom>
                    <a:noFill/>
                    <a:ln>
                      <a:noFill/>
                    </a:ln>
                  </pic:spPr>
                </pic:pic>
              </a:graphicData>
            </a:graphic>
          </wp:inline>
        </w:drawing>
      </w:r>
    </w:p>
    <w:p w14:paraId="3CA017C6">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 xml:space="preserve">式中：Lw——点声源声功率级（A 计权或倍频带）， dB； </w:t>
      </w:r>
    </w:p>
    <w:p w14:paraId="2F3986CE">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Q——指向性因数，通常对无指向性声源，当声源放在房间中心时，Q=1，当放在一面墙的中心时，Q=2；当放在两面墙夹角处时，Q=4，当放在三面墙夹角处时，Q=8；</w:t>
      </w:r>
    </w:p>
    <w:p w14:paraId="101AB944">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R——房间常数，R=Sα/(1-α)，S 为房间内表面面积，</w:t>
      </w:r>
      <w:r>
        <w:rPr>
          <w:rFonts w:hint="eastAsia" w:ascii="Times New Roman" w:hAnsi="Times New Roman" w:cs="Times New Roman"/>
          <w:highlight w:val="none"/>
          <w:u w:val="none"/>
          <w:lang w:eastAsia="zh-CN"/>
        </w:rPr>
        <w:t>m</w:t>
      </w:r>
      <w:r>
        <w:rPr>
          <w:rFonts w:hint="eastAsia" w:ascii="Times New Roman" w:hAnsi="Times New Roman" w:cs="Times New Roman"/>
          <w:highlight w:val="none"/>
          <w:u w:val="none"/>
          <w:vertAlign w:val="superscript"/>
          <w:lang w:eastAsia="zh-CN"/>
        </w:rPr>
        <w:t>2</w:t>
      </w:r>
      <w:r>
        <w:rPr>
          <w:rFonts w:hint="default" w:ascii="Times New Roman" w:hAnsi="Times New Roman" w:cs="Times New Roman"/>
          <w:highlight w:val="none"/>
          <w:u w:val="none"/>
        </w:rPr>
        <w:t>，α为平均吸声系数；</w:t>
      </w:r>
    </w:p>
    <w:p w14:paraId="2B751937">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r——声源到靠近围护结构某点处的距离，m。</w:t>
      </w:r>
    </w:p>
    <w:p w14:paraId="3522E848">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然后按下式计算出所有室内声源在围护结构处产生的 i 倍频带叠加声压级：</w:t>
      </w:r>
    </w:p>
    <w:p w14:paraId="50C078A1">
      <w:pPr>
        <w:tabs>
          <w:tab w:val="left" w:pos="540"/>
        </w:tabs>
        <w:spacing w:line="360" w:lineRule="auto"/>
        <w:ind w:firstLine="480"/>
        <w:jc w:val="center"/>
        <w:rPr>
          <w:rFonts w:hint="default" w:ascii="Times New Roman" w:hAnsi="Times New Roman" w:cs="Times New Roman"/>
          <w:highlight w:val="none"/>
          <w:u w:val="none"/>
        </w:rPr>
      </w:pPr>
      <w:r>
        <w:rPr>
          <w:rFonts w:hint="default" w:ascii="Times New Roman" w:hAnsi="Times New Roman" w:cs="Times New Roman"/>
          <w:highlight w:val="none"/>
          <w:u w:val="none"/>
        </w:rPr>
        <w:drawing>
          <wp:inline distT="0" distB="0" distL="114300" distR="114300">
            <wp:extent cx="1941195" cy="314325"/>
            <wp:effectExtent l="0" t="0" r="1905" b="9525"/>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50"/>
                    <a:stretch>
                      <a:fillRect/>
                    </a:stretch>
                  </pic:blipFill>
                  <pic:spPr>
                    <a:xfrm>
                      <a:off x="0" y="0"/>
                      <a:ext cx="1941195" cy="314325"/>
                    </a:xfrm>
                    <a:prstGeom prst="rect">
                      <a:avLst/>
                    </a:prstGeom>
                    <a:noFill/>
                    <a:ln>
                      <a:noFill/>
                    </a:ln>
                  </pic:spPr>
                </pic:pic>
              </a:graphicData>
            </a:graphic>
          </wp:inline>
        </w:drawing>
      </w:r>
    </w:p>
    <w:p w14:paraId="594AC897">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式中：L</w:t>
      </w:r>
      <w:r>
        <w:rPr>
          <w:rFonts w:hint="default" w:ascii="Times New Roman" w:hAnsi="Times New Roman" w:cs="Times New Roman"/>
          <w:highlight w:val="none"/>
          <w:u w:val="none"/>
          <w:vertAlign w:val="subscript"/>
        </w:rPr>
        <w:t>pli</w:t>
      </w:r>
      <w:r>
        <w:rPr>
          <w:rFonts w:hint="default" w:ascii="Times New Roman" w:hAnsi="Times New Roman" w:cs="Times New Roman"/>
          <w:highlight w:val="none"/>
          <w:u w:val="none"/>
        </w:rPr>
        <w:t>(T)——靠近围护结构处室内 N 个声源 i 倍频带的叠加声压级，dB；</w:t>
      </w:r>
    </w:p>
    <w:p w14:paraId="0CD8B5C3">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L</w:t>
      </w:r>
      <w:r>
        <w:rPr>
          <w:rFonts w:hint="default" w:ascii="Times New Roman" w:hAnsi="Times New Roman" w:cs="Times New Roman"/>
          <w:highlight w:val="none"/>
          <w:u w:val="none"/>
          <w:vertAlign w:val="subscript"/>
        </w:rPr>
        <w:t>plij</w:t>
      </w:r>
      <w:r>
        <w:rPr>
          <w:rFonts w:hint="default" w:ascii="Times New Roman" w:hAnsi="Times New Roman" w:cs="Times New Roman"/>
          <w:highlight w:val="none"/>
          <w:u w:val="none"/>
        </w:rPr>
        <w:t>——室内 j 声源 i 倍频带的声压级，dB；</w:t>
      </w:r>
    </w:p>
    <w:p w14:paraId="09131C21">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N——室内声源总数。</w:t>
      </w:r>
    </w:p>
    <w:p w14:paraId="5B8B1DF0">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在室内近似为扩散声场时，按下式计算出靠近室外围护结构处的声压级：</w:t>
      </w:r>
    </w:p>
    <w:p w14:paraId="51086770">
      <w:pPr>
        <w:tabs>
          <w:tab w:val="left" w:pos="540"/>
        </w:tabs>
        <w:spacing w:line="360" w:lineRule="auto"/>
        <w:ind w:firstLine="0" w:firstLineChars="0"/>
        <w:jc w:val="center"/>
        <w:rPr>
          <w:rFonts w:hint="default" w:ascii="Times New Roman" w:hAnsi="Times New Roman" w:cs="Times New Roman"/>
          <w:highlight w:val="none"/>
          <w:u w:val="none"/>
        </w:rPr>
      </w:pPr>
      <w:r>
        <w:rPr>
          <w:rFonts w:hint="default" w:ascii="Times New Roman" w:hAnsi="Times New Roman" w:cs="Times New Roman"/>
          <w:highlight w:val="none"/>
          <w:u w:val="none"/>
        </w:rPr>
        <w:t>L</w:t>
      </w:r>
      <w:r>
        <w:rPr>
          <w:rFonts w:hint="default" w:ascii="Times New Roman" w:hAnsi="Times New Roman" w:cs="Times New Roman"/>
          <w:highlight w:val="none"/>
          <w:u w:val="none"/>
          <w:vertAlign w:val="subscript"/>
        </w:rPr>
        <w:t>p2i</w:t>
      </w:r>
      <w:r>
        <w:rPr>
          <w:rFonts w:hint="default" w:ascii="Times New Roman" w:hAnsi="Times New Roman" w:cs="Times New Roman"/>
          <w:highlight w:val="none"/>
          <w:u w:val="none"/>
        </w:rPr>
        <w:t>(T)=L</w:t>
      </w:r>
      <w:r>
        <w:rPr>
          <w:rFonts w:hint="default" w:ascii="Times New Roman" w:hAnsi="Times New Roman" w:cs="Times New Roman"/>
          <w:highlight w:val="none"/>
          <w:u w:val="none"/>
          <w:vertAlign w:val="subscript"/>
        </w:rPr>
        <w:t>pli</w:t>
      </w:r>
      <w:r>
        <w:rPr>
          <w:rFonts w:hint="default" w:ascii="Times New Roman" w:hAnsi="Times New Roman" w:cs="Times New Roman"/>
          <w:highlight w:val="none"/>
          <w:u w:val="none"/>
        </w:rPr>
        <w:t>(T)-(TLi+6)</w:t>
      </w:r>
    </w:p>
    <w:p w14:paraId="0B4E49D4">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式中：L</w:t>
      </w:r>
      <w:r>
        <w:rPr>
          <w:rFonts w:hint="default" w:ascii="Times New Roman" w:hAnsi="Times New Roman" w:cs="Times New Roman"/>
          <w:highlight w:val="none"/>
          <w:u w:val="none"/>
          <w:vertAlign w:val="subscript"/>
        </w:rPr>
        <w:t>p2i</w:t>
      </w:r>
      <w:r>
        <w:rPr>
          <w:rFonts w:hint="default" w:ascii="Times New Roman" w:hAnsi="Times New Roman" w:cs="Times New Roman"/>
          <w:highlight w:val="none"/>
          <w:u w:val="none"/>
        </w:rPr>
        <w:t>(T)——靠近围护结构处室外 N 个声源 i 倍频带的叠加声压级，dB；</w:t>
      </w:r>
    </w:p>
    <w:p w14:paraId="65C2749E">
      <w:pPr>
        <w:tabs>
          <w:tab w:val="left" w:pos="540"/>
        </w:tabs>
        <w:spacing w:line="360" w:lineRule="auto"/>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T</w:t>
      </w:r>
      <w:r>
        <w:rPr>
          <w:rFonts w:hint="default" w:ascii="Times New Roman" w:hAnsi="Times New Roman" w:cs="Times New Roman"/>
          <w:highlight w:val="none"/>
          <w:u w:val="none"/>
          <w:vertAlign w:val="subscript"/>
        </w:rPr>
        <w:t>Li</w:t>
      </w:r>
      <w:r>
        <w:rPr>
          <w:rFonts w:hint="default" w:ascii="Times New Roman" w:hAnsi="Times New Roman" w:cs="Times New Roman"/>
          <w:highlight w:val="none"/>
          <w:u w:val="none"/>
        </w:rPr>
        <w:t>——围护结构 i 倍频带的隔声量，dB。</w:t>
      </w:r>
    </w:p>
    <w:p w14:paraId="2968C681">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2）靠近声源处的预测点噪声预测模式</w:t>
      </w:r>
    </w:p>
    <w:p w14:paraId="7B33373E">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如预测点在靠近声源处，但不能满足点声源条件时，需按线声源或面声源模式计算。</w:t>
      </w:r>
    </w:p>
    <w:p w14:paraId="698AC0B9">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3）工业企业噪声计算</w:t>
      </w:r>
    </w:p>
    <w:p w14:paraId="5D937D55">
      <w:pPr>
        <w:tabs>
          <w:tab w:val="left" w:pos="540"/>
        </w:tabs>
        <w:spacing w:line="360" w:lineRule="auto"/>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设第i个室外声源在预测点产生的A声级为LAi，在T时间内该声源工作时间为ti；第j个等效室外声源在预测点产生的A声级为LAj，在T时间内该声源工作时间为tj，则拟建工程声源对预测点产生的贡献值（Leqg）为：</w:t>
      </w:r>
    </w:p>
    <w:p w14:paraId="4A7FC71D">
      <w:pPr>
        <w:tabs>
          <w:tab w:val="left" w:pos="540"/>
        </w:tabs>
        <w:spacing w:line="360" w:lineRule="auto"/>
        <w:ind w:left="0" w:leftChars="0" w:firstLine="0" w:firstLineChars="0"/>
        <w:jc w:val="center"/>
        <w:rPr>
          <w:rFonts w:hint="default" w:ascii="Times New Roman" w:hAnsi="Times New Roman" w:cs="Times New Roman"/>
          <w:highlight w:val="none"/>
          <w:u w:val="none"/>
        </w:rPr>
      </w:pPr>
      <w:r>
        <w:rPr>
          <w:rFonts w:hint="default" w:ascii="Times New Roman" w:hAnsi="Times New Roman" w:cs="Times New Roman"/>
          <w:highlight w:val="none"/>
          <w:u w:val="none"/>
        </w:rPr>
        <w:drawing>
          <wp:inline distT="0" distB="0" distL="114300" distR="114300">
            <wp:extent cx="3816350" cy="444500"/>
            <wp:effectExtent l="0" t="0" r="12700" b="12700"/>
            <wp:docPr id="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
                    <pic:cNvPicPr>
                      <a:picLocks noChangeAspect="1"/>
                    </pic:cNvPicPr>
                  </pic:nvPicPr>
                  <pic:blipFill>
                    <a:blip r:embed="rId51"/>
                    <a:stretch>
                      <a:fillRect/>
                    </a:stretch>
                  </pic:blipFill>
                  <pic:spPr>
                    <a:xfrm>
                      <a:off x="0" y="0"/>
                      <a:ext cx="3816350" cy="444500"/>
                    </a:xfrm>
                    <a:prstGeom prst="rect">
                      <a:avLst/>
                    </a:prstGeom>
                    <a:noFill/>
                    <a:ln>
                      <a:noFill/>
                    </a:ln>
                  </pic:spPr>
                </pic:pic>
              </a:graphicData>
            </a:graphic>
          </wp:inline>
        </w:drawing>
      </w:r>
    </w:p>
    <w:p w14:paraId="06B0AC77">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式中：t</w:t>
      </w:r>
      <w:r>
        <w:rPr>
          <w:rFonts w:hint="default" w:ascii="Times New Roman" w:hAnsi="Times New Roman" w:cs="Times New Roman"/>
          <w:highlight w:val="none"/>
          <w:u w:val="none"/>
          <w:vertAlign w:val="subscript"/>
        </w:rPr>
        <w:t>j</w:t>
      </w:r>
      <w:r>
        <w:rPr>
          <w:rFonts w:hint="default" w:ascii="Times New Roman" w:hAnsi="Times New Roman" w:cs="Times New Roman"/>
          <w:highlight w:val="none"/>
          <w:u w:val="none"/>
        </w:rPr>
        <w:t>——在 T 时间内 j 声源工作时间，s；</w:t>
      </w:r>
    </w:p>
    <w:p w14:paraId="5F0539F4">
      <w:pPr>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t</w:t>
      </w:r>
      <w:r>
        <w:rPr>
          <w:rFonts w:hint="default" w:ascii="Times New Roman" w:hAnsi="Times New Roman" w:cs="Times New Roman"/>
          <w:highlight w:val="none"/>
          <w:u w:val="none"/>
          <w:vertAlign w:val="subscript"/>
        </w:rPr>
        <w:t>i</w:t>
      </w:r>
      <w:r>
        <w:rPr>
          <w:rFonts w:hint="default" w:ascii="Times New Roman" w:hAnsi="Times New Roman" w:cs="Times New Roman"/>
          <w:highlight w:val="none"/>
          <w:u w:val="none"/>
        </w:rPr>
        <w:t>——在 T 时间内 i 声源工作时间，s；</w:t>
      </w:r>
    </w:p>
    <w:p w14:paraId="05646EDB">
      <w:pPr>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T——用于计算等效声级的时间，s；</w:t>
      </w:r>
    </w:p>
    <w:p w14:paraId="4688949A">
      <w:pPr>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N——室外声源个数；</w:t>
      </w:r>
    </w:p>
    <w:p w14:paraId="4B7A1C89">
      <w:pPr>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M——等效室外声源个数。</w:t>
      </w:r>
      <w:r>
        <w:rPr>
          <w:rFonts w:hint="default" w:ascii="Times New Roman" w:hAnsi="Times New Roman" w:cs="Times New Roman"/>
          <w:highlight w:val="none"/>
          <w:u w:val="none"/>
        </w:rPr>
        <w:tab/>
      </w:r>
    </w:p>
    <w:p w14:paraId="1BBEC03E">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4）预测值计算</w:t>
      </w:r>
    </w:p>
    <w:p w14:paraId="6212E406">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A</w:t>
      </w:r>
      <w:r>
        <w:rPr>
          <w:rFonts w:hint="default" w:ascii="Times New Roman" w:hAnsi="Times New Roman" w:cs="Times New Roman"/>
          <w:highlight w:val="none"/>
          <w:u w:val="none"/>
          <w:lang w:eastAsia="zh-CN"/>
        </w:rPr>
        <w:t>.</w:t>
      </w:r>
      <w:r>
        <w:rPr>
          <w:rFonts w:hint="default" w:ascii="Times New Roman" w:hAnsi="Times New Roman" w:cs="Times New Roman"/>
          <w:highlight w:val="none"/>
          <w:u w:val="none"/>
        </w:rPr>
        <w:t>点声源几何发散衰减</w:t>
      </w:r>
    </w:p>
    <w:p w14:paraId="3DE26DD2">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预测点的预测等效声级（Leq）按下式计算：</w:t>
      </w:r>
    </w:p>
    <w:p w14:paraId="0DCA20B2">
      <w:pPr>
        <w:ind w:firstLine="0" w:firstLineChars="0"/>
        <w:jc w:val="center"/>
        <w:rPr>
          <w:rFonts w:hint="default" w:ascii="Times New Roman" w:hAnsi="Times New Roman" w:cs="Times New Roman"/>
          <w:highlight w:val="none"/>
          <w:u w:val="none"/>
        </w:rPr>
      </w:pPr>
      <w:r>
        <w:rPr>
          <w:rFonts w:hint="default" w:ascii="Times New Roman" w:hAnsi="Times New Roman" w:cs="Times New Roman"/>
          <w:highlight w:val="none"/>
          <w:u w:val="none"/>
        </w:rPr>
        <w:drawing>
          <wp:inline distT="0" distB="0" distL="114300" distR="114300">
            <wp:extent cx="2954655" cy="312420"/>
            <wp:effectExtent l="0" t="0" r="17145" b="11430"/>
            <wp:docPr id="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pic:cNvPicPr>
                      <a:picLocks noChangeAspect="1"/>
                    </pic:cNvPicPr>
                  </pic:nvPicPr>
                  <pic:blipFill>
                    <a:blip r:embed="rId52"/>
                    <a:stretch>
                      <a:fillRect/>
                    </a:stretch>
                  </pic:blipFill>
                  <pic:spPr>
                    <a:xfrm>
                      <a:off x="0" y="0"/>
                      <a:ext cx="2954655" cy="312420"/>
                    </a:xfrm>
                    <a:prstGeom prst="rect">
                      <a:avLst/>
                    </a:prstGeom>
                    <a:noFill/>
                    <a:ln>
                      <a:noFill/>
                    </a:ln>
                  </pic:spPr>
                </pic:pic>
              </a:graphicData>
            </a:graphic>
          </wp:inline>
        </w:drawing>
      </w:r>
    </w:p>
    <w:p w14:paraId="5D88396E">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式中：L</w:t>
      </w:r>
      <w:r>
        <w:rPr>
          <w:rFonts w:hint="default" w:ascii="Times New Roman" w:hAnsi="Times New Roman" w:cs="Times New Roman"/>
          <w:highlight w:val="none"/>
          <w:u w:val="none"/>
          <w:vertAlign w:val="subscript"/>
        </w:rPr>
        <w:t>eqg</w:t>
      </w:r>
      <w:r>
        <w:rPr>
          <w:rFonts w:hint="default" w:ascii="Times New Roman" w:hAnsi="Times New Roman" w:cs="Times New Roman"/>
          <w:highlight w:val="none"/>
          <w:u w:val="none"/>
        </w:rPr>
        <w:t>——建设项目声源在预测点的等效声级贡献值，dB（A）；</w:t>
      </w:r>
    </w:p>
    <w:p w14:paraId="7C9FBE08">
      <w:pPr>
        <w:ind w:firstLine="1200" w:firstLineChars="500"/>
        <w:rPr>
          <w:rFonts w:hint="default" w:ascii="Times New Roman" w:hAnsi="Times New Roman" w:cs="Times New Roman"/>
          <w:highlight w:val="none"/>
          <w:u w:val="none"/>
        </w:rPr>
      </w:pPr>
      <w:r>
        <w:rPr>
          <w:rFonts w:hint="default" w:ascii="Times New Roman" w:hAnsi="Times New Roman" w:cs="Times New Roman"/>
          <w:highlight w:val="none"/>
          <w:u w:val="none"/>
        </w:rPr>
        <w:t>L</w:t>
      </w:r>
      <w:r>
        <w:rPr>
          <w:rFonts w:hint="default" w:ascii="Times New Roman" w:hAnsi="Times New Roman" w:cs="Times New Roman"/>
          <w:highlight w:val="none"/>
          <w:u w:val="none"/>
          <w:vertAlign w:val="subscript"/>
        </w:rPr>
        <w:t>eqb</w:t>
      </w:r>
      <w:r>
        <w:rPr>
          <w:rFonts w:hint="default" w:ascii="Times New Roman" w:hAnsi="Times New Roman" w:cs="Times New Roman"/>
          <w:highlight w:val="none"/>
          <w:u w:val="none"/>
        </w:rPr>
        <w:t>——预测点的背景值，dB（A）。</w:t>
      </w:r>
    </w:p>
    <w:p w14:paraId="30679D44">
      <w:pPr>
        <w:ind w:firstLine="480"/>
        <w:rPr>
          <w:rFonts w:hint="default" w:ascii="Times New Roman" w:hAnsi="Times New Roman" w:cs="Times New Roman"/>
          <w:highlight w:val="none"/>
          <w:u w:val="none"/>
        </w:rPr>
      </w:pPr>
      <w:r>
        <w:rPr>
          <w:rFonts w:hint="default" w:ascii="Times New Roman" w:hAnsi="Times New Roman" w:cs="Times New Roman"/>
          <w:highlight w:val="none"/>
          <w:u w:val="none"/>
        </w:rPr>
        <w:t>本次环评预测采取噪声源强较大的设备进行预测，根据工程分析中项目设备噪声级及各生产设备的数量，生产设备均采用减振、隔声措施。</w:t>
      </w:r>
    </w:p>
    <w:p w14:paraId="2A7D9329">
      <w:pPr>
        <w:pStyle w:val="39"/>
        <w:bidi w:val="0"/>
        <w:rPr>
          <w:rFonts w:hint="default" w:ascii="Times New Roman" w:hAnsi="Times New Roman" w:cs="Times New Roman"/>
        </w:rPr>
      </w:pPr>
      <w:r>
        <w:rPr>
          <w:rFonts w:hint="default"/>
        </w:rPr>
        <w:t>表</w:t>
      </w:r>
      <w:r>
        <w:rPr>
          <w:rFonts w:hint="eastAsia"/>
          <w:lang w:val="en-US" w:eastAsia="zh-CN"/>
        </w:rPr>
        <w:t>6.2-31</w:t>
      </w:r>
      <w:r>
        <w:rPr>
          <w:rFonts w:hint="default"/>
        </w:rPr>
        <w:t>项目厂界噪声贡献值 单位dB（A）</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800"/>
        <w:gridCol w:w="1188"/>
        <w:gridCol w:w="807"/>
        <w:gridCol w:w="1079"/>
        <w:gridCol w:w="755"/>
        <w:gridCol w:w="1025"/>
        <w:gridCol w:w="806"/>
        <w:gridCol w:w="1119"/>
      </w:tblGrid>
      <w:tr w14:paraId="7A6C4F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restart"/>
            <w:noWrap w:val="0"/>
            <w:vAlign w:val="center"/>
          </w:tcPr>
          <w:p w14:paraId="64AC367D">
            <w:pPr>
              <w:pStyle w:val="42"/>
              <w:keepNext w:val="0"/>
              <w:keepLines w:val="0"/>
              <w:suppressLineNumbers w:val="0"/>
              <w:bidi w:val="0"/>
              <w:spacing w:before="0" w:beforeAutospacing="0" w:after="0" w:afterAutospacing="0"/>
              <w:rPr>
                <w:rFonts w:hint="default"/>
              </w:rPr>
            </w:pPr>
            <w:r>
              <w:rPr>
                <w:rFonts w:hint="default"/>
              </w:rPr>
              <w:t>噪声源</w:t>
            </w:r>
          </w:p>
        </w:tc>
        <w:tc>
          <w:tcPr>
            <w:tcW w:w="1997" w:type="dxa"/>
            <w:gridSpan w:val="2"/>
            <w:noWrap w:val="0"/>
            <w:vAlign w:val="center"/>
          </w:tcPr>
          <w:p w14:paraId="4C887D7B">
            <w:pPr>
              <w:pStyle w:val="42"/>
              <w:keepNext w:val="0"/>
              <w:keepLines w:val="0"/>
              <w:suppressLineNumbers w:val="0"/>
              <w:bidi w:val="0"/>
              <w:spacing w:before="0" w:beforeAutospacing="0" w:after="0" w:afterAutospacing="0"/>
              <w:rPr>
                <w:rFonts w:hint="default"/>
              </w:rPr>
            </w:pPr>
            <w:r>
              <w:rPr>
                <w:rFonts w:hint="default"/>
              </w:rPr>
              <w:t>东厂界</w:t>
            </w:r>
          </w:p>
        </w:tc>
        <w:tc>
          <w:tcPr>
            <w:tcW w:w="1893" w:type="dxa"/>
            <w:gridSpan w:val="2"/>
            <w:noWrap w:val="0"/>
            <w:vAlign w:val="center"/>
          </w:tcPr>
          <w:p w14:paraId="7A2FC752">
            <w:pPr>
              <w:pStyle w:val="42"/>
              <w:keepNext w:val="0"/>
              <w:keepLines w:val="0"/>
              <w:suppressLineNumbers w:val="0"/>
              <w:bidi w:val="0"/>
              <w:spacing w:before="0" w:beforeAutospacing="0" w:after="0" w:afterAutospacing="0"/>
              <w:rPr>
                <w:rFonts w:hint="default"/>
              </w:rPr>
            </w:pPr>
            <w:r>
              <w:rPr>
                <w:rFonts w:hint="default"/>
              </w:rPr>
              <w:t>南厂界</w:t>
            </w:r>
          </w:p>
        </w:tc>
        <w:tc>
          <w:tcPr>
            <w:tcW w:w="1786" w:type="dxa"/>
            <w:gridSpan w:val="2"/>
            <w:noWrap w:val="0"/>
            <w:vAlign w:val="center"/>
          </w:tcPr>
          <w:p w14:paraId="7A450814">
            <w:pPr>
              <w:pStyle w:val="42"/>
              <w:keepNext w:val="0"/>
              <w:keepLines w:val="0"/>
              <w:suppressLineNumbers w:val="0"/>
              <w:bidi w:val="0"/>
              <w:spacing w:before="0" w:beforeAutospacing="0" w:after="0" w:afterAutospacing="0"/>
              <w:rPr>
                <w:rFonts w:hint="default"/>
              </w:rPr>
            </w:pPr>
            <w:r>
              <w:rPr>
                <w:rFonts w:hint="default"/>
              </w:rPr>
              <w:t>西厂界</w:t>
            </w:r>
          </w:p>
        </w:tc>
        <w:tc>
          <w:tcPr>
            <w:tcW w:w="1934" w:type="dxa"/>
            <w:gridSpan w:val="2"/>
            <w:noWrap w:val="0"/>
            <w:vAlign w:val="center"/>
          </w:tcPr>
          <w:p w14:paraId="511ADF17">
            <w:pPr>
              <w:pStyle w:val="42"/>
              <w:keepNext w:val="0"/>
              <w:keepLines w:val="0"/>
              <w:suppressLineNumbers w:val="0"/>
              <w:bidi w:val="0"/>
              <w:spacing w:before="0" w:beforeAutospacing="0" w:after="0" w:afterAutospacing="0"/>
              <w:rPr>
                <w:rFonts w:hint="default"/>
              </w:rPr>
            </w:pPr>
            <w:r>
              <w:rPr>
                <w:rFonts w:hint="default"/>
              </w:rPr>
              <w:t>北厂界</w:t>
            </w:r>
          </w:p>
        </w:tc>
      </w:tr>
      <w:tr w14:paraId="392A7C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continue"/>
            <w:noWrap w:val="0"/>
            <w:vAlign w:val="center"/>
          </w:tcPr>
          <w:p w14:paraId="7EE88965">
            <w:pPr>
              <w:pStyle w:val="42"/>
              <w:keepNext w:val="0"/>
              <w:keepLines w:val="0"/>
              <w:suppressLineNumbers w:val="0"/>
              <w:bidi w:val="0"/>
              <w:spacing w:before="0" w:beforeAutospacing="0" w:after="0" w:afterAutospacing="0"/>
              <w:rPr>
                <w:rFonts w:hint="default"/>
              </w:rPr>
            </w:pPr>
          </w:p>
        </w:tc>
        <w:tc>
          <w:tcPr>
            <w:tcW w:w="804" w:type="dxa"/>
            <w:noWrap w:val="0"/>
            <w:vAlign w:val="center"/>
          </w:tcPr>
          <w:p w14:paraId="0851CB7B">
            <w:pPr>
              <w:pStyle w:val="42"/>
              <w:keepNext w:val="0"/>
              <w:keepLines w:val="0"/>
              <w:suppressLineNumbers w:val="0"/>
              <w:bidi w:val="0"/>
              <w:spacing w:before="0" w:beforeAutospacing="0" w:after="0" w:afterAutospacing="0"/>
              <w:rPr>
                <w:rFonts w:hint="default"/>
              </w:rPr>
            </w:pPr>
            <w:r>
              <w:rPr>
                <w:rFonts w:hint="default"/>
              </w:rPr>
              <w:t>距离m</w:t>
            </w:r>
          </w:p>
        </w:tc>
        <w:tc>
          <w:tcPr>
            <w:tcW w:w="1193" w:type="dxa"/>
            <w:noWrap w:val="0"/>
            <w:vAlign w:val="center"/>
          </w:tcPr>
          <w:p w14:paraId="3C4E49E5">
            <w:pPr>
              <w:pStyle w:val="42"/>
              <w:keepNext w:val="0"/>
              <w:keepLines w:val="0"/>
              <w:suppressLineNumbers w:val="0"/>
              <w:bidi w:val="0"/>
              <w:spacing w:before="0" w:beforeAutospacing="0" w:after="0" w:afterAutospacing="0"/>
              <w:rPr>
                <w:rFonts w:hint="default"/>
              </w:rPr>
            </w:pPr>
            <w:r>
              <w:rPr>
                <w:rFonts w:hint="default"/>
              </w:rPr>
              <w:t>贡献值dB（A）</w:t>
            </w:r>
          </w:p>
        </w:tc>
        <w:tc>
          <w:tcPr>
            <w:tcW w:w="811" w:type="dxa"/>
            <w:noWrap w:val="0"/>
            <w:vAlign w:val="center"/>
          </w:tcPr>
          <w:p w14:paraId="7F13F21F">
            <w:pPr>
              <w:pStyle w:val="42"/>
              <w:keepNext w:val="0"/>
              <w:keepLines w:val="0"/>
              <w:suppressLineNumbers w:val="0"/>
              <w:bidi w:val="0"/>
              <w:spacing w:before="0" w:beforeAutospacing="0" w:after="0" w:afterAutospacing="0"/>
              <w:rPr>
                <w:rFonts w:hint="default"/>
              </w:rPr>
            </w:pPr>
            <w:r>
              <w:rPr>
                <w:rFonts w:hint="default"/>
              </w:rPr>
              <w:t>距离m</w:t>
            </w:r>
          </w:p>
        </w:tc>
        <w:tc>
          <w:tcPr>
            <w:tcW w:w="1082" w:type="dxa"/>
            <w:noWrap w:val="0"/>
            <w:vAlign w:val="center"/>
          </w:tcPr>
          <w:p w14:paraId="04445101">
            <w:pPr>
              <w:pStyle w:val="42"/>
              <w:keepNext w:val="0"/>
              <w:keepLines w:val="0"/>
              <w:suppressLineNumbers w:val="0"/>
              <w:bidi w:val="0"/>
              <w:spacing w:before="0" w:beforeAutospacing="0" w:after="0" w:afterAutospacing="0"/>
              <w:rPr>
                <w:rFonts w:hint="default"/>
              </w:rPr>
            </w:pPr>
            <w:r>
              <w:rPr>
                <w:rFonts w:hint="default"/>
              </w:rPr>
              <w:t>贡献值dB（A）</w:t>
            </w:r>
          </w:p>
        </w:tc>
        <w:tc>
          <w:tcPr>
            <w:tcW w:w="758" w:type="dxa"/>
            <w:noWrap w:val="0"/>
            <w:vAlign w:val="center"/>
          </w:tcPr>
          <w:p w14:paraId="27CF8A4E">
            <w:pPr>
              <w:pStyle w:val="42"/>
              <w:keepNext w:val="0"/>
              <w:keepLines w:val="0"/>
              <w:suppressLineNumbers w:val="0"/>
              <w:bidi w:val="0"/>
              <w:spacing w:before="0" w:beforeAutospacing="0" w:after="0" w:afterAutospacing="0"/>
              <w:rPr>
                <w:rFonts w:hint="default"/>
              </w:rPr>
            </w:pPr>
            <w:r>
              <w:rPr>
                <w:rFonts w:hint="default"/>
              </w:rPr>
              <w:t>距离m</w:t>
            </w:r>
          </w:p>
        </w:tc>
        <w:tc>
          <w:tcPr>
            <w:tcW w:w="1028" w:type="dxa"/>
            <w:noWrap w:val="0"/>
            <w:vAlign w:val="center"/>
          </w:tcPr>
          <w:p w14:paraId="4DD18BDB">
            <w:pPr>
              <w:pStyle w:val="42"/>
              <w:keepNext w:val="0"/>
              <w:keepLines w:val="0"/>
              <w:suppressLineNumbers w:val="0"/>
              <w:bidi w:val="0"/>
              <w:spacing w:before="0" w:beforeAutospacing="0" w:after="0" w:afterAutospacing="0"/>
              <w:rPr>
                <w:rFonts w:hint="default"/>
              </w:rPr>
            </w:pPr>
            <w:r>
              <w:rPr>
                <w:rFonts w:hint="default"/>
              </w:rPr>
              <w:t>贡献值dB（A）</w:t>
            </w:r>
          </w:p>
        </w:tc>
        <w:tc>
          <w:tcPr>
            <w:tcW w:w="811" w:type="dxa"/>
            <w:noWrap w:val="0"/>
            <w:vAlign w:val="center"/>
          </w:tcPr>
          <w:p w14:paraId="3272433F">
            <w:pPr>
              <w:pStyle w:val="42"/>
              <w:keepNext w:val="0"/>
              <w:keepLines w:val="0"/>
              <w:suppressLineNumbers w:val="0"/>
              <w:bidi w:val="0"/>
              <w:spacing w:before="0" w:beforeAutospacing="0" w:after="0" w:afterAutospacing="0"/>
              <w:rPr>
                <w:rFonts w:hint="default"/>
              </w:rPr>
            </w:pPr>
            <w:r>
              <w:rPr>
                <w:rFonts w:hint="default"/>
              </w:rPr>
              <w:t>距离m</w:t>
            </w:r>
          </w:p>
        </w:tc>
        <w:tc>
          <w:tcPr>
            <w:tcW w:w="1123" w:type="dxa"/>
            <w:noWrap w:val="0"/>
            <w:vAlign w:val="center"/>
          </w:tcPr>
          <w:p w14:paraId="4B939567">
            <w:pPr>
              <w:pStyle w:val="42"/>
              <w:keepNext w:val="0"/>
              <w:keepLines w:val="0"/>
              <w:suppressLineNumbers w:val="0"/>
              <w:bidi w:val="0"/>
              <w:spacing w:before="0" w:beforeAutospacing="0" w:after="0" w:afterAutospacing="0"/>
              <w:rPr>
                <w:rFonts w:hint="default"/>
              </w:rPr>
            </w:pPr>
            <w:r>
              <w:rPr>
                <w:rFonts w:hint="default"/>
              </w:rPr>
              <w:t>贡献值dB（A）</w:t>
            </w:r>
          </w:p>
        </w:tc>
      </w:tr>
      <w:tr w14:paraId="54387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noWrap w:val="0"/>
            <w:vAlign w:val="center"/>
          </w:tcPr>
          <w:p w14:paraId="416FE3AA">
            <w:pPr>
              <w:pStyle w:val="42"/>
              <w:keepNext w:val="0"/>
              <w:keepLines w:val="0"/>
              <w:suppressLineNumbers w:val="0"/>
              <w:bidi w:val="0"/>
              <w:spacing w:before="0" w:beforeAutospacing="0" w:after="0" w:afterAutospacing="0"/>
              <w:rPr>
                <w:rFonts w:hint="default"/>
              </w:rPr>
            </w:pPr>
            <w:r>
              <w:rPr>
                <w:rFonts w:hint="default"/>
              </w:rPr>
              <w:t>生产区</w:t>
            </w:r>
          </w:p>
        </w:tc>
        <w:tc>
          <w:tcPr>
            <w:tcW w:w="804" w:type="dxa"/>
            <w:noWrap w:val="0"/>
            <w:vAlign w:val="center"/>
          </w:tcPr>
          <w:p w14:paraId="492932E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1193" w:type="dxa"/>
            <w:noWrap w:val="0"/>
            <w:vAlign w:val="center"/>
          </w:tcPr>
          <w:p w14:paraId="3017B9F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39.65</w:t>
            </w:r>
          </w:p>
        </w:tc>
        <w:tc>
          <w:tcPr>
            <w:tcW w:w="811" w:type="dxa"/>
            <w:noWrap w:val="0"/>
            <w:vAlign w:val="center"/>
          </w:tcPr>
          <w:p w14:paraId="511BC46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2.5</w:t>
            </w:r>
          </w:p>
        </w:tc>
        <w:tc>
          <w:tcPr>
            <w:tcW w:w="1082" w:type="dxa"/>
            <w:noWrap w:val="0"/>
            <w:vAlign w:val="center"/>
          </w:tcPr>
          <w:p w14:paraId="048E06E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54.32</w:t>
            </w:r>
          </w:p>
        </w:tc>
        <w:tc>
          <w:tcPr>
            <w:tcW w:w="758" w:type="dxa"/>
            <w:noWrap w:val="0"/>
            <w:vAlign w:val="center"/>
          </w:tcPr>
          <w:p w14:paraId="29C8516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3.5</w:t>
            </w:r>
          </w:p>
        </w:tc>
        <w:tc>
          <w:tcPr>
            <w:tcW w:w="1028" w:type="dxa"/>
            <w:noWrap w:val="0"/>
            <w:vAlign w:val="center"/>
          </w:tcPr>
          <w:p w14:paraId="5FEF16D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32.61</w:t>
            </w:r>
          </w:p>
        </w:tc>
        <w:tc>
          <w:tcPr>
            <w:tcW w:w="811" w:type="dxa"/>
            <w:noWrap w:val="0"/>
            <w:vAlign w:val="center"/>
          </w:tcPr>
          <w:p w14:paraId="49503058">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2</w:t>
            </w:r>
          </w:p>
        </w:tc>
        <w:tc>
          <w:tcPr>
            <w:tcW w:w="1123" w:type="dxa"/>
            <w:noWrap w:val="0"/>
            <w:vAlign w:val="center"/>
          </w:tcPr>
          <w:p w14:paraId="430E8CE1">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51.70</w:t>
            </w:r>
          </w:p>
        </w:tc>
      </w:tr>
    </w:tbl>
    <w:p w14:paraId="18FA2C31">
      <w:pPr>
        <w:pStyle w:val="39"/>
        <w:bidi w:val="0"/>
        <w:rPr>
          <w:rFonts w:hint="default"/>
          <w:lang w:val="en-US" w:eastAsia="zh-CN"/>
        </w:rPr>
      </w:pPr>
    </w:p>
    <w:p w14:paraId="095558C0">
      <w:pPr>
        <w:pStyle w:val="39"/>
        <w:bidi w:val="0"/>
        <w:rPr>
          <w:rFonts w:hint="default"/>
          <w:lang w:val="en-US" w:eastAsia="zh-CN"/>
        </w:rPr>
      </w:pPr>
      <w:r>
        <w:rPr>
          <w:rFonts w:hint="default"/>
          <w:lang w:val="en-US" w:eastAsia="zh-CN"/>
        </w:rPr>
        <w:t>表</w:t>
      </w:r>
      <w:r>
        <w:rPr>
          <w:rFonts w:hint="eastAsia"/>
          <w:lang w:val="en-US" w:eastAsia="zh-CN"/>
        </w:rPr>
        <w:t>6.2-32</w:t>
      </w:r>
      <w:r>
        <w:rPr>
          <w:rFonts w:hint="default"/>
          <w:lang w:val="en-US" w:eastAsia="zh-CN"/>
        </w:rPr>
        <w:t xml:space="preserve">  项目厂界的噪声</w:t>
      </w:r>
      <w:r>
        <w:rPr>
          <w:rFonts w:hint="eastAsia"/>
          <w:lang w:val="en-US" w:eastAsia="zh-CN"/>
        </w:rPr>
        <w:t>预测值</w:t>
      </w:r>
      <w:r>
        <w:rPr>
          <w:rFonts w:hint="default"/>
          <w:lang w:val="en-US" w:eastAsia="zh-CN"/>
        </w:rPr>
        <w:t xml:space="preserve">       单位：dB(A)</w:t>
      </w:r>
    </w:p>
    <w:tbl>
      <w:tblPr>
        <w:tblStyle w:val="30"/>
        <w:tblW w:w="51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48"/>
        <w:gridCol w:w="1497"/>
        <w:gridCol w:w="1118"/>
        <w:gridCol w:w="967"/>
        <w:gridCol w:w="1125"/>
        <w:gridCol w:w="1158"/>
        <w:gridCol w:w="818"/>
        <w:gridCol w:w="832"/>
      </w:tblGrid>
      <w:tr w14:paraId="5147E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663" w:type="pct"/>
            <w:vMerge w:val="restart"/>
            <w:tcBorders>
              <w:tl2br w:val="nil"/>
              <w:tr2bl w:val="nil"/>
            </w:tcBorders>
            <w:noWrap w:val="0"/>
            <w:vAlign w:val="center"/>
          </w:tcPr>
          <w:p w14:paraId="65515D2D">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序号</w:t>
            </w:r>
          </w:p>
        </w:tc>
        <w:tc>
          <w:tcPr>
            <w:tcW w:w="864" w:type="pct"/>
            <w:vMerge w:val="restart"/>
            <w:tcBorders>
              <w:tl2br w:val="nil"/>
              <w:tr2bl w:val="nil"/>
            </w:tcBorders>
            <w:noWrap w:val="0"/>
            <w:vAlign w:val="center"/>
          </w:tcPr>
          <w:p w14:paraId="503C8B0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名称</w:t>
            </w:r>
          </w:p>
        </w:tc>
        <w:tc>
          <w:tcPr>
            <w:tcW w:w="1203" w:type="pct"/>
            <w:gridSpan w:val="2"/>
            <w:tcBorders>
              <w:tl2br w:val="nil"/>
              <w:tr2bl w:val="nil"/>
            </w:tcBorders>
            <w:noWrap w:val="0"/>
            <w:vAlign w:val="center"/>
          </w:tcPr>
          <w:p w14:paraId="4B98816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噪声标准(dBA)</w:t>
            </w:r>
          </w:p>
        </w:tc>
        <w:tc>
          <w:tcPr>
            <w:tcW w:w="1317" w:type="pct"/>
            <w:gridSpan w:val="2"/>
            <w:tcBorders>
              <w:tl2br w:val="nil"/>
              <w:tr2bl w:val="nil"/>
            </w:tcBorders>
            <w:noWrap w:val="0"/>
            <w:vAlign w:val="center"/>
          </w:tcPr>
          <w:p w14:paraId="08497EC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噪声</w:t>
            </w:r>
            <w:r>
              <w:rPr>
                <w:rFonts w:hint="eastAsia" w:cs="Times New Roman"/>
                <w:highlight w:val="none"/>
                <w:lang w:val="en-US" w:eastAsia="zh-CN"/>
              </w:rPr>
              <w:t>预测</w:t>
            </w:r>
            <w:r>
              <w:rPr>
                <w:rFonts w:hint="default" w:ascii="Times New Roman" w:hAnsi="Times New Roman" w:cs="Times New Roman"/>
                <w:highlight w:val="none"/>
              </w:rPr>
              <w:t>值(dBA)</w:t>
            </w:r>
          </w:p>
        </w:tc>
        <w:tc>
          <w:tcPr>
            <w:tcW w:w="952" w:type="pct"/>
            <w:gridSpan w:val="2"/>
            <w:tcBorders>
              <w:tl2br w:val="nil"/>
              <w:tr2bl w:val="nil"/>
            </w:tcBorders>
            <w:noWrap w:val="0"/>
            <w:vAlign w:val="center"/>
          </w:tcPr>
          <w:p w14:paraId="48EF9DB8">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超标和达标情况</w:t>
            </w:r>
          </w:p>
        </w:tc>
      </w:tr>
      <w:tr w14:paraId="54385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663" w:type="pct"/>
            <w:vMerge w:val="continue"/>
            <w:tcBorders>
              <w:tl2br w:val="nil"/>
              <w:tr2bl w:val="nil"/>
            </w:tcBorders>
            <w:noWrap w:val="0"/>
            <w:vAlign w:val="center"/>
          </w:tcPr>
          <w:p w14:paraId="3E834ED3">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864" w:type="pct"/>
            <w:vMerge w:val="continue"/>
            <w:tcBorders>
              <w:tl2br w:val="nil"/>
              <w:tr2bl w:val="nil"/>
            </w:tcBorders>
            <w:noWrap w:val="0"/>
            <w:vAlign w:val="center"/>
          </w:tcPr>
          <w:p w14:paraId="325521E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p>
        </w:tc>
        <w:tc>
          <w:tcPr>
            <w:tcW w:w="645" w:type="pct"/>
            <w:tcBorders>
              <w:tl2br w:val="nil"/>
              <w:tr2bl w:val="nil"/>
            </w:tcBorders>
            <w:noWrap w:val="0"/>
            <w:vAlign w:val="center"/>
          </w:tcPr>
          <w:p w14:paraId="7B87B6CE">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昼间</w:t>
            </w:r>
          </w:p>
        </w:tc>
        <w:tc>
          <w:tcPr>
            <w:tcW w:w="558" w:type="pct"/>
            <w:tcBorders>
              <w:tl2br w:val="nil"/>
              <w:tr2bl w:val="nil"/>
            </w:tcBorders>
            <w:noWrap w:val="0"/>
            <w:vAlign w:val="center"/>
          </w:tcPr>
          <w:p w14:paraId="663D45FB">
            <w:pPr>
              <w:pStyle w:val="46"/>
              <w:keepNext w:val="0"/>
              <w:keepLines w:val="0"/>
              <w:widowControl/>
              <w:suppressLineNumbers w:val="0"/>
              <w:bidi w:val="0"/>
              <w:spacing w:beforeAutospacing="0" w:after="0" w:afterAutospacing="0"/>
              <w:ind w:left="0" w:right="0"/>
              <w:rPr>
                <w:rFonts w:hint="eastAsia" w:ascii="Times New Roman" w:hAnsi="Times New Roman" w:eastAsia="宋体" w:cs="Times New Roman"/>
                <w:highlight w:val="none"/>
                <w:lang w:val="en-US" w:eastAsia="zh-CN"/>
              </w:rPr>
            </w:pPr>
            <w:r>
              <w:rPr>
                <w:rFonts w:hint="eastAsia" w:cs="Times New Roman"/>
                <w:highlight w:val="none"/>
                <w:lang w:val="en-US" w:eastAsia="zh-CN"/>
              </w:rPr>
              <w:t>夜间</w:t>
            </w:r>
          </w:p>
        </w:tc>
        <w:tc>
          <w:tcPr>
            <w:tcW w:w="649" w:type="pct"/>
            <w:tcBorders>
              <w:tl2br w:val="nil"/>
              <w:tr2bl w:val="nil"/>
            </w:tcBorders>
            <w:noWrap w:val="0"/>
            <w:vAlign w:val="center"/>
          </w:tcPr>
          <w:p w14:paraId="73049E89">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rPr>
              <w:t>昼间</w:t>
            </w:r>
          </w:p>
        </w:tc>
        <w:tc>
          <w:tcPr>
            <w:tcW w:w="667" w:type="pct"/>
            <w:tcBorders>
              <w:tl2br w:val="nil"/>
              <w:tr2bl w:val="nil"/>
            </w:tcBorders>
            <w:noWrap w:val="0"/>
            <w:vAlign w:val="center"/>
          </w:tcPr>
          <w:p w14:paraId="56061F14">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rPr>
            </w:pPr>
            <w:r>
              <w:rPr>
                <w:rFonts w:hint="eastAsia" w:cs="Times New Roman"/>
                <w:highlight w:val="none"/>
                <w:lang w:val="en-US" w:eastAsia="zh-CN"/>
              </w:rPr>
              <w:t>夜间</w:t>
            </w:r>
          </w:p>
        </w:tc>
        <w:tc>
          <w:tcPr>
            <w:tcW w:w="472" w:type="pct"/>
            <w:tcBorders>
              <w:tl2br w:val="nil"/>
              <w:tr2bl w:val="nil"/>
            </w:tcBorders>
            <w:noWrap w:val="0"/>
            <w:vAlign w:val="center"/>
          </w:tcPr>
          <w:p w14:paraId="62FDD23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rPr>
              <w:t>昼间</w:t>
            </w:r>
          </w:p>
        </w:tc>
        <w:tc>
          <w:tcPr>
            <w:tcW w:w="479" w:type="pct"/>
            <w:tcBorders>
              <w:tl2br w:val="nil"/>
              <w:tr2bl w:val="nil"/>
            </w:tcBorders>
            <w:noWrap w:val="0"/>
            <w:vAlign w:val="center"/>
          </w:tcPr>
          <w:p w14:paraId="4B602552">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rPr>
            </w:pPr>
            <w:r>
              <w:rPr>
                <w:rFonts w:hint="eastAsia" w:cs="Times New Roman"/>
                <w:highlight w:val="none"/>
                <w:lang w:val="en-US" w:eastAsia="zh-CN"/>
              </w:rPr>
              <w:t>夜间</w:t>
            </w:r>
          </w:p>
        </w:tc>
      </w:tr>
      <w:tr w14:paraId="5A429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663" w:type="pct"/>
            <w:tcBorders>
              <w:tl2br w:val="nil"/>
              <w:tr2bl w:val="nil"/>
            </w:tcBorders>
            <w:noWrap w:val="0"/>
            <w:vAlign w:val="center"/>
          </w:tcPr>
          <w:p w14:paraId="61DBDF2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1</w:t>
            </w:r>
          </w:p>
        </w:tc>
        <w:tc>
          <w:tcPr>
            <w:tcW w:w="864" w:type="pct"/>
            <w:tcBorders>
              <w:tl2br w:val="nil"/>
              <w:tr2bl w:val="nil"/>
            </w:tcBorders>
            <w:noWrap w:val="0"/>
            <w:vAlign w:val="center"/>
          </w:tcPr>
          <w:p w14:paraId="6E40403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东厂界</w:t>
            </w:r>
          </w:p>
        </w:tc>
        <w:tc>
          <w:tcPr>
            <w:tcW w:w="645" w:type="pct"/>
            <w:tcBorders>
              <w:tl2br w:val="nil"/>
              <w:tr2bl w:val="nil"/>
            </w:tcBorders>
            <w:noWrap w:val="0"/>
            <w:vAlign w:val="center"/>
          </w:tcPr>
          <w:p w14:paraId="06935AE2">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65</w:t>
            </w:r>
          </w:p>
        </w:tc>
        <w:tc>
          <w:tcPr>
            <w:tcW w:w="558" w:type="pct"/>
            <w:tcBorders>
              <w:tl2br w:val="nil"/>
              <w:tr2bl w:val="nil"/>
            </w:tcBorders>
            <w:noWrap w:val="0"/>
            <w:vAlign w:val="center"/>
          </w:tcPr>
          <w:p w14:paraId="5EE19AA4">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lang w:val="en-US" w:eastAsia="zh-CN"/>
              </w:rPr>
            </w:pPr>
            <w:r>
              <w:rPr>
                <w:rFonts w:hint="eastAsia" w:cs="Times New Roman"/>
                <w:highlight w:val="none"/>
                <w:lang w:val="en-US" w:eastAsia="zh-CN"/>
              </w:rPr>
              <w:t>55</w:t>
            </w:r>
          </w:p>
        </w:tc>
        <w:tc>
          <w:tcPr>
            <w:tcW w:w="649" w:type="pct"/>
            <w:tcBorders>
              <w:tl2br w:val="nil"/>
              <w:tr2bl w:val="nil"/>
            </w:tcBorders>
            <w:noWrap w:val="0"/>
            <w:vAlign w:val="center"/>
          </w:tcPr>
          <w:p w14:paraId="0F50AB80">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39.65</w:t>
            </w:r>
          </w:p>
        </w:tc>
        <w:tc>
          <w:tcPr>
            <w:tcW w:w="667" w:type="pct"/>
            <w:tcBorders>
              <w:tl2br w:val="nil"/>
              <w:tr2bl w:val="nil"/>
            </w:tcBorders>
            <w:noWrap w:val="0"/>
            <w:vAlign w:val="center"/>
          </w:tcPr>
          <w:p w14:paraId="456FE4E7">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cs="Times New Roman"/>
                <w:highlight w:val="none"/>
                <w:lang w:val="en-US" w:eastAsia="zh-CN"/>
              </w:rPr>
              <w:t>39.65</w:t>
            </w:r>
          </w:p>
        </w:tc>
        <w:tc>
          <w:tcPr>
            <w:tcW w:w="472" w:type="pct"/>
            <w:tcBorders>
              <w:tl2br w:val="nil"/>
              <w:tr2bl w:val="nil"/>
            </w:tcBorders>
            <w:noWrap w:val="0"/>
            <w:vAlign w:val="center"/>
          </w:tcPr>
          <w:p w14:paraId="37221899">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c>
          <w:tcPr>
            <w:tcW w:w="479" w:type="pct"/>
            <w:tcBorders>
              <w:tl2br w:val="nil"/>
              <w:tr2bl w:val="nil"/>
            </w:tcBorders>
            <w:noWrap w:val="0"/>
            <w:vAlign w:val="center"/>
          </w:tcPr>
          <w:p w14:paraId="68E75D7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r>
      <w:tr w14:paraId="226545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663" w:type="pct"/>
            <w:tcBorders>
              <w:tl2br w:val="nil"/>
              <w:tr2bl w:val="nil"/>
            </w:tcBorders>
            <w:noWrap w:val="0"/>
            <w:vAlign w:val="center"/>
          </w:tcPr>
          <w:p w14:paraId="7BE25EEB">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2</w:t>
            </w:r>
          </w:p>
        </w:tc>
        <w:tc>
          <w:tcPr>
            <w:tcW w:w="864" w:type="pct"/>
            <w:tcBorders>
              <w:tl2br w:val="nil"/>
              <w:tr2bl w:val="nil"/>
            </w:tcBorders>
            <w:noWrap w:val="0"/>
            <w:vAlign w:val="center"/>
          </w:tcPr>
          <w:p w14:paraId="773D21E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南厂界</w:t>
            </w:r>
          </w:p>
        </w:tc>
        <w:tc>
          <w:tcPr>
            <w:tcW w:w="645" w:type="pct"/>
            <w:tcBorders>
              <w:tl2br w:val="nil"/>
              <w:tr2bl w:val="nil"/>
            </w:tcBorders>
            <w:noWrap w:val="0"/>
            <w:vAlign w:val="center"/>
          </w:tcPr>
          <w:p w14:paraId="5CC088A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65</w:t>
            </w:r>
          </w:p>
        </w:tc>
        <w:tc>
          <w:tcPr>
            <w:tcW w:w="558" w:type="pct"/>
            <w:tcBorders>
              <w:tl2br w:val="nil"/>
              <w:tr2bl w:val="nil"/>
            </w:tcBorders>
            <w:noWrap w:val="0"/>
            <w:vAlign w:val="center"/>
          </w:tcPr>
          <w:p w14:paraId="21C83313">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lang w:val="en-US" w:eastAsia="zh-CN"/>
              </w:rPr>
            </w:pPr>
            <w:r>
              <w:rPr>
                <w:rFonts w:hint="eastAsia" w:cs="Times New Roman"/>
                <w:highlight w:val="none"/>
                <w:lang w:val="en-US" w:eastAsia="zh-CN"/>
              </w:rPr>
              <w:t>55</w:t>
            </w:r>
          </w:p>
        </w:tc>
        <w:tc>
          <w:tcPr>
            <w:tcW w:w="649" w:type="pct"/>
            <w:tcBorders>
              <w:tl2br w:val="nil"/>
              <w:tr2bl w:val="nil"/>
            </w:tcBorders>
            <w:noWrap w:val="0"/>
            <w:vAlign w:val="center"/>
          </w:tcPr>
          <w:p w14:paraId="7937941C">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54.32</w:t>
            </w:r>
          </w:p>
        </w:tc>
        <w:tc>
          <w:tcPr>
            <w:tcW w:w="667" w:type="pct"/>
            <w:tcBorders>
              <w:tl2br w:val="nil"/>
              <w:tr2bl w:val="nil"/>
            </w:tcBorders>
            <w:noWrap w:val="0"/>
            <w:vAlign w:val="center"/>
          </w:tcPr>
          <w:p w14:paraId="082D5447">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54.32</w:t>
            </w:r>
          </w:p>
        </w:tc>
        <w:tc>
          <w:tcPr>
            <w:tcW w:w="472" w:type="pct"/>
            <w:tcBorders>
              <w:tl2br w:val="nil"/>
              <w:tr2bl w:val="nil"/>
            </w:tcBorders>
            <w:noWrap w:val="0"/>
            <w:vAlign w:val="center"/>
          </w:tcPr>
          <w:p w14:paraId="5B8B078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c>
          <w:tcPr>
            <w:tcW w:w="479" w:type="pct"/>
            <w:tcBorders>
              <w:tl2br w:val="nil"/>
              <w:tr2bl w:val="nil"/>
            </w:tcBorders>
            <w:noWrap w:val="0"/>
            <w:vAlign w:val="center"/>
          </w:tcPr>
          <w:p w14:paraId="6DB1C44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r>
      <w:tr w14:paraId="6AA0B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663" w:type="pct"/>
            <w:tcBorders>
              <w:tl2br w:val="nil"/>
              <w:tr2bl w:val="nil"/>
            </w:tcBorders>
            <w:noWrap w:val="0"/>
            <w:vAlign w:val="center"/>
          </w:tcPr>
          <w:p w14:paraId="171A304F">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3</w:t>
            </w:r>
          </w:p>
        </w:tc>
        <w:tc>
          <w:tcPr>
            <w:tcW w:w="864" w:type="pct"/>
            <w:tcBorders>
              <w:tl2br w:val="nil"/>
              <w:tr2bl w:val="nil"/>
            </w:tcBorders>
            <w:noWrap w:val="0"/>
            <w:vAlign w:val="center"/>
          </w:tcPr>
          <w:p w14:paraId="3B605BD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西厂界</w:t>
            </w:r>
          </w:p>
        </w:tc>
        <w:tc>
          <w:tcPr>
            <w:tcW w:w="645" w:type="pct"/>
            <w:tcBorders>
              <w:tl2br w:val="nil"/>
              <w:tr2bl w:val="nil"/>
            </w:tcBorders>
            <w:noWrap w:val="0"/>
            <w:vAlign w:val="center"/>
          </w:tcPr>
          <w:p w14:paraId="7D173D98">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65</w:t>
            </w:r>
          </w:p>
        </w:tc>
        <w:tc>
          <w:tcPr>
            <w:tcW w:w="558" w:type="pct"/>
            <w:tcBorders>
              <w:tl2br w:val="nil"/>
              <w:tr2bl w:val="nil"/>
            </w:tcBorders>
            <w:noWrap w:val="0"/>
            <w:vAlign w:val="center"/>
          </w:tcPr>
          <w:p w14:paraId="3B80C1C8">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lang w:val="en-US" w:eastAsia="zh-CN"/>
              </w:rPr>
            </w:pPr>
            <w:r>
              <w:rPr>
                <w:rFonts w:hint="eastAsia" w:cs="Times New Roman"/>
                <w:highlight w:val="none"/>
                <w:lang w:val="en-US" w:eastAsia="zh-CN"/>
              </w:rPr>
              <w:t>55</w:t>
            </w:r>
          </w:p>
        </w:tc>
        <w:tc>
          <w:tcPr>
            <w:tcW w:w="649" w:type="pct"/>
            <w:tcBorders>
              <w:tl2br w:val="nil"/>
              <w:tr2bl w:val="nil"/>
            </w:tcBorders>
            <w:noWrap w:val="0"/>
            <w:vAlign w:val="center"/>
          </w:tcPr>
          <w:p w14:paraId="013A673B">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32.61</w:t>
            </w:r>
          </w:p>
        </w:tc>
        <w:tc>
          <w:tcPr>
            <w:tcW w:w="667" w:type="pct"/>
            <w:tcBorders>
              <w:tl2br w:val="nil"/>
              <w:tr2bl w:val="nil"/>
            </w:tcBorders>
            <w:noWrap w:val="0"/>
            <w:vAlign w:val="center"/>
          </w:tcPr>
          <w:p w14:paraId="1D398278">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32.61</w:t>
            </w:r>
          </w:p>
        </w:tc>
        <w:tc>
          <w:tcPr>
            <w:tcW w:w="472" w:type="pct"/>
            <w:tcBorders>
              <w:tl2br w:val="nil"/>
              <w:tr2bl w:val="nil"/>
            </w:tcBorders>
            <w:noWrap w:val="0"/>
            <w:vAlign w:val="center"/>
          </w:tcPr>
          <w:p w14:paraId="7743DF20">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c>
          <w:tcPr>
            <w:tcW w:w="479" w:type="pct"/>
            <w:tcBorders>
              <w:tl2br w:val="nil"/>
              <w:tr2bl w:val="nil"/>
            </w:tcBorders>
            <w:noWrap w:val="0"/>
            <w:vAlign w:val="center"/>
          </w:tcPr>
          <w:p w14:paraId="0D92951C">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r>
      <w:tr w14:paraId="12ED2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663" w:type="pct"/>
            <w:tcBorders>
              <w:tl2br w:val="nil"/>
              <w:tr2bl w:val="nil"/>
            </w:tcBorders>
            <w:noWrap w:val="0"/>
            <w:vAlign w:val="center"/>
          </w:tcPr>
          <w:p w14:paraId="3612E32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4</w:t>
            </w:r>
          </w:p>
        </w:tc>
        <w:tc>
          <w:tcPr>
            <w:tcW w:w="864" w:type="pct"/>
            <w:tcBorders>
              <w:tl2br w:val="nil"/>
              <w:tr2bl w:val="nil"/>
            </w:tcBorders>
            <w:noWrap w:val="0"/>
            <w:vAlign w:val="center"/>
          </w:tcPr>
          <w:p w14:paraId="1CBF9367">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北厂界</w:t>
            </w:r>
          </w:p>
        </w:tc>
        <w:tc>
          <w:tcPr>
            <w:tcW w:w="645" w:type="pct"/>
            <w:tcBorders>
              <w:tl2br w:val="nil"/>
              <w:tr2bl w:val="nil"/>
            </w:tcBorders>
            <w:noWrap w:val="0"/>
            <w:vAlign w:val="center"/>
          </w:tcPr>
          <w:p w14:paraId="4BB071C5">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rPr>
            </w:pPr>
            <w:r>
              <w:rPr>
                <w:rFonts w:hint="default" w:ascii="Times New Roman" w:hAnsi="Times New Roman" w:cs="Times New Roman"/>
                <w:highlight w:val="none"/>
              </w:rPr>
              <w:t>65</w:t>
            </w:r>
          </w:p>
        </w:tc>
        <w:tc>
          <w:tcPr>
            <w:tcW w:w="558" w:type="pct"/>
            <w:tcBorders>
              <w:tl2br w:val="nil"/>
              <w:tr2bl w:val="nil"/>
            </w:tcBorders>
            <w:noWrap w:val="0"/>
            <w:vAlign w:val="center"/>
          </w:tcPr>
          <w:p w14:paraId="66BFB5C6">
            <w:pPr>
              <w:pStyle w:val="46"/>
              <w:keepNext w:val="0"/>
              <w:keepLines w:val="0"/>
              <w:widowControl/>
              <w:suppressLineNumbers w:val="0"/>
              <w:bidi w:val="0"/>
              <w:spacing w:beforeAutospacing="0" w:after="0" w:afterAutospacing="0"/>
              <w:ind w:left="0" w:right="0"/>
              <w:rPr>
                <w:rFonts w:hint="default" w:ascii="Times New Roman" w:hAnsi="Times New Roman" w:eastAsia="宋体" w:cs="Times New Roman"/>
                <w:highlight w:val="none"/>
                <w:lang w:val="en-US" w:eastAsia="zh-CN"/>
              </w:rPr>
            </w:pPr>
            <w:r>
              <w:rPr>
                <w:rFonts w:hint="eastAsia" w:cs="Times New Roman"/>
                <w:highlight w:val="none"/>
                <w:lang w:val="en-US" w:eastAsia="zh-CN"/>
              </w:rPr>
              <w:t>55</w:t>
            </w:r>
          </w:p>
        </w:tc>
        <w:tc>
          <w:tcPr>
            <w:tcW w:w="649" w:type="pct"/>
            <w:tcBorders>
              <w:tl2br w:val="nil"/>
              <w:tr2bl w:val="nil"/>
            </w:tcBorders>
            <w:noWrap w:val="0"/>
            <w:vAlign w:val="center"/>
          </w:tcPr>
          <w:p w14:paraId="4DAAC8D4">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51.70</w:t>
            </w:r>
          </w:p>
        </w:tc>
        <w:tc>
          <w:tcPr>
            <w:tcW w:w="667" w:type="pct"/>
            <w:tcBorders>
              <w:tl2br w:val="nil"/>
              <w:tr2bl w:val="nil"/>
            </w:tcBorders>
            <w:noWrap w:val="0"/>
            <w:vAlign w:val="center"/>
          </w:tcPr>
          <w:p w14:paraId="3524F7FF">
            <w:pPr>
              <w:pStyle w:val="46"/>
              <w:keepNext w:val="0"/>
              <w:keepLines w:val="0"/>
              <w:widowControl/>
              <w:suppressLineNumbers w:val="0"/>
              <w:bidi w:val="0"/>
              <w:spacing w:beforeAutospacing="0" w:after="0" w:afterAutospacing="0"/>
              <w:ind w:left="0" w:leftChars="0" w:right="0" w:rightChars="0" w:firstLine="0" w:firstLineChars="0"/>
              <w:rPr>
                <w:rFonts w:hint="default" w:ascii="Times New Roman" w:hAnsi="Times New Roman" w:cs="Times New Roman"/>
                <w:highlight w:val="none"/>
                <w:lang w:val="en-US" w:eastAsia="zh-CN"/>
              </w:rPr>
            </w:pPr>
            <w:r>
              <w:rPr>
                <w:rFonts w:hint="eastAsia"/>
                <w:highlight w:val="none"/>
                <w:lang w:val="en-US" w:eastAsia="zh-CN"/>
              </w:rPr>
              <w:t>51.70</w:t>
            </w:r>
          </w:p>
        </w:tc>
        <w:tc>
          <w:tcPr>
            <w:tcW w:w="472" w:type="pct"/>
            <w:tcBorders>
              <w:tl2br w:val="nil"/>
              <w:tr2bl w:val="nil"/>
            </w:tcBorders>
            <w:noWrap w:val="0"/>
            <w:vAlign w:val="center"/>
          </w:tcPr>
          <w:p w14:paraId="3364C40A">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c>
          <w:tcPr>
            <w:tcW w:w="479" w:type="pct"/>
            <w:tcBorders>
              <w:tl2br w:val="nil"/>
              <w:tr2bl w:val="nil"/>
            </w:tcBorders>
            <w:noWrap w:val="0"/>
            <w:vAlign w:val="center"/>
          </w:tcPr>
          <w:p w14:paraId="5D4D9B64">
            <w:pPr>
              <w:pStyle w:val="46"/>
              <w:keepNext w:val="0"/>
              <w:keepLines w:val="0"/>
              <w:widowControl/>
              <w:suppressLineNumbers w:val="0"/>
              <w:bidi w:val="0"/>
              <w:spacing w:beforeAutospacing="0" w:after="0" w:afterAutospacing="0"/>
              <w:ind w:left="0" w:right="0"/>
              <w:rPr>
                <w:rFonts w:hint="default" w:ascii="Times New Roman" w:hAnsi="Times New Roman" w:cs="Times New Roman"/>
                <w:highlight w:val="none"/>
                <w:lang w:val="en-US" w:eastAsia="zh-CN"/>
              </w:rPr>
            </w:pPr>
            <w:r>
              <w:rPr>
                <w:rFonts w:hint="eastAsia" w:cs="Times New Roman"/>
                <w:highlight w:val="none"/>
                <w:lang w:val="en-US" w:eastAsia="zh-CN"/>
              </w:rPr>
              <w:t>达标</w:t>
            </w:r>
          </w:p>
        </w:tc>
      </w:tr>
    </w:tbl>
    <w:p w14:paraId="1A3EF226">
      <w:pPr>
        <w:bidi w:val="0"/>
        <w:rPr>
          <w:rFonts w:hint="default" w:ascii="Times New Roman" w:hAnsi="Times New Roman" w:cs="Times New Roman"/>
          <w:color w:val="000000"/>
          <w:highlight w:val="none"/>
          <w:u w:val="none"/>
          <w:lang w:val="en-US" w:eastAsia="zh-CN"/>
        </w:rPr>
      </w:pPr>
      <w:r>
        <w:rPr>
          <w:rFonts w:hint="default" w:ascii="Times New Roman" w:hAnsi="Times New Roman" w:cs="Times New Roman"/>
          <w:highlight w:val="none"/>
        </w:rPr>
        <w:t>周边200m范围内</w:t>
      </w:r>
      <w:r>
        <w:rPr>
          <w:rFonts w:hint="eastAsia" w:ascii="Times New Roman" w:hAnsi="Times New Roman" w:cs="Times New Roman"/>
          <w:highlight w:val="none"/>
          <w:lang w:val="en-US" w:eastAsia="zh-CN"/>
        </w:rPr>
        <w:t>无</w:t>
      </w:r>
      <w:r>
        <w:rPr>
          <w:rFonts w:hint="default" w:ascii="Times New Roman" w:hAnsi="Times New Roman" w:cs="Times New Roman"/>
          <w:highlight w:val="none"/>
        </w:rPr>
        <w:t>声环境保护目标，最近敏感点</w:t>
      </w:r>
      <w:r>
        <w:rPr>
          <w:rFonts w:hint="eastAsia" w:ascii="Times New Roman" w:hAnsi="Times New Roman" w:cs="Times New Roman"/>
          <w:highlight w:val="none"/>
          <w:lang w:val="en-US" w:eastAsia="zh-CN"/>
        </w:rPr>
        <w:t>为西侧将军村</w:t>
      </w:r>
      <w:r>
        <w:rPr>
          <w:rFonts w:hint="default" w:ascii="Times New Roman" w:hAnsi="Times New Roman" w:cs="Times New Roman"/>
          <w:highlight w:val="none"/>
          <w:lang w:val="en-US" w:eastAsia="zh-CN"/>
        </w:rPr>
        <w:t>居民点</w:t>
      </w:r>
      <w:r>
        <w:rPr>
          <w:rFonts w:hint="eastAsia" w:ascii="Times New Roman" w:hAnsi="Times New Roman" w:cs="Times New Roman"/>
          <w:highlight w:val="none"/>
          <w:lang w:val="en-US" w:eastAsia="zh-CN"/>
        </w:rPr>
        <w:t>，</w:t>
      </w:r>
      <w:r>
        <w:rPr>
          <w:rFonts w:hint="default" w:ascii="Times New Roman" w:hAnsi="Times New Roman" w:cs="Times New Roman"/>
          <w:highlight w:val="none"/>
        </w:rPr>
        <w:t>距离厂界</w:t>
      </w:r>
      <w:r>
        <w:rPr>
          <w:rFonts w:hint="eastAsia" w:ascii="Times New Roman" w:hAnsi="Times New Roman" w:cs="Times New Roman"/>
          <w:highlight w:val="none"/>
          <w:lang w:val="en-US" w:eastAsia="zh-CN"/>
        </w:rPr>
        <w:t>西</w:t>
      </w:r>
      <w:r>
        <w:rPr>
          <w:rFonts w:hint="default" w:ascii="Times New Roman" w:hAnsi="Times New Roman" w:cs="Times New Roman"/>
          <w:highlight w:val="none"/>
        </w:rPr>
        <w:t>侧</w:t>
      </w:r>
      <w:r>
        <w:rPr>
          <w:rFonts w:hint="eastAsia" w:ascii="Times New Roman" w:hAnsi="Times New Roman" w:cs="Times New Roman"/>
          <w:highlight w:val="none"/>
          <w:lang w:val="en-US" w:eastAsia="zh-CN"/>
        </w:rPr>
        <w:t>约250</w:t>
      </w:r>
      <w:r>
        <w:rPr>
          <w:rFonts w:hint="default" w:ascii="Times New Roman" w:hAnsi="Times New Roman" w:cs="Times New Roman"/>
          <w:highlight w:val="none"/>
        </w:rPr>
        <w:t>m，</w:t>
      </w:r>
      <w:r>
        <w:rPr>
          <w:rFonts w:hint="default" w:ascii="Times New Roman" w:hAnsi="Times New Roman" w:cs="Times New Roman"/>
          <w:highlight w:val="none"/>
          <w:u w:val="none"/>
        </w:rPr>
        <w:t>由预测结果可知，项目运营后，厂界昼间</w:t>
      </w:r>
      <w:r>
        <w:rPr>
          <w:rFonts w:hint="eastAsia" w:ascii="Times New Roman" w:hAnsi="Times New Roman" w:cs="Times New Roman"/>
          <w:highlight w:val="none"/>
          <w:u w:val="none"/>
          <w:lang w:eastAsia="zh-CN"/>
        </w:rPr>
        <w:t>、</w:t>
      </w:r>
      <w:r>
        <w:rPr>
          <w:rFonts w:hint="eastAsia" w:ascii="Times New Roman" w:hAnsi="Times New Roman" w:cs="Times New Roman"/>
          <w:highlight w:val="none"/>
          <w:u w:val="none"/>
          <w:lang w:val="en-US" w:eastAsia="zh-CN"/>
        </w:rPr>
        <w:t>夜间</w:t>
      </w:r>
      <w:r>
        <w:rPr>
          <w:rFonts w:hint="default" w:ascii="Times New Roman" w:hAnsi="Times New Roman" w:cs="Times New Roman"/>
          <w:highlight w:val="none"/>
          <w:u w:val="none"/>
        </w:rPr>
        <w:t>噪声贡献值均能达到《工业企业厂界环境噪声排放标准》（GB12348-2008）中3类标准要求。</w:t>
      </w:r>
    </w:p>
    <w:p w14:paraId="5038110E">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营运期固体废弃物影响分析</w:t>
      </w:r>
      <w:bookmarkEnd w:id="159"/>
    </w:p>
    <w:p w14:paraId="6086A26B">
      <w:pPr>
        <w:rPr>
          <w:rFonts w:hint="default" w:ascii="Times New Roman" w:hAnsi="Times New Roman" w:cs="Times New Roman"/>
          <w:color w:val="auto"/>
          <w:kern w:val="0"/>
          <w:highlight w:val="none"/>
          <w:u w:val="none" w:color="auto"/>
          <w:lang w:val="zh-CN"/>
        </w:rPr>
      </w:pPr>
      <w:r>
        <w:rPr>
          <w:rFonts w:hint="eastAsia" w:ascii="Times New Roman" w:hAnsi="Times New Roman" w:cs="Times New Roman"/>
          <w:color w:val="auto"/>
          <w:kern w:val="0"/>
          <w:highlight w:val="none"/>
          <w:u w:val="none" w:color="auto"/>
          <w:lang w:val="en-US" w:eastAsia="zh-CN"/>
        </w:rPr>
        <w:t>1、</w:t>
      </w:r>
      <w:r>
        <w:rPr>
          <w:rFonts w:hint="default" w:ascii="Times New Roman" w:hAnsi="Times New Roman" w:cs="Times New Roman"/>
          <w:color w:val="auto"/>
          <w:kern w:val="0"/>
          <w:highlight w:val="none"/>
          <w:u w:val="none" w:color="auto"/>
          <w:lang w:val="zh-CN"/>
        </w:rPr>
        <w:t>固体废物产生、处置及排放情况</w:t>
      </w:r>
    </w:p>
    <w:p w14:paraId="4B814845">
      <w:pPr>
        <w:rPr>
          <w:rFonts w:hint="default" w:ascii="Times New Roman" w:hAnsi="Times New Roman" w:cs="Times New Roman"/>
          <w:color w:val="auto"/>
          <w:kern w:val="0"/>
          <w:highlight w:val="none"/>
          <w:u w:val="none" w:color="auto"/>
          <w:lang w:val="zh-CN"/>
        </w:rPr>
      </w:pPr>
      <w:r>
        <w:rPr>
          <w:rFonts w:hint="default" w:ascii="Times New Roman" w:hAnsi="Times New Roman" w:cs="Times New Roman"/>
          <w:color w:val="auto"/>
          <w:kern w:val="0"/>
          <w:highlight w:val="none"/>
          <w:u w:val="none" w:color="auto"/>
          <w:lang w:val="zh-CN"/>
        </w:rPr>
        <w:t>本项目的固体</w:t>
      </w:r>
      <w:r>
        <w:rPr>
          <w:rFonts w:hint="default" w:ascii="Times New Roman" w:hAnsi="Times New Roman" w:eastAsia="宋体" w:cs="Times New Roman"/>
          <w:highlight w:val="none"/>
          <w:u w:val="none"/>
          <w:lang w:val="zh-CN"/>
        </w:rPr>
        <w:t>废物主要由栅渣、隔油池废油、污泥以及废包装袋和生物填料、废机油及废机油桶、含油抹布、手套、劳保用品等组成。栅渣、隔油池废油、污泥这些物质在一定的温度和湿度下，特别是在</w:t>
      </w:r>
      <w:r>
        <w:rPr>
          <w:rFonts w:hint="default" w:ascii="Times New Roman" w:hAnsi="Times New Roman" w:cs="Times New Roman"/>
          <w:color w:val="auto"/>
          <w:kern w:val="0"/>
          <w:highlight w:val="none"/>
          <w:u w:val="none" w:color="auto"/>
          <w:lang w:val="zh-CN"/>
        </w:rPr>
        <w:t>闷热天气，在微生物的作用下，容易腐烂发臭，其中尤以废油和脱水污泥对周围环境影响最大。</w:t>
      </w:r>
    </w:p>
    <w:p w14:paraId="2508DC60">
      <w:pPr>
        <w:rPr>
          <w:rFonts w:hint="default" w:ascii="Times New Roman" w:hAnsi="Times New Roman" w:cs="Times New Roman"/>
          <w:color w:val="auto"/>
          <w:kern w:val="0"/>
          <w:highlight w:val="none"/>
          <w:u w:val="none" w:color="auto"/>
          <w:lang w:val="zh-CN"/>
        </w:rPr>
      </w:pPr>
      <w:r>
        <w:rPr>
          <w:rFonts w:hint="default" w:ascii="Times New Roman" w:hAnsi="Times New Roman" w:cs="Times New Roman"/>
          <w:color w:val="auto"/>
          <w:kern w:val="0"/>
          <w:highlight w:val="none"/>
          <w:u w:val="none" w:color="auto"/>
          <w:lang w:val="zh-CN"/>
        </w:rPr>
        <w:t>项目固体废物产生、处置及排放情况见下表。</w:t>
      </w:r>
    </w:p>
    <w:p w14:paraId="23562B19">
      <w:pPr>
        <w:pStyle w:val="39"/>
        <w:bidi w:val="0"/>
        <w:rPr>
          <w:rFonts w:hint="default"/>
          <w:lang w:val="zh-CN"/>
        </w:rPr>
      </w:pPr>
      <w:r>
        <w:rPr>
          <w:rFonts w:hint="default"/>
          <w:lang w:val="zh-CN"/>
        </w:rPr>
        <w:t>表</w:t>
      </w:r>
      <w:r>
        <w:rPr>
          <w:rFonts w:hint="eastAsia"/>
          <w:lang w:val="en-US" w:eastAsia="zh-CN"/>
        </w:rPr>
        <w:t>6.2</w:t>
      </w:r>
      <w:r>
        <w:rPr>
          <w:rFonts w:hint="default"/>
          <w:lang w:val="zh-CN"/>
        </w:rPr>
        <w:t>-</w:t>
      </w:r>
      <w:r>
        <w:rPr>
          <w:rFonts w:hint="eastAsia"/>
          <w:lang w:val="en-US" w:eastAsia="zh-CN"/>
        </w:rPr>
        <w:t>33</w:t>
      </w:r>
      <w:r>
        <w:rPr>
          <w:rFonts w:hint="default"/>
          <w:lang w:val="zh-CN"/>
        </w:rPr>
        <w:t xml:space="preserve">    项目固体废物产生及处置情况一览表</w:t>
      </w:r>
    </w:p>
    <w:tbl>
      <w:tblPr>
        <w:tblStyle w:val="51"/>
        <w:tblW w:w="473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413"/>
        <w:gridCol w:w="860"/>
        <w:gridCol w:w="806"/>
        <w:gridCol w:w="688"/>
        <w:gridCol w:w="1021"/>
        <w:gridCol w:w="697"/>
        <w:gridCol w:w="568"/>
        <w:gridCol w:w="511"/>
        <w:gridCol w:w="662"/>
        <w:gridCol w:w="492"/>
        <w:gridCol w:w="1178"/>
      </w:tblGrid>
      <w:tr w14:paraId="6B3A1C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837" w:hRule="atLeast"/>
        </w:trPr>
        <w:tc>
          <w:tcPr>
            <w:tcW w:w="261" w:type="pct"/>
            <w:tcBorders>
              <w:tl2br w:val="nil"/>
              <w:tr2bl w:val="nil"/>
            </w:tcBorders>
            <w:shd w:val="clear" w:color="auto" w:fill="auto"/>
            <w:vAlign w:val="center"/>
          </w:tcPr>
          <w:p w14:paraId="29579EA2">
            <w:pPr>
              <w:pStyle w:val="42"/>
              <w:bidi w:val="0"/>
              <w:jc w:val="center"/>
            </w:pPr>
            <w:r>
              <w:t>序号</w:t>
            </w:r>
          </w:p>
        </w:tc>
        <w:tc>
          <w:tcPr>
            <w:tcW w:w="544" w:type="pct"/>
            <w:tcBorders>
              <w:tl2br w:val="nil"/>
              <w:tr2bl w:val="nil"/>
            </w:tcBorders>
            <w:shd w:val="clear" w:color="auto" w:fill="auto"/>
            <w:vAlign w:val="center"/>
          </w:tcPr>
          <w:p w14:paraId="7631C729">
            <w:pPr>
              <w:pStyle w:val="42"/>
              <w:bidi w:val="0"/>
              <w:jc w:val="center"/>
            </w:pPr>
            <w:r>
              <w:t>产生环节</w:t>
            </w:r>
          </w:p>
        </w:tc>
        <w:tc>
          <w:tcPr>
            <w:tcW w:w="510" w:type="pct"/>
            <w:tcBorders>
              <w:tl2br w:val="nil"/>
              <w:tr2bl w:val="nil"/>
            </w:tcBorders>
            <w:shd w:val="clear" w:color="auto" w:fill="auto"/>
            <w:vAlign w:val="center"/>
          </w:tcPr>
          <w:p w14:paraId="172F8E89">
            <w:pPr>
              <w:pStyle w:val="42"/>
              <w:bidi w:val="0"/>
              <w:jc w:val="center"/>
            </w:pPr>
            <w:r>
              <w:t>固体废物名称</w:t>
            </w:r>
          </w:p>
        </w:tc>
        <w:tc>
          <w:tcPr>
            <w:tcW w:w="435" w:type="pct"/>
            <w:tcBorders>
              <w:tl2br w:val="nil"/>
              <w:tr2bl w:val="nil"/>
            </w:tcBorders>
            <w:shd w:val="clear" w:color="auto" w:fill="auto"/>
            <w:vAlign w:val="center"/>
          </w:tcPr>
          <w:p w14:paraId="119935CB">
            <w:pPr>
              <w:pStyle w:val="42"/>
              <w:bidi w:val="0"/>
              <w:jc w:val="center"/>
            </w:pPr>
            <w:r>
              <w:t>固体废物属性</w:t>
            </w:r>
          </w:p>
        </w:tc>
        <w:tc>
          <w:tcPr>
            <w:tcW w:w="646" w:type="pct"/>
            <w:tcBorders>
              <w:tl2br w:val="nil"/>
              <w:tr2bl w:val="nil"/>
            </w:tcBorders>
            <w:shd w:val="clear" w:color="auto" w:fill="auto"/>
            <w:vAlign w:val="center"/>
          </w:tcPr>
          <w:p w14:paraId="51CE201A">
            <w:pPr>
              <w:pStyle w:val="42"/>
              <w:bidi w:val="0"/>
              <w:jc w:val="center"/>
            </w:pPr>
            <w:r>
              <w:t>危废代码</w:t>
            </w:r>
          </w:p>
        </w:tc>
        <w:tc>
          <w:tcPr>
            <w:tcW w:w="441" w:type="pct"/>
            <w:tcBorders>
              <w:tl2br w:val="nil"/>
              <w:tr2bl w:val="nil"/>
            </w:tcBorders>
            <w:shd w:val="clear" w:color="auto" w:fill="auto"/>
            <w:vAlign w:val="center"/>
          </w:tcPr>
          <w:p w14:paraId="3CBD7FC7">
            <w:pPr>
              <w:pStyle w:val="42"/>
              <w:bidi w:val="0"/>
              <w:jc w:val="center"/>
            </w:pPr>
            <w:r>
              <w:t>主要有毒有害物质</w:t>
            </w:r>
          </w:p>
        </w:tc>
        <w:tc>
          <w:tcPr>
            <w:tcW w:w="359" w:type="pct"/>
            <w:tcBorders>
              <w:tl2br w:val="nil"/>
              <w:tr2bl w:val="nil"/>
            </w:tcBorders>
            <w:shd w:val="clear" w:color="auto" w:fill="auto"/>
            <w:vAlign w:val="center"/>
          </w:tcPr>
          <w:p w14:paraId="462FD0F1">
            <w:pPr>
              <w:pStyle w:val="42"/>
              <w:bidi w:val="0"/>
              <w:jc w:val="center"/>
            </w:pPr>
            <w:r>
              <w:t>物理性状</w:t>
            </w:r>
          </w:p>
        </w:tc>
        <w:tc>
          <w:tcPr>
            <w:tcW w:w="323" w:type="pct"/>
            <w:tcBorders>
              <w:tl2br w:val="nil"/>
              <w:tr2bl w:val="nil"/>
            </w:tcBorders>
            <w:shd w:val="clear" w:color="auto" w:fill="auto"/>
            <w:vAlign w:val="center"/>
          </w:tcPr>
          <w:p w14:paraId="5AACF4B5">
            <w:pPr>
              <w:pStyle w:val="42"/>
              <w:bidi w:val="0"/>
              <w:jc w:val="center"/>
            </w:pPr>
            <w:r>
              <w:t>环境</w:t>
            </w:r>
          </w:p>
          <w:p w14:paraId="349B1D29">
            <w:pPr>
              <w:pStyle w:val="42"/>
              <w:bidi w:val="0"/>
              <w:jc w:val="center"/>
            </w:pPr>
            <w:r>
              <w:t>危险</w:t>
            </w:r>
          </w:p>
          <w:p w14:paraId="77DAFE5D">
            <w:pPr>
              <w:pStyle w:val="42"/>
              <w:bidi w:val="0"/>
              <w:jc w:val="center"/>
            </w:pPr>
            <w:r>
              <w:t>性</w:t>
            </w:r>
          </w:p>
        </w:tc>
        <w:tc>
          <w:tcPr>
            <w:tcW w:w="419" w:type="pct"/>
            <w:tcBorders>
              <w:tl2br w:val="nil"/>
              <w:tr2bl w:val="nil"/>
            </w:tcBorders>
            <w:shd w:val="clear" w:color="auto" w:fill="auto"/>
            <w:vAlign w:val="center"/>
          </w:tcPr>
          <w:p w14:paraId="2DEF5F75">
            <w:pPr>
              <w:pStyle w:val="42"/>
              <w:bidi w:val="0"/>
              <w:jc w:val="center"/>
            </w:pPr>
            <w:r>
              <w:t>产生量（t/a）</w:t>
            </w:r>
          </w:p>
        </w:tc>
        <w:tc>
          <w:tcPr>
            <w:tcW w:w="311" w:type="pct"/>
            <w:tcBorders>
              <w:tl2br w:val="nil"/>
              <w:tr2bl w:val="nil"/>
            </w:tcBorders>
            <w:shd w:val="clear" w:color="auto" w:fill="auto"/>
            <w:vAlign w:val="center"/>
          </w:tcPr>
          <w:p w14:paraId="6B2333E9">
            <w:pPr>
              <w:pStyle w:val="42"/>
              <w:bidi w:val="0"/>
              <w:jc w:val="center"/>
            </w:pPr>
            <w:r>
              <w:t>产生周期</w:t>
            </w:r>
          </w:p>
        </w:tc>
        <w:tc>
          <w:tcPr>
            <w:tcW w:w="745" w:type="pct"/>
            <w:tcBorders>
              <w:tl2br w:val="nil"/>
              <w:tr2bl w:val="nil"/>
            </w:tcBorders>
            <w:shd w:val="clear" w:color="auto" w:fill="auto"/>
            <w:vAlign w:val="center"/>
          </w:tcPr>
          <w:p w14:paraId="498BDADD">
            <w:pPr>
              <w:pStyle w:val="42"/>
              <w:bidi w:val="0"/>
              <w:jc w:val="center"/>
            </w:pPr>
            <w:r>
              <w:t>拟处置/利用方式</w:t>
            </w:r>
          </w:p>
        </w:tc>
      </w:tr>
      <w:tr w14:paraId="478809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4B785230">
            <w:pPr>
              <w:pStyle w:val="42"/>
              <w:bidi w:val="0"/>
              <w:jc w:val="center"/>
            </w:pPr>
            <w:r>
              <w:t>1</w:t>
            </w:r>
          </w:p>
        </w:tc>
        <w:tc>
          <w:tcPr>
            <w:tcW w:w="544" w:type="pct"/>
            <w:tcBorders>
              <w:tl2br w:val="nil"/>
              <w:tr2bl w:val="nil"/>
            </w:tcBorders>
            <w:shd w:val="clear" w:color="auto" w:fill="auto"/>
            <w:vAlign w:val="center"/>
          </w:tcPr>
          <w:p w14:paraId="75529D75">
            <w:pPr>
              <w:pStyle w:val="42"/>
              <w:bidi w:val="0"/>
              <w:jc w:val="center"/>
            </w:pPr>
            <w:r>
              <w:t>臭气处理</w:t>
            </w:r>
          </w:p>
        </w:tc>
        <w:tc>
          <w:tcPr>
            <w:tcW w:w="510" w:type="pct"/>
            <w:tcBorders>
              <w:tl2br w:val="nil"/>
              <w:tr2bl w:val="nil"/>
            </w:tcBorders>
            <w:shd w:val="clear" w:color="auto" w:fill="auto"/>
            <w:vAlign w:val="center"/>
          </w:tcPr>
          <w:p w14:paraId="22F290A1">
            <w:pPr>
              <w:pStyle w:val="42"/>
              <w:bidi w:val="0"/>
              <w:jc w:val="center"/>
            </w:pPr>
            <w:r>
              <w:rPr>
                <w:rFonts w:hint="eastAsia" w:cs="Times New Roman"/>
                <w:color w:val="auto"/>
                <w:highlight w:val="none"/>
                <w:u w:val="none" w:color="auto"/>
                <w:lang w:val="en-US" w:eastAsia="zh-CN"/>
              </w:rPr>
              <w:t>废</w:t>
            </w:r>
            <w:r>
              <w:rPr>
                <w:rFonts w:hint="default" w:ascii="Times New Roman" w:hAnsi="Times New Roman" w:cs="Times New Roman"/>
                <w:color w:val="auto"/>
                <w:highlight w:val="none"/>
                <w:u w:val="none" w:color="auto"/>
              </w:rPr>
              <w:t>生物填料</w:t>
            </w:r>
          </w:p>
        </w:tc>
        <w:tc>
          <w:tcPr>
            <w:tcW w:w="435" w:type="pct"/>
            <w:tcBorders>
              <w:tl2br w:val="nil"/>
              <w:tr2bl w:val="nil"/>
            </w:tcBorders>
            <w:shd w:val="clear" w:color="auto" w:fill="auto"/>
            <w:vAlign w:val="center"/>
          </w:tcPr>
          <w:p w14:paraId="70134660">
            <w:pPr>
              <w:pStyle w:val="42"/>
              <w:bidi w:val="0"/>
              <w:jc w:val="center"/>
            </w:pPr>
            <w:r>
              <w:t>一般固废</w:t>
            </w:r>
          </w:p>
        </w:tc>
        <w:tc>
          <w:tcPr>
            <w:tcW w:w="646" w:type="pct"/>
            <w:tcBorders>
              <w:tl2br w:val="nil"/>
              <w:tr2bl w:val="nil"/>
            </w:tcBorders>
            <w:shd w:val="clear" w:color="auto" w:fill="auto"/>
            <w:vAlign w:val="center"/>
          </w:tcPr>
          <w:p w14:paraId="686F8F8E">
            <w:pPr>
              <w:pStyle w:val="42"/>
              <w:bidi w:val="0"/>
              <w:jc w:val="center"/>
              <w:rPr>
                <w:rFonts w:hint="eastAsia" w:eastAsia="宋体"/>
                <w:lang w:eastAsia="zh-CN"/>
              </w:rPr>
            </w:pPr>
            <w:r>
              <w:rPr>
                <w:rFonts w:hint="eastAsia"/>
                <w:lang w:val="en-US" w:eastAsia="zh-CN"/>
              </w:rPr>
              <w:t>/</w:t>
            </w:r>
          </w:p>
        </w:tc>
        <w:tc>
          <w:tcPr>
            <w:tcW w:w="441" w:type="pct"/>
            <w:tcBorders>
              <w:tl2br w:val="nil"/>
              <w:tr2bl w:val="nil"/>
            </w:tcBorders>
            <w:shd w:val="clear" w:color="auto" w:fill="auto"/>
            <w:vAlign w:val="center"/>
          </w:tcPr>
          <w:p w14:paraId="74219D9F">
            <w:pPr>
              <w:pStyle w:val="42"/>
              <w:bidi w:val="0"/>
              <w:jc w:val="center"/>
              <w:rPr>
                <w:rFonts w:hint="eastAsia" w:eastAsia="宋体"/>
                <w:lang w:val="en-US" w:eastAsia="zh-CN"/>
              </w:rPr>
            </w:pPr>
            <w:r>
              <w:rPr>
                <w:rFonts w:hint="eastAsia"/>
                <w:lang w:val="en-US" w:eastAsia="zh-CN"/>
              </w:rPr>
              <w:t>/</w:t>
            </w:r>
          </w:p>
        </w:tc>
        <w:tc>
          <w:tcPr>
            <w:tcW w:w="359" w:type="pct"/>
            <w:tcBorders>
              <w:tl2br w:val="nil"/>
              <w:tr2bl w:val="nil"/>
            </w:tcBorders>
            <w:shd w:val="clear" w:color="auto" w:fill="auto"/>
            <w:vAlign w:val="center"/>
          </w:tcPr>
          <w:p w14:paraId="3DF671B1">
            <w:pPr>
              <w:pStyle w:val="42"/>
              <w:bidi w:val="0"/>
              <w:jc w:val="center"/>
              <w:rPr>
                <w:rFonts w:hint="default" w:eastAsia="宋体"/>
                <w:lang w:val="en-US" w:eastAsia="zh-CN"/>
              </w:rPr>
            </w:pPr>
            <w:r>
              <w:rPr>
                <w:rFonts w:hint="eastAsia"/>
                <w:lang w:val="en-US" w:eastAsia="zh-CN"/>
              </w:rPr>
              <w:t>半液态</w:t>
            </w:r>
          </w:p>
        </w:tc>
        <w:tc>
          <w:tcPr>
            <w:tcW w:w="323" w:type="pct"/>
            <w:tcBorders>
              <w:tl2br w:val="nil"/>
              <w:tr2bl w:val="nil"/>
            </w:tcBorders>
            <w:shd w:val="clear" w:color="auto" w:fill="auto"/>
            <w:vAlign w:val="center"/>
          </w:tcPr>
          <w:p w14:paraId="518DAB5A">
            <w:pPr>
              <w:pStyle w:val="42"/>
              <w:bidi w:val="0"/>
              <w:jc w:val="center"/>
              <w:rPr>
                <w:rFonts w:hint="eastAsia" w:eastAsia="宋体"/>
                <w:lang w:val="en-US" w:eastAsia="zh-CN"/>
              </w:rPr>
            </w:pPr>
            <w:r>
              <w:rPr>
                <w:rFonts w:hint="eastAsia"/>
                <w:lang w:val="en-US" w:eastAsia="zh-CN"/>
              </w:rPr>
              <w:t>/</w:t>
            </w:r>
          </w:p>
        </w:tc>
        <w:tc>
          <w:tcPr>
            <w:tcW w:w="419" w:type="pct"/>
            <w:tcBorders>
              <w:tl2br w:val="nil"/>
              <w:tr2bl w:val="nil"/>
            </w:tcBorders>
            <w:shd w:val="clear" w:color="auto" w:fill="auto"/>
            <w:vAlign w:val="center"/>
          </w:tcPr>
          <w:p w14:paraId="3DB602B6">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lang w:val="en-US" w:eastAsia="zh-CN" w:bidi="ar-SA"/>
              </w:rPr>
            </w:pPr>
            <w:r>
              <w:rPr>
                <w:rFonts w:hint="eastAsia"/>
                <w:lang w:val="en-US" w:eastAsia="zh-CN"/>
              </w:rPr>
              <w:t>1.5</w:t>
            </w:r>
          </w:p>
        </w:tc>
        <w:tc>
          <w:tcPr>
            <w:tcW w:w="311" w:type="pct"/>
            <w:tcBorders>
              <w:tl2br w:val="nil"/>
              <w:tr2bl w:val="nil"/>
            </w:tcBorders>
            <w:shd w:val="clear" w:color="auto" w:fill="auto"/>
            <w:vAlign w:val="center"/>
          </w:tcPr>
          <w:p w14:paraId="041C4D78">
            <w:pPr>
              <w:pStyle w:val="42"/>
              <w:bidi w:val="0"/>
              <w:jc w:val="center"/>
              <w:rPr>
                <w:rFonts w:hint="default" w:eastAsia="宋体"/>
                <w:lang w:val="en-US" w:eastAsia="zh-CN"/>
              </w:rPr>
            </w:pPr>
            <w:r>
              <w:rPr>
                <w:rFonts w:hint="eastAsia"/>
                <w:lang w:val="en-US" w:eastAsia="zh-CN"/>
              </w:rPr>
              <w:t>半年一次</w:t>
            </w:r>
          </w:p>
        </w:tc>
        <w:tc>
          <w:tcPr>
            <w:tcW w:w="745" w:type="pct"/>
            <w:tcBorders>
              <w:tl2br w:val="nil"/>
              <w:tr2bl w:val="nil"/>
            </w:tcBorders>
            <w:shd w:val="clear" w:color="auto" w:fill="auto"/>
            <w:vAlign w:val="center"/>
          </w:tcPr>
          <w:p w14:paraId="4B0DEAB2">
            <w:pPr>
              <w:pStyle w:val="42"/>
              <w:bidi w:val="0"/>
              <w:jc w:val="center"/>
              <w:rPr>
                <w:rFonts w:hint="default" w:eastAsia="宋体"/>
                <w:lang w:val="en-US" w:eastAsia="zh-CN"/>
              </w:rPr>
            </w:pPr>
            <w:r>
              <w:rPr>
                <w:rFonts w:hint="eastAsia"/>
                <w:lang w:val="en-US" w:eastAsia="zh-CN"/>
              </w:rPr>
              <w:t>厂家回收</w:t>
            </w:r>
          </w:p>
        </w:tc>
      </w:tr>
      <w:tr w14:paraId="0C4B2C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5F45546C">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zh-CN" w:bidi="ar-SA"/>
              </w:rPr>
            </w:pPr>
            <w:r>
              <w:t>2</w:t>
            </w:r>
          </w:p>
        </w:tc>
        <w:tc>
          <w:tcPr>
            <w:tcW w:w="544" w:type="pct"/>
            <w:tcBorders>
              <w:tl2br w:val="nil"/>
              <w:tr2bl w:val="nil"/>
            </w:tcBorders>
            <w:shd w:val="clear" w:color="auto" w:fill="auto"/>
            <w:vAlign w:val="center"/>
          </w:tcPr>
          <w:p w14:paraId="292E00FC">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设备维修</w:t>
            </w:r>
          </w:p>
        </w:tc>
        <w:tc>
          <w:tcPr>
            <w:tcW w:w="510" w:type="pct"/>
            <w:tcBorders>
              <w:tl2br w:val="nil"/>
              <w:tr2bl w:val="nil"/>
            </w:tcBorders>
            <w:shd w:val="clear" w:color="auto" w:fill="auto"/>
            <w:vAlign w:val="center"/>
          </w:tcPr>
          <w:p w14:paraId="7DBBD44B">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废机油及废机油桶</w:t>
            </w:r>
          </w:p>
        </w:tc>
        <w:tc>
          <w:tcPr>
            <w:tcW w:w="435" w:type="pct"/>
            <w:tcBorders>
              <w:tl2br w:val="nil"/>
              <w:tr2bl w:val="nil"/>
            </w:tcBorders>
            <w:shd w:val="clear" w:color="auto" w:fill="auto"/>
            <w:vAlign w:val="center"/>
          </w:tcPr>
          <w:p w14:paraId="32694CBC">
            <w:pPr>
              <w:pStyle w:val="43"/>
              <w:keepNext w:val="0"/>
              <w:keepLines w:val="0"/>
              <w:pageBreakBefore w:val="0"/>
              <w:widowControl/>
              <w:kinsoku/>
              <w:wordWrap/>
              <w:overflowPunct/>
              <w:topLinePunct w:val="0"/>
              <w:autoSpaceDE/>
              <w:autoSpaceDN/>
              <w:bidi w:val="0"/>
              <w:adjustRightInd w:val="0"/>
              <w:snapToGrid w:val="0"/>
              <w:spacing w:before="0" w:after="0"/>
              <w:textAlignment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HW08 </w:t>
            </w:r>
          </w:p>
          <w:p w14:paraId="14A667E8">
            <w:pPr>
              <w:pStyle w:val="43"/>
              <w:keepNext w:val="0"/>
              <w:keepLines w:val="0"/>
              <w:pageBreakBefore w:val="0"/>
              <w:widowControl/>
              <w:kinsoku/>
              <w:wordWrap/>
              <w:overflowPunct/>
              <w:topLinePunct w:val="0"/>
              <w:autoSpaceDE/>
              <w:autoSpaceDN/>
              <w:bidi w:val="0"/>
              <w:adjustRightInd w:val="0"/>
              <w:snapToGrid w:val="0"/>
              <w:spacing w:before="0" w:after="0"/>
              <w:ind w:right="0" w:rightChars="0" w:firstLine="0" w:firstLineChars="0"/>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废矿物油与含矿物油废物</w:t>
            </w:r>
          </w:p>
        </w:tc>
        <w:tc>
          <w:tcPr>
            <w:tcW w:w="646" w:type="pct"/>
            <w:tcBorders>
              <w:tl2br w:val="nil"/>
              <w:tr2bl w:val="nil"/>
            </w:tcBorders>
            <w:shd w:val="clear" w:color="auto" w:fill="auto"/>
            <w:vAlign w:val="center"/>
          </w:tcPr>
          <w:p w14:paraId="67EF9A2F">
            <w:pPr>
              <w:pStyle w:val="43"/>
              <w:bidi w:val="0"/>
              <w:ind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highlight w:val="none"/>
                <w:u w:val="none" w:color="auto"/>
                <w:lang w:eastAsia="zh-CN"/>
              </w:rPr>
              <w:t>900-249-08</w:t>
            </w:r>
          </w:p>
        </w:tc>
        <w:tc>
          <w:tcPr>
            <w:tcW w:w="441" w:type="pct"/>
            <w:tcBorders>
              <w:tl2br w:val="nil"/>
              <w:tr2bl w:val="nil"/>
            </w:tcBorders>
            <w:shd w:val="clear" w:color="auto" w:fill="auto"/>
            <w:vAlign w:val="center"/>
          </w:tcPr>
          <w:p w14:paraId="7354125C">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油类</w:t>
            </w:r>
          </w:p>
        </w:tc>
        <w:tc>
          <w:tcPr>
            <w:tcW w:w="359" w:type="pct"/>
            <w:tcBorders>
              <w:tl2br w:val="nil"/>
              <w:tr2bl w:val="nil"/>
            </w:tcBorders>
            <w:shd w:val="clear" w:color="auto" w:fill="auto"/>
            <w:vAlign w:val="center"/>
          </w:tcPr>
          <w:p w14:paraId="55E96A7E">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液</w:t>
            </w:r>
          </w:p>
        </w:tc>
        <w:tc>
          <w:tcPr>
            <w:tcW w:w="323" w:type="pct"/>
            <w:tcBorders>
              <w:tl2br w:val="nil"/>
              <w:tr2bl w:val="nil"/>
            </w:tcBorders>
            <w:shd w:val="clear" w:color="auto" w:fill="auto"/>
            <w:vAlign w:val="center"/>
          </w:tcPr>
          <w:p w14:paraId="65ED0237">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p>
        </w:tc>
        <w:tc>
          <w:tcPr>
            <w:tcW w:w="419" w:type="pct"/>
            <w:tcBorders>
              <w:tl2br w:val="nil"/>
              <w:tr2bl w:val="nil"/>
            </w:tcBorders>
            <w:shd w:val="clear" w:color="auto" w:fill="auto"/>
            <w:vAlign w:val="center"/>
          </w:tcPr>
          <w:p w14:paraId="2A8577A0">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u w:val="none" w:color="auto"/>
                <w:lang w:val="en-US" w:eastAsia="zh-CN" w:bidi="ar-SA"/>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1</w:t>
            </w:r>
          </w:p>
        </w:tc>
        <w:tc>
          <w:tcPr>
            <w:tcW w:w="311" w:type="pct"/>
            <w:tcBorders>
              <w:tl2br w:val="nil"/>
              <w:tr2bl w:val="nil"/>
            </w:tcBorders>
            <w:shd w:val="clear" w:color="auto" w:fill="auto"/>
            <w:vAlign w:val="center"/>
          </w:tcPr>
          <w:p w14:paraId="1978BF80">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T/In</w:t>
            </w:r>
          </w:p>
        </w:tc>
        <w:tc>
          <w:tcPr>
            <w:tcW w:w="745" w:type="pct"/>
            <w:tcBorders>
              <w:tl2br w:val="nil"/>
              <w:tr2bl w:val="nil"/>
            </w:tcBorders>
            <w:shd w:val="clear" w:color="auto" w:fill="auto"/>
            <w:vAlign w:val="center"/>
          </w:tcPr>
          <w:p w14:paraId="083836C9">
            <w:pPr>
              <w:pStyle w:val="42"/>
              <w:bidi w:val="0"/>
              <w:jc w:val="center"/>
              <w:rPr>
                <w:rFonts w:hint="default" w:eastAsia="宋体"/>
                <w:u w:val="none" w:color="auto"/>
                <w:lang w:val="en-US" w:eastAsia="zh-CN"/>
              </w:rPr>
            </w:pPr>
            <w:r>
              <w:rPr>
                <w:rFonts w:hint="eastAsia"/>
                <w:u w:val="none" w:color="auto"/>
                <w:lang w:val="en-US" w:eastAsia="zh-CN"/>
              </w:rPr>
              <w:t>资质单位处置</w:t>
            </w:r>
          </w:p>
        </w:tc>
      </w:tr>
      <w:tr w14:paraId="2F481A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61" w:type="pct"/>
            <w:tcBorders>
              <w:tl2br w:val="nil"/>
              <w:tr2bl w:val="nil"/>
            </w:tcBorders>
            <w:shd w:val="clear" w:color="auto" w:fill="auto"/>
            <w:vAlign w:val="center"/>
          </w:tcPr>
          <w:p w14:paraId="38E2E251">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lang w:val="en-US" w:eastAsia="en-US" w:bidi="ar-SA"/>
              </w:rPr>
            </w:pPr>
            <w:r>
              <w:t>3</w:t>
            </w:r>
          </w:p>
        </w:tc>
        <w:tc>
          <w:tcPr>
            <w:tcW w:w="544" w:type="pct"/>
            <w:tcBorders>
              <w:tl2br w:val="nil"/>
              <w:tr2bl w:val="nil"/>
            </w:tcBorders>
            <w:shd w:val="clear" w:color="auto" w:fill="auto"/>
            <w:vAlign w:val="center"/>
          </w:tcPr>
          <w:p w14:paraId="0C10CEDA">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设备维修</w:t>
            </w:r>
          </w:p>
        </w:tc>
        <w:tc>
          <w:tcPr>
            <w:tcW w:w="510" w:type="pct"/>
            <w:tcBorders>
              <w:tl2br w:val="nil"/>
              <w:tr2bl w:val="nil"/>
            </w:tcBorders>
            <w:shd w:val="clear" w:color="auto" w:fill="auto"/>
            <w:vAlign w:val="center"/>
          </w:tcPr>
          <w:p w14:paraId="392BC5FE">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含油抹布、手套、劳保用品</w:t>
            </w:r>
          </w:p>
        </w:tc>
        <w:tc>
          <w:tcPr>
            <w:tcW w:w="435" w:type="pct"/>
            <w:tcBorders>
              <w:tl2br w:val="nil"/>
              <w:tr2bl w:val="nil"/>
            </w:tcBorders>
            <w:shd w:val="clear" w:color="auto" w:fill="auto"/>
            <w:vAlign w:val="center"/>
          </w:tcPr>
          <w:p w14:paraId="386688D6">
            <w:pPr>
              <w:pStyle w:val="43"/>
              <w:keepNext w:val="0"/>
              <w:keepLines w:val="0"/>
              <w:pageBreakBefore w:val="0"/>
              <w:widowControl/>
              <w:kinsoku/>
              <w:wordWrap/>
              <w:overflowPunct/>
              <w:topLinePunct w:val="0"/>
              <w:autoSpaceDE/>
              <w:autoSpaceDN/>
              <w:bidi w:val="0"/>
              <w:adjustRightInd w:val="0"/>
              <w:snapToGrid w:val="0"/>
              <w:spacing w:before="0" w:after="0"/>
              <w:ind w:right="0" w:rightChars="0" w:firstLine="0" w:firstLineChars="0"/>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HW49其他废物</w:t>
            </w:r>
          </w:p>
        </w:tc>
        <w:tc>
          <w:tcPr>
            <w:tcW w:w="646" w:type="pct"/>
            <w:tcBorders>
              <w:tl2br w:val="nil"/>
              <w:tr2bl w:val="nil"/>
            </w:tcBorders>
            <w:shd w:val="clear" w:color="auto" w:fill="auto"/>
            <w:vAlign w:val="center"/>
          </w:tcPr>
          <w:p w14:paraId="200D3D0F">
            <w:pPr>
              <w:pStyle w:val="43"/>
              <w:bidi w:val="0"/>
              <w:ind w:right="0" w:rightChars="0" w:firstLine="0" w:firstLineChars="0"/>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highlight w:val="none"/>
                <w:u w:val="none" w:color="auto"/>
                <w:lang w:eastAsia="zh-CN"/>
              </w:rPr>
              <w:t>900-041-49</w:t>
            </w:r>
          </w:p>
        </w:tc>
        <w:tc>
          <w:tcPr>
            <w:tcW w:w="441" w:type="pct"/>
            <w:tcBorders>
              <w:tl2br w:val="nil"/>
              <w:tr2bl w:val="nil"/>
            </w:tcBorders>
            <w:shd w:val="clear" w:color="auto" w:fill="auto"/>
            <w:vAlign w:val="center"/>
          </w:tcPr>
          <w:p w14:paraId="29F59ED1">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油类</w:t>
            </w:r>
          </w:p>
        </w:tc>
        <w:tc>
          <w:tcPr>
            <w:tcW w:w="359" w:type="pct"/>
            <w:tcBorders>
              <w:tl2br w:val="nil"/>
              <w:tr2bl w:val="nil"/>
            </w:tcBorders>
            <w:shd w:val="clear" w:color="auto" w:fill="auto"/>
            <w:vAlign w:val="center"/>
          </w:tcPr>
          <w:p w14:paraId="05936AFC">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固</w:t>
            </w:r>
          </w:p>
        </w:tc>
        <w:tc>
          <w:tcPr>
            <w:tcW w:w="323" w:type="pct"/>
            <w:tcBorders>
              <w:tl2br w:val="nil"/>
              <w:tr2bl w:val="nil"/>
            </w:tcBorders>
            <w:shd w:val="clear" w:color="auto" w:fill="auto"/>
            <w:vAlign w:val="center"/>
          </w:tcPr>
          <w:p w14:paraId="751E24DB">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p>
        </w:tc>
        <w:tc>
          <w:tcPr>
            <w:tcW w:w="419" w:type="pct"/>
            <w:tcBorders>
              <w:tl2br w:val="nil"/>
              <w:tr2bl w:val="nil"/>
            </w:tcBorders>
            <w:shd w:val="clear" w:color="auto" w:fill="auto"/>
            <w:vAlign w:val="center"/>
          </w:tcPr>
          <w:p w14:paraId="5BD97E6F">
            <w:pPr>
              <w:pStyle w:val="42"/>
              <w:bidi w:val="0"/>
              <w:ind w:left="0" w:leftChars="0" w:right="0" w:rightChars="0" w:firstLine="0" w:firstLineChars="0"/>
              <w:jc w:val="center"/>
              <w:rPr>
                <w:rFonts w:hint="default" w:ascii="Times New Roman" w:hAnsi="Times New Roman" w:eastAsia="宋体" w:cs="Times New Roman"/>
                <w:snapToGrid w:val="0"/>
                <w:color w:val="000000"/>
                <w:kern w:val="2"/>
                <w:sz w:val="21"/>
                <w:szCs w:val="21"/>
                <w:u w:val="none" w:color="auto"/>
                <w:lang w:val="en-US" w:eastAsia="zh-CN" w:bidi="ar-SA"/>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01</w:t>
            </w:r>
          </w:p>
        </w:tc>
        <w:tc>
          <w:tcPr>
            <w:tcW w:w="311" w:type="pct"/>
            <w:tcBorders>
              <w:tl2br w:val="nil"/>
              <w:tr2bl w:val="nil"/>
            </w:tcBorders>
            <w:shd w:val="clear" w:color="auto" w:fill="auto"/>
            <w:vAlign w:val="center"/>
          </w:tcPr>
          <w:p w14:paraId="6DCFF4EC">
            <w:pPr>
              <w:pStyle w:val="43"/>
              <w:bidi w:val="0"/>
              <w:ind w:right="0" w:rightChars="0" w:firstLine="0" w:firstLineChars="0"/>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T/In</w:t>
            </w:r>
          </w:p>
        </w:tc>
        <w:tc>
          <w:tcPr>
            <w:tcW w:w="745" w:type="pct"/>
            <w:tcBorders>
              <w:tl2br w:val="nil"/>
              <w:tr2bl w:val="nil"/>
            </w:tcBorders>
            <w:shd w:val="clear" w:color="auto" w:fill="auto"/>
            <w:vAlign w:val="center"/>
          </w:tcPr>
          <w:p w14:paraId="7D7E56AC">
            <w:pPr>
              <w:pStyle w:val="42"/>
              <w:bidi w:val="0"/>
              <w:jc w:val="center"/>
              <w:rPr>
                <w:u w:val="none" w:color="auto"/>
              </w:rPr>
            </w:pPr>
            <w:r>
              <w:rPr>
                <w:rFonts w:hint="eastAsia"/>
                <w:u w:val="none" w:color="auto"/>
                <w:lang w:val="en-US" w:eastAsia="zh-CN"/>
              </w:rPr>
              <w:t>资质单位处置</w:t>
            </w:r>
          </w:p>
        </w:tc>
      </w:tr>
      <w:tr w14:paraId="594890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61" w:type="pct"/>
            <w:tcBorders>
              <w:tl2br w:val="nil"/>
              <w:tr2bl w:val="nil"/>
            </w:tcBorders>
            <w:shd w:val="clear" w:color="auto" w:fill="auto"/>
            <w:vAlign w:val="center"/>
          </w:tcPr>
          <w:p w14:paraId="5BD75B74">
            <w:pPr>
              <w:pStyle w:val="42"/>
              <w:bidi w:val="0"/>
              <w:ind w:left="0" w:leftChars="0" w:right="0" w:rightChars="0" w:firstLine="0" w:firstLineChars="0"/>
              <w:jc w:val="center"/>
              <w:rPr>
                <w:rFonts w:ascii="Times New Roman" w:hAnsi="Times New Roman" w:eastAsia="宋体" w:cs="Times New Roman"/>
                <w:snapToGrid w:val="0"/>
                <w:color w:val="000000"/>
                <w:kern w:val="2"/>
                <w:sz w:val="21"/>
                <w:szCs w:val="21"/>
                <w:lang w:val="en-US" w:eastAsia="en-US" w:bidi="ar-SA"/>
              </w:rPr>
            </w:pPr>
            <w:r>
              <w:t>4</w:t>
            </w:r>
          </w:p>
        </w:tc>
        <w:tc>
          <w:tcPr>
            <w:tcW w:w="544" w:type="pct"/>
            <w:tcBorders>
              <w:tl2br w:val="nil"/>
              <w:tr2bl w:val="nil"/>
            </w:tcBorders>
            <w:shd w:val="clear" w:color="auto" w:fill="auto"/>
            <w:vAlign w:val="center"/>
          </w:tcPr>
          <w:p w14:paraId="2009E80E">
            <w:pPr>
              <w:pStyle w:val="42"/>
              <w:bidi w:val="0"/>
              <w:jc w:val="center"/>
            </w:pPr>
            <w:r>
              <w:t>污水处理</w:t>
            </w:r>
          </w:p>
        </w:tc>
        <w:tc>
          <w:tcPr>
            <w:tcW w:w="510" w:type="pct"/>
            <w:tcBorders>
              <w:tl2br w:val="nil"/>
              <w:tr2bl w:val="nil"/>
            </w:tcBorders>
            <w:shd w:val="clear" w:color="auto" w:fill="auto"/>
            <w:vAlign w:val="center"/>
          </w:tcPr>
          <w:p w14:paraId="2F7354E5">
            <w:pPr>
              <w:pStyle w:val="42"/>
              <w:bidi w:val="0"/>
              <w:jc w:val="center"/>
            </w:pPr>
            <w:r>
              <w:t>栅渣</w:t>
            </w:r>
          </w:p>
        </w:tc>
        <w:tc>
          <w:tcPr>
            <w:tcW w:w="435" w:type="pct"/>
            <w:tcBorders>
              <w:tl2br w:val="nil"/>
              <w:tr2bl w:val="nil"/>
            </w:tcBorders>
            <w:shd w:val="clear" w:color="auto" w:fill="auto"/>
            <w:vAlign w:val="center"/>
          </w:tcPr>
          <w:p w14:paraId="6619E56B">
            <w:pPr>
              <w:pStyle w:val="42"/>
              <w:bidi w:val="0"/>
              <w:jc w:val="center"/>
            </w:pPr>
            <w:r>
              <w:t>一般固废</w:t>
            </w:r>
          </w:p>
        </w:tc>
        <w:tc>
          <w:tcPr>
            <w:tcW w:w="646" w:type="pct"/>
            <w:tcBorders>
              <w:tl2br w:val="nil"/>
              <w:tr2bl w:val="nil"/>
            </w:tcBorders>
            <w:shd w:val="clear" w:color="auto" w:fill="auto"/>
            <w:vAlign w:val="center"/>
          </w:tcPr>
          <w:p w14:paraId="1AF8D842">
            <w:pPr>
              <w:pStyle w:val="42"/>
              <w:bidi w:val="0"/>
              <w:jc w:val="center"/>
            </w:pPr>
            <w:r>
              <w:t>/</w:t>
            </w:r>
          </w:p>
        </w:tc>
        <w:tc>
          <w:tcPr>
            <w:tcW w:w="441" w:type="pct"/>
            <w:tcBorders>
              <w:tl2br w:val="nil"/>
              <w:tr2bl w:val="nil"/>
            </w:tcBorders>
            <w:shd w:val="clear" w:color="auto" w:fill="auto"/>
            <w:vAlign w:val="center"/>
          </w:tcPr>
          <w:p w14:paraId="71C4F509">
            <w:pPr>
              <w:pStyle w:val="42"/>
              <w:bidi w:val="0"/>
              <w:jc w:val="center"/>
            </w:pPr>
            <w:r>
              <w:t>大粒径杂质</w:t>
            </w:r>
          </w:p>
        </w:tc>
        <w:tc>
          <w:tcPr>
            <w:tcW w:w="359" w:type="pct"/>
            <w:tcBorders>
              <w:tl2br w:val="nil"/>
              <w:tr2bl w:val="nil"/>
            </w:tcBorders>
            <w:shd w:val="clear" w:color="auto" w:fill="auto"/>
            <w:vAlign w:val="center"/>
          </w:tcPr>
          <w:p w14:paraId="23DC62D8">
            <w:pPr>
              <w:pStyle w:val="42"/>
              <w:bidi w:val="0"/>
              <w:jc w:val="center"/>
            </w:pPr>
            <w:r>
              <w:t>固态</w:t>
            </w:r>
          </w:p>
        </w:tc>
        <w:tc>
          <w:tcPr>
            <w:tcW w:w="323" w:type="pct"/>
            <w:tcBorders>
              <w:tl2br w:val="nil"/>
              <w:tr2bl w:val="nil"/>
            </w:tcBorders>
            <w:shd w:val="clear" w:color="auto" w:fill="auto"/>
            <w:vAlign w:val="center"/>
          </w:tcPr>
          <w:p w14:paraId="26140748">
            <w:pPr>
              <w:pStyle w:val="42"/>
              <w:bidi w:val="0"/>
              <w:jc w:val="center"/>
            </w:pPr>
            <w:r>
              <w:t>/</w:t>
            </w:r>
          </w:p>
        </w:tc>
        <w:tc>
          <w:tcPr>
            <w:tcW w:w="419" w:type="pct"/>
            <w:tcBorders>
              <w:tl2br w:val="nil"/>
              <w:tr2bl w:val="nil"/>
            </w:tcBorders>
            <w:shd w:val="clear" w:color="auto" w:fill="auto"/>
            <w:vAlign w:val="center"/>
          </w:tcPr>
          <w:p w14:paraId="1A6B60C7">
            <w:pPr>
              <w:pStyle w:val="42"/>
              <w:bidi w:val="0"/>
              <w:jc w:val="center"/>
            </w:pPr>
            <w:r>
              <w:t>4.38</w:t>
            </w:r>
          </w:p>
        </w:tc>
        <w:tc>
          <w:tcPr>
            <w:tcW w:w="311" w:type="pct"/>
            <w:tcBorders>
              <w:tl2br w:val="nil"/>
              <w:tr2bl w:val="nil"/>
            </w:tcBorders>
            <w:shd w:val="clear" w:color="auto" w:fill="auto"/>
            <w:vAlign w:val="center"/>
          </w:tcPr>
          <w:p w14:paraId="718690E2">
            <w:pPr>
              <w:pStyle w:val="42"/>
              <w:bidi w:val="0"/>
              <w:jc w:val="center"/>
            </w:pPr>
            <w:r>
              <w:t>每天</w:t>
            </w:r>
          </w:p>
        </w:tc>
        <w:tc>
          <w:tcPr>
            <w:tcW w:w="745" w:type="pct"/>
            <w:tcBorders>
              <w:tl2br w:val="nil"/>
              <w:tr2bl w:val="nil"/>
            </w:tcBorders>
            <w:shd w:val="clear" w:color="auto" w:fill="auto"/>
            <w:vAlign w:val="center"/>
          </w:tcPr>
          <w:p w14:paraId="086B6E4C">
            <w:pPr>
              <w:pStyle w:val="42"/>
              <w:bidi w:val="0"/>
              <w:jc w:val="center"/>
            </w:pPr>
            <w:r>
              <w:t>委托环卫部门处理</w:t>
            </w:r>
          </w:p>
        </w:tc>
      </w:tr>
      <w:tr w14:paraId="7A71FC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261" w:type="pct"/>
            <w:tcBorders>
              <w:tl2br w:val="nil"/>
              <w:tr2bl w:val="nil"/>
            </w:tcBorders>
            <w:shd w:val="clear" w:color="auto" w:fill="auto"/>
            <w:vAlign w:val="center"/>
          </w:tcPr>
          <w:p w14:paraId="7D29D0E9">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en-US" w:bidi="ar-SA"/>
              </w:rPr>
            </w:pPr>
            <w:r>
              <w:rPr>
                <w:rFonts w:hint="eastAsia"/>
                <w:lang w:val="en-US" w:eastAsia="zh-CN"/>
              </w:rPr>
              <w:t>5</w:t>
            </w:r>
          </w:p>
        </w:tc>
        <w:tc>
          <w:tcPr>
            <w:tcW w:w="544" w:type="pct"/>
            <w:tcBorders>
              <w:tl2br w:val="nil"/>
              <w:tr2bl w:val="nil"/>
            </w:tcBorders>
            <w:shd w:val="clear" w:color="auto" w:fill="auto"/>
            <w:vAlign w:val="center"/>
          </w:tcPr>
          <w:p w14:paraId="7D150230">
            <w:pPr>
              <w:pStyle w:val="42"/>
              <w:bidi w:val="0"/>
              <w:jc w:val="center"/>
            </w:pPr>
            <w:r>
              <w:t>污水处理</w:t>
            </w:r>
          </w:p>
        </w:tc>
        <w:tc>
          <w:tcPr>
            <w:tcW w:w="510" w:type="pct"/>
            <w:tcBorders>
              <w:tl2br w:val="nil"/>
              <w:tr2bl w:val="nil"/>
            </w:tcBorders>
            <w:shd w:val="clear" w:color="auto" w:fill="auto"/>
            <w:vAlign w:val="center"/>
          </w:tcPr>
          <w:p w14:paraId="73810BCF">
            <w:pPr>
              <w:pStyle w:val="42"/>
              <w:bidi w:val="0"/>
              <w:jc w:val="center"/>
            </w:pPr>
            <w:r>
              <w:t>废油</w:t>
            </w:r>
          </w:p>
        </w:tc>
        <w:tc>
          <w:tcPr>
            <w:tcW w:w="435" w:type="pct"/>
            <w:tcBorders>
              <w:tl2br w:val="nil"/>
              <w:tr2bl w:val="nil"/>
            </w:tcBorders>
            <w:shd w:val="clear" w:color="auto" w:fill="auto"/>
            <w:vAlign w:val="center"/>
          </w:tcPr>
          <w:p w14:paraId="03251D61">
            <w:pPr>
              <w:pStyle w:val="42"/>
              <w:bidi w:val="0"/>
              <w:jc w:val="center"/>
            </w:pPr>
            <w:r>
              <w:t>一般固废</w:t>
            </w:r>
          </w:p>
        </w:tc>
        <w:tc>
          <w:tcPr>
            <w:tcW w:w="646" w:type="pct"/>
            <w:tcBorders>
              <w:tl2br w:val="nil"/>
              <w:tr2bl w:val="nil"/>
            </w:tcBorders>
            <w:shd w:val="clear" w:color="auto" w:fill="auto"/>
            <w:vAlign w:val="center"/>
          </w:tcPr>
          <w:p w14:paraId="0F711CF7">
            <w:pPr>
              <w:pStyle w:val="42"/>
              <w:bidi w:val="0"/>
              <w:jc w:val="center"/>
            </w:pPr>
            <w:r>
              <w:t>/</w:t>
            </w:r>
          </w:p>
        </w:tc>
        <w:tc>
          <w:tcPr>
            <w:tcW w:w="441" w:type="pct"/>
            <w:tcBorders>
              <w:tl2br w:val="nil"/>
              <w:tr2bl w:val="nil"/>
            </w:tcBorders>
            <w:shd w:val="clear" w:color="auto" w:fill="auto"/>
            <w:vAlign w:val="center"/>
          </w:tcPr>
          <w:p w14:paraId="1A693ED7">
            <w:pPr>
              <w:pStyle w:val="42"/>
              <w:bidi w:val="0"/>
              <w:jc w:val="center"/>
            </w:pPr>
            <w:r>
              <w:t>/</w:t>
            </w:r>
          </w:p>
        </w:tc>
        <w:tc>
          <w:tcPr>
            <w:tcW w:w="359" w:type="pct"/>
            <w:tcBorders>
              <w:tl2br w:val="nil"/>
              <w:tr2bl w:val="nil"/>
            </w:tcBorders>
            <w:shd w:val="clear" w:color="auto" w:fill="auto"/>
            <w:vAlign w:val="center"/>
          </w:tcPr>
          <w:p w14:paraId="18FB44A2">
            <w:pPr>
              <w:pStyle w:val="42"/>
              <w:bidi w:val="0"/>
              <w:jc w:val="center"/>
            </w:pPr>
            <w:r>
              <w:t>液态</w:t>
            </w:r>
          </w:p>
        </w:tc>
        <w:tc>
          <w:tcPr>
            <w:tcW w:w="323" w:type="pct"/>
            <w:tcBorders>
              <w:tl2br w:val="nil"/>
              <w:tr2bl w:val="nil"/>
            </w:tcBorders>
            <w:shd w:val="clear" w:color="auto" w:fill="auto"/>
            <w:vAlign w:val="center"/>
          </w:tcPr>
          <w:p w14:paraId="0D717D9B">
            <w:pPr>
              <w:pStyle w:val="42"/>
              <w:bidi w:val="0"/>
              <w:jc w:val="center"/>
            </w:pPr>
            <w:r>
              <w:t>/</w:t>
            </w:r>
          </w:p>
        </w:tc>
        <w:tc>
          <w:tcPr>
            <w:tcW w:w="419" w:type="pct"/>
            <w:tcBorders>
              <w:tl2br w:val="nil"/>
              <w:tr2bl w:val="nil"/>
            </w:tcBorders>
            <w:shd w:val="clear" w:color="auto" w:fill="auto"/>
            <w:vAlign w:val="center"/>
          </w:tcPr>
          <w:p w14:paraId="48B23E9E">
            <w:pPr>
              <w:pStyle w:val="42"/>
              <w:bidi w:val="0"/>
              <w:jc w:val="center"/>
            </w:pPr>
            <w:r>
              <w:t>8.76</w:t>
            </w:r>
          </w:p>
        </w:tc>
        <w:tc>
          <w:tcPr>
            <w:tcW w:w="311" w:type="pct"/>
            <w:tcBorders>
              <w:tl2br w:val="nil"/>
              <w:tr2bl w:val="nil"/>
            </w:tcBorders>
            <w:shd w:val="clear" w:color="auto" w:fill="auto"/>
            <w:vAlign w:val="center"/>
          </w:tcPr>
          <w:p w14:paraId="5685E12A">
            <w:pPr>
              <w:pStyle w:val="42"/>
              <w:bidi w:val="0"/>
              <w:jc w:val="center"/>
            </w:pPr>
            <w:r>
              <w:t>每天</w:t>
            </w:r>
          </w:p>
        </w:tc>
        <w:tc>
          <w:tcPr>
            <w:tcW w:w="745" w:type="pct"/>
            <w:tcBorders>
              <w:tl2br w:val="nil"/>
              <w:tr2bl w:val="nil"/>
            </w:tcBorders>
            <w:shd w:val="clear" w:color="auto" w:fill="auto"/>
            <w:vAlign w:val="center"/>
          </w:tcPr>
          <w:p w14:paraId="7547AE2B">
            <w:pPr>
              <w:pStyle w:val="42"/>
              <w:bidi w:val="0"/>
              <w:jc w:val="center"/>
            </w:pPr>
            <w:r>
              <w:t>委托</w:t>
            </w:r>
            <w:r>
              <w:rPr>
                <w:rFonts w:hint="eastAsia"/>
                <w:lang w:val="en-US" w:eastAsia="zh-CN"/>
              </w:rPr>
              <w:t>资质单位</w:t>
            </w:r>
            <w:r>
              <w:t>进行清掏清运处理</w:t>
            </w:r>
          </w:p>
        </w:tc>
      </w:tr>
      <w:tr w14:paraId="1A25FC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261" w:type="pct"/>
            <w:tcBorders>
              <w:tl2br w:val="nil"/>
              <w:tr2bl w:val="nil"/>
            </w:tcBorders>
            <w:shd w:val="clear" w:color="auto" w:fill="auto"/>
            <w:vAlign w:val="center"/>
          </w:tcPr>
          <w:p w14:paraId="540BAC10">
            <w:pPr>
              <w:pStyle w:val="42"/>
              <w:bidi w:val="0"/>
              <w:ind w:left="0" w:leftChars="0" w:right="0" w:rightChars="0" w:firstLine="0" w:firstLineChars="0"/>
              <w:jc w:val="center"/>
              <w:rPr>
                <w:rFonts w:hint="eastAsia" w:ascii="Times New Roman" w:hAnsi="Times New Roman" w:eastAsia="宋体" w:cs="Times New Roman"/>
                <w:snapToGrid w:val="0"/>
                <w:color w:val="000000"/>
                <w:kern w:val="2"/>
                <w:sz w:val="21"/>
                <w:szCs w:val="21"/>
                <w:lang w:val="en-US" w:eastAsia="zh-CN" w:bidi="ar-SA"/>
              </w:rPr>
            </w:pPr>
            <w:r>
              <w:rPr>
                <w:rFonts w:hint="eastAsia"/>
                <w:lang w:val="en-US" w:eastAsia="zh-CN"/>
              </w:rPr>
              <w:t>6</w:t>
            </w:r>
          </w:p>
        </w:tc>
        <w:tc>
          <w:tcPr>
            <w:tcW w:w="544" w:type="pct"/>
            <w:tcBorders>
              <w:tl2br w:val="nil"/>
              <w:tr2bl w:val="nil"/>
            </w:tcBorders>
            <w:shd w:val="clear" w:color="auto" w:fill="auto"/>
            <w:vAlign w:val="center"/>
          </w:tcPr>
          <w:p w14:paraId="6E464208">
            <w:pPr>
              <w:pStyle w:val="42"/>
              <w:bidi w:val="0"/>
              <w:jc w:val="center"/>
            </w:pPr>
            <w:r>
              <w:t>污水处理</w:t>
            </w:r>
          </w:p>
        </w:tc>
        <w:tc>
          <w:tcPr>
            <w:tcW w:w="510" w:type="pct"/>
            <w:tcBorders>
              <w:tl2br w:val="nil"/>
              <w:tr2bl w:val="nil"/>
            </w:tcBorders>
            <w:shd w:val="clear" w:color="auto" w:fill="auto"/>
            <w:vAlign w:val="center"/>
          </w:tcPr>
          <w:p w14:paraId="45135997">
            <w:pPr>
              <w:pStyle w:val="42"/>
              <w:bidi w:val="0"/>
              <w:jc w:val="center"/>
            </w:pPr>
            <w:r>
              <w:t>污泥（含水率</w:t>
            </w:r>
          </w:p>
          <w:p w14:paraId="31BFCEB2">
            <w:pPr>
              <w:pStyle w:val="42"/>
              <w:bidi w:val="0"/>
              <w:jc w:val="center"/>
            </w:pPr>
            <w:r>
              <w:t>80%）</w:t>
            </w:r>
          </w:p>
        </w:tc>
        <w:tc>
          <w:tcPr>
            <w:tcW w:w="435" w:type="pct"/>
            <w:tcBorders>
              <w:tl2br w:val="nil"/>
              <w:tr2bl w:val="nil"/>
            </w:tcBorders>
            <w:shd w:val="clear" w:color="auto" w:fill="auto"/>
            <w:vAlign w:val="center"/>
          </w:tcPr>
          <w:p w14:paraId="3EEC1417">
            <w:pPr>
              <w:pStyle w:val="42"/>
              <w:bidi w:val="0"/>
              <w:jc w:val="center"/>
            </w:pPr>
            <w:r>
              <w:t>一般固废</w:t>
            </w:r>
          </w:p>
        </w:tc>
        <w:tc>
          <w:tcPr>
            <w:tcW w:w="646" w:type="pct"/>
            <w:tcBorders>
              <w:tl2br w:val="nil"/>
              <w:tr2bl w:val="nil"/>
            </w:tcBorders>
            <w:shd w:val="clear" w:color="auto" w:fill="auto"/>
            <w:vAlign w:val="center"/>
          </w:tcPr>
          <w:p w14:paraId="4F150BFC">
            <w:pPr>
              <w:pStyle w:val="42"/>
              <w:bidi w:val="0"/>
              <w:jc w:val="center"/>
            </w:pPr>
            <w:r>
              <w:t>/</w:t>
            </w:r>
          </w:p>
        </w:tc>
        <w:tc>
          <w:tcPr>
            <w:tcW w:w="441" w:type="pct"/>
            <w:tcBorders>
              <w:tl2br w:val="nil"/>
              <w:tr2bl w:val="nil"/>
            </w:tcBorders>
            <w:shd w:val="clear" w:color="auto" w:fill="auto"/>
            <w:vAlign w:val="center"/>
          </w:tcPr>
          <w:p w14:paraId="48E65FCB">
            <w:pPr>
              <w:pStyle w:val="42"/>
              <w:bidi w:val="0"/>
              <w:jc w:val="center"/>
            </w:pPr>
            <w:r>
              <w:t>/</w:t>
            </w:r>
          </w:p>
        </w:tc>
        <w:tc>
          <w:tcPr>
            <w:tcW w:w="359" w:type="pct"/>
            <w:tcBorders>
              <w:tl2br w:val="nil"/>
              <w:tr2bl w:val="nil"/>
            </w:tcBorders>
            <w:shd w:val="clear" w:color="auto" w:fill="auto"/>
            <w:vAlign w:val="center"/>
          </w:tcPr>
          <w:p w14:paraId="4FB661AB">
            <w:pPr>
              <w:pStyle w:val="42"/>
              <w:bidi w:val="0"/>
              <w:jc w:val="center"/>
            </w:pPr>
            <w:r>
              <w:t>固态</w:t>
            </w:r>
          </w:p>
        </w:tc>
        <w:tc>
          <w:tcPr>
            <w:tcW w:w="323" w:type="pct"/>
            <w:tcBorders>
              <w:tl2br w:val="nil"/>
              <w:tr2bl w:val="nil"/>
            </w:tcBorders>
            <w:shd w:val="clear" w:color="auto" w:fill="auto"/>
            <w:vAlign w:val="center"/>
          </w:tcPr>
          <w:p w14:paraId="2EB1856D">
            <w:pPr>
              <w:pStyle w:val="42"/>
              <w:bidi w:val="0"/>
              <w:jc w:val="center"/>
            </w:pPr>
            <w:r>
              <w:t>/</w:t>
            </w:r>
          </w:p>
        </w:tc>
        <w:tc>
          <w:tcPr>
            <w:tcW w:w="419" w:type="pct"/>
            <w:tcBorders>
              <w:tl2br w:val="nil"/>
              <w:tr2bl w:val="nil"/>
            </w:tcBorders>
            <w:shd w:val="clear" w:color="auto" w:fill="auto"/>
            <w:vAlign w:val="center"/>
          </w:tcPr>
          <w:p w14:paraId="5018118F">
            <w:pPr>
              <w:pStyle w:val="42"/>
              <w:bidi w:val="0"/>
              <w:jc w:val="center"/>
            </w:pPr>
            <w:r>
              <w:t>345</w:t>
            </w:r>
          </w:p>
        </w:tc>
        <w:tc>
          <w:tcPr>
            <w:tcW w:w="311" w:type="pct"/>
            <w:tcBorders>
              <w:tl2br w:val="nil"/>
              <w:tr2bl w:val="nil"/>
            </w:tcBorders>
            <w:shd w:val="clear" w:color="auto" w:fill="auto"/>
            <w:vAlign w:val="center"/>
          </w:tcPr>
          <w:p w14:paraId="43323E74">
            <w:pPr>
              <w:pStyle w:val="42"/>
              <w:bidi w:val="0"/>
              <w:jc w:val="center"/>
            </w:pPr>
            <w:r>
              <w:t>每天</w:t>
            </w:r>
          </w:p>
        </w:tc>
        <w:tc>
          <w:tcPr>
            <w:tcW w:w="745" w:type="pct"/>
            <w:tcBorders>
              <w:tl2br w:val="nil"/>
              <w:tr2bl w:val="nil"/>
            </w:tcBorders>
            <w:shd w:val="clear" w:color="auto" w:fill="auto"/>
            <w:vAlign w:val="center"/>
          </w:tcPr>
          <w:p w14:paraId="648DFDFF">
            <w:pPr>
              <w:pStyle w:val="42"/>
              <w:bidi w:val="0"/>
              <w:jc w:val="center"/>
              <w:rPr>
                <w:rFonts w:hint="default" w:eastAsia="宋体"/>
                <w:lang w:val="en-US" w:eastAsia="zh-CN"/>
              </w:rPr>
            </w:pPr>
            <w:r>
              <w:rPr>
                <w:rFonts w:hint="eastAsia"/>
                <w:lang w:val="en-US" w:eastAsia="zh-CN"/>
              </w:rPr>
              <w:t>外运资源化利用</w:t>
            </w:r>
          </w:p>
        </w:tc>
      </w:tr>
      <w:tr w14:paraId="6C125A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261" w:type="pct"/>
            <w:tcBorders>
              <w:tl2br w:val="nil"/>
              <w:tr2bl w:val="nil"/>
            </w:tcBorders>
            <w:shd w:val="clear" w:color="auto" w:fill="auto"/>
            <w:vAlign w:val="center"/>
          </w:tcPr>
          <w:p w14:paraId="7B4A222C">
            <w:pPr>
              <w:pStyle w:val="42"/>
              <w:bidi w:val="0"/>
              <w:jc w:val="center"/>
              <w:rPr>
                <w:rFonts w:hint="default" w:eastAsia="宋体"/>
                <w:lang w:val="en-US" w:eastAsia="zh-CN"/>
              </w:rPr>
            </w:pPr>
            <w:r>
              <w:rPr>
                <w:rFonts w:hint="eastAsia"/>
                <w:lang w:val="en-US" w:eastAsia="zh-CN"/>
              </w:rPr>
              <w:t>7</w:t>
            </w:r>
          </w:p>
        </w:tc>
        <w:tc>
          <w:tcPr>
            <w:tcW w:w="544" w:type="pct"/>
            <w:tcBorders>
              <w:tl2br w:val="nil"/>
              <w:tr2bl w:val="nil"/>
            </w:tcBorders>
            <w:shd w:val="clear" w:color="auto" w:fill="auto"/>
            <w:vAlign w:val="center"/>
          </w:tcPr>
          <w:p w14:paraId="2458FB02">
            <w:pPr>
              <w:pStyle w:val="42"/>
              <w:bidi w:val="0"/>
              <w:jc w:val="center"/>
            </w:pPr>
            <w:r>
              <w:t>污水处理</w:t>
            </w:r>
          </w:p>
        </w:tc>
        <w:tc>
          <w:tcPr>
            <w:tcW w:w="510" w:type="pct"/>
            <w:tcBorders>
              <w:tl2br w:val="nil"/>
              <w:tr2bl w:val="nil"/>
            </w:tcBorders>
            <w:shd w:val="clear" w:color="auto" w:fill="auto"/>
            <w:vAlign w:val="center"/>
          </w:tcPr>
          <w:p w14:paraId="5AA8A92E">
            <w:pPr>
              <w:pStyle w:val="42"/>
              <w:bidi w:val="0"/>
              <w:jc w:val="center"/>
            </w:pPr>
            <w:r>
              <w:t>废包装袋</w:t>
            </w:r>
          </w:p>
        </w:tc>
        <w:tc>
          <w:tcPr>
            <w:tcW w:w="435" w:type="pct"/>
            <w:tcBorders>
              <w:tl2br w:val="nil"/>
              <w:tr2bl w:val="nil"/>
            </w:tcBorders>
            <w:shd w:val="clear" w:color="auto" w:fill="auto"/>
            <w:vAlign w:val="center"/>
          </w:tcPr>
          <w:p w14:paraId="4D6B60CB">
            <w:pPr>
              <w:pStyle w:val="42"/>
              <w:bidi w:val="0"/>
              <w:jc w:val="center"/>
            </w:pPr>
            <w:r>
              <w:t>一般固废</w:t>
            </w:r>
          </w:p>
        </w:tc>
        <w:tc>
          <w:tcPr>
            <w:tcW w:w="646" w:type="pct"/>
            <w:tcBorders>
              <w:tl2br w:val="nil"/>
              <w:tr2bl w:val="nil"/>
            </w:tcBorders>
            <w:shd w:val="clear" w:color="auto" w:fill="auto"/>
            <w:vAlign w:val="center"/>
          </w:tcPr>
          <w:p w14:paraId="0CD986E7">
            <w:pPr>
              <w:pStyle w:val="42"/>
              <w:bidi w:val="0"/>
              <w:jc w:val="center"/>
            </w:pPr>
            <w:r>
              <w:t>/</w:t>
            </w:r>
          </w:p>
        </w:tc>
        <w:tc>
          <w:tcPr>
            <w:tcW w:w="441" w:type="pct"/>
            <w:tcBorders>
              <w:tl2br w:val="nil"/>
              <w:tr2bl w:val="nil"/>
            </w:tcBorders>
            <w:shd w:val="clear" w:color="auto" w:fill="auto"/>
            <w:vAlign w:val="center"/>
          </w:tcPr>
          <w:p w14:paraId="4F09251A">
            <w:pPr>
              <w:pStyle w:val="42"/>
              <w:bidi w:val="0"/>
              <w:jc w:val="center"/>
            </w:pPr>
            <w:r>
              <w:t>/</w:t>
            </w:r>
          </w:p>
        </w:tc>
        <w:tc>
          <w:tcPr>
            <w:tcW w:w="359" w:type="pct"/>
            <w:tcBorders>
              <w:tl2br w:val="nil"/>
              <w:tr2bl w:val="nil"/>
            </w:tcBorders>
            <w:shd w:val="clear" w:color="auto" w:fill="auto"/>
            <w:vAlign w:val="center"/>
          </w:tcPr>
          <w:p w14:paraId="40DC4899">
            <w:pPr>
              <w:pStyle w:val="42"/>
              <w:bidi w:val="0"/>
              <w:jc w:val="center"/>
            </w:pPr>
            <w:r>
              <w:t>固态</w:t>
            </w:r>
          </w:p>
        </w:tc>
        <w:tc>
          <w:tcPr>
            <w:tcW w:w="323" w:type="pct"/>
            <w:tcBorders>
              <w:tl2br w:val="nil"/>
              <w:tr2bl w:val="nil"/>
            </w:tcBorders>
            <w:shd w:val="clear" w:color="auto" w:fill="auto"/>
            <w:vAlign w:val="center"/>
          </w:tcPr>
          <w:p w14:paraId="47BD933D">
            <w:pPr>
              <w:pStyle w:val="42"/>
              <w:bidi w:val="0"/>
              <w:jc w:val="center"/>
            </w:pPr>
            <w:r>
              <w:t>/</w:t>
            </w:r>
          </w:p>
        </w:tc>
        <w:tc>
          <w:tcPr>
            <w:tcW w:w="419" w:type="pct"/>
            <w:tcBorders>
              <w:tl2br w:val="nil"/>
              <w:tr2bl w:val="nil"/>
            </w:tcBorders>
            <w:shd w:val="clear" w:color="auto" w:fill="auto"/>
            <w:vAlign w:val="center"/>
          </w:tcPr>
          <w:p w14:paraId="4043CF30">
            <w:pPr>
              <w:pStyle w:val="42"/>
              <w:bidi w:val="0"/>
              <w:jc w:val="center"/>
            </w:pPr>
            <w:r>
              <w:t>0.1</w:t>
            </w:r>
          </w:p>
        </w:tc>
        <w:tc>
          <w:tcPr>
            <w:tcW w:w="311" w:type="pct"/>
            <w:tcBorders>
              <w:tl2br w:val="nil"/>
              <w:tr2bl w:val="nil"/>
            </w:tcBorders>
            <w:shd w:val="clear" w:color="auto" w:fill="auto"/>
            <w:vAlign w:val="center"/>
          </w:tcPr>
          <w:p w14:paraId="4EF53CA3">
            <w:pPr>
              <w:pStyle w:val="42"/>
              <w:bidi w:val="0"/>
              <w:jc w:val="center"/>
            </w:pPr>
            <w:r>
              <w:t>每天</w:t>
            </w:r>
          </w:p>
        </w:tc>
        <w:tc>
          <w:tcPr>
            <w:tcW w:w="745" w:type="pct"/>
            <w:tcBorders>
              <w:tl2br w:val="nil"/>
              <w:tr2bl w:val="nil"/>
            </w:tcBorders>
            <w:shd w:val="clear" w:color="auto" w:fill="auto"/>
            <w:vAlign w:val="center"/>
          </w:tcPr>
          <w:p w14:paraId="0D81F62D">
            <w:pPr>
              <w:pStyle w:val="42"/>
              <w:bidi w:val="0"/>
              <w:jc w:val="center"/>
            </w:pPr>
            <w:r>
              <w:t>交由原料厂家回收利用</w:t>
            </w:r>
          </w:p>
        </w:tc>
      </w:tr>
    </w:tbl>
    <w:p w14:paraId="5851FED0">
      <w:pPr>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格栅沉渣主要为无机物，包括食物残渣、软塑料及其他悬浮或漂浮状态的杂物等，均属于一般工业固体废物。收集至垃圾站后一起由环卫部门清运。</w:t>
      </w:r>
    </w:p>
    <w:p w14:paraId="514A685F">
      <w:pPr>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由于本污水处理站接收的废水主要以食品工业废水为主，其中包括</w:t>
      </w:r>
      <w:r>
        <w:rPr>
          <w:rFonts w:hint="eastAsia" w:ascii="Times New Roman" w:hAnsi="Times New Roman" w:cs="Times New Roman"/>
          <w:color w:val="auto"/>
          <w:highlight w:val="none"/>
          <w:u w:val="none" w:color="auto"/>
          <w:lang w:val="en-US" w:eastAsia="zh-CN"/>
        </w:rPr>
        <w:t>地面清洗</w:t>
      </w:r>
      <w:r>
        <w:rPr>
          <w:rFonts w:hint="default" w:ascii="Times New Roman" w:hAnsi="Times New Roman" w:cs="Times New Roman"/>
          <w:color w:val="auto"/>
          <w:highlight w:val="none"/>
          <w:u w:val="none" w:color="auto"/>
          <w:lang w:val="zh-CN"/>
        </w:rPr>
        <w:t>废水、</w:t>
      </w:r>
      <w:r>
        <w:rPr>
          <w:rFonts w:hint="eastAsia" w:ascii="Times New Roman" w:hAnsi="Times New Roman" w:cs="Times New Roman"/>
          <w:color w:val="auto"/>
          <w:highlight w:val="none"/>
          <w:u w:val="none" w:color="auto"/>
          <w:lang w:val="en-US" w:eastAsia="zh-CN"/>
        </w:rPr>
        <w:t>工艺</w:t>
      </w:r>
      <w:r>
        <w:rPr>
          <w:rFonts w:hint="default" w:ascii="Times New Roman" w:hAnsi="Times New Roman" w:cs="Times New Roman"/>
          <w:color w:val="auto"/>
          <w:highlight w:val="none"/>
          <w:u w:val="none" w:color="auto"/>
          <w:lang w:val="zh-CN"/>
        </w:rPr>
        <w:t>清洗废水等，油脂含量较高，故有建设隔油池的必要，项目废油经隔油池上的刮油机收集，</w:t>
      </w:r>
      <w:r>
        <w:rPr>
          <w:rFonts w:hint="eastAsia" w:ascii="Times New Roman" w:hAnsi="Times New Roman" w:cs="Times New Roman"/>
          <w:color w:val="auto"/>
          <w:highlight w:val="none"/>
          <w:u w:val="none" w:color="auto"/>
          <w:lang w:val="en-US" w:eastAsia="zh-CN"/>
        </w:rPr>
        <w:t>定期外运</w:t>
      </w:r>
      <w:r>
        <w:rPr>
          <w:rFonts w:hint="default" w:ascii="Times New Roman" w:hAnsi="Times New Roman" w:cs="Times New Roman"/>
          <w:color w:val="auto"/>
          <w:highlight w:val="none"/>
          <w:u w:val="none" w:color="auto"/>
          <w:lang w:val="zh-CN"/>
        </w:rPr>
        <w:t>处理。</w:t>
      </w:r>
    </w:p>
    <w:p w14:paraId="78F133F9">
      <w:pPr>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污泥是污水处理和水体沉积的产物，是一种含水率高、呈黑色或黑褐色的流体状物质。污水处理厂中分离出来的污泥主要由有机物和无机物组成。有机物主要有蛋白质、油脂、粗纤维、腐植酸等；污泥约含65%的有机物和35%的无机物。污泥主要特性是有机物含量高，容易腐化发臭，颗粒较细，比重较小，含水率高不易脱水，呈胶状结构的亲水性物质。污泥中含有氮磷等营养元素，同时又含有寄生虫卵、致病微生物等。大量的污泥如果没有得到妥善的科学处理处置，不仅会占用大面积的土地；常伴有恶臭气体，如将其任意堆放可造成二次污染，还会严重的影响环境卫生并危害人类和其他生物的安全。</w:t>
      </w:r>
    </w:p>
    <w:p w14:paraId="12A75AEF">
      <w:pPr>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本污水处理站接收的废水以食品工业废水为主，不具有危险特性，本项目采用</w:t>
      </w:r>
      <w:r>
        <w:rPr>
          <w:rFonts w:hint="eastAsia" w:ascii="Times New Roman" w:hAnsi="Times New Roman" w:cs="Times New Roman"/>
          <w:color w:val="auto"/>
          <w:highlight w:val="none"/>
          <w:u w:val="none" w:color="auto"/>
          <w:lang w:val="en-US" w:eastAsia="zh-CN"/>
        </w:rPr>
        <w:t>板框机</w:t>
      </w:r>
      <w:r>
        <w:rPr>
          <w:rFonts w:hint="default" w:ascii="Times New Roman" w:hAnsi="Times New Roman" w:cs="Times New Roman"/>
          <w:color w:val="auto"/>
          <w:highlight w:val="none"/>
          <w:u w:val="none" w:color="auto"/>
          <w:lang w:val="zh-CN"/>
        </w:rPr>
        <w:t>对污泥进行脱水，平均两天进行一次污泥脱水处理，脱水污泥脱水后</w:t>
      </w:r>
      <w:r>
        <w:rPr>
          <w:rFonts w:hint="eastAsia" w:ascii="Times New Roman" w:hAnsi="Times New Roman" w:cs="Times New Roman"/>
          <w:color w:val="auto"/>
          <w:highlight w:val="none"/>
          <w:u w:val="none" w:color="auto"/>
          <w:lang w:val="en-US" w:eastAsia="zh-CN"/>
        </w:rPr>
        <w:t>外运综合利用</w:t>
      </w:r>
      <w:r>
        <w:rPr>
          <w:rFonts w:hint="default" w:ascii="Times New Roman" w:hAnsi="Times New Roman" w:cs="Times New Roman"/>
          <w:color w:val="auto"/>
          <w:highlight w:val="none"/>
          <w:u w:val="none" w:color="auto"/>
          <w:lang w:val="zh-CN"/>
        </w:rPr>
        <w:t>，不在厂内进行</w:t>
      </w:r>
      <w:r>
        <w:rPr>
          <w:rFonts w:hint="eastAsia" w:ascii="Times New Roman" w:hAnsi="Times New Roman" w:cs="Times New Roman"/>
          <w:color w:val="auto"/>
          <w:highlight w:val="none"/>
          <w:u w:val="none" w:color="auto"/>
          <w:lang w:val="en-US" w:eastAsia="zh-CN"/>
        </w:rPr>
        <w:t>长期</w:t>
      </w:r>
      <w:r>
        <w:rPr>
          <w:rFonts w:hint="default" w:ascii="Times New Roman" w:hAnsi="Times New Roman" w:cs="Times New Roman"/>
          <w:color w:val="auto"/>
          <w:highlight w:val="none"/>
          <w:u w:val="none" w:color="auto"/>
          <w:lang w:val="zh-CN"/>
        </w:rPr>
        <w:t>储存。</w:t>
      </w:r>
    </w:p>
    <w:p w14:paraId="3285314C">
      <w:pPr>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废包装袋主要为塑料纤维袋，收集后交由原料厂家回收利用。</w:t>
      </w:r>
    </w:p>
    <w:p w14:paraId="7772191C">
      <w:pPr>
        <w:rPr>
          <w:rFonts w:hint="default" w:ascii="Times New Roman" w:hAnsi="Times New Roman" w:cs="Times New Roman"/>
          <w:color w:val="auto"/>
          <w:highlight w:val="none"/>
          <w:u w:val="none" w:color="auto"/>
          <w:lang w:val="zh-CN"/>
        </w:rPr>
      </w:pPr>
      <w:bookmarkStart w:id="162" w:name="OLE_LINK24"/>
      <w:r>
        <w:rPr>
          <w:rFonts w:hint="default" w:ascii="Times New Roman" w:hAnsi="Times New Roman" w:eastAsia="宋体" w:cs="Times New Roman"/>
          <w:color w:val="auto"/>
          <w:highlight w:val="none"/>
          <w:u w:val="none" w:color="auto"/>
          <w:lang w:val="zh-CN"/>
        </w:rPr>
        <w:t>废机油</w:t>
      </w:r>
      <w:bookmarkEnd w:id="162"/>
      <w:r>
        <w:rPr>
          <w:rFonts w:hint="default" w:ascii="Times New Roman" w:hAnsi="Times New Roman" w:eastAsia="宋体" w:cs="Times New Roman"/>
          <w:color w:val="auto"/>
          <w:highlight w:val="none"/>
          <w:u w:val="none" w:color="auto"/>
          <w:lang w:val="zh-CN"/>
        </w:rPr>
        <w:t>及废机油桶</w:t>
      </w:r>
      <w:r>
        <w:rPr>
          <w:rFonts w:hint="eastAsia" w:ascii="Times New Roman" w:hAnsi="Times New Roman" w:eastAsia="宋体" w:cs="Times New Roman"/>
          <w:color w:val="auto"/>
          <w:highlight w:val="none"/>
          <w:u w:val="none" w:color="auto"/>
          <w:lang w:val="zh-CN"/>
        </w:rPr>
        <w:t>，</w:t>
      </w:r>
      <w:r>
        <w:rPr>
          <w:rFonts w:hint="default" w:ascii="Times New Roman" w:hAnsi="Times New Roman" w:eastAsia="宋体" w:cs="Times New Roman"/>
          <w:color w:val="auto"/>
          <w:highlight w:val="none"/>
          <w:u w:val="none" w:color="auto"/>
          <w:lang w:val="zh-CN"/>
        </w:rPr>
        <w:t>含油抹布、手套、劳保用品</w:t>
      </w:r>
      <w:r>
        <w:rPr>
          <w:rFonts w:hint="eastAsia" w:ascii="Times New Roman" w:hAnsi="Times New Roman" w:eastAsia="宋体" w:cs="Times New Roman"/>
          <w:color w:val="auto"/>
          <w:highlight w:val="none"/>
          <w:u w:val="none" w:color="auto"/>
          <w:lang w:val="en-US" w:eastAsia="zh-CN"/>
        </w:rPr>
        <w:t>分别</w:t>
      </w:r>
      <w:r>
        <w:rPr>
          <w:rFonts w:hint="default" w:ascii="Times New Roman" w:hAnsi="Times New Roman" w:eastAsia="宋体" w:cs="Times New Roman"/>
          <w:color w:val="auto"/>
          <w:highlight w:val="none"/>
          <w:u w:val="none" w:color="auto"/>
          <w:lang w:val="zh-CN"/>
        </w:rPr>
        <w:t>属于《国家危险废物名录》（202</w:t>
      </w:r>
      <w:r>
        <w:rPr>
          <w:rFonts w:hint="eastAsia" w:ascii="Times New Roman" w:hAnsi="Times New Roman" w:eastAsia="宋体" w:cs="Times New Roman"/>
          <w:color w:val="auto"/>
          <w:highlight w:val="none"/>
          <w:u w:val="none" w:color="auto"/>
          <w:lang w:val="en-US" w:eastAsia="zh-CN"/>
        </w:rPr>
        <w:t>5</w:t>
      </w:r>
      <w:r>
        <w:rPr>
          <w:rFonts w:hint="default" w:ascii="Times New Roman" w:hAnsi="Times New Roman" w:eastAsia="宋体" w:cs="Times New Roman"/>
          <w:color w:val="auto"/>
          <w:highlight w:val="none"/>
          <w:u w:val="none" w:color="auto"/>
          <w:lang w:val="zh-CN"/>
        </w:rPr>
        <w:t>版）中HW08废物代</w:t>
      </w:r>
      <w:r>
        <w:rPr>
          <w:rFonts w:hint="default" w:ascii="Times New Roman" w:hAnsi="Times New Roman" w:cs="Times New Roman"/>
          <w:color w:val="auto"/>
          <w:highlight w:val="none"/>
          <w:u w:val="none" w:color="auto"/>
        </w:rPr>
        <w:t>码为</w:t>
      </w:r>
      <w:r>
        <w:rPr>
          <w:rFonts w:hint="eastAsia" w:ascii="Times New Roman" w:hAnsi="Times New Roman" w:cs="Times New Roman"/>
          <w:color w:val="auto"/>
          <w:highlight w:val="none"/>
          <w:u w:val="none" w:color="auto"/>
          <w:lang w:eastAsia="zh-CN"/>
        </w:rPr>
        <w:t>900-249-08，</w:t>
      </w:r>
      <w:r>
        <w:rPr>
          <w:rFonts w:hint="default" w:ascii="Times New Roman" w:hAnsi="Times New Roman" w:cs="Times New Roman"/>
          <w:color w:val="auto"/>
          <w:highlight w:val="none"/>
          <w:u w:val="none" w:color="auto"/>
          <w:lang w:val="zh-CN"/>
        </w:rPr>
        <w:t>HW49其他废物—</w:t>
      </w:r>
      <w:r>
        <w:rPr>
          <w:rFonts w:hint="eastAsia" w:ascii="Times New Roman" w:hAnsi="Times New Roman" w:cs="Times New Roman"/>
          <w:color w:val="auto"/>
          <w:highlight w:val="none"/>
          <w:u w:val="none" w:color="auto"/>
          <w:lang w:val="zh-CN"/>
        </w:rPr>
        <w:t>900-041-49</w:t>
      </w:r>
      <w:r>
        <w:rPr>
          <w:rFonts w:hint="default" w:ascii="Times New Roman" w:hAnsi="Times New Roman" w:cs="Times New Roman"/>
          <w:color w:val="auto"/>
          <w:highlight w:val="none"/>
          <w:u w:val="none" w:color="auto"/>
          <w:lang w:val="zh-CN"/>
        </w:rPr>
        <w:t>，应建设危险废物暂存间收集后委托有危险废物处理资质单位进行处理。</w:t>
      </w:r>
    </w:p>
    <w:p w14:paraId="1566379A">
      <w:pPr>
        <w:bidi w:val="0"/>
        <w:rPr>
          <w:rFonts w:hint="default"/>
          <w:lang w:val="zh-CN"/>
        </w:rPr>
      </w:pPr>
      <w:r>
        <w:rPr>
          <w:rFonts w:hint="eastAsia"/>
          <w:lang w:val="en-US" w:eastAsia="zh-CN"/>
        </w:rPr>
        <w:t>2、</w:t>
      </w:r>
      <w:r>
        <w:rPr>
          <w:rFonts w:hint="default"/>
          <w:lang w:val="zh-CN"/>
        </w:rPr>
        <w:t>危险废物</w:t>
      </w:r>
    </w:p>
    <w:p w14:paraId="4636248D">
      <w:pPr>
        <w:bidi w:val="0"/>
        <w:rPr>
          <w:rFonts w:hint="default"/>
          <w:lang w:val="en-US" w:eastAsia="zh-CN"/>
        </w:rPr>
      </w:pPr>
      <w:r>
        <w:rPr>
          <w:rFonts w:hint="eastAsia"/>
          <w:lang w:eastAsia="zh-CN"/>
        </w:rPr>
        <w:t>（</w:t>
      </w:r>
      <w:r>
        <w:rPr>
          <w:rFonts w:hint="eastAsia"/>
          <w:lang w:val="en-US" w:eastAsia="zh-CN"/>
        </w:rPr>
        <w:t>1）收集</w:t>
      </w:r>
    </w:p>
    <w:p w14:paraId="6D5AD88D">
      <w:pPr>
        <w:bidi w:val="0"/>
        <w:rPr>
          <w:rFonts w:hint="default"/>
        </w:rPr>
      </w:pPr>
      <w:r>
        <w:rPr>
          <w:rFonts w:hint="default"/>
        </w:rPr>
        <w:t>项目危险废物的收集包括两个方面：一是在危险废物产生节点将危险废物集中到适当的包装容器中或车辆上的活动；二是将已包装或装到运输车辆上的危险废物集中到危险废物暂存仓库的内部转运。</w:t>
      </w:r>
    </w:p>
    <w:p w14:paraId="305244AD">
      <w:pPr>
        <w:bidi w:val="0"/>
        <w:rPr>
          <w:rFonts w:hint="default"/>
        </w:rPr>
      </w:pPr>
      <w:r>
        <w:rPr>
          <w:rFonts w:hint="default"/>
        </w:rPr>
        <w:t>项目危险废物的收集应满足《危险废物收集、贮存、运输技术规范》（HJ2025-2012）的要求：</w:t>
      </w:r>
    </w:p>
    <w:p w14:paraId="773DAF8B">
      <w:pPr>
        <w:bidi w:val="0"/>
        <w:rPr>
          <w:rFonts w:hint="default"/>
        </w:rPr>
      </w:pPr>
      <w:r>
        <w:rPr>
          <w:rFonts w:hint="default"/>
        </w:rPr>
        <w:t>①根据危险废物产生的工艺特征、排放周期、产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14:paraId="064A94CF">
      <w:pPr>
        <w:bidi w:val="0"/>
        <w:rPr>
          <w:rFonts w:hint="default"/>
        </w:rPr>
      </w:pPr>
      <w:r>
        <w:rPr>
          <w:rFonts w:hint="default"/>
        </w:rPr>
        <w:t>②制定危险废物收集操作规程，内容包括适用范围、操作程序和方法、专用设备和工具、转移和交接、安全保障和应急防护等；</w:t>
      </w:r>
    </w:p>
    <w:p w14:paraId="03402A3F">
      <w:pPr>
        <w:bidi w:val="0"/>
        <w:rPr>
          <w:rFonts w:hint="default"/>
        </w:rPr>
      </w:pPr>
      <w:r>
        <w:rPr>
          <w:rFonts w:hint="default"/>
        </w:rPr>
        <w:t>③危险废物收集和转运作业人员根据工作需要配备必要的个人防护装备，如手套、防护镜、防护服、防毒面具或口罩等；</w:t>
      </w:r>
    </w:p>
    <w:p w14:paraId="55DA3AF2">
      <w:pPr>
        <w:bidi w:val="0"/>
        <w:rPr>
          <w:rFonts w:hint="default"/>
        </w:rPr>
      </w:pPr>
      <w:r>
        <w:rPr>
          <w:rFonts w:hint="default"/>
        </w:rPr>
        <w:t>④在危险废物收集和转运过程中，采取相应的安全防护和污染防治措施，包括防爆、防火、防泄漏、防飞扬、防雨或其他防治污染环境的措施；</w:t>
      </w:r>
    </w:p>
    <w:p w14:paraId="3411CC80">
      <w:pPr>
        <w:bidi w:val="0"/>
        <w:rPr>
          <w:rFonts w:hint="default"/>
        </w:rPr>
      </w:pPr>
      <w:r>
        <w:rPr>
          <w:rFonts w:hint="default"/>
        </w:rPr>
        <w:t>⑤危险废物收集时应根据危险废物的种类、数量、危险特性、物理形态、运输要求等因素选择合适的包装形式。</w:t>
      </w:r>
    </w:p>
    <w:p w14:paraId="426937E0">
      <w:pPr>
        <w:bidi w:val="0"/>
        <w:rPr>
          <w:rFonts w:hint="default"/>
          <w:lang w:val="en-US" w:eastAsia="zh-CN"/>
        </w:rPr>
      </w:pPr>
      <w:r>
        <w:rPr>
          <w:rFonts w:hint="eastAsia"/>
          <w:lang w:val="en-US" w:eastAsia="zh-CN"/>
        </w:rPr>
        <w:t>（2）贮存</w:t>
      </w:r>
    </w:p>
    <w:p w14:paraId="6B03EC1C">
      <w:pPr>
        <w:bidi w:val="0"/>
        <w:rPr>
          <w:rFonts w:hint="default"/>
        </w:rPr>
      </w:pPr>
      <w:r>
        <w:rPr>
          <w:rFonts w:hint="default"/>
        </w:rPr>
        <w:t>项目建设一间面积为</w:t>
      </w:r>
      <w:r>
        <w:rPr>
          <w:rFonts w:hint="eastAsia"/>
          <w:lang w:val="en-US" w:eastAsia="zh-CN"/>
        </w:rPr>
        <w:t>5</w:t>
      </w:r>
      <w:r>
        <w:rPr>
          <w:rFonts w:hint="eastAsia"/>
          <w:lang w:eastAsia="zh-CN"/>
        </w:rPr>
        <w:t>m</w:t>
      </w:r>
      <w:r>
        <w:rPr>
          <w:rFonts w:hint="eastAsia"/>
          <w:vertAlign w:val="superscript"/>
          <w:lang w:eastAsia="zh-CN"/>
        </w:rPr>
        <w:t>2</w:t>
      </w:r>
      <w:r>
        <w:rPr>
          <w:rFonts w:hint="default"/>
        </w:rPr>
        <w:t>的危废仓库，危险废物的贮存必须严格执行《危险废物贮存污染控制标准》（GB18597-2023）要求建设，具体如下：</w:t>
      </w:r>
    </w:p>
    <w:p w14:paraId="3E403BC5">
      <w:pPr>
        <w:bidi w:val="0"/>
        <w:rPr>
          <w:rFonts w:hint="default"/>
        </w:rPr>
      </w:pPr>
      <w:r>
        <w:rPr>
          <w:rFonts w:hint="default"/>
        </w:rPr>
        <w:t>a贮存设施应根据危险废物的形态、物理化学性质、包装形式和污染物迁移途径，采取必要的防风、防晒、防雨、防漏、防渗、防腐以及其他环境污染防治措施，不应露天堆放危险废物。</w:t>
      </w:r>
    </w:p>
    <w:p w14:paraId="0749A1B3">
      <w:pPr>
        <w:bidi w:val="0"/>
        <w:rPr>
          <w:rFonts w:hint="default"/>
        </w:rPr>
      </w:pPr>
      <w:r>
        <w:rPr>
          <w:rFonts w:hint="default"/>
        </w:rPr>
        <w:t>b贮存设施应根据危险废物的类别、数量、形态、物理化学性质和污染防治等要求设置必要的贮存分区，避免不相容的危险废物接触、混合。</w:t>
      </w:r>
    </w:p>
    <w:p w14:paraId="1226F8F7">
      <w:pPr>
        <w:bidi w:val="0"/>
        <w:rPr>
          <w:rFonts w:hint="default"/>
        </w:rPr>
      </w:pPr>
      <w:r>
        <w:rPr>
          <w:rFonts w:hint="default"/>
        </w:rPr>
        <w:t>c贮存设施或贮存分区内地面、墙面裙脚、堵截泄漏的围堰、接触危险废物的隔板和墙体等应采用坚固的材料建造，表面无裂缝。</w:t>
      </w:r>
    </w:p>
    <w:p w14:paraId="2C67DD82">
      <w:pPr>
        <w:bidi w:val="0"/>
        <w:rPr>
          <w:rFonts w:hint="default"/>
        </w:rPr>
      </w:pPr>
      <w:r>
        <w:rPr>
          <w:rFonts w:hint="default"/>
        </w:rPr>
        <w:t>d贮存设施地面与裙脚应采取表面防渗措施；表面防渗材料应与所接触的物料或污染物相容，可采用抗渗混凝土、高密度聚乙烯膜、钠基膨润土防水毯或其他防渗</w:t>
      </w:r>
    </w:p>
    <w:p w14:paraId="47ACA8ED">
      <w:pPr>
        <w:bidi w:val="0"/>
        <w:rPr>
          <w:rFonts w:hint="default"/>
        </w:rPr>
      </w:pPr>
      <w:r>
        <w:rPr>
          <w:rFonts w:hint="default"/>
        </w:rPr>
        <w:t>性能等效的材料。贮存的危险废物直接接触地面的，还应进行基础防渗，防渗层为至少1 m厚黏土层（渗透系数不大于10</w:t>
      </w:r>
      <w:r>
        <w:rPr>
          <w:rFonts w:hint="default"/>
          <w:vertAlign w:val="superscript"/>
        </w:rPr>
        <w:t>-7</w:t>
      </w:r>
      <w:r>
        <w:rPr>
          <w:rFonts w:hint="default"/>
        </w:rPr>
        <w:t xml:space="preserve"> cm/s），或至少2 mm厚高密度聚乙烯膜等人工防渗材料（渗透系数不大于10</w:t>
      </w:r>
      <w:r>
        <w:rPr>
          <w:rFonts w:hint="default"/>
          <w:vertAlign w:val="superscript"/>
        </w:rPr>
        <w:t>-10</w:t>
      </w:r>
      <w:r>
        <w:rPr>
          <w:rFonts w:hint="default"/>
        </w:rPr>
        <w:t xml:space="preserve"> cm/s），或其他防渗性能等效的材料。</w:t>
      </w:r>
    </w:p>
    <w:p w14:paraId="72DDB14A">
      <w:pPr>
        <w:bidi w:val="0"/>
        <w:rPr>
          <w:rFonts w:hint="default"/>
        </w:rPr>
      </w:pPr>
      <w:r>
        <w:rPr>
          <w:rFonts w:hint="default"/>
        </w:rPr>
        <w:t>c同一贮存设施宜采用相同的防渗、防腐工艺（包括防渗、防腐结构或材料），防渗、防腐材料应覆盖所有可能与废物及其渗滤液、渗漏液等接触的构筑物表面；采用不同防渗、防腐工艺应分别建设贮存分区。</w:t>
      </w:r>
    </w:p>
    <w:p w14:paraId="5CCAB7C5">
      <w:pPr>
        <w:bidi w:val="0"/>
        <w:rPr>
          <w:rFonts w:hint="default"/>
          <w:highlight w:val="none"/>
        </w:rPr>
      </w:pPr>
      <w:r>
        <w:rPr>
          <w:rFonts w:hint="default"/>
        </w:rPr>
        <w:t>d贮存</w:t>
      </w:r>
      <w:r>
        <w:rPr>
          <w:rFonts w:hint="default"/>
          <w:highlight w:val="none"/>
        </w:rPr>
        <w:t>设施应采取技术和管理措施防止无关人员进入。</w:t>
      </w:r>
    </w:p>
    <w:p w14:paraId="61140A24">
      <w:pPr>
        <w:ind w:firstLine="480"/>
        <w:rPr>
          <w:rFonts w:hint="default" w:ascii="Times New Roman" w:hAnsi="Times New Roman" w:cs="Times New Roman"/>
          <w:color w:val="000000"/>
          <w:kern w:val="0"/>
          <w:highlight w:val="none"/>
          <w:u w:val="none" w:color="auto"/>
          <w:lang w:bidi="ar"/>
        </w:rPr>
      </w:pPr>
      <w:r>
        <w:rPr>
          <w:rFonts w:hint="default" w:ascii="Times New Roman" w:hAnsi="Times New Roman" w:cs="Times New Roman"/>
          <w:color w:val="000000"/>
          <w:kern w:val="0"/>
          <w:highlight w:val="none"/>
          <w:u w:val="none"/>
          <w:lang w:bidi="ar"/>
        </w:rPr>
        <w:t>本项目危废间分为废含油抹布、手套、劳保用品</w:t>
      </w:r>
      <w:r>
        <w:rPr>
          <w:rFonts w:hint="default" w:ascii="Times New Roman" w:hAnsi="Times New Roman" w:cs="Times New Roman"/>
          <w:color w:val="000000"/>
          <w:kern w:val="0"/>
          <w:highlight w:val="none"/>
          <w:u w:val="none"/>
          <w:lang w:val="en-US" w:eastAsia="zh-CN" w:bidi="ar"/>
        </w:rPr>
        <w:t>及</w:t>
      </w:r>
      <w:r>
        <w:rPr>
          <w:rFonts w:hint="default" w:ascii="Times New Roman" w:hAnsi="Times New Roman" w:cs="Times New Roman"/>
          <w:color w:val="000000"/>
          <w:kern w:val="0"/>
          <w:highlight w:val="none"/>
          <w:u w:val="none"/>
          <w:lang w:bidi="ar"/>
        </w:rPr>
        <w:t>废机油暂存区，危险废物贮存情况见下表。</w:t>
      </w:r>
    </w:p>
    <w:p w14:paraId="40A63353">
      <w:pPr>
        <w:pStyle w:val="39"/>
        <w:rPr>
          <w:rFonts w:hint="default" w:ascii="Times New Roman" w:hAnsi="Times New Roman" w:cs="Times New Roman"/>
          <w:color w:val="000000"/>
          <w:highlight w:val="none"/>
          <w:u w:val="none" w:color="auto"/>
        </w:rPr>
      </w:pPr>
      <w:r>
        <w:rPr>
          <w:rFonts w:hint="default" w:ascii="Times New Roman" w:hAnsi="Times New Roman" w:cs="Times New Roman"/>
          <w:color w:val="000000"/>
          <w:highlight w:val="none"/>
          <w:u w:val="none" w:color="auto"/>
        </w:rPr>
        <w:t>表</w:t>
      </w:r>
      <w:r>
        <w:rPr>
          <w:rFonts w:hint="eastAsia" w:cs="Times New Roman"/>
          <w:color w:val="000000"/>
          <w:highlight w:val="none"/>
          <w:u w:val="none" w:color="auto"/>
          <w:lang w:val="en-US" w:eastAsia="zh-CN"/>
        </w:rPr>
        <w:t>6.2</w:t>
      </w:r>
      <w:r>
        <w:rPr>
          <w:rFonts w:hint="default" w:ascii="Times New Roman" w:hAnsi="Times New Roman" w:cs="Times New Roman"/>
          <w:color w:val="000000"/>
          <w:highlight w:val="none"/>
          <w:u w:val="none" w:color="auto"/>
        </w:rPr>
        <w:t>-</w:t>
      </w:r>
      <w:r>
        <w:rPr>
          <w:rFonts w:hint="eastAsia" w:cs="Times New Roman"/>
          <w:color w:val="000000"/>
          <w:highlight w:val="none"/>
          <w:u w:val="none" w:color="auto"/>
          <w:lang w:val="en-US" w:eastAsia="zh-CN"/>
        </w:rPr>
        <w:t>34</w:t>
      </w:r>
      <w:r>
        <w:rPr>
          <w:rFonts w:hint="default" w:ascii="Times New Roman" w:hAnsi="Times New Roman" w:cs="Times New Roman"/>
          <w:color w:val="000000"/>
          <w:highlight w:val="none"/>
          <w:u w:val="none" w:color="auto"/>
          <w:lang w:val="en-US" w:eastAsia="zh-CN"/>
        </w:rPr>
        <w:t xml:space="preserve">  </w:t>
      </w:r>
      <w:r>
        <w:rPr>
          <w:rFonts w:hint="default" w:ascii="Times New Roman" w:hAnsi="Times New Roman" w:cs="Times New Roman"/>
          <w:color w:val="000000"/>
          <w:highlight w:val="none"/>
          <w:u w:val="none" w:color="auto"/>
        </w:rPr>
        <w:t>危废暂存间情况一览表</w:t>
      </w:r>
    </w:p>
    <w:tbl>
      <w:tblPr>
        <w:tblStyle w:val="30"/>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7"/>
        <w:gridCol w:w="783"/>
        <w:gridCol w:w="1196"/>
        <w:gridCol w:w="905"/>
        <w:gridCol w:w="930"/>
        <w:gridCol w:w="933"/>
        <w:gridCol w:w="592"/>
        <w:gridCol w:w="629"/>
        <w:gridCol w:w="626"/>
        <w:gridCol w:w="626"/>
      </w:tblGrid>
      <w:tr w14:paraId="5AE2B3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21" w:type="pct"/>
            <w:noWrap w:val="0"/>
            <w:vAlign w:val="center"/>
          </w:tcPr>
          <w:p w14:paraId="102066A4">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序号</w:t>
            </w:r>
          </w:p>
        </w:tc>
        <w:tc>
          <w:tcPr>
            <w:tcW w:w="536" w:type="pct"/>
            <w:noWrap w:val="0"/>
            <w:vAlign w:val="center"/>
          </w:tcPr>
          <w:p w14:paraId="6A4C9266">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危险废物名称</w:t>
            </w:r>
          </w:p>
        </w:tc>
        <w:tc>
          <w:tcPr>
            <w:tcW w:w="487" w:type="pct"/>
            <w:noWrap w:val="0"/>
            <w:vAlign w:val="center"/>
          </w:tcPr>
          <w:p w14:paraId="4FB227DA">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危险废物类别</w:t>
            </w:r>
          </w:p>
        </w:tc>
        <w:tc>
          <w:tcPr>
            <w:tcW w:w="487" w:type="pct"/>
            <w:noWrap w:val="0"/>
            <w:vAlign w:val="center"/>
          </w:tcPr>
          <w:p w14:paraId="77AC40C1">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危险废物代码</w:t>
            </w:r>
          </w:p>
        </w:tc>
        <w:tc>
          <w:tcPr>
            <w:tcW w:w="556" w:type="pct"/>
            <w:noWrap w:val="0"/>
            <w:vAlign w:val="center"/>
          </w:tcPr>
          <w:p w14:paraId="3AE8597F">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产生量（t/a/）</w:t>
            </w:r>
          </w:p>
        </w:tc>
        <w:tc>
          <w:tcPr>
            <w:tcW w:w="574" w:type="pct"/>
            <w:noWrap w:val="0"/>
            <w:vAlign w:val="center"/>
          </w:tcPr>
          <w:p w14:paraId="0A2E3347">
            <w:pPr>
              <w:pStyle w:val="43"/>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贮存面积</w:t>
            </w:r>
          </w:p>
        </w:tc>
        <w:tc>
          <w:tcPr>
            <w:tcW w:w="574" w:type="pct"/>
            <w:noWrap w:val="0"/>
            <w:vAlign w:val="center"/>
          </w:tcPr>
          <w:p w14:paraId="5B98E84F">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产生工序及装置</w:t>
            </w:r>
          </w:p>
        </w:tc>
        <w:tc>
          <w:tcPr>
            <w:tcW w:w="374" w:type="pct"/>
            <w:noWrap w:val="0"/>
            <w:vAlign w:val="center"/>
          </w:tcPr>
          <w:p w14:paraId="2BA59446">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形态</w:t>
            </w:r>
          </w:p>
        </w:tc>
        <w:tc>
          <w:tcPr>
            <w:tcW w:w="396" w:type="pct"/>
            <w:noWrap w:val="0"/>
            <w:vAlign w:val="center"/>
          </w:tcPr>
          <w:p w14:paraId="57F2981F">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有害成分</w:t>
            </w:r>
          </w:p>
        </w:tc>
        <w:tc>
          <w:tcPr>
            <w:tcW w:w="394" w:type="pct"/>
            <w:noWrap w:val="0"/>
            <w:vAlign w:val="center"/>
          </w:tcPr>
          <w:p w14:paraId="5EA861F4">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w:t>
            </w:r>
          </w:p>
          <w:p w14:paraId="04DEFED2">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特性</w:t>
            </w:r>
          </w:p>
        </w:tc>
        <w:tc>
          <w:tcPr>
            <w:tcW w:w="394" w:type="pct"/>
            <w:noWrap w:val="0"/>
            <w:vAlign w:val="center"/>
          </w:tcPr>
          <w:p w14:paraId="6A0DC78E">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污染防治措施*</w:t>
            </w:r>
          </w:p>
        </w:tc>
      </w:tr>
      <w:tr w14:paraId="7C7C71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21" w:type="pct"/>
            <w:noWrap w:val="0"/>
            <w:vAlign w:val="center"/>
          </w:tcPr>
          <w:p w14:paraId="74B22DF2">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w:t>
            </w:r>
          </w:p>
        </w:tc>
        <w:tc>
          <w:tcPr>
            <w:tcW w:w="536" w:type="pct"/>
            <w:noWrap w:val="0"/>
            <w:vAlign w:val="center"/>
          </w:tcPr>
          <w:p w14:paraId="1C30D93D">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废机油</w:t>
            </w:r>
          </w:p>
        </w:tc>
        <w:tc>
          <w:tcPr>
            <w:tcW w:w="487" w:type="pct"/>
            <w:noWrap w:val="0"/>
            <w:vAlign w:val="center"/>
          </w:tcPr>
          <w:p w14:paraId="5E643874">
            <w:pPr>
              <w:pStyle w:val="4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textAlignment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HW08 </w:t>
            </w:r>
          </w:p>
          <w:p w14:paraId="10B59828">
            <w:pPr>
              <w:pStyle w:val="4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textAlignment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废矿物油与含矿物油废物</w:t>
            </w:r>
          </w:p>
        </w:tc>
        <w:tc>
          <w:tcPr>
            <w:tcW w:w="487" w:type="pct"/>
            <w:noWrap w:val="0"/>
            <w:vAlign w:val="center"/>
          </w:tcPr>
          <w:p w14:paraId="0E698A4F">
            <w:pPr>
              <w:pStyle w:val="43"/>
              <w:keepNext w:val="0"/>
              <w:keepLines w:val="0"/>
              <w:suppressLineNumbers w:val="0"/>
              <w:bidi w:val="0"/>
              <w:spacing w:before="0" w:beforeAutospacing="0" w:after="0" w:afterAutospacing="0"/>
              <w:ind w:left="0"/>
              <w:rPr>
                <w:rFonts w:hint="eastAsia"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eastAsia="zh-CN"/>
              </w:rPr>
              <w:t>900-249-08</w:t>
            </w:r>
          </w:p>
        </w:tc>
        <w:tc>
          <w:tcPr>
            <w:tcW w:w="556" w:type="pct"/>
            <w:noWrap w:val="0"/>
            <w:vAlign w:val="center"/>
          </w:tcPr>
          <w:p w14:paraId="0F10132F">
            <w:pPr>
              <w:pStyle w:val="43"/>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1</w:t>
            </w:r>
          </w:p>
        </w:tc>
        <w:tc>
          <w:tcPr>
            <w:tcW w:w="574" w:type="pct"/>
            <w:noWrap w:val="0"/>
            <w:vAlign w:val="center"/>
          </w:tcPr>
          <w:p w14:paraId="3784C2D6">
            <w:pPr>
              <w:pStyle w:val="43"/>
              <w:keepNext w:val="0"/>
              <w:keepLines w:val="0"/>
              <w:suppressLineNumbers w:val="0"/>
              <w:bidi w:val="0"/>
              <w:spacing w:before="0" w:beforeAutospacing="0" w:after="0" w:afterAutospacing="0"/>
              <w:ind w:left="0"/>
              <w:rPr>
                <w:rFonts w:hint="eastAsia"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3</w:t>
            </w:r>
          </w:p>
        </w:tc>
        <w:tc>
          <w:tcPr>
            <w:tcW w:w="574" w:type="pct"/>
            <w:noWrap w:val="0"/>
            <w:vAlign w:val="center"/>
          </w:tcPr>
          <w:p w14:paraId="7600153D">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设备维修</w:t>
            </w:r>
          </w:p>
        </w:tc>
        <w:tc>
          <w:tcPr>
            <w:tcW w:w="374" w:type="pct"/>
            <w:noWrap w:val="0"/>
            <w:vAlign w:val="center"/>
          </w:tcPr>
          <w:p w14:paraId="3184F9B9">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液</w:t>
            </w:r>
          </w:p>
        </w:tc>
        <w:tc>
          <w:tcPr>
            <w:tcW w:w="396" w:type="pct"/>
            <w:noWrap w:val="0"/>
            <w:vAlign w:val="center"/>
          </w:tcPr>
          <w:p w14:paraId="29264E99">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油类</w:t>
            </w:r>
          </w:p>
        </w:tc>
        <w:tc>
          <w:tcPr>
            <w:tcW w:w="394" w:type="pct"/>
            <w:noWrap w:val="0"/>
            <w:vAlign w:val="center"/>
          </w:tcPr>
          <w:p w14:paraId="157396DB">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rPr>
              <w:t>T/In</w:t>
            </w:r>
          </w:p>
        </w:tc>
        <w:tc>
          <w:tcPr>
            <w:tcW w:w="394" w:type="pct"/>
            <w:vMerge w:val="restart"/>
            <w:noWrap w:val="0"/>
            <w:vAlign w:val="center"/>
          </w:tcPr>
          <w:p w14:paraId="6A68269F">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委托有资质的单位处理</w:t>
            </w:r>
          </w:p>
        </w:tc>
      </w:tr>
      <w:tr w14:paraId="1B4B68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21" w:type="pct"/>
            <w:noWrap w:val="0"/>
            <w:vAlign w:val="center"/>
          </w:tcPr>
          <w:p w14:paraId="7DFB8F0A">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val="en-US" w:eastAsia="zh-CN"/>
              </w:rPr>
              <w:t>2</w:t>
            </w:r>
          </w:p>
        </w:tc>
        <w:tc>
          <w:tcPr>
            <w:tcW w:w="536" w:type="pct"/>
            <w:noWrap w:val="0"/>
            <w:vAlign w:val="center"/>
          </w:tcPr>
          <w:p w14:paraId="695FC9AF">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含油抹布、手套、劳保用品</w:t>
            </w:r>
          </w:p>
        </w:tc>
        <w:tc>
          <w:tcPr>
            <w:tcW w:w="487" w:type="pct"/>
            <w:noWrap w:val="0"/>
            <w:vAlign w:val="center"/>
          </w:tcPr>
          <w:p w14:paraId="7417DDC3">
            <w:pPr>
              <w:pStyle w:val="4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textAlignment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HW49其他废物</w:t>
            </w:r>
          </w:p>
        </w:tc>
        <w:tc>
          <w:tcPr>
            <w:tcW w:w="487" w:type="pct"/>
            <w:noWrap w:val="0"/>
            <w:vAlign w:val="center"/>
          </w:tcPr>
          <w:p w14:paraId="6AA3CFA0">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900-</w:t>
            </w:r>
            <w:r>
              <w:rPr>
                <w:rFonts w:hint="default" w:ascii="Times New Roman" w:hAnsi="Times New Roman" w:cs="Times New Roman"/>
                <w:color w:val="auto"/>
                <w:highlight w:val="none"/>
                <w:u w:val="none" w:color="auto"/>
                <w:lang w:val="en-US" w:eastAsia="zh-CN"/>
              </w:rPr>
              <w:t>0</w:t>
            </w:r>
            <w:r>
              <w:rPr>
                <w:rFonts w:hint="default" w:ascii="Times New Roman" w:hAnsi="Times New Roman" w:cs="Times New Roman"/>
                <w:color w:val="auto"/>
                <w:highlight w:val="none"/>
                <w:u w:val="none" w:color="auto"/>
              </w:rPr>
              <w:t>41-49</w:t>
            </w:r>
          </w:p>
        </w:tc>
        <w:tc>
          <w:tcPr>
            <w:tcW w:w="556" w:type="pct"/>
            <w:noWrap w:val="0"/>
            <w:vAlign w:val="center"/>
          </w:tcPr>
          <w:p w14:paraId="58BF7B24">
            <w:pPr>
              <w:pStyle w:val="43"/>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rPr>
              <w:t>0.</w:t>
            </w:r>
            <w:r>
              <w:rPr>
                <w:rFonts w:hint="default" w:ascii="Times New Roman" w:hAnsi="Times New Roman" w:cs="Times New Roman"/>
                <w:color w:val="auto"/>
                <w:highlight w:val="none"/>
                <w:u w:val="none" w:color="auto"/>
                <w:lang w:val="en-US" w:eastAsia="zh-CN"/>
              </w:rPr>
              <w:t>01</w:t>
            </w:r>
          </w:p>
        </w:tc>
        <w:tc>
          <w:tcPr>
            <w:tcW w:w="574" w:type="pct"/>
            <w:noWrap w:val="0"/>
            <w:vAlign w:val="center"/>
          </w:tcPr>
          <w:p w14:paraId="7169FF6D">
            <w:pPr>
              <w:pStyle w:val="43"/>
              <w:keepNext w:val="0"/>
              <w:keepLines w:val="0"/>
              <w:suppressLineNumbers w:val="0"/>
              <w:bidi w:val="0"/>
              <w:spacing w:before="0" w:beforeAutospacing="0" w:after="0" w:afterAutospacing="0"/>
              <w:ind w:left="0"/>
              <w:rPr>
                <w:rFonts w:hint="eastAsia" w:ascii="Times New Roman" w:hAnsi="Times New Roman" w:eastAsia="宋体"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1</w:t>
            </w:r>
          </w:p>
        </w:tc>
        <w:tc>
          <w:tcPr>
            <w:tcW w:w="574" w:type="pct"/>
            <w:noWrap w:val="0"/>
            <w:vAlign w:val="center"/>
          </w:tcPr>
          <w:p w14:paraId="2E14A4F9">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设备维修</w:t>
            </w:r>
          </w:p>
        </w:tc>
        <w:tc>
          <w:tcPr>
            <w:tcW w:w="374" w:type="pct"/>
            <w:noWrap w:val="0"/>
            <w:vAlign w:val="center"/>
          </w:tcPr>
          <w:p w14:paraId="7EEA8CF6">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固</w:t>
            </w:r>
          </w:p>
        </w:tc>
        <w:tc>
          <w:tcPr>
            <w:tcW w:w="396" w:type="pct"/>
            <w:noWrap w:val="0"/>
            <w:vAlign w:val="center"/>
          </w:tcPr>
          <w:p w14:paraId="377D91E3">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油类</w:t>
            </w:r>
          </w:p>
        </w:tc>
        <w:tc>
          <w:tcPr>
            <w:tcW w:w="394" w:type="pct"/>
            <w:noWrap w:val="0"/>
            <w:vAlign w:val="center"/>
          </w:tcPr>
          <w:p w14:paraId="0E461AF2">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T/In</w:t>
            </w:r>
          </w:p>
        </w:tc>
        <w:tc>
          <w:tcPr>
            <w:tcW w:w="394" w:type="pct"/>
            <w:vMerge w:val="continue"/>
            <w:noWrap w:val="0"/>
            <w:vAlign w:val="center"/>
          </w:tcPr>
          <w:p w14:paraId="6D4886F8">
            <w:pPr>
              <w:pStyle w:val="43"/>
              <w:keepNext w:val="0"/>
              <w:keepLines w:val="0"/>
              <w:suppressLineNumbers w:val="0"/>
              <w:bidi w:val="0"/>
              <w:spacing w:before="0" w:beforeAutospacing="0" w:after="0" w:afterAutospacing="0"/>
              <w:ind w:left="0"/>
              <w:rPr>
                <w:rFonts w:hint="default" w:ascii="Times New Roman" w:hAnsi="Times New Roman" w:cs="Times New Roman"/>
                <w:color w:val="auto"/>
                <w:highlight w:val="none"/>
                <w:u w:val="none" w:color="auto"/>
              </w:rPr>
            </w:pPr>
          </w:p>
        </w:tc>
      </w:tr>
    </w:tbl>
    <w:p w14:paraId="60BD00B9">
      <w:pPr>
        <w:widowControl/>
        <w:ind w:firstLine="480"/>
        <w:jc w:val="left"/>
        <w:rPr>
          <w:rFonts w:hint="default" w:ascii="Times New Roman" w:hAnsi="Times New Roman" w:cs="Times New Roman"/>
          <w:color w:val="000000"/>
          <w:kern w:val="0"/>
          <w:highlight w:val="none"/>
          <w:u w:val="none"/>
          <w:lang w:bidi="ar"/>
        </w:rPr>
      </w:pPr>
      <w:r>
        <w:rPr>
          <w:rFonts w:hint="default" w:ascii="Times New Roman" w:hAnsi="Times New Roman" w:cs="Times New Roman"/>
          <w:color w:val="000000"/>
          <w:kern w:val="0"/>
          <w:highlight w:val="none"/>
          <w:u w:val="none"/>
          <w:lang w:bidi="ar"/>
        </w:rPr>
        <w:t>综上，企业危废暂存间贮存能力可行。</w:t>
      </w:r>
    </w:p>
    <w:p w14:paraId="12CE56AB">
      <w:pPr>
        <w:bidi w:val="0"/>
        <w:rPr>
          <w:rFonts w:hint="eastAsia"/>
          <w:lang w:val="en-US" w:eastAsia="zh-CN"/>
        </w:rPr>
      </w:pPr>
      <w:r>
        <w:rPr>
          <w:rFonts w:hint="eastAsia"/>
          <w:lang w:eastAsia="zh-CN"/>
        </w:rPr>
        <w:t>（</w:t>
      </w:r>
      <w:r>
        <w:rPr>
          <w:rFonts w:hint="eastAsia"/>
          <w:lang w:val="en-US" w:eastAsia="zh-CN"/>
        </w:rPr>
        <w:t>3）转运</w:t>
      </w:r>
    </w:p>
    <w:p w14:paraId="40D394C4">
      <w:pPr>
        <w:bidi w:val="0"/>
        <w:rPr>
          <w:rFonts w:hint="default"/>
          <w:lang w:val="en-US" w:eastAsia="zh-CN"/>
        </w:rPr>
      </w:pPr>
      <w:r>
        <w:rPr>
          <w:rFonts w:hint="default"/>
          <w:lang w:val="en-US" w:eastAsia="zh-CN"/>
        </w:rPr>
        <w:t>危险废物的转运应按照《危险废物收集贮存运输技术规范》（HJ2025-2012）的要求进行，具体如下：</w:t>
      </w:r>
    </w:p>
    <w:p w14:paraId="7C9D6F8F">
      <w:pPr>
        <w:bidi w:val="0"/>
        <w:rPr>
          <w:rFonts w:hint="default"/>
          <w:lang w:val="en-US" w:eastAsia="zh-CN"/>
        </w:rPr>
      </w:pPr>
      <w:r>
        <w:rPr>
          <w:rFonts w:hint="default"/>
          <w:lang w:val="en-US" w:eastAsia="zh-CN"/>
        </w:rPr>
        <w:t>①危险废物的运输由持有危险废物经营许可证的单位组织实施，并按照相关危险货物运输管理规定执行；</w:t>
      </w:r>
    </w:p>
    <w:p w14:paraId="3710EA88">
      <w:pPr>
        <w:bidi w:val="0"/>
        <w:rPr>
          <w:rFonts w:hint="default"/>
          <w:lang w:val="en-US" w:eastAsia="zh-CN"/>
        </w:rPr>
      </w:pPr>
      <w:r>
        <w:rPr>
          <w:rFonts w:hint="default"/>
          <w:lang w:val="en-US" w:eastAsia="zh-CN"/>
        </w:rPr>
        <w:t>②拟建项目危险废物运输采用公路运输方式，应按照《道路危险货物运输管理规定》（交通部令[2005]第9号）执行。运输单位承运危险废物时，应在危险废物包装上按照GB18597附录A设置标志，运输车辆应按GB13392设立车辆标志。危险废物运输车辆应配备符合有关国家标准以及与所载运的危险货物相适应的应急处理器材和安全防护设备。</w:t>
      </w:r>
    </w:p>
    <w:p w14:paraId="1315BAC3">
      <w:pPr>
        <w:bidi w:val="0"/>
        <w:rPr>
          <w:rFonts w:hint="default"/>
          <w:lang w:val="en-US" w:eastAsia="zh-CN"/>
        </w:rPr>
      </w:pPr>
      <w:r>
        <w:rPr>
          <w:rFonts w:hint="default"/>
          <w:lang w:val="en-US" w:eastAsia="zh-CN"/>
        </w:rPr>
        <w:t>③危险废物运输时的装卸应遵照如下技术要求：a.装卸区的工作人员应熟悉危险废物的危险特性，并配备适当的个人防护装备，如橡胶手套、防护服和口罩。b.装卸区域应配备必要的消防设备和设施，并设置明显的指示标志。装卸区域应设置隔离设施。</w:t>
      </w:r>
    </w:p>
    <w:p w14:paraId="16A3CE0C">
      <w:pPr>
        <w:bidi w:val="0"/>
        <w:rPr>
          <w:rFonts w:hint="eastAsia"/>
          <w:lang w:val="en-US" w:eastAsia="zh-CN"/>
        </w:rPr>
      </w:pPr>
      <w:r>
        <w:rPr>
          <w:rFonts w:hint="eastAsia"/>
          <w:lang w:val="en-US" w:eastAsia="zh-CN"/>
        </w:rPr>
        <w:t>3、结论</w:t>
      </w:r>
    </w:p>
    <w:p w14:paraId="7D95AB1B">
      <w:pPr>
        <w:bidi w:val="0"/>
        <w:rPr>
          <w:rFonts w:hint="default"/>
          <w:highlight w:val="none"/>
          <w:lang w:val="en-US" w:eastAsia="zh-CN"/>
        </w:rPr>
      </w:pPr>
      <w:r>
        <w:rPr>
          <w:rFonts w:hint="default"/>
          <w:lang w:val="en-US" w:eastAsia="zh-CN"/>
        </w:rPr>
        <w:t>项目针对固体废物的产生情况采取了合理的处置措施，固体废物的收集、贮运和转运环节也严格按照《一般工业固体废物贮存和填埋污染控制标准》（GB18599-2020）、《危险废物贮存污染控制标准》（GB18597-2023）以及《危险废物收集贮存运</w:t>
      </w:r>
      <w:r>
        <w:rPr>
          <w:rFonts w:hint="default"/>
          <w:highlight w:val="none"/>
          <w:lang w:val="en-US" w:eastAsia="zh-CN"/>
        </w:rPr>
        <w:t>输技术规范》（HJ2025-2012）等相关规范进行。</w:t>
      </w:r>
    </w:p>
    <w:p w14:paraId="31599495">
      <w:pPr>
        <w:bidi w:val="0"/>
        <w:rPr>
          <w:rFonts w:hint="default"/>
          <w:highlight w:val="none"/>
          <w:lang w:val="en-US" w:eastAsia="zh-CN"/>
        </w:rPr>
      </w:pPr>
      <w:r>
        <w:rPr>
          <w:rFonts w:hint="default"/>
          <w:highlight w:val="none"/>
          <w:lang w:val="en-US" w:eastAsia="zh-CN"/>
        </w:rPr>
        <w:t>综上所述，本项目固体废物严格按照上述措施贮存、处置后，能够满足固体废物环保控制要求，不会对周围环境造成二次污染。项目产生的固体废物对周围环境的影响较小。</w:t>
      </w:r>
    </w:p>
    <w:p w14:paraId="588336DA">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营运期土壤环境影响分析</w:t>
      </w:r>
    </w:p>
    <w:p w14:paraId="1B7FFB6B">
      <w:pPr>
        <w:pStyle w:val="18"/>
        <w:numPr>
          <w:ilvl w:val="0"/>
          <w:numId w:val="0"/>
        </w:numPr>
        <w:spacing w:line="360" w:lineRule="auto"/>
        <w:ind w:firstLine="480" w:firstLineChars="200"/>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根据《环境影响评价技术导则－土壤环境》（HJ964-2018），本项目属于Ⅱ类建设项目（属于水力发电；火力发电（燃气发电除外）；矸石、油页岩、石油焦等综合利用发电；工业废水处理；燃气生产），污染影响型；位于</w:t>
      </w:r>
      <w:r>
        <w:rPr>
          <w:rFonts w:hint="eastAsia" w:ascii="Times New Roman" w:hAnsi="Times New Roman" w:cs="Times New Roman"/>
          <w:color w:val="auto"/>
          <w:sz w:val="24"/>
          <w:szCs w:val="24"/>
          <w:highlight w:val="none"/>
          <w:u w:val="none" w:color="auto"/>
          <w:lang w:val="en-US" w:eastAsia="zh-CN"/>
        </w:rPr>
        <w:t>湘阴</w:t>
      </w:r>
      <w:r>
        <w:rPr>
          <w:rFonts w:hint="default" w:ascii="Times New Roman" w:hAnsi="Times New Roman" w:cs="Times New Roman"/>
          <w:color w:val="auto"/>
          <w:sz w:val="24"/>
          <w:szCs w:val="24"/>
          <w:highlight w:val="none"/>
          <w:u w:val="none" w:color="auto"/>
          <w:lang w:val="en-US" w:eastAsia="zh-CN"/>
        </w:rPr>
        <w:t>高新技术产业开发区属于工业园区项目，周边</w:t>
      </w:r>
      <w:r>
        <w:rPr>
          <w:rFonts w:hint="eastAsia" w:ascii="Times New Roman" w:hAnsi="Times New Roman" w:cs="Times New Roman"/>
          <w:color w:val="auto"/>
          <w:sz w:val="24"/>
          <w:szCs w:val="24"/>
          <w:highlight w:val="none"/>
          <w:u w:val="none" w:color="auto"/>
          <w:lang w:val="en-US" w:eastAsia="zh-CN"/>
        </w:rPr>
        <w:t>无敏感目标</w:t>
      </w:r>
      <w:r>
        <w:rPr>
          <w:rFonts w:hint="default" w:ascii="Times New Roman" w:hAnsi="Times New Roman" w:cs="Times New Roman"/>
          <w:color w:val="auto"/>
          <w:sz w:val="24"/>
          <w:szCs w:val="24"/>
          <w:highlight w:val="none"/>
          <w:u w:val="none" w:color="auto"/>
          <w:lang w:val="en-US" w:eastAsia="zh-CN"/>
        </w:rPr>
        <w:t>，敏感类型为</w:t>
      </w:r>
      <w:r>
        <w:rPr>
          <w:rFonts w:hint="eastAsia" w:ascii="Times New Roman" w:hAnsi="Times New Roman" w:cs="Times New Roman"/>
          <w:color w:val="auto"/>
          <w:sz w:val="24"/>
          <w:szCs w:val="24"/>
          <w:highlight w:val="none"/>
          <w:u w:val="none" w:color="auto"/>
          <w:lang w:val="en-US" w:eastAsia="zh-CN"/>
        </w:rPr>
        <w:t>不</w:t>
      </w:r>
      <w:r>
        <w:rPr>
          <w:rFonts w:hint="default" w:ascii="Times New Roman" w:hAnsi="Times New Roman" w:cs="Times New Roman"/>
          <w:color w:val="auto"/>
          <w:sz w:val="24"/>
          <w:szCs w:val="24"/>
          <w:highlight w:val="none"/>
          <w:u w:val="none" w:color="auto"/>
          <w:lang w:val="en-US" w:eastAsia="zh-CN"/>
        </w:rPr>
        <w:t>敏感，占地规模</w:t>
      </w:r>
      <w:r>
        <w:rPr>
          <w:rFonts w:hint="eastAsia" w:ascii="Times New Roman" w:hAnsi="Times New Roman" w:cs="Times New Roman"/>
          <w:color w:val="auto"/>
          <w:sz w:val="24"/>
          <w:szCs w:val="24"/>
          <w:highlight w:val="none"/>
          <w:u w:val="none" w:color="auto"/>
          <w:lang w:val="en-US" w:eastAsia="zh-CN"/>
        </w:rPr>
        <w:t>小</w:t>
      </w:r>
      <w:r>
        <w:rPr>
          <w:rFonts w:hint="default" w:ascii="Times New Roman" w:hAnsi="Times New Roman" w:cs="Times New Roman"/>
          <w:color w:val="auto"/>
          <w:sz w:val="24"/>
          <w:szCs w:val="24"/>
          <w:highlight w:val="none"/>
          <w:u w:val="none" w:color="auto"/>
          <w:lang w:val="en-US" w:eastAsia="zh-CN"/>
        </w:rPr>
        <w:t>型，根据导则要求确定本项目土壤环境评价工作等级为</w:t>
      </w:r>
      <w:r>
        <w:rPr>
          <w:rFonts w:hint="eastAsia" w:ascii="Times New Roman" w:hAnsi="Times New Roman" w:cs="Times New Roman"/>
          <w:color w:val="auto"/>
          <w:sz w:val="24"/>
          <w:szCs w:val="24"/>
          <w:highlight w:val="none"/>
          <w:u w:val="none" w:color="auto"/>
          <w:lang w:val="en-US" w:eastAsia="zh-CN"/>
        </w:rPr>
        <w:t>三</w:t>
      </w:r>
      <w:r>
        <w:rPr>
          <w:rFonts w:hint="default" w:ascii="Times New Roman" w:hAnsi="Times New Roman" w:cs="Times New Roman"/>
          <w:color w:val="auto"/>
          <w:sz w:val="24"/>
          <w:szCs w:val="24"/>
          <w:highlight w:val="none"/>
          <w:u w:val="none" w:color="auto"/>
          <w:lang w:val="en-US" w:eastAsia="zh-CN"/>
        </w:rPr>
        <w:t>级。本项目土壤环境影响评价范围为项目厂界外</w:t>
      </w:r>
      <w:r>
        <w:rPr>
          <w:rFonts w:hint="eastAsia" w:ascii="Times New Roman" w:hAnsi="Times New Roman" w:cs="Times New Roman"/>
          <w:color w:val="auto"/>
          <w:sz w:val="24"/>
          <w:szCs w:val="24"/>
          <w:highlight w:val="none"/>
          <w:u w:val="none" w:color="auto"/>
          <w:lang w:val="en-US" w:eastAsia="zh-CN"/>
        </w:rPr>
        <w:t>50</w:t>
      </w:r>
      <w:r>
        <w:rPr>
          <w:rFonts w:hint="default" w:ascii="Times New Roman" w:hAnsi="Times New Roman" w:cs="Times New Roman"/>
          <w:color w:val="auto"/>
          <w:sz w:val="24"/>
          <w:szCs w:val="24"/>
          <w:highlight w:val="none"/>
          <w:u w:val="none" w:color="auto"/>
          <w:lang w:val="en-US" w:eastAsia="zh-CN"/>
        </w:rPr>
        <w:t>m。</w:t>
      </w:r>
    </w:p>
    <w:p w14:paraId="3470ABA8">
      <w:pPr>
        <w:pStyle w:val="7"/>
        <w:bidi w:val="0"/>
        <w:ind w:left="-480" w:leftChars="0" w:firstLineChars="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土壤污染种类</w:t>
      </w:r>
    </w:p>
    <w:p w14:paraId="0080DCBB">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土壤污染物的种类繁多，按污染物的性质一般可分为4类，即有机污染物、重金属、放射性元素和病原微生物。</w:t>
      </w:r>
    </w:p>
    <w:p w14:paraId="74F053CE">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有机污染：作为影响土壤环境的主要污染物，有毒、有害的有机化合物在环境中不断积累，到一定时间或在一定条件下有可能给整个生态系统带来灾难性的后果。</w:t>
      </w:r>
    </w:p>
    <w:p w14:paraId="392C42E7">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重金属：污染物在土壤中移动性差、滞留时间长、不能被微生物降解并可经水、植物等介质最终影响人类健康。</w:t>
      </w:r>
    </w:p>
    <w:p w14:paraId="61A1D836">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放射性元素：主要来源于大气层核实验的沉降物，以及原子能和平利用过程中所排放的各种废气、废水和废渣。含有放射性元素的物质不可避免地随自然沉降、雨水冲刷和废弃物堆放而污染土壤。</w:t>
      </w:r>
    </w:p>
    <w:p w14:paraId="6A7C7871">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病原微生物：主要包括病原菌和病毒等，人若直接接触含有病原微生物的土壤，可能会对健康带来影响；若食用被土壤污染的蔬菜、水果等则间接受到污染。</w:t>
      </w:r>
    </w:p>
    <w:p w14:paraId="6D37D02F">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本项目对土壤环境的污染主要是有机污染物质。</w:t>
      </w:r>
    </w:p>
    <w:p w14:paraId="763C15B3">
      <w:pPr>
        <w:pStyle w:val="7"/>
        <w:bidi w:val="0"/>
        <w:rPr>
          <w:rFonts w:hint="default" w:ascii="Times New Roman" w:hAnsi="Times New Roman" w:cs="Times New Roman"/>
          <w:highlight w:val="none"/>
        </w:rPr>
      </w:pPr>
      <w:r>
        <w:rPr>
          <w:rFonts w:hint="default" w:ascii="Times New Roman" w:hAnsi="Times New Roman" w:cs="Times New Roman"/>
          <w:highlight w:val="none"/>
        </w:rPr>
        <w:t>土壤受污染的特点</w:t>
      </w:r>
    </w:p>
    <w:p w14:paraId="285456AC">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1、隐蔽性和滞后性</w:t>
      </w:r>
    </w:p>
    <w:p w14:paraId="50EC3A13">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大气、水和固废污染等问题一般都比较直观，通过感官就能发现。而土壤污染则不同，往往要通过对土壤样品进行分析化验和农作物的残留检测，甚至通过研究对人畜健康状况的影响才能确定。因此，土壤污染从产生污染到出现问题通 常会滞后较长的时间，且一般都不太容易受到重视。</w:t>
      </w:r>
    </w:p>
    <w:p w14:paraId="1C21AD12">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2、累积性</w:t>
      </w:r>
    </w:p>
    <w:p w14:paraId="71CC4C46">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污染物质在大气和水体中，一般都比在土壤中更容易迁移。这使得污染物质在土壤中并不像在大气和水体中那样容易扩散和稀释，因此容易在土壤中不断积累而超标，同时也使土壤污染具有很强的地域性。</w:t>
      </w:r>
    </w:p>
    <w:p w14:paraId="05DE1D77">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3、不可逆转性</w:t>
      </w:r>
    </w:p>
    <w:p w14:paraId="01BDBB68">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重金属对土壤的污染基本上是一个不可转的过程，许多有机化学物质的污染也需要较长的时间才能降解。</w:t>
      </w:r>
    </w:p>
    <w:p w14:paraId="119A4700">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4、难治理性</w:t>
      </w:r>
    </w:p>
    <w:p w14:paraId="25D5E6A2">
      <w:pPr>
        <w:pStyle w:val="18"/>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如果大气和水体受到污染，切断污染源之后通过稀释和自净化作用也有可能使污染问题不断逆转，但是积累在污染土壤中的难降解污染物则很难靠稀释作用 和自净化作用来消除。土壤污染一旦发生，仅仅依靠切断污染源的方法则往往很 难恢复，有时要靠换土、淋洗土壤等方法才能解决问题，其他治理技术可能见效 较慢。因此，治理污染土壤通常成本较高，治理周期较长。</w:t>
      </w:r>
    </w:p>
    <w:p w14:paraId="65E4F42B">
      <w:pPr>
        <w:pStyle w:val="7"/>
        <w:bidi w:val="0"/>
        <w:rPr>
          <w:rFonts w:hint="default" w:ascii="Times New Roman" w:hAnsi="Times New Roman" w:cs="Times New Roman"/>
          <w:highlight w:val="none"/>
        </w:rPr>
      </w:pPr>
      <w:r>
        <w:rPr>
          <w:rFonts w:hint="default" w:ascii="Times New Roman" w:hAnsi="Times New Roman" w:cs="Times New Roman"/>
          <w:highlight w:val="none"/>
        </w:rPr>
        <w:t>影响源及影响因子识别</w:t>
      </w:r>
    </w:p>
    <w:p w14:paraId="517EF8D7">
      <w:pPr>
        <w:bidi w:val="0"/>
        <w:rPr>
          <w:rFonts w:hint="default" w:ascii="Times New Roman" w:hAnsi="Times New Roman" w:cs="Times New Roman"/>
          <w:highlight w:val="none"/>
        </w:rPr>
      </w:pPr>
      <w:r>
        <w:rPr>
          <w:rFonts w:hint="default" w:ascii="Times New Roman" w:hAnsi="Times New Roman" w:cs="Times New Roman"/>
          <w:highlight w:val="none"/>
        </w:rPr>
        <w:t>本项目土壤环境影响源及影响因子识别见下表。</w:t>
      </w:r>
    </w:p>
    <w:p w14:paraId="74A0F8BE">
      <w:pPr>
        <w:pStyle w:val="39"/>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 6.2-</w:t>
      </w:r>
      <w:r>
        <w:rPr>
          <w:rFonts w:hint="eastAsia" w:cs="Times New Roman"/>
          <w:highlight w:val="none"/>
          <w:lang w:val="en-US" w:eastAsia="zh-CN"/>
        </w:rPr>
        <w:t>35</w:t>
      </w:r>
      <w:r>
        <w:rPr>
          <w:rFonts w:hint="default" w:ascii="Times New Roman" w:hAnsi="Times New Roman" w:cs="Times New Roman"/>
          <w:highlight w:val="none"/>
          <w:lang w:val="en-US" w:eastAsia="zh-CN"/>
        </w:rPr>
        <w:t xml:space="preserve">  土壤环境影响类型与影响途径表</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68"/>
        <w:gridCol w:w="1507"/>
        <w:gridCol w:w="1821"/>
        <w:gridCol w:w="2244"/>
        <w:gridCol w:w="1094"/>
      </w:tblGrid>
      <w:tr w14:paraId="50ACA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001" w:type="pct"/>
            <w:vMerge w:val="restart"/>
            <w:tcBorders>
              <w:top w:val="single" w:color="000000" w:sz="12" w:space="0"/>
              <w:left w:val="single" w:color="000000" w:sz="12" w:space="0"/>
              <w:bottom w:val="single" w:color="000000" w:sz="4" w:space="0"/>
              <w:right w:val="single" w:color="000000" w:sz="4" w:space="0"/>
            </w:tcBorders>
            <w:vAlign w:val="center"/>
          </w:tcPr>
          <w:p w14:paraId="10F8F520">
            <w:pPr>
              <w:pStyle w:val="42"/>
              <w:bidi w:val="0"/>
              <w:jc w:val="center"/>
              <w:rPr>
                <w:highlight w:val="none"/>
              </w:rPr>
            </w:pPr>
            <w:r>
              <w:rPr>
                <w:highlight w:val="none"/>
              </w:rPr>
              <w:t>不同时段</w:t>
            </w:r>
          </w:p>
        </w:tc>
        <w:tc>
          <w:tcPr>
            <w:tcW w:w="3998" w:type="pct"/>
            <w:gridSpan w:val="4"/>
            <w:tcBorders>
              <w:top w:val="single" w:color="000000" w:sz="12" w:space="0"/>
              <w:left w:val="single" w:color="000000" w:sz="4" w:space="0"/>
              <w:bottom w:val="single" w:color="000000" w:sz="4" w:space="0"/>
              <w:right w:val="single" w:color="000000" w:sz="12" w:space="0"/>
            </w:tcBorders>
            <w:vAlign w:val="center"/>
          </w:tcPr>
          <w:p w14:paraId="234A9C23">
            <w:pPr>
              <w:pStyle w:val="42"/>
              <w:bidi w:val="0"/>
              <w:jc w:val="center"/>
              <w:rPr>
                <w:highlight w:val="none"/>
              </w:rPr>
            </w:pPr>
            <w:r>
              <w:rPr>
                <w:highlight w:val="none"/>
              </w:rPr>
              <w:t>污染影响途径</w:t>
            </w:r>
          </w:p>
        </w:tc>
      </w:tr>
      <w:tr w14:paraId="1D8C03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001" w:type="pct"/>
            <w:vMerge w:val="continue"/>
            <w:tcBorders>
              <w:top w:val="single" w:color="000000" w:sz="4" w:space="0"/>
              <w:left w:val="single" w:color="000000" w:sz="12" w:space="0"/>
              <w:bottom w:val="single" w:color="000000" w:sz="4" w:space="0"/>
              <w:right w:val="single" w:color="000000" w:sz="4" w:space="0"/>
            </w:tcBorders>
            <w:vAlign w:val="center"/>
          </w:tcPr>
          <w:p w14:paraId="184FF1E7">
            <w:pPr>
              <w:pStyle w:val="42"/>
              <w:bidi w:val="0"/>
              <w:jc w:val="center"/>
              <w:rPr>
                <w:highlight w:val="none"/>
              </w:rPr>
            </w:pPr>
          </w:p>
        </w:tc>
        <w:tc>
          <w:tcPr>
            <w:tcW w:w="904" w:type="pct"/>
            <w:tcBorders>
              <w:top w:val="single" w:color="000000" w:sz="4" w:space="0"/>
              <w:left w:val="single" w:color="000000" w:sz="4" w:space="0"/>
              <w:bottom w:val="single" w:color="000000" w:sz="4" w:space="0"/>
              <w:right w:val="single" w:color="000000" w:sz="4" w:space="0"/>
            </w:tcBorders>
            <w:vAlign w:val="center"/>
          </w:tcPr>
          <w:p w14:paraId="56B33C38">
            <w:pPr>
              <w:pStyle w:val="42"/>
              <w:bidi w:val="0"/>
              <w:jc w:val="center"/>
              <w:rPr>
                <w:highlight w:val="none"/>
              </w:rPr>
            </w:pPr>
            <w:r>
              <w:rPr>
                <w:highlight w:val="none"/>
              </w:rPr>
              <w:t>大气沉降</w:t>
            </w:r>
          </w:p>
        </w:tc>
        <w:tc>
          <w:tcPr>
            <w:tcW w:w="1092" w:type="pct"/>
            <w:tcBorders>
              <w:top w:val="single" w:color="000000" w:sz="4" w:space="0"/>
              <w:left w:val="single" w:color="000000" w:sz="4" w:space="0"/>
              <w:bottom w:val="single" w:color="000000" w:sz="4" w:space="0"/>
              <w:right w:val="single" w:color="000000" w:sz="4" w:space="0"/>
            </w:tcBorders>
            <w:vAlign w:val="center"/>
          </w:tcPr>
          <w:p w14:paraId="16855B15">
            <w:pPr>
              <w:pStyle w:val="42"/>
              <w:bidi w:val="0"/>
              <w:jc w:val="center"/>
              <w:rPr>
                <w:highlight w:val="none"/>
              </w:rPr>
            </w:pPr>
            <w:r>
              <w:rPr>
                <w:highlight w:val="none"/>
              </w:rPr>
              <w:t>地面漫流</w:t>
            </w:r>
          </w:p>
        </w:tc>
        <w:tc>
          <w:tcPr>
            <w:tcW w:w="1346" w:type="pct"/>
            <w:tcBorders>
              <w:top w:val="single" w:color="000000" w:sz="4" w:space="0"/>
              <w:left w:val="single" w:color="000000" w:sz="4" w:space="0"/>
              <w:bottom w:val="single" w:color="000000" w:sz="4" w:space="0"/>
              <w:right w:val="single" w:color="000000" w:sz="4" w:space="0"/>
            </w:tcBorders>
            <w:vAlign w:val="center"/>
          </w:tcPr>
          <w:p w14:paraId="0A5CB2AD">
            <w:pPr>
              <w:pStyle w:val="42"/>
              <w:bidi w:val="0"/>
              <w:jc w:val="center"/>
              <w:rPr>
                <w:highlight w:val="none"/>
              </w:rPr>
            </w:pPr>
            <w:r>
              <w:rPr>
                <w:highlight w:val="none"/>
              </w:rPr>
              <w:t>垂直入渗</w:t>
            </w:r>
          </w:p>
        </w:tc>
        <w:tc>
          <w:tcPr>
            <w:tcW w:w="655" w:type="pct"/>
            <w:tcBorders>
              <w:top w:val="single" w:color="000000" w:sz="4" w:space="0"/>
              <w:left w:val="single" w:color="000000" w:sz="4" w:space="0"/>
              <w:bottom w:val="single" w:color="000000" w:sz="4" w:space="0"/>
              <w:right w:val="single" w:color="000000" w:sz="12" w:space="0"/>
            </w:tcBorders>
            <w:vAlign w:val="center"/>
          </w:tcPr>
          <w:p w14:paraId="55530B35">
            <w:pPr>
              <w:pStyle w:val="42"/>
              <w:bidi w:val="0"/>
              <w:jc w:val="center"/>
              <w:rPr>
                <w:highlight w:val="none"/>
              </w:rPr>
            </w:pPr>
            <w:r>
              <w:rPr>
                <w:highlight w:val="none"/>
              </w:rPr>
              <w:t>其他</w:t>
            </w:r>
          </w:p>
        </w:tc>
      </w:tr>
      <w:tr w14:paraId="709D0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001" w:type="pct"/>
            <w:tcBorders>
              <w:top w:val="single" w:color="000000" w:sz="4" w:space="0"/>
              <w:left w:val="single" w:color="000000" w:sz="12" w:space="0"/>
              <w:bottom w:val="single" w:color="000000" w:sz="4" w:space="0"/>
              <w:right w:val="single" w:color="000000" w:sz="4" w:space="0"/>
            </w:tcBorders>
            <w:vAlign w:val="center"/>
          </w:tcPr>
          <w:p w14:paraId="6D0D646E">
            <w:pPr>
              <w:pStyle w:val="42"/>
              <w:bidi w:val="0"/>
              <w:jc w:val="center"/>
              <w:rPr>
                <w:highlight w:val="none"/>
              </w:rPr>
            </w:pPr>
            <w:r>
              <w:rPr>
                <w:highlight w:val="none"/>
              </w:rPr>
              <w:t>建设期</w:t>
            </w:r>
          </w:p>
        </w:tc>
        <w:tc>
          <w:tcPr>
            <w:tcW w:w="904" w:type="pct"/>
            <w:tcBorders>
              <w:top w:val="single" w:color="000000" w:sz="4" w:space="0"/>
              <w:left w:val="single" w:color="000000" w:sz="4" w:space="0"/>
              <w:bottom w:val="single" w:color="000000" w:sz="4" w:space="0"/>
              <w:right w:val="single" w:color="000000" w:sz="4" w:space="0"/>
            </w:tcBorders>
            <w:vAlign w:val="center"/>
          </w:tcPr>
          <w:p w14:paraId="5E597CF0">
            <w:pPr>
              <w:pStyle w:val="42"/>
              <w:bidi w:val="0"/>
              <w:jc w:val="center"/>
              <w:rPr>
                <w:highlight w:val="none"/>
              </w:rPr>
            </w:pPr>
          </w:p>
        </w:tc>
        <w:tc>
          <w:tcPr>
            <w:tcW w:w="1092" w:type="pct"/>
            <w:tcBorders>
              <w:top w:val="single" w:color="000000" w:sz="4" w:space="0"/>
              <w:left w:val="single" w:color="000000" w:sz="4" w:space="0"/>
              <w:bottom w:val="single" w:color="000000" w:sz="4" w:space="0"/>
              <w:right w:val="single" w:color="000000" w:sz="4" w:space="0"/>
            </w:tcBorders>
            <w:vAlign w:val="center"/>
          </w:tcPr>
          <w:p w14:paraId="502D46D7">
            <w:pPr>
              <w:pStyle w:val="42"/>
              <w:bidi w:val="0"/>
              <w:jc w:val="center"/>
              <w:rPr>
                <w:highlight w:val="none"/>
              </w:rPr>
            </w:pPr>
          </w:p>
        </w:tc>
        <w:tc>
          <w:tcPr>
            <w:tcW w:w="1346" w:type="pct"/>
            <w:tcBorders>
              <w:top w:val="single" w:color="000000" w:sz="4" w:space="0"/>
              <w:left w:val="single" w:color="000000" w:sz="4" w:space="0"/>
              <w:bottom w:val="single" w:color="000000" w:sz="4" w:space="0"/>
              <w:right w:val="single" w:color="000000" w:sz="4" w:space="0"/>
            </w:tcBorders>
            <w:vAlign w:val="center"/>
          </w:tcPr>
          <w:p w14:paraId="540C83B2">
            <w:pPr>
              <w:pStyle w:val="42"/>
              <w:bidi w:val="0"/>
              <w:jc w:val="center"/>
              <w:rPr>
                <w:highlight w:val="none"/>
              </w:rPr>
            </w:pPr>
            <w:r>
              <w:rPr>
                <w:highlight w:val="none"/>
              </w:rPr>
              <w:t>√</w:t>
            </w:r>
          </w:p>
        </w:tc>
        <w:tc>
          <w:tcPr>
            <w:tcW w:w="655" w:type="pct"/>
            <w:tcBorders>
              <w:top w:val="single" w:color="000000" w:sz="4" w:space="0"/>
              <w:left w:val="single" w:color="000000" w:sz="4" w:space="0"/>
              <w:bottom w:val="single" w:color="000000" w:sz="4" w:space="0"/>
              <w:right w:val="single" w:color="000000" w:sz="12" w:space="0"/>
            </w:tcBorders>
            <w:vAlign w:val="center"/>
          </w:tcPr>
          <w:p w14:paraId="36EBBA5A">
            <w:pPr>
              <w:pStyle w:val="42"/>
              <w:bidi w:val="0"/>
              <w:jc w:val="center"/>
              <w:rPr>
                <w:highlight w:val="none"/>
              </w:rPr>
            </w:pPr>
          </w:p>
        </w:tc>
      </w:tr>
      <w:tr w14:paraId="4F0FD2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001" w:type="pct"/>
            <w:tcBorders>
              <w:top w:val="single" w:color="000000" w:sz="4" w:space="0"/>
              <w:left w:val="single" w:color="000000" w:sz="12" w:space="0"/>
              <w:bottom w:val="single" w:color="000000" w:sz="4" w:space="0"/>
              <w:right w:val="single" w:color="000000" w:sz="4" w:space="0"/>
            </w:tcBorders>
            <w:vAlign w:val="center"/>
          </w:tcPr>
          <w:p w14:paraId="52C70E33">
            <w:pPr>
              <w:pStyle w:val="42"/>
              <w:bidi w:val="0"/>
              <w:jc w:val="center"/>
              <w:rPr>
                <w:highlight w:val="none"/>
              </w:rPr>
            </w:pPr>
            <w:r>
              <w:rPr>
                <w:highlight w:val="none"/>
              </w:rPr>
              <w:t>营运期</w:t>
            </w:r>
          </w:p>
        </w:tc>
        <w:tc>
          <w:tcPr>
            <w:tcW w:w="904" w:type="pct"/>
            <w:tcBorders>
              <w:top w:val="single" w:color="000000" w:sz="4" w:space="0"/>
              <w:left w:val="single" w:color="000000" w:sz="4" w:space="0"/>
              <w:bottom w:val="single" w:color="000000" w:sz="4" w:space="0"/>
              <w:right w:val="single" w:color="000000" w:sz="4" w:space="0"/>
            </w:tcBorders>
            <w:vAlign w:val="center"/>
          </w:tcPr>
          <w:p w14:paraId="233670E0">
            <w:pPr>
              <w:pStyle w:val="42"/>
              <w:bidi w:val="0"/>
              <w:jc w:val="center"/>
              <w:rPr>
                <w:highlight w:val="none"/>
              </w:rPr>
            </w:pPr>
          </w:p>
        </w:tc>
        <w:tc>
          <w:tcPr>
            <w:tcW w:w="1092" w:type="pct"/>
            <w:tcBorders>
              <w:top w:val="single" w:color="000000" w:sz="4" w:space="0"/>
              <w:left w:val="single" w:color="000000" w:sz="4" w:space="0"/>
              <w:bottom w:val="single" w:color="000000" w:sz="4" w:space="0"/>
              <w:right w:val="single" w:color="000000" w:sz="4" w:space="0"/>
            </w:tcBorders>
            <w:vAlign w:val="center"/>
          </w:tcPr>
          <w:p w14:paraId="3058411E">
            <w:pPr>
              <w:pStyle w:val="42"/>
              <w:bidi w:val="0"/>
              <w:jc w:val="center"/>
              <w:rPr>
                <w:highlight w:val="none"/>
              </w:rPr>
            </w:pPr>
          </w:p>
        </w:tc>
        <w:tc>
          <w:tcPr>
            <w:tcW w:w="1346" w:type="pct"/>
            <w:tcBorders>
              <w:top w:val="single" w:color="000000" w:sz="4" w:space="0"/>
              <w:left w:val="single" w:color="000000" w:sz="4" w:space="0"/>
              <w:bottom w:val="single" w:color="000000" w:sz="4" w:space="0"/>
              <w:right w:val="single" w:color="000000" w:sz="4" w:space="0"/>
            </w:tcBorders>
            <w:vAlign w:val="center"/>
          </w:tcPr>
          <w:p w14:paraId="3CBAA015">
            <w:pPr>
              <w:pStyle w:val="42"/>
              <w:bidi w:val="0"/>
              <w:jc w:val="center"/>
              <w:rPr>
                <w:highlight w:val="none"/>
              </w:rPr>
            </w:pPr>
            <w:r>
              <w:rPr>
                <w:highlight w:val="none"/>
              </w:rPr>
              <w:t>√</w:t>
            </w:r>
          </w:p>
        </w:tc>
        <w:tc>
          <w:tcPr>
            <w:tcW w:w="655" w:type="pct"/>
            <w:tcBorders>
              <w:top w:val="single" w:color="000000" w:sz="4" w:space="0"/>
              <w:left w:val="single" w:color="000000" w:sz="4" w:space="0"/>
              <w:bottom w:val="single" w:color="000000" w:sz="4" w:space="0"/>
              <w:right w:val="single" w:color="000000" w:sz="12" w:space="0"/>
            </w:tcBorders>
            <w:vAlign w:val="center"/>
          </w:tcPr>
          <w:p w14:paraId="00D43324">
            <w:pPr>
              <w:pStyle w:val="42"/>
              <w:bidi w:val="0"/>
              <w:jc w:val="center"/>
              <w:rPr>
                <w:highlight w:val="none"/>
              </w:rPr>
            </w:pPr>
          </w:p>
        </w:tc>
      </w:tr>
      <w:tr w14:paraId="56B982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001" w:type="pct"/>
            <w:tcBorders>
              <w:top w:val="single" w:color="000000" w:sz="4" w:space="0"/>
              <w:left w:val="single" w:color="000000" w:sz="12" w:space="0"/>
              <w:bottom w:val="single" w:color="000000" w:sz="12" w:space="0"/>
              <w:right w:val="single" w:color="000000" w:sz="4" w:space="0"/>
            </w:tcBorders>
            <w:vAlign w:val="center"/>
          </w:tcPr>
          <w:p w14:paraId="1E85DF42">
            <w:pPr>
              <w:pStyle w:val="42"/>
              <w:bidi w:val="0"/>
              <w:jc w:val="center"/>
              <w:rPr>
                <w:highlight w:val="none"/>
              </w:rPr>
            </w:pPr>
            <w:r>
              <w:rPr>
                <w:highlight w:val="none"/>
              </w:rPr>
              <w:t>服务期满后</w:t>
            </w:r>
          </w:p>
        </w:tc>
        <w:tc>
          <w:tcPr>
            <w:tcW w:w="904" w:type="pct"/>
            <w:tcBorders>
              <w:top w:val="single" w:color="000000" w:sz="4" w:space="0"/>
              <w:left w:val="single" w:color="000000" w:sz="4" w:space="0"/>
              <w:bottom w:val="single" w:color="000000" w:sz="12" w:space="0"/>
              <w:right w:val="single" w:color="000000" w:sz="4" w:space="0"/>
            </w:tcBorders>
            <w:vAlign w:val="center"/>
          </w:tcPr>
          <w:p w14:paraId="226EBD0F">
            <w:pPr>
              <w:pStyle w:val="42"/>
              <w:bidi w:val="0"/>
              <w:jc w:val="center"/>
              <w:rPr>
                <w:highlight w:val="none"/>
              </w:rPr>
            </w:pPr>
          </w:p>
        </w:tc>
        <w:tc>
          <w:tcPr>
            <w:tcW w:w="1092" w:type="pct"/>
            <w:tcBorders>
              <w:top w:val="single" w:color="000000" w:sz="4" w:space="0"/>
              <w:left w:val="single" w:color="000000" w:sz="4" w:space="0"/>
              <w:bottom w:val="single" w:color="000000" w:sz="12" w:space="0"/>
              <w:right w:val="single" w:color="000000" w:sz="4" w:space="0"/>
            </w:tcBorders>
            <w:vAlign w:val="center"/>
          </w:tcPr>
          <w:p w14:paraId="6625C9E2">
            <w:pPr>
              <w:pStyle w:val="42"/>
              <w:bidi w:val="0"/>
              <w:jc w:val="center"/>
              <w:rPr>
                <w:highlight w:val="none"/>
              </w:rPr>
            </w:pPr>
          </w:p>
        </w:tc>
        <w:tc>
          <w:tcPr>
            <w:tcW w:w="1346" w:type="pct"/>
            <w:tcBorders>
              <w:top w:val="single" w:color="000000" w:sz="4" w:space="0"/>
              <w:left w:val="single" w:color="000000" w:sz="4" w:space="0"/>
              <w:bottom w:val="single" w:color="000000" w:sz="12" w:space="0"/>
              <w:right w:val="single" w:color="000000" w:sz="4" w:space="0"/>
            </w:tcBorders>
            <w:vAlign w:val="center"/>
          </w:tcPr>
          <w:p w14:paraId="3E65FCDC">
            <w:pPr>
              <w:pStyle w:val="42"/>
              <w:bidi w:val="0"/>
              <w:jc w:val="center"/>
              <w:rPr>
                <w:highlight w:val="none"/>
              </w:rPr>
            </w:pPr>
          </w:p>
        </w:tc>
        <w:tc>
          <w:tcPr>
            <w:tcW w:w="655" w:type="pct"/>
            <w:tcBorders>
              <w:top w:val="single" w:color="000000" w:sz="4" w:space="0"/>
              <w:left w:val="single" w:color="000000" w:sz="4" w:space="0"/>
              <w:bottom w:val="single" w:color="000000" w:sz="12" w:space="0"/>
              <w:right w:val="single" w:color="000000" w:sz="12" w:space="0"/>
            </w:tcBorders>
            <w:vAlign w:val="center"/>
          </w:tcPr>
          <w:p w14:paraId="386D8836">
            <w:pPr>
              <w:pStyle w:val="42"/>
              <w:bidi w:val="0"/>
              <w:jc w:val="center"/>
              <w:rPr>
                <w:highlight w:val="none"/>
              </w:rPr>
            </w:pPr>
          </w:p>
        </w:tc>
      </w:tr>
    </w:tbl>
    <w:p w14:paraId="199D5E19">
      <w:pPr>
        <w:bidi w:val="0"/>
        <w:rPr>
          <w:rFonts w:hint="default"/>
          <w:highlight w:val="none"/>
          <w:lang w:val="en-US" w:eastAsia="zh-CN"/>
        </w:rPr>
      </w:pPr>
      <w:r>
        <w:rPr>
          <w:rFonts w:hint="default"/>
          <w:highlight w:val="none"/>
          <w:lang w:val="en-US" w:eastAsia="zh-CN"/>
        </w:rPr>
        <w:t>本项目排放的大气污染物为恶臭气体，无粉尘及重金属废气，不涉及大气沉降，项目可能对土壤产生影响的途径为厂区污水处理区域污水垂直下渗。</w:t>
      </w:r>
    </w:p>
    <w:p w14:paraId="3EB6197D">
      <w:pPr>
        <w:pStyle w:val="7"/>
        <w:bidi w:val="0"/>
        <w:rPr>
          <w:rFonts w:hint="default" w:ascii="Times New Roman" w:hAnsi="Times New Roman" w:cs="Times New Roman"/>
          <w:highlight w:val="none"/>
        </w:rPr>
      </w:pPr>
      <w:r>
        <w:rPr>
          <w:rFonts w:hint="default" w:ascii="Times New Roman" w:hAnsi="Times New Roman" w:cs="Times New Roman"/>
          <w:highlight w:val="none"/>
        </w:rPr>
        <w:t>对土壤环境影响分析</w:t>
      </w:r>
    </w:p>
    <w:p w14:paraId="71AD0581">
      <w:pPr>
        <w:bidi w:val="0"/>
        <w:rPr>
          <w:rFonts w:hint="default"/>
        </w:rPr>
      </w:pPr>
      <w:r>
        <w:rPr>
          <w:rFonts w:hint="default"/>
          <w:highlight w:val="none"/>
        </w:rPr>
        <w:t>根据《环境影响评价技术导则土壤环境（试行）》（HJ964-2018）可知，评价等级为三级的建设项目，可采用定性描述或类比分析法进行预测，</w:t>
      </w:r>
      <w:r>
        <w:rPr>
          <w:rFonts w:hint="default"/>
        </w:rPr>
        <w:t>本次环评采用定性描述法进行预测。本项目为污水处理项目，废水水质较为简单，拟建项目建设对土壤的影响如下：</w:t>
      </w:r>
    </w:p>
    <w:p w14:paraId="7B9464B2">
      <w:pPr>
        <w:bidi w:val="0"/>
        <w:rPr>
          <w:rFonts w:hint="default"/>
        </w:rPr>
      </w:pPr>
      <w:r>
        <w:rPr>
          <w:rFonts w:hint="default"/>
        </w:rPr>
        <w:t>（1）水污染：运营期本项目废水污染物主要为</w:t>
      </w:r>
      <w:r>
        <w:rPr>
          <w:rFonts w:hint="eastAsia"/>
          <w:lang w:eastAsia="zh-CN"/>
        </w:rPr>
        <w:t>COD</w:t>
      </w:r>
      <w:r>
        <w:rPr>
          <w:rFonts w:hint="eastAsia"/>
          <w:vertAlign w:val="subscript"/>
          <w:lang w:eastAsia="zh-CN"/>
        </w:rPr>
        <w:t>cr</w:t>
      </w:r>
      <w:r>
        <w:rPr>
          <w:rFonts w:hint="default"/>
        </w:rPr>
        <w:t>、</w:t>
      </w:r>
      <w:r>
        <w:rPr>
          <w:rFonts w:hint="eastAsia"/>
          <w:lang w:eastAsia="zh-CN"/>
        </w:rPr>
        <w:t>BOD</w:t>
      </w:r>
      <w:r>
        <w:rPr>
          <w:rFonts w:hint="eastAsia"/>
          <w:vertAlign w:val="subscript"/>
          <w:lang w:eastAsia="zh-CN"/>
        </w:rPr>
        <w:t>5</w:t>
      </w:r>
      <w:r>
        <w:rPr>
          <w:rFonts w:hint="default"/>
        </w:rPr>
        <w:t>、</w:t>
      </w:r>
      <w:r>
        <w:rPr>
          <w:rFonts w:hint="eastAsia"/>
          <w:lang w:eastAsia="zh-CN"/>
        </w:rPr>
        <w:t>NH</w:t>
      </w:r>
      <w:r>
        <w:rPr>
          <w:rFonts w:hint="eastAsia"/>
          <w:vertAlign w:val="subscript"/>
          <w:lang w:eastAsia="zh-CN"/>
        </w:rPr>
        <w:t>3</w:t>
      </w:r>
      <w:r>
        <w:rPr>
          <w:rFonts w:hint="default"/>
        </w:rPr>
        <w:t>-N、SS、总磷、总氮，主要影响途径为垂直入渗。项目污水收集管网及处理系统、污泥浓缩脱水间及污泥存储间若没有适当的防漏措施，有害组分渗出后，很容易经过雨水淋溶、地表径流侵蚀渗入土壤，杀死土壤中的微生物，破坏微生物与周围环境构成系统的平衡。同时这些水分经土壤渗入地下水，对地下水水质也造成污染。</w:t>
      </w:r>
    </w:p>
    <w:p w14:paraId="48B90D93">
      <w:pPr>
        <w:bidi w:val="0"/>
        <w:rPr>
          <w:rFonts w:hint="default"/>
        </w:rPr>
      </w:pPr>
      <w:r>
        <w:rPr>
          <w:rFonts w:hint="default"/>
        </w:rPr>
        <w:t>（2）固体废物污染：拟建项目污泥、危废等在储存、运输、堆放过程中通过扩散、降水淋洗等直接或间接地影响土壤。正常情况下，产生固废均得到妥善回收利用、处理处置。其各类固废暂存设施均采取防渗措施，防止污水或固废产生的淋溶水渗漏，项目运营期废水对土壤的基本不造成污染。</w:t>
      </w:r>
    </w:p>
    <w:p w14:paraId="3D8B0521">
      <w:pPr>
        <w:bidi w:val="0"/>
        <w:rPr>
          <w:rFonts w:hint="default"/>
        </w:rPr>
      </w:pPr>
      <w:r>
        <w:rPr>
          <w:rFonts w:hint="default"/>
        </w:rPr>
        <w:t>事故情况下，主要是危险废物暂存间等底部防渗层破裂，导致废水污染地下水及厂区周土壤环境，由于地下水及土壤污染难以发现，也难以采取措施治理。因此要求建设单位做好厂区地面防渗工作，避免污染土壤环境，可减少事故情况下对土壤环境的影响。</w:t>
      </w:r>
    </w:p>
    <w:p w14:paraId="710176BD">
      <w:pPr>
        <w:pStyle w:val="7"/>
        <w:bidi w:val="0"/>
        <w:rPr>
          <w:rFonts w:hint="default"/>
        </w:rPr>
      </w:pPr>
      <w:r>
        <w:rPr>
          <w:rFonts w:hint="default"/>
        </w:rPr>
        <w:t>保护措施与对策</w:t>
      </w:r>
    </w:p>
    <w:p w14:paraId="10290197">
      <w:pPr>
        <w:rPr>
          <w:rFonts w:hint="default"/>
        </w:rPr>
      </w:pPr>
      <w:r>
        <w:rPr>
          <w:rFonts w:hint="default"/>
        </w:rPr>
        <w:t>拟建项目土壤污染防治措施按照“过程阻断、污染物削减、分区防控”相结合的 原则，从污染物的产生、运移、扩散、应急响应全阶段进行控制。拟建项目土壤污 染防护措施见下表。</w:t>
      </w:r>
    </w:p>
    <w:p w14:paraId="7B79AC12">
      <w:pPr>
        <w:pStyle w:val="39"/>
        <w:bidi w:val="0"/>
        <w:rPr>
          <w:rFonts w:hint="default"/>
        </w:rPr>
      </w:pPr>
      <w:r>
        <w:rPr>
          <w:rFonts w:hint="default"/>
        </w:rPr>
        <w:t>表 6.2-</w:t>
      </w:r>
      <w:r>
        <w:rPr>
          <w:rFonts w:hint="eastAsia"/>
          <w:lang w:val="en-US" w:eastAsia="zh-CN"/>
        </w:rPr>
        <w:t>36</w:t>
      </w:r>
      <w:r>
        <w:rPr>
          <w:rFonts w:hint="default"/>
        </w:rPr>
        <w:t xml:space="preserve">    土壤污染防护措施一览表</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49"/>
        <w:gridCol w:w="1355"/>
        <w:gridCol w:w="5730"/>
      </w:tblGrid>
      <w:tr w14:paraId="5926D9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749" w:type="pct"/>
            <w:tcBorders>
              <w:top w:val="single" w:color="000000" w:sz="12" w:space="0"/>
              <w:left w:val="single" w:color="000000" w:sz="12" w:space="0"/>
              <w:bottom w:val="single" w:color="000000" w:sz="4" w:space="0"/>
              <w:right w:val="single" w:color="000000" w:sz="4" w:space="0"/>
            </w:tcBorders>
            <w:vAlign w:val="center"/>
          </w:tcPr>
          <w:p w14:paraId="46ED4E06">
            <w:pPr>
              <w:pStyle w:val="42"/>
              <w:bidi w:val="0"/>
              <w:jc w:val="center"/>
            </w:pPr>
            <w:r>
              <w:t>污染源</w:t>
            </w:r>
          </w:p>
        </w:tc>
        <w:tc>
          <w:tcPr>
            <w:tcW w:w="4250" w:type="pct"/>
            <w:gridSpan w:val="2"/>
            <w:tcBorders>
              <w:top w:val="single" w:color="000000" w:sz="12" w:space="0"/>
              <w:left w:val="single" w:color="000000" w:sz="4" w:space="0"/>
              <w:bottom w:val="single" w:color="000000" w:sz="4" w:space="0"/>
              <w:right w:val="single" w:color="000000" w:sz="12" w:space="0"/>
            </w:tcBorders>
            <w:vAlign w:val="center"/>
          </w:tcPr>
          <w:p w14:paraId="74E8871C">
            <w:pPr>
              <w:pStyle w:val="42"/>
              <w:bidi w:val="0"/>
              <w:jc w:val="center"/>
            </w:pPr>
            <w:r>
              <w:t>土壤污染污染防护措施</w:t>
            </w:r>
          </w:p>
        </w:tc>
      </w:tr>
      <w:tr w14:paraId="7BCB87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49" w:type="pct"/>
            <w:vMerge w:val="restart"/>
            <w:tcBorders>
              <w:top w:val="single" w:color="000000" w:sz="4" w:space="0"/>
              <w:left w:val="single" w:color="000000" w:sz="12" w:space="0"/>
              <w:bottom w:val="single" w:color="000000" w:sz="4" w:space="0"/>
              <w:right w:val="single" w:color="000000" w:sz="4" w:space="0"/>
            </w:tcBorders>
            <w:vAlign w:val="center"/>
          </w:tcPr>
          <w:p w14:paraId="209C798D">
            <w:pPr>
              <w:pStyle w:val="42"/>
              <w:bidi w:val="0"/>
              <w:jc w:val="center"/>
            </w:pPr>
            <w:r>
              <w:t>污水处理设施及管网</w:t>
            </w:r>
          </w:p>
        </w:tc>
        <w:tc>
          <w:tcPr>
            <w:tcW w:w="813" w:type="pct"/>
            <w:tcBorders>
              <w:top w:val="single" w:color="000000" w:sz="4" w:space="0"/>
              <w:left w:val="single" w:color="000000" w:sz="4" w:space="0"/>
              <w:bottom w:val="single" w:color="000000" w:sz="4" w:space="0"/>
              <w:right w:val="single" w:color="000000" w:sz="4" w:space="0"/>
            </w:tcBorders>
            <w:vAlign w:val="center"/>
          </w:tcPr>
          <w:p w14:paraId="15703D7F">
            <w:pPr>
              <w:pStyle w:val="42"/>
              <w:bidi w:val="0"/>
              <w:jc w:val="center"/>
            </w:pPr>
            <w:r>
              <w:t>过程阻断</w:t>
            </w:r>
          </w:p>
        </w:tc>
        <w:tc>
          <w:tcPr>
            <w:tcW w:w="3436" w:type="pct"/>
            <w:tcBorders>
              <w:top w:val="single" w:color="000000" w:sz="4" w:space="0"/>
              <w:left w:val="single" w:color="000000" w:sz="4" w:space="0"/>
              <w:bottom w:val="single" w:color="000000" w:sz="4" w:space="0"/>
              <w:right w:val="single" w:color="000000" w:sz="12" w:space="0"/>
            </w:tcBorders>
            <w:vAlign w:val="center"/>
          </w:tcPr>
          <w:p w14:paraId="35D1DE68">
            <w:pPr>
              <w:pStyle w:val="42"/>
              <w:bidi w:val="0"/>
              <w:jc w:val="center"/>
            </w:pPr>
            <w:r>
              <w:t>加强防渗，定期检测</w:t>
            </w:r>
          </w:p>
        </w:tc>
      </w:tr>
      <w:tr w14:paraId="4F8607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49" w:type="pct"/>
            <w:vMerge w:val="continue"/>
            <w:tcBorders>
              <w:top w:val="single" w:color="000000" w:sz="4" w:space="0"/>
              <w:left w:val="single" w:color="000000" w:sz="12" w:space="0"/>
              <w:bottom w:val="single" w:color="000000" w:sz="4" w:space="0"/>
              <w:right w:val="single" w:color="000000" w:sz="4" w:space="0"/>
            </w:tcBorders>
            <w:vAlign w:val="center"/>
          </w:tcPr>
          <w:p w14:paraId="510A264A">
            <w:pPr>
              <w:pStyle w:val="42"/>
              <w:bidi w:val="0"/>
              <w:jc w:val="center"/>
            </w:pPr>
          </w:p>
        </w:tc>
        <w:tc>
          <w:tcPr>
            <w:tcW w:w="813" w:type="pct"/>
            <w:tcBorders>
              <w:top w:val="single" w:color="000000" w:sz="4" w:space="0"/>
              <w:left w:val="single" w:color="000000" w:sz="4" w:space="0"/>
              <w:bottom w:val="single" w:color="000000" w:sz="4" w:space="0"/>
              <w:right w:val="single" w:color="000000" w:sz="4" w:space="0"/>
            </w:tcBorders>
            <w:vAlign w:val="center"/>
          </w:tcPr>
          <w:p w14:paraId="0D027AA3">
            <w:pPr>
              <w:pStyle w:val="42"/>
              <w:bidi w:val="0"/>
              <w:jc w:val="center"/>
            </w:pPr>
            <w:r>
              <w:t>污染物削减</w:t>
            </w:r>
          </w:p>
        </w:tc>
        <w:tc>
          <w:tcPr>
            <w:tcW w:w="3436" w:type="pct"/>
            <w:tcBorders>
              <w:top w:val="single" w:color="000000" w:sz="4" w:space="0"/>
              <w:left w:val="single" w:color="000000" w:sz="4" w:space="0"/>
              <w:bottom w:val="single" w:color="000000" w:sz="4" w:space="0"/>
              <w:right w:val="single" w:color="000000" w:sz="12" w:space="0"/>
            </w:tcBorders>
            <w:vAlign w:val="center"/>
          </w:tcPr>
          <w:p w14:paraId="378A1D09">
            <w:pPr>
              <w:pStyle w:val="42"/>
              <w:bidi w:val="0"/>
              <w:jc w:val="center"/>
            </w:pPr>
            <w:r>
              <w:t>控制污染物排放的数量和浓度，使之符合排放标准和总量要求</w:t>
            </w:r>
          </w:p>
        </w:tc>
      </w:tr>
      <w:tr w14:paraId="74067A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6" w:hRule="atLeast"/>
        </w:trPr>
        <w:tc>
          <w:tcPr>
            <w:tcW w:w="749" w:type="pct"/>
            <w:vMerge w:val="continue"/>
            <w:tcBorders>
              <w:top w:val="single" w:color="000000" w:sz="4" w:space="0"/>
              <w:left w:val="single" w:color="000000" w:sz="12" w:space="0"/>
              <w:bottom w:val="single" w:color="000000" w:sz="12" w:space="0"/>
              <w:right w:val="single" w:color="000000" w:sz="4" w:space="0"/>
            </w:tcBorders>
            <w:vAlign w:val="center"/>
          </w:tcPr>
          <w:p w14:paraId="04FD4618">
            <w:pPr>
              <w:pStyle w:val="42"/>
              <w:bidi w:val="0"/>
              <w:jc w:val="center"/>
            </w:pPr>
          </w:p>
        </w:tc>
        <w:tc>
          <w:tcPr>
            <w:tcW w:w="813" w:type="pct"/>
            <w:tcBorders>
              <w:top w:val="single" w:color="000000" w:sz="4" w:space="0"/>
              <w:left w:val="single" w:color="000000" w:sz="4" w:space="0"/>
              <w:bottom w:val="single" w:color="000000" w:sz="12" w:space="0"/>
              <w:right w:val="single" w:color="000000" w:sz="4" w:space="0"/>
            </w:tcBorders>
            <w:vAlign w:val="center"/>
          </w:tcPr>
          <w:p w14:paraId="03A7A726">
            <w:pPr>
              <w:pStyle w:val="42"/>
              <w:bidi w:val="0"/>
              <w:jc w:val="center"/>
            </w:pPr>
            <w:r>
              <w:t>分区防控</w:t>
            </w:r>
          </w:p>
        </w:tc>
        <w:tc>
          <w:tcPr>
            <w:tcW w:w="3436" w:type="pct"/>
            <w:tcBorders>
              <w:top w:val="single" w:color="000000" w:sz="4" w:space="0"/>
              <w:left w:val="single" w:color="000000" w:sz="4" w:space="0"/>
              <w:bottom w:val="single" w:color="000000" w:sz="12" w:space="0"/>
              <w:right w:val="single" w:color="000000" w:sz="12" w:space="0"/>
            </w:tcBorders>
            <w:vAlign w:val="center"/>
          </w:tcPr>
          <w:p w14:paraId="68C1E0A9">
            <w:pPr>
              <w:pStyle w:val="42"/>
              <w:bidi w:val="0"/>
              <w:jc w:val="center"/>
            </w:pPr>
            <w:r>
              <w:t>严格落实分区防渗要求，污水处理池、危废间、污泥脱水间、污水管网以及化学药剂存储区域等均按照相关规范要求，进行防渗；</w:t>
            </w:r>
          </w:p>
          <w:p w14:paraId="5B0A1152">
            <w:pPr>
              <w:pStyle w:val="42"/>
              <w:bidi w:val="0"/>
              <w:jc w:val="center"/>
            </w:pPr>
            <w:r>
              <w:t>污水管网铺设防渗：各处理构筑物为钢混结构或钢制防腐结构，污水管道采用耐腐蚀、防渗漏材料，接头全部进行防渗处理</w:t>
            </w:r>
          </w:p>
        </w:tc>
      </w:tr>
    </w:tbl>
    <w:p w14:paraId="22864CD7">
      <w:pPr>
        <w:rPr>
          <w:rFonts w:hint="default"/>
        </w:rPr>
      </w:pPr>
      <w:r>
        <w:rPr>
          <w:rFonts w:hint="default"/>
        </w:rPr>
        <w:t>项目运行过程中严格做好对设备的维护、检修，切实杜绝“跑、冒、滴、漏”现象发生，同时，应加强关键部位的安全防护、报警措施，以便及时发现事故隐患，采取有效的应对措施以防事故的发生。</w:t>
      </w:r>
    </w:p>
    <w:p w14:paraId="680E1D08">
      <w:pPr>
        <w:pStyle w:val="7"/>
        <w:bidi w:val="0"/>
        <w:rPr>
          <w:rFonts w:hint="default"/>
        </w:rPr>
      </w:pPr>
      <w:r>
        <w:rPr>
          <w:rFonts w:hint="default"/>
        </w:rPr>
        <w:t>小结</w:t>
      </w:r>
    </w:p>
    <w:p w14:paraId="1C98D0E8">
      <w:pPr>
        <w:rPr>
          <w:rFonts w:hint="default"/>
        </w:rPr>
      </w:pPr>
      <w:r>
        <w:rPr>
          <w:rFonts w:hint="default"/>
        </w:rPr>
        <w:t>由污染途径及对应措施分析可知，本工程对可能产生土壤影响的各项途径均进行有效预防，在确保各项防渗措施得以落实，并加强维护和厂区环境管理的前提下，可有效控制厂区内的废水污染物下渗现象，避免污染土壤，因此拟建工程不会对区域土壤环境产生明显影响。</w:t>
      </w:r>
    </w:p>
    <w:p w14:paraId="6BAE10C3">
      <w:pPr>
        <w:pStyle w:val="5"/>
        <w:bidi w:val="0"/>
        <w:rPr>
          <w:rFonts w:hint="default"/>
        </w:rPr>
      </w:pPr>
      <w:bookmarkStart w:id="163" w:name="_Toc5872"/>
      <w:r>
        <w:rPr>
          <w:rFonts w:hint="default"/>
        </w:rPr>
        <w:t>生态环境影响分析</w:t>
      </w:r>
      <w:bookmarkEnd w:id="163"/>
    </w:p>
    <w:p w14:paraId="69CD6D44">
      <w:pPr>
        <w:rPr>
          <w:rFonts w:hint="default"/>
        </w:rPr>
      </w:pPr>
      <w:r>
        <w:rPr>
          <w:rFonts w:hint="default"/>
        </w:rPr>
        <w:t>本项目位于工业区内，区域为典型的城镇开发人工生态系统，目前，项目地表已初步平整，地表植被已清除，现状长有部分杂草，评价范围内不存在国家重点保护动植物。本评价要求，工程开挖的表土应临时妥善堆放，并在工程完工后，将其用于绿化用土，施工期按照水土保持方案落实提出的各项水保措施，减少水土流失，项目建设对区域整体生态环境影响较小。</w:t>
      </w:r>
    </w:p>
    <w:p w14:paraId="33F866AC">
      <w:pPr>
        <w:pStyle w:val="5"/>
        <w:rPr>
          <w:rFonts w:hint="default" w:ascii="Times New Roman" w:hAnsi="Times New Roman" w:cs="Times New Roman"/>
          <w:color w:val="auto"/>
          <w:szCs w:val="30"/>
          <w:highlight w:val="none"/>
          <w:u w:val="none" w:color="auto"/>
        </w:rPr>
      </w:pPr>
      <w:bookmarkStart w:id="164" w:name="_Toc1197"/>
      <w:bookmarkStart w:id="165" w:name="_Toc8713"/>
      <w:bookmarkStart w:id="166" w:name="_Toc27456"/>
      <w:bookmarkStart w:id="167" w:name="_Toc26393"/>
      <w:r>
        <w:rPr>
          <w:rFonts w:hint="default" w:ascii="Times New Roman" w:hAnsi="Times New Roman" w:cs="Times New Roman"/>
          <w:color w:val="auto"/>
          <w:szCs w:val="30"/>
          <w:highlight w:val="none"/>
          <w:u w:val="none" w:color="auto"/>
        </w:rPr>
        <w:t>风险分析</w:t>
      </w:r>
      <w:bookmarkEnd w:id="164"/>
      <w:bookmarkEnd w:id="165"/>
      <w:bookmarkEnd w:id="166"/>
    </w:p>
    <w:p w14:paraId="134644D6">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环境风险评价概述</w:t>
      </w:r>
    </w:p>
    <w:p w14:paraId="2F3AF916">
      <w:pPr>
        <w:pStyle w:val="7"/>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评价目的</w:t>
      </w:r>
    </w:p>
    <w:p w14:paraId="58E92CB0">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环境风险是指突发性事故对环境造成的危害程度及可能性</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它具有危害性大、影响范围广等特点</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同时风险发生又有很大的不确定性</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倘若一旦发生</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其破坏性极强</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对生态环境会产生严重破坏。</w:t>
      </w:r>
    </w:p>
    <w:p w14:paraId="7E8FB471">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环境风险评价的目的是分析和预测建设项目存在的潜在危险、有害因素</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建设项目建设和运行期间可能发生的突发性事件或事故</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引起有毒有害和易燃易爆等物质的泄漏</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所造成的人身安全与环境影响和损害程度</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提出合理可行的防范、应急与减缓措施</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以使建设项目事故率、损失和环境影响达到可接受的水平。</w:t>
      </w:r>
    </w:p>
    <w:p w14:paraId="13E3E065">
      <w:pPr>
        <w:pStyle w:val="7"/>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评价原则</w:t>
      </w:r>
    </w:p>
    <w:p w14:paraId="54013BB9">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环境风险评价应以突发性事故导致的危险物质环境急性损害防控为目标</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对建设项目的环境风险进行分析、预测和评估</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提出环境风险预防、控制、减缓措施</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明确环境风险监控及应急建议要求</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为建设项目环境风险防控提供科学依据。</w:t>
      </w:r>
    </w:p>
    <w:p w14:paraId="0BBC1A7C">
      <w:pPr>
        <w:pStyle w:val="7"/>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评价工作程序</w:t>
      </w:r>
    </w:p>
    <w:p w14:paraId="5D16B4A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环境风险评价工作程序详见图</w:t>
      </w:r>
      <w:r>
        <w:rPr>
          <w:rFonts w:hint="default" w:ascii="Times New Roman" w:hAnsi="Times New Roman" w:cs="Times New Roman"/>
          <w:color w:val="auto"/>
          <w:highlight w:val="none"/>
          <w:u w:val="none" w:color="auto"/>
          <w:lang w:val="en-US" w:eastAsia="zh-CN"/>
        </w:rPr>
        <w:t>7</w:t>
      </w:r>
      <w:r>
        <w:rPr>
          <w:rFonts w:hint="default" w:ascii="Times New Roman" w:hAnsi="Times New Roman" w:cs="Times New Roman"/>
          <w:color w:val="auto"/>
          <w:highlight w:val="none"/>
          <w:u w:val="none" w:color="auto"/>
        </w:rPr>
        <w:t>.3-1。</w:t>
      </w:r>
    </w:p>
    <w:p w14:paraId="03625EC9">
      <w:pPr>
        <w:ind w:firstLine="0" w:firstLineChars="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4766310" cy="4968240"/>
            <wp:effectExtent l="0" t="0" r="15240" b="3810"/>
            <wp:docPr id="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3"/>
                    <pic:cNvPicPr>
                      <a:picLocks noChangeAspect="1"/>
                    </pic:cNvPicPr>
                  </pic:nvPicPr>
                  <pic:blipFill>
                    <a:blip r:embed="rId53"/>
                    <a:stretch>
                      <a:fillRect/>
                    </a:stretch>
                  </pic:blipFill>
                  <pic:spPr>
                    <a:xfrm>
                      <a:off x="0" y="0"/>
                      <a:ext cx="4766310" cy="4968240"/>
                    </a:xfrm>
                    <a:prstGeom prst="rect">
                      <a:avLst/>
                    </a:prstGeom>
                    <a:noFill/>
                    <a:ln>
                      <a:noFill/>
                    </a:ln>
                  </pic:spPr>
                </pic:pic>
              </a:graphicData>
            </a:graphic>
          </wp:inline>
        </w:drawing>
      </w:r>
    </w:p>
    <w:p w14:paraId="3976307E">
      <w:pPr>
        <w:spacing w:line="240" w:lineRule="auto"/>
        <w:ind w:firstLine="482"/>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lang w:val="zh-CN"/>
        </w:rPr>
        <w:t>图</w:t>
      </w:r>
      <w:r>
        <w:rPr>
          <w:rFonts w:hint="default" w:ascii="Times New Roman" w:hAnsi="Times New Roman" w:cs="Times New Roman"/>
          <w:b/>
          <w:bCs/>
          <w:color w:val="auto"/>
          <w:highlight w:val="none"/>
          <w:u w:val="none" w:color="auto"/>
          <w:lang w:val="en-US" w:eastAsia="zh-CN"/>
        </w:rPr>
        <w:t>7.2</w:t>
      </w:r>
      <w:r>
        <w:rPr>
          <w:rFonts w:hint="default" w:ascii="Times New Roman" w:hAnsi="Times New Roman" w:cs="Times New Roman"/>
          <w:b/>
          <w:bCs/>
          <w:color w:val="auto"/>
          <w:highlight w:val="none"/>
          <w:u w:val="none" w:color="auto"/>
        </w:rPr>
        <w:t>-1 环境风险评价工作程序图</w:t>
      </w:r>
    </w:p>
    <w:p w14:paraId="3A798DE1">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风险评价等级</w:t>
      </w:r>
    </w:p>
    <w:p w14:paraId="1F139905">
      <w:pPr>
        <w:pStyle w:val="7"/>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风险调查</w:t>
      </w:r>
    </w:p>
    <w:p w14:paraId="38A601AF">
      <w:pPr>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lang w:val="zh-CN"/>
        </w:rPr>
        <w:t>（</w:t>
      </w:r>
      <w:r>
        <w:rPr>
          <w:rFonts w:hint="default" w:ascii="Times New Roman" w:hAnsi="Times New Roman" w:cs="Times New Roman"/>
          <w:color w:val="auto"/>
          <w:kern w:val="0"/>
          <w:highlight w:val="none"/>
          <w:u w:val="none" w:color="auto"/>
        </w:rPr>
        <w:t>1）项目风险源调查</w:t>
      </w:r>
    </w:p>
    <w:p w14:paraId="53D90706">
      <w:pPr>
        <w:autoSpaceDE w:val="0"/>
        <w:autoSpaceDN w:val="0"/>
        <w:adjustRightInd w:val="0"/>
        <w:ind w:firstLine="480"/>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kern w:val="0"/>
          <w:highlight w:val="none"/>
          <w:u w:val="none" w:color="auto"/>
        </w:rPr>
        <w:t>本项目生产过程中的主要物料、中间产品、最终产品等物质</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依据《危险化学品名录》（2018版）</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及其物质本身的危险性、毒理性指标和毒性等级分类</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并考虑其燃烧爆炸性</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进行识别。</w:t>
      </w:r>
      <w:r>
        <w:rPr>
          <w:rFonts w:hint="default" w:ascii="Times New Roman" w:hAnsi="Times New Roman" w:cs="Times New Roman"/>
          <w:color w:val="auto"/>
          <w:highlight w:val="none"/>
          <w:u w:val="none" w:color="auto"/>
        </w:rPr>
        <w:t>根据各物质的易燃易爆性、毒理性分析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本项目涉及的原辅材料主要为PAC、PAM、NaOH等原料，排放的主要污染物主要为氨、硫化氢、甲烷；依据《危险化学品目录（2022版）》以及《建设项目环境风险评价技术导则》（HJ 169-2018）中有关规定，本项目营运期涉风险物质如下表。</w:t>
      </w:r>
    </w:p>
    <w:p w14:paraId="65C99EEF">
      <w:pPr>
        <w:pStyle w:val="39"/>
        <w:bidi w:val="0"/>
        <w:rPr>
          <w:rFonts w:hint="default"/>
        </w:rPr>
      </w:pPr>
      <w:r>
        <w:rPr>
          <w:rFonts w:hint="default"/>
        </w:rPr>
        <w:t>表6.</w:t>
      </w:r>
      <w:r>
        <w:rPr>
          <w:rFonts w:hint="eastAsia"/>
          <w:lang w:val="en-US" w:eastAsia="zh-CN"/>
        </w:rPr>
        <w:t>4</w:t>
      </w:r>
      <w:r>
        <w:rPr>
          <w:rFonts w:hint="default"/>
        </w:rPr>
        <w:t>-1    本项目物质风险识别调查一览表</w:t>
      </w:r>
    </w:p>
    <w:tbl>
      <w:tblPr>
        <w:tblStyle w:val="51"/>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37"/>
        <w:gridCol w:w="1552"/>
        <w:gridCol w:w="1062"/>
        <w:gridCol w:w="1905"/>
        <w:gridCol w:w="2535"/>
        <w:gridCol w:w="902"/>
      </w:tblGrid>
      <w:tr w14:paraId="58182C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261" w:type="pct"/>
            <w:tcBorders>
              <w:tl2br w:val="nil"/>
              <w:tr2bl w:val="nil"/>
            </w:tcBorders>
            <w:vAlign w:val="center"/>
          </w:tcPr>
          <w:p w14:paraId="4E3ED0FC">
            <w:pPr>
              <w:pStyle w:val="42"/>
              <w:bidi w:val="0"/>
              <w:jc w:val="center"/>
            </w:pPr>
            <w:r>
              <w:t>序号</w:t>
            </w:r>
          </w:p>
        </w:tc>
        <w:tc>
          <w:tcPr>
            <w:tcW w:w="924" w:type="pct"/>
            <w:tcBorders>
              <w:tl2br w:val="nil"/>
              <w:tr2bl w:val="nil"/>
            </w:tcBorders>
            <w:vAlign w:val="center"/>
          </w:tcPr>
          <w:p w14:paraId="68BD6C70">
            <w:pPr>
              <w:pStyle w:val="42"/>
              <w:bidi w:val="0"/>
              <w:jc w:val="center"/>
            </w:pPr>
            <w:r>
              <w:t>物质名称</w:t>
            </w:r>
          </w:p>
        </w:tc>
        <w:tc>
          <w:tcPr>
            <w:tcW w:w="632" w:type="pct"/>
            <w:tcBorders>
              <w:tl2br w:val="nil"/>
              <w:tr2bl w:val="nil"/>
            </w:tcBorders>
            <w:vAlign w:val="center"/>
          </w:tcPr>
          <w:p w14:paraId="2717C0C3">
            <w:pPr>
              <w:pStyle w:val="42"/>
              <w:bidi w:val="0"/>
              <w:jc w:val="center"/>
            </w:pPr>
            <w:r>
              <w:t>存储形式</w:t>
            </w:r>
          </w:p>
        </w:tc>
        <w:tc>
          <w:tcPr>
            <w:tcW w:w="1134" w:type="pct"/>
            <w:tcBorders>
              <w:tl2br w:val="nil"/>
              <w:tr2bl w:val="nil"/>
            </w:tcBorders>
            <w:vAlign w:val="center"/>
          </w:tcPr>
          <w:p w14:paraId="2806B199">
            <w:pPr>
              <w:pStyle w:val="42"/>
              <w:bidi w:val="0"/>
              <w:jc w:val="center"/>
            </w:pPr>
            <w:r>
              <w:t>位置</w:t>
            </w:r>
          </w:p>
        </w:tc>
        <w:tc>
          <w:tcPr>
            <w:tcW w:w="1509" w:type="pct"/>
            <w:tcBorders>
              <w:tl2br w:val="nil"/>
              <w:tr2bl w:val="nil"/>
            </w:tcBorders>
            <w:vAlign w:val="center"/>
          </w:tcPr>
          <w:p w14:paraId="4D8D9130">
            <w:pPr>
              <w:pStyle w:val="42"/>
              <w:bidi w:val="0"/>
              <w:jc w:val="center"/>
            </w:pPr>
            <w:r>
              <w:t>用途/来源</w:t>
            </w:r>
          </w:p>
        </w:tc>
        <w:tc>
          <w:tcPr>
            <w:tcW w:w="537" w:type="pct"/>
            <w:tcBorders>
              <w:tl2br w:val="nil"/>
              <w:tr2bl w:val="nil"/>
            </w:tcBorders>
            <w:vAlign w:val="center"/>
          </w:tcPr>
          <w:p w14:paraId="41E96465">
            <w:pPr>
              <w:pStyle w:val="42"/>
              <w:bidi w:val="0"/>
              <w:jc w:val="center"/>
            </w:pPr>
            <w:r>
              <w:t>CAS号</w:t>
            </w:r>
          </w:p>
        </w:tc>
      </w:tr>
      <w:tr w14:paraId="5D55B4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2" w:hRule="atLeast"/>
        </w:trPr>
        <w:tc>
          <w:tcPr>
            <w:tcW w:w="261" w:type="pct"/>
            <w:tcBorders>
              <w:tl2br w:val="nil"/>
              <w:tr2bl w:val="nil"/>
            </w:tcBorders>
            <w:vAlign w:val="center"/>
          </w:tcPr>
          <w:p w14:paraId="39137FC3">
            <w:pPr>
              <w:pStyle w:val="42"/>
              <w:bidi w:val="0"/>
              <w:jc w:val="center"/>
            </w:pPr>
            <w:r>
              <w:t>1</w:t>
            </w:r>
          </w:p>
        </w:tc>
        <w:tc>
          <w:tcPr>
            <w:tcW w:w="924" w:type="pct"/>
            <w:tcBorders>
              <w:tl2br w:val="nil"/>
              <w:tr2bl w:val="nil"/>
            </w:tcBorders>
            <w:vAlign w:val="center"/>
          </w:tcPr>
          <w:p w14:paraId="4E6F94CA">
            <w:pPr>
              <w:pStyle w:val="42"/>
              <w:bidi w:val="0"/>
              <w:jc w:val="center"/>
            </w:pPr>
            <w:r>
              <w:t>聚合氯化铝PAC</w:t>
            </w:r>
          </w:p>
        </w:tc>
        <w:tc>
          <w:tcPr>
            <w:tcW w:w="632" w:type="pct"/>
            <w:tcBorders>
              <w:tl2br w:val="nil"/>
              <w:tr2bl w:val="nil"/>
            </w:tcBorders>
            <w:vAlign w:val="center"/>
          </w:tcPr>
          <w:p w14:paraId="669CFD2F">
            <w:pPr>
              <w:pStyle w:val="42"/>
              <w:bidi w:val="0"/>
              <w:jc w:val="center"/>
            </w:pPr>
            <w:r>
              <w:t>固态，袋装</w:t>
            </w:r>
          </w:p>
        </w:tc>
        <w:tc>
          <w:tcPr>
            <w:tcW w:w="1134" w:type="pct"/>
            <w:tcBorders>
              <w:tl2br w:val="nil"/>
              <w:tr2bl w:val="nil"/>
            </w:tcBorders>
            <w:vAlign w:val="center"/>
          </w:tcPr>
          <w:p w14:paraId="708D6454">
            <w:pPr>
              <w:pStyle w:val="42"/>
              <w:bidi w:val="0"/>
              <w:jc w:val="center"/>
            </w:pPr>
            <w:r>
              <w:t>加药间</w:t>
            </w:r>
          </w:p>
        </w:tc>
        <w:tc>
          <w:tcPr>
            <w:tcW w:w="1509" w:type="pct"/>
            <w:tcBorders>
              <w:tl2br w:val="nil"/>
              <w:tr2bl w:val="nil"/>
            </w:tcBorders>
            <w:vAlign w:val="center"/>
          </w:tcPr>
          <w:p w14:paraId="2AABB16E">
            <w:pPr>
              <w:pStyle w:val="42"/>
              <w:bidi w:val="0"/>
              <w:jc w:val="center"/>
            </w:pPr>
            <w:r>
              <w:t>化学除磷</w:t>
            </w:r>
          </w:p>
        </w:tc>
        <w:tc>
          <w:tcPr>
            <w:tcW w:w="537" w:type="pct"/>
            <w:tcBorders>
              <w:tl2br w:val="nil"/>
              <w:tr2bl w:val="nil"/>
            </w:tcBorders>
            <w:vAlign w:val="center"/>
          </w:tcPr>
          <w:p w14:paraId="6FD7C593">
            <w:pPr>
              <w:pStyle w:val="42"/>
              <w:bidi w:val="0"/>
              <w:jc w:val="center"/>
            </w:pPr>
            <w:r>
              <w:t>/</w:t>
            </w:r>
          </w:p>
        </w:tc>
      </w:tr>
      <w:tr w14:paraId="7BAC77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2" w:hRule="atLeast"/>
        </w:trPr>
        <w:tc>
          <w:tcPr>
            <w:tcW w:w="261" w:type="pct"/>
            <w:tcBorders>
              <w:tl2br w:val="nil"/>
              <w:tr2bl w:val="nil"/>
            </w:tcBorders>
            <w:vAlign w:val="center"/>
          </w:tcPr>
          <w:p w14:paraId="1A68D23B">
            <w:pPr>
              <w:pStyle w:val="42"/>
              <w:bidi w:val="0"/>
              <w:jc w:val="center"/>
            </w:pPr>
            <w:r>
              <w:t>2</w:t>
            </w:r>
          </w:p>
        </w:tc>
        <w:tc>
          <w:tcPr>
            <w:tcW w:w="924" w:type="pct"/>
            <w:tcBorders>
              <w:tl2br w:val="nil"/>
              <w:tr2bl w:val="nil"/>
            </w:tcBorders>
            <w:vAlign w:val="center"/>
          </w:tcPr>
          <w:p w14:paraId="5091111B">
            <w:pPr>
              <w:pStyle w:val="42"/>
              <w:bidi w:val="0"/>
              <w:jc w:val="center"/>
            </w:pPr>
            <w:r>
              <w:t>聚丙烯酰胺PAM</w:t>
            </w:r>
          </w:p>
        </w:tc>
        <w:tc>
          <w:tcPr>
            <w:tcW w:w="632" w:type="pct"/>
            <w:tcBorders>
              <w:tl2br w:val="nil"/>
              <w:tr2bl w:val="nil"/>
            </w:tcBorders>
            <w:vAlign w:val="center"/>
          </w:tcPr>
          <w:p w14:paraId="297B3D50">
            <w:pPr>
              <w:pStyle w:val="42"/>
              <w:bidi w:val="0"/>
              <w:jc w:val="center"/>
            </w:pPr>
            <w:r>
              <w:t>固态，袋装</w:t>
            </w:r>
          </w:p>
        </w:tc>
        <w:tc>
          <w:tcPr>
            <w:tcW w:w="1134" w:type="pct"/>
            <w:tcBorders>
              <w:tl2br w:val="nil"/>
              <w:tr2bl w:val="nil"/>
            </w:tcBorders>
            <w:vAlign w:val="center"/>
          </w:tcPr>
          <w:p w14:paraId="05D94D3F">
            <w:pPr>
              <w:pStyle w:val="42"/>
              <w:bidi w:val="0"/>
              <w:jc w:val="center"/>
            </w:pPr>
            <w:r>
              <w:t>加药间</w:t>
            </w:r>
          </w:p>
        </w:tc>
        <w:tc>
          <w:tcPr>
            <w:tcW w:w="1509" w:type="pct"/>
            <w:tcBorders>
              <w:tl2br w:val="nil"/>
              <w:tr2bl w:val="nil"/>
            </w:tcBorders>
            <w:vAlign w:val="center"/>
          </w:tcPr>
          <w:p w14:paraId="0A5A75F6">
            <w:pPr>
              <w:pStyle w:val="42"/>
              <w:bidi w:val="0"/>
              <w:jc w:val="center"/>
            </w:pPr>
            <w:r>
              <w:t>沉淀池絮凝剂</w:t>
            </w:r>
          </w:p>
        </w:tc>
        <w:tc>
          <w:tcPr>
            <w:tcW w:w="537" w:type="pct"/>
            <w:tcBorders>
              <w:tl2br w:val="nil"/>
              <w:tr2bl w:val="nil"/>
            </w:tcBorders>
            <w:vAlign w:val="center"/>
          </w:tcPr>
          <w:p w14:paraId="669CEAF9">
            <w:pPr>
              <w:pStyle w:val="42"/>
              <w:bidi w:val="0"/>
              <w:jc w:val="center"/>
            </w:pPr>
            <w:r>
              <w:t>/</w:t>
            </w:r>
          </w:p>
        </w:tc>
      </w:tr>
      <w:tr w14:paraId="028B2C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261" w:type="pct"/>
            <w:tcBorders>
              <w:tl2br w:val="nil"/>
              <w:tr2bl w:val="nil"/>
            </w:tcBorders>
            <w:vAlign w:val="center"/>
          </w:tcPr>
          <w:p w14:paraId="5BDE9D76">
            <w:pPr>
              <w:pStyle w:val="42"/>
              <w:bidi w:val="0"/>
              <w:jc w:val="center"/>
            </w:pPr>
            <w:r>
              <w:t>3</w:t>
            </w:r>
          </w:p>
        </w:tc>
        <w:tc>
          <w:tcPr>
            <w:tcW w:w="924" w:type="pct"/>
            <w:tcBorders>
              <w:tl2br w:val="nil"/>
              <w:tr2bl w:val="nil"/>
            </w:tcBorders>
            <w:vAlign w:val="center"/>
          </w:tcPr>
          <w:p w14:paraId="37310101">
            <w:pPr>
              <w:pStyle w:val="42"/>
              <w:bidi w:val="0"/>
              <w:jc w:val="center"/>
            </w:pPr>
            <w:r>
              <w:t>NaOH</w:t>
            </w:r>
          </w:p>
        </w:tc>
        <w:tc>
          <w:tcPr>
            <w:tcW w:w="632" w:type="pct"/>
            <w:tcBorders>
              <w:tl2br w:val="nil"/>
              <w:tr2bl w:val="nil"/>
            </w:tcBorders>
            <w:vAlign w:val="center"/>
          </w:tcPr>
          <w:p w14:paraId="0F1CCC1C">
            <w:pPr>
              <w:pStyle w:val="42"/>
              <w:bidi w:val="0"/>
              <w:jc w:val="center"/>
            </w:pPr>
            <w:r>
              <w:t>固态，袋装</w:t>
            </w:r>
          </w:p>
        </w:tc>
        <w:tc>
          <w:tcPr>
            <w:tcW w:w="1134" w:type="pct"/>
            <w:tcBorders>
              <w:tl2br w:val="nil"/>
              <w:tr2bl w:val="nil"/>
            </w:tcBorders>
            <w:vAlign w:val="center"/>
          </w:tcPr>
          <w:p w14:paraId="4572E2E1">
            <w:pPr>
              <w:pStyle w:val="42"/>
              <w:bidi w:val="0"/>
              <w:jc w:val="center"/>
            </w:pPr>
            <w:r>
              <w:t>加药间</w:t>
            </w:r>
          </w:p>
        </w:tc>
        <w:tc>
          <w:tcPr>
            <w:tcW w:w="1509" w:type="pct"/>
            <w:tcBorders>
              <w:tl2br w:val="nil"/>
              <w:tr2bl w:val="nil"/>
            </w:tcBorders>
            <w:vAlign w:val="center"/>
          </w:tcPr>
          <w:p w14:paraId="459C6AA3">
            <w:pPr>
              <w:pStyle w:val="42"/>
              <w:bidi w:val="0"/>
              <w:jc w:val="center"/>
            </w:pPr>
            <w:r>
              <w:t>降低废水硬度、喷淋塔药剂</w:t>
            </w:r>
          </w:p>
        </w:tc>
        <w:tc>
          <w:tcPr>
            <w:tcW w:w="537" w:type="pct"/>
            <w:tcBorders>
              <w:tl2br w:val="nil"/>
              <w:tr2bl w:val="nil"/>
            </w:tcBorders>
            <w:vAlign w:val="center"/>
          </w:tcPr>
          <w:p w14:paraId="2A7E5E3D">
            <w:pPr>
              <w:pStyle w:val="42"/>
              <w:bidi w:val="0"/>
              <w:jc w:val="center"/>
            </w:pPr>
            <w:r>
              <w:t>1310-73-2</w:t>
            </w:r>
          </w:p>
        </w:tc>
      </w:tr>
      <w:tr w14:paraId="22E5F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261" w:type="pct"/>
            <w:tcBorders>
              <w:tl2br w:val="nil"/>
              <w:tr2bl w:val="nil"/>
            </w:tcBorders>
            <w:vAlign w:val="center"/>
          </w:tcPr>
          <w:p w14:paraId="05954FAF">
            <w:pPr>
              <w:pStyle w:val="42"/>
              <w:bidi w:val="0"/>
              <w:jc w:val="center"/>
              <w:rPr>
                <w:rFonts w:hint="eastAsia" w:eastAsia="宋体"/>
                <w:lang w:val="en-US" w:eastAsia="zh-CN"/>
              </w:rPr>
            </w:pPr>
            <w:r>
              <w:rPr>
                <w:rFonts w:hint="eastAsia"/>
                <w:lang w:val="en-US" w:eastAsia="zh-CN"/>
              </w:rPr>
              <w:t>4</w:t>
            </w:r>
          </w:p>
        </w:tc>
        <w:tc>
          <w:tcPr>
            <w:tcW w:w="924" w:type="pct"/>
            <w:tcBorders>
              <w:tl2br w:val="nil"/>
              <w:tr2bl w:val="nil"/>
            </w:tcBorders>
            <w:vAlign w:val="center"/>
          </w:tcPr>
          <w:p w14:paraId="03784722">
            <w:pPr>
              <w:pStyle w:val="42"/>
              <w:bidi w:val="0"/>
              <w:jc w:val="center"/>
            </w:pPr>
            <w:r>
              <w:t>氨</w:t>
            </w:r>
          </w:p>
        </w:tc>
        <w:tc>
          <w:tcPr>
            <w:tcW w:w="632" w:type="pct"/>
            <w:tcBorders>
              <w:tl2br w:val="nil"/>
              <w:tr2bl w:val="nil"/>
            </w:tcBorders>
            <w:vAlign w:val="center"/>
          </w:tcPr>
          <w:p w14:paraId="3A3E6574">
            <w:pPr>
              <w:pStyle w:val="42"/>
              <w:bidi w:val="0"/>
              <w:jc w:val="center"/>
            </w:pPr>
            <w:r>
              <w:t>管道，滤池</w:t>
            </w:r>
          </w:p>
        </w:tc>
        <w:tc>
          <w:tcPr>
            <w:tcW w:w="1134" w:type="pct"/>
            <w:tcBorders>
              <w:tl2br w:val="nil"/>
              <w:tr2bl w:val="nil"/>
            </w:tcBorders>
            <w:vAlign w:val="center"/>
          </w:tcPr>
          <w:p w14:paraId="0F3CAC60">
            <w:pPr>
              <w:pStyle w:val="42"/>
              <w:bidi w:val="0"/>
              <w:jc w:val="center"/>
            </w:pPr>
            <w:r>
              <w:t>整个厂区，除臭系统</w:t>
            </w:r>
          </w:p>
        </w:tc>
        <w:tc>
          <w:tcPr>
            <w:tcW w:w="1509" w:type="pct"/>
            <w:tcBorders>
              <w:tl2br w:val="nil"/>
              <w:tr2bl w:val="nil"/>
            </w:tcBorders>
            <w:vAlign w:val="center"/>
          </w:tcPr>
          <w:p w14:paraId="24C3DC17">
            <w:pPr>
              <w:pStyle w:val="42"/>
              <w:bidi w:val="0"/>
              <w:jc w:val="center"/>
            </w:pPr>
            <w:r>
              <w:t>污水处理产生</w:t>
            </w:r>
          </w:p>
        </w:tc>
        <w:tc>
          <w:tcPr>
            <w:tcW w:w="537" w:type="pct"/>
            <w:tcBorders>
              <w:tl2br w:val="nil"/>
              <w:tr2bl w:val="nil"/>
            </w:tcBorders>
            <w:vAlign w:val="center"/>
          </w:tcPr>
          <w:p w14:paraId="3839ED1F">
            <w:pPr>
              <w:pStyle w:val="42"/>
              <w:bidi w:val="0"/>
              <w:jc w:val="center"/>
            </w:pPr>
            <w:r>
              <w:t>7664-41-7</w:t>
            </w:r>
          </w:p>
        </w:tc>
      </w:tr>
      <w:tr w14:paraId="39727C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6" w:hRule="atLeast"/>
        </w:trPr>
        <w:tc>
          <w:tcPr>
            <w:tcW w:w="261" w:type="pct"/>
            <w:tcBorders>
              <w:tl2br w:val="nil"/>
              <w:tr2bl w:val="nil"/>
            </w:tcBorders>
            <w:vAlign w:val="center"/>
          </w:tcPr>
          <w:p w14:paraId="00184E80">
            <w:pPr>
              <w:pStyle w:val="42"/>
              <w:bidi w:val="0"/>
              <w:jc w:val="center"/>
              <w:rPr>
                <w:rFonts w:hint="eastAsia" w:eastAsia="宋体"/>
                <w:lang w:val="en-US" w:eastAsia="zh-CN"/>
              </w:rPr>
            </w:pPr>
            <w:r>
              <w:rPr>
                <w:rFonts w:hint="eastAsia"/>
                <w:lang w:val="en-US" w:eastAsia="zh-CN"/>
              </w:rPr>
              <w:t>5</w:t>
            </w:r>
          </w:p>
        </w:tc>
        <w:tc>
          <w:tcPr>
            <w:tcW w:w="924" w:type="pct"/>
            <w:tcBorders>
              <w:tl2br w:val="nil"/>
              <w:tr2bl w:val="nil"/>
            </w:tcBorders>
            <w:vAlign w:val="center"/>
          </w:tcPr>
          <w:p w14:paraId="03BE16B6">
            <w:pPr>
              <w:pStyle w:val="42"/>
              <w:bidi w:val="0"/>
              <w:jc w:val="center"/>
            </w:pPr>
            <w:r>
              <w:t>硫化氢</w:t>
            </w:r>
          </w:p>
        </w:tc>
        <w:tc>
          <w:tcPr>
            <w:tcW w:w="632" w:type="pct"/>
            <w:tcBorders>
              <w:tl2br w:val="nil"/>
              <w:tr2bl w:val="nil"/>
            </w:tcBorders>
            <w:vAlign w:val="center"/>
          </w:tcPr>
          <w:p w14:paraId="040415C2">
            <w:pPr>
              <w:pStyle w:val="42"/>
              <w:bidi w:val="0"/>
              <w:jc w:val="center"/>
            </w:pPr>
            <w:r>
              <w:t>管道，滤池</w:t>
            </w:r>
          </w:p>
        </w:tc>
        <w:tc>
          <w:tcPr>
            <w:tcW w:w="1134" w:type="pct"/>
            <w:tcBorders>
              <w:tl2br w:val="nil"/>
              <w:tr2bl w:val="nil"/>
            </w:tcBorders>
            <w:vAlign w:val="center"/>
          </w:tcPr>
          <w:p w14:paraId="62948C6D">
            <w:pPr>
              <w:pStyle w:val="42"/>
              <w:bidi w:val="0"/>
              <w:jc w:val="center"/>
            </w:pPr>
            <w:r>
              <w:t>整个厂区，除臭系统</w:t>
            </w:r>
          </w:p>
        </w:tc>
        <w:tc>
          <w:tcPr>
            <w:tcW w:w="1509" w:type="pct"/>
            <w:tcBorders>
              <w:tl2br w:val="nil"/>
              <w:tr2bl w:val="nil"/>
            </w:tcBorders>
            <w:vAlign w:val="center"/>
          </w:tcPr>
          <w:p w14:paraId="24CBC42E">
            <w:pPr>
              <w:pStyle w:val="42"/>
              <w:bidi w:val="0"/>
              <w:jc w:val="center"/>
            </w:pPr>
            <w:r>
              <w:t>污水处理产生</w:t>
            </w:r>
          </w:p>
        </w:tc>
        <w:tc>
          <w:tcPr>
            <w:tcW w:w="537" w:type="pct"/>
            <w:tcBorders>
              <w:tl2br w:val="nil"/>
              <w:tr2bl w:val="nil"/>
            </w:tcBorders>
            <w:vAlign w:val="center"/>
          </w:tcPr>
          <w:p w14:paraId="0216B7EF">
            <w:pPr>
              <w:pStyle w:val="42"/>
              <w:bidi w:val="0"/>
              <w:jc w:val="center"/>
            </w:pPr>
            <w:r>
              <w:t>7783-06-4</w:t>
            </w:r>
          </w:p>
        </w:tc>
      </w:tr>
      <w:tr w14:paraId="5F314B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261" w:type="pct"/>
            <w:tcBorders>
              <w:tl2br w:val="nil"/>
              <w:tr2bl w:val="nil"/>
            </w:tcBorders>
            <w:vAlign w:val="center"/>
          </w:tcPr>
          <w:p w14:paraId="20519D8D">
            <w:pPr>
              <w:pStyle w:val="42"/>
              <w:bidi w:val="0"/>
              <w:jc w:val="center"/>
              <w:rPr>
                <w:rFonts w:hint="eastAsia" w:eastAsia="宋体"/>
                <w:lang w:val="en-US" w:eastAsia="zh-CN"/>
              </w:rPr>
            </w:pPr>
            <w:r>
              <w:rPr>
                <w:rFonts w:hint="eastAsia"/>
                <w:lang w:val="en-US" w:eastAsia="zh-CN"/>
              </w:rPr>
              <w:t>6</w:t>
            </w:r>
          </w:p>
        </w:tc>
        <w:tc>
          <w:tcPr>
            <w:tcW w:w="924" w:type="pct"/>
            <w:tcBorders>
              <w:tl2br w:val="nil"/>
              <w:tr2bl w:val="nil"/>
            </w:tcBorders>
            <w:vAlign w:val="center"/>
          </w:tcPr>
          <w:p w14:paraId="32FE8718">
            <w:pPr>
              <w:pStyle w:val="42"/>
              <w:bidi w:val="0"/>
              <w:jc w:val="center"/>
            </w:pPr>
            <w:r>
              <w:t>甲烷</w:t>
            </w:r>
          </w:p>
        </w:tc>
        <w:tc>
          <w:tcPr>
            <w:tcW w:w="632" w:type="pct"/>
            <w:tcBorders>
              <w:tl2br w:val="nil"/>
              <w:tr2bl w:val="nil"/>
            </w:tcBorders>
            <w:vAlign w:val="center"/>
          </w:tcPr>
          <w:p w14:paraId="5DF9DFBE">
            <w:pPr>
              <w:pStyle w:val="42"/>
              <w:bidi w:val="0"/>
              <w:jc w:val="center"/>
            </w:pPr>
            <w:r>
              <w:t>管道，滤池</w:t>
            </w:r>
          </w:p>
        </w:tc>
        <w:tc>
          <w:tcPr>
            <w:tcW w:w="1134" w:type="pct"/>
            <w:tcBorders>
              <w:tl2br w:val="nil"/>
              <w:tr2bl w:val="nil"/>
            </w:tcBorders>
            <w:vAlign w:val="center"/>
          </w:tcPr>
          <w:p w14:paraId="04429D7D">
            <w:pPr>
              <w:pStyle w:val="42"/>
              <w:bidi w:val="0"/>
              <w:jc w:val="center"/>
              <w:rPr>
                <w:rFonts w:hint="eastAsia" w:eastAsia="宋体"/>
                <w:lang w:eastAsia="zh-CN"/>
              </w:rPr>
            </w:pPr>
            <w:r>
              <w:rPr>
                <w:rFonts w:hint="eastAsia"/>
                <w:lang w:val="en-US" w:eastAsia="zh-CN"/>
              </w:rPr>
              <w:t>厌氧池</w:t>
            </w:r>
          </w:p>
        </w:tc>
        <w:tc>
          <w:tcPr>
            <w:tcW w:w="1509" w:type="pct"/>
            <w:tcBorders>
              <w:tl2br w:val="nil"/>
              <w:tr2bl w:val="nil"/>
            </w:tcBorders>
            <w:vAlign w:val="center"/>
          </w:tcPr>
          <w:p w14:paraId="5C08E4DD">
            <w:pPr>
              <w:pStyle w:val="42"/>
              <w:bidi w:val="0"/>
              <w:jc w:val="center"/>
            </w:pPr>
            <w:r>
              <w:t>污水处理产生</w:t>
            </w:r>
          </w:p>
        </w:tc>
        <w:tc>
          <w:tcPr>
            <w:tcW w:w="537" w:type="pct"/>
            <w:tcBorders>
              <w:tl2br w:val="nil"/>
              <w:tr2bl w:val="nil"/>
            </w:tcBorders>
            <w:vAlign w:val="center"/>
          </w:tcPr>
          <w:p w14:paraId="4A037D77">
            <w:pPr>
              <w:pStyle w:val="42"/>
              <w:bidi w:val="0"/>
              <w:jc w:val="center"/>
            </w:pPr>
            <w:r>
              <w:t>74-82-8</w:t>
            </w:r>
          </w:p>
        </w:tc>
      </w:tr>
      <w:tr w14:paraId="0F74CD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261" w:type="pct"/>
            <w:tcBorders>
              <w:tl2br w:val="nil"/>
              <w:tr2bl w:val="nil"/>
            </w:tcBorders>
            <w:vAlign w:val="center"/>
          </w:tcPr>
          <w:p w14:paraId="472ED8BE">
            <w:pPr>
              <w:pStyle w:val="42"/>
              <w:bidi w:val="0"/>
              <w:jc w:val="center"/>
              <w:rPr>
                <w:rFonts w:hint="default"/>
                <w:lang w:val="en-US" w:eastAsia="zh-CN"/>
              </w:rPr>
            </w:pPr>
            <w:r>
              <w:rPr>
                <w:rFonts w:hint="eastAsia"/>
                <w:lang w:val="en-US" w:eastAsia="zh-CN"/>
              </w:rPr>
              <w:t>7</w:t>
            </w:r>
          </w:p>
        </w:tc>
        <w:tc>
          <w:tcPr>
            <w:tcW w:w="924" w:type="pct"/>
            <w:tcBorders>
              <w:tl2br w:val="nil"/>
              <w:tr2bl w:val="nil"/>
            </w:tcBorders>
            <w:vAlign w:val="center"/>
          </w:tcPr>
          <w:p w14:paraId="6EAB9648">
            <w:pPr>
              <w:pStyle w:val="42"/>
              <w:bidi w:val="0"/>
              <w:jc w:val="center"/>
              <w:rPr>
                <w:rFonts w:hint="default" w:eastAsia="宋体"/>
                <w:lang w:val="en-US" w:eastAsia="zh-CN"/>
              </w:rPr>
            </w:pPr>
            <w:r>
              <w:rPr>
                <w:rFonts w:hint="eastAsia"/>
                <w:lang w:val="en-US" w:eastAsia="zh-CN"/>
              </w:rPr>
              <w:t>危险废物</w:t>
            </w:r>
          </w:p>
        </w:tc>
        <w:tc>
          <w:tcPr>
            <w:tcW w:w="632" w:type="pct"/>
            <w:tcBorders>
              <w:tl2br w:val="nil"/>
              <w:tr2bl w:val="nil"/>
            </w:tcBorders>
            <w:vAlign w:val="center"/>
          </w:tcPr>
          <w:p w14:paraId="3232E839">
            <w:pPr>
              <w:pStyle w:val="42"/>
              <w:bidi w:val="0"/>
              <w:jc w:val="center"/>
              <w:rPr>
                <w:rFonts w:hint="default" w:eastAsia="宋体"/>
                <w:lang w:val="en-US" w:eastAsia="zh-CN"/>
              </w:rPr>
            </w:pPr>
            <w:r>
              <w:rPr>
                <w:rFonts w:hint="eastAsia"/>
                <w:lang w:val="en-US" w:eastAsia="zh-CN"/>
              </w:rPr>
              <w:t>/</w:t>
            </w:r>
          </w:p>
        </w:tc>
        <w:tc>
          <w:tcPr>
            <w:tcW w:w="1134" w:type="pct"/>
            <w:tcBorders>
              <w:tl2br w:val="nil"/>
              <w:tr2bl w:val="nil"/>
            </w:tcBorders>
            <w:vAlign w:val="center"/>
          </w:tcPr>
          <w:p w14:paraId="2D8C1D20">
            <w:pPr>
              <w:pStyle w:val="42"/>
              <w:bidi w:val="0"/>
              <w:jc w:val="center"/>
              <w:rPr>
                <w:rFonts w:hint="eastAsia"/>
                <w:lang w:val="en-US" w:eastAsia="zh-CN"/>
              </w:rPr>
            </w:pPr>
            <w:r>
              <w:rPr>
                <w:rFonts w:hint="eastAsia"/>
                <w:lang w:val="en-US" w:eastAsia="zh-CN"/>
              </w:rPr>
              <w:t>危废间</w:t>
            </w:r>
          </w:p>
        </w:tc>
        <w:tc>
          <w:tcPr>
            <w:tcW w:w="1509" w:type="pct"/>
            <w:tcBorders>
              <w:tl2br w:val="nil"/>
              <w:tr2bl w:val="nil"/>
            </w:tcBorders>
            <w:vAlign w:val="center"/>
          </w:tcPr>
          <w:p w14:paraId="7B53027D">
            <w:pPr>
              <w:pStyle w:val="42"/>
              <w:bidi w:val="0"/>
              <w:jc w:val="center"/>
              <w:rPr>
                <w:rFonts w:hint="eastAsia" w:eastAsia="宋体"/>
                <w:lang w:val="en-US" w:eastAsia="zh-CN"/>
              </w:rPr>
            </w:pPr>
            <w:r>
              <w:rPr>
                <w:rFonts w:hint="eastAsia"/>
                <w:lang w:val="en-US" w:eastAsia="zh-CN"/>
              </w:rPr>
              <w:t>/</w:t>
            </w:r>
          </w:p>
        </w:tc>
        <w:tc>
          <w:tcPr>
            <w:tcW w:w="537" w:type="pct"/>
            <w:tcBorders>
              <w:tl2br w:val="nil"/>
              <w:tr2bl w:val="nil"/>
            </w:tcBorders>
            <w:vAlign w:val="center"/>
          </w:tcPr>
          <w:p w14:paraId="0CDDA4FB">
            <w:pPr>
              <w:pStyle w:val="42"/>
              <w:bidi w:val="0"/>
              <w:jc w:val="center"/>
            </w:pPr>
          </w:p>
        </w:tc>
      </w:tr>
    </w:tbl>
    <w:p w14:paraId="5EAB8D20">
      <w:pPr>
        <w:bidi w:val="0"/>
        <w:rPr>
          <w:rFonts w:hint="default"/>
        </w:rPr>
      </w:pPr>
      <w:r>
        <w:rPr>
          <w:rFonts w:hint="default"/>
        </w:rPr>
        <w:t>根据《建设项目环境风险评价技术导则》（HJ169-2018）附录B，识别本项目风险物质如下：</w:t>
      </w:r>
    </w:p>
    <w:p w14:paraId="07DC430D">
      <w:pPr>
        <w:pStyle w:val="39"/>
        <w:bidi w:val="0"/>
        <w:rPr>
          <w:rFonts w:hint="default"/>
        </w:rPr>
      </w:pPr>
      <w:r>
        <w:rPr>
          <w:rFonts w:hint="default"/>
        </w:rPr>
        <w:t>表6.</w:t>
      </w:r>
      <w:r>
        <w:rPr>
          <w:rFonts w:hint="eastAsia"/>
          <w:lang w:val="en-US" w:eastAsia="zh-CN"/>
        </w:rPr>
        <w:t>4</w:t>
      </w:r>
      <w:r>
        <w:rPr>
          <w:rFonts w:hint="default"/>
        </w:rPr>
        <w:t>-2    本项目风险物质一览表</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85"/>
        <w:gridCol w:w="1430"/>
        <w:gridCol w:w="1170"/>
        <w:gridCol w:w="2202"/>
        <w:gridCol w:w="1580"/>
        <w:gridCol w:w="1266"/>
      </w:tblGrid>
      <w:tr w14:paraId="79B954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11" w:type="pct"/>
            <w:tcBorders>
              <w:top w:val="single" w:color="000000" w:sz="12" w:space="0"/>
              <w:left w:val="single" w:color="000000" w:sz="12" w:space="0"/>
              <w:bottom w:val="single" w:color="000000" w:sz="4" w:space="0"/>
              <w:right w:val="single" w:color="000000" w:sz="4" w:space="0"/>
            </w:tcBorders>
            <w:vAlign w:val="center"/>
          </w:tcPr>
          <w:p w14:paraId="2056ED45">
            <w:pPr>
              <w:pStyle w:val="42"/>
              <w:bidi w:val="0"/>
              <w:jc w:val="center"/>
            </w:pPr>
            <w:r>
              <w:t>序号</w:t>
            </w:r>
          </w:p>
        </w:tc>
        <w:tc>
          <w:tcPr>
            <w:tcW w:w="858" w:type="pct"/>
            <w:tcBorders>
              <w:top w:val="single" w:color="000000" w:sz="12" w:space="0"/>
              <w:left w:val="single" w:color="000000" w:sz="4" w:space="0"/>
              <w:bottom w:val="single" w:color="000000" w:sz="4" w:space="0"/>
              <w:right w:val="single" w:color="000000" w:sz="4" w:space="0"/>
            </w:tcBorders>
            <w:vAlign w:val="center"/>
          </w:tcPr>
          <w:p w14:paraId="717BD846">
            <w:pPr>
              <w:pStyle w:val="42"/>
              <w:bidi w:val="0"/>
              <w:jc w:val="center"/>
            </w:pPr>
            <w:r>
              <w:t>风险物质</w:t>
            </w:r>
          </w:p>
        </w:tc>
        <w:tc>
          <w:tcPr>
            <w:tcW w:w="702" w:type="pct"/>
            <w:tcBorders>
              <w:top w:val="single" w:color="000000" w:sz="12" w:space="0"/>
              <w:left w:val="single" w:color="000000" w:sz="4" w:space="0"/>
              <w:bottom w:val="single" w:color="000000" w:sz="4" w:space="0"/>
              <w:right w:val="single" w:color="000000" w:sz="4" w:space="0"/>
            </w:tcBorders>
            <w:vAlign w:val="center"/>
          </w:tcPr>
          <w:p w14:paraId="2F37B302">
            <w:pPr>
              <w:pStyle w:val="42"/>
              <w:bidi w:val="0"/>
              <w:jc w:val="center"/>
            </w:pPr>
            <w:r>
              <w:t>物态</w:t>
            </w:r>
          </w:p>
        </w:tc>
        <w:tc>
          <w:tcPr>
            <w:tcW w:w="1321" w:type="pct"/>
            <w:tcBorders>
              <w:top w:val="single" w:color="000000" w:sz="12" w:space="0"/>
              <w:left w:val="single" w:color="000000" w:sz="4" w:space="0"/>
              <w:bottom w:val="single" w:color="000000" w:sz="4" w:space="0"/>
              <w:right w:val="single" w:color="000000" w:sz="4" w:space="0"/>
            </w:tcBorders>
            <w:vAlign w:val="center"/>
          </w:tcPr>
          <w:p w14:paraId="22D3F717">
            <w:pPr>
              <w:pStyle w:val="42"/>
              <w:bidi w:val="0"/>
              <w:jc w:val="center"/>
            </w:pPr>
            <w:r>
              <w:t>暂存数量t</w:t>
            </w:r>
          </w:p>
        </w:tc>
        <w:tc>
          <w:tcPr>
            <w:tcW w:w="947" w:type="pct"/>
            <w:tcBorders>
              <w:top w:val="single" w:color="000000" w:sz="12" w:space="0"/>
              <w:left w:val="single" w:color="000000" w:sz="4" w:space="0"/>
              <w:bottom w:val="single" w:color="000000" w:sz="4" w:space="0"/>
              <w:right w:val="single" w:color="000000" w:sz="4" w:space="0"/>
            </w:tcBorders>
            <w:vAlign w:val="center"/>
          </w:tcPr>
          <w:p w14:paraId="6D70023F">
            <w:pPr>
              <w:pStyle w:val="42"/>
              <w:bidi w:val="0"/>
              <w:jc w:val="center"/>
            </w:pPr>
            <w:r>
              <w:t>危险特性类别</w:t>
            </w:r>
          </w:p>
        </w:tc>
        <w:tc>
          <w:tcPr>
            <w:tcW w:w="759" w:type="pct"/>
            <w:tcBorders>
              <w:top w:val="single" w:color="000000" w:sz="12" w:space="0"/>
              <w:left w:val="single" w:color="000000" w:sz="4" w:space="0"/>
              <w:bottom w:val="single" w:color="000000" w:sz="4" w:space="0"/>
              <w:right w:val="single" w:color="000000" w:sz="12" w:space="0"/>
            </w:tcBorders>
            <w:vAlign w:val="center"/>
          </w:tcPr>
          <w:p w14:paraId="3BF56A3A">
            <w:pPr>
              <w:pStyle w:val="42"/>
              <w:bidi w:val="0"/>
              <w:jc w:val="center"/>
            </w:pPr>
            <w:r>
              <w:t>CAS号</w:t>
            </w:r>
          </w:p>
        </w:tc>
      </w:tr>
      <w:tr w14:paraId="6F37F0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411" w:type="pct"/>
            <w:tcBorders>
              <w:top w:val="single" w:color="000000" w:sz="4" w:space="0"/>
              <w:left w:val="single" w:color="000000" w:sz="12" w:space="0"/>
              <w:bottom w:val="single" w:color="000000" w:sz="4" w:space="0"/>
              <w:right w:val="single" w:color="000000" w:sz="4" w:space="0"/>
            </w:tcBorders>
            <w:vAlign w:val="center"/>
          </w:tcPr>
          <w:p w14:paraId="2DBB2380">
            <w:pPr>
              <w:pStyle w:val="42"/>
              <w:bidi w:val="0"/>
              <w:jc w:val="center"/>
            </w:pPr>
            <w:r>
              <w:t>1</w:t>
            </w:r>
          </w:p>
        </w:tc>
        <w:tc>
          <w:tcPr>
            <w:tcW w:w="858" w:type="pct"/>
            <w:tcBorders>
              <w:top w:val="single" w:color="000000" w:sz="4" w:space="0"/>
              <w:left w:val="single" w:color="000000" w:sz="4" w:space="0"/>
              <w:bottom w:val="single" w:color="000000" w:sz="4" w:space="0"/>
              <w:right w:val="single" w:color="000000" w:sz="4" w:space="0"/>
            </w:tcBorders>
            <w:vAlign w:val="center"/>
          </w:tcPr>
          <w:p w14:paraId="38A365E4">
            <w:pPr>
              <w:pStyle w:val="42"/>
              <w:bidi w:val="0"/>
              <w:jc w:val="center"/>
            </w:pPr>
            <w:r>
              <w:t>氨</w:t>
            </w:r>
          </w:p>
        </w:tc>
        <w:tc>
          <w:tcPr>
            <w:tcW w:w="702" w:type="pct"/>
            <w:tcBorders>
              <w:top w:val="single" w:color="000000" w:sz="4" w:space="0"/>
              <w:left w:val="single" w:color="000000" w:sz="4" w:space="0"/>
              <w:bottom w:val="single" w:color="000000" w:sz="4" w:space="0"/>
              <w:right w:val="single" w:color="000000" w:sz="4" w:space="0"/>
            </w:tcBorders>
            <w:vAlign w:val="center"/>
          </w:tcPr>
          <w:p w14:paraId="456301B9">
            <w:pPr>
              <w:pStyle w:val="42"/>
              <w:bidi w:val="0"/>
              <w:jc w:val="center"/>
            </w:pPr>
            <w:r>
              <w:t>气</w:t>
            </w:r>
          </w:p>
        </w:tc>
        <w:tc>
          <w:tcPr>
            <w:tcW w:w="1321" w:type="pct"/>
            <w:tcBorders>
              <w:top w:val="single" w:color="000000" w:sz="4" w:space="0"/>
              <w:left w:val="single" w:color="000000" w:sz="4" w:space="0"/>
              <w:bottom w:val="single" w:color="000000" w:sz="4" w:space="0"/>
              <w:right w:val="single" w:color="000000" w:sz="4" w:space="0"/>
            </w:tcBorders>
            <w:vAlign w:val="center"/>
          </w:tcPr>
          <w:p w14:paraId="5BE28986">
            <w:pPr>
              <w:pStyle w:val="42"/>
              <w:bidi w:val="0"/>
              <w:jc w:val="center"/>
              <w:rPr>
                <w:rFonts w:hint="default"/>
                <w:lang w:val="en-US"/>
              </w:rPr>
            </w:pPr>
            <w:r>
              <w:t>0.00</w:t>
            </w:r>
            <w:r>
              <w:rPr>
                <w:rFonts w:hint="eastAsia"/>
                <w:lang w:val="en-US" w:eastAsia="zh-CN"/>
              </w:rPr>
              <w:t>82</w:t>
            </w:r>
          </w:p>
        </w:tc>
        <w:tc>
          <w:tcPr>
            <w:tcW w:w="947" w:type="pct"/>
            <w:tcBorders>
              <w:top w:val="single" w:color="000000" w:sz="4" w:space="0"/>
              <w:left w:val="single" w:color="000000" w:sz="4" w:space="0"/>
              <w:bottom w:val="single" w:color="000000" w:sz="4" w:space="0"/>
              <w:right w:val="single" w:color="000000" w:sz="4" w:space="0"/>
            </w:tcBorders>
            <w:vAlign w:val="center"/>
          </w:tcPr>
          <w:p w14:paraId="4468F506">
            <w:pPr>
              <w:pStyle w:val="42"/>
              <w:bidi w:val="0"/>
              <w:jc w:val="center"/>
            </w:pPr>
            <w:r>
              <w:t>有毒气体</w:t>
            </w:r>
          </w:p>
        </w:tc>
        <w:tc>
          <w:tcPr>
            <w:tcW w:w="759" w:type="pct"/>
            <w:tcBorders>
              <w:top w:val="single" w:color="000000" w:sz="4" w:space="0"/>
              <w:left w:val="single" w:color="000000" w:sz="4" w:space="0"/>
              <w:bottom w:val="single" w:color="000000" w:sz="4" w:space="0"/>
              <w:right w:val="single" w:color="000000" w:sz="12" w:space="0"/>
            </w:tcBorders>
            <w:vAlign w:val="center"/>
          </w:tcPr>
          <w:p w14:paraId="6D752134">
            <w:pPr>
              <w:pStyle w:val="42"/>
              <w:bidi w:val="0"/>
              <w:jc w:val="center"/>
            </w:pPr>
            <w:r>
              <w:t>7664-41-7</w:t>
            </w:r>
          </w:p>
        </w:tc>
      </w:tr>
      <w:tr w14:paraId="2B9367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411" w:type="pct"/>
            <w:tcBorders>
              <w:top w:val="single" w:color="000000" w:sz="4" w:space="0"/>
              <w:left w:val="single" w:color="000000" w:sz="12" w:space="0"/>
              <w:bottom w:val="single" w:color="000000" w:sz="4" w:space="0"/>
              <w:right w:val="single" w:color="000000" w:sz="4" w:space="0"/>
            </w:tcBorders>
            <w:vAlign w:val="center"/>
          </w:tcPr>
          <w:p w14:paraId="6D00B27D">
            <w:pPr>
              <w:pStyle w:val="42"/>
              <w:bidi w:val="0"/>
              <w:jc w:val="center"/>
            </w:pPr>
            <w:r>
              <w:t>2</w:t>
            </w:r>
          </w:p>
        </w:tc>
        <w:tc>
          <w:tcPr>
            <w:tcW w:w="858" w:type="pct"/>
            <w:tcBorders>
              <w:top w:val="single" w:color="000000" w:sz="4" w:space="0"/>
              <w:left w:val="single" w:color="000000" w:sz="4" w:space="0"/>
              <w:bottom w:val="single" w:color="000000" w:sz="4" w:space="0"/>
              <w:right w:val="single" w:color="000000" w:sz="4" w:space="0"/>
            </w:tcBorders>
            <w:vAlign w:val="center"/>
          </w:tcPr>
          <w:p w14:paraId="3D89ABA9">
            <w:pPr>
              <w:pStyle w:val="42"/>
              <w:bidi w:val="0"/>
              <w:jc w:val="center"/>
            </w:pPr>
            <w:r>
              <w:t>硫化氢</w:t>
            </w:r>
          </w:p>
        </w:tc>
        <w:tc>
          <w:tcPr>
            <w:tcW w:w="702" w:type="pct"/>
            <w:tcBorders>
              <w:top w:val="single" w:color="000000" w:sz="4" w:space="0"/>
              <w:left w:val="single" w:color="000000" w:sz="4" w:space="0"/>
              <w:bottom w:val="single" w:color="000000" w:sz="4" w:space="0"/>
              <w:right w:val="single" w:color="000000" w:sz="4" w:space="0"/>
            </w:tcBorders>
            <w:vAlign w:val="center"/>
          </w:tcPr>
          <w:p w14:paraId="3ADD01DB">
            <w:pPr>
              <w:pStyle w:val="42"/>
              <w:bidi w:val="0"/>
              <w:jc w:val="center"/>
            </w:pPr>
            <w:r>
              <w:t>气</w:t>
            </w:r>
          </w:p>
        </w:tc>
        <w:tc>
          <w:tcPr>
            <w:tcW w:w="1321" w:type="pct"/>
            <w:tcBorders>
              <w:top w:val="single" w:color="000000" w:sz="4" w:space="0"/>
              <w:left w:val="single" w:color="000000" w:sz="4" w:space="0"/>
              <w:bottom w:val="single" w:color="000000" w:sz="4" w:space="0"/>
              <w:right w:val="single" w:color="000000" w:sz="4" w:space="0"/>
            </w:tcBorders>
            <w:vAlign w:val="center"/>
          </w:tcPr>
          <w:p w14:paraId="5EC4E0F3">
            <w:pPr>
              <w:pStyle w:val="42"/>
              <w:bidi w:val="0"/>
              <w:jc w:val="center"/>
              <w:rPr>
                <w:rFonts w:hint="default" w:eastAsia="宋体"/>
                <w:lang w:val="en-US" w:eastAsia="zh-CN"/>
              </w:rPr>
            </w:pPr>
            <w:r>
              <w:t>0.0000</w:t>
            </w:r>
            <w:r>
              <w:rPr>
                <w:rFonts w:hint="eastAsia"/>
                <w:lang w:val="en-US" w:eastAsia="zh-CN"/>
              </w:rPr>
              <w:t>23</w:t>
            </w:r>
          </w:p>
        </w:tc>
        <w:tc>
          <w:tcPr>
            <w:tcW w:w="947" w:type="pct"/>
            <w:tcBorders>
              <w:top w:val="single" w:color="000000" w:sz="4" w:space="0"/>
              <w:left w:val="single" w:color="000000" w:sz="4" w:space="0"/>
              <w:bottom w:val="single" w:color="000000" w:sz="4" w:space="0"/>
              <w:right w:val="single" w:color="000000" w:sz="4" w:space="0"/>
            </w:tcBorders>
            <w:vAlign w:val="center"/>
          </w:tcPr>
          <w:p w14:paraId="1BDD9E51">
            <w:pPr>
              <w:pStyle w:val="42"/>
              <w:bidi w:val="0"/>
              <w:jc w:val="center"/>
            </w:pPr>
            <w:r>
              <w:t>有毒气体</w:t>
            </w:r>
          </w:p>
        </w:tc>
        <w:tc>
          <w:tcPr>
            <w:tcW w:w="759" w:type="pct"/>
            <w:tcBorders>
              <w:top w:val="single" w:color="000000" w:sz="4" w:space="0"/>
              <w:left w:val="single" w:color="000000" w:sz="4" w:space="0"/>
              <w:bottom w:val="single" w:color="000000" w:sz="4" w:space="0"/>
              <w:right w:val="single" w:color="000000" w:sz="12" w:space="0"/>
            </w:tcBorders>
            <w:vAlign w:val="center"/>
          </w:tcPr>
          <w:p w14:paraId="6B8995BB">
            <w:pPr>
              <w:pStyle w:val="42"/>
              <w:bidi w:val="0"/>
              <w:jc w:val="center"/>
            </w:pPr>
            <w:r>
              <w:t>7783-06-4</w:t>
            </w:r>
          </w:p>
        </w:tc>
      </w:tr>
      <w:tr w14:paraId="7A029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trPr>
        <w:tc>
          <w:tcPr>
            <w:tcW w:w="411" w:type="pct"/>
            <w:tcBorders>
              <w:top w:val="single" w:color="000000" w:sz="4" w:space="0"/>
              <w:left w:val="single" w:color="000000" w:sz="12" w:space="0"/>
              <w:bottom w:val="single" w:color="000000" w:sz="4" w:space="0"/>
              <w:right w:val="single" w:color="000000" w:sz="4" w:space="0"/>
            </w:tcBorders>
            <w:vAlign w:val="center"/>
          </w:tcPr>
          <w:p w14:paraId="19A161EE">
            <w:pPr>
              <w:pStyle w:val="42"/>
              <w:bidi w:val="0"/>
              <w:jc w:val="center"/>
            </w:pPr>
            <w:r>
              <w:t>3</w:t>
            </w:r>
          </w:p>
        </w:tc>
        <w:tc>
          <w:tcPr>
            <w:tcW w:w="858" w:type="pct"/>
            <w:tcBorders>
              <w:top w:val="single" w:color="000000" w:sz="4" w:space="0"/>
              <w:left w:val="single" w:color="000000" w:sz="4" w:space="0"/>
              <w:bottom w:val="single" w:color="000000" w:sz="4" w:space="0"/>
              <w:right w:val="single" w:color="000000" w:sz="4" w:space="0"/>
            </w:tcBorders>
            <w:vAlign w:val="center"/>
          </w:tcPr>
          <w:p w14:paraId="117BB0F4">
            <w:pPr>
              <w:pStyle w:val="42"/>
              <w:bidi w:val="0"/>
              <w:jc w:val="center"/>
            </w:pPr>
            <w:r>
              <w:t>甲烷</w:t>
            </w:r>
          </w:p>
        </w:tc>
        <w:tc>
          <w:tcPr>
            <w:tcW w:w="702" w:type="pct"/>
            <w:tcBorders>
              <w:top w:val="single" w:color="000000" w:sz="4" w:space="0"/>
              <w:left w:val="single" w:color="000000" w:sz="4" w:space="0"/>
              <w:bottom w:val="single" w:color="000000" w:sz="4" w:space="0"/>
              <w:right w:val="single" w:color="000000" w:sz="4" w:space="0"/>
            </w:tcBorders>
            <w:vAlign w:val="center"/>
          </w:tcPr>
          <w:p w14:paraId="1B4E2388">
            <w:pPr>
              <w:pStyle w:val="42"/>
              <w:bidi w:val="0"/>
              <w:jc w:val="center"/>
            </w:pPr>
            <w:r>
              <w:t>气</w:t>
            </w:r>
          </w:p>
        </w:tc>
        <w:tc>
          <w:tcPr>
            <w:tcW w:w="1321" w:type="pct"/>
            <w:tcBorders>
              <w:top w:val="single" w:color="000000" w:sz="4" w:space="0"/>
              <w:left w:val="single" w:color="000000" w:sz="4" w:space="0"/>
              <w:bottom w:val="single" w:color="000000" w:sz="4" w:space="0"/>
              <w:right w:val="single" w:color="000000" w:sz="4" w:space="0"/>
            </w:tcBorders>
            <w:vAlign w:val="center"/>
          </w:tcPr>
          <w:p w14:paraId="662B5F21">
            <w:pPr>
              <w:pStyle w:val="42"/>
              <w:bidi w:val="0"/>
              <w:jc w:val="center"/>
            </w:pPr>
            <w:r>
              <w:t>0.00072</w:t>
            </w:r>
          </w:p>
        </w:tc>
        <w:tc>
          <w:tcPr>
            <w:tcW w:w="947" w:type="pct"/>
            <w:tcBorders>
              <w:top w:val="single" w:color="000000" w:sz="4" w:space="0"/>
              <w:left w:val="single" w:color="000000" w:sz="4" w:space="0"/>
              <w:bottom w:val="single" w:color="000000" w:sz="4" w:space="0"/>
              <w:right w:val="single" w:color="000000" w:sz="4" w:space="0"/>
            </w:tcBorders>
            <w:vAlign w:val="center"/>
          </w:tcPr>
          <w:p w14:paraId="546F27FC">
            <w:pPr>
              <w:pStyle w:val="42"/>
              <w:bidi w:val="0"/>
              <w:jc w:val="center"/>
            </w:pPr>
            <w:r>
              <w:t>易燃易爆气体</w:t>
            </w:r>
          </w:p>
        </w:tc>
        <w:tc>
          <w:tcPr>
            <w:tcW w:w="759" w:type="pct"/>
            <w:tcBorders>
              <w:top w:val="single" w:color="000000" w:sz="4" w:space="0"/>
              <w:left w:val="single" w:color="000000" w:sz="4" w:space="0"/>
              <w:bottom w:val="single" w:color="000000" w:sz="4" w:space="0"/>
              <w:right w:val="single" w:color="000000" w:sz="12" w:space="0"/>
            </w:tcBorders>
            <w:vAlign w:val="center"/>
          </w:tcPr>
          <w:p w14:paraId="418D418A">
            <w:pPr>
              <w:pStyle w:val="42"/>
              <w:bidi w:val="0"/>
              <w:jc w:val="center"/>
            </w:pPr>
            <w:r>
              <w:t>74-82-8</w:t>
            </w:r>
          </w:p>
        </w:tc>
      </w:tr>
      <w:tr w14:paraId="3F0CA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trPr>
        <w:tc>
          <w:tcPr>
            <w:tcW w:w="411" w:type="pct"/>
            <w:tcBorders>
              <w:top w:val="single" w:color="000000" w:sz="4" w:space="0"/>
              <w:left w:val="single" w:color="000000" w:sz="12" w:space="0"/>
              <w:bottom w:val="single" w:color="000000" w:sz="12" w:space="0"/>
              <w:right w:val="single" w:color="000000" w:sz="4" w:space="0"/>
            </w:tcBorders>
            <w:vAlign w:val="center"/>
          </w:tcPr>
          <w:p w14:paraId="7C8C561F">
            <w:pPr>
              <w:pStyle w:val="42"/>
              <w:bidi w:val="0"/>
              <w:jc w:val="center"/>
              <w:rPr>
                <w:rFonts w:hint="eastAsia" w:eastAsia="宋体"/>
                <w:lang w:val="en-US" w:eastAsia="zh-CN"/>
              </w:rPr>
            </w:pPr>
            <w:r>
              <w:rPr>
                <w:rFonts w:hint="eastAsia"/>
                <w:lang w:val="en-US" w:eastAsia="zh-CN"/>
              </w:rPr>
              <w:t>4</w:t>
            </w:r>
          </w:p>
        </w:tc>
        <w:tc>
          <w:tcPr>
            <w:tcW w:w="858" w:type="pct"/>
            <w:tcBorders>
              <w:top w:val="single" w:color="000000" w:sz="4" w:space="0"/>
              <w:left w:val="single" w:color="000000" w:sz="4" w:space="0"/>
              <w:bottom w:val="single" w:color="000000" w:sz="12" w:space="0"/>
              <w:right w:val="single" w:color="000000" w:sz="4" w:space="0"/>
            </w:tcBorders>
            <w:vAlign w:val="center"/>
          </w:tcPr>
          <w:p w14:paraId="33F6D3EB">
            <w:pPr>
              <w:pStyle w:val="42"/>
              <w:bidi w:val="0"/>
              <w:jc w:val="center"/>
              <w:rPr>
                <w:rFonts w:hint="default" w:eastAsia="宋体"/>
                <w:lang w:val="en-US" w:eastAsia="zh-CN"/>
              </w:rPr>
            </w:pPr>
            <w:r>
              <w:rPr>
                <w:rFonts w:hint="eastAsia"/>
                <w:lang w:val="en-US" w:eastAsia="zh-CN"/>
              </w:rPr>
              <w:t>危险废物</w:t>
            </w:r>
          </w:p>
        </w:tc>
        <w:tc>
          <w:tcPr>
            <w:tcW w:w="702" w:type="pct"/>
            <w:tcBorders>
              <w:top w:val="single" w:color="000000" w:sz="4" w:space="0"/>
              <w:left w:val="single" w:color="000000" w:sz="4" w:space="0"/>
              <w:bottom w:val="single" w:color="000000" w:sz="12" w:space="0"/>
              <w:right w:val="single" w:color="000000" w:sz="4" w:space="0"/>
            </w:tcBorders>
            <w:vAlign w:val="center"/>
          </w:tcPr>
          <w:p w14:paraId="488B8D2F">
            <w:pPr>
              <w:pStyle w:val="42"/>
              <w:bidi w:val="0"/>
              <w:jc w:val="center"/>
              <w:rPr>
                <w:rFonts w:hint="eastAsia" w:eastAsia="宋体"/>
                <w:lang w:val="en-US" w:eastAsia="zh-CN"/>
              </w:rPr>
            </w:pPr>
            <w:r>
              <w:rPr>
                <w:rFonts w:hint="eastAsia"/>
                <w:lang w:val="en-US" w:eastAsia="zh-CN"/>
              </w:rPr>
              <w:t>/</w:t>
            </w:r>
          </w:p>
        </w:tc>
        <w:tc>
          <w:tcPr>
            <w:tcW w:w="1321" w:type="pct"/>
            <w:tcBorders>
              <w:top w:val="single" w:color="000000" w:sz="4" w:space="0"/>
              <w:left w:val="single" w:color="000000" w:sz="4" w:space="0"/>
              <w:bottom w:val="single" w:color="000000" w:sz="12" w:space="0"/>
              <w:right w:val="single" w:color="000000" w:sz="4" w:space="0"/>
            </w:tcBorders>
            <w:vAlign w:val="center"/>
          </w:tcPr>
          <w:p w14:paraId="17F841B9">
            <w:pPr>
              <w:pStyle w:val="42"/>
              <w:bidi w:val="0"/>
              <w:jc w:val="center"/>
              <w:rPr>
                <w:rFonts w:hint="default" w:eastAsia="宋体"/>
                <w:lang w:val="en-US" w:eastAsia="zh-CN"/>
              </w:rPr>
            </w:pPr>
            <w:r>
              <w:rPr>
                <w:rFonts w:hint="eastAsia"/>
                <w:lang w:val="en-US" w:eastAsia="zh-CN"/>
              </w:rPr>
              <w:t>0.11</w:t>
            </w:r>
          </w:p>
        </w:tc>
        <w:tc>
          <w:tcPr>
            <w:tcW w:w="947" w:type="pct"/>
            <w:tcBorders>
              <w:top w:val="single" w:color="000000" w:sz="4" w:space="0"/>
              <w:left w:val="single" w:color="000000" w:sz="4" w:space="0"/>
              <w:bottom w:val="single" w:color="000000" w:sz="12" w:space="0"/>
              <w:right w:val="single" w:color="000000" w:sz="4" w:space="0"/>
            </w:tcBorders>
            <w:vAlign w:val="center"/>
          </w:tcPr>
          <w:p w14:paraId="594611A6">
            <w:pPr>
              <w:pStyle w:val="42"/>
              <w:bidi w:val="0"/>
              <w:jc w:val="center"/>
              <w:rPr>
                <w:rFonts w:hint="default" w:eastAsia="宋体"/>
                <w:lang w:val="en-US" w:eastAsia="zh-CN"/>
              </w:rPr>
            </w:pPr>
            <w:r>
              <w:rPr>
                <w:rFonts w:hint="eastAsia"/>
                <w:lang w:val="en-US" w:eastAsia="zh-CN"/>
              </w:rPr>
              <w:t>有毒有害</w:t>
            </w:r>
          </w:p>
        </w:tc>
        <w:tc>
          <w:tcPr>
            <w:tcW w:w="759" w:type="pct"/>
            <w:tcBorders>
              <w:top w:val="single" w:color="000000" w:sz="4" w:space="0"/>
              <w:left w:val="single" w:color="000000" w:sz="4" w:space="0"/>
              <w:bottom w:val="single" w:color="000000" w:sz="12" w:space="0"/>
              <w:right w:val="single" w:color="000000" w:sz="12" w:space="0"/>
            </w:tcBorders>
            <w:vAlign w:val="center"/>
          </w:tcPr>
          <w:p w14:paraId="29701CDF">
            <w:pPr>
              <w:pStyle w:val="42"/>
              <w:bidi w:val="0"/>
              <w:jc w:val="center"/>
              <w:rPr>
                <w:rFonts w:hint="eastAsia" w:eastAsia="宋体"/>
                <w:lang w:val="en-US" w:eastAsia="zh-CN"/>
              </w:rPr>
            </w:pPr>
            <w:r>
              <w:rPr>
                <w:rFonts w:hint="eastAsia"/>
                <w:lang w:val="en-US" w:eastAsia="zh-CN"/>
              </w:rPr>
              <w:t>/</w:t>
            </w:r>
          </w:p>
        </w:tc>
      </w:tr>
    </w:tbl>
    <w:p w14:paraId="18A78C8B">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环境风险潜势初判</w:t>
      </w:r>
    </w:p>
    <w:p w14:paraId="5F16439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根据《建设项目环境风险评价技术导则》（HJ 169-2018）中环境风险潜势的确定步骤，首先计算项目危险物质与其临界量的比值Q。</w:t>
      </w:r>
    </w:p>
    <w:p w14:paraId="47753567">
      <w:pPr>
        <w:ind w:firstLine="480"/>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当只涉及一种危险物质时，计算该物质的总量与其临界量比值，即为Q；当存在多种危险物质时，则按式(C.1)计算物质总量与其临界量比值（Q）</w:t>
      </w:r>
      <w:r>
        <w:rPr>
          <w:rFonts w:hint="default" w:ascii="Times New Roman" w:hAnsi="Times New Roman" w:eastAsia="宋体" w:cs="Times New Roman"/>
          <w:color w:val="auto"/>
          <w:highlight w:val="none"/>
          <w:u w:val="none" w:color="auto"/>
        </w:rPr>
        <w:t>：</w:t>
      </w:r>
    </w:p>
    <w:p w14:paraId="6DCD1202">
      <w:pPr>
        <w:ind w:firstLine="48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3488055" cy="529590"/>
            <wp:effectExtent l="0" t="0" r="17145" b="3810"/>
            <wp:docPr id="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4"/>
                    <pic:cNvPicPr>
                      <a:picLocks noChangeAspect="1"/>
                    </pic:cNvPicPr>
                  </pic:nvPicPr>
                  <pic:blipFill>
                    <a:blip r:embed="rId54"/>
                    <a:stretch>
                      <a:fillRect/>
                    </a:stretch>
                  </pic:blipFill>
                  <pic:spPr>
                    <a:xfrm>
                      <a:off x="0" y="0"/>
                      <a:ext cx="3488055" cy="529590"/>
                    </a:xfrm>
                    <a:prstGeom prst="rect">
                      <a:avLst/>
                    </a:prstGeom>
                    <a:noFill/>
                    <a:ln>
                      <a:noFill/>
                    </a:ln>
                  </pic:spPr>
                </pic:pic>
              </a:graphicData>
            </a:graphic>
          </wp:inline>
        </w:drawing>
      </w:r>
    </w:p>
    <w:p w14:paraId="09B94435">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式中：q</w:t>
      </w:r>
      <w:r>
        <w:rPr>
          <w:rFonts w:hint="default" w:ascii="Times New Roman" w:hAnsi="Times New Roman" w:cs="Times New Roman"/>
          <w:color w:val="auto"/>
          <w:highlight w:val="none"/>
          <w:u w:val="none" w:color="auto"/>
          <w:vertAlign w:val="subscript"/>
        </w:rPr>
        <w:t>1</w:t>
      </w:r>
      <w:r>
        <w:rPr>
          <w:rFonts w:hint="default" w:ascii="Times New Roman" w:hAnsi="Times New Roman" w:cs="Times New Roman"/>
          <w:color w:val="auto"/>
          <w:highlight w:val="none"/>
          <w:u w:val="none" w:color="auto"/>
        </w:rPr>
        <w:t>，q</w:t>
      </w:r>
      <w:r>
        <w:rPr>
          <w:rFonts w:hint="default" w:ascii="Times New Roman" w:hAnsi="Times New Roman" w:cs="Times New Roman"/>
          <w:color w:val="auto"/>
          <w:highlight w:val="none"/>
          <w:u w:val="none" w:color="auto"/>
          <w:vertAlign w:val="subscript"/>
        </w:rPr>
        <w:t>2</w:t>
      </w:r>
      <w:r>
        <w:rPr>
          <w:rFonts w:hint="default" w:ascii="Times New Roman" w:hAnsi="Times New Roman" w:cs="Times New Roman"/>
          <w:color w:val="auto"/>
          <w:highlight w:val="none"/>
          <w:u w:val="none" w:color="auto"/>
        </w:rPr>
        <w:t>，</w:t>
      </w:r>
      <w:r>
        <w:rPr>
          <w:rFonts w:hint="default" w:ascii="Times New Roman" w:hAnsi="Times New Roman" w:eastAsia="宋体" w:cs="Times New Roman"/>
          <w:color w:val="auto"/>
          <w:highlight w:val="none"/>
          <w:u w:val="none" w:color="auto"/>
        </w:rPr>
        <w:t>…</w:t>
      </w:r>
      <w:r>
        <w:rPr>
          <w:rFonts w:hint="default" w:ascii="Times New Roman" w:hAnsi="Times New Roman" w:cs="Times New Roman"/>
          <w:color w:val="auto"/>
          <w:highlight w:val="none"/>
          <w:u w:val="none" w:color="auto"/>
        </w:rPr>
        <w:t>，q</w:t>
      </w:r>
      <w:r>
        <w:rPr>
          <w:rFonts w:hint="default" w:ascii="Times New Roman" w:hAnsi="Times New Roman" w:cs="Times New Roman"/>
          <w:color w:val="auto"/>
          <w:highlight w:val="none"/>
          <w:u w:val="none" w:color="auto"/>
          <w:vertAlign w:val="subscript"/>
        </w:rPr>
        <w:t>n</w:t>
      </w:r>
      <w:r>
        <w:rPr>
          <w:rFonts w:hint="default" w:ascii="Times New Roman" w:hAnsi="Times New Roman" w:cs="Times New Roman"/>
          <w:color w:val="auto"/>
          <w:highlight w:val="none"/>
          <w:u w:val="none" w:color="auto"/>
        </w:rPr>
        <w:t>—每种危险物质的最大存在总量，t；</w:t>
      </w:r>
    </w:p>
    <w:p w14:paraId="7E348524">
      <w:pPr>
        <w:ind w:firstLine="1200" w:firstLineChars="50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Q</w:t>
      </w:r>
      <w:r>
        <w:rPr>
          <w:rFonts w:hint="default" w:ascii="Times New Roman" w:hAnsi="Times New Roman" w:cs="Times New Roman"/>
          <w:color w:val="auto"/>
          <w:highlight w:val="none"/>
          <w:u w:val="none" w:color="auto"/>
          <w:vertAlign w:val="subscript"/>
        </w:rPr>
        <w:t>1</w:t>
      </w:r>
      <w:r>
        <w:rPr>
          <w:rFonts w:hint="default" w:ascii="Times New Roman" w:hAnsi="Times New Roman" w:cs="Times New Roman"/>
          <w:color w:val="auto"/>
          <w:highlight w:val="none"/>
          <w:u w:val="none" w:color="auto"/>
        </w:rPr>
        <w:t>，Q</w:t>
      </w:r>
      <w:r>
        <w:rPr>
          <w:rFonts w:hint="default" w:ascii="Times New Roman" w:hAnsi="Times New Roman" w:cs="Times New Roman"/>
          <w:color w:val="auto"/>
          <w:highlight w:val="none"/>
          <w:u w:val="none" w:color="auto"/>
          <w:vertAlign w:val="subscript"/>
        </w:rPr>
        <w:t>2</w:t>
      </w:r>
      <w:r>
        <w:rPr>
          <w:rFonts w:hint="default" w:ascii="Times New Roman" w:hAnsi="Times New Roman" w:cs="Times New Roman"/>
          <w:color w:val="auto"/>
          <w:highlight w:val="none"/>
          <w:u w:val="none" w:color="auto"/>
        </w:rPr>
        <w:t>，</w:t>
      </w:r>
      <w:r>
        <w:rPr>
          <w:rFonts w:hint="default" w:ascii="Times New Roman" w:hAnsi="Times New Roman" w:eastAsia="宋体" w:cs="Times New Roman"/>
          <w:color w:val="auto"/>
          <w:highlight w:val="none"/>
          <w:u w:val="none" w:color="auto"/>
        </w:rPr>
        <w:t>…</w:t>
      </w:r>
      <w:r>
        <w:rPr>
          <w:rFonts w:hint="default" w:ascii="Times New Roman" w:hAnsi="Times New Roman" w:cs="Times New Roman"/>
          <w:color w:val="auto"/>
          <w:highlight w:val="none"/>
          <w:u w:val="none" w:color="auto"/>
        </w:rPr>
        <w:t>，Q</w:t>
      </w:r>
      <w:r>
        <w:rPr>
          <w:rFonts w:hint="default" w:ascii="Times New Roman" w:hAnsi="Times New Roman" w:cs="Times New Roman"/>
          <w:color w:val="auto"/>
          <w:highlight w:val="none"/>
          <w:u w:val="none" w:color="auto"/>
          <w:vertAlign w:val="subscript"/>
        </w:rPr>
        <w:t>n</w:t>
      </w:r>
      <w:r>
        <w:rPr>
          <w:rFonts w:hint="default" w:ascii="Times New Roman" w:hAnsi="Times New Roman" w:cs="Times New Roman"/>
          <w:color w:val="auto"/>
          <w:highlight w:val="none"/>
          <w:u w:val="none" w:color="auto"/>
        </w:rPr>
        <w:t>—每种危险物质的临界量，t。</w:t>
      </w:r>
    </w:p>
    <w:p w14:paraId="445CB1FA">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当Q＜1时，该项目环境风险潜势为I。</w:t>
      </w:r>
    </w:p>
    <w:p w14:paraId="7E88A5B3">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当Q≥1时，将Q值划分为：(1)1≤Q＜10；(2)10≤Q＜100；(3)Q≥100。</w:t>
      </w:r>
    </w:p>
    <w:p w14:paraId="322ABB3C">
      <w:pPr>
        <w:shd w:val="clear"/>
        <w:ind w:firstLine="480"/>
        <w:rPr>
          <w:rFonts w:hint="default" w:ascii="Times New Roman" w:hAnsi="Times New Roman" w:eastAsia="宋体" w:cs="Times New Roman"/>
          <w:color w:val="auto"/>
          <w:highlight w:val="none"/>
          <w:u w:val="none" w:color="auto"/>
        </w:rPr>
      </w:pPr>
      <w:r>
        <w:rPr>
          <w:rFonts w:hint="default" w:ascii="Times New Roman" w:hAnsi="Times New Roman" w:cs="Times New Roman"/>
          <w:color w:val="auto"/>
          <w:highlight w:val="none"/>
          <w:u w:val="none" w:color="auto"/>
        </w:rPr>
        <w:t>对照《建设项目环境风险评价技术导则》（HJ 169-2018）中附录 B，</w:t>
      </w:r>
      <w:r>
        <w:rPr>
          <w:rFonts w:hint="default" w:ascii="Times New Roman" w:hAnsi="Times New Roman" w:eastAsia="宋体" w:cs="Times New Roman"/>
          <w:color w:val="auto"/>
          <w:highlight w:val="none"/>
          <w:u w:val="none" w:color="auto"/>
        </w:rPr>
        <w:t>项目涉及的风险物质为</w:t>
      </w:r>
      <w:r>
        <w:rPr>
          <w:rFonts w:hint="default" w:ascii="Times New Roman" w:hAnsi="Times New Roman" w:cs="Times New Roman"/>
          <w:color w:val="auto"/>
          <w:kern w:val="0"/>
          <w:sz w:val="24"/>
          <w:szCs w:val="24"/>
          <w:highlight w:val="none"/>
          <w:u w:val="none" w:color="auto"/>
          <w:lang w:val="en-US" w:eastAsia="zh-CN"/>
        </w:rPr>
        <w:t>氨</w:t>
      </w:r>
      <w:r>
        <w:rPr>
          <w:rFonts w:hint="eastAsia" w:ascii="Times New Roman" w:hAnsi="Times New Roman" w:cs="Times New Roman"/>
          <w:color w:val="auto"/>
          <w:kern w:val="0"/>
          <w:sz w:val="24"/>
          <w:szCs w:val="24"/>
          <w:highlight w:val="none"/>
          <w:u w:val="none" w:color="auto"/>
          <w:lang w:val="en-US" w:eastAsia="zh-CN"/>
        </w:rPr>
        <w:t>、</w:t>
      </w:r>
      <w:r>
        <w:rPr>
          <w:rFonts w:hint="default" w:ascii="Times New Roman" w:hAnsi="Times New Roman" w:cs="Times New Roman"/>
          <w:color w:val="auto"/>
          <w:kern w:val="0"/>
          <w:sz w:val="24"/>
          <w:szCs w:val="24"/>
          <w:highlight w:val="none"/>
          <w:u w:val="none" w:color="auto"/>
          <w:lang w:val="en-US" w:eastAsia="zh-CN"/>
        </w:rPr>
        <w:t>硫化氢</w:t>
      </w:r>
      <w:r>
        <w:rPr>
          <w:rFonts w:hint="eastAsia" w:ascii="Times New Roman" w:hAnsi="Times New Roman" w:cs="Times New Roman"/>
          <w:color w:val="auto"/>
          <w:kern w:val="0"/>
          <w:sz w:val="24"/>
          <w:szCs w:val="24"/>
          <w:highlight w:val="none"/>
          <w:u w:val="none" w:color="auto"/>
          <w:lang w:val="en-US" w:eastAsia="zh-CN"/>
        </w:rPr>
        <w:t>、</w:t>
      </w:r>
      <w:r>
        <w:rPr>
          <w:rFonts w:hint="default" w:ascii="Times New Roman" w:hAnsi="Times New Roman" w:cs="Times New Roman"/>
          <w:color w:val="auto"/>
          <w:kern w:val="0"/>
          <w:sz w:val="24"/>
          <w:szCs w:val="24"/>
          <w:highlight w:val="none"/>
          <w:u w:val="none" w:color="auto"/>
          <w:lang w:val="en-US" w:eastAsia="zh-CN"/>
        </w:rPr>
        <w:t>甲烷等</w:t>
      </w:r>
      <w:r>
        <w:rPr>
          <w:rFonts w:hint="default" w:ascii="Times New Roman" w:hAnsi="Times New Roman" w:eastAsia="宋体" w:cs="Times New Roman"/>
          <w:color w:val="auto"/>
          <w:highlight w:val="none"/>
          <w:u w:val="none" w:color="auto"/>
        </w:rPr>
        <w:t>。</w:t>
      </w:r>
    </w:p>
    <w:p w14:paraId="6451CDE3">
      <w:pPr>
        <w:pStyle w:val="2"/>
        <w:rPr>
          <w:rFonts w:hint="default"/>
        </w:rPr>
      </w:pPr>
    </w:p>
    <w:p w14:paraId="4C3FFBD2">
      <w:pPr>
        <w:pStyle w:val="39"/>
        <w:bidi w:val="0"/>
        <w:rPr>
          <w:rFonts w:ascii="黑体" w:hAnsi="黑体" w:eastAsia="黑体" w:cs="黑体"/>
          <w:szCs w:val="22"/>
        </w:rPr>
      </w:pPr>
      <w:r>
        <w:t>表 6.</w:t>
      </w:r>
      <w:r>
        <w:rPr>
          <w:rFonts w:hint="eastAsia"/>
          <w:lang w:val="en-US" w:eastAsia="zh-CN"/>
        </w:rPr>
        <w:t>4</w:t>
      </w:r>
      <w:r>
        <w:t>-</w:t>
      </w:r>
      <w:r>
        <w:rPr>
          <w:rFonts w:hint="eastAsia"/>
          <w:lang w:val="en-US" w:eastAsia="zh-CN"/>
        </w:rPr>
        <w:t>3</w:t>
      </w:r>
      <w:r>
        <w:t xml:space="preserve">    本项目涉及危险物质危险性一览表</w:t>
      </w:r>
    </w:p>
    <w:tbl>
      <w:tblPr>
        <w:tblStyle w:val="51"/>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90"/>
        <w:gridCol w:w="992"/>
        <w:gridCol w:w="992"/>
        <w:gridCol w:w="1207"/>
        <w:gridCol w:w="1179"/>
        <w:gridCol w:w="1424"/>
        <w:gridCol w:w="1347"/>
      </w:tblGrid>
      <w:tr w14:paraId="1A4C02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714" w:type="pct"/>
            <w:tcBorders>
              <w:top w:val="single" w:color="000000" w:sz="12" w:space="0"/>
              <w:left w:val="single" w:color="000000" w:sz="12" w:space="0"/>
              <w:bottom w:val="single" w:color="000000" w:sz="4" w:space="0"/>
              <w:right w:val="single" w:color="000000" w:sz="4" w:space="0"/>
            </w:tcBorders>
            <w:vAlign w:val="center"/>
          </w:tcPr>
          <w:p w14:paraId="218D7BCF">
            <w:pPr>
              <w:pStyle w:val="42"/>
              <w:bidi w:val="0"/>
              <w:jc w:val="center"/>
            </w:pPr>
            <w:r>
              <w:t>危险单元</w:t>
            </w:r>
          </w:p>
        </w:tc>
        <w:tc>
          <w:tcPr>
            <w:tcW w:w="595" w:type="pct"/>
            <w:tcBorders>
              <w:top w:val="single" w:color="000000" w:sz="12" w:space="0"/>
              <w:left w:val="single" w:color="000000" w:sz="4" w:space="0"/>
              <w:bottom w:val="single" w:color="000000" w:sz="4" w:space="0"/>
              <w:right w:val="single" w:color="000000" w:sz="4" w:space="0"/>
            </w:tcBorders>
            <w:vAlign w:val="center"/>
          </w:tcPr>
          <w:p w14:paraId="655E3855">
            <w:pPr>
              <w:pStyle w:val="42"/>
              <w:bidi w:val="0"/>
              <w:jc w:val="center"/>
            </w:pPr>
            <w:r>
              <w:t>风险源</w:t>
            </w:r>
          </w:p>
        </w:tc>
        <w:tc>
          <w:tcPr>
            <w:tcW w:w="595" w:type="pct"/>
            <w:tcBorders>
              <w:top w:val="single" w:color="000000" w:sz="12" w:space="0"/>
              <w:left w:val="single" w:color="000000" w:sz="4" w:space="0"/>
              <w:bottom w:val="single" w:color="000000" w:sz="4" w:space="0"/>
              <w:right w:val="single" w:color="000000" w:sz="4" w:space="0"/>
            </w:tcBorders>
            <w:vAlign w:val="center"/>
          </w:tcPr>
          <w:p w14:paraId="14C5C006">
            <w:pPr>
              <w:pStyle w:val="42"/>
              <w:bidi w:val="0"/>
              <w:jc w:val="center"/>
            </w:pPr>
            <w:r>
              <w:t>主要危险物质</w:t>
            </w:r>
          </w:p>
        </w:tc>
        <w:tc>
          <w:tcPr>
            <w:tcW w:w="724" w:type="pct"/>
            <w:tcBorders>
              <w:top w:val="single" w:color="000000" w:sz="12" w:space="0"/>
              <w:left w:val="single" w:color="000000" w:sz="4" w:space="0"/>
              <w:bottom w:val="single" w:color="000000" w:sz="4" w:space="0"/>
              <w:right w:val="single" w:color="000000" w:sz="4" w:space="0"/>
            </w:tcBorders>
            <w:vAlign w:val="center"/>
          </w:tcPr>
          <w:p w14:paraId="3659DD8C">
            <w:pPr>
              <w:pStyle w:val="42"/>
              <w:bidi w:val="0"/>
              <w:jc w:val="center"/>
            </w:pPr>
            <w:r>
              <w:t>环境风险类型</w:t>
            </w:r>
          </w:p>
        </w:tc>
        <w:tc>
          <w:tcPr>
            <w:tcW w:w="707" w:type="pct"/>
            <w:tcBorders>
              <w:top w:val="single" w:color="000000" w:sz="12" w:space="0"/>
              <w:left w:val="single" w:color="000000" w:sz="4" w:space="0"/>
              <w:bottom w:val="single" w:color="000000" w:sz="4" w:space="0"/>
              <w:right w:val="single" w:color="000000" w:sz="4" w:space="0"/>
            </w:tcBorders>
            <w:vAlign w:val="center"/>
          </w:tcPr>
          <w:p w14:paraId="601297CB">
            <w:pPr>
              <w:pStyle w:val="42"/>
              <w:bidi w:val="0"/>
              <w:jc w:val="center"/>
            </w:pPr>
            <w:r>
              <w:t>环境影响途径</w:t>
            </w:r>
          </w:p>
        </w:tc>
        <w:tc>
          <w:tcPr>
            <w:tcW w:w="854" w:type="pct"/>
            <w:tcBorders>
              <w:top w:val="single" w:color="000000" w:sz="12" w:space="0"/>
              <w:left w:val="single" w:color="000000" w:sz="4" w:space="0"/>
              <w:bottom w:val="single" w:color="000000" w:sz="4" w:space="0"/>
              <w:right w:val="single" w:color="000000" w:sz="4" w:space="0"/>
            </w:tcBorders>
            <w:vAlign w:val="center"/>
          </w:tcPr>
          <w:p w14:paraId="47140162">
            <w:pPr>
              <w:pStyle w:val="42"/>
              <w:bidi w:val="0"/>
              <w:jc w:val="center"/>
            </w:pPr>
            <w:r>
              <w:t>可能受影响的环境敏感目标</w:t>
            </w:r>
          </w:p>
        </w:tc>
        <w:tc>
          <w:tcPr>
            <w:tcW w:w="808" w:type="pct"/>
            <w:tcBorders>
              <w:top w:val="single" w:color="000000" w:sz="12" w:space="0"/>
              <w:left w:val="single" w:color="000000" w:sz="4" w:space="0"/>
              <w:bottom w:val="single" w:color="000000" w:sz="4" w:space="0"/>
              <w:right w:val="single" w:color="000000" w:sz="12" w:space="0"/>
            </w:tcBorders>
            <w:vAlign w:val="center"/>
          </w:tcPr>
          <w:p w14:paraId="2DA3F819">
            <w:pPr>
              <w:pStyle w:val="42"/>
              <w:bidi w:val="0"/>
              <w:jc w:val="center"/>
            </w:pPr>
            <w:r>
              <w:t>备注</w:t>
            </w:r>
          </w:p>
        </w:tc>
      </w:tr>
      <w:tr w14:paraId="09E5D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14" w:type="pct"/>
            <w:vMerge w:val="restart"/>
            <w:tcBorders>
              <w:top w:val="single" w:color="000000" w:sz="4" w:space="0"/>
              <w:left w:val="single" w:color="000000" w:sz="12" w:space="0"/>
              <w:bottom w:val="single" w:color="000000" w:sz="4" w:space="0"/>
              <w:right w:val="single" w:color="000000" w:sz="4" w:space="0"/>
            </w:tcBorders>
            <w:vAlign w:val="center"/>
          </w:tcPr>
          <w:p w14:paraId="2A3BF9AB">
            <w:pPr>
              <w:pStyle w:val="42"/>
              <w:bidi w:val="0"/>
              <w:jc w:val="center"/>
            </w:pPr>
            <w:r>
              <w:t>污水处理站</w:t>
            </w:r>
          </w:p>
        </w:tc>
        <w:tc>
          <w:tcPr>
            <w:tcW w:w="595" w:type="pct"/>
            <w:tcBorders>
              <w:top w:val="single" w:color="000000" w:sz="4" w:space="0"/>
              <w:left w:val="single" w:color="000000" w:sz="4" w:space="0"/>
              <w:bottom w:val="single" w:color="000000" w:sz="4" w:space="0"/>
              <w:right w:val="single" w:color="000000" w:sz="4" w:space="0"/>
            </w:tcBorders>
            <w:vAlign w:val="center"/>
          </w:tcPr>
          <w:p w14:paraId="682FC63F">
            <w:pPr>
              <w:pStyle w:val="42"/>
              <w:bidi w:val="0"/>
              <w:jc w:val="center"/>
            </w:pPr>
            <w:r>
              <w:t>氨气</w:t>
            </w:r>
          </w:p>
        </w:tc>
        <w:tc>
          <w:tcPr>
            <w:tcW w:w="595" w:type="pct"/>
            <w:tcBorders>
              <w:top w:val="single" w:color="000000" w:sz="4" w:space="0"/>
              <w:left w:val="single" w:color="000000" w:sz="4" w:space="0"/>
              <w:bottom w:val="single" w:color="000000" w:sz="4" w:space="0"/>
              <w:right w:val="single" w:color="000000" w:sz="4" w:space="0"/>
            </w:tcBorders>
            <w:vAlign w:val="center"/>
          </w:tcPr>
          <w:p w14:paraId="766F7470">
            <w:pPr>
              <w:pStyle w:val="42"/>
              <w:bidi w:val="0"/>
              <w:jc w:val="center"/>
              <w:rPr>
                <w:rFonts w:hint="eastAsia" w:eastAsia="宋体"/>
                <w:lang w:eastAsia="zh-CN"/>
              </w:rPr>
            </w:pPr>
            <w:r>
              <w:rPr>
                <w:rFonts w:hint="eastAsia"/>
                <w:lang w:eastAsia="zh-CN"/>
              </w:rPr>
              <w:t>NH</w:t>
            </w:r>
            <w:r>
              <w:rPr>
                <w:rFonts w:hint="eastAsia"/>
                <w:vertAlign w:val="subscript"/>
                <w:lang w:eastAsia="zh-CN"/>
              </w:rPr>
              <w:t>3</w:t>
            </w:r>
          </w:p>
        </w:tc>
        <w:tc>
          <w:tcPr>
            <w:tcW w:w="724" w:type="pct"/>
            <w:tcBorders>
              <w:top w:val="single" w:color="000000" w:sz="4" w:space="0"/>
              <w:left w:val="single" w:color="000000" w:sz="4" w:space="0"/>
              <w:bottom w:val="single" w:color="000000" w:sz="4" w:space="0"/>
              <w:right w:val="single" w:color="000000" w:sz="4" w:space="0"/>
            </w:tcBorders>
            <w:vAlign w:val="center"/>
          </w:tcPr>
          <w:p w14:paraId="7AD0966D">
            <w:pPr>
              <w:pStyle w:val="42"/>
              <w:bidi w:val="0"/>
              <w:jc w:val="center"/>
            </w:pPr>
            <w:r>
              <w:t>泄漏</w:t>
            </w:r>
          </w:p>
        </w:tc>
        <w:tc>
          <w:tcPr>
            <w:tcW w:w="707" w:type="pct"/>
            <w:tcBorders>
              <w:top w:val="single" w:color="000000" w:sz="4" w:space="0"/>
              <w:left w:val="single" w:color="000000" w:sz="4" w:space="0"/>
              <w:bottom w:val="single" w:color="000000" w:sz="4" w:space="0"/>
              <w:right w:val="single" w:color="000000" w:sz="4" w:space="0"/>
            </w:tcBorders>
            <w:vAlign w:val="center"/>
          </w:tcPr>
          <w:p w14:paraId="584807A2">
            <w:pPr>
              <w:pStyle w:val="42"/>
              <w:bidi w:val="0"/>
              <w:jc w:val="center"/>
            </w:pPr>
            <w:r>
              <w:t>大气</w:t>
            </w:r>
          </w:p>
        </w:tc>
        <w:tc>
          <w:tcPr>
            <w:tcW w:w="854" w:type="pct"/>
            <w:vMerge w:val="restart"/>
            <w:tcBorders>
              <w:top w:val="single" w:color="000000" w:sz="4" w:space="0"/>
              <w:left w:val="single" w:color="000000" w:sz="4" w:space="0"/>
              <w:bottom w:val="single" w:color="000000" w:sz="4" w:space="0"/>
              <w:right w:val="single" w:color="000000" w:sz="4" w:space="0"/>
            </w:tcBorders>
            <w:vAlign w:val="center"/>
          </w:tcPr>
          <w:p w14:paraId="1CDD4170">
            <w:pPr>
              <w:pStyle w:val="42"/>
              <w:bidi w:val="0"/>
              <w:jc w:val="center"/>
            </w:pPr>
            <w:r>
              <w:t>周边居民</w:t>
            </w:r>
          </w:p>
        </w:tc>
        <w:tc>
          <w:tcPr>
            <w:tcW w:w="808" w:type="pct"/>
            <w:tcBorders>
              <w:top w:val="single" w:color="000000" w:sz="4" w:space="0"/>
              <w:left w:val="single" w:color="000000" w:sz="4" w:space="0"/>
              <w:bottom w:val="single" w:color="000000" w:sz="4" w:space="0"/>
              <w:right w:val="single" w:color="000000" w:sz="12" w:space="0"/>
            </w:tcBorders>
            <w:vAlign w:val="center"/>
          </w:tcPr>
          <w:p w14:paraId="5221D779">
            <w:pPr>
              <w:pStyle w:val="42"/>
              <w:bidi w:val="0"/>
              <w:jc w:val="center"/>
            </w:pPr>
            <w:r>
              <w:t>有毒气体</w:t>
            </w:r>
          </w:p>
        </w:tc>
      </w:tr>
      <w:tr w14:paraId="4DBAE9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14" w:type="pct"/>
            <w:vMerge w:val="continue"/>
            <w:tcBorders>
              <w:top w:val="single" w:color="000000" w:sz="4" w:space="0"/>
              <w:left w:val="single" w:color="000000" w:sz="12" w:space="0"/>
              <w:bottom w:val="single" w:color="000000" w:sz="4" w:space="0"/>
              <w:right w:val="single" w:color="000000" w:sz="4" w:space="0"/>
            </w:tcBorders>
            <w:vAlign w:val="center"/>
          </w:tcPr>
          <w:p w14:paraId="38679A05">
            <w:pPr>
              <w:pStyle w:val="42"/>
              <w:bidi w:val="0"/>
              <w:jc w:val="center"/>
            </w:pPr>
          </w:p>
        </w:tc>
        <w:tc>
          <w:tcPr>
            <w:tcW w:w="595" w:type="pct"/>
            <w:tcBorders>
              <w:top w:val="single" w:color="000000" w:sz="4" w:space="0"/>
              <w:left w:val="single" w:color="000000" w:sz="4" w:space="0"/>
              <w:bottom w:val="single" w:color="000000" w:sz="4" w:space="0"/>
              <w:right w:val="single" w:color="000000" w:sz="4" w:space="0"/>
            </w:tcBorders>
            <w:vAlign w:val="center"/>
          </w:tcPr>
          <w:p w14:paraId="4D1BFAF0">
            <w:pPr>
              <w:pStyle w:val="42"/>
              <w:bidi w:val="0"/>
              <w:jc w:val="center"/>
            </w:pPr>
            <w:r>
              <w:t>硫化氢</w:t>
            </w:r>
          </w:p>
        </w:tc>
        <w:tc>
          <w:tcPr>
            <w:tcW w:w="595" w:type="pct"/>
            <w:tcBorders>
              <w:top w:val="single" w:color="000000" w:sz="4" w:space="0"/>
              <w:left w:val="single" w:color="000000" w:sz="4" w:space="0"/>
              <w:bottom w:val="single" w:color="000000" w:sz="4" w:space="0"/>
              <w:right w:val="single" w:color="000000" w:sz="4" w:space="0"/>
            </w:tcBorders>
            <w:vAlign w:val="center"/>
          </w:tcPr>
          <w:p w14:paraId="78310269">
            <w:pPr>
              <w:pStyle w:val="42"/>
              <w:bidi w:val="0"/>
              <w:jc w:val="center"/>
              <w:rPr>
                <w:rFonts w:hint="eastAsia" w:eastAsia="宋体"/>
                <w:lang w:eastAsia="zh-CN"/>
              </w:rPr>
            </w:pPr>
            <w:r>
              <w:rPr>
                <w:rFonts w:hint="eastAsia"/>
                <w:lang w:eastAsia="zh-CN"/>
              </w:rPr>
              <w:t>H</w:t>
            </w:r>
            <w:r>
              <w:rPr>
                <w:rFonts w:hint="eastAsia"/>
                <w:vertAlign w:val="subscript"/>
                <w:lang w:eastAsia="zh-CN"/>
              </w:rPr>
              <w:t>2</w:t>
            </w:r>
            <w:r>
              <w:rPr>
                <w:rFonts w:hint="eastAsia"/>
                <w:lang w:eastAsia="zh-CN"/>
              </w:rPr>
              <w:t>S</w:t>
            </w:r>
          </w:p>
        </w:tc>
        <w:tc>
          <w:tcPr>
            <w:tcW w:w="724" w:type="pct"/>
            <w:tcBorders>
              <w:top w:val="single" w:color="000000" w:sz="4" w:space="0"/>
              <w:left w:val="single" w:color="000000" w:sz="4" w:space="0"/>
              <w:bottom w:val="single" w:color="000000" w:sz="4" w:space="0"/>
              <w:right w:val="single" w:color="000000" w:sz="4" w:space="0"/>
            </w:tcBorders>
            <w:vAlign w:val="center"/>
          </w:tcPr>
          <w:p w14:paraId="5B414185">
            <w:pPr>
              <w:pStyle w:val="42"/>
              <w:bidi w:val="0"/>
              <w:jc w:val="center"/>
            </w:pPr>
            <w:r>
              <w:t>泄漏</w:t>
            </w:r>
          </w:p>
        </w:tc>
        <w:tc>
          <w:tcPr>
            <w:tcW w:w="707" w:type="pct"/>
            <w:tcBorders>
              <w:top w:val="single" w:color="000000" w:sz="4" w:space="0"/>
              <w:left w:val="single" w:color="000000" w:sz="4" w:space="0"/>
              <w:bottom w:val="single" w:color="000000" w:sz="4" w:space="0"/>
              <w:right w:val="single" w:color="000000" w:sz="4" w:space="0"/>
            </w:tcBorders>
            <w:vAlign w:val="center"/>
          </w:tcPr>
          <w:p w14:paraId="415C39FB">
            <w:pPr>
              <w:pStyle w:val="42"/>
              <w:bidi w:val="0"/>
              <w:jc w:val="center"/>
            </w:pPr>
            <w:r>
              <w:t>大气</w:t>
            </w:r>
          </w:p>
        </w:tc>
        <w:tc>
          <w:tcPr>
            <w:tcW w:w="854" w:type="pct"/>
            <w:vMerge w:val="continue"/>
            <w:tcBorders>
              <w:top w:val="single" w:color="000000" w:sz="4" w:space="0"/>
              <w:left w:val="single" w:color="000000" w:sz="4" w:space="0"/>
              <w:bottom w:val="single" w:color="000000" w:sz="4" w:space="0"/>
              <w:right w:val="single" w:color="000000" w:sz="4" w:space="0"/>
            </w:tcBorders>
            <w:vAlign w:val="center"/>
          </w:tcPr>
          <w:p w14:paraId="633E796D">
            <w:pPr>
              <w:pStyle w:val="42"/>
              <w:bidi w:val="0"/>
              <w:jc w:val="center"/>
            </w:pPr>
          </w:p>
        </w:tc>
        <w:tc>
          <w:tcPr>
            <w:tcW w:w="808" w:type="pct"/>
            <w:tcBorders>
              <w:top w:val="single" w:color="000000" w:sz="4" w:space="0"/>
              <w:left w:val="single" w:color="000000" w:sz="4" w:space="0"/>
              <w:bottom w:val="single" w:color="000000" w:sz="4" w:space="0"/>
              <w:right w:val="single" w:color="000000" w:sz="12" w:space="0"/>
            </w:tcBorders>
            <w:vAlign w:val="center"/>
          </w:tcPr>
          <w:p w14:paraId="19D1780B">
            <w:pPr>
              <w:pStyle w:val="42"/>
              <w:bidi w:val="0"/>
              <w:jc w:val="center"/>
            </w:pPr>
            <w:r>
              <w:t>有毒气体</w:t>
            </w:r>
          </w:p>
        </w:tc>
      </w:tr>
      <w:tr w14:paraId="7AE589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714" w:type="pct"/>
            <w:vMerge w:val="continue"/>
            <w:tcBorders>
              <w:top w:val="single" w:color="000000" w:sz="4" w:space="0"/>
              <w:left w:val="single" w:color="000000" w:sz="12" w:space="0"/>
              <w:bottom w:val="single" w:color="000000" w:sz="4" w:space="0"/>
              <w:right w:val="single" w:color="000000" w:sz="4" w:space="0"/>
            </w:tcBorders>
            <w:vAlign w:val="center"/>
          </w:tcPr>
          <w:p w14:paraId="74179B6A">
            <w:pPr>
              <w:pStyle w:val="42"/>
              <w:bidi w:val="0"/>
              <w:jc w:val="center"/>
            </w:pPr>
          </w:p>
        </w:tc>
        <w:tc>
          <w:tcPr>
            <w:tcW w:w="595" w:type="pct"/>
            <w:tcBorders>
              <w:top w:val="single" w:color="000000" w:sz="4" w:space="0"/>
              <w:left w:val="single" w:color="000000" w:sz="4" w:space="0"/>
              <w:bottom w:val="single" w:color="000000" w:sz="4" w:space="0"/>
              <w:right w:val="single" w:color="000000" w:sz="4" w:space="0"/>
            </w:tcBorders>
            <w:vAlign w:val="center"/>
          </w:tcPr>
          <w:p w14:paraId="12985EFB">
            <w:pPr>
              <w:pStyle w:val="42"/>
              <w:bidi w:val="0"/>
              <w:jc w:val="center"/>
            </w:pPr>
            <w:r>
              <w:t>甲烷</w:t>
            </w:r>
          </w:p>
        </w:tc>
        <w:tc>
          <w:tcPr>
            <w:tcW w:w="595" w:type="pct"/>
            <w:tcBorders>
              <w:top w:val="single" w:color="000000" w:sz="4" w:space="0"/>
              <w:left w:val="single" w:color="000000" w:sz="4" w:space="0"/>
              <w:bottom w:val="single" w:color="000000" w:sz="4" w:space="0"/>
              <w:right w:val="single" w:color="000000" w:sz="4" w:space="0"/>
            </w:tcBorders>
            <w:vAlign w:val="center"/>
          </w:tcPr>
          <w:p w14:paraId="36C95919">
            <w:pPr>
              <w:pStyle w:val="42"/>
              <w:bidi w:val="0"/>
              <w:jc w:val="center"/>
            </w:pPr>
            <w:r>
              <w:t>CH</w:t>
            </w:r>
            <w:r>
              <w:rPr>
                <w:vertAlign w:val="subscript"/>
              </w:rPr>
              <w:t>4</w:t>
            </w:r>
          </w:p>
        </w:tc>
        <w:tc>
          <w:tcPr>
            <w:tcW w:w="724" w:type="pct"/>
            <w:tcBorders>
              <w:top w:val="single" w:color="000000" w:sz="4" w:space="0"/>
              <w:left w:val="single" w:color="000000" w:sz="4" w:space="0"/>
              <w:bottom w:val="single" w:color="000000" w:sz="4" w:space="0"/>
              <w:right w:val="single" w:color="000000" w:sz="4" w:space="0"/>
            </w:tcBorders>
            <w:vAlign w:val="center"/>
          </w:tcPr>
          <w:p w14:paraId="67DE9E78">
            <w:pPr>
              <w:pStyle w:val="42"/>
              <w:bidi w:val="0"/>
              <w:jc w:val="center"/>
            </w:pPr>
            <w:r>
              <w:t>爆炸</w:t>
            </w:r>
          </w:p>
        </w:tc>
        <w:tc>
          <w:tcPr>
            <w:tcW w:w="707" w:type="pct"/>
            <w:tcBorders>
              <w:top w:val="single" w:color="000000" w:sz="4" w:space="0"/>
              <w:left w:val="single" w:color="000000" w:sz="4" w:space="0"/>
              <w:bottom w:val="single" w:color="000000" w:sz="4" w:space="0"/>
              <w:right w:val="single" w:color="000000" w:sz="4" w:space="0"/>
            </w:tcBorders>
            <w:vAlign w:val="center"/>
          </w:tcPr>
          <w:p w14:paraId="78DB0D1A">
            <w:pPr>
              <w:pStyle w:val="42"/>
              <w:bidi w:val="0"/>
              <w:jc w:val="center"/>
            </w:pPr>
            <w:r>
              <w:t>大气</w:t>
            </w:r>
          </w:p>
        </w:tc>
        <w:tc>
          <w:tcPr>
            <w:tcW w:w="854" w:type="pct"/>
            <w:vMerge w:val="continue"/>
            <w:tcBorders>
              <w:top w:val="single" w:color="000000" w:sz="4" w:space="0"/>
              <w:left w:val="single" w:color="000000" w:sz="4" w:space="0"/>
              <w:bottom w:val="single" w:color="000000" w:sz="4" w:space="0"/>
              <w:right w:val="single" w:color="000000" w:sz="4" w:space="0"/>
            </w:tcBorders>
            <w:vAlign w:val="center"/>
          </w:tcPr>
          <w:p w14:paraId="28332A8B">
            <w:pPr>
              <w:pStyle w:val="42"/>
              <w:bidi w:val="0"/>
              <w:jc w:val="center"/>
            </w:pPr>
          </w:p>
        </w:tc>
        <w:tc>
          <w:tcPr>
            <w:tcW w:w="808" w:type="pct"/>
            <w:tcBorders>
              <w:top w:val="single" w:color="000000" w:sz="4" w:space="0"/>
              <w:left w:val="single" w:color="000000" w:sz="4" w:space="0"/>
              <w:bottom w:val="single" w:color="000000" w:sz="4" w:space="0"/>
              <w:right w:val="single" w:color="000000" w:sz="12" w:space="0"/>
            </w:tcBorders>
            <w:vAlign w:val="center"/>
          </w:tcPr>
          <w:p w14:paraId="0195226B">
            <w:pPr>
              <w:pStyle w:val="42"/>
              <w:bidi w:val="0"/>
              <w:jc w:val="center"/>
            </w:pPr>
            <w:r>
              <w:t>易燃易爆气体</w:t>
            </w:r>
          </w:p>
        </w:tc>
      </w:tr>
      <w:tr w14:paraId="0CFDDE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714" w:type="pct"/>
            <w:tcBorders>
              <w:top w:val="single" w:color="000000" w:sz="4" w:space="0"/>
              <w:left w:val="single" w:color="000000" w:sz="12" w:space="0"/>
              <w:bottom w:val="single" w:color="000000" w:sz="12" w:space="0"/>
              <w:right w:val="single" w:color="000000" w:sz="4" w:space="0"/>
            </w:tcBorders>
            <w:vAlign w:val="center"/>
          </w:tcPr>
          <w:p w14:paraId="26C4CE8C">
            <w:pPr>
              <w:pStyle w:val="42"/>
              <w:bidi w:val="0"/>
              <w:jc w:val="center"/>
              <w:rPr>
                <w:rFonts w:hint="eastAsia" w:eastAsia="宋体"/>
                <w:lang w:val="en-US" w:eastAsia="zh-CN"/>
              </w:rPr>
            </w:pPr>
            <w:r>
              <w:rPr>
                <w:rFonts w:hint="eastAsia"/>
                <w:lang w:val="en-US" w:eastAsia="zh-CN"/>
              </w:rPr>
              <w:t>危废间</w:t>
            </w:r>
          </w:p>
        </w:tc>
        <w:tc>
          <w:tcPr>
            <w:tcW w:w="595" w:type="pct"/>
            <w:tcBorders>
              <w:top w:val="single" w:color="000000" w:sz="4" w:space="0"/>
              <w:left w:val="single" w:color="000000" w:sz="4" w:space="0"/>
              <w:bottom w:val="single" w:color="000000" w:sz="12" w:space="0"/>
              <w:right w:val="single" w:color="000000" w:sz="4" w:space="0"/>
            </w:tcBorders>
            <w:vAlign w:val="center"/>
          </w:tcPr>
          <w:p w14:paraId="3B0917B0">
            <w:pPr>
              <w:pStyle w:val="42"/>
              <w:bidi w:val="0"/>
              <w:jc w:val="center"/>
              <w:rPr>
                <w:rFonts w:hint="default" w:eastAsia="宋体"/>
                <w:lang w:val="en-US" w:eastAsia="zh-CN"/>
              </w:rPr>
            </w:pPr>
            <w:r>
              <w:rPr>
                <w:rFonts w:hint="eastAsia"/>
                <w:lang w:val="en-US" w:eastAsia="zh-CN"/>
              </w:rPr>
              <w:t>危险废物</w:t>
            </w:r>
          </w:p>
        </w:tc>
        <w:tc>
          <w:tcPr>
            <w:tcW w:w="595" w:type="pct"/>
            <w:tcBorders>
              <w:top w:val="single" w:color="000000" w:sz="4" w:space="0"/>
              <w:left w:val="single" w:color="000000" w:sz="4" w:space="0"/>
              <w:bottom w:val="single" w:color="000000" w:sz="12" w:space="0"/>
              <w:right w:val="single" w:color="000000" w:sz="4" w:space="0"/>
            </w:tcBorders>
            <w:vAlign w:val="center"/>
          </w:tcPr>
          <w:p w14:paraId="249AFB91">
            <w:pPr>
              <w:pStyle w:val="42"/>
              <w:bidi w:val="0"/>
              <w:jc w:val="center"/>
              <w:rPr>
                <w:rFonts w:hint="default" w:eastAsia="宋体"/>
                <w:lang w:val="en-US" w:eastAsia="zh-CN"/>
              </w:rPr>
            </w:pPr>
            <w:r>
              <w:rPr>
                <w:rFonts w:hint="eastAsia"/>
                <w:lang w:val="en-US" w:eastAsia="zh-CN"/>
              </w:rPr>
              <w:t>废矿物油</w:t>
            </w:r>
          </w:p>
        </w:tc>
        <w:tc>
          <w:tcPr>
            <w:tcW w:w="724" w:type="pct"/>
            <w:tcBorders>
              <w:top w:val="single" w:color="000000" w:sz="4" w:space="0"/>
              <w:left w:val="single" w:color="000000" w:sz="4" w:space="0"/>
              <w:bottom w:val="single" w:color="000000" w:sz="12" w:space="0"/>
              <w:right w:val="single" w:color="000000" w:sz="4" w:space="0"/>
            </w:tcBorders>
            <w:vAlign w:val="center"/>
          </w:tcPr>
          <w:p w14:paraId="3D014A32">
            <w:pPr>
              <w:pStyle w:val="42"/>
              <w:bidi w:val="0"/>
              <w:jc w:val="center"/>
              <w:rPr>
                <w:rFonts w:hint="eastAsia" w:eastAsia="宋体"/>
                <w:lang w:val="en-US" w:eastAsia="zh-CN"/>
              </w:rPr>
            </w:pPr>
            <w:r>
              <w:rPr>
                <w:rFonts w:hint="eastAsia"/>
                <w:lang w:val="en-US" w:eastAsia="zh-CN"/>
              </w:rPr>
              <w:t>泄露</w:t>
            </w:r>
          </w:p>
        </w:tc>
        <w:tc>
          <w:tcPr>
            <w:tcW w:w="707" w:type="pct"/>
            <w:tcBorders>
              <w:top w:val="single" w:color="000000" w:sz="4" w:space="0"/>
              <w:left w:val="single" w:color="000000" w:sz="4" w:space="0"/>
              <w:bottom w:val="single" w:color="000000" w:sz="12" w:space="0"/>
              <w:right w:val="single" w:color="000000" w:sz="4" w:space="0"/>
            </w:tcBorders>
            <w:vAlign w:val="center"/>
          </w:tcPr>
          <w:p w14:paraId="009F482A">
            <w:pPr>
              <w:pStyle w:val="42"/>
              <w:bidi w:val="0"/>
              <w:jc w:val="center"/>
              <w:rPr>
                <w:rFonts w:hint="eastAsia" w:eastAsia="宋体"/>
                <w:lang w:val="en-US" w:eastAsia="zh-CN"/>
              </w:rPr>
            </w:pPr>
            <w:r>
              <w:rPr>
                <w:rFonts w:hint="eastAsia"/>
                <w:lang w:val="en-US" w:eastAsia="zh-CN"/>
              </w:rPr>
              <w:t>水</w:t>
            </w:r>
          </w:p>
        </w:tc>
        <w:tc>
          <w:tcPr>
            <w:tcW w:w="854" w:type="pct"/>
            <w:tcBorders>
              <w:top w:val="single" w:color="000000" w:sz="4" w:space="0"/>
              <w:left w:val="single" w:color="000000" w:sz="4" w:space="0"/>
              <w:bottom w:val="single" w:color="000000" w:sz="12" w:space="0"/>
              <w:right w:val="single" w:color="000000" w:sz="4" w:space="0"/>
            </w:tcBorders>
            <w:vAlign w:val="center"/>
          </w:tcPr>
          <w:p w14:paraId="1EF2BE91">
            <w:pPr>
              <w:pStyle w:val="42"/>
              <w:bidi w:val="0"/>
              <w:jc w:val="center"/>
              <w:rPr>
                <w:rFonts w:hint="default" w:eastAsia="宋体"/>
                <w:lang w:val="en-US" w:eastAsia="zh-CN"/>
              </w:rPr>
            </w:pPr>
            <w:r>
              <w:rPr>
                <w:rFonts w:hint="eastAsia"/>
                <w:lang w:val="en-US" w:eastAsia="zh-CN"/>
              </w:rPr>
              <w:t>周边水体</w:t>
            </w:r>
          </w:p>
        </w:tc>
        <w:tc>
          <w:tcPr>
            <w:tcW w:w="808" w:type="pct"/>
            <w:tcBorders>
              <w:top w:val="single" w:color="000000" w:sz="4" w:space="0"/>
              <w:left w:val="single" w:color="000000" w:sz="4" w:space="0"/>
              <w:bottom w:val="single" w:color="000000" w:sz="12" w:space="0"/>
              <w:right w:val="single" w:color="000000" w:sz="12" w:space="0"/>
            </w:tcBorders>
            <w:vAlign w:val="center"/>
          </w:tcPr>
          <w:p w14:paraId="4FE5C329">
            <w:pPr>
              <w:pStyle w:val="42"/>
              <w:bidi w:val="0"/>
              <w:jc w:val="center"/>
              <w:rPr>
                <w:rFonts w:hint="default" w:eastAsia="宋体"/>
                <w:lang w:val="en-US" w:eastAsia="zh-CN"/>
              </w:rPr>
            </w:pPr>
            <w:r>
              <w:rPr>
                <w:rFonts w:hint="eastAsia"/>
                <w:lang w:val="en-US" w:eastAsia="zh-CN"/>
              </w:rPr>
              <w:t>有毒有害物质</w:t>
            </w:r>
          </w:p>
        </w:tc>
      </w:tr>
    </w:tbl>
    <w:p w14:paraId="5434663F">
      <w:pPr>
        <w:pStyle w:val="39"/>
        <w:bidi w:val="0"/>
      </w:pPr>
      <w:r>
        <w:t>表 6.</w:t>
      </w:r>
      <w:r>
        <w:rPr>
          <w:rFonts w:hint="eastAsia"/>
          <w:lang w:val="en-US" w:eastAsia="zh-CN"/>
        </w:rPr>
        <w:t>4</w:t>
      </w:r>
      <w:r>
        <w:t>-</w:t>
      </w:r>
      <w:r>
        <w:rPr>
          <w:rFonts w:hint="eastAsia"/>
          <w:lang w:val="en-US" w:eastAsia="zh-CN"/>
        </w:rPr>
        <w:t>4</w:t>
      </w:r>
      <w:r>
        <w:t xml:space="preserve">    氨物理化学性质一览表</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77"/>
        <w:gridCol w:w="1405"/>
        <w:gridCol w:w="1372"/>
        <w:gridCol w:w="1407"/>
        <w:gridCol w:w="1372"/>
        <w:gridCol w:w="1400"/>
      </w:tblGrid>
      <w:tr w14:paraId="65D15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26" w:type="pct"/>
            <w:tcBorders>
              <w:top w:val="single" w:color="000000" w:sz="12" w:space="0"/>
              <w:left w:val="single" w:color="000000" w:sz="12" w:space="0"/>
              <w:bottom w:val="single" w:color="000000" w:sz="4" w:space="0"/>
              <w:right w:val="single" w:color="000000" w:sz="4" w:space="0"/>
            </w:tcBorders>
            <w:vAlign w:val="top"/>
          </w:tcPr>
          <w:p w14:paraId="3015EC49">
            <w:pPr>
              <w:pStyle w:val="42"/>
              <w:bidi w:val="0"/>
            </w:pPr>
            <w:r>
              <w:t>中文名称</w:t>
            </w:r>
          </w:p>
        </w:tc>
        <w:tc>
          <w:tcPr>
            <w:tcW w:w="843" w:type="pct"/>
            <w:tcBorders>
              <w:top w:val="single" w:color="000000" w:sz="12" w:space="0"/>
              <w:left w:val="single" w:color="000000" w:sz="4" w:space="0"/>
              <w:bottom w:val="single" w:color="000000" w:sz="4" w:space="0"/>
              <w:right w:val="single" w:color="000000" w:sz="4" w:space="0"/>
            </w:tcBorders>
            <w:vAlign w:val="top"/>
          </w:tcPr>
          <w:p w14:paraId="0A2895A3">
            <w:pPr>
              <w:pStyle w:val="42"/>
              <w:bidi w:val="0"/>
            </w:pPr>
            <w:r>
              <w:t>氨</w:t>
            </w:r>
          </w:p>
        </w:tc>
        <w:tc>
          <w:tcPr>
            <w:tcW w:w="823" w:type="pct"/>
            <w:tcBorders>
              <w:top w:val="single" w:color="000000" w:sz="12" w:space="0"/>
              <w:left w:val="single" w:color="000000" w:sz="4" w:space="0"/>
              <w:bottom w:val="single" w:color="000000" w:sz="4" w:space="0"/>
              <w:right w:val="single" w:color="000000" w:sz="4" w:space="0"/>
            </w:tcBorders>
            <w:vAlign w:val="top"/>
          </w:tcPr>
          <w:p w14:paraId="2E36E50B">
            <w:pPr>
              <w:pStyle w:val="42"/>
              <w:bidi w:val="0"/>
            </w:pPr>
            <w:r>
              <w:t>分子式</w:t>
            </w:r>
          </w:p>
        </w:tc>
        <w:tc>
          <w:tcPr>
            <w:tcW w:w="844" w:type="pct"/>
            <w:tcBorders>
              <w:top w:val="single" w:color="000000" w:sz="12" w:space="0"/>
              <w:left w:val="single" w:color="000000" w:sz="4" w:space="0"/>
              <w:bottom w:val="single" w:color="000000" w:sz="4" w:space="0"/>
              <w:right w:val="single" w:color="000000" w:sz="4" w:space="0"/>
            </w:tcBorders>
            <w:vAlign w:val="top"/>
          </w:tcPr>
          <w:p w14:paraId="48230F8B">
            <w:pPr>
              <w:pStyle w:val="42"/>
              <w:bidi w:val="0"/>
              <w:rPr>
                <w:rFonts w:hint="eastAsia" w:eastAsia="宋体"/>
                <w:lang w:eastAsia="zh-CN"/>
              </w:rPr>
            </w:pPr>
            <w:r>
              <w:rPr>
                <w:rFonts w:hint="eastAsia"/>
                <w:lang w:eastAsia="zh-CN"/>
              </w:rPr>
              <w:t>NH</w:t>
            </w:r>
            <w:r>
              <w:rPr>
                <w:rFonts w:hint="eastAsia"/>
                <w:vertAlign w:val="subscript"/>
                <w:lang w:eastAsia="zh-CN"/>
              </w:rPr>
              <w:t>3</w:t>
            </w:r>
          </w:p>
        </w:tc>
        <w:tc>
          <w:tcPr>
            <w:tcW w:w="823" w:type="pct"/>
            <w:tcBorders>
              <w:top w:val="single" w:color="000000" w:sz="12" w:space="0"/>
              <w:left w:val="single" w:color="000000" w:sz="4" w:space="0"/>
              <w:bottom w:val="single" w:color="000000" w:sz="4" w:space="0"/>
              <w:right w:val="single" w:color="000000" w:sz="4" w:space="0"/>
            </w:tcBorders>
            <w:vAlign w:val="top"/>
          </w:tcPr>
          <w:p w14:paraId="00CF77E4">
            <w:pPr>
              <w:pStyle w:val="42"/>
              <w:bidi w:val="0"/>
            </w:pPr>
            <w:r>
              <w:t>分子量</w:t>
            </w:r>
          </w:p>
        </w:tc>
        <w:tc>
          <w:tcPr>
            <w:tcW w:w="838" w:type="pct"/>
            <w:tcBorders>
              <w:top w:val="single" w:color="000000" w:sz="12" w:space="0"/>
              <w:left w:val="single" w:color="000000" w:sz="4" w:space="0"/>
              <w:bottom w:val="single" w:color="000000" w:sz="4" w:space="0"/>
              <w:right w:val="single" w:color="000000" w:sz="12" w:space="0"/>
            </w:tcBorders>
            <w:vAlign w:val="top"/>
          </w:tcPr>
          <w:p w14:paraId="37A8B429">
            <w:pPr>
              <w:pStyle w:val="42"/>
              <w:bidi w:val="0"/>
            </w:pPr>
            <w:r>
              <w:t>17.03</w:t>
            </w:r>
          </w:p>
        </w:tc>
      </w:tr>
      <w:tr w14:paraId="013485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159C7FD7">
            <w:pPr>
              <w:pStyle w:val="42"/>
              <w:bidi w:val="0"/>
            </w:pPr>
            <w:r>
              <w:t>熔点</w:t>
            </w:r>
          </w:p>
        </w:tc>
        <w:tc>
          <w:tcPr>
            <w:tcW w:w="843" w:type="pct"/>
            <w:tcBorders>
              <w:top w:val="single" w:color="000000" w:sz="4" w:space="0"/>
              <w:left w:val="single" w:color="000000" w:sz="4" w:space="0"/>
              <w:bottom w:val="single" w:color="000000" w:sz="4" w:space="0"/>
              <w:right w:val="single" w:color="000000" w:sz="4" w:space="0"/>
            </w:tcBorders>
            <w:vAlign w:val="top"/>
          </w:tcPr>
          <w:p w14:paraId="47CFDB29">
            <w:pPr>
              <w:pStyle w:val="42"/>
              <w:bidi w:val="0"/>
            </w:pPr>
            <w:r>
              <w:t>-77.7℃</w:t>
            </w:r>
          </w:p>
        </w:tc>
        <w:tc>
          <w:tcPr>
            <w:tcW w:w="823" w:type="pct"/>
            <w:tcBorders>
              <w:top w:val="single" w:color="000000" w:sz="4" w:space="0"/>
              <w:left w:val="single" w:color="000000" w:sz="4" w:space="0"/>
              <w:bottom w:val="single" w:color="000000" w:sz="4" w:space="0"/>
              <w:right w:val="single" w:color="000000" w:sz="4" w:space="0"/>
            </w:tcBorders>
            <w:vAlign w:val="top"/>
          </w:tcPr>
          <w:p w14:paraId="3E8002A0">
            <w:pPr>
              <w:pStyle w:val="42"/>
              <w:bidi w:val="0"/>
            </w:pPr>
            <w:r>
              <w:t>沸点</w:t>
            </w:r>
          </w:p>
        </w:tc>
        <w:tc>
          <w:tcPr>
            <w:tcW w:w="844" w:type="pct"/>
            <w:tcBorders>
              <w:top w:val="single" w:color="000000" w:sz="4" w:space="0"/>
              <w:left w:val="single" w:color="000000" w:sz="4" w:space="0"/>
              <w:bottom w:val="single" w:color="000000" w:sz="4" w:space="0"/>
              <w:right w:val="single" w:color="000000" w:sz="4" w:space="0"/>
            </w:tcBorders>
            <w:vAlign w:val="top"/>
          </w:tcPr>
          <w:p w14:paraId="62C457D4">
            <w:pPr>
              <w:pStyle w:val="42"/>
              <w:bidi w:val="0"/>
            </w:pPr>
            <w:r>
              <w:t>-33.5℃</w:t>
            </w:r>
          </w:p>
        </w:tc>
        <w:tc>
          <w:tcPr>
            <w:tcW w:w="823" w:type="pct"/>
            <w:tcBorders>
              <w:top w:val="single" w:color="000000" w:sz="4" w:space="0"/>
              <w:left w:val="single" w:color="000000" w:sz="4" w:space="0"/>
              <w:bottom w:val="single" w:color="000000" w:sz="4" w:space="0"/>
              <w:right w:val="single" w:color="000000" w:sz="4" w:space="0"/>
            </w:tcBorders>
            <w:vAlign w:val="top"/>
          </w:tcPr>
          <w:p w14:paraId="1B289BF6">
            <w:pPr>
              <w:pStyle w:val="42"/>
              <w:bidi w:val="0"/>
            </w:pPr>
            <w:r>
              <w:t>危险标记</w:t>
            </w:r>
          </w:p>
        </w:tc>
        <w:tc>
          <w:tcPr>
            <w:tcW w:w="838" w:type="pct"/>
            <w:tcBorders>
              <w:top w:val="single" w:color="000000" w:sz="4" w:space="0"/>
              <w:left w:val="single" w:color="000000" w:sz="4" w:space="0"/>
              <w:bottom w:val="single" w:color="000000" w:sz="4" w:space="0"/>
              <w:right w:val="single" w:color="000000" w:sz="12" w:space="0"/>
            </w:tcBorders>
            <w:vAlign w:val="top"/>
          </w:tcPr>
          <w:p w14:paraId="79C81A8D">
            <w:pPr>
              <w:pStyle w:val="42"/>
              <w:bidi w:val="0"/>
            </w:pPr>
            <w:r>
              <w:t>2.3有毒气体</w:t>
            </w:r>
          </w:p>
        </w:tc>
      </w:tr>
      <w:tr w14:paraId="55A69A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300A3D7E">
            <w:pPr>
              <w:pStyle w:val="42"/>
              <w:bidi w:val="0"/>
            </w:pPr>
            <w:r>
              <w:t>外观性状</w:t>
            </w:r>
          </w:p>
        </w:tc>
        <w:tc>
          <w:tcPr>
            <w:tcW w:w="4173" w:type="pct"/>
            <w:gridSpan w:val="5"/>
            <w:tcBorders>
              <w:top w:val="single" w:color="000000" w:sz="4" w:space="0"/>
              <w:left w:val="single" w:color="000000" w:sz="4" w:space="0"/>
              <w:bottom w:val="single" w:color="000000" w:sz="4" w:space="0"/>
              <w:right w:val="single" w:color="000000" w:sz="12" w:space="0"/>
            </w:tcBorders>
            <w:vAlign w:val="top"/>
          </w:tcPr>
          <w:p w14:paraId="2DE9926C">
            <w:pPr>
              <w:pStyle w:val="42"/>
              <w:bidi w:val="0"/>
            </w:pPr>
            <w:r>
              <w:t>无色、有刺激性恶臭的气体</w:t>
            </w:r>
          </w:p>
        </w:tc>
      </w:tr>
      <w:tr w14:paraId="0CDEB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63314343">
            <w:pPr>
              <w:pStyle w:val="42"/>
              <w:bidi w:val="0"/>
            </w:pPr>
            <w:r>
              <w:t>溶解性</w:t>
            </w:r>
          </w:p>
        </w:tc>
        <w:tc>
          <w:tcPr>
            <w:tcW w:w="4173" w:type="pct"/>
            <w:gridSpan w:val="5"/>
            <w:tcBorders>
              <w:top w:val="single" w:color="000000" w:sz="4" w:space="0"/>
              <w:left w:val="single" w:color="000000" w:sz="4" w:space="0"/>
              <w:bottom w:val="single" w:color="000000" w:sz="4" w:space="0"/>
              <w:right w:val="single" w:color="000000" w:sz="12" w:space="0"/>
            </w:tcBorders>
            <w:vAlign w:val="top"/>
          </w:tcPr>
          <w:p w14:paraId="06001B90">
            <w:pPr>
              <w:pStyle w:val="42"/>
              <w:bidi w:val="0"/>
            </w:pPr>
            <w:r>
              <w:t>易溶于水、乙醇、乙醚</w:t>
            </w:r>
          </w:p>
        </w:tc>
      </w:tr>
      <w:tr w14:paraId="34DFBD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7F37A2C6">
            <w:pPr>
              <w:pStyle w:val="42"/>
              <w:bidi w:val="0"/>
            </w:pPr>
            <w:r>
              <w:t>密度</w:t>
            </w:r>
          </w:p>
        </w:tc>
        <w:tc>
          <w:tcPr>
            <w:tcW w:w="4173" w:type="pct"/>
            <w:gridSpan w:val="5"/>
            <w:tcBorders>
              <w:top w:val="single" w:color="000000" w:sz="4" w:space="0"/>
              <w:left w:val="single" w:color="000000" w:sz="4" w:space="0"/>
              <w:bottom w:val="single" w:color="000000" w:sz="4" w:space="0"/>
              <w:right w:val="single" w:color="000000" w:sz="12" w:space="0"/>
            </w:tcBorders>
            <w:vAlign w:val="top"/>
          </w:tcPr>
          <w:p w14:paraId="14404B23">
            <w:pPr>
              <w:pStyle w:val="42"/>
              <w:bidi w:val="0"/>
            </w:pPr>
            <w:r>
              <w:t>相对密度（水=1）0.82（-79℃)</w:t>
            </w:r>
            <w:r>
              <w:rPr>
                <w:rFonts w:hint="eastAsia"/>
                <w:lang w:eastAsia="zh-CN"/>
              </w:rPr>
              <w:t>；</w:t>
            </w:r>
            <w:r>
              <w:t>相对密度（空气=1）0.6</w:t>
            </w:r>
          </w:p>
        </w:tc>
      </w:tr>
      <w:tr w14:paraId="272071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7B5A1A19">
            <w:pPr>
              <w:pStyle w:val="42"/>
              <w:bidi w:val="0"/>
            </w:pPr>
            <w:r>
              <w:t>稳定性</w:t>
            </w:r>
          </w:p>
        </w:tc>
        <w:tc>
          <w:tcPr>
            <w:tcW w:w="4173" w:type="pct"/>
            <w:gridSpan w:val="5"/>
            <w:tcBorders>
              <w:top w:val="single" w:color="000000" w:sz="4" w:space="0"/>
              <w:left w:val="single" w:color="000000" w:sz="4" w:space="0"/>
              <w:bottom w:val="single" w:color="000000" w:sz="4" w:space="0"/>
              <w:right w:val="single" w:color="000000" w:sz="12" w:space="0"/>
            </w:tcBorders>
            <w:vAlign w:val="top"/>
          </w:tcPr>
          <w:p w14:paraId="36A9E2EC">
            <w:pPr>
              <w:pStyle w:val="42"/>
              <w:bidi w:val="0"/>
            </w:pPr>
            <w:r>
              <w:t>易燃，会发生爆炸</w:t>
            </w:r>
          </w:p>
        </w:tc>
      </w:tr>
      <w:tr w14:paraId="727A88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top"/>
          </w:tcPr>
          <w:p w14:paraId="544C3BA1">
            <w:pPr>
              <w:pStyle w:val="42"/>
              <w:bidi w:val="0"/>
            </w:pPr>
            <w:r>
              <w:t>侵入途径</w:t>
            </w:r>
          </w:p>
        </w:tc>
        <w:tc>
          <w:tcPr>
            <w:tcW w:w="4173" w:type="pct"/>
            <w:gridSpan w:val="5"/>
            <w:tcBorders>
              <w:top w:val="single" w:color="000000" w:sz="4" w:space="0"/>
              <w:left w:val="single" w:color="000000" w:sz="4" w:space="0"/>
              <w:bottom w:val="single" w:color="000000" w:sz="4" w:space="0"/>
              <w:right w:val="single" w:color="000000" w:sz="12" w:space="0"/>
            </w:tcBorders>
            <w:vAlign w:val="top"/>
          </w:tcPr>
          <w:p w14:paraId="230CCFE9">
            <w:pPr>
              <w:pStyle w:val="42"/>
              <w:bidi w:val="0"/>
            </w:pPr>
            <w:r>
              <w:t>吸入</w:t>
            </w:r>
          </w:p>
        </w:tc>
      </w:tr>
      <w:tr w14:paraId="43A6A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7" w:hRule="atLeast"/>
        </w:trPr>
        <w:tc>
          <w:tcPr>
            <w:tcW w:w="826" w:type="pct"/>
            <w:tcBorders>
              <w:top w:val="single" w:color="000000" w:sz="4" w:space="0"/>
              <w:left w:val="single" w:color="000000" w:sz="12" w:space="0"/>
              <w:bottom w:val="single" w:color="000000" w:sz="12" w:space="0"/>
              <w:right w:val="single" w:color="000000" w:sz="4" w:space="0"/>
            </w:tcBorders>
            <w:vAlign w:val="top"/>
          </w:tcPr>
          <w:p w14:paraId="0FF89BE5">
            <w:pPr>
              <w:pStyle w:val="42"/>
              <w:bidi w:val="0"/>
            </w:pPr>
            <w:r>
              <w:t>健康危害</w:t>
            </w:r>
          </w:p>
        </w:tc>
        <w:tc>
          <w:tcPr>
            <w:tcW w:w="4173" w:type="pct"/>
            <w:gridSpan w:val="5"/>
            <w:tcBorders>
              <w:top w:val="single" w:color="000000" w:sz="4" w:space="0"/>
              <w:left w:val="single" w:color="000000" w:sz="4" w:space="0"/>
              <w:bottom w:val="single" w:color="000000" w:sz="12" w:space="0"/>
              <w:right w:val="single" w:color="000000" w:sz="12" w:space="0"/>
            </w:tcBorders>
            <w:vAlign w:val="top"/>
          </w:tcPr>
          <w:p w14:paraId="598E840A">
            <w:pPr>
              <w:pStyle w:val="42"/>
              <w:bidi w:val="0"/>
            </w:pPr>
            <w:r>
              <w:t>强烈的刺激性气体，对眼和呼吸道有强烈刺激和腐蚀作用。急性氨中毒引起眼和呼吸道刺激症状，支气管炎或支气管周围炎，肺炎，重度中毒者可发生中毒性肺水肿。可因喉头水肿和呼吸道黏膜坏死脱落引起窒息。高浓度氨可引起反射性呼吸和心搏停止。可致眼和皮肤灼伤。</w:t>
            </w:r>
          </w:p>
        </w:tc>
      </w:tr>
    </w:tbl>
    <w:p w14:paraId="0ED11B47">
      <w:pPr>
        <w:pStyle w:val="39"/>
        <w:bidi w:val="0"/>
      </w:pPr>
      <w:r>
        <w:t>表 6.</w:t>
      </w:r>
      <w:r>
        <w:rPr>
          <w:rFonts w:hint="eastAsia"/>
          <w:lang w:val="en-US" w:eastAsia="zh-CN"/>
        </w:rPr>
        <w:t>4</w:t>
      </w:r>
      <w:r>
        <w:t>-</w:t>
      </w:r>
      <w:r>
        <w:rPr>
          <w:rFonts w:hint="eastAsia"/>
          <w:lang w:val="en-US" w:eastAsia="zh-CN"/>
        </w:rPr>
        <w:t>5</w:t>
      </w:r>
      <w:r>
        <w:t xml:space="preserve">  硫化氢物理化学性质一览表</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377"/>
        <w:gridCol w:w="1405"/>
        <w:gridCol w:w="1372"/>
        <w:gridCol w:w="1405"/>
        <w:gridCol w:w="1372"/>
        <w:gridCol w:w="1402"/>
      </w:tblGrid>
      <w:tr w14:paraId="5609BF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826" w:type="pct"/>
            <w:tcBorders>
              <w:tl2br w:val="nil"/>
              <w:tr2bl w:val="nil"/>
            </w:tcBorders>
            <w:vAlign w:val="center"/>
          </w:tcPr>
          <w:p w14:paraId="0F0FCB86">
            <w:pPr>
              <w:pStyle w:val="42"/>
              <w:bidi w:val="0"/>
              <w:jc w:val="center"/>
            </w:pPr>
            <w:r>
              <w:t>中文名称</w:t>
            </w:r>
          </w:p>
        </w:tc>
        <w:tc>
          <w:tcPr>
            <w:tcW w:w="843" w:type="pct"/>
            <w:tcBorders>
              <w:tl2br w:val="nil"/>
              <w:tr2bl w:val="nil"/>
            </w:tcBorders>
            <w:vAlign w:val="center"/>
          </w:tcPr>
          <w:p w14:paraId="122953BD">
            <w:pPr>
              <w:pStyle w:val="42"/>
              <w:bidi w:val="0"/>
              <w:jc w:val="center"/>
            </w:pPr>
            <w:r>
              <w:t>硫化氢</w:t>
            </w:r>
          </w:p>
        </w:tc>
        <w:tc>
          <w:tcPr>
            <w:tcW w:w="823" w:type="pct"/>
            <w:tcBorders>
              <w:tl2br w:val="nil"/>
              <w:tr2bl w:val="nil"/>
            </w:tcBorders>
            <w:vAlign w:val="center"/>
          </w:tcPr>
          <w:p w14:paraId="6394A214">
            <w:pPr>
              <w:pStyle w:val="42"/>
              <w:bidi w:val="0"/>
              <w:jc w:val="center"/>
            </w:pPr>
            <w:r>
              <w:t>分子式</w:t>
            </w:r>
          </w:p>
        </w:tc>
        <w:tc>
          <w:tcPr>
            <w:tcW w:w="843" w:type="pct"/>
            <w:tcBorders>
              <w:tl2br w:val="nil"/>
              <w:tr2bl w:val="nil"/>
            </w:tcBorders>
            <w:vAlign w:val="center"/>
          </w:tcPr>
          <w:p w14:paraId="4C648A26">
            <w:pPr>
              <w:pStyle w:val="42"/>
              <w:bidi w:val="0"/>
              <w:jc w:val="center"/>
              <w:rPr>
                <w:rFonts w:hint="eastAsia" w:eastAsia="宋体"/>
                <w:lang w:eastAsia="zh-CN"/>
              </w:rPr>
            </w:pPr>
            <w:r>
              <w:rPr>
                <w:rFonts w:hint="eastAsia"/>
                <w:lang w:eastAsia="zh-CN"/>
              </w:rPr>
              <w:t>H</w:t>
            </w:r>
            <w:r>
              <w:rPr>
                <w:rFonts w:hint="eastAsia"/>
                <w:vertAlign w:val="subscript"/>
                <w:lang w:eastAsia="zh-CN"/>
              </w:rPr>
              <w:t>2</w:t>
            </w:r>
            <w:r>
              <w:rPr>
                <w:rFonts w:hint="eastAsia"/>
                <w:lang w:eastAsia="zh-CN"/>
              </w:rPr>
              <w:t>S</w:t>
            </w:r>
          </w:p>
        </w:tc>
        <w:tc>
          <w:tcPr>
            <w:tcW w:w="823" w:type="pct"/>
            <w:tcBorders>
              <w:tl2br w:val="nil"/>
              <w:tr2bl w:val="nil"/>
            </w:tcBorders>
            <w:vAlign w:val="center"/>
          </w:tcPr>
          <w:p w14:paraId="7F81ACF8">
            <w:pPr>
              <w:pStyle w:val="42"/>
              <w:bidi w:val="0"/>
              <w:jc w:val="center"/>
            </w:pPr>
            <w:r>
              <w:t>分子量</w:t>
            </w:r>
          </w:p>
        </w:tc>
        <w:tc>
          <w:tcPr>
            <w:tcW w:w="838" w:type="pct"/>
            <w:tcBorders>
              <w:tl2br w:val="nil"/>
              <w:tr2bl w:val="nil"/>
            </w:tcBorders>
            <w:vAlign w:val="center"/>
          </w:tcPr>
          <w:p w14:paraId="47F4CB31">
            <w:pPr>
              <w:pStyle w:val="42"/>
              <w:bidi w:val="0"/>
              <w:jc w:val="center"/>
            </w:pPr>
            <w:r>
              <w:t>34.08</w:t>
            </w:r>
          </w:p>
        </w:tc>
      </w:tr>
      <w:tr w14:paraId="271F08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826" w:type="pct"/>
            <w:tcBorders>
              <w:tl2br w:val="nil"/>
              <w:tr2bl w:val="nil"/>
            </w:tcBorders>
            <w:vAlign w:val="center"/>
          </w:tcPr>
          <w:p w14:paraId="24B878F9">
            <w:pPr>
              <w:pStyle w:val="42"/>
              <w:bidi w:val="0"/>
              <w:jc w:val="center"/>
            </w:pPr>
            <w:r>
              <w:t>熔点</w:t>
            </w:r>
          </w:p>
        </w:tc>
        <w:tc>
          <w:tcPr>
            <w:tcW w:w="843" w:type="pct"/>
            <w:tcBorders>
              <w:tl2br w:val="nil"/>
              <w:tr2bl w:val="nil"/>
            </w:tcBorders>
            <w:vAlign w:val="center"/>
          </w:tcPr>
          <w:p w14:paraId="0E901157">
            <w:pPr>
              <w:pStyle w:val="42"/>
              <w:bidi w:val="0"/>
              <w:jc w:val="center"/>
            </w:pPr>
            <w:r>
              <w:t>-85.5℃</w:t>
            </w:r>
          </w:p>
        </w:tc>
        <w:tc>
          <w:tcPr>
            <w:tcW w:w="823" w:type="pct"/>
            <w:tcBorders>
              <w:tl2br w:val="nil"/>
              <w:tr2bl w:val="nil"/>
            </w:tcBorders>
            <w:vAlign w:val="center"/>
          </w:tcPr>
          <w:p w14:paraId="03DB13D7">
            <w:pPr>
              <w:pStyle w:val="42"/>
              <w:bidi w:val="0"/>
              <w:jc w:val="center"/>
            </w:pPr>
            <w:r>
              <w:t>沸点</w:t>
            </w:r>
          </w:p>
        </w:tc>
        <w:tc>
          <w:tcPr>
            <w:tcW w:w="843" w:type="pct"/>
            <w:tcBorders>
              <w:tl2br w:val="nil"/>
              <w:tr2bl w:val="nil"/>
            </w:tcBorders>
            <w:vAlign w:val="center"/>
          </w:tcPr>
          <w:p w14:paraId="645D2840">
            <w:pPr>
              <w:pStyle w:val="42"/>
              <w:bidi w:val="0"/>
              <w:jc w:val="center"/>
            </w:pPr>
            <w:r>
              <w:t>-60.4℃</w:t>
            </w:r>
          </w:p>
        </w:tc>
        <w:tc>
          <w:tcPr>
            <w:tcW w:w="823" w:type="pct"/>
            <w:tcBorders>
              <w:tl2br w:val="nil"/>
              <w:tr2bl w:val="nil"/>
            </w:tcBorders>
            <w:vAlign w:val="center"/>
          </w:tcPr>
          <w:p w14:paraId="48B3F5CA">
            <w:pPr>
              <w:pStyle w:val="42"/>
              <w:bidi w:val="0"/>
              <w:jc w:val="center"/>
            </w:pPr>
            <w:r>
              <w:t>危险标记</w:t>
            </w:r>
          </w:p>
        </w:tc>
        <w:tc>
          <w:tcPr>
            <w:tcW w:w="838" w:type="pct"/>
            <w:tcBorders>
              <w:tl2br w:val="nil"/>
              <w:tr2bl w:val="nil"/>
            </w:tcBorders>
            <w:vAlign w:val="center"/>
          </w:tcPr>
          <w:p w14:paraId="03721EAF">
            <w:pPr>
              <w:pStyle w:val="42"/>
              <w:bidi w:val="0"/>
              <w:jc w:val="center"/>
            </w:pPr>
            <w:r>
              <w:t>2.1类易燃气</w:t>
            </w:r>
          </w:p>
          <w:p w14:paraId="1160DC80">
            <w:pPr>
              <w:pStyle w:val="42"/>
              <w:bidi w:val="0"/>
              <w:jc w:val="center"/>
            </w:pPr>
            <w:r>
              <w:t>体，2.3类毒性气体</w:t>
            </w:r>
          </w:p>
        </w:tc>
      </w:tr>
      <w:tr w14:paraId="4646D3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826" w:type="pct"/>
            <w:tcBorders>
              <w:tl2br w:val="nil"/>
              <w:tr2bl w:val="nil"/>
            </w:tcBorders>
            <w:vAlign w:val="center"/>
          </w:tcPr>
          <w:p w14:paraId="3AD67C37">
            <w:pPr>
              <w:pStyle w:val="42"/>
              <w:bidi w:val="0"/>
              <w:jc w:val="center"/>
            </w:pPr>
            <w:r>
              <w:t>外观性状</w:t>
            </w:r>
          </w:p>
        </w:tc>
        <w:tc>
          <w:tcPr>
            <w:tcW w:w="4173" w:type="pct"/>
            <w:gridSpan w:val="5"/>
            <w:tcBorders>
              <w:tl2br w:val="nil"/>
              <w:tr2bl w:val="nil"/>
            </w:tcBorders>
            <w:vAlign w:val="center"/>
          </w:tcPr>
          <w:p w14:paraId="2131C64A">
            <w:pPr>
              <w:pStyle w:val="42"/>
              <w:bidi w:val="0"/>
              <w:jc w:val="center"/>
            </w:pPr>
            <w:r>
              <w:t>无色、具有腐败臭蛋样气味</w:t>
            </w:r>
          </w:p>
        </w:tc>
      </w:tr>
      <w:tr w14:paraId="514DDB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76" w:hRule="atLeast"/>
        </w:trPr>
        <w:tc>
          <w:tcPr>
            <w:tcW w:w="826" w:type="pct"/>
            <w:tcBorders>
              <w:tl2br w:val="nil"/>
              <w:tr2bl w:val="nil"/>
            </w:tcBorders>
            <w:vAlign w:val="center"/>
          </w:tcPr>
          <w:p w14:paraId="63945950">
            <w:pPr>
              <w:pStyle w:val="42"/>
              <w:bidi w:val="0"/>
              <w:jc w:val="center"/>
            </w:pPr>
            <w:r>
              <w:t>溶解性</w:t>
            </w:r>
          </w:p>
        </w:tc>
        <w:tc>
          <w:tcPr>
            <w:tcW w:w="4173" w:type="pct"/>
            <w:gridSpan w:val="5"/>
            <w:tcBorders>
              <w:tl2br w:val="nil"/>
              <w:tr2bl w:val="nil"/>
            </w:tcBorders>
            <w:vAlign w:val="center"/>
          </w:tcPr>
          <w:p w14:paraId="2C84434A">
            <w:pPr>
              <w:pStyle w:val="42"/>
              <w:bidi w:val="0"/>
              <w:jc w:val="center"/>
            </w:pPr>
            <w:r>
              <w:t>易溶于水、乙醇</w:t>
            </w:r>
          </w:p>
        </w:tc>
      </w:tr>
      <w:tr w14:paraId="07E5CA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826" w:type="pct"/>
            <w:tcBorders>
              <w:tl2br w:val="nil"/>
              <w:tr2bl w:val="nil"/>
            </w:tcBorders>
            <w:vAlign w:val="center"/>
          </w:tcPr>
          <w:p w14:paraId="27CB8158">
            <w:pPr>
              <w:pStyle w:val="42"/>
              <w:bidi w:val="0"/>
              <w:jc w:val="center"/>
            </w:pPr>
            <w:r>
              <w:t>密度</w:t>
            </w:r>
          </w:p>
        </w:tc>
        <w:tc>
          <w:tcPr>
            <w:tcW w:w="4173" w:type="pct"/>
            <w:gridSpan w:val="5"/>
            <w:tcBorders>
              <w:tl2br w:val="nil"/>
              <w:tr2bl w:val="nil"/>
            </w:tcBorders>
            <w:vAlign w:val="center"/>
          </w:tcPr>
          <w:p w14:paraId="05641E99">
            <w:pPr>
              <w:pStyle w:val="42"/>
              <w:bidi w:val="0"/>
              <w:jc w:val="center"/>
            </w:pPr>
            <w:r>
              <w:t>相对密度（水=1）无资料；相对密度（空气=1）1.19</w:t>
            </w:r>
          </w:p>
        </w:tc>
      </w:tr>
      <w:tr w14:paraId="075EF7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826" w:type="pct"/>
            <w:tcBorders>
              <w:tl2br w:val="nil"/>
              <w:tr2bl w:val="nil"/>
            </w:tcBorders>
            <w:vAlign w:val="center"/>
          </w:tcPr>
          <w:p w14:paraId="1FEE3C8E">
            <w:pPr>
              <w:pStyle w:val="42"/>
              <w:bidi w:val="0"/>
              <w:jc w:val="center"/>
            </w:pPr>
            <w:r>
              <w:t>稳定性</w:t>
            </w:r>
          </w:p>
        </w:tc>
        <w:tc>
          <w:tcPr>
            <w:tcW w:w="4173" w:type="pct"/>
            <w:gridSpan w:val="5"/>
            <w:tcBorders>
              <w:tl2br w:val="nil"/>
              <w:tr2bl w:val="nil"/>
            </w:tcBorders>
            <w:vAlign w:val="center"/>
          </w:tcPr>
          <w:p w14:paraId="322AF60B">
            <w:pPr>
              <w:pStyle w:val="42"/>
              <w:bidi w:val="0"/>
              <w:jc w:val="center"/>
            </w:pPr>
            <w:r>
              <w:t>易燃，会发生爆炸</w:t>
            </w:r>
          </w:p>
        </w:tc>
      </w:tr>
      <w:tr w14:paraId="48105E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826" w:type="pct"/>
            <w:tcBorders>
              <w:tl2br w:val="nil"/>
              <w:tr2bl w:val="nil"/>
            </w:tcBorders>
            <w:vAlign w:val="center"/>
          </w:tcPr>
          <w:p w14:paraId="4532C1A5">
            <w:pPr>
              <w:pStyle w:val="42"/>
              <w:bidi w:val="0"/>
              <w:jc w:val="center"/>
            </w:pPr>
            <w:r>
              <w:t>侵入途径</w:t>
            </w:r>
          </w:p>
        </w:tc>
        <w:tc>
          <w:tcPr>
            <w:tcW w:w="4173" w:type="pct"/>
            <w:gridSpan w:val="5"/>
            <w:tcBorders>
              <w:tl2br w:val="nil"/>
              <w:tr2bl w:val="nil"/>
            </w:tcBorders>
            <w:vAlign w:val="center"/>
          </w:tcPr>
          <w:p w14:paraId="67AD4CDE">
            <w:pPr>
              <w:pStyle w:val="42"/>
              <w:bidi w:val="0"/>
              <w:jc w:val="center"/>
            </w:pPr>
            <w:r>
              <w:t>吸入</w:t>
            </w:r>
          </w:p>
        </w:tc>
      </w:tr>
      <w:tr w14:paraId="66EEB2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70" w:hRule="atLeast"/>
        </w:trPr>
        <w:tc>
          <w:tcPr>
            <w:tcW w:w="826" w:type="pct"/>
            <w:tcBorders>
              <w:tl2br w:val="nil"/>
              <w:tr2bl w:val="nil"/>
            </w:tcBorders>
            <w:vAlign w:val="center"/>
          </w:tcPr>
          <w:p w14:paraId="3DED8770">
            <w:pPr>
              <w:pStyle w:val="42"/>
              <w:bidi w:val="0"/>
              <w:jc w:val="center"/>
            </w:pPr>
            <w:r>
              <w:t>健康危害</w:t>
            </w:r>
          </w:p>
        </w:tc>
        <w:tc>
          <w:tcPr>
            <w:tcW w:w="4173" w:type="pct"/>
            <w:gridSpan w:val="5"/>
            <w:tcBorders>
              <w:tl2br w:val="nil"/>
              <w:tr2bl w:val="nil"/>
            </w:tcBorders>
            <w:vAlign w:val="center"/>
          </w:tcPr>
          <w:p w14:paraId="08D36998">
            <w:pPr>
              <w:pStyle w:val="42"/>
              <w:bidi w:val="0"/>
              <w:jc w:val="center"/>
            </w:pPr>
            <w:r>
              <w:t>窒息性气体，是一种强烈的神经毒物，对眼和呼吸道有刺激作用，急性中毒出现眼和呼吸道刺激症状，急性气管、支气管炎或支气管周围炎，支气管肺炎，意识障碍等。重者意识障碍程度达深昏迷或呈植物状态，出现肺水肿、心肌损害、多脏器衰竭。眼部刺激引起结膜炎和角膜损害，高浓度（1000mg/</w:t>
            </w:r>
            <w:r>
              <w:rPr>
                <w:rFonts w:hint="eastAsia"/>
                <w:lang w:eastAsia="zh-CN"/>
              </w:rPr>
              <w:t>m</w:t>
            </w:r>
            <w:r>
              <w:rPr>
                <w:rFonts w:hint="eastAsia"/>
                <w:vertAlign w:val="superscript"/>
                <w:lang w:eastAsia="zh-CN"/>
              </w:rPr>
              <w:t>3</w:t>
            </w:r>
            <w:r>
              <w:t>以上）吸入可发生猝死。</w:t>
            </w:r>
          </w:p>
        </w:tc>
      </w:tr>
    </w:tbl>
    <w:p w14:paraId="4A30871B">
      <w:pPr>
        <w:pStyle w:val="39"/>
        <w:bidi w:val="0"/>
      </w:pPr>
    </w:p>
    <w:p w14:paraId="1EBC43C1">
      <w:pPr>
        <w:pStyle w:val="39"/>
        <w:bidi w:val="0"/>
      </w:pPr>
      <w:r>
        <w:t>表 6.</w:t>
      </w:r>
      <w:r>
        <w:rPr>
          <w:rFonts w:hint="eastAsia"/>
          <w:lang w:val="en-US" w:eastAsia="zh-CN"/>
        </w:rPr>
        <w:t>4</w:t>
      </w:r>
      <w:r>
        <w:t>-</w:t>
      </w:r>
      <w:r>
        <w:rPr>
          <w:rFonts w:hint="eastAsia"/>
          <w:lang w:val="en-US" w:eastAsia="zh-CN"/>
        </w:rPr>
        <w:t>6</w:t>
      </w:r>
      <w:r>
        <w:t xml:space="preserve">  甲烷物理化学性质一览表</w:t>
      </w:r>
    </w:p>
    <w:tbl>
      <w:tblPr>
        <w:tblStyle w:val="5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76"/>
        <w:gridCol w:w="1412"/>
        <w:gridCol w:w="1372"/>
        <w:gridCol w:w="1414"/>
        <w:gridCol w:w="1372"/>
        <w:gridCol w:w="1387"/>
      </w:tblGrid>
      <w:tr w14:paraId="635EA4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826" w:type="pct"/>
            <w:tcBorders>
              <w:top w:val="single" w:color="000000" w:sz="12" w:space="0"/>
              <w:left w:val="single" w:color="000000" w:sz="12" w:space="0"/>
              <w:bottom w:val="single" w:color="000000" w:sz="4" w:space="0"/>
              <w:right w:val="single" w:color="000000" w:sz="4" w:space="0"/>
            </w:tcBorders>
            <w:vAlign w:val="center"/>
          </w:tcPr>
          <w:p w14:paraId="3D6238C3">
            <w:pPr>
              <w:pStyle w:val="42"/>
              <w:bidi w:val="0"/>
              <w:jc w:val="center"/>
            </w:pPr>
            <w:r>
              <w:t>中文名称</w:t>
            </w:r>
          </w:p>
        </w:tc>
        <w:tc>
          <w:tcPr>
            <w:tcW w:w="847" w:type="pct"/>
            <w:tcBorders>
              <w:top w:val="single" w:color="000000" w:sz="12" w:space="0"/>
              <w:left w:val="single" w:color="000000" w:sz="4" w:space="0"/>
              <w:bottom w:val="single" w:color="000000" w:sz="4" w:space="0"/>
              <w:right w:val="single" w:color="000000" w:sz="4" w:space="0"/>
            </w:tcBorders>
            <w:vAlign w:val="center"/>
          </w:tcPr>
          <w:p w14:paraId="4A5DF02A">
            <w:pPr>
              <w:pStyle w:val="42"/>
              <w:bidi w:val="0"/>
              <w:jc w:val="center"/>
            </w:pPr>
            <w:r>
              <w:t>甲烷</w:t>
            </w:r>
          </w:p>
        </w:tc>
        <w:tc>
          <w:tcPr>
            <w:tcW w:w="823" w:type="pct"/>
            <w:tcBorders>
              <w:top w:val="single" w:color="000000" w:sz="12" w:space="0"/>
              <w:left w:val="single" w:color="000000" w:sz="4" w:space="0"/>
              <w:bottom w:val="single" w:color="000000" w:sz="4" w:space="0"/>
              <w:right w:val="single" w:color="000000" w:sz="4" w:space="0"/>
            </w:tcBorders>
            <w:vAlign w:val="center"/>
          </w:tcPr>
          <w:p w14:paraId="4D82D3D3">
            <w:pPr>
              <w:pStyle w:val="42"/>
              <w:bidi w:val="0"/>
              <w:jc w:val="center"/>
            </w:pPr>
            <w:r>
              <w:t>分子式</w:t>
            </w:r>
          </w:p>
        </w:tc>
        <w:tc>
          <w:tcPr>
            <w:tcW w:w="848" w:type="pct"/>
            <w:tcBorders>
              <w:top w:val="single" w:color="000000" w:sz="12" w:space="0"/>
              <w:left w:val="single" w:color="000000" w:sz="4" w:space="0"/>
              <w:bottom w:val="single" w:color="000000" w:sz="4" w:space="0"/>
              <w:right w:val="single" w:color="000000" w:sz="4" w:space="0"/>
            </w:tcBorders>
            <w:vAlign w:val="center"/>
          </w:tcPr>
          <w:p w14:paraId="44AA2386">
            <w:pPr>
              <w:pStyle w:val="42"/>
              <w:bidi w:val="0"/>
              <w:jc w:val="center"/>
            </w:pPr>
            <w:r>
              <w:t>CH4</w:t>
            </w:r>
          </w:p>
        </w:tc>
        <w:tc>
          <w:tcPr>
            <w:tcW w:w="823" w:type="pct"/>
            <w:tcBorders>
              <w:top w:val="single" w:color="000000" w:sz="12" w:space="0"/>
              <w:left w:val="single" w:color="000000" w:sz="4" w:space="0"/>
              <w:bottom w:val="single" w:color="000000" w:sz="4" w:space="0"/>
              <w:right w:val="single" w:color="000000" w:sz="4" w:space="0"/>
            </w:tcBorders>
            <w:vAlign w:val="center"/>
          </w:tcPr>
          <w:p w14:paraId="58EB8C61">
            <w:pPr>
              <w:pStyle w:val="42"/>
              <w:bidi w:val="0"/>
              <w:jc w:val="center"/>
            </w:pPr>
            <w:r>
              <w:t>分子量</w:t>
            </w:r>
          </w:p>
        </w:tc>
        <w:tc>
          <w:tcPr>
            <w:tcW w:w="829" w:type="pct"/>
            <w:tcBorders>
              <w:top w:val="single" w:color="000000" w:sz="12" w:space="0"/>
              <w:left w:val="single" w:color="000000" w:sz="4" w:space="0"/>
              <w:bottom w:val="single" w:color="000000" w:sz="4" w:space="0"/>
              <w:right w:val="single" w:color="000000" w:sz="12" w:space="0"/>
            </w:tcBorders>
            <w:vAlign w:val="center"/>
          </w:tcPr>
          <w:p w14:paraId="050534DE">
            <w:pPr>
              <w:pStyle w:val="42"/>
              <w:bidi w:val="0"/>
              <w:jc w:val="center"/>
            </w:pPr>
            <w:r>
              <w:t>16</w:t>
            </w:r>
          </w:p>
        </w:tc>
      </w:tr>
      <w:tr w14:paraId="5899E5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058318AE">
            <w:pPr>
              <w:pStyle w:val="42"/>
              <w:bidi w:val="0"/>
              <w:jc w:val="center"/>
            </w:pPr>
            <w:r>
              <w:t>熔点</w:t>
            </w:r>
          </w:p>
        </w:tc>
        <w:tc>
          <w:tcPr>
            <w:tcW w:w="847" w:type="pct"/>
            <w:tcBorders>
              <w:top w:val="single" w:color="000000" w:sz="4" w:space="0"/>
              <w:left w:val="single" w:color="000000" w:sz="4" w:space="0"/>
              <w:bottom w:val="single" w:color="000000" w:sz="4" w:space="0"/>
              <w:right w:val="single" w:color="000000" w:sz="4" w:space="0"/>
            </w:tcBorders>
            <w:vAlign w:val="center"/>
          </w:tcPr>
          <w:p w14:paraId="3E4BE946">
            <w:pPr>
              <w:pStyle w:val="42"/>
              <w:bidi w:val="0"/>
              <w:jc w:val="center"/>
            </w:pPr>
            <w:r>
              <w:t>-182.5℃</w:t>
            </w:r>
          </w:p>
        </w:tc>
        <w:tc>
          <w:tcPr>
            <w:tcW w:w="823" w:type="pct"/>
            <w:tcBorders>
              <w:top w:val="single" w:color="000000" w:sz="4" w:space="0"/>
              <w:left w:val="single" w:color="000000" w:sz="4" w:space="0"/>
              <w:bottom w:val="single" w:color="000000" w:sz="4" w:space="0"/>
              <w:right w:val="single" w:color="000000" w:sz="4" w:space="0"/>
            </w:tcBorders>
            <w:vAlign w:val="center"/>
          </w:tcPr>
          <w:p w14:paraId="7D775115">
            <w:pPr>
              <w:pStyle w:val="42"/>
              <w:bidi w:val="0"/>
              <w:jc w:val="center"/>
            </w:pPr>
            <w:r>
              <w:t>沸点</w:t>
            </w:r>
          </w:p>
        </w:tc>
        <w:tc>
          <w:tcPr>
            <w:tcW w:w="848" w:type="pct"/>
            <w:tcBorders>
              <w:top w:val="single" w:color="000000" w:sz="4" w:space="0"/>
              <w:left w:val="single" w:color="000000" w:sz="4" w:space="0"/>
              <w:bottom w:val="single" w:color="000000" w:sz="4" w:space="0"/>
              <w:right w:val="single" w:color="000000" w:sz="4" w:space="0"/>
            </w:tcBorders>
            <w:vAlign w:val="center"/>
          </w:tcPr>
          <w:p w14:paraId="57CD08D7">
            <w:pPr>
              <w:pStyle w:val="42"/>
              <w:bidi w:val="0"/>
              <w:jc w:val="center"/>
            </w:pPr>
            <w:r>
              <w:t>-161.5℃</w:t>
            </w:r>
          </w:p>
        </w:tc>
        <w:tc>
          <w:tcPr>
            <w:tcW w:w="823" w:type="pct"/>
            <w:tcBorders>
              <w:top w:val="single" w:color="000000" w:sz="4" w:space="0"/>
              <w:left w:val="single" w:color="000000" w:sz="4" w:space="0"/>
              <w:bottom w:val="single" w:color="000000" w:sz="4" w:space="0"/>
              <w:right w:val="single" w:color="000000" w:sz="4" w:space="0"/>
            </w:tcBorders>
            <w:vAlign w:val="center"/>
          </w:tcPr>
          <w:p w14:paraId="33763161">
            <w:pPr>
              <w:pStyle w:val="42"/>
              <w:bidi w:val="0"/>
              <w:jc w:val="center"/>
            </w:pPr>
            <w:r>
              <w:t>危险标记</w:t>
            </w:r>
          </w:p>
        </w:tc>
        <w:tc>
          <w:tcPr>
            <w:tcW w:w="829" w:type="pct"/>
            <w:tcBorders>
              <w:top w:val="single" w:color="000000" w:sz="4" w:space="0"/>
              <w:left w:val="single" w:color="000000" w:sz="4" w:space="0"/>
              <w:bottom w:val="single" w:color="000000" w:sz="4" w:space="0"/>
              <w:right w:val="single" w:color="000000" w:sz="12" w:space="0"/>
            </w:tcBorders>
            <w:vAlign w:val="center"/>
          </w:tcPr>
          <w:p w14:paraId="023C9AD4">
            <w:pPr>
              <w:pStyle w:val="42"/>
              <w:bidi w:val="0"/>
              <w:jc w:val="center"/>
            </w:pPr>
            <w:r>
              <w:t>2.1类易燃气体</w:t>
            </w:r>
          </w:p>
        </w:tc>
      </w:tr>
      <w:tr w14:paraId="09DFA4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686F7D74">
            <w:pPr>
              <w:pStyle w:val="42"/>
              <w:bidi w:val="0"/>
              <w:jc w:val="center"/>
            </w:pPr>
            <w:r>
              <w:t>外观性状</w:t>
            </w:r>
          </w:p>
        </w:tc>
        <w:tc>
          <w:tcPr>
            <w:tcW w:w="4173" w:type="pct"/>
            <w:gridSpan w:val="5"/>
            <w:tcBorders>
              <w:top w:val="single" w:color="000000" w:sz="4" w:space="0"/>
              <w:left w:val="single" w:color="000000" w:sz="4" w:space="0"/>
              <w:bottom w:val="single" w:color="000000" w:sz="4" w:space="0"/>
              <w:right w:val="single" w:color="000000" w:sz="12" w:space="0"/>
            </w:tcBorders>
            <w:vAlign w:val="center"/>
          </w:tcPr>
          <w:p w14:paraId="3F5D03C4">
            <w:pPr>
              <w:pStyle w:val="42"/>
              <w:bidi w:val="0"/>
              <w:jc w:val="center"/>
            </w:pPr>
            <w:r>
              <w:t>常温下为无色无气味气体</w:t>
            </w:r>
          </w:p>
        </w:tc>
      </w:tr>
      <w:tr w14:paraId="0F506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4DF17A5D">
            <w:pPr>
              <w:pStyle w:val="42"/>
              <w:bidi w:val="0"/>
              <w:jc w:val="center"/>
            </w:pPr>
            <w:r>
              <w:t>溶解性</w:t>
            </w:r>
          </w:p>
        </w:tc>
        <w:tc>
          <w:tcPr>
            <w:tcW w:w="4173" w:type="pct"/>
            <w:gridSpan w:val="5"/>
            <w:tcBorders>
              <w:top w:val="single" w:color="000000" w:sz="4" w:space="0"/>
              <w:left w:val="single" w:color="000000" w:sz="4" w:space="0"/>
              <w:bottom w:val="single" w:color="000000" w:sz="4" w:space="0"/>
              <w:right w:val="single" w:color="000000" w:sz="12" w:space="0"/>
            </w:tcBorders>
            <w:vAlign w:val="center"/>
          </w:tcPr>
          <w:p w14:paraId="1FB3EFA4">
            <w:pPr>
              <w:pStyle w:val="42"/>
              <w:bidi w:val="0"/>
              <w:jc w:val="center"/>
            </w:pPr>
            <w:r>
              <w:t>极难溶于水</w:t>
            </w:r>
          </w:p>
        </w:tc>
      </w:tr>
      <w:tr w14:paraId="0741B4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2E330E45">
            <w:pPr>
              <w:pStyle w:val="42"/>
              <w:bidi w:val="0"/>
              <w:jc w:val="center"/>
            </w:pPr>
            <w:r>
              <w:t>密度</w:t>
            </w:r>
          </w:p>
        </w:tc>
        <w:tc>
          <w:tcPr>
            <w:tcW w:w="4173" w:type="pct"/>
            <w:gridSpan w:val="5"/>
            <w:tcBorders>
              <w:top w:val="single" w:color="000000" w:sz="4" w:space="0"/>
              <w:left w:val="single" w:color="000000" w:sz="4" w:space="0"/>
              <w:bottom w:val="single" w:color="000000" w:sz="4" w:space="0"/>
              <w:right w:val="single" w:color="000000" w:sz="12" w:space="0"/>
            </w:tcBorders>
            <w:vAlign w:val="center"/>
          </w:tcPr>
          <w:p w14:paraId="3B36CA91">
            <w:pPr>
              <w:pStyle w:val="42"/>
              <w:bidi w:val="0"/>
              <w:jc w:val="center"/>
            </w:pPr>
            <w:r>
              <w:t>相对密度（空气=1）0.42（-164℃);相对密度（空气=1）0.5548（273.15 K、</w:t>
            </w:r>
          </w:p>
          <w:p w14:paraId="5006AFE3">
            <w:pPr>
              <w:pStyle w:val="42"/>
              <w:bidi w:val="0"/>
              <w:jc w:val="center"/>
            </w:pPr>
            <w:r>
              <w:t>101325 Pa）</w:t>
            </w:r>
          </w:p>
        </w:tc>
      </w:tr>
      <w:tr w14:paraId="034EC2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3B52CBFC">
            <w:pPr>
              <w:pStyle w:val="42"/>
              <w:bidi w:val="0"/>
              <w:jc w:val="center"/>
            </w:pPr>
            <w:r>
              <w:t>稳定性</w:t>
            </w:r>
          </w:p>
        </w:tc>
        <w:tc>
          <w:tcPr>
            <w:tcW w:w="4173" w:type="pct"/>
            <w:gridSpan w:val="5"/>
            <w:tcBorders>
              <w:top w:val="single" w:color="000000" w:sz="4" w:space="0"/>
              <w:left w:val="single" w:color="000000" w:sz="4" w:space="0"/>
              <w:bottom w:val="single" w:color="000000" w:sz="4" w:space="0"/>
              <w:right w:val="single" w:color="000000" w:sz="12" w:space="0"/>
            </w:tcBorders>
            <w:vAlign w:val="center"/>
          </w:tcPr>
          <w:p w14:paraId="09EE74CD">
            <w:pPr>
              <w:pStyle w:val="42"/>
              <w:bidi w:val="0"/>
              <w:jc w:val="center"/>
            </w:pPr>
            <w:r>
              <w:t>通常情况下，甲烷比较稳定，与高锰酸钾等强氧化剂不反应，与强酸、强碱也不反应。但是在特定条件下，甲烷也会发生某些反应。</w:t>
            </w:r>
          </w:p>
        </w:tc>
      </w:tr>
      <w:tr w14:paraId="44C275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826" w:type="pct"/>
            <w:tcBorders>
              <w:top w:val="single" w:color="000000" w:sz="4" w:space="0"/>
              <w:left w:val="single" w:color="000000" w:sz="12" w:space="0"/>
              <w:bottom w:val="single" w:color="000000" w:sz="4" w:space="0"/>
              <w:right w:val="single" w:color="000000" w:sz="4" w:space="0"/>
            </w:tcBorders>
            <w:vAlign w:val="center"/>
          </w:tcPr>
          <w:p w14:paraId="04EA3C52">
            <w:pPr>
              <w:pStyle w:val="42"/>
              <w:bidi w:val="0"/>
              <w:jc w:val="center"/>
            </w:pPr>
            <w:r>
              <w:t>健康危害</w:t>
            </w:r>
          </w:p>
        </w:tc>
        <w:tc>
          <w:tcPr>
            <w:tcW w:w="4173" w:type="pct"/>
            <w:gridSpan w:val="5"/>
            <w:tcBorders>
              <w:top w:val="single" w:color="000000" w:sz="4" w:space="0"/>
              <w:left w:val="single" w:color="000000" w:sz="4" w:space="0"/>
              <w:bottom w:val="single" w:color="000000" w:sz="4" w:space="0"/>
              <w:right w:val="single" w:color="000000" w:sz="12" w:space="0"/>
            </w:tcBorders>
            <w:vAlign w:val="center"/>
          </w:tcPr>
          <w:p w14:paraId="616FF9BA">
            <w:pPr>
              <w:pStyle w:val="42"/>
              <w:bidi w:val="0"/>
              <w:jc w:val="center"/>
            </w:pPr>
            <w:r>
              <w:t>甲烷对人基本无毒，但浓度过高时，使空气中氧含量明显降低，使人窒息。当空气中甲烷达25%-30%时，可引起头痛、头晕、乏力、注意力不集中、呼吸和心跳加速、共济失调。若不及时远离，可致窒息死亡。皮肤接触液化的甲烷，可致冻伤。</w:t>
            </w:r>
          </w:p>
        </w:tc>
      </w:tr>
      <w:tr w14:paraId="742939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0" w:hRule="atLeast"/>
        </w:trPr>
        <w:tc>
          <w:tcPr>
            <w:tcW w:w="826" w:type="pct"/>
            <w:tcBorders>
              <w:top w:val="single" w:color="000000" w:sz="4" w:space="0"/>
              <w:left w:val="single" w:color="000000" w:sz="12" w:space="0"/>
              <w:bottom w:val="single" w:color="000000" w:sz="12" w:space="0"/>
              <w:right w:val="single" w:color="000000" w:sz="4" w:space="0"/>
            </w:tcBorders>
            <w:vAlign w:val="center"/>
          </w:tcPr>
          <w:p w14:paraId="7FE2C385">
            <w:pPr>
              <w:pStyle w:val="42"/>
              <w:bidi w:val="0"/>
              <w:jc w:val="center"/>
            </w:pPr>
            <w:r>
              <w:t>危险特性</w:t>
            </w:r>
          </w:p>
        </w:tc>
        <w:tc>
          <w:tcPr>
            <w:tcW w:w="4173" w:type="pct"/>
            <w:gridSpan w:val="5"/>
            <w:tcBorders>
              <w:top w:val="single" w:color="000000" w:sz="4" w:space="0"/>
              <w:left w:val="single" w:color="000000" w:sz="4" w:space="0"/>
              <w:bottom w:val="single" w:color="000000" w:sz="12" w:space="0"/>
              <w:right w:val="single" w:color="000000" w:sz="12" w:space="0"/>
            </w:tcBorders>
            <w:vAlign w:val="center"/>
          </w:tcPr>
          <w:p w14:paraId="68F53AF9">
            <w:pPr>
              <w:pStyle w:val="42"/>
              <w:bidi w:val="0"/>
              <w:jc w:val="center"/>
            </w:pPr>
            <w:r>
              <w:t>易燃，与空气混合能形成爆炸性混合物，遇热源和明火有燃烧爆炸的危险。与五氟化溴、氯气、次氯酸、三氟化氮、液氧、二氟化氧及其它强氧化剂接触反应剧烈。</w:t>
            </w:r>
          </w:p>
          <w:p w14:paraId="4A85613B">
            <w:pPr>
              <w:pStyle w:val="42"/>
              <w:bidi w:val="0"/>
              <w:jc w:val="center"/>
            </w:pPr>
            <w:r>
              <w:t>燃烧（分解）产物：碳（极不完全燃烧）、一氧化碳（不完全燃烧，有害）、二氧化碳和水（完全燃烧）。</w:t>
            </w:r>
          </w:p>
        </w:tc>
      </w:tr>
    </w:tbl>
    <w:p w14:paraId="67B0FD0D">
      <w:pPr>
        <w:pStyle w:val="39"/>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6.4-7</w:t>
      </w:r>
      <w:r>
        <w:rPr>
          <w:rFonts w:hint="default" w:ascii="Times New Roman" w:hAnsi="Times New Roman" w:cs="Times New Roman"/>
          <w:color w:val="auto"/>
          <w:highlight w:val="none"/>
          <w:u w:val="none" w:color="auto"/>
        </w:rPr>
        <w:t xml:space="preserve"> 危险物质数量与临界量的比值一览表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5"/>
        <w:gridCol w:w="1851"/>
        <w:gridCol w:w="1885"/>
        <w:gridCol w:w="1704"/>
        <w:gridCol w:w="1704"/>
      </w:tblGrid>
      <w:tr w14:paraId="78F6DA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noWrap w:val="0"/>
            <w:vAlign w:val="center"/>
          </w:tcPr>
          <w:p w14:paraId="58E93B4C">
            <w:pPr>
              <w:pStyle w:val="42"/>
              <w:keepNext w:val="0"/>
              <w:keepLines w:val="0"/>
              <w:suppressLineNumbers w:val="0"/>
              <w:bidi w:val="0"/>
              <w:spacing w:before="0" w:beforeAutospacing="0" w:after="0" w:afterAutospacing="0"/>
              <w:rPr>
                <w:rFonts w:hint="default"/>
                <w:highlight w:val="none"/>
              </w:rPr>
            </w:pPr>
            <w:r>
              <w:rPr>
                <w:rFonts w:hint="default"/>
                <w:highlight w:val="none"/>
              </w:rPr>
              <w:t>物质名称</w:t>
            </w:r>
          </w:p>
        </w:tc>
        <w:tc>
          <w:tcPr>
            <w:tcW w:w="1086" w:type="pct"/>
            <w:noWrap w:val="0"/>
            <w:vAlign w:val="center"/>
          </w:tcPr>
          <w:p w14:paraId="45230E7E">
            <w:pPr>
              <w:pStyle w:val="42"/>
              <w:keepNext w:val="0"/>
              <w:keepLines w:val="0"/>
              <w:suppressLineNumbers w:val="0"/>
              <w:bidi w:val="0"/>
              <w:spacing w:before="0" w:beforeAutospacing="0" w:after="0" w:afterAutospacing="0"/>
              <w:rPr>
                <w:rFonts w:hint="default"/>
                <w:highlight w:val="none"/>
              </w:rPr>
            </w:pPr>
            <w:r>
              <w:rPr>
                <w:rFonts w:hint="default"/>
                <w:highlight w:val="none"/>
                <w:lang w:eastAsia="zh-CN"/>
              </w:rPr>
              <w:t>最大</w:t>
            </w:r>
            <w:r>
              <w:rPr>
                <w:rFonts w:hint="default"/>
                <w:highlight w:val="none"/>
              </w:rPr>
              <w:t>储存量q（t/a）</w:t>
            </w:r>
          </w:p>
        </w:tc>
        <w:tc>
          <w:tcPr>
            <w:tcW w:w="1105" w:type="pct"/>
            <w:noWrap w:val="0"/>
            <w:vAlign w:val="center"/>
          </w:tcPr>
          <w:p w14:paraId="4A087677">
            <w:pPr>
              <w:pStyle w:val="42"/>
              <w:keepNext w:val="0"/>
              <w:keepLines w:val="0"/>
              <w:suppressLineNumbers w:val="0"/>
              <w:bidi w:val="0"/>
              <w:spacing w:before="0" w:beforeAutospacing="0" w:after="0" w:afterAutospacing="0"/>
              <w:rPr>
                <w:rFonts w:hint="default"/>
                <w:highlight w:val="none"/>
              </w:rPr>
            </w:pPr>
            <w:r>
              <w:rPr>
                <w:rFonts w:hint="default"/>
                <w:highlight w:val="none"/>
              </w:rPr>
              <w:t>临界量Q（t/a）</w:t>
            </w:r>
          </w:p>
        </w:tc>
        <w:tc>
          <w:tcPr>
            <w:tcW w:w="1000" w:type="pct"/>
            <w:noWrap w:val="0"/>
            <w:vAlign w:val="center"/>
          </w:tcPr>
          <w:p w14:paraId="701881CF">
            <w:pPr>
              <w:pStyle w:val="42"/>
              <w:keepNext w:val="0"/>
              <w:keepLines w:val="0"/>
              <w:suppressLineNumbers w:val="0"/>
              <w:bidi w:val="0"/>
              <w:spacing w:before="0" w:beforeAutospacing="0" w:after="0" w:afterAutospacing="0"/>
              <w:rPr>
                <w:rFonts w:hint="default"/>
                <w:highlight w:val="none"/>
              </w:rPr>
            </w:pPr>
            <w:r>
              <w:rPr>
                <w:rFonts w:hint="default"/>
                <w:highlight w:val="none"/>
              </w:rPr>
              <w:t>qi/Qi</w:t>
            </w:r>
          </w:p>
        </w:tc>
        <w:tc>
          <w:tcPr>
            <w:tcW w:w="1000" w:type="pct"/>
            <w:noWrap w:val="0"/>
            <w:vAlign w:val="center"/>
          </w:tcPr>
          <w:p w14:paraId="5E86989F">
            <w:pPr>
              <w:pStyle w:val="42"/>
              <w:keepNext w:val="0"/>
              <w:keepLines w:val="0"/>
              <w:suppressLineNumbers w:val="0"/>
              <w:bidi w:val="0"/>
              <w:spacing w:before="0" w:beforeAutospacing="0" w:after="0" w:afterAutospacing="0"/>
              <w:rPr>
                <w:rFonts w:hint="default"/>
                <w:highlight w:val="none"/>
              </w:rPr>
            </w:pPr>
            <w:r>
              <w:rPr>
                <w:rFonts w:hint="default"/>
                <w:highlight w:val="none"/>
              </w:rPr>
              <w:t>是否重大危险源</w:t>
            </w:r>
          </w:p>
        </w:tc>
      </w:tr>
      <w:tr w14:paraId="1D99F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807" w:type="pct"/>
            <w:shd w:val="clear" w:color="auto" w:fill="auto"/>
            <w:noWrap w:val="0"/>
            <w:vAlign w:val="center"/>
          </w:tcPr>
          <w:p w14:paraId="7581B1B1">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氨</w:t>
            </w:r>
          </w:p>
        </w:tc>
        <w:tc>
          <w:tcPr>
            <w:tcW w:w="1086" w:type="pct"/>
            <w:shd w:val="clear" w:color="auto" w:fill="auto"/>
            <w:noWrap w:val="0"/>
            <w:vAlign w:val="center"/>
          </w:tcPr>
          <w:p w14:paraId="39758988">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0.007710</w:t>
            </w:r>
          </w:p>
        </w:tc>
        <w:tc>
          <w:tcPr>
            <w:tcW w:w="1105" w:type="pct"/>
            <w:shd w:val="clear" w:color="auto" w:fill="auto"/>
            <w:noWrap w:val="0"/>
            <w:vAlign w:val="center"/>
          </w:tcPr>
          <w:p w14:paraId="09A6D956">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5</w:t>
            </w:r>
          </w:p>
        </w:tc>
        <w:tc>
          <w:tcPr>
            <w:tcW w:w="1704" w:type="dxa"/>
            <w:noWrap w:val="0"/>
            <w:vAlign w:val="center"/>
          </w:tcPr>
          <w:p w14:paraId="332971D7">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0.0015420</w:t>
            </w:r>
          </w:p>
        </w:tc>
        <w:tc>
          <w:tcPr>
            <w:tcW w:w="1000" w:type="pct"/>
            <w:noWrap w:val="0"/>
            <w:vAlign w:val="center"/>
          </w:tcPr>
          <w:p w14:paraId="3EBF714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06047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3FEE433E">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硫化氢</w:t>
            </w:r>
          </w:p>
        </w:tc>
        <w:tc>
          <w:tcPr>
            <w:tcW w:w="1086" w:type="pct"/>
            <w:shd w:val="clear" w:color="auto" w:fill="auto"/>
            <w:noWrap w:val="0"/>
            <w:vAlign w:val="center"/>
          </w:tcPr>
          <w:p w14:paraId="6CD68D65">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0.000027</w:t>
            </w:r>
          </w:p>
        </w:tc>
        <w:tc>
          <w:tcPr>
            <w:tcW w:w="1105" w:type="pct"/>
            <w:shd w:val="clear" w:color="auto" w:fill="auto"/>
            <w:noWrap w:val="0"/>
            <w:vAlign w:val="center"/>
          </w:tcPr>
          <w:p w14:paraId="1972D6FC">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2.5</w:t>
            </w:r>
          </w:p>
        </w:tc>
        <w:tc>
          <w:tcPr>
            <w:tcW w:w="1704" w:type="dxa"/>
            <w:noWrap w:val="0"/>
            <w:vAlign w:val="center"/>
          </w:tcPr>
          <w:p w14:paraId="08FC19E4">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0.0000109</w:t>
            </w:r>
          </w:p>
        </w:tc>
        <w:tc>
          <w:tcPr>
            <w:tcW w:w="1000" w:type="pct"/>
            <w:noWrap w:val="0"/>
            <w:vAlign w:val="center"/>
          </w:tcPr>
          <w:p w14:paraId="07EA7B37">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7E7C2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196BB7ED">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甲烷</w:t>
            </w:r>
          </w:p>
        </w:tc>
        <w:tc>
          <w:tcPr>
            <w:tcW w:w="1086" w:type="pct"/>
            <w:shd w:val="clear" w:color="auto" w:fill="auto"/>
            <w:noWrap w:val="0"/>
            <w:vAlign w:val="center"/>
          </w:tcPr>
          <w:p w14:paraId="1A2A5171">
            <w:pPr>
              <w:pStyle w:val="42"/>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lang w:val="en-US" w:eastAsia="zh-CN"/>
              </w:rPr>
              <w:t>0.00072</w:t>
            </w:r>
          </w:p>
        </w:tc>
        <w:tc>
          <w:tcPr>
            <w:tcW w:w="1105" w:type="pct"/>
            <w:shd w:val="clear" w:color="auto" w:fill="auto"/>
            <w:noWrap w:val="0"/>
            <w:vAlign w:val="center"/>
          </w:tcPr>
          <w:p w14:paraId="2A3FA417">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ascii="Times New Roman" w:hAnsi="Times New Roman" w:eastAsia="宋体" w:cs="Times New Roman"/>
                <w:snapToGrid w:val="0"/>
                <w:color w:val="000000"/>
                <w:kern w:val="2"/>
                <w:sz w:val="21"/>
                <w:szCs w:val="21"/>
                <w:highlight w:val="none"/>
                <w:lang w:val="en-US" w:eastAsia="zh-CN" w:bidi="ar-SA"/>
              </w:rPr>
            </w:pPr>
            <w:r>
              <w:rPr>
                <w:rFonts w:hint="default"/>
                <w:highlight w:val="none"/>
              </w:rPr>
              <w:t>10</w:t>
            </w:r>
          </w:p>
        </w:tc>
        <w:tc>
          <w:tcPr>
            <w:tcW w:w="1704" w:type="dxa"/>
            <w:noWrap w:val="0"/>
            <w:vAlign w:val="center"/>
          </w:tcPr>
          <w:p w14:paraId="47CA7DBA">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default"/>
                <w:highlight w:val="none"/>
                <w:lang w:val="en-US" w:eastAsia="zh-CN"/>
              </w:rPr>
              <w:t>0.000072</w:t>
            </w:r>
          </w:p>
        </w:tc>
        <w:tc>
          <w:tcPr>
            <w:tcW w:w="1000" w:type="pct"/>
            <w:noWrap w:val="0"/>
            <w:vAlign w:val="center"/>
          </w:tcPr>
          <w:p w14:paraId="7E77E8A9">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337CAE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noWrap w:val="0"/>
            <w:vAlign w:val="center"/>
          </w:tcPr>
          <w:p w14:paraId="3190EDF6">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危险废物</w:t>
            </w:r>
          </w:p>
        </w:tc>
        <w:tc>
          <w:tcPr>
            <w:tcW w:w="1086" w:type="pct"/>
            <w:shd w:val="clear" w:color="auto" w:fill="auto"/>
            <w:noWrap w:val="0"/>
            <w:vAlign w:val="center"/>
          </w:tcPr>
          <w:p w14:paraId="0A90334B">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0.11</w:t>
            </w:r>
          </w:p>
        </w:tc>
        <w:tc>
          <w:tcPr>
            <w:tcW w:w="1105" w:type="pct"/>
            <w:shd w:val="clear" w:color="auto" w:fill="auto"/>
            <w:noWrap w:val="0"/>
            <w:vAlign w:val="center"/>
          </w:tcPr>
          <w:p w14:paraId="58C17D6D">
            <w:pPr>
              <w:pStyle w:val="42"/>
              <w:keepNext w:val="0"/>
              <w:keepLines w:val="0"/>
              <w:suppressLineNumbers w:val="0"/>
              <w:shd w:val="clear"/>
              <w:bidi w:val="0"/>
              <w:spacing w:before="0" w:beforeAutospacing="0" w:after="0" w:afterAutospacing="0"/>
              <w:ind w:left="0" w:leftChars="0" w:right="0" w:rightChars="0" w:firstLine="0" w:firstLineChars="0"/>
              <w:jc w:val="center"/>
              <w:rPr>
                <w:rFonts w:hint="default" w:eastAsia="宋体"/>
                <w:highlight w:val="none"/>
                <w:lang w:val="en-US" w:eastAsia="zh-CN"/>
              </w:rPr>
            </w:pPr>
            <w:r>
              <w:rPr>
                <w:rFonts w:hint="eastAsia"/>
                <w:highlight w:val="none"/>
                <w:lang w:val="en-US" w:eastAsia="zh-CN"/>
              </w:rPr>
              <w:t>50</w:t>
            </w:r>
          </w:p>
        </w:tc>
        <w:tc>
          <w:tcPr>
            <w:tcW w:w="1704" w:type="dxa"/>
            <w:noWrap w:val="0"/>
            <w:vAlign w:val="center"/>
          </w:tcPr>
          <w:p w14:paraId="47D0CE9F">
            <w:pPr>
              <w:pStyle w:val="42"/>
              <w:keepNext w:val="0"/>
              <w:keepLines w:val="0"/>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0.0022</w:t>
            </w:r>
          </w:p>
        </w:tc>
        <w:tc>
          <w:tcPr>
            <w:tcW w:w="1000" w:type="pct"/>
            <w:noWrap w:val="0"/>
            <w:vAlign w:val="center"/>
          </w:tcPr>
          <w:p w14:paraId="74E6A718">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否</w:t>
            </w:r>
          </w:p>
        </w:tc>
      </w:tr>
      <w:tr w14:paraId="20D950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99" w:type="pct"/>
            <w:gridSpan w:val="3"/>
            <w:noWrap w:val="0"/>
            <w:vAlign w:val="center"/>
          </w:tcPr>
          <w:p w14:paraId="74A6456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eastAsia="zh-CN"/>
              </w:rPr>
              <w:t>合计</w:t>
            </w:r>
          </w:p>
        </w:tc>
        <w:tc>
          <w:tcPr>
            <w:tcW w:w="1000" w:type="pct"/>
            <w:noWrap w:val="0"/>
            <w:vAlign w:val="center"/>
          </w:tcPr>
          <w:p w14:paraId="45350F14">
            <w:pPr>
              <w:pStyle w:val="42"/>
              <w:keepNext w:val="0"/>
              <w:keepLines w:val="0"/>
              <w:suppressLineNumbers w:val="0"/>
              <w:bidi w:val="0"/>
              <w:spacing w:before="0" w:beforeAutospacing="0" w:after="0" w:afterAutospacing="0"/>
              <w:rPr>
                <w:rFonts w:hint="default"/>
                <w:highlight w:val="none"/>
                <w:lang w:val="en-US" w:eastAsia="zh-CN"/>
              </w:rPr>
            </w:pPr>
            <w:r>
              <w:rPr>
                <w:rFonts w:hint="eastAsia"/>
                <w:highlight w:val="none"/>
              </w:rPr>
              <w:t>0.00</w:t>
            </w:r>
            <w:r>
              <w:rPr>
                <w:rFonts w:hint="eastAsia"/>
                <w:highlight w:val="none"/>
                <w:lang w:val="en-US" w:eastAsia="zh-CN"/>
              </w:rPr>
              <w:t>38</w:t>
            </w:r>
            <w:r>
              <w:rPr>
                <w:rFonts w:hint="eastAsia"/>
                <w:highlight w:val="none"/>
              </w:rPr>
              <w:t>249</w:t>
            </w:r>
          </w:p>
        </w:tc>
        <w:tc>
          <w:tcPr>
            <w:tcW w:w="1000" w:type="pct"/>
            <w:noWrap w:val="0"/>
            <w:vAlign w:val="center"/>
          </w:tcPr>
          <w:p w14:paraId="697B8F86">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w:t>
            </w:r>
          </w:p>
        </w:tc>
      </w:tr>
    </w:tbl>
    <w:p w14:paraId="243B3CFA">
      <w:pPr>
        <w:shd w:val="clear"/>
        <w:bidi w:val="0"/>
        <w:rPr>
          <w:rFonts w:hint="default" w:ascii="Times New Roman" w:hAnsi="Times New Roman" w:cs="Times New Roman"/>
          <w:highlight w:val="none"/>
        </w:rPr>
      </w:pPr>
      <w:r>
        <w:rPr>
          <w:rFonts w:hint="default" w:ascii="Times New Roman" w:hAnsi="Times New Roman" w:cs="Times New Roman"/>
          <w:highlight w:val="none"/>
        </w:rPr>
        <w:t>则项目危险物质与其临界量的比值Q=</w:t>
      </w:r>
      <w:r>
        <w:rPr>
          <w:rFonts w:hint="eastAsia" w:ascii="Times New Roman" w:hAnsi="Times New Roman" w:cs="Times New Roman"/>
          <w:highlight w:val="none"/>
          <w:lang w:val="en-US" w:eastAsia="zh-CN"/>
        </w:rPr>
        <w:t>0.0038249</w:t>
      </w:r>
      <w:r>
        <w:rPr>
          <w:rFonts w:hint="default" w:ascii="Times New Roman" w:hAnsi="Times New Roman" w:cs="Times New Roman"/>
          <w:highlight w:val="none"/>
        </w:rPr>
        <w:t>＜1，故环境风险潜势为I。</w:t>
      </w:r>
    </w:p>
    <w:p w14:paraId="084DBAC9">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评价等级确定</w:t>
      </w:r>
    </w:p>
    <w:p w14:paraId="2BB77E6F">
      <w:pP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根据《建设项目环境风险评价技术导则》（HJ 169-2018）中评价工作等级的划分依据，最终确定项目环境风险评价工作等级为进行简单分析。</w:t>
      </w:r>
    </w:p>
    <w:p w14:paraId="7887B2EC">
      <w:pPr>
        <w:pStyle w:val="39"/>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6.4-8</w:t>
      </w:r>
      <w:r>
        <w:rPr>
          <w:rFonts w:hint="default" w:ascii="Times New Roman" w:hAnsi="Times New Roman" w:cs="Times New Roman"/>
          <w:color w:val="auto"/>
          <w:highlight w:val="none"/>
          <w:u w:val="none" w:color="auto"/>
          <w:lang w:val="en-US" w:eastAsia="zh-CN"/>
        </w:rPr>
        <w:t xml:space="preserve"> </w:t>
      </w:r>
      <w:r>
        <w:rPr>
          <w:rFonts w:hint="default" w:ascii="Times New Roman" w:hAnsi="Times New Roman" w:cs="Times New Roman"/>
          <w:color w:val="auto"/>
          <w:highlight w:val="none"/>
          <w:u w:val="none" w:color="auto"/>
        </w:rPr>
        <w:t xml:space="preserve"> 环境风险评价等级划分表</w:t>
      </w:r>
    </w:p>
    <w:tbl>
      <w:tblPr>
        <w:tblStyle w:val="3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3"/>
        <w:gridCol w:w="1703"/>
        <w:gridCol w:w="1703"/>
        <w:gridCol w:w="1705"/>
      </w:tblGrid>
      <w:tr w14:paraId="73E4D7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noWrap w:val="0"/>
            <w:vAlign w:val="center"/>
          </w:tcPr>
          <w:p w14:paraId="7A56C33E">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环境风险潜势</w:t>
            </w:r>
          </w:p>
        </w:tc>
        <w:tc>
          <w:tcPr>
            <w:tcW w:w="999" w:type="pct"/>
            <w:noWrap w:val="0"/>
            <w:vAlign w:val="center"/>
          </w:tcPr>
          <w:p w14:paraId="3891592B">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Ⅳ、Ⅳ+ </w:t>
            </w:r>
          </w:p>
        </w:tc>
        <w:tc>
          <w:tcPr>
            <w:tcW w:w="999" w:type="pct"/>
            <w:noWrap w:val="0"/>
            <w:vAlign w:val="center"/>
          </w:tcPr>
          <w:p w14:paraId="5DC0929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Ⅲ</w:t>
            </w:r>
          </w:p>
        </w:tc>
        <w:tc>
          <w:tcPr>
            <w:tcW w:w="999" w:type="pct"/>
            <w:noWrap w:val="0"/>
            <w:vAlign w:val="center"/>
          </w:tcPr>
          <w:p w14:paraId="711D884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Ⅱ</w:t>
            </w:r>
          </w:p>
        </w:tc>
        <w:tc>
          <w:tcPr>
            <w:tcW w:w="1000" w:type="pct"/>
            <w:noWrap w:val="0"/>
            <w:vAlign w:val="center"/>
          </w:tcPr>
          <w:p w14:paraId="1DA3E7AC">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Ⅰ</w:t>
            </w:r>
          </w:p>
        </w:tc>
      </w:tr>
      <w:tr w14:paraId="730C3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noWrap w:val="0"/>
            <w:vAlign w:val="center"/>
          </w:tcPr>
          <w:p w14:paraId="68BDC4EE">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评价工作等级</w:t>
            </w:r>
          </w:p>
        </w:tc>
        <w:tc>
          <w:tcPr>
            <w:tcW w:w="999" w:type="pct"/>
            <w:noWrap w:val="0"/>
            <w:vAlign w:val="center"/>
          </w:tcPr>
          <w:p w14:paraId="1925C634">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一</w:t>
            </w:r>
          </w:p>
        </w:tc>
        <w:tc>
          <w:tcPr>
            <w:tcW w:w="999" w:type="pct"/>
            <w:noWrap w:val="0"/>
            <w:vAlign w:val="center"/>
          </w:tcPr>
          <w:p w14:paraId="51861073">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二</w:t>
            </w:r>
          </w:p>
        </w:tc>
        <w:tc>
          <w:tcPr>
            <w:tcW w:w="999" w:type="pct"/>
            <w:noWrap w:val="0"/>
            <w:vAlign w:val="center"/>
          </w:tcPr>
          <w:p w14:paraId="0D521561">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三</w:t>
            </w:r>
          </w:p>
        </w:tc>
        <w:tc>
          <w:tcPr>
            <w:tcW w:w="1000" w:type="pct"/>
            <w:noWrap w:val="0"/>
            <w:vAlign w:val="center"/>
          </w:tcPr>
          <w:p w14:paraId="4D0759FF">
            <w:pPr>
              <w:pStyle w:val="43"/>
              <w:keepNext w:val="0"/>
              <w:keepLines w:val="0"/>
              <w:widowControl/>
              <w:suppressLineNumbers w:val="0"/>
              <w:bidi w:val="0"/>
              <w:spacing w:before="0" w:beforeAutospacing="0" w:after="0" w:afterAutospacing="0"/>
              <w:ind w:left="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简单分析*</w:t>
            </w:r>
          </w:p>
        </w:tc>
      </w:tr>
    </w:tbl>
    <w:p w14:paraId="3477A5E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是相对于详细评价工作内容而言，在描述危险物质、环境影响途径、环境危害后果、风险防范措施等方便给出定性的说明，见附录A。</w:t>
      </w:r>
    </w:p>
    <w:p w14:paraId="3925F108">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环境敏感目标概况</w:t>
      </w:r>
    </w:p>
    <w:p w14:paraId="5CDF247B">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环境风险敏感目标详见第二章节中的表2.6-1。</w:t>
      </w:r>
    </w:p>
    <w:p w14:paraId="237D7115">
      <w:pPr>
        <w:pStyle w:val="6"/>
        <w:rPr>
          <w:rFonts w:hint="default" w:ascii="Times New Roman" w:hAnsi="Times New Roman" w:cs="Times New Roman"/>
          <w:color w:val="auto"/>
          <w:highlight w:val="none"/>
          <w:u w:val="none" w:color="auto"/>
        </w:rPr>
      </w:pPr>
      <w:bookmarkStart w:id="168" w:name="_Toc11914790"/>
      <w:r>
        <w:rPr>
          <w:rFonts w:hint="default" w:ascii="Times New Roman" w:hAnsi="Times New Roman" w:cs="Times New Roman"/>
          <w:color w:val="auto"/>
          <w:highlight w:val="none"/>
          <w:u w:val="none" w:color="auto"/>
        </w:rPr>
        <w:t>风险事故源分析</w:t>
      </w:r>
      <w:bookmarkEnd w:id="168"/>
    </w:p>
    <w:p w14:paraId="6352D20E">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涉及的化学物质为易燃性物质，并在不同程度上具有毒性危害。一旦发生易挥发物质泄漏事故，伴随蒸气在空气中传输扩散及发生化学反应的过程，将会对有关区域作业人员、居民及其它人员构成威胁，会对各有关环境圈层造成污染。</w:t>
      </w:r>
    </w:p>
    <w:p w14:paraId="4682098F">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（1）生产装置和工艺</w:t>
      </w:r>
    </w:p>
    <w:p w14:paraId="5C617B82">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本项目属于污水处理项目，项目污水处理过程涉及化学品的使用，生产工艺涉 及危险物质的使用和贮存。污水管网系统可能会发生管道堵塞、破裂和接头处的破损，会造成大量污水外溢，污染地表水和地下水。</w:t>
      </w:r>
    </w:p>
    <w:p w14:paraId="7D9953B1">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（2）储运设施</w:t>
      </w:r>
    </w:p>
    <w:p w14:paraId="2E7A4B38">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厂内、外运输采用汽车运输方式，运输物质大部分为PAC、PAM等低风险的物质，运输过程中可能会发生泄漏等环境风险事故。</w:t>
      </w:r>
    </w:p>
    <w:p w14:paraId="2077D223">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（3）公用工程和辅助生产设施</w:t>
      </w:r>
    </w:p>
    <w:p w14:paraId="4E1B3464">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项目生产过程使用电能，不设置锅炉和热载体炉，无导热油等介质泄漏的风险，辅助生产设施基本上不涉及危险工艺工程和危险物质。若污水处理厂由于停电导致</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设备损坏、污水处理设施运行不正常等，可能会造成大量污水未经处理直接排入</w:t>
      </w:r>
      <w:r>
        <w:rPr>
          <w:rFonts w:hint="eastAsia" w:ascii="Times New Roman" w:hAnsi="Times New Roman" w:cs="Times New Roman"/>
          <w:color w:val="auto"/>
          <w:sz w:val="24"/>
          <w:szCs w:val="24"/>
          <w:highlight w:val="none"/>
          <w:u w:val="none" w:color="auto"/>
          <w:lang w:val="en-US" w:eastAsia="zh-CN"/>
        </w:rPr>
        <w:t>湘阴县</w:t>
      </w:r>
      <w:r>
        <w:rPr>
          <w:rFonts w:hint="default" w:ascii="Times New Roman" w:hAnsi="Times New Roman" w:cs="Times New Roman"/>
          <w:color w:val="auto"/>
          <w:sz w:val="24"/>
          <w:szCs w:val="24"/>
          <w:highlight w:val="none"/>
          <w:u w:val="none" w:color="auto"/>
        </w:rPr>
        <w:t>第二污水处理厂，造成事故污染。</w:t>
      </w:r>
    </w:p>
    <w:p w14:paraId="36795F5F">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（4）环境保护设施</w:t>
      </w:r>
    </w:p>
    <w:p w14:paraId="11AB0059">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环境保护设施包括废水处理设施、废气处理设施、噪声等防治设施。当污水处理设施或臭气处理设施发生故障或运行不正常，会造成废水、臭气的非正常排放，对周边环境质量造成不良影响。</w:t>
      </w:r>
    </w:p>
    <w:p w14:paraId="350FEE8F">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本项目潜在风险事故见下表：</w:t>
      </w:r>
    </w:p>
    <w:p w14:paraId="2022BC95">
      <w:pPr>
        <w:pStyle w:val="39"/>
        <w:bidi w:val="0"/>
        <w:rPr>
          <w:rFonts w:hint="default"/>
          <w:lang w:eastAsia="zh-CN"/>
        </w:rPr>
      </w:pPr>
      <w:r>
        <w:rPr>
          <w:rFonts w:hint="default"/>
          <w:lang w:eastAsia="zh-CN"/>
        </w:rPr>
        <w:t>表6.</w:t>
      </w:r>
      <w:r>
        <w:rPr>
          <w:rFonts w:hint="eastAsia"/>
          <w:lang w:val="en-US" w:eastAsia="zh-CN"/>
        </w:rPr>
        <w:t>5</w:t>
      </w:r>
      <w:r>
        <w:rPr>
          <w:rFonts w:hint="default"/>
          <w:lang w:eastAsia="zh-CN"/>
        </w:rPr>
        <w:t>-</w:t>
      </w:r>
      <w:r>
        <w:rPr>
          <w:rFonts w:hint="eastAsia"/>
          <w:lang w:val="en-US" w:eastAsia="zh-CN"/>
        </w:rPr>
        <w:t>9</w:t>
      </w:r>
      <w:r>
        <w:rPr>
          <w:rFonts w:hint="default"/>
          <w:lang w:eastAsia="zh-CN"/>
        </w:rPr>
        <w:t xml:space="preserve">  潜在风险事故一览表</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42"/>
        <w:gridCol w:w="1462"/>
        <w:gridCol w:w="4210"/>
        <w:gridCol w:w="1619"/>
      </w:tblGrid>
      <w:tr w14:paraId="5CDFDC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625" w:type="pct"/>
            <w:tcBorders>
              <w:tl2br w:val="nil"/>
              <w:tr2bl w:val="nil"/>
            </w:tcBorders>
            <w:vAlign w:val="center"/>
          </w:tcPr>
          <w:p w14:paraId="48619A1E">
            <w:pPr>
              <w:pStyle w:val="42"/>
              <w:bidi w:val="0"/>
              <w:jc w:val="center"/>
            </w:pPr>
            <w:r>
              <w:t>风险物质</w:t>
            </w:r>
          </w:p>
        </w:tc>
        <w:tc>
          <w:tcPr>
            <w:tcW w:w="877" w:type="pct"/>
            <w:tcBorders>
              <w:tl2br w:val="nil"/>
              <w:tr2bl w:val="nil"/>
            </w:tcBorders>
            <w:vAlign w:val="center"/>
          </w:tcPr>
          <w:p w14:paraId="2D0CBBC9">
            <w:pPr>
              <w:pStyle w:val="42"/>
              <w:bidi w:val="0"/>
              <w:jc w:val="center"/>
            </w:pPr>
            <w:r>
              <w:t>潜在事故</w:t>
            </w:r>
          </w:p>
        </w:tc>
        <w:tc>
          <w:tcPr>
            <w:tcW w:w="2525" w:type="pct"/>
            <w:tcBorders>
              <w:tl2br w:val="nil"/>
              <w:tr2bl w:val="nil"/>
            </w:tcBorders>
            <w:vAlign w:val="center"/>
          </w:tcPr>
          <w:p w14:paraId="379AD9BA">
            <w:pPr>
              <w:pStyle w:val="42"/>
              <w:bidi w:val="0"/>
              <w:jc w:val="center"/>
            </w:pPr>
            <w:r>
              <w:t>发生的可能原因</w:t>
            </w:r>
          </w:p>
        </w:tc>
        <w:tc>
          <w:tcPr>
            <w:tcW w:w="971" w:type="pct"/>
            <w:tcBorders>
              <w:tl2br w:val="nil"/>
              <w:tr2bl w:val="nil"/>
            </w:tcBorders>
            <w:vAlign w:val="center"/>
          </w:tcPr>
          <w:p w14:paraId="3573330C">
            <w:pPr>
              <w:pStyle w:val="42"/>
              <w:bidi w:val="0"/>
              <w:jc w:val="center"/>
            </w:pPr>
            <w:r>
              <w:t>环境危害</w:t>
            </w:r>
          </w:p>
        </w:tc>
      </w:tr>
      <w:tr w14:paraId="75C0E6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2" w:hRule="atLeast"/>
        </w:trPr>
        <w:tc>
          <w:tcPr>
            <w:tcW w:w="625" w:type="pct"/>
            <w:vMerge w:val="restart"/>
            <w:tcBorders>
              <w:tl2br w:val="nil"/>
              <w:tr2bl w:val="nil"/>
            </w:tcBorders>
            <w:vAlign w:val="center"/>
          </w:tcPr>
          <w:p w14:paraId="06537619">
            <w:pPr>
              <w:pStyle w:val="42"/>
              <w:bidi w:val="0"/>
              <w:jc w:val="center"/>
            </w:pPr>
            <w:r>
              <w:t>废水</w:t>
            </w:r>
          </w:p>
        </w:tc>
        <w:tc>
          <w:tcPr>
            <w:tcW w:w="877" w:type="pct"/>
            <w:vMerge w:val="restart"/>
            <w:tcBorders>
              <w:tl2br w:val="nil"/>
              <w:tr2bl w:val="nil"/>
            </w:tcBorders>
            <w:vAlign w:val="center"/>
          </w:tcPr>
          <w:p w14:paraId="21D27878">
            <w:pPr>
              <w:pStyle w:val="42"/>
              <w:bidi w:val="0"/>
              <w:jc w:val="center"/>
            </w:pPr>
            <w:r>
              <w:t>污泥膨胀、污水泄漏</w:t>
            </w:r>
          </w:p>
        </w:tc>
        <w:tc>
          <w:tcPr>
            <w:tcW w:w="2525" w:type="pct"/>
            <w:tcBorders>
              <w:tl2br w:val="nil"/>
              <w:tr2bl w:val="nil"/>
            </w:tcBorders>
            <w:vAlign w:val="center"/>
          </w:tcPr>
          <w:p w14:paraId="6059E92C">
            <w:pPr>
              <w:pStyle w:val="42"/>
              <w:bidi w:val="0"/>
              <w:jc w:val="center"/>
            </w:pPr>
            <w:r>
              <w:t>污水管网系统由于管道堵塞、破裂和接头处损坏，会造成大量污水外流入就近水体</w:t>
            </w:r>
          </w:p>
        </w:tc>
        <w:tc>
          <w:tcPr>
            <w:tcW w:w="971" w:type="pct"/>
            <w:vMerge w:val="restart"/>
            <w:tcBorders>
              <w:tl2br w:val="nil"/>
              <w:tr2bl w:val="nil"/>
            </w:tcBorders>
            <w:vAlign w:val="center"/>
          </w:tcPr>
          <w:p w14:paraId="6CD30079">
            <w:pPr>
              <w:pStyle w:val="42"/>
              <w:bidi w:val="0"/>
              <w:jc w:val="center"/>
            </w:pPr>
            <w:r>
              <w:t>对周边环境及居</w:t>
            </w:r>
          </w:p>
          <w:p w14:paraId="25B2637A">
            <w:pPr>
              <w:pStyle w:val="42"/>
              <w:bidi w:val="0"/>
              <w:jc w:val="center"/>
            </w:pPr>
            <w:r>
              <w:t>民健康造成一定</w:t>
            </w:r>
          </w:p>
          <w:p w14:paraId="5A176706">
            <w:pPr>
              <w:pStyle w:val="42"/>
              <w:bidi w:val="0"/>
              <w:jc w:val="center"/>
            </w:pPr>
            <w:r>
              <w:t>影响</w:t>
            </w:r>
          </w:p>
        </w:tc>
      </w:tr>
      <w:tr w14:paraId="689E82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625" w:type="pct"/>
            <w:vMerge w:val="continue"/>
            <w:tcBorders>
              <w:tl2br w:val="nil"/>
              <w:tr2bl w:val="nil"/>
            </w:tcBorders>
            <w:vAlign w:val="center"/>
          </w:tcPr>
          <w:p w14:paraId="23B2EC32">
            <w:pPr>
              <w:pStyle w:val="42"/>
              <w:bidi w:val="0"/>
              <w:jc w:val="center"/>
            </w:pPr>
          </w:p>
        </w:tc>
        <w:tc>
          <w:tcPr>
            <w:tcW w:w="877" w:type="pct"/>
            <w:vMerge w:val="continue"/>
            <w:tcBorders>
              <w:tl2br w:val="nil"/>
              <w:tr2bl w:val="nil"/>
            </w:tcBorders>
            <w:vAlign w:val="center"/>
          </w:tcPr>
          <w:p w14:paraId="2F496674">
            <w:pPr>
              <w:pStyle w:val="42"/>
              <w:bidi w:val="0"/>
              <w:jc w:val="center"/>
            </w:pPr>
          </w:p>
        </w:tc>
        <w:tc>
          <w:tcPr>
            <w:tcW w:w="2525" w:type="pct"/>
            <w:tcBorders>
              <w:tl2br w:val="nil"/>
              <w:tr2bl w:val="nil"/>
            </w:tcBorders>
            <w:vAlign w:val="center"/>
          </w:tcPr>
          <w:p w14:paraId="606ABB23">
            <w:pPr>
              <w:pStyle w:val="42"/>
              <w:bidi w:val="0"/>
              <w:jc w:val="center"/>
            </w:pPr>
            <w:r>
              <w:t>污水处理设施由于停电或机械故障等原因而无</w:t>
            </w:r>
          </w:p>
          <w:p w14:paraId="3073E5BF">
            <w:pPr>
              <w:pStyle w:val="42"/>
              <w:bidi w:val="0"/>
              <w:jc w:val="center"/>
              <w:rPr>
                <w:rFonts w:hint="eastAsia" w:eastAsia="宋体"/>
                <w:lang w:eastAsia="zh-CN"/>
              </w:rPr>
            </w:pPr>
            <w:r>
              <w:t>法运行，导致污水未经处理排至</w:t>
            </w:r>
            <w:r>
              <w:rPr>
                <w:rFonts w:hint="eastAsia"/>
                <w:lang w:eastAsia="zh-CN"/>
              </w:rPr>
              <w:t>湘阴县第二污</w:t>
            </w:r>
          </w:p>
          <w:p w14:paraId="19F360C6">
            <w:pPr>
              <w:pStyle w:val="42"/>
              <w:bidi w:val="0"/>
              <w:jc w:val="center"/>
            </w:pPr>
            <w:r>
              <w:t>水处理厂</w:t>
            </w:r>
          </w:p>
        </w:tc>
        <w:tc>
          <w:tcPr>
            <w:tcW w:w="971" w:type="pct"/>
            <w:vMerge w:val="continue"/>
            <w:tcBorders>
              <w:tl2br w:val="nil"/>
              <w:tr2bl w:val="nil"/>
            </w:tcBorders>
            <w:vAlign w:val="center"/>
          </w:tcPr>
          <w:p w14:paraId="44347056">
            <w:pPr>
              <w:pStyle w:val="42"/>
              <w:bidi w:val="0"/>
              <w:jc w:val="center"/>
            </w:pPr>
          </w:p>
        </w:tc>
      </w:tr>
      <w:tr w14:paraId="19751A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625" w:type="pct"/>
            <w:vMerge w:val="continue"/>
            <w:tcBorders>
              <w:tl2br w:val="nil"/>
              <w:tr2bl w:val="nil"/>
            </w:tcBorders>
            <w:vAlign w:val="center"/>
          </w:tcPr>
          <w:p w14:paraId="3D52D2CE">
            <w:pPr>
              <w:pStyle w:val="42"/>
              <w:bidi w:val="0"/>
              <w:jc w:val="center"/>
            </w:pPr>
          </w:p>
        </w:tc>
        <w:tc>
          <w:tcPr>
            <w:tcW w:w="877" w:type="pct"/>
            <w:vMerge w:val="continue"/>
            <w:tcBorders>
              <w:tl2br w:val="nil"/>
              <w:tr2bl w:val="nil"/>
            </w:tcBorders>
            <w:vAlign w:val="center"/>
          </w:tcPr>
          <w:p w14:paraId="4CD0BCB4">
            <w:pPr>
              <w:pStyle w:val="42"/>
              <w:bidi w:val="0"/>
              <w:jc w:val="center"/>
            </w:pPr>
          </w:p>
        </w:tc>
        <w:tc>
          <w:tcPr>
            <w:tcW w:w="2525" w:type="pct"/>
            <w:tcBorders>
              <w:tl2br w:val="nil"/>
              <w:tr2bl w:val="nil"/>
            </w:tcBorders>
            <w:vAlign w:val="center"/>
          </w:tcPr>
          <w:p w14:paraId="2DE64C02">
            <w:pPr>
              <w:pStyle w:val="42"/>
              <w:bidi w:val="0"/>
              <w:jc w:val="center"/>
            </w:pPr>
            <w:r>
              <w:t>污水泵站由于长时间停电或污水水泵损坏，排水不畅时易引起污水满溢外排</w:t>
            </w:r>
          </w:p>
        </w:tc>
        <w:tc>
          <w:tcPr>
            <w:tcW w:w="971" w:type="pct"/>
            <w:vMerge w:val="continue"/>
            <w:tcBorders>
              <w:tl2br w:val="nil"/>
              <w:tr2bl w:val="nil"/>
            </w:tcBorders>
            <w:vAlign w:val="center"/>
          </w:tcPr>
          <w:p w14:paraId="260D3E58">
            <w:pPr>
              <w:pStyle w:val="42"/>
              <w:bidi w:val="0"/>
              <w:jc w:val="center"/>
            </w:pPr>
          </w:p>
        </w:tc>
      </w:tr>
      <w:tr w14:paraId="5897A3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625" w:type="pct"/>
            <w:vMerge w:val="restart"/>
            <w:tcBorders>
              <w:tl2br w:val="nil"/>
              <w:tr2bl w:val="nil"/>
            </w:tcBorders>
            <w:vAlign w:val="center"/>
          </w:tcPr>
          <w:p w14:paraId="5E277E82">
            <w:pPr>
              <w:pStyle w:val="42"/>
              <w:bidi w:val="0"/>
              <w:jc w:val="center"/>
            </w:pPr>
            <w:r>
              <w:t>废气</w:t>
            </w:r>
          </w:p>
        </w:tc>
        <w:tc>
          <w:tcPr>
            <w:tcW w:w="877" w:type="pct"/>
            <w:vMerge w:val="restart"/>
            <w:tcBorders>
              <w:tl2br w:val="nil"/>
              <w:tr2bl w:val="nil"/>
            </w:tcBorders>
            <w:vAlign w:val="center"/>
          </w:tcPr>
          <w:p w14:paraId="450FB63E">
            <w:pPr>
              <w:pStyle w:val="42"/>
              <w:bidi w:val="0"/>
              <w:jc w:val="center"/>
            </w:pPr>
            <w:r>
              <w:t>恶臭泄露</w:t>
            </w:r>
          </w:p>
        </w:tc>
        <w:tc>
          <w:tcPr>
            <w:tcW w:w="2525" w:type="pct"/>
            <w:tcBorders>
              <w:tl2br w:val="nil"/>
              <w:tr2bl w:val="nil"/>
            </w:tcBorders>
            <w:vAlign w:val="center"/>
          </w:tcPr>
          <w:p w14:paraId="15FE97AC">
            <w:pPr>
              <w:pStyle w:val="42"/>
              <w:bidi w:val="0"/>
              <w:jc w:val="center"/>
            </w:pPr>
            <w:r>
              <w:t>地下空间臭气抽排系统故障造成臭气外溢，或臭气处理装置运行不正常，造成臭气处理系统的非正常排放，对周边环境质量造成不良影响</w:t>
            </w:r>
          </w:p>
        </w:tc>
        <w:tc>
          <w:tcPr>
            <w:tcW w:w="971" w:type="pct"/>
            <w:vMerge w:val="continue"/>
            <w:tcBorders>
              <w:tl2br w:val="nil"/>
              <w:tr2bl w:val="nil"/>
            </w:tcBorders>
            <w:vAlign w:val="center"/>
          </w:tcPr>
          <w:p w14:paraId="7D6100B2">
            <w:pPr>
              <w:pStyle w:val="42"/>
              <w:bidi w:val="0"/>
              <w:jc w:val="center"/>
            </w:pPr>
          </w:p>
        </w:tc>
      </w:tr>
      <w:tr w14:paraId="077E65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625" w:type="pct"/>
            <w:vMerge w:val="continue"/>
            <w:tcBorders>
              <w:tl2br w:val="nil"/>
              <w:tr2bl w:val="nil"/>
            </w:tcBorders>
            <w:vAlign w:val="center"/>
          </w:tcPr>
          <w:p w14:paraId="6A8689E2">
            <w:pPr>
              <w:pStyle w:val="42"/>
              <w:bidi w:val="0"/>
              <w:jc w:val="center"/>
            </w:pPr>
          </w:p>
        </w:tc>
        <w:tc>
          <w:tcPr>
            <w:tcW w:w="877" w:type="pct"/>
            <w:vMerge w:val="continue"/>
            <w:tcBorders>
              <w:tl2br w:val="nil"/>
              <w:tr2bl w:val="nil"/>
            </w:tcBorders>
            <w:vAlign w:val="center"/>
          </w:tcPr>
          <w:p w14:paraId="553ED788">
            <w:pPr>
              <w:pStyle w:val="42"/>
              <w:bidi w:val="0"/>
              <w:jc w:val="center"/>
            </w:pPr>
          </w:p>
        </w:tc>
        <w:tc>
          <w:tcPr>
            <w:tcW w:w="2525" w:type="pct"/>
            <w:tcBorders>
              <w:tl2br w:val="nil"/>
              <w:tr2bl w:val="nil"/>
            </w:tcBorders>
            <w:vAlign w:val="center"/>
          </w:tcPr>
          <w:p w14:paraId="410268DB">
            <w:pPr>
              <w:pStyle w:val="42"/>
              <w:bidi w:val="0"/>
              <w:jc w:val="center"/>
            </w:pPr>
            <w:r>
              <w:t>污泥处理系统的设备发生故障，污泥不能及时</w:t>
            </w:r>
          </w:p>
          <w:p w14:paraId="24B2C3EA">
            <w:pPr>
              <w:pStyle w:val="42"/>
              <w:bidi w:val="0"/>
              <w:jc w:val="center"/>
            </w:pPr>
            <w:r>
              <w:t>脱水外运，引起污泥发酵，贮泥池爆满，散发</w:t>
            </w:r>
          </w:p>
          <w:p w14:paraId="4BB6AE60">
            <w:pPr>
              <w:pStyle w:val="42"/>
              <w:bidi w:val="0"/>
              <w:jc w:val="center"/>
            </w:pPr>
            <w:r>
              <w:t>恶臭</w:t>
            </w:r>
          </w:p>
        </w:tc>
        <w:tc>
          <w:tcPr>
            <w:tcW w:w="971" w:type="pct"/>
            <w:vMerge w:val="continue"/>
            <w:tcBorders>
              <w:tl2br w:val="nil"/>
              <w:tr2bl w:val="nil"/>
            </w:tcBorders>
            <w:vAlign w:val="center"/>
          </w:tcPr>
          <w:p w14:paraId="69B0DBD0">
            <w:pPr>
              <w:pStyle w:val="42"/>
              <w:bidi w:val="0"/>
              <w:jc w:val="center"/>
            </w:pPr>
          </w:p>
        </w:tc>
      </w:tr>
      <w:tr w14:paraId="04F253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625" w:type="pct"/>
            <w:tcBorders>
              <w:tl2br w:val="nil"/>
              <w:tr2bl w:val="nil"/>
            </w:tcBorders>
            <w:vAlign w:val="center"/>
          </w:tcPr>
          <w:p w14:paraId="4E30E213">
            <w:pPr>
              <w:pStyle w:val="42"/>
              <w:bidi w:val="0"/>
              <w:jc w:val="center"/>
            </w:pPr>
            <w:r>
              <w:t>化学品</w:t>
            </w:r>
          </w:p>
        </w:tc>
        <w:tc>
          <w:tcPr>
            <w:tcW w:w="877" w:type="pct"/>
            <w:tcBorders>
              <w:tl2br w:val="nil"/>
              <w:tr2bl w:val="nil"/>
            </w:tcBorders>
            <w:vAlign w:val="center"/>
          </w:tcPr>
          <w:p w14:paraId="6B2A87F5">
            <w:pPr>
              <w:pStyle w:val="42"/>
              <w:bidi w:val="0"/>
              <w:jc w:val="center"/>
            </w:pPr>
            <w:r>
              <w:t>化学品泄漏</w:t>
            </w:r>
          </w:p>
        </w:tc>
        <w:tc>
          <w:tcPr>
            <w:tcW w:w="2525" w:type="pct"/>
            <w:tcBorders>
              <w:tl2br w:val="nil"/>
              <w:tr2bl w:val="nil"/>
            </w:tcBorders>
            <w:vAlign w:val="center"/>
          </w:tcPr>
          <w:p w14:paraId="6069C825">
            <w:pPr>
              <w:pStyle w:val="42"/>
              <w:bidi w:val="0"/>
              <w:jc w:val="center"/>
            </w:pPr>
            <w:r>
              <w:t>运输和贮存过程中化学品包装破损导致泄漏</w:t>
            </w:r>
          </w:p>
        </w:tc>
        <w:tc>
          <w:tcPr>
            <w:tcW w:w="971" w:type="pct"/>
            <w:vMerge w:val="continue"/>
            <w:tcBorders>
              <w:tl2br w:val="nil"/>
              <w:tr2bl w:val="nil"/>
            </w:tcBorders>
            <w:vAlign w:val="center"/>
          </w:tcPr>
          <w:p w14:paraId="6224DB14">
            <w:pPr>
              <w:pStyle w:val="42"/>
              <w:bidi w:val="0"/>
              <w:jc w:val="center"/>
            </w:pPr>
          </w:p>
        </w:tc>
      </w:tr>
    </w:tbl>
    <w:p w14:paraId="606059FC">
      <w:pPr>
        <w:pStyle w:val="39"/>
        <w:bidi w:val="0"/>
        <w:rPr>
          <w:rFonts w:hint="default"/>
          <w:lang w:eastAsia="zh-CN"/>
        </w:rPr>
      </w:pPr>
    </w:p>
    <w:p w14:paraId="0CE1DDB4">
      <w:pPr>
        <w:pStyle w:val="6"/>
        <w:rPr>
          <w:rFonts w:hint="default" w:ascii="Times New Roman" w:hAnsi="Times New Roman" w:cs="Times New Roman"/>
          <w:color w:val="auto"/>
          <w:highlight w:val="none"/>
          <w:u w:val="none" w:color="auto"/>
        </w:rPr>
      </w:pPr>
      <w:bookmarkStart w:id="169" w:name="_Toc11914791"/>
      <w:r>
        <w:rPr>
          <w:rFonts w:hint="default" w:ascii="Times New Roman" w:hAnsi="Times New Roman" w:cs="Times New Roman"/>
          <w:color w:val="auto"/>
          <w:highlight w:val="none"/>
          <w:u w:val="none" w:color="auto"/>
        </w:rPr>
        <w:t>环境风险影响预测与评价</w:t>
      </w:r>
      <w:bookmarkEnd w:id="169"/>
    </w:p>
    <w:p w14:paraId="1D7E1AF0">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污水事故排放环境风险分析</w:t>
      </w:r>
    </w:p>
    <w:p w14:paraId="18B4CC51">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（1）污水处理系统运行异常风险</w:t>
      </w:r>
    </w:p>
    <w:p w14:paraId="339BF727">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污水处理系统在运行过程中，发生设备故障、进水水质超标、污泥膨胀等事故均可能造成污水事故排放，导致污水处理系统运行效果不佳，尾水超标排放，大量未经处理或处理不达标的污水排入</w:t>
      </w:r>
      <w:r>
        <w:rPr>
          <w:rFonts w:hint="eastAsia" w:ascii="Times New Roman" w:hAnsi="Times New Roman" w:cs="Times New Roman"/>
          <w:color w:val="auto"/>
          <w:sz w:val="24"/>
          <w:szCs w:val="24"/>
          <w:highlight w:val="none"/>
          <w:u w:val="none" w:color="auto"/>
          <w:lang w:eastAsia="zh-CN"/>
        </w:rPr>
        <w:t>湘阴县第二</w:t>
      </w:r>
      <w:r>
        <w:rPr>
          <w:rFonts w:hint="default" w:ascii="Times New Roman" w:hAnsi="Times New Roman" w:cs="Times New Roman"/>
          <w:color w:val="auto"/>
          <w:sz w:val="24"/>
          <w:szCs w:val="24"/>
          <w:highlight w:val="none"/>
          <w:u w:val="none" w:color="auto"/>
        </w:rPr>
        <w:t>污水处理厂，冲击</w:t>
      </w:r>
      <w:r>
        <w:rPr>
          <w:rFonts w:hint="eastAsia" w:ascii="Times New Roman" w:hAnsi="Times New Roman" w:cs="Times New Roman"/>
          <w:color w:val="auto"/>
          <w:sz w:val="24"/>
          <w:szCs w:val="24"/>
          <w:highlight w:val="none"/>
          <w:u w:val="none" w:color="auto"/>
          <w:lang w:eastAsia="zh-CN"/>
        </w:rPr>
        <w:t>湘阴县第二</w:t>
      </w:r>
      <w:r>
        <w:rPr>
          <w:rFonts w:hint="default" w:ascii="Times New Roman" w:hAnsi="Times New Roman" w:cs="Times New Roman"/>
          <w:color w:val="auto"/>
          <w:sz w:val="24"/>
          <w:szCs w:val="24"/>
          <w:highlight w:val="none"/>
          <w:u w:val="none" w:color="auto"/>
        </w:rPr>
        <w:t>污水处理厂的运行。</w:t>
      </w:r>
    </w:p>
    <w:p w14:paraId="472EF5AB">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pH值、COD、</w:t>
      </w:r>
      <w:r>
        <w:rPr>
          <w:rFonts w:hint="eastAsia" w:ascii="Times New Roman" w:hAnsi="Times New Roman" w:cs="Times New Roman"/>
          <w:color w:val="auto"/>
          <w:sz w:val="24"/>
          <w:szCs w:val="24"/>
          <w:highlight w:val="none"/>
          <w:u w:val="none" w:color="auto"/>
          <w:lang w:eastAsia="zh-CN"/>
        </w:rPr>
        <w:t>BOD</w:t>
      </w:r>
      <w:r>
        <w:rPr>
          <w:rFonts w:hint="eastAsia" w:ascii="Times New Roman" w:hAnsi="Times New Roman" w:cs="Times New Roman"/>
          <w:color w:val="auto"/>
          <w:sz w:val="24"/>
          <w:szCs w:val="24"/>
          <w:highlight w:val="none"/>
          <w:u w:val="none" w:color="auto"/>
          <w:vertAlign w:val="subscript"/>
          <w:lang w:eastAsia="zh-CN"/>
        </w:rPr>
        <w:t>5</w:t>
      </w:r>
      <w:r>
        <w:rPr>
          <w:rFonts w:hint="default" w:ascii="Times New Roman" w:hAnsi="Times New Roman" w:cs="Times New Roman"/>
          <w:color w:val="auto"/>
          <w:sz w:val="24"/>
          <w:szCs w:val="24"/>
          <w:highlight w:val="none"/>
          <w:u w:val="none" w:color="auto"/>
        </w:rPr>
        <w:t>、SS、总氮、总磷，这些指标的异常可能会对污水处理厂的生物处理和化学处理过程产生不利影响。例如，pH值过高或过低会影响微生物的正常生长，COD浓度过高会导致碳氮比失衡，氨氮浓度过高会抑制硝化菌，进而影响脱氮效率，尤其是SS、TP两项指标过高，会对生化处理系统造成较大的冲击，出水水</w:t>
      </w:r>
    </w:p>
    <w:p w14:paraId="4188B3F9">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质难以达到排放标准；并且受管网来水水质影响，需投加大量的化学药剂调节处理（如酸性废水投加液碱调节PH值、生化池出水投加PAC助凝沉淀和除磷），导致污水处理厂运营成本明显增加。</w:t>
      </w:r>
    </w:p>
    <w:p w14:paraId="4E535DC9">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在进水泵房和尾水排放口设置了在线监测装置，及时监控进、出水水质。当进水超标时，可采取措施调整工况，或进行源头控制，将超标废水泵入应急调节池内，待事故解除后，再排入废水处理工程处理。当发现尾水超标时，关闭尾水阀门，将超标出水通过管道泵到事故池（调节池旁边，值班室和风机房地下）或应急调节池内暂存，待事故解除后，再排入废水处理工程处理。通过上述截留措施，可将超标废水控制在厂内，进入外环境的超标水量很小。</w:t>
      </w:r>
    </w:p>
    <w:p w14:paraId="6C9104EC">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（2）电力及设备故障引起的事故风险</w:t>
      </w:r>
    </w:p>
    <w:p w14:paraId="3EF0D8B3">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项目运行后，一旦出现机械设施或电力故障即会造成污水处理系统和污泥处理 设施不能正常运行，导致部分或全部污水无法经过有效处理直接外排；同时，污水处理过程中的活性污泥是经过长时间培养驯化而成的，长时间停电，活性污泥会缺氧窒息而死，从而导致工艺环节遭到破坏，尾水超标排放，且恢复污水处理的工艺过程，重新培养驯化活性污泥需要很长时间。</w:t>
      </w:r>
    </w:p>
    <w:p w14:paraId="42888632">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另外，由于长时间停电，水泵站无法正常运行，导致排水不畅而造成大量污水外溢，污染地表水环境及地下水环境。</w:t>
      </w:r>
    </w:p>
    <w:p w14:paraId="3BCE8A42">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在以上情况导致项目污水非正常外排时，根据地表水预测章节，在项目发生污水事故时，最不利情况下，处理系统完全失效，污水未经处理直排入</w:t>
      </w:r>
      <w:r>
        <w:rPr>
          <w:rFonts w:hint="eastAsia" w:ascii="Times New Roman" w:hAnsi="Times New Roman" w:cs="Times New Roman"/>
          <w:color w:val="auto"/>
          <w:sz w:val="24"/>
          <w:szCs w:val="24"/>
          <w:highlight w:val="none"/>
          <w:u w:val="none" w:color="auto"/>
          <w:lang w:eastAsia="zh-CN"/>
        </w:rPr>
        <w:t>湘阴县第二</w:t>
      </w:r>
      <w:r>
        <w:rPr>
          <w:rFonts w:hint="default" w:ascii="Times New Roman" w:hAnsi="Times New Roman" w:cs="Times New Roman"/>
          <w:color w:val="auto"/>
          <w:sz w:val="24"/>
          <w:szCs w:val="24"/>
          <w:highlight w:val="none"/>
          <w:u w:val="none" w:color="auto"/>
          <w:lang w:eastAsia="zh-CN"/>
        </w:rPr>
        <w:t>污水处理厂。</w:t>
      </w:r>
    </w:p>
    <w:p w14:paraId="75181401">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恶臭泄漏环境风险分析</w:t>
      </w:r>
    </w:p>
    <w:p w14:paraId="6E7DEB75">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（1）恶臭气体收集、处理设施运行异常风险</w:t>
      </w:r>
    </w:p>
    <w:p w14:paraId="0115E604">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本项目除臭单元主要包括</w:t>
      </w:r>
      <w:r>
        <w:rPr>
          <w:rFonts w:hint="eastAsia" w:ascii="Times New Roman" w:hAnsi="Times New Roman" w:cs="Times New Roman"/>
          <w:color w:val="auto"/>
          <w:sz w:val="24"/>
          <w:szCs w:val="24"/>
          <w:highlight w:val="none"/>
          <w:u w:val="none" w:color="auto"/>
          <w:lang w:val="en-US" w:eastAsia="zh-CN"/>
        </w:rPr>
        <w:t>微滤</w:t>
      </w:r>
      <w:r>
        <w:rPr>
          <w:rFonts w:hint="default" w:ascii="Times New Roman" w:hAnsi="Times New Roman" w:cs="Times New Roman"/>
          <w:color w:val="auto"/>
          <w:sz w:val="24"/>
          <w:szCs w:val="24"/>
          <w:highlight w:val="none"/>
          <w:u w:val="none" w:color="auto"/>
          <w:lang w:eastAsia="zh-CN"/>
        </w:rPr>
        <w:t>及隔油池、调节池、生化池、污泥池、污泥脱水间等。</w:t>
      </w:r>
    </w:p>
    <w:p w14:paraId="3A735283">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为了减少臭气对周围环境的影响，为了减少臭气总量，本项目对产生臭气的构筑物（</w:t>
      </w:r>
      <w:r>
        <w:rPr>
          <w:rFonts w:hint="eastAsia" w:ascii="Times New Roman" w:hAnsi="Times New Roman" w:cs="Times New Roman"/>
          <w:color w:val="auto"/>
          <w:sz w:val="24"/>
          <w:szCs w:val="24"/>
          <w:highlight w:val="none"/>
          <w:u w:val="none" w:color="auto"/>
          <w:lang w:val="en-US" w:eastAsia="zh-CN"/>
        </w:rPr>
        <w:t>微滤</w:t>
      </w:r>
      <w:r>
        <w:rPr>
          <w:rFonts w:hint="default" w:ascii="Times New Roman" w:hAnsi="Times New Roman" w:cs="Times New Roman"/>
          <w:color w:val="auto"/>
          <w:sz w:val="24"/>
          <w:szCs w:val="24"/>
          <w:highlight w:val="none"/>
          <w:u w:val="none" w:color="auto"/>
          <w:lang w:eastAsia="zh-CN"/>
        </w:rPr>
        <w:t>、调节池、污泥池）采取封闭措施，</w:t>
      </w:r>
      <w:r>
        <w:rPr>
          <w:rFonts w:hint="eastAsia" w:ascii="Times New Roman" w:hAnsi="Times New Roman" w:cs="Times New Roman"/>
          <w:color w:val="auto"/>
          <w:sz w:val="24"/>
          <w:szCs w:val="24"/>
          <w:highlight w:val="none"/>
          <w:u w:val="none" w:color="auto"/>
          <w:lang w:val="en-US" w:eastAsia="zh-CN"/>
        </w:rPr>
        <w:t>隔油池加盖，</w:t>
      </w:r>
      <w:r>
        <w:rPr>
          <w:rFonts w:hint="default" w:ascii="Times New Roman" w:hAnsi="Times New Roman" w:cs="Times New Roman"/>
          <w:color w:val="auto"/>
          <w:sz w:val="24"/>
          <w:szCs w:val="24"/>
          <w:highlight w:val="none"/>
          <w:u w:val="none" w:color="auto"/>
          <w:lang w:eastAsia="zh-CN"/>
        </w:rPr>
        <w:t>污泥脱水间半封闭，其内部臭气通过抽气风机形成微负压状态，臭气通过管道送至除臭设备处理。</w:t>
      </w:r>
    </w:p>
    <w:p w14:paraId="57171650">
      <w:pPr>
        <w:ind w:firstLine="480"/>
        <w:jc w:val="left"/>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本项目选用“二级喷淋塔+生物滤池”系统，处理所收集的臭气，经臭气处理系统处理后的臭气将通过管道输送至15米高排放筒排放。</w:t>
      </w:r>
    </w:p>
    <w:p w14:paraId="2C43E1A1">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若除臭措施发生故障，除臭系统收</w:t>
      </w:r>
      <w:r>
        <w:rPr>
          <w:rFonts w:hint="default" w:ascii="Times New Roman" w:hAnsi="Times New Roman" w:cs="Times New Roman"/>
          <w:color w:val="auto"/>
          <w:sz w:val="24"/>
          <w:szCs w:val="24"/>
          <w:highlight w:val="none"/>
          <w:u w:val="none" w:color="auto"/>
          <w:lang w:eastAsia="zh-CN"/>
        </w:rPr>
        <w:t>集的臭气未经处理直接扩散至周边大气环境，会对项目周边环境产生明显影响。建设单位必须加强除臭设备运行管理和维护，尽可能避免项目恶臭事故排放。</w:t>
      </w:r>
    </w:p>
    <w:p w14:paraId="2520BEB8">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（2）污泥处理系统运行异常风险</w:t>
      </w:r>
    </w:p>
    <w:p w14:paraId="431D9B5F">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本项目每天将产生约1t的污泥（含水率≤80%），当污泥浓缩处理工段出现异常，污泥不能及时脱水外运，污泥浓缩池的污泥储存时间较长，会造成污泥发酵，臭气散发；或污泥脱水间脱水设备出现故障、异常、失效，导致污泥处理系统非正常运行，污泥不能及时脱水外运，造成污泥脱水间空气中有毒有害气体和臭气浓度升高，严重时还会对周边企业及居民大气环境造成影响。</w:t>
      </w:r>
    </w:p>
    <w:p w14:paraId="12203AB9">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（3）电力及设备故障引起的事故风险</w:t>
      </w:r>
    </w:p>
    <w:p w14:paraId="2680E4D6">
      <w:pPr>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项目运行后，一旦出现机械设施或电力故障即会造成污泥处理设施不能正常运行，导致污泥不能及时脱水处理，引起污泥发酵，散发恶臭。同时臭气收集设备无法运行，则恶臭气体难以收集，散发出来会对周围人群产生一定的影响。</w:t>
      </w:r>
    </w:p>
    <w:p w14:paraId="02214EC5">
      <w:pPr>
        <w:pStyle w:val="7"/>
        <w:bidi w:val="0"/>
        <w:rPr>
          <w:rFonts w:hint="default"/>
          <w:lang w:eastAsia="zh-CN"/>
        </w:rPr>
      </w:pPr>
      <w:r>
        <w:rPr>
          <w:rFonts w:hint="default"/>
          <w:lang w:eastAsia="zh-CN"/>
        </w:rPr>
        <w:t>化学品</w:t>
      </w:r>
      <w:r>
        <w:rPr>
          <w:rFonts w:hint="eastAsia"/>
          <w:lang w:val="en-US" w:eastAsia="zh-CN"/>
        </w:rPr>
        <w:t>及危险废物</w:t>
      </w:r>
      <w:r>
        <w:rPr>
          <w:rFonts w:hint="default"/>
          <w:lang w:eastAsia="zh-CN"/>
        </w:rPr>
        <w:t>泄漏环境风险分析</w:t>
      </w:r>
    </w:p>
    <w:p w14:paraId="37FABA65">
      <w:pPr>
        <w:rPr>
          <w:rFonts w:hint="default"/>
          <w:highlight w:val="none"/>
          <w:lang w:eastAsia="zh-CN"/>
        </w:rPr>
      </w:pPr>
      <w:r>
        <w:rPr>
          <w:rFonts w:hint="default"/>
          <w:lang w:eastAsia="zh-CN"/>
        </w:rPr>
        <w:t>本项目使用的化学品主要有PAM、PAC、NaOH等</w:t>
      </w:r>
      <w:r>
        <w:rPr>
          <w:rFonts w:hint="eastAsia"/>
          <w:lang w:eastAsia="zh-CN"/>
        </w:rPr>
        <w:t>，</w:t>
      </w:r>
      <w:r>
        <w:rPr>
          <w:rFonts w:hint="eastAsia"/>
          <w:lang w:val="en-US" w:eastAsia="zh-CN"/>
        </w:rPr>
        <w:t>另外本项目还产生废矿物油类危险废物</w:t>
      </w:r>
      <w:r>
        <w:rPr>
          <w:rFonts w:hint="default"/>
          <w:lang w:eastAsia="zh-CN"/>
        </w:rPr>
        <w:t>。这些化学品</w:t>
      </w:r>
      <w:r>
        <w:rPr>
          <w:rFonts w:hint="eastAsia"/>
          <w:lang w:val="en-US" w:eastAsia="zh-CN"/>
        </w:rPr>
        <w:t>及危险废物</w:t>
      </w:r>
      <w:r>
        <w:rPr>
          <w:rFonts w:hint="default"/>
          <w:lang w:eastAsia="zh-CN"/>
        </w:rPr>
        <w:t>对环境和人体均有不同程度的危害，在运输、储存和使用过程中一旦发生泄漏，会污染事故地周边的地表水、土壤、空气，甚至污染当地地下水和腐蚀建筑物等。PAM、PAC、NaOH</w:t>
      </w:r>
      <w:r>
        <w:rPr>
          <w:rFonts w:hint="eastAsia"/>
          <w:lang w:eastAsia="zh-CN"/>
        </w:rPr>
        <w:t>、</w:t>
      </w:r>
      <w:r>
        <w:rPr>
          <w:rFonts w:hint="eastAsia"/>
          <w:lang w:val="en-US" w:eastAsia="zh-CN"/>
        </w:rPr>
        <w:t>危险废物</w:t>
      </w:r>
      <w:r>
        <w:rPr>
          <w:rFonts w:hint="default"/>
          <w:lang w:eastAsia="zh-CN"/>
        </w:rPr>
        <w:t>等泄漏进入地表水体，会导</w:t>
      </w:r>
      <w:r>
        <w:rPr>
          <w:rFonts w:hint="default"/>
          <w:highlight w:val="none"/>
          <w:lang w:eastAsia="zh-CN"/>
        </w:rPr>
        <w:t>致水中铁、铝、钠、钾、磷等元素含量升高，泄漏严重时可能导致水生生物死亡。</w:t>
      </w:r>
    </w:p>
    <w:p w14:paraId="1B544CC3">
      <w:pPr>
        <w:pStyle w:val="6"/>
        <w:rPr>
          <w:rFonts w:hint="default" w:ascii="Times New Roman" w:hAnsi="Times New Roman" w:cs="Times New Roman"/>
          <w:color w:val="auto"/>
          <w:highlight w:val="none"/>
          <w:u w:val="none" w:color="auto"/>
        </w:rPr>
      </w:pPr>
      <w:bookmarkStart w:id="170" w:name="_Toc11914792"/>
      <w:r>
        <w:rPr>
          <w:rFonts w:hint="default" w:ascii="Times New Roman" w:hAnsi="Times New Roman" w:cs="Times New Roman"/>
          <w:color w:val="auto"/>
          <w:highlight w:val="none"/>
          <w:u w:val="none" w:color="auto"/>
        </w:rPr>
        <w:t>环境风险防范措施</w:t>
      </w:r>
      <w:bookmarkEnd w:id="170"/>
    </w:p>
    <w:p w14:paraId="60C2E492">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了减少废气事故性排放对环境产生的影响，从分析可能造成事故性排放的环节和原因入手，从设计、施工和运行过程中全面周密考虑：在施工时，严格按设计要求，保证质量，消除事故隐患；在生产期间，明确环保岗位目标责任制，建立完善环境保护管理制度，重点监控废气处理系统，制定相应设施操作程序，加强安全生产日常管理，确保环保设施长期有效地运行。</w:t>
      </w:r>
    </w:p>
    <w:p w14:paraId="64E16277">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污水事故排放风险防范应急措施</w:t>
      </w:r>
    </w:p>
    <w:p w14:paraId="3FF6C6A0">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污水处理工程各构筑物及设施正式投入运行后，随着年限的延长，设备故障现象会经常发生。设备的维修要及时，常用的设备（加药泵、提升泵、喷淋除臭、生物滤池、风机等）和配件需常备，建设单位应加强巡逻，及时发现问题，解决问题，避免废水超标排放。</w:t>
      </w:r>
    </w:p>
    <w:p w14:paraId="6C0341CE">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采用10kV双电源形式，供电回路采用一用一备的形式。一旦出现不可抗拒的外部原因，如双回路停电，突发性自然灾害等情况导致污水未能及时处理时，应将来水自动切换进入废水事故池，并通知排污企业部分或全部停止向管道排污，以确保纳污水体功能安全。</w:t>
      </w:r>
    </w:p>
    <w:p w14:paraId="13E3214C">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（3）严格控制各处理单元的水量、停留时间、负荷强度等工艺参数，确保处理效果的稳定性，出现异常时操作人员及时调整，保证污水处理设备处于最佳工况。</w:t>
      </w:r>
    </w:p>
    <w:p w14:paraId="56C49020">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如发现不正常现象，就需立即采取预防措施。</w:t>
      </w:r>
    </w:p>
    <w:p w14:paraId="68A3EC45">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设置废水事故池，本项目在废水系统的调节池旁边，值班室和风机房地下设置事故应急池，发生事故时将调节池向事故池通水的阀门打开，确保废水能引入废水事故池，不影响其它区域，未出现事故时不得向事故池内蓄水。</w:t>
      </w:r>
    </w:p>
    <w:p w14:paraId="3B5DD55D">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5）当出现设备故障及大修而无备用设备或备用设备无法启用等情况时，根据设备维护和更换所需要的时间确定大修时间，将大修期间污水存放于事故池（调节池），防止外排，待事故排除后，打开构筑物进出水阀门，利用自身处理系统处理。</w:t>
      </w:r>
    </w:p>
    <w:p w14:paraId="12C9CFF9">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（6）一旦发生污水事故排放，立即关闭尾水排水阀门，将事故水通过水泵抽至污水处理系统的事故池暂存，待事故解决后，打开各构筑物进出水阀门，利用自身污水处理系统处理污水。</w:t>
      </w:r>
    </w:p>
    <w:p w14:paraId="28B9C632">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（7）污水处理工程的尾水排放口设置在线监控装置，对排水的流量以及水体中的主要排放指标如COD、</w:t>
      </w:r>
      <w:r>
        <w:rPr>
          <w:rFonts w:hint="eastAsia" w:ascii="Times New Roman" w:hAnsi="Times New Roman" w:cs="Times New Roman"/>
          <w:color w:val="auto"/>
          <w:sz w:val="24"/>
          <w:szCs w:val="24"/>
          <w:highlight w:val="none"/>
          <w:u w:val="none" w:color="auto"/>
          <w:lang w:eastAsia="zh-CN"/>
        </w:rPr>
        <w:t>NH</w:t>
      </w:r>
      <w:r>
        <w:rPr>
          <w:rFonts w:hint="eastAsia" w:ascii="Times New Roman" w:hAnsi="Times New Roman" w:cs="Times New Roman"/>
          <w:color w:val="auto"/>
          <w:sz w:val="24"/>
          <w:szCs w:val="24"/>
          <w:highlight w:val="none"/>
          <w:u w:val="none" w:color="auto"/>
          <w:vertAlign w:val="subscript"/>
          <w:lang w:eastAsia="zh-CN"/>
        </w:rPr>
        <w:t>3</w:t>
      </w:r>
      <w:r>
        <w:rPr>
          <w:rFonts w:hint="default" w:ascii="Times New Roman" w:hAnsi="Times New Roman" w:cs="Times New Roman"/>
          <w:color w:val="auto"/>
          <w:sz w:val="24"/>
          <w:szCs w:val="24"/>
          <w:highlight w:val="none"/>
          <w:u w:val="none" w:color="auto"/>
        </w:rPr>
        <w:t>-N、TP等进行实时监控，并将数据传输至中控室的电脑中。如排放口废水中有项目不达标则中控室的电脑发出警报，通过阀门切换，关闭尾水出水口阀门，并将超标水泵入调节池内重新进行处理。同时对前段工艺进行排查及维护，待在线监控装置显示尾水达标后方可外排。经过上述措施保障，可将项目污水泄漏的风险进行有效控制，可将超标污水控制在项目厂内。</w:t>
      </w:r>
    </w:p>
    <w:p w14:paraId="0B8A550D">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市政污水处理厂事故水池设计及配套应急响应措施》（张海洋,李育才,等.北方环境[J],2012,第24卷,第二期:135-137）关于污水处理厂事故应急池容积设计的分析，在配套应急措施的前提下，污水处理厂事故水池容积可按照下式进行计算，为了将环境风险降至最低，该公式中考虑了两部分水量，一是应急响应时间内排放的水量，二是主干管高污染区中存留的废水，计算公式具体如下：</w:t>
      </w:r>
    </w:p>
    <w:p w14:paraId="1FB6AA85">
      <w:pPr>
        <w:pStyle w:val="60"/>
        <w:bidi w:val="0"/>
        <w:rPr>
          <w:rFonts w:hint="default"/>
          <w:highlight w:val="none"/>
          <w:lang w:eastAsia="zh-CN"/>
        </w:rPr>
      </w:pPr>
      <w:r>
        <w:rPr>
          <w:rFonts w:hint="default"/>
          <w:highlight w:val="none"/>
          <w:lang w:eastAsia="zh-CN"/>
        </w:rPr>
        <w:t>Ve=t×Qmax+L×A</w:t>
      </w:r>
    </w:p>
    <w:p w14:paraId="15F993CA">
      <w:pPr>
        <w:bidi w:val="0"/>
        <w:rPr>
          <w:rFonts w:hint="default"/>
          <w:highlight w:val="none"/>
          <w:lang w:eastAsia="zh-CN"/>
        </w:rPr>
      </w:pPr>
      <w:r>
        <w:rPr>
          <w:rFonts w:hint="default"/>
          <w:highlight w:val="none"/>
          <w:lang w:eastAsia="zh-CN"/>
        </w:rPr>
        <w:t>式中：Ve—事故水池有效容积，</w:t>
      </w:r>
      <w:r>
        <w:rPr>
          <w:rFonts w:hint="eastAsia"/>
          <w:highlight w:val="none"/>
          <w:lang w:eastAsia="zh-CN"/>
        </w:rPr>
        <w:t>m</w:t>
      </w:r>
      <w:r>
        <w:rPr>
          <w:rFonts w:hint="eastAsia"/>
          <w:highlight w:val="none"/>
          <w:vertAlign w:val="superscript"/>
          <w:lang w:eastAsia="zh-CN"/>
        </w:rPr>
        <w:t>3</w:t>
      </w:r>
    </w:p>
    <w:p w14:paraId="5ABB9BED">
      <w:pPr>
        <w:bidi w:val="0"/>
        <w:rPr>
          <w:rFonts w:hint="default"/>
          <w:highlight w:val="none"/>
          <w:lang w:eastAsia="zh-CN"/>
        </w:rPr>
      </w:pPr>
      <w:r>
        <w:rPr>
          <w:rFonts w:hint="default"/>
          <w:highlight w:val="none"/>
          <w:lang w:eastAsia="zh-CN"/>
        </w:rPr>
        <w:t>t—应急时间，h。t=t1+t2，应急时间包括t1——电话通知各泵站的时间，包括切泵、停泵、换泵等缓冲时间，t2——电话通知工业园区重点应急对象所需的时间。为了保证最短的应急时间，电话通知等时间，t设计值为0.5h。</w:t>
      </w:r>
    </w:p>
    <w:p w14:paraId="59364562">
      <w:pPr>
        <w:bidi w:val="0"/>
        <w:rPr>
          <w:rFonts w:hint="default"/>
          <w:highlight w:val="none"/>
          <w:lang w:eastAsia="zh-CN"/>
        </w:rPr>
      </w:pPr>
      <w:r>
        <w:rPr>
          <w:rFonts w:hint="default"/>
          <w:highlight w:val="none"/>
          <w:lang w:eastAsia="zh-CN"/>
        </w:rPr>
        <w:t>Qmax—高峰期应急流量，</w:t>
      </w:r>
      <w:r>
        <w:rPr>
          <w:rFonts w:hint="eastAsia"/>
          <w:highlight w:val="none"/>
          <w:lang w:eastAsia="zh-CN"/>
        </w:rPr>
        <w:t>m</w:t>
      </w:r>
      <w:r>
        <w:rPr>
          <w:rFonts w:hint="eastAsia"/>
          <w:highlight w:val="none"/>
          <w:vertAlign w:val="superscript"/>
          <w:lang w:eastAsia="zh-CN"/>
        </w:rPr>
        <w:t>3</w:t>
      </w:r>
      <w:r>
        <w:rPr>
          <w:rFonts w:hint="default"/>
          <w:highlight w:val="none"/>
          <w:lang w:eastAsia="zh-CN"/>
        </w:rPr>
        <w:t>/h，Qmax=K×k×Qv。K-高峰流量变化系数，参考《室外给排水设计规范（GB50014-2006）》，取值为1.3，k-应急流量保险系数，取值为1.3，Qv–小时平均流量，为50</w:t>
      </w:r>
      <w:r>
        <w:rPr>
          <w:rFonts w:hint="eastAsia"/>
          <w:highlight w:val="none"/>
          <w:lang w:eastAsia="zh-CN"/>
        </w:rPr>
        <w:t>m</w:t>
      </w:r>
      <w:r>
        <w:rPr>
          <w:rFonts w:hint="eastAsia"/>
          <w:highlight w:val="none"/>
          <w:vertAlign w:val="superscript"/>
          <w:lang w:eastAsia="zh-CN"/>
        </w:rPr>
        <w:t>3</w:t>
      </w:r>
      <w:r>
        <w:rPr>
          <w:rFonts w:hint="default"/>
          <w:highlight w:val="none"/>
          <w:lang w:eastAsia="zh-CN"/>
        </w:rPr>
        <w:t>/h，则Qmax计算值为84.5</w:t>
      </w:r>
      <w:r>
        <w:rPr>
          <w:rFonts w:hint="eastAsia"/>
          <w:highlight w:val="none"/>
          <w:lang w:eastAsia="zh-CN"/>
        </w:rPr>
        <w:t>m</w:t>
      </w:r>
      <w:r>
        <w:rPr>
          <w:rFonts w:hint="eastAsia"/>
          <w:highlight w:val="none"/>
          <w:vertAlign w:val="superscript"/>
          <w:lang w:eastAsia="zh-CN"/>
        </w:rPr>
        <w:t>3</w:t>
      </w:r>
      <w:r>
        <w:rPr>
          <w:rFonts w:hint="default"/>
          <w:highlight w:val="none"/>
          <w:lang w:eastAsia="zh-CN"/>
        </w:rPr>
        <w:t>/h；</w:t>
      </w:r>
    </w:p>
    <w:p w14:paraId="496487C4">
      <w:pPr>
        <w:bidi w:val="0"/>
        <w:rPr>
          <w:rFonts w:hint="default"/>
          <w:highlight w:val="none"/>
          <w:lang w:eastAsia="zh-CN"/>
        </w:rPr>
      </w:pPr>
      <w:r>
        <w:rPr>
          <w:rFonts w:hint="default"/>
          <w:highlight w:val="none"/>
          <w:lang w:eastAsia="zh-CN"/>
        </w:rPr>
        <w:t>L—主干管高污染区长度，m。</w:t>
      </w:r>
    </w:p>
    <w:p w14:paraId="1C3D7131">
      <w:pPr>
        <w:bidi w:val="0"/>
        <w:rPr>
          <w:rFonts w:hint="default"/>
          <w:lang w:eastAsia="zh-CN"/>
        </w:rPr>
      </w:pPr>
      <w:r>
        <w:rPr>
          <w:rFonts w:hint="default"/>
          <w:highlight w:val="none"/>
          <w:lang w:eastAsia="zh-CN"/>
        </w:rPr>
        <w:t>Av—主干管高污染区平均有效水力面积，</w:t>
      </w:r>
      <w:r>
        <w:rPr>
          <w:rFonts w:hint="eastAsia"/>
          <w:highlight w:val="none"/>
          <w:lang w:eastAsia="zh-CN"/>
        </w:rPr>
        <w:t>m</w:t>
      </w:r>
      <w:r>
        <w:rPr>
          <w:rFonts w:hint="eastAsia"/>
          <w:highlight w:val="none"/>
          <w:vertAlign w:val="superscript"/>
          <w:lang w:eastAsia="zh-CN"/>
        </w:rPr>
        <w:t>2</w:t>
      </w:r>
      <w:r>
        <w:rPr>
          <w:rFonts w:hint="default"/>
          <w:highlight w:val="none"/>
          <w:lang w:eastAsia="zh-CN"/>
        </w:rPr>
        <w:t>，Av=</w:t>
      </w:r>
      <w:r>
        <w:rPr>
          <w:rFonts w:hint="default"/>
          <w:lang w:eastAsia="zh-CN"/>
        </w:rPr>
        <w:t>d2/4×π×μ,d-主管网高污染区平均管径，μ-高峰期管道充满度，%。</w:t>
      </w:r>
    </w:p>
    <w:p w14:paraId="1867037A">
      <w:pPr>
        <w:bidi w:val="0"/>
        <w:rPr>
          <w:rFonts w:hint="default"/>
          <w:lang w:eastAsia="zh-CN"/>
        </w:rPr>
      </w:pPr>
      <w:r>
        <w:rPr>
          <w:rFonts w:hint="default"/>
          <w:lang w:eastAsia="zh-CN"/>
        </w:rPr>
        <w:t>根据上述公式计算应急响应时间内排放的水量为：84.5×0.5=42.25</w:t>
      </w:r>
      <w:r>
        <w:rPr>
          <w:rFonts w:hint="eastAsia"/>
          <w:lang w:eastAsia="zh-CN"/>
        </w:rPr>
        <w:t>m</w:t>
      </w:r>
      <w:r>
        <w:rPr>
          <w:rFonts w:hint="eastAsia"/>
          <w:vertAlign w:val="superscript"/>
          <w:lang w:eastAsia="zh-CN"/>
        </w:rPr>
        <w:t>3</w:t>
      </w:r>
      <w:r>
        <w:rPr>
          <w:rFonts w:hint="default"/>
          <w:lang w:eastAsia="zh-CN"/>
        </w:rPr>
        <w:t>；</w:t>
      </w:r>
    </w:p>
    <w:p w14:paraId="2C8C93A7">
      <w:pPr>
        <w:bidi w:val="0"/>
        <w:rPr>
          <w:rFonts w:hint="default"/>
          <w:lang w:eastAsia="zh-CN"/>
        </w:rPr>
      </w:pPr>
      <w:r>
        <w:rPr>
          <w:rFonts w:hint="default"/>
          <w:lang w:eastAsia="zh-CN"/>
        </w:rPr>
        <w:t>管网留存水：根据核实，本项目园区主管网的长度约3km，为DN300钢管，充满度50%进行计算，经计算管网留存水约为106</w:t>
      </w:r>
      <w:r>
        <w:rPr>
          <w:rFonts w:hint="eastAsia"/>
          <w:lang w:eastAsia="zh-CN"/>
        </w:rPr>
        <w:t>m</w:t>
      </w:r>
      <w:r>
        <w:rPr>
          <w:rFonts w:hint="eastAsia"/>
          <w:vertAlign w:val="superscript"/>
          <w:lang w:eastAsia="zh-CN"/>
        </w:rPr>
        <w:t>3</w:t>
      </w:r>
      <w:r>
        <w:rPr>
          <w:rFonts w:hint="default"/>
          <w:lang w:eastAsia="zh-CN"/>
        </w:rPr>
        <w:t>。则事故应急池的有效容积应至少设计容量为150.25</w:t>
      </w:r>
      <w:r>
        <w:rPr>
          <w:rFonts w:hint="eastAsia"/>
          <w:lang w:eastAsia="zh-CN"/>
        </w:rPr>
        <w:t>m</w:t>
      </w:r>
      <w:r>
        <w:rPr>
          <w:rFonts w:hint="eastAsia"/>
          <w:vertAlign w:val="superscript"/>
          <w:lang w:eastAsia="zh-CN"/>
        </w:rPr>
        <w:t>3</w:t>
      </w:r>
      <w:r>
        <w:rPr>
          <w:rFonts w:hint="default"/>
          <w:lang w:eastAsia="zh-CN"/>
        </w:rPr>
        <w:t>。本项目事故应急池容积为</w:t>
      </w:r>
      <w:r>
        <w:rPr>
          <w:rFonts w:hint="eastAsia"/>
          <w:lang w:val="en-US" w:eastAsia="zh-CN"/>
        </w:rPr>
        <w:t>2</w:t>
      </w:r>
      <w:r>
        <w:rPr>
          <w:rFonts w:hint="default"/>
          <w:lang w:eastAsia="zh-CN"/>
        </w:rPr>
        <w:t>00</w:t>
      </w:r>
      <w:r>
        <w:rPr>
          <w:rFonts w:hint="eastAsia"/>
          <w:lang w:eastAsia="zh-CN"/>
        </w:rPr>
        <w:t>m</w:t>
      </w:r>
      <w:r>
        <w:rPr>
          <w:rFonts w:hint="eastAsia"/>
          <w:vertAlign w:val="superscript"/>
          <w:lang w:eastAsia="zh-CN"/>
        </w:rPr>
        <w:t>3</w:t>
      </w:r>
      <w:r>
        <w:rPr>
          <w:rFonts w:hint="default"/>
          <w:lang w:eastAsia="zh-CN"/>
        </w:rPr>
        <w:t>，同时还设置了</w:t>
      </w:r>
      <w:r>
        <w:rPr>
          <w:rFonts w:hint="eastAsia"/>
          <w:lang w:val="en-US" w:eastAsia="zh-CN"/>
        </w:rPr>
        <w:t>2</w:t>
      </w:r>
      <w:r>
        <w:rPr>
          <w:rFonts w:hint="default"/>
          <w:lang w:eastAsia="zh-CN"/>
        </w:rPr>
        <w:t>00m³的应急调节池，能满足应急需求。</w:t>
      </w:r>
    </w:p>
    <w:p w14:paraId="5E05AA94">
      <w:pPr>
        <w:pStyle w:val="7"/>
        <w:bidi w:val="0"/>
        <w:rPr>
          <w:rFonts w:hint="default"/>
          <w:lang w:eastAsia="zh-CN"/>
        </w:rPr>
      </w:pPr>
      <w:r>
        <w:rPr>
          <w:rFonts w:hint="default"/>
          <w:lang w:eastAsia="zh-CN"/>
        </w:rPr>
        <w:t>恶臭泄漏风险防范措施</w:t>
      </w:r>
    </w:p>
    <w:p w14:paraId="171CC1E5">
      <w:pPr>
        <w:rPr>
          <w:rFonts w:hint="default"/>
          <w:lang w:eastAsia="zh-CN"/>
        </w:rPr>
      </w:pPr>
      <w:r>
        <w:rPr>
          <w:rFonts w:hint="default"/>
          <w:lang w:eastAsia="zh-CN"/>
        </w:rPr>
        <w:t>（1）污泥处理系统的主要设备均设置备用设备。</w:t>
      </w:r>
    </w:p>
    <w:p w14:paraId="713A905B">
      <w:pPr>
        <w:rPr>
          <w:rFonts w:hint="default"/>
          <w:lang w:eastAsia="zh-CN"/>
        </w:rPr>
      </w:pPr>
      <w:r>
        <w:rPr>
          <w:rFonts w:hint="default"/>
          <w:lang w:eastAsia="zh-CN"/>
        </w:rPr>
        <w:t>（2）厂区外电采用10kV双电源形式，10kV供电回路采用一用一备的形式。</w:t>
      </w:r>
    </w:p>
    <w:p w14:paraId="2C96CA07">
      <w:pPr>
        <w:rPr>
          <w:rFonts w:hint="default"/>
          <w:highlight w:val="none"/>
          <w:lang w:eastAsia="zh-CN"/>
        </w:rPr>
      </w:pPr>
      <w:r>
        <w:rPr>
          <w:rFonts w:hint="default"/>
          <w:lang w:eastAsia="zh-CN"/>
        </w:rPr>
        <w:t>（3）加强除臭装置的维</w:t>
      </w:r>
      <w:r>
        <w:rPr>
          <w:rFonts w:hint="default"/>
          <w:highlight w:val="none"/>
          <w:lang w:eastAsia="zh-CN"/>
        </w:rPr>
        <w:t>护和管理，提高设施的完好率，机械设备采用性能可靠的优质产品，关键设备及配件应备足备件，定期更换</w:t>
      </w:r>
      <w:r>
        <w:rPr>
          <w:rFonts w:hint="eastAsia"/>
          <w:highlight w:val="none"/>
          <w:lang w:val="en-US" w:eastAsia="zh-CN"/>
        </w:rPr>
        <w:t>生物膜</w:t>
      </w:r>
      <w:r>
        <w:rPr>
          <w:rFonts w:hint="default"/>
          <w:highlight w:val="none"/>
          <w:lang w:eastAsia="zh-CN"/>
        </w:rPr>
        <w:t>。</w:t>
      </w:r>
    </w:p>
    <w:p w14:paraId="048C3D57">
      <w:pPr>
        <w:rPr>
          <w:rFonts w:hint="default"/>
          <w:highlight w:val="none"/>
          <w:lang w:eastAsia="zh-CN"/>
        </w:rPr>
      </w:pPr>
      <w:r>
        <w:rPr>
          <w:rFonts w:hint="default"/>
          <w:highlight w:val="none"/>
          <w:lang w:eastAsia="zh-CN"/>
        </w:rPr>
        <w:t>（4）及时清运污泥，做好污泥管理，控制污泥泥龄，调节生物活性降低污泥膨胀。</w:t>
      </w:r>
    </w:p>
    <w:p w14:paraId="04D08711">
      <w:pPr>
        <w:rPr>
          <w:rFonts w:hint="default"/>
          <w:highlight w:val="none"/>
          <w:lang w:eastAsia="zh-CN"/>
        </w:rPr>
      </w:pPr>
      <w:r>
        <w:rPr>
          <w:rFonts w:hint="default"/>
          <w:highlight w:val="none"/>
          <w:lang w:eastAsia="zh-CN"/>
        </w:rPr>
        <w:t>（5）当污泥脱水工段出现异常时，污泥不能及时脱水，当班工人应立即及时进行抢修。待故障机械设备修好后立即投入压滤。</w:t>
      </w:r>
    </w:p>
    <w:p w14:paraId="7DCF71BD">
      <w:pPr>
        <w:rPr>
          <w:rFonts w:hint="default"/>
          <w:highlight w:val="none"/>
          <w:lang w:eastAsia="zh-CN"/>
        </w:rPr>
      </w:pPr>
      <w:r>
        <w:rPr>
          <w:rFonts w:hint="default"/>
          <w:highlight w:val="none"/>
          <w:lang w:eastAsia="zh-CN"/>
        </w:rPr>
        <w:t>（5）污泥运输车辆必须采用密闭式车辆，防止滴漏、泄漏，在装卸运输过程严格按照操作规程，制定可靠的车辆检修计划，定期做好运输车辆密闭性检查与维护，防止车辆维护不当所产生的事故发生。运输车辆上应配备便携式喷淋植物除臭装置，一旦发生泄漏，及时喷淋除臭液降低污泥臭气对周边居民以及环境的影响。</w:t>
      </w:r>
    </w:p>
    <w:p w14:paraId="603E16F4">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危险化学品泄漏的风险防范措施</w:t>
      </w:r>
    </w:p>
    <w:p w14:paraId="7BA3ED3D">
      <w:pPr>
        <w:shd w:val="clear"/>
        <w:spacing w:before="0" w:after="0"/>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（1）各化学品贮存地面铺设水泥进行防渗，建议气浮间内化学品贮存区周围设置围堰和导流沟等，能够及时收集泄漏化学品，防止化学品泄漏进入厂外环境。</w:t>
      </w:r>
    </w:p>
    <w:p w14:paraId="43E83208">
      <w:pPr>
        <w:shd w:val="clear"/>
        <w:spacing w:before="0" w:after="0"/>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（2）在存储化学品的气浮间设置相应的通风、防火灭火等设施、设备，并设专人监管，定期进行检查。</w:t>
      </w:r>
    </w:p>
    <w:p w14:paraId="02C50A7F">
      <w:pPr>
        <w:shd w:val="clear"/>
        <w:spacing w:before="0" w:after="0"/>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（3）通过增加购买次数，降低化学品储存量等措施来尽可能避免化学药品泄漏事故发生的机率。</w:t>
      </w:r>
    </w:p>
    <w:p w14:paraId="60C02DE4">
      <w:pPr>
        <w:shd w:val="clear"/>
        <w:spacing w:before="0" w:after="0"/>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4）运输危险化学品时，使用有危险货物道路运输资质的车辆，司机、押运员持证上岗。装卸过程应做到轻装轻卸，运输过程中要确保容器不泄漏、不倒塌、不坠落、不损坏。运输时运输车辆应配备相应品种和数量的消防器材。严禁一般物品</w:t>
      </w:r>
    </w:p>
    <w:p w14:paraId="7A079742">
      <w:pPr>
        <w:shd w:val="clear"/>
        <w:spacing w:before="0" w:after="0"/>
        <w:ind w:firstLine="480"/>
        <w:jc w:val="left"/>
        <w:rPr>
          <w:rFonts w:hint="default" w:ascii="Times New Roman" w:hAnsi="Times New Roman" w:cs="Times New Roman"/>
          <w:color w:val="auto"/>
          <w:sz w:val="24"/>
          <w:szCs w:val="24"/>
          <w:highlight w:val="none"/>
          <w:u w:val="none" w:color="auto"/>
          <w:lang w:eastAsia="zh-CN"/>
        </w:rPr>
      </w:pPr>
      <w:r>
        <w:rPr>
          <w:rFonts w:hint="default" w:ascii="Times New Roman" w:hAnsi="Times New Roman" w:cs="Times New Roman"/>
          <w:color w:val="auto"/>
          <w:sz w:val="24"/>
          <w:szCs w:val="24"/>
          <w:highlight w:val="none"/>
          <w:u w:val="none" w:color="auto"/>
          <w:lang w:eastAsia="zh-CN"/>
        </w:rPr>
        <w:t>与酸类、易燃物、有机物、还原剂、自燃物品、遇湿易燃物品等车混运。运输时车速不宜过快，不得强行超车。运输车辆装卸前后，均应彻底消扫、洗净，严禁混入有机物、易燃物等杂质。</w:t>
      </w:r>
    </w:p>
    <w:p w14:paraId="60754457">
      <w:pPr>
        <w:pStyle w:val="7"/>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危险废物的储存要求</w:t>
      </w:r>
    </w:p>
    <w:p w14:paraId="7AF1A58E">
      <w:pPr>
        <w:numPr>
          <w:ilvl w:val="0"/>
          <w:numId w:val="0"/>
        </w:numPr>
        <w:ind w:leftChars="20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1）</w:t>
      </w:r>
      <w:r>
        <w:rPr>
          <w:rFonts w:hint="default" w:ascii="Times New Roman" w:hAnsi="Times New Roman" w:cs="Times New Roman"/>
          <w:color w:val="auto"/>
          <w:highlight w:val="none"/>
          <w:u w:val="none" w:color="auto"/>
        </w:rPr>
        <w:t>收集、运输措施</w:t>
      </w:r>
    </w:p>
    <w:p w14:paraId="611A49CB">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A</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危险废物的收集应根据危险废物产生的工艺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573C1EF1">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B</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危险废物的收集应制定详细的操作规程，内容至少应包括适用范围、操作程序和方法、专用设备和工具、转移和交接、安全保障和应急防护等。</w:t>
      </w:r>
    </w:p>
    <w:p w14:paraId="6CA51D5C">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C</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危险废物收集和转运作业人员应根据工作需要配备必要的个人防护装备，如手套、防护镜、防护服、防毒面具或口罩等。</w:t>
      </w:r>
    </w:p>
    <w:p w14:paraId="5E64A40D">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D</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在危险废物的收集和转运过程中，应采取相应的安全防护和污染防治措施，包括防爆、防火、防中毒、防感染、防</w:t>
      </w:r>
      <w:r>
        <w:rPr>
          <w:rFonts w:hint="default" w:ascii="Times New Roman" w:hAnsi="Times New Roman" w:cs="Times New Roman"/>
          <w:color w:val="auto"/>
          <w:sz w:val="24"/>
          <w:highlight w:val="none"/>
          <w:u w:val="none" w:color="auto"/>
          <w:lang w:eastAsia="zh-CN"/>
        </w:rPr>
        <w:t>泄漏</w:t>
      </w:r>
      <w:r>
        <w:rPr>
          <w:rFonts w:hint="default" w:ascii="Times New Roman" w:hAnsi="Times New Roman" w:cs="Times New Roman"/>
          <w:color w:val="auto"/>
          <w:sz w:val="24"/>
          <w:highlight w:val="none"/>
          <w:u w:val="none" w:color="auto"/>
        </w:rPr>
        <w:t>、防飞扬、防雨或其它防止污染环境的措施。</w:t>
      </w:r>
    </w:p>
    <w:p w14:paraId="37A2C54D">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E</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危险废物收集时应根据危险废物的种类、数量、危险特性、物理形态、运输要求等因素确定包装形式，具体包装应符合以下要求：</w:t>
      </w:r>
    </w:p>
    <w:p w14:paraId="3512DAD4">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①包装材质要与危险废物相容，可根据废物特性选址钢、铝、塑料等材质。</w:t>
      </w:r>
    </w:p>
    <w:p w14:paraId="2971F81B">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②性质类似的废物可收集到同一容器中，性质不相容的危险废物不应混合包装。</w:t>
      </w:r>
    </w:p>
    <w:p w14:paraId="71737DCF">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③危险废物包装应能有效隔断危险废物迁移扩散途径，并达到防渗、防漏要求。</w:t>
      </w:r>
    </w:p>
    <w:p w14:paraId="5225E16E">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④包装好的危险废物应设置相应的标签，标签信息应填写完整</w:t>
      </w:r>
      <w:r>
        <w:rPr>
          <w:rFonts w:hint="eastAsia" w:ascii="Times New Roman" w:hAnsi="Times New Roman" w:cs="Times New Roman"/>
          <w:color w:val="auto"/>
          <w:sz w:val="24"/>
          <w:highlight w:val="none"/>
          <w:u w:val="none" w:color="auto"/>
          <w:lang w:eastAsia="zh-CN"/>
        </w:rPr>
        <w:t>详实</w:t>
      </w:r>
      <w:r>
        <w:rPr>
          <w:rFonts w:hint="default" w:ascii="Times New Roman" w:hAnsi="Times New Roman" w:cs="Times New Roman"/>
          <w:color w:val="auto"/>
          <w:sz w:val="24"/>
          <w:highlight w:val="none"/>
          <w:u w:val="none" w:color="auto"/>
        </w:rPr>
        <w:t>。</w:t>
      </w:r>
    </w:p>
    <w:p w14:paraId="4E4998B3">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⑤盛装过危险废物的包装袋或包装容器破损后应按危险废物进行管理和处置。</w:t>
      </w:r>
    </w:p>
    <w:p w14:paraId="1489A27C">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⑥危险废物还应根据《危险货物运输包装通用技术条件》（GB 12463-2009）的有关要求进行运输包装。</w:t>
      </w:r>
    </w:p>
    <w:p w14:paraId="6D6D56BF">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危险废物运输应由持有危险废物经营许可证的单位按照其许可证的经营范围组织实施，采用危险废物专用运输车辆运输，危险废物运输前应先采用</w:t>
      </w:r>
      <w:r>
        <w:rPr>
          <w:rFonts w:hint="eastAsia" w:ascii="Times New Roman" w:hAnsi="Times New Roman" w:cs="Times New Roman"/>
          <w:color w:val="auto"/>
          <w:sz w:val="24"/>
          <w:highlight w:val="none"/>
          <w:u w:val="none" w:color="auto"/>
          <w:lang w:eastAsia="zh-CN"/>
        </w:rPr>
        <w:t>编织袋</w:t>
      </w:r>
      <w:r>
        <w:rPr>
          <w:rFonts w:hint="default" w:ascii="Times New Roman" w:hAnsi="Times New Roman" w:cs="Times New Roman"/>
          <w:color w:val="auto"/>
          <w:sz w:val="24"/>
          <w:highlight w:val="none"/>
          <w:u w:val="none" w:color="auto"/>
        </w:rPr>
        <w:t>外包装，内衬双层PVC塑料膜；车辆车厢内垫油布防渗漏，车厢外罩防雨布以防雨水淋洗，装卸及厂内转运过程中严禁抛掷、踩踏，以防止包装破损。</w:t>
      </w:r>
    </w:p>
    <w:p w14:paraId="0BA81170">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2）危废暂存间建设要求</w:t>
      </w:r>
    </w:p>
    <w:p w14:paraId="79E8CEBA">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①</w:t>
      </w:r>
      <w:r>
        <w:rPr>
          <w:rFonts w:hint="default" w:ascii="Times New Roman" w:hAnsi="Times New Roman" w:cs="Times New Roman"/>
          <w:color w:val="auto"/>
          <w:kern w:val="0"/>
          <w:sz w:val="24"/>
          <w:szCs w:val="24"/>
          <w:highlight w:val="none"/>
          <w:u w:val="none" w:color="auto"/>
        </w:rPr>
        <w:t>应建有堵截泄漏的裙脚，地面与裙脚要用坚固防渗的材料建造。应有隔离设施、报警装置和防风、防晒、防雨设施；</w:t>
      </w:r>
    </w:p>
    <w:p w14:paraId="6D839035">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②基础防渗层为粘土层的，其厚度应在1m以上，渗透系数应小于1.0×10</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vertAlign w:val="superscript"/>
        </w:rPr>
        <w:t>7</w:t>
      </w:r>
      <w:r>
        <w:rPr>
          <w:rFonts w:hint="default" w:ascii="Times New Roman" w:hAnsi="Times New Roman" w:cs="Times New Roman"/>
          <w:color w:val="auto"/>
          <w:sz w:val="24"/>
          <w:highlight w:val="none"/>
          <w:u w:val="none" w:color="auto"/>
        </w:rPr>
        <w:t>cm/s；基础防渗层也可用厚度在2mm以上的高密度聚乙烯或其他人工防渗材料组成，渗透系数应小于1.0×10</w:t>
      </w:r>
      <w:r>
        <w:rPr>
          <w:rFonts w:hint="eastAsia" w:ascii="Times New Roman" w:hAnsi="Times New Roman" w:cs="Times New Roman"/>
          <w:color w:val="auto"/>
          <w:sz w:val="24"/>
          <w:highlight w:val="none"/>
          <w:u w:val="none" w:color="auto"/>
          <w:vertAlign w:val="superscript"/>
          <w:lang w:val="en-US" w:eastAsia="zh-CN"/>
        </w:rPr>
        <w:t>-</w:t>
      </w:r>
      <w:r>
        <w:rPr>
          <w:rFonts w:hint="default" w:ascii="Times New Roman" w:hAnsi="Times New Roman" w:cs="Times New Roman"/>
          <w:color w:val="auto"/>
          <w:sz w:val="24"/>
          <w:highlight w:val="none"/>
          <w:u w:val="none" w:color="auto"/>
          <w:vertAlign w:val="superscript"/>
        </w:rPr>
        <w:t>10</w:t>
      </w:r>
      <w:r>
        <w:rPr>
          <w:rFonts w:hint="default" w:ascii="Times New Roman" w:hAnsi="Times New Roman" w:cs="Times New Roman"/>
          <w:color w:val="auto"/>
          <w:sz w:val="24"/>
          <w:highlight w:val="none"/>
          <w:u w:val="none" w:color="auto"/>
        </w:rPr>
        <w:t>cm/s；</w:t>
      </w:r>
    </w:p>
    <w:p w14:paraId="70F287B1">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③须有泄漏液体收集装置；用于存放液体、半固体危险废物的地方还须有耐腐蚀的硬化地面，地面无裂隙；</w:t>
      </w:r>
    </w:p>
    <w:p w14:paraId="748D26E4">
      <w:pPr>
        <w:autoSpaceDE w:val="0"/>
        <w:autoSpaceDN w:val="0"/>
        <w:adjustRightInd w:val="0"/>
        <w:spacing w:line="360" w:lineRule="auto"/>
        <w:ind w:firstLine="482"/>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sz w:val="24"/>
          <w:highlight w:val="none"/>
          <w:u w:val="none" w:color="auto"/>
        </w:rPr>
        <w:t>④</w:t>
      </w:r>
      <w:r>
        <w:rPr>
          <w:rFonts w:hint="default" w:ascii="Times New Roman" w:hAnsi="Times New Roman" w:cs="Times New Roman"/>
          <w:color w:val="auto"/>
          <w:kern w:val="0"/>
          <w:sz w:val="24"/>
          <w:szCs w:val="24"/>
          <w:highlight w:val="none"/>
          <w:u w:val="none" w:color="auto"/>
        </w:rPr>
        <w:t>衬层上需建有渗滤液收集系统（或装置）；</w:t>
      </w:r>
    </w:p>
    <w:p w14:paraId="6024CC8C">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0"/>
          <w:sz w:val="24"/>
          <w:szCs w:val="24"/>
          <w:highlight w:val="none"/>
          <w:u w:val="none" w:color="auto"/>
        </w:rPr>
        <w:t>⑤</w:t>
      </w:r>
      <w:r>
        <w:rPr>
          <w:rFonts w:hint="default" w:ascii="Times New Roman" w:hAnsi="Times New Roman" w:cs="Times New Roman"/>
          <w:color w:val="auto"/>
          <w:sz w:val="24"/>
          <w:highlight w:val="none"/>
          <w:u w:val="none" w:color="auto"/>
        </w:rPr>
        <w:t>不相容的危险废物必须分开存放，并设有隔离间隔断。</w:t>
      </w:r>
    </w:p>
    <w:p w14:paraId="165DA85F">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3）日常管理要求</w:t>
      </w:r>
    </w:p>
    <w:p w14:paraId="4C33E006">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①做好危险废物管理</w:t>
      </w:r>
      <w:r>
        <w:rPr>
          <w:rFonts w:hint="default" w:ascii="Times New Roman" w:hAnsi="Times New Roman" w:cs="Times New Roman"/>
          <w:color w:val="auto"/>
          <w:sz w:val="24"/>
          <w:highlight w:val="none"/>
          <w:u w:val="none" w:color="auto"/>
          <w:lang w:eastAsia="zh-CN"/>
        </w:rPr>
        <w:t>记录</w:t>
      </w:r>
      <w:r>
        <w:rPr>
          <w:rFonts w:hint="default" w:ascii="Times New Roman" w:hAnsi="Times New Roman" w:cs="Times New Roman"/>
          <w:color w:val="auto"/>
          <w:sz w:val="24"/>
          <w:highlight w:val="none"/>
          <w:u w:val="none" w:color="auto"/>
        </w:rPr>
        <w:t>，记录上应注明危险废物的名称、来源、数量、特性和包装容器的类别、入库日期、堆放库位、废物出库日期及接收单位名称，并对各类固废分类堆存。</w:t>
      </w:r>
    </w:p>
    <w:p w14:paraId="5CE87418">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②加强固废在厂内和厂外的转运管理，严格控制危废转运通道，尽量减少固废</w:t>
      </w:r>
      <w:r>
        <w:rPr>
          <w:rFonts w:hint="eastAsia" w:ascii="Times New Roman" w:hAnsi="Times New Roman" w:cs="Times New Roman"/>
          <w:color w:val="auto"/>
          <w:sz w:val="24"/>
          <w:highlight w:val="none"/>
          <w:u w:val="none" w:color="auto"/>
          <w:lang w:eastAsia="zh-CN"/>
        </w:rPr>
        <w:t>的洒落</w:t>
      </w:r>
      <w:r>
        <w:rPr>
          <w:rFonts w:hint="default" w:ascii="Times New Roman" w:hAnsi="Times New Roman" w:cs="Times New Roman"/>
          <w:color w:val="auto"/>
          <w:sz w:val="24"/>
          <w:highlight w:val="none"/>
          <w:u w:val="none" w:color="auto"/>
        </w:rPr>
        <w:t>，对撒落的固废应进行及时清扫，避免二次污染。</w:t>
      </w:r>
    </w:p>
    <w:p w14:paraId="54E9DC36">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③定期对危废暂存间进行检查，发现破损，应及时进行修理。</w:t>
      </w:r>
    </w:p>
    <w:p w14:paraId="65BCED3F">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④危废暂存间内清理出来的泄漏物，一律按危险废物进行处理。加强对危险废物的日常管理，并按国家有关危险废物管理办法，办理好危险废物的贮存、转移手续。</w:t>
      </w:r>
    </w:p>
    <w:p w14:paraId="7F7BBBCD">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4）运输要求</w:t>
      </w:r>
    </w:p>
    <w:p w14:paraId="07C76A78">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①危废运输线路应尽量避开居民集中区、饮用水源保护区等环境敏感点。</w:t>
      </w:r>
    </w:p>
    <w:p w14:paraId="693E679E">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②危废运输车辆必须要有塑料内衬和帆布盖顶，有条件的可将废渣装袋运输；运输过程中要防渗漏、防</w:t>
      </w:r>
      <w:r>
        <w:rPr>
          <w:rFonts w:hint="default" w:ascii="Times New Roman" w:hAnsi="Times New Roman" w:cs="Times New Roman"/>
          <w:color w:val="auto"/>
          <w:sz w:val="24"/>
          <w:highlight w:val="none"/>
          <w:u w:val="none" w:color="auto"/>
          <w:lang w:eastAsia="zh-CN"/>
        </w:rPr>
        <w:t>洒落</w:t>
      </w:r>
      <w:r>
        <w:rPr>
          <w:rFonts w:hint="default" w:ascii="Times New Roman" w:hAnsi="Times New Roman" w:cs="Times New Roman"/>
          <w:color w:val="auto"/>
          <w:sz w:val="24"/>
          <w:highlight w:val="none"/>
          <w:u w:val="none" w:color="auto"/>
        </w:rPr>
        <w:t>，不得超载；同时配备发生事故时的应急工具、药剂或其他辅助材料，以便于消除或减轻风险事故对环境的污染危害。</w:t>
      </w:r>
    </w:p>
    <w:p w14:paraId="2993A240">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③不同类型的危废不宜混装运输，运输危废后的工具未消除污染前不能装载其他物品。</w:t>
      </w:r>
    </w:p>
    <w:p w14:paraId="41EA3FDD">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④运输车辆应设置明显的警示标志并经常维护保养，保持良好的车况。</w:t>
      </w:r>
    </w:p>
    <w:p w14:paraId="338C95E0">
      <w:pPr>
        <w:autoSpaceDE w:val="0"/>
        <w:autoSpaceDN w:val="0"/>
        <w:adjustRightInd w:val="0"/>
        <w:spacing w:line="360" w:lineRule="auto"/>
        <w:ind w:firstLine="482"/>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⑤从事危废运输的人员应接受专门的安全培训后方可上岗。</w:t>
      </w:r>
    </w:p>
    <w:p w14:paraId="241D9F7E">
      <w:pPr>
        <w:pStyle w:val="6"/>
        <w:rPr>
          <w:rFonts w:hint="default" w:ascii="Times New Roman" w:hAnsi="Times New Roman" w:cs="Times New Roman"/>
          <w:color w:val="auto"/>
          <w:highlight w:val="none"/>
          <w:u w:val="none" w:color="auto"/>
        </w:rPr>
      </w:pPr>
      <w:bookmarkStart w:id="171" w:name="_Toc11914793"/>
      <w:r>
        <w:rPr>
          <w:rFonts w:hint="default" w:ascii="Times New Roman" w:hAnsi="Times New Roman" w:cs="Times New Roman"/>
          <w:color w:val="auto"/>
          <w:highlight w:val="none"/>
          <w:u w:val="none" w:color="auto"/>
        </w:rPr>
        <w:t>风险应急预案</w:t>
      </w:r>
      <w:bookmarkEnd w:id="171"/>
    </w:p>
    <w:p w14:paraId="7FCED7EC">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事故应急预案</w:t>
      </w:r>
    </w:p>
    <w:p w14:paraId="61FD1C05">
      <w:pPr>
        <w:bidi w:val="0"/>
        <w:rPr>
          <w:rFonts w:hint="default"/>
        </w:rPr>
      </w:pPr>
      <w:r>
        <w:rPr>
          <w:rFonts w:hint="default"/>
        </w:rPr>
        <w:t>对可能发生的事故，应制订应急计划，使各部门在事故发生后能有步骤、有秩序地采取各项应急措施。</w:t>
      </w:r>
    </w:p>
    <w:p w14:paraId="690DD046">
      <w:pPr>
        <w:bidi w:val="0"/>
        <w:rPr>
          <w:rFonts w:hint="default"/>
        </w:rPr>
      </w:pPr>
      <w:r>
        <w:rPr>
          <w:rFonts w:hint="default"/>
        </w:rPr>
        <w:t>（1）事故发生后，应根据具体情况采取应急措施，切断泄漏源、火源，控制事故扩大，同时通知中央控制室，根据事故类型、大小启动相应的应急预案；</w:t>
      </w:r>
    </w:p>
    <w:p w14:paraId="474C06CB">
      <w:pPr>
        <w:bidi w:val="0"/>
        <w:rPr>
          <w:rFonts w:hint="default"/>
        </w:rPr>
      </w:pPr>
      <w:r>
        <w:rPr>
          <w:rFonts w:hint="default"/>
        </w:rPr>
        <w:t>（2）发生重大事故，应立即上报相关部门，启动社会救援系统，就近地区调拨到专业救援队伍协助处理；</w:t>
      </w:r>
    </w:p>
    <w:p w14:paraId="4E62E6F8">
      <w:pPr>
        <w:bidi w:val="0"/>
        <w:rPr>
          <w:rFonts w:hint="default"/>
        </w:rPr>
      </w:pPr>
      <w:r>
        <w:rPr>
          <w:rFonts w:hint="default"/>
        </w:rPr>
        <w:t>（3）事故发生后应立即通知</w:t>
      </w:r>
      <w:r>
        <w:rPr>
          <w:rFonts w:hint="default"/>
          <w:lang w:eastAsia="zh-CN"/>
        </w:rPr>
        <w:t>岳阳市生态环境局</w:t>
      </w:r>
      <w:r>
        <w:rPr>
          <w:rFonts w:hint="default"/>
        </w:rPr>
        <w:t>等市政部门，协同事故救援与监控。</w:t>
      </w:r>
    </w:p>
    <w:p w14:paraId="2CA09257">
      <w:pPr>
        <w:bidi w:val="0"/>
        <w:rPr>
          <w:rFonts w:hint="default"/>
        </w:rPr>
      </w:pPr>
      <w:r>
        <w:rPr>
          <w:rFonts w:hint="default"/>
        </w:rPr>
        <w:t>1）易燃品泄漏应急处理</w:t>
      </w:r>
    </w:p>
    <w:p w14:paraId="086CFEA2">
      <w:pPr>
        <w:bidi w:val="0"/>
        <w:rPr>
          <w:rFonts w:hint="default"/>
        </w:rPr>
      </w:pPr>
      <w:r>
        <w:rPr>
          <w:rFonts w:hint="default"/>
        </w:rPr>
        <w:t>本项目使用的易燃品发生泄漏事故时，应采取以下应急措施：</w:t>
      </w:r>
    </w:p>
    <w:p w14:paraId="2E748DA2">
      <w:pPr>
        <w:bidi w:val="0"/>
        <w:rPr>
          <w:rFonts w:hint="default"/>
        </w:rPr>
      </w:pPr>
      <w:r>
        <w:rPr>
          <w:rFonts w:hint="default"/>
        </w:rPr>
        <w:t>①迅速撤离泄漏污染区人员至上风处，并进行隔离，严格限制出入。</w:t>
      </w:r>
    </w:p>
    <w:p w14:paraId="11C8E4E1">
      <w:pPr>
        <w:bidi w:val="0"/>
        <w:rPr>
          <w:rFonts w:hint="default"/>
        </w:rPr>
      </w:pPr>
      <w:r>
        <w:rPr>
          <w:rFonts w:hint="default"/>
        </w:rPr>
        <w:t>②切断火源，尽可能切断泄漏源，防止进入下水道等限制性空间。</w:t>
      </w:r>
    </w:p>
    <w:p w14:paraId="069E427F">
      <w:pPr>
        <w:bidi w:val="0"/>
        <w:rPr>
          <w:rFonts w:hint="default"/>
        </w:rPr>
      </w:pPr>
      <w:r>
        <w:rPr>
          <w:rFonts w:hint="default"/>
        </w:rPr>
        <w:t>③应急处理人员戴自给式呼吸器，穿消防防护服。</w:t>
      </w:r>
    </w:p>
    <w:p w14:paraId="124EB4D3">
      <w:pPr>
        <w:bidi w:val="0"/>
        <w:rPr>
          <w:rFonts w:hint="default"/>
          <w:lang w:eastAsia="zh-CN"/>
        </w:rPr>
      </w:pPr>
      <w:r>
        <w:rPr>
          <w:rFonts w:hint="default"/>
        </w:rPr>
        <w:t>④易燃液体小量泄漏可用砂土或其它不燃材料吸附或吸收</w:t>
      </w:r>
      <w:r>
        <w:rPr>
          <w:rFonts w:hint="default"/>
          <w:lang w:eastAsia="zh-CN"/>
        </w:rPr>
        <w:t>。</w:t>
      </w:r>
    </w:p>
    <w:p w14:paraId="5ECF068F">
      <w:pPr>
        <w:bidi w:val="0"/>
        <w:rPr>
          <w:rFonts w:hint="default"/>
        </w:rPr>
      </w:pPr>
      <w:r>
        <w:rPr>
          <w:rFonts w:hint="default"/>
        </w:rPr>
        <w:t>⑤易燃液体大量泄漏需构筑围堤或挖坑收容，用泡沫覆盖，降低蒸气灾害</w:t>
      </w:r>
      <w:r>
        <w:rPr>
          <w:rFonts w:hint="default"/>
          <w:lang w:eastAsia="zh-CN"/>
        </w:rPr>
        <w:t>，</w:t>
      </w:r>
      <w:r>
        <w:rPr>
          <w:rFonts w:hint="default"/>
        </w:rPr>
        <w:t>保护现场人员、把泄漏物稀释成不燃物。</w:t>
      </w:r>
    </w:p>
    <w:p w14:paraId="2BD03A5E">
      <w:pPr>
        <w:bidi w:val="0"/>
        <w:rPr>
          <w:rFonts w:hint="default"/>
          <w:lang w:eastAsia="zh-CN"/>
        </w:rPr>
      </w:pPr>
      <w:r>
        <w:rPr>
          <w:rFonts w:hint="default"/>
        </w:rPr>
        <w:t>⑥用防爆泵转移至槽车或专用收集器内，回收或运至废物处理场所处置。</w:t>
      </w:r>
    </w:p>
    <w:p w14:paraId="062AD962">
      <w:pPr>
        <w:bidi w:val="0"/>
        <w:rPr>
          <w:rFonts w:hint="default"/>
          <w:lang w:eastAsia="zh-CN"/>
        </w:rPr>
      </w:pPr>
      <w:r>
        <w:rPr>
          <w:rFonts w:hint="default"/>
        </w:rPr>
        <w:t>根据《建设项目环境风险评价技术导则》，应急预案的主要内容应包括下表中的内容：</w:t>
      </w:r>
    </w:p>
    <w:p w14:paraId="5981472A">
      <w:pPr>
        <w:pStyle w:val="39"/>
        <w:bidi w:val="0"/>
        <w:rPr>
          <w:rFonts w:hint="default"/>
        </w:rPr>
      </w:pPr>
      <w:r>
        <w:rPr>
          <w:rFonts w:hint="default"/>
        </w:rPr>
        <w:t>表</w:t>
      </w:r>
      <w:r>
        <w:rPr>
          <w:rFonts w:hint="eastAsia"/>
          <w:lang w:val="en-US" w:eastAsia="zh-CN"/>
        </w:rPr>
        <w:t>6.5</w:t>
      </w:r>
      <w:r>
        <w:rPr>
          <w:rFonts w:hint="default"/>
        </w:rPr>
        <w:t>-</w:t>
      </w:r>
      <w:r>
        <w:rPr>
          <w:rFonts w:hint="eastAsia"/>
          <w:lang w:val="en-US" w:eastAsia="zh-CN"/>
        </w:rPr>
        <w:t>11</w:t>
      </w:r>
      <w:r>
        <w:rPr>
          <w:rFonts w:hint="default"/>
          <w:lang w:val="en-US" w:eastAsia="zh-CN"/>
        </w:rPr>
        <w:t xml:space="preserve">  </w:t>
      </w:r>
      <w:r>
        <w:rPr>
          <w:rFonts w:hint="default"/>
        </w:rPr>
        <w:t>应急预案内容</w:t>
      </w:r>
    </w:p>
    <w:tbl>
      <w:tblPr>
        <w:tblStyle w:val="30"/>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94"/>
        <w:gridCol w:w="2307"/>
        <w:gridCol w:w="5333"/>
      </w:tblGrid>
      <w:tr w14:paraId="4D9508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exact"/>
        </w:trPr>
        <w:tc>
          <w:tcPr>
            <w:tcW w:w="416" w:type="pct"/>
            <w:tcBorders>
              <w:tl2br w:val="nil"/>
              <w:tr2bl w:val="nil"/>
            </w:tcBorders>
            <w:noWrap w:val="0"/>
            <w:vAlign w:val="center"/>
          </w:tcPr>
          <w:p w14:paraId="7300C2DF">
            <w:pPr>
              <w:pStyle w:val="42"/>
              <w:keepNext w:val="0"/>
              <w:keepLines w:val="0"/>
              <w:suppressLineNumbers w:val="0"/>
              <w:bidi w:val="0"/>
              <w:spacing w:before="0" w:beforeAutospacing="0" w:after="0" w:afterAutospacing="0"/>
              <w:rPr>
                <w:rFonts w:hint="default"/>
              </w:rPr>
            </w:pPr>
            <w:r>
              <w:rPr>
                <w:rFonts w:hint="default"/>
              </w:rPr>
              <w:t>序号</w:t>
            </w:r>
          </w:p>
        </w:tc>
        <w:tc>
          <w:tcPr>
            <w:tcW w:w="1384" w:type="pct"/>
            <w:tcBorders>
              <w:tl2br w:val="nil"/>
              <w:tr2bl w:val="nil"/>
            </w:tcBorders>
            <w:noWrap w:val="0"/>
            <w:vAlign w:val="center"/>
          </w:tcPr>
          <w:p w14:paraId="0A40F29D">
            <w:pPr>
              <w:pStyle w:val="42"/>
              <w:keepNext w:val="0"/>
              <w:keepLines w:val="0"/>
              <w:suppressLineNumbers w:val="0"/>
              <w:bidi w:val="0"/>
              <w:spacing w:before="0" w:beforeAutospacing="0" w:after="0" w:afterAutospacing="0"/>
              <w:rPr>
                <w:rFonts w:hint="default"/>
              </w:rPr>
            </w:pPr>
            <w:r>
              <w:rPr>
                <w:rFonts w:hint="default"/>
              </w:rPr>
              <w:t>项目</w:t>
            </w:r>
          </w:p>
        </w:tc>
        <w:tc>
          <w:tcPr>
            <w:tcW w:w="3199" w:type="pct"/>
            <w:tcBorders>
              <w:tl2br w:val="nil"/>
              <w:tr2bl w:val="nil"/>
            </w:tcBorders>
            <w:noWrap w:val="0"/>
            <w:vAlign w:val="center"/>
          </w:tcPr>
          <w:p w14:paraId="7CD73304">
            <w:pPr>
              <w:pStyle w:val="42"/>
              <w:keepNext w:val="0"/>
              <w:keepLines w:val="0"/>
              <w:suppressLineNumbers w:val="0"/>
              <w:bidi w:val="0"/>
              <w:spacing w:before="0" w:beforeAutospacing="0" w:after="0" w:afterAutospacing="0"/>
              <w:rPr>
                <w:rFonts w:hint="default"/>
              </w:rPr>
            </w:pPr>
            <w:r>
              <w:rPr>
                <w:rFonts w:hint="default"/>
              </w:rPr>
              <w:t>内容及要求</w:t>
            </w:r>
          </w:p>
        </w:tc>
      </w:tr>
      <w:tr w14:paraId="6868AF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416" w:type="pct"/>
            <w:tcBorders>
              <w:tl2br w:val="nil"/>
              <w:tr2bl w:val="nil"/>
            </w:tcBorders>
            <w:noWrap w:val="0"/>
            <w:vAlign w:val="center"/>
          </w:tcPr>
          <w:p w14:paraId="659EE744">
            <w:pPr>
              <w:pStyle w:val="42"/>
              <w:keepNext w:val="0"/>
              <w:keepLines w:val="0"/>
              <w:suppressLineNumbers w:val="0"/>
              <w:bidi w:val="0"/>
              <w:spacing w:before="0" w:beforeAutospacing="0" w:after="0" w:afterAutospacing="0"/>
              <w:rPr>
                <w:rFonts w:hint="default"/>
              </w:rPr>
            </w:pPr>
            <w:r>
              <w:rPr>
                <w:rFonts w:hint="default"/>
              </w:rPr>
              <w:t>1</w:t>
            </w:r>
          </w:p>
        </w:tc>
        <w:tc>
          <w:tcPr>
            <w:tcW w:w="1384" w:type="pct"/>
            <w:tcBorders>
              <w:tl2br w:val="nil"/>
              <w:tr2bl w:val="nil"/>
            </w:tcBorders>
            <w:noWrap w:val="0"/>
            <w:vAlign w:val="center"/>
          </w:tcPr>
          <w:p w14:paraId="4EF9E7C3">
            <w:pPr>
              <w:pStyle w:val="42"/>
              <w:keepNext w:val="0"/>
              <w:keepLines w:val="0"/>
              <w:suppressLineNumbers w:val="0"/>
              <w:bidi w:val="0"/>
              <w:spacing w:before="0" w:beforeAutospacing="0" w:after="0" w:afterAutospacing="0"/>
              <w:rPr>
                <w:rFonts w:hint="default"/>
              </w:rPr>
            </w:pPr>
            <w:r>
              <w:rPr>
                <w:rFonts w:hint="default"/>
              </w:rPr>
              <w:t>应急计划区</w:t>
            </w:r>
          </w:p>
        </w:tc>
        <w:tc>
          <w:tcPr>
            <w:tcW w:w="3199" w:type="pct"/>
            <w:tcBorders>
              <w:tl2br w:val="nil"/>
              <w:tr2bl w:val="nil"/>
            </w:tcBorders>
            <w:noWrap w:val="0"/>
            <w:vAlign w:val="center"/>
          </w:tcPr>
          <w:p w14:paraId="317A04A2">
            <w:pPr>
              <w:pStyle w:val="42"/>
              <w:keepNext w:val="0"/>
              <w:keepLines w:val="0"/>
              <w:suppressLineNumbers w:val="0"/>
              <w:bidi w:val="0"/>
              <w:spacing w:before="0" w:beforeAutospacing="0" w:after="0" w:afterAutospacing="0"/>
              <w:rPr>
                <w:rFonts w:hint="default"/>
                <w:lang w:eastAsia="zh-CN"/>
              </w:rPr>
            </w:pPr>
            <w:r>
              <w:rPr>
                <w:rFonts w:hint="default"/>
                <w:lang w:eastAsia="zh-CN"/>
              </w:rPr>
              <w:t>危险目标：装置区、贮罐区、环境保护目标</w:t>
            </w:r>
          </w:p>
        </w:tc>
      </w:tr>
      <w:tr w14:paraId="1AE258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exact"/>
        </w:trPr>
        <w:tc>
          <w:tcPr>
            <w:tcW w:w="416" w:type="pct"/>
            <w:tcBorders>
              <w:tl2br w:val="nil"/>
              <w:tr2bl w:val="nil"/>
            </w:tcBorders>
            <w:noWrap w:val="0"/>
            <w:vAlign w:val="center"/>
          </w:tcPr>
          <w:p w14:paraId="542D92D9">
            <w:pPr>
              <w:pStyle w:val="42"/>
              <w:keepNext w:val="0"/>
              <w:keepLines w:val="0"/>
              <w:suppressLineNumbers w:val="0"/>
              <w:bidi w:val="0"/>
              <w:spacing w:before="0" w:beforeAutospacing="0" w:after="0" w:afterAutospacing="0"/>
              <w:rPr>
                <w:rFonts w:hint="default"/>
              </w:rPr>
            </w:pPr>
            <w:r>
              <w:rPr>
                <w:rFonts w:hint="default"/>
              </w:rPr>
              <w:t>2</w:t>
            </w:r>
          </w:p>
        </w:tc>
        <w:tc>
          <w:tcPr>
            <w:tcW w:w="1384" w:type="pct"/>
            <w:tcBorders>
              <w:tl2br w:val="nil"/>
              <w:tr2bl w:val="nil"/>
            </w:tcBorders>
            <w:noWrap w:val="0"/>
            <w:vAlign w:val="center"/>
          </w:tcPr>
          <w:p w14:paraId="285B0B5C">
            <w:pPr>
              <w:pStyle w:val="42"/>
              <w:keepNext w:val="0"/>
              <w:keepLines w:val="0"/>
              <w:suppressLineNumbers w:val="0"/>
              <w:bidi w:val="0"/>
              <w:spacing w:before="0" w:beforeAutospacing="0" w:after="0" w:afterAutospacing="0"/>
              <w:rPr>
                <w:rFonts w:hint="default"/>
              </w:rPr>
            </w:pPr>
            <w:r>
              <w:rPr>
                <w:rFonts w:hint="default"/>
              </w:rPr>
              <w:t>应急组织机构、人员</w:t>
            </w:r>
          </w:p>
        </w:tc>
        <w:tc>
          <w:tcPr>
            <w:tcW w:w="3199" w:type="pct"/>
            <w:tcBorders>
              <w:tl2br w:val="nil"/>
              <w:tr2bl w:val="nil"/>
            </w:tcBorders>
            <w:noWrap w:val="0"/>
            <w:vAlign w:val="center"/>
          </w:tcPr>
          <w:p w14:paraId="7512CFE5">
            <w:pPr>
              <w:pStyle w:val="42"/>
              <w:keepNext w:val="0"/>
              <w:keepLines w:val="0"/>
              <w:suppressLineNumbers w:val="0"/>
              <w:bidi w:val="0"/>
              <w:spacing w:before="0" w:beforeAutospacing="0" w:after="0" w:afterAutospacing="0"/>
              <w:rPr>
                <w:rFonts w:hint="default"/>
                <w:lang w:eastAsia="zh-CN"/>
              </w:rPr>
            </w:pPr>
            <w:r>
              <w:rPr>
                <w:rFonts w:hint="default"/>
                <w:lang w:eastAsia="zh-CN"/>
              </w:rPr>
              <w:t>工厂、地区应急组织机构、人员</w:t>
            </w:r>
          </w:p>
        </w:tc>
      </w:tr>
      <w:tr w14:paraId="7171D6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416" w:type="pct"/>
            <w:tcBorders>
              <w:tl2br w:val="nil"/>
              <w:tr2bl w:val="nil"/>
            </w:tcBorders>
            <w:noWrap w:val="0"/>
            <w:vAlign w:val="center"/>
          </w:tcPr>
          <w:p w14:paraId="1968F880">
            <w:pPr>
              <w:pStyle w:val="42"/>
              <w:keepNext w:val="0"/>
              <w:keepLines w:val="0"/>
              <w:suppressLineNumbers w:val="0"/>
              <w:bidi w:val="0"/>
              <w:spacing w:before="0" w:beforeAutospacing="0" w:after="0" w:afterAutospacing="0"/>
              <w:rPr>
                <w:rFonts w:hint="default"/>
              </w:rPr>
            </w:pPr>
            <w:r>
              <w:rPr>
                <w:rFonts w:hint="default"/>
              </w:rPr>
              <w:t>3</w:t>
            </w:r>
          </w:p>
        </w:tc>
        <w:tc>
          <w:tcPr>
            <w:tcW w:w="1384" w:type="pct"/>
            <w:tcBorders>
              <w:tl2br w:val="nil"/>
              <w:tr2bl w:val="nil"/>
            </w:tcBorders>
            <w:noWrap w:val="0"/>
            <w:vAlign w:val="center"/>
          </w:tcPr>
          <w:p w14:paraId="65D77BE9">
            <w:pPr>
              <w:pStyle w:val="42"/>
              <w:keepNext w:val="0"/>
              <w:keepLines w:val="0"/>
              <w:suppressLineNumbers w:val="0"/>
              <w:bidi w:val="0"/>
              <w:spacing w:before="0" w:beforeAutospacing="0" w:after="0" w:afterAutospacing="0"/>
              <w:rPr>
                <w:rFonts w:hint="default"/>
              </w:rPr>
            </w:pPr>
            <w:r>
              <w:rPr>
                <w:rFonts w:hint="default"/>
              </w:rPr>
              <w:t>预案分级响应条件</w:t>
            </w:r>
          </w:p>
        </w:tc>
        <w:tc>
          <w:tcPr>
            <w:tcW w:w="3199" w:type="pct"/>
            <w:tcBorders>
              <w:tl2br w:val="nil"/>
              <w:tr2bl w:val="nil"/>
            </w:tcBorders>
            <w:noWrap w:val="0"/>
            <w:vAlign w:val="center"/>
          </w:tcPr>
          <w:p w14:paraId="434F4BEF">
            <w:pPr>
              <w:pStyle w:val="42"/>
              <w:keepNext w:val="0"/>
              <w:keepLines w:val="0"/>
              <w:suppressLineNumbers w:val="0"/>
              <w:bidi w:val="0"/>
              <w:spacing w:before="0" w:beforeAutospacing="0" w:after="0" w:afterAutospacing="0"/>
              <w:rPr>
                <w:rFonts w:hint="default"/>
                <w:lang w:eastAsia="zh-CN"/>
              </w:rPr>
            </w:pPr>
            <w:r>
              <w:rPr>
                <w:rFonts w:hint="default"/>
                <w:lang w:eastAsia="zh-CN"/>
              </w:rPr>
              <w:t>规定预案的级别及分级响应程序</w:t>
            </w:r>
          </w:p>
        </w:tc>
      </w:tr>
      <w:tr w14:paraId="4C6C23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exact"/>
        </w:trPr>
        <w:tc>
          <w:tcPr>
            <w:tcW w:w="416" w:type="pct"/>
            <w:tcBorders>
              <w:tl2br w:val="nil"/>
              <w:tr2bl w:val="nil"/>
            </w:tcBorders>
            <w:noWrap w:val="0"/>
            <w:vAlign w:val="center"/>
          </w:tcPr>
          <w:p w14:paraId="0F3730D1">
            <w:pPr>
              <w:pStyle w:val="42"/>
              <w:keepNext w:val="0"/>
              <w:keepLines w:val="0"/>
              <w:suppressLineNumbers w:val="0"/>
              <w:bidi w:val="0"/>
              <w:spacing w:before="0" w:beforeAutospacing="0" w:after="0" w:afterAutospacing="0"/>
              <w:rPr>
                <w:rFonts w:hint="default"/>
              </w:rPr>
            </w:pPr>
            <w:r>
              <w:rPr>
                <w:rFonts w:hint="default"/>
              </w:rPr>
              <w:t>4</w:t>
            </w:r>
          </w:p>
        </w:tc>
        <w:tc>
          <w:tcPr>
            <w:tcW w:w="1384" w:type="pct"/>
            <w:tcBorders>
              <w:tl2br w:val="nil"/>
              <w:tr2bl w:val="nil"/>
            </w:tcBorders>
            <w:noWrap w:val="0"/>
            <w:vAlign w:val="center"/>
          </w:tcPr>
          <w:p w14:paraId="77CDA907">
            <w:pPr>
              <w:pStyle w:val="42"/>
              <w:keepNext w:val="0"/>
              <w:keepLines w:val="0"/>
              <w:suppressLineNumbers w:val="0"/>
              <w:bidi w:val="0"/>
              <w:spacing w:before="0" w:beforeAutospacing="0" w:after="0" w:afterAutospacing="0"/>
              <w:rPr>
                <w:rFonts w:hint="default"/>
              </w:rPr>
            </w:pPr>
            <w:r>
              <w:rPr>
                <w:rFonts w:hint="default"/>
              </w:rPr>
              <w:t>应急救援保障</w:t>
            </w:r>
          </w:p>
        </w:tc>
        <w:tc>
          <w:tcPr>
            <w:tcW w:w="3199" w:type="pct"/>
            <w:tcBorders>
              <w:tl2br w:val="nil"/>
              <w:tr2bl w:val="nil"/>
            </w:tcBorders>
            <w:noWrap w:val="0"/>
            <w:vAlign w:val="center"/>
          </w:tcPr>
          <w:p w14:paraId="782E76B5">
            <w:pPr>
              <w:pStyle w:val="42"/>
              <w:keepNext w:val="0"/>
              <w:keepLines w:val="0"/>
              <w:suppressLineNumbers w:val="0"/>
              <w:bidi w:val="0"/>
              <w:spacing w:before="0" w:beforeAutospacing="0" w:after="0" w:afterAutospacing="0"/>
              <w:rPr>
                <w:rFonts w:hint="default"/>
                <w:lang w:eastAsia="zh-CN"/>
              </w:rPr>
            </w:pPr>
            <w:r>
              <w:rPr>
                <w:rFonts w:hint="default"/>
                <w:lang w:eastAsia="zh-CN"/>
              </w:rPr>
              <w:t>应急设施，设备与器材等</w:t>
            </w:r>
          </w:p>
        </w:tc>
      </w:tr>
      <w:tr w14:paraId="31979D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6" w:hRule="exact"/>
        </w:trPr>
        <w:tc>
          <w:tcPr>
            <w:tcW w:w="416" w:type="pct"/>
            <w:tcBorders>
              <w:tl2br w:val="nil"/>
              <w:tr2bl w:val="nil"/>
            </w:tcBorders>
            <w:noWrap w:val="0"/>
            <w:vAlign w:val="center"/>
          </w:tcPr>
          <w:p w14:paraId="600E4981">
            <w:pPr>
              <w:pStyle w:val="42"/>
              <w:keepNext w:val="0"/>
              <w:keepLines w:val="0"/>
              <w:suppressLineNumbers w:val="0"/>
              <w:bidi w:val="0"/>
              <w:spacing w:before="0" w:beforeAutospacing="0" w:after="0" w:afterAutospacing="0"/>
              <w:rPr>
                <w:rFonts w:hint="default"/>
              </w:rPr>
            </w:pPr>
            <w:r>
              <w:rPr>
                <w:rFonts w:hint="default"/>
              </w:rPr>
              <w:t>5</w:t>
            </w:r>
          </w:p>
        </w:tc>
        <w:tc>
          <w:tcPr>
            <w:tcW w:w="1384" w:type="pct"/>
            <w:tcBorders>
              <w:tl2br w:val="nil"/>
              <w:tr2bl w:val="nil"/>
            </w:tcBorders>
            <w:noWrap w:val="0"/>
            <w:vAlign w:val="center"/>
          </w:tcPr>
          <w:p w14:paraId="0EEB7846">
            <w:pPr>
              <w:pStyle w:val="42"/>
              <w:keepNext w:val="0"/>
              <w:keepLines w:val="0"/>
              <w:suppressLineNumbers w:val="0"/>
              <w:bidi w:val="0"/>
              <w:spacing w:before="0" w:beforeAutospacing="0" w:after="0" w:afterAutospacing="0"/>
              <w:rPr>
                <w:rFonts w:hint="default"/>
              </w:rPr>
            </w:pPr>
            <w:r>
              <w:rPr>
                <w:rFonts w:hint="default"/>
              </w:rPr>
              <w:t>报警、通讯联络方式</w:t>
            </w:r>
          </w:p>
        </w:tc>
        <w:tc>
          <w:tcPr>
            <w:tcW w:w="3199" w:type="pct"/>
            <w:tcBorders>
              <w:tl2br w:val="nil"/>
              <w:tr2bl w:val="nil"/>
            </w:tcBorders>
            <w:noWrap w:val="0"/>
            <w:vAlign w:val="center"/>
          </w:tcPr>
          <w:p w14:paraId="6982AE55">
            <w:pPr>
              <w:pStyle w:val="42"/>
              <w:keepNext w:val="0"/>
              <w:keepLines w:val="0"/>
              <w:suppressLineNumbers w:val="0"/>
              <w:bidi w:val="0"/>
              <w:spacing w:before="0" w:beforeAutospacing="0" w:after="0" w:afterAutospacing="0"/>
              <w:rPr>
                <w:rFonts w:hint="default"/>
                <w:lang w:eastAsia="zh-CN"/>
              </w:rPr>
            </w:pPr>
            <w:r>
              <w:rPr>
                <w:rFonts w:hint="default"/>
                <w:lang w:eastAsia="zh-CN"/>
              </w:rPr>
              <w:t>规定应急状态下的报警通讯方式、通知方式和交通保障、管制</w:t>
            </w:r>
          </w:p>
        </w:tc>
      </w:tr>
      <w:tr w14:paraId="4F4733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96" w:hRule="atLeast"/>
        </w:trPr>
        <w:tc>
          <w:tcPr>
            <w:tcW w:w="416" w:type="pct"/>
            <w:tcBorders>
              <w:tl2br w:val="nil"/>
              <w:tr2bl w:val="nil"/>
            </w:tcBorders>
            <w:noWrap w:val="0"/>
            <w:vAlign w:val="center"/>
          </w:tcPr>
          <w:p w14:paraId="13AEE8E8">
            <w:pPr>
              <w:pStyle w:val="42"/>
              <w:keepNext w:val="0"/>
              <w:keepLines w:val="0"/>
              <w:suppressLineNumbers w:val="0"/>
              <w:bidi w:val="0"/>
              <w:spacing w:before="0" w:beforeAutospacing="0" w:after="0" w:afterAutospacing="0"/>
              <w:rPr>
                <w:rFonts w:hint="default"/>
              </w:rPr>
            </w:pPr>
            <w:r>
              <w:rPr>
                <w:rFonts w:hint="default"/>
              </w:rPr>
              <w:t>6</w:t>
            </w:r>
          </w:p>
        </w:tc>
        <w:tc>
          <w:tcPr>
            <w:tcW w:w="1384" w:type="pct"/>
            <w:tcBorders>
              <w:tl2br w:val="nil"/>
              <w:tr2bl w:val="nil"/>
            </w:tcBorders>
            <w:noWrap w:val="0"/>
            <w:vAlign w:val="center"/>
          </w:tcPr>
          <w:p w14:paraId="61AAD8D7">
            <w:pPr>
              <w:pStyle w:val="42"/>
              <w:keepNext w:val="0"/>
              <w:keepLines w:val="0"/>
              <w:suppressLineNumbers w:val="0"/>
              <w:bidi w:val="0"/>
              <w:spacing w:before="0" w:beforeAutospacing="0" w:after="0" w:afterAutospacing="0"/>
              <w:rPr>
                <w:rFonts w:hint="default"/>
              </w:rPr>
            </w:pPr>
            <w:r>
              <w:rPr>
                <w:rFonts w:hint="default"/>
              </w:rPr>
              <w:t>应急环境监测、抢险、救</w:t>
            </w:r>
          </w:p>
          <w:p w14:paraId="79D9A49F">
            <w:pPr>
              <w:pStyle w:val="42"/>
              <w:keepNext w:val="0"/>
              <w:keepLines w:val="0"/>
              <w:suppressLineNumbers w:val="0"/>
              <w:bidi w:val="0"/>
              <w:spacing w:before="0" w:beforeAutospacing="0" w:after="0" w:afterAutospacing="0"/>
              <w:rPr>
                <w:rFonts w:hint="default"/>
              </w:rPr>
            </w:pPr>
            <w:r>
              <w:rPr>
                <w:rFonts w:hint="default"/>
              </w:rPr>
              <w:t>援及控制措施</w:t>
            </w:r>
          </w:p>
        </w:tc>
        <w:tc>
          <w:tcPr>
            <w:tcW w:w="3199" w:type="pct"/>
            <w:tcBorders>
              <w:tl2br w:val="nil"/>
              <w:tr2bl w:val="nil"/>
            </w:tcBorders>
            <w:noWrap w:val="0"/>
            <w:vAlign w:val="center"/>
          </w:tcPr>
          <w:p w14:paraId="70B21CD2">
            <w:pPr>
              <w:pStyle w:val="42"/>
              <w:keepNext w:val="0"/>
              <w:keepLines w:val="0"/>
              <w:suppressLineNumbers w:val="0"/>
              <w:bidi w:val="0"/>
              <w:spacing w:before="0" w:beforeAutospacing="0" w:after="0" w:afterAutospacing="0"/>
              <w:rPr>
                <w:rFonts w:hint="default"/>
                <w:lang w:eastAsia="zh-CN"/>
              </w:rPr>
            </w:pPr>
            <w:r>
              <w:rPr>
                <w:rFonts w:hint="default"/>
                <w:lang w:eastAsia="zh-CN"/>
              </w:rPr>
              <w:t>由专业队伍负责对事故现场进行侦察监测，对事故性质、参数与后果进行评估，为指挥部门提供决策依据</w:t>
            </w:r>
          </w:p>
        </w:tc>
      </w:tr>
      <w:tr w14:paraId="3CA6B3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91" w:hRule="atLeast"/>
        </w:trPr>
        <w:tc>
          <w:tcPr>
            <w:tcW w:w="416" w:type="pct"/>
            <w:tcBorders>
              <w:tl2br w:val="nil"/>
              <w:tr2bl w:val="nil"/>
            </w:tcBorders>
            <w:noWrap w:val="0"/>
            <w:vAlign w:val="center"/>
          </w:tcPr>
          <w:p w14:paraId="29325115">
            <w:pPr>
              <w:pStyle w:val="42"/>
              <w:keepNext w:val="0"/>
              <w:keepLines w:val="0"/>
              <w:suppressLineNumbers w:val="0"/>
              <w:bidi w:val="0"/>
              <w:spacing w:before="0" w:beforeAutospacing="0" w:after="0" w:afterAutospacing="0"/>
              <w:rPr>
                <w:rFonts w:hint="default"/>
              </w:rPr>
            </w:pPr>
            <w:r>
              <w:rPr>
                <w:rFonts w:hint="default"/>
              </w:rPr>
              <w:t>7</w:t>
            </w:r>
          </w:p>
        </w:tc>
        <w:tc>
          <w:tcPr>
            <w:tcW w:w="1384" w:type="pct"/>
            <w:tcBorders>
              <w:tl2br w:val="nil"/>
              <w:tr2bl w:val="nil"/>
            </w:tcBorders>
            <w:noWrap w:val="0"/>
            <w:vAlign w:val="center"/>
          </w:tcPr>
          <w:p w14:paraId="1F3E02C5">
            <w:pPr>
              <w:pStyle w:val="42"/>
              <w:keepNext w:val="0"/>
              <w:keepLines w:val="0"/>
              <w:suppressLineNumbers w:val="0"/>
              <w:bidi w:val="0"/>
              <w:spacing w:before="0" w:beforeAutospacing="0" w:after="0" w:afterAutospacing="0"/>
              <w:rPr>
                <w:rFonts w:hint="default"/>
                <w:lang w:eastAsia="zh-CN"/>
              </w:rPr>
            </w:pPr>
            <w:r>
              <w:rPr>
                <w:rFonts w:hint="default"/>
                <w:lang w:eastAsia="zh-CN"/>
              </w:rPr>
              <w:t>应急检测、防护措施、清除泄漏措施和器材</w:t>
            </w:r>
          </w:p>
        </w:tc>
        <w:tc>
          <w:tcPr>
            <w:tcW w:w="3199" w:type="pct"/>
            <w:tcBorders>
              <w:tl2br w:val="nil"/>
              <w:tr2bl w:val="nil"/>
            </w:tcBorders>
            <w:noWrap w:val="0"/>
            <w:vAlign w:val="center"/>
          </w:tcPr>
          <w:p w14:paraId="610BECFE">
            <w:pPr>
              <w:pStyle w:val="42"/>
              <w:keepNext w:val="0"/>
              <w:keepLines w:val="0"/>
              <w:suppressLineNumbers w:val="0"/>
              <w:bidi w:val="0"/>
              <w:spacing w:before="0" w:beforeAutospacing="0" w:after="0" w:afterAutospacing="0"/>
              <w:rPr>
                <w:rFonts w:hint="default"/>
                <w:lang w:eastAsia="zh-CN"/>
              </w:rPr>
            </w:pPr>
            <w:r>
              <w:rPr>
                <w:rFonts w:hint="default"/>
                <w:lang w:eastAsia="zh-CN"/>
              </w:rPr>
              <w:t>事故现场、邻近区域、控制防火区域，控制和清除污染措施及相应设备</w:t>
            </w:r>
          </w:p>
        </w:tc>
      </w:tr>
      <w:tr w14:paraId="7273F5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37" w:hRule="atLeast"/>
        </w:trPr>
        <w:tc>
          <w:tcPr>
            <w:tcW w:w="416" w:type="pct"/>
            <w:tcBorders>
              <w:tl2br w:val="nil"/>
              <w:tr2bl w:val="nil"/>
            </w:tcBorders>
            <w:noWrap w:val="0"/>
            <w:vAlign w:val="center"/>
          </w:tcPr>
          <w:p w14:paraId="5602987F">
            <w:pPr>
              <w:pStyle w:val="42"/>
              <w:keepNext w:val="0"/>
              <w:keepLines w:val="0"/>
              <w:suppressLineNumbers w:val="0"/>
              <w:bidi w:val="0"/>
              <w:spacing w:before="0" w:beforeAutospacing="0" w:after="0" w:afterAutospacing="0"/>
              <w:rPr>
                <w:rFonts w:hint="default"/>
                <w:highlight w:val="none"/>
              </w:rPr>
            </w:pPr>
            <w:r>
              <w:rPr>
                <w:rFonts w:hint="default"/>
                <w:highlight w:val="none"/>
              </w:rPr>
              <w:t>8</w:t>
            </w:r>
          </w:p>
        </w:tc>
        <w:tc>
          <w:tcPr>
            <w:tcW w:w="1384" w:type="pct"/>
            <w:tcBorders>
              <w:tl2br w:val="nil"/>
              <w:tr2bl w:val="nil"/>
            </w:tcBorders>
            <w:noWrap w:val="0"/>
            <w:vAlign w:val="center"/>
          </w:tcPr>
          <w:p w14:paraId="40454FFE">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人员紧急撤离、疏散，应急剂量控制、撤离组织计划</w:t>
            </w:r>
          </w:p>
        </w:tc>
        <w:tc>
          <w:tcPr>
            <w:tcW w:w="3199" w:type="pct"/>
            <w:tcBorders>
              <w:tl2br w:val="nil"/>
              <w:tr2bl w:val="nil"/>
            </w:tcBorders>
            <w:noWrap w:val="0"/>
            <w:vAlign w:val="center"/>
          </w:tcPr>
          <w:p w14:paraId="71FFD271">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事故现场、工厂邻近区、受事故影响的区域人员及公众对毒物应急剂量控制规定，撤离组织计划及救护，医疗救护与公众健康</w:t>
            </w:r>
          </w:p>
        </w:tc>
      </w:tr>
      <w:tr w14:paraId="5178FD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96" w:hRule="atLeast"/>
        </w:trPr>
        <w:tc>
          <w:tcPr>
            <w:tcW w:w="416" w:type="pct"/>
            <w:tcBorders>
              <w:tl2br w:val="nil"/>
              <w:tr2bl w:val="nil"/>
            </w:tcBorders>
            <w:noWrap w:val="0"/>
            <w:vAlign w:val="center"/>
          </w:tcPr>
          <w:p w14:paraId="3590EC1E">
            <w:pPr>
              <w:pStyle w:val="42"/>
              <w:keepNext w:val="0"/>
              <w:keepLines w:val="0"/>
              <w:suppressLineNumbers w:val="0"/>
              <w:bidi w:val="0"/>
              <w:spacing w:before="0" w:beforeAutospacing="0" w:after="0" w:afterAutospacing="0"/>
              <w:rPr>
                <w:rFonts w:hint="default"/>
                <w:highlight w:val="none"/>
              </w:rPr>
            </w:pPr>
            <w:r>
              <w:rPr>
                <w:rFonts w:hint="default"/>
                <w:highlight w:val="none"/>
              </w:rPr>
              <w:t>9</w:t>
            </w:r>
          </w:p>
        </w:tc>
        <w:tc>
          <w:tcPr>
            <w:tcW w:w="1384" w:type="pct"/>
            <w:tcBorders>
              <w:tl2br w:val="nil"/>
              <w:tr2bl w:val="nil"/>
            </w:tcBorders>
            <w:noWrap w:val="0"/>
            <w:vAlign w:val="center"/>
          </w:tcPr>
          <w:p w14:paraId="6AF4DFA6">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事故应急救援关闭程序与恢复措施</w:t>
            </w:r>
          </w:p>
        </w:tc>
        <w:tc>
          <w:tcPr>
            <w:tcW w:w="3199" w:type="pct"/>
            <w:tcBorders>
              <w:tl2br w:val="nil"/>
              <w:tr2bl w:val="nil"/>
            </w:tcBorders>
            <w:noWrap w:val="0"/>
            <w:vAlign w:val="center"/>
          </w:tcPr>
          <w:p w14:paraId="285BDEE1">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规定应急状态终止程序事故现场善后处理，恢复措施邻近区域解除事故警戒及善后恢复措施</w:t>
            </w:r>
          </w:p>
        </w:tc>
      </w:tr>
      <w:tr w14:paraId="5A82CA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exact"/>
        </w:trPr>
        <w:tc>
          <w:tcPr>
            <w:tcW w:w="416" w:type="pct"/>
            <w:tcBorders>
              <w:tl2br w:val="nil"/>
              <w:tr2bl w:val="nil"/>
            </w:tcBorders>
            <w:noWrap w:val="0"/>
            <w:vAlign w:val="center"/>
          </w:tcPr>
          <w:p w14:paraId="7013E5E5">
            <w:pPr>
              <w:pStyle w:val="42"/>
              <w:keepNext w:val="0"/>
              <w:keepLines w:val="0"/>
              <w:suppressLineNumbers w:val="0"/>
              <w:bidi w:val="0"/>
              <w:spacing w:before="0" w:beforeAutospacing="0" w:after="0" w:afterAutospacing="0"/>
              <w:rPr>
                <w:rFonts w:hint="default"/>
                <w:highlight w:val="none"/>
              </w:rPr>
            </w:pPr>
            <w:r>
              <w:rPr>
                <w:rFonts w:hint="default"/>
                <w:highlight w:val="none"/>
              </w:rPr>
              <w:t>10</w:t>
            </w:r>
          </w:p>
        </w:tc>
        <w:tc>
          <w:tcPr>
            <w:tcW w:w="1384" w:type="pct"/>
            <w:tcBorders>
              <w:tl2br w:val="nil"/>
              <w:tr2bl w:val="nil"/>
            </w:tcBorders>
            <w:noWrap w:val="0"/>
            <w:vAlign w:val="center"/>
          </w:tcPr>
          <w:p w14:paraId="29FA8F2D">
            <w:pPr>
              <w:pStyle w:val="42"/>
              <w:keepNext w:val="0"/>
              <w:keepLines w:val="0"/>
              <w:suppressLineNumbers w:val="0"/>
              <w:bidi w:val="0"/>
              <w:spacing w:before="0" w:beforeAutospacing="0" w:after="0" w:afterAutospacing="0"/>
              <w:rPr>
                <w:rFonts w:hint="default"/>
                <w:highlight w:val="none"/>
              </w:rPr>
            </w:pPr>
            <w:r>
              <w:rPr>
                <w:rFonts w:hint="default"/>
                <w:highlight w:val="none"/>
              </w:rPr>
              <w:t>应急培训计划</w:t>
            </w:r>
          </w:p>
        </w:tc>
        <w:tc>
          <w:tcPr>
            <w:tcW w:w="3199" w:type="pct"/>
            <w:tcBorders>
              <w:tl2br w:val="nil"/>
              <w:tr2bl w:val="nil"/>
            </w:tcBorders>
            <w:noWrap w:val="0"/>
            <w:vAlign w:val="center"/>
          </w:tcPr>
          <w:p w14:paraId="192C44B6">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应急计划制定后，平时安排人员培训与演练</w:t>
            </w:r>
          </w:p>
        </w:tc>
      </w:tr>
      <w:tr w14:paraId="12F82D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416" w:type="pct"/>
            <w:tcBorders>
              <w:tl2br w:val="nil"/>
              <w:tr2bl w:val="nil"/>
            </w:tcBorders>
            <w:noWrap w:val="0"/>
            <w:vAlign w:val="center"/>
          </w:tcPr>
          <w:p w14:paraId="0E7FD007">
            <w:pPr>
              <w:pStyle w:val="42"/>
              <w:keepNext w:val="0"/>
              <w:keepLines w:val="0"/>
              <w:suppressLineNumbers w:val="0"/>
              <w:bidi w:val="0"/>
              <w:spacing w:before="0" w:beforeAutospacing="0" w:after="0" w:afterAutospacing="0"/>
              <w:rPr>
                <w:rFonts w:hint="default"/>
                <w:highlight w:val="none"/>
              </w:rPr>
            </w:pPr>
            <w:r>
              <w:rPr>
                <w:rFonts w:hint="default"/>
                <w:highlight w:val="none"/>
              </w:rPr>
              <w:t>11</w:t>
            </w:r>
          </w:p>
        </w:tc>
        <w:tc>
          <w:tcPr>
            <w:tcW w:w="1384" w:type="pct"/>
            <w:tcBorders>
              <w:tl2br w:val="nil"/>
              <w:tr2bl w:val="nil"/>
            </w:tcBorders>
            <w:noWrap w:val="0"/>
            <w:vAlign w:val="center"/>
          </w:tcPr>
          <w:p w14:paraId="57D23792">
            <w:pPr>
              <w:pStyle w:val="42"/>
              <w:keepNext w:val="0"/>
              <w:keepLines w:val="0"/>
              <w:suppressLineNumbers w:val="0"/>
              <w:bidi w:val="0"/>
              <w:spacing w:before="0" w:beforeAutospacing="0" w:after="0" w:afterAutospacing="0"/>
              <w:rPr>
                <w:rFonts w:hint="default"/>
                <w:highlight w:val="none"/>
              </w:rPr>
            </w:pPr>
            <w:r>
              <w:rPr>
                <w:rFonts w:hint="default"/>
                <w:highlight w:val="none"/>
              </w:rPr>
              <w:t>公众教育和信息</w:t>
            </w:r>
          </w:p>
        </w:tc>
        <w:tc>
          <w:tcPr>
            <w:tcW w:w="3199" w:type="pct"/>
            <w:tcBorders>
              <w:tl2br w:val="nil"/>
              <w:tr2bl w:val="nil"/>
            </w:tcBorders>
            <w:noWrap w:val="0"/>
            <w:vAlign w:val="center"/>
          </w:tcPr>
          <w:p w14:paraId="7E974002">
            <w:pPr>
              <w:pStyle w:val="42"/>
              <w:keepNext w:val="0"/>
              <w:keepLines w:val="0"/>
              <w:suppressLineNumbers w:val="0"/>
              <w:bidi w:val="0"/>
              <w:spacing w:before="0" w:beforeAutospacing="0" w:after="0" w:afterAutospacing="0"/>
              <w:rPr>
                <w:rFonts w:hint="default"/>
                <w:highlight w:val="none"/>
                <w:lang w:eastAsia="zh-CN"/>
              </w:rPr>
            </w:pPr>
            <w:r>
              <w:rPr>
                <w:rFonts w:hint="default"/>
                <w:highlight w:val="none"/>
                <w:lang w:eastAsia="zh-CN"/>
              </w:rPr>
              <w:t>对工厂邻近地区开展公众教育、培训和发布有关信息</w:t>
            </w:r>
          </w:p>
        </w:tc>
      </w:tr>
    </w:tbl>
    <w:p w14:paraId="04A9E629">
      <w:pPr>
        <w:pStyle w:val="7"/>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事故应急响应程序</w:t>
      </w:r>
    </w:p>
    <w:p w14:paraId="77DC713D">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事故应急救援一般包括报警与接警、应急救援队伍的出动、救援后备队的预备、实施应急救援（紧急疏散、现场急救）、溢出或泄漏救援和火灾控制几个方面。</w:t>
      </w:r>
    </w:p>
    <w:p w14:paraId="57C5B5D2">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事故报警，发生危险化学品特大事故或有可能发展成为特大事故和可能危及周边区域安全的事故时，企业应及时向应急指挥部报告或向119报警。报告或报警的内容包括：事故发生的时间、地点、企业名称、交通路线、联络电话、联络人姓名、危险化学品的种类、数量、事故类型（火灾、爆炸、有毒物质的大量泄漏等）、周边情况、需要支援的人员、设备、器材等。</w:t>
      </w:r>
    </w:p>
    <w:p w14:paraId="3250F452">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（2）接到报告或报警后，应急指挥部立即指派应急总指挥，调集车辆和各专业队伍、设施迅速赶赴事故现场。</w:t>
      </w:r>
    </w:p>
    <w:p w14:paraId="18824F13">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（3）事故发生单位应指派专人负责引导指挥人员及各专业队伍进入事故救援现场；</w:t>
      </w:r>
    </w:p>
    <w:p w14:paraId="25A1B4C9">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（4）指挥人员到达现场后，立即了解现场情况及事故的性质，确定警戒区域和事故控制具体实施方案，布置各专业救援队伍任务。</w:t>
      </w:r>
    </w:p>
    <w:p w14:paraId="780A8CA1">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（5）专家咨询到达现场后，迅速对事故情况做出判断，提出处置实施办法和防范措施，事故得到控制后，参与事故调查及提出防范措施；</w:t>
      </w:r>
    </w:p>
    <w:p w14:paraId="3F9CD27B">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（6）各专业救援队伍到达现场后，服从现场指挥人员的指挥，采取必须的个人防护，按各自的分工展开处置和救援工作；</w:t>
      </w:r>
    </w:p>
    <w:p w14:paraId="71240AD0">
      <w:pPr>
        <w:spacing w:before="0" w:after="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（7）事故得到控制后，由专家组成员和环保部门指导进行现场洗消工作。</w:t>
      </w:r>
    </w:p>
    <w:p w14:paraId="02CF7F5E">
      <w:pPr>
        <w:pStyle w:val="6"/>
        <w:rPr>
          <w:rFonts w:hint="default" w:ascii="Times New Roman" w:hAnsi="Times New Roman" w:cs="Times New Roman"/>
          <w:color w:val="auto"/>
          <w:highlight w:val="none"/>
          <w:u w:val="none" w:color="auto"/>
        </w:rPr>
      </w:pPr>
      <w:bookmarkStart w:id="172" w:name="_Toc11914794"/>
      <w:r>
        <w:rPr>
          <w:rFonts w:hint="default" w:ascii="Times New Roman" w:hAnsi="Times New Roman" w:cs="Times New Roman"/>
          <w:color w:val="auto"/>
          <w:highlight w:val="none"/>
          <w:u w:val="none" w:color="auto"/>
        </w:rPr>
        <w:t>小结</w:t>
      </w:r>
      <w:bookmarkEnd w:id="172"/>
    </w:p>
    <w:p w14:paraId="0B421DC7">
      <w:pPr>
        <w:rPr>
          <w:rFonts w:hint="default" w:ascii="Times New Roman" w:hAnsi="Times New Roman" w:cs="Times New Roman"/>
          <w:color w:val="auto"/>
          <w:highlight w:val="none"/>
          <w:u w:val="none" w:color="auto"/>
        </w:rPr>
      </w:pPr>
      <w:r>
        <w:rPr>
          <w:rFonts w:hint="default" w:ascii="Times New Roman" w:hAnsi="Times New Roman" w:cs="Times New Roman"/>
          <w:color w:val="auto"/>
          <w:sz w:val="24"/>
          <w:szCs w:val="24"/>
          <w:highlight w:val="none"/>
          <w:u w:val="none" w:color="auto"/>
        </w:rPr>
        <w:t>本项目使用的危险化学品使用量和储存量尚未构成重大危险源；风险分析表明，公司通过采取一系列的风险防范措施，同时制定相应的事故应急预案，可有效地降低危险化学品的使用风险，并能使其达到可接受水平。</w:t>
      </w:r>
    </w:p>
    <w:p w14:paraId="57C51FC4">
      <w:pPr>
        <w:pStyle w:val="39"/>
        <w:bidi w:val="0"/>
        <w:rPr>
          <w:rFonts w:hint="default"/>
        </w:rPr>
      </w:pPr>
      <w:r>
        <w:rPr>
          <w:rFonts w:hint="default"/>
        </w:rPr>
        <w:t>表</w:t>
      </w:r>
      <w:r>
        <w:rPr>
          <w:rFonts w:hint="eastAsia"/>
          <w:lang w:val="en-US" w:eastAsia="zh-CN"/>
        </w:rPr>
        <w:t>6.5</w:t>
      </w:r>
      <w:r>
        <w:rPr>
          <w:rFonts w:hint="default"/>
        </w:rPr>
        <w:t>-</w:t>
      </w:r>
      <w:r>
        <w:rPr>
          <w:rFonts w:hint="eastAsia"/>
          <w:lang w:val="en-US" w:eastAsia="zh-CN"/>
        </w:rPr>
        <w:t>12</w:t>
      </w:r>
      <w:r>
        <w:rPr>
          <w:rFonts w:hint="default"/>
          <w:lang w:val="en-US" w:eastAsia="zh-CN"/>
        </w:rPr>
        <w:t xml:space="preserve">  </w:t>
      </w:r>
      <w:r>
        <w:rPr>
          <w:rFonts w:hint="default"/>
        </w:rPr>
        <w:t>建设项目环境风险简单分析内容表</w:t>
      </w:r>
    </w:p>
    <w:tbl>
      <w:tblPr>
        <w:tblStyle w:val="30"/>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328"/>
        <w:gridCol w:w="1384"/>
        <w:gridCol w:w="1647"/>
        <w:gridCol w:w="1007"/>
        <w:gridCol w:w="2151"/>
      </w:tblGrid>
      <w:tr w14:paraId="6D8598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48C8EFFF">
            <w:pPr>
              <w:pStyle w:val="42"/>
              <w:keepNext w:val="0"/>
              <w:keepLines w:val="0"/>
              <w:suppressLineNumbers w:val="0"/>
              <w:bidi w:val="0"/>
              <w:spacing w:before="0" w:beforeAutospacing="0" w:after="0" w:afterAutospacing="0"/>
              <w:rPr>
                <w:rFonts w:hint="default"/>
              </w:rPr>
            </w:pPr>
            <w:r>
              <w:rPr>
                <w:rFonts w:hint="default"/>
              </w:rPr>
              <w:t>建设项目名称</w:t>
            </w:r>
          </w:p>
        </w:tc>
        <w:tc>
          <w:tcPr>
            <w:tcW w:w="3622" w:type="pct"/>
            <w:gridSpan w:val="4"/>
            <w:tcBorders>
              <w:tl2br w:val="nil"/>
              <w:tr2bl w:val="nil"/>
            </w:tcBorders>
            <w:noWrap w:val="0"/>
            <w:vAlign w:val="center"/>
          </w:tcPr>
          <w:p w14:paraId="1183E771">
            <w:pPr>
              <w:pStyle w:val="42"/>
              <w:keepNext w:val="0"/>
              <w:keepLines w:val="0"/>
              <w:suppressLineNumbers w:val="0"/>
              <w:bidi w:val="0"/>
              <w:spacing w:before="0" w:beforeAutospacing="0" w:after="0" w:afterAutospacing="0"/>
              <w:rPr>
                <w:rFonts w:hint="default"/>
              </w:rPr>
            </w:pPr>
            <w:r>
              <w:rPr>
                <w:rFonts w:hint="default"/>
                <w:lang w:val="en-US" w:eastAsia="zh-CN"/>
              </w:rPr>
              <w:t>湘阴佳海绿色食品产业园一期污水处理站建设项目</w:t>
            </w:r>
          </w:p>
        </w:tc>
      </w:tr>
      <w:tr w14:paraId="4717D2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305EE5A4">
            <w:pPr>
              <w:pStyle w:val="42"/>
              <w:keepNext w:val="0"/>
              <w:keepLines w:val="0"/>
              <w:suppressLineNumbers w:val="0"/>
              <w:bidi w:val="0"/>
              <w:spacing w:before="0" w:beforeAutospacing="0" w:after="0" w:afterAutospacing="0"/>
              <w:rPr>
                <w:rFonts w:hint="default"/>
              </w:rPr>
            </w:pPr>
            <w:r>
              <w:rPr>
                <w:rFonts w:hint="default"/>
              </w:rPr>
              <w:t>建设地点</w:t>
            </w:r>
          </w:p>
        </w:tc>
        <w:tc>
          <w:tcPr>
            <w:tcW w:w="823" w:type="pct"/>
            <w:tcBorders>
              <w:tl2br w:val="nil"/>
              <w:tr2bl w:val="nil"/>
            </w:tcBorders>
            <w:noWrap w:val="0"/>
            <w:vAlign w:val="center"/>
          </w:tcPr>
          <w:p w14:paraId="1A7F6EA2">
            <w:pPr>
              <w:pStyle w:val="42"/>
              <w:keepNext w:val="0"/>
              <w:keepLines w:val="0"/>
              <w:suppressLineNumbers w:val="0"/>
              <w:bidi w:val="0"/>
              <w:spacing w:before="0" w:beforeAutospacing="0" w:after="0" w:afterAutospacing="0"/>
              <w:rPr>
                <w:rFonts w:hint="default"/>
              </w:rPr>
            </w:pPr>
            <w:r>
              <w:rPr>
                <w:rFonts w:hint="default"/>
              </w:rPr>
              <w:t>湖南省</w:t>
            </w:r>
          </w:p>
        </w:tc>
        <w:tc>
          <w:tcPr>
            <w:tcW w:w="925" w:type="pct"/>
            <w:tcBorders>
              <w:tl2br w:val="nil"/>
              <w:tr2bl w:val="nil"/>
            </w:tcBorders>
            <w:noWrap w:val="0"/>
            <w:vAlign w:val="center"/>
          </w:tcPr>
          <w:p w14:paraId="2FB0949C">
            <w:pPr>
              <w:pStyle w:val="42"/>
              <w:keepNext w:val="0"/>
              <w:keepLines w:val="0"/>
              <w:suppressLineNumbers w:val="0"/>
              <w:bidi w:val="0"/>
              <w:spacing w:before="0" w:beforeAutospacing="0" w:after="0" w:afterAutospacing="0"/>
              <w:rPr>
                <w:rFonts w:hint="default"/>
                <w:lang w:eastAsia="zh-CN"/>
              </w:rPr>
            </w:pPr>
            <w:r>
              <w:rPr>
                <w:rFonts w:hint="default"/>
                <w:lang w:eastAsia="zh-CN"/>
              </w:rPr>
              <w:t>岳阳市</w:t>
            </w:r>
          </w:p>
        </w:tc>
        <w:tc>
          <w:tcPr>
            <w:tcW w:w="602" w:type="pct"/>
            <w:tcBorders>
              <w:tl2br w:val="nil"/>
              <w:tr2bl w:val="nil"/>
            </w:tcBorders>
            <w:noWrap w:val="0"/>
            <w:vAlign w:val="center"/>
          </w:tcPr>
          <w:p w14:paraId="7E39601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镇</w:t>
            </w:r>
          </w:p>
        </w:tc>
        <w:tc>
          <w:tcPr>
            <w:tcW w:w="1270" w:type="pct"/>
            <w:tcBorders>
              <w:tl2br w:val="nil"/>
              <w:tr2bl w:val="nil"/>
            </w:tcBorders>
            <w:noWrap w:val="0"/>
            <w:vAlign w:val="center"/>
          </w:tcPr>
          <w:p w14:paraId="334E6634">
            <w:pPr>
              <w:pStyle w:val="42"/>
              <w:keepNext w:val="0"/>
              <w:keepLines w:val="0"/>
              <w:suppressLineNumbers w:val="0"/>
              <w:bidi w:val="0"/>
              <w:spacing w:before="0" w:beforeAutospacing="0" w:after="0" w:afterAutospacing="0"/>
              <w:rPr>
                <w:rFonts w:hint="default"/>
                <w:lang w:val="en-US"/>
              </w:rPr>
            </w:pPr>
            <w:r>
              <w:rPr>
                <w:rFonts w:hint="eastAsia"/>
                <w:lang w:val="en-US" w:eastAsia="zh-CN"/>
              </w:rPr>
              <w:t>湖南省岳阳市湘阴镇建铭大道北与芙蓉北路交汇处湘阴佳海绿色食品产业园一期(</w:t>
            </w:r>
          </w:p>
        </w:tc>
      </w:tr>
      <w:tr w14:paraId="61EE8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50647599">
            <w:pPr>
              <w:pStyle w:val="42"/>
              <w:keepNext w:val="0"/>
              <w:keepLines w:val="0"/>
              <w:suppressLineNumbers w:val="0"/>
              <w:bidi w:val="0"/>
              <w:spacing w:before="0" w:beforeAutospacing="0" w:after="0" w:afterAutospacing="0"/>
              <w:rPr>
                <w:rFonts w:hint="default"/>
              </w:rPr>
            </w:pPr>
            <w:r>
              <w:rPr>
                <w:rFonts w:hint="default"/>
              </w:rPr>
              <w:t>地理坐标</w:t>
            </w:r>
          </w:p>
        </w:tc>
        <w:tc>
          <w:tcPr>
            <w:tcW w:w="823" w:type="pct"/>
            <w:tcBorders>
              <w:tl2br w:val="nil"/>
              <w:tr2bl w:val="nil"/>
            </w:tcBorders>
            <w:noWrap w:val="0"/>
            <w:vAlign w:val="center"/>
          </w:tcPr>
          <w:p w14:paraId="459D81F5">
            <w:pPr>
              <w:pStyle w:val="42"/>
              <w:keepNext w:val="0"/>
              <w:keepLines w:val="0"/>
              <w:suppressLineNumbers w:val="0"/>
              <w:bidi w:val="0"/>
              <w:spacing w:before="0" w:beforeAutospacing="0" w:after="0" w:afterAutospacing="0"/>
              <w:rPr>
                <w:rFonts w:hint="default"/>
              </w:rPr>
            </w:pPr>
            <w:r>
              <w:rPr>
                <w:rFonts w:hint="default"/>
              </w:rPr>
              <w:t>经度</w:t>
            </w:r>
          </w:p>
        </w:tc>
        <w:tc>
          <w:tcPr>
            <w:tcW w:w="925" w:type="pct"/>
            <w:tcBorders>
              <w:tl2br w:val="nil"/>
              <w:tr2bl w:val="nil"/>
            </w:tcBorders>
            <w:noWrap w:val="0"/>
            <w:vAlign w:val="center"/>
          </w:tcPr>
          <w:p w14:paraId="0797E21E">
            <w:pPr>
              <w:pStyle w:val="42"/>
              <w:keepNext w:val="0"/>
              <w:keepLines w:val="0"/>
              <w:suppressLineNumbers w:val="0"/>
              <w:bidi w:val="0"/>
              <w:spacing w:before="0" w:beforeAutospacing="0" w:after="0" w:afterAutospacing="0"/>
              <w:rPr>
                <w:rFonts w:hint="default"/>
              </w:rPr>
            </w:pPr>
            <w:r>
              <w:rPr>
                <w:rFonts w:hint="default"/>
              </w:rPr>
              <w:t>E</w:t>
            </w:r>
            <w:r>
              <w:rPr>
                <w:rFonts w:hint="default"/>
                <w:lang w:val="en-US" w:eastAsia="zh-CN"/>
              </w:rPr>
              <w:t>112°54'19.324"</w:t>
            </w:r>
          </w:p>
        </w:tc>
        <w:tc>
          <w:tcPr>
            <w:tcW w:w="602" w:type="pct"/>
            <w:tcBorders>
              <w:tl2br w:val="nil"/>
              <w:tr2bl w:val="nil"/>
            </w:tcBorders>
            <w:noWrap w:val="0"/>
            <w:vAlign w:val="center"/>
          </w:tcPr>
          <w:p w14:paraId="521B7AA3">
            <w:pPr>
              <w:pStyle w:val="42"/>
              <w:keepNext w:val="0"/>
              <w:keepLines w:val="0"/>
              <w:suppressLineNumbers w:val="0"/>
              <w:bidi w:val="0"/>
              <w:spacing w:before="0" w:beforeAutospacing="0" w:after="0" w:afterAutospacing="0"/>
              <w:rPr>
                <w:rFonts w:hint="default"/>
              </w:rPr>
            </w:pPr>
            <w:r>
              <w:rPr>
                <w:rFonts w:hint="default"/>
              </w:rPr>
              <w:t>纬度</w:t>
            </w:r>
          </w:p>
        </w:tc>
        <w:tc>
          <w:tcPr>
            <w:tcW w:w="1270" w:type="pct"/>
            <w:tcBorders>
              <w:tl2br w:val="nil"/>
              <w:tr2bl w:val="nil"/>
            </w:tcBorders>
            <w:noWrap w:val="0"/>
            <w:vAlign w:val="center"/>
          </w:tcPr>
          <w:p w14:paraId="5DDFEB94">
            <w:pPr>
              <w:pStyle w:val="42"/>
              <w:keepNext w:val="0"/>
              <w:keepLines w:val="0"/>
              <w:suppressLineNumbers w:val="0"/>
              <w:bidi w:val="0"/>
              <w:spacing w:before="0" w:beforeAutospacing="0" w:after="0" w:afterAutospacing="0"/>
              <w:rPr>
                <w:rFonts w:hint="default"/>
              </w:rPr>
            </w:pPr>
            <w:r>
              <w:rPr>
                <w:rFonts w:hint="default"/>
              </w:rPr>
              <w:t>N</w:t>
            </w:r>
            <w:r>
              <w:rPr>
                <w:rFonts w:hint="default"/>
                <w:lang w:val="en-US" w:eastAsia="zh-CN"/>
              </w:rPr>
              <w:t>28°38'57.536"</w:t>
            </w:r>
          </w:p>
        </w:tc>
      </w:tr>
      <w:tr w14:paraId="0D89DB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1DB37958">
            <w:pPr>
              <w:pStyle w:val="42"/>
              <w:keepNext w:val="0"/>
              <w:keepLines w:val="0"/>
              <w:suppressLineNumbers w:val="0"/>
              <w:bidi w:val="0"/>
              <w:spacing w:before="0" w:beforeAutospacing="0" w:after="0" w:afterAutospacing="0"/>
              <w:rPr>
                <w:rFonts w:hint="default"/>
              </w:rPr>
            </w:pPr>
            <w:r>
              <w:rPr>
                <w:rFonts w:hint="default"/>
              </w:rPr>
              <w:t>主要危险物质及分布</w:t>
            </w:r>
          </w:p>
        </w:tc>
        <w:tc>
          <w:tcPr>
            <w:tcW w:w="6171" w:type="dxa"/>
            <w:gridSpan w:val="4"/>
            <w:tcBorders>
              <w:tl2br w:val="nil"/>
              <w:tr2bl w:val="nil"/>
            </w:tcBorders>
            <w:noWrap w:val="0"/>
            <w:vAlign w:val="top"/>
          </w:tcPr>
          <w:p w14:paraId="4CD1EEAF">
            <w:pPr>
              <w:pStyle w:val="42"/>
              <w:keepNext w:val="0"/>
              <w:keepLines w:val="0"/>
              <w:suppressLineNumbers w:val="0"/>
              <w:bidi w:val="0"/>
              <w:spacing w:before="0" w:beforeAutospacing="0" w:after="0" w:afterAutospacing="0"/>
              <w:jc w:val="left"/>
              <w:rPr>
                <w:rFonts w:hint="default"/>
              </w:rPr>
            </w:pPr>
            <w:r>
              <w:rPr>
                <w:rFonts w:hint="default"/>
              </w:rPr>
              <w:t>①风险物质：氨、硫化氢、甲烷</w:t>
            </w:r>
          </w:p>
          <w:p w14:paraId="0A555C55">
            <w:pPr>
              <w:pStyle w:val="42"/>
              <w:keepNext w:val="0"/>
              <w:keepLines w:val="0"/>
              <w:suppressLineNumbers w:val="0"/>
              <w:bidi w:val="0"/>
              <w:spacing w:before="0" w:beforeAutospacing="0" w:after="0" w:afterAutospacing="0"/>
              <w:jc w:val="left"/>
              <w:rPr>
                <w:rFonts w:hint="default"/>
              </w:rPr>
            </w:pPr>
            <w:r>
              <w:rPr>
                <w:rFonts w:hint="default"/>
              </w:rPr>
              <w:t>②分布情况：主要分布于各密闭池体和管道</w:t>
            </w:r>
          </w:p>
        </w:tc>
      </w:tr>
      <w:tr w14:paraId="6967C1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4D087B0C">
            <w:pPr>
              <w:pStyle w:val="42"/>
              <w:keepNext w:val="0"/>
              <w:keepLines w:val="0"/>
              <w:suppressLineNumbers w:val="0"/>
              <w:bidi w:val="0"/>
              <w:spacing w:before="0" w:beforeAutospacing="0" w:after="0" w:afterAutospacing="0"/>
              <w:rPr>
                <w:rFonts w:hint="default"/>
              </w:rPr>
            </w:pPr>
            <w:r>
              <w:rPr>
                <w:rFonts w:hint="default"/>
              </w:rPr>
              <w:t>环境影响途径及危害后果</w:t>
            </w:r>
          </w:p>
        </w:tc>
        <w:tc>
          <w:tcPr>
            <w:tcW w:w="6171" w:type="dxa"/>
            <w:gridSpan w:val="4"/>
            <w:tcBorders>
              <w:tl2br w:val="nil"/>
              <w:tr2bl w:val="nil"/>
            </w:tcBorders>
            <w:noWrap w:val="0"/>
            <w:vAlign w:val="top"/>
          </w:tcPr>
          <w:p w14:paraId="51DE34E4">
            <w:pPr>
              <w:pStyle w:val="42"/>
              <w:keepNext w:val="0"/>
              <w:keepLines w:val="0"/>
              <w:suppressLineNumbers w:val="0"/>
              <w:bidi w:val="0"/>
              <w:spacing w:before="0" w:beforeAutospacing="0" w:after="0" w:afterAutospacing="0"/>
              <w:jc w:val="left"/>
              <w:rPr>
                <w:rFonts w:hint="default"/>
              </w:rPr>
            </w:pPr>
            <w:r>
              <w:rPr>
                <w:rFonts w:hint="default"/>
              </w:rPr>
              <w:t>废水：污水管网系统由于管道堵塞、破裂和接头处损坏，会造成大量污水外流入就近水体；污水处理设施由于停电或机械故障等原因而无法运行，导致污水未经处理外排；污水泵站由于长时间停电或污水水泵损坏，排水不畅时易引起污水满溢外排。</w:t>
            </w:r>
          </w:p>
          <w:p w14:paraId="5D6D44EA">
            <w:pPr>
              <w:pStyle w:val="42"/>
              <w:keepNext w:val="0"/>
              <w:keepLines w:val="0"/>
              <w:suppressLineNumbers w:val="0"/>
              <w:bidi w:val="0"/>
              <w:spacing w:before="0" w:beforeAutospacing="0" w:after="0" w:afterAutospacing="0"/>
              <w:jc w:val="left"/>
              <w:rPr>
                <w:rFonts w:hint="default"/>
              </w:rPr>
            </w:pPr>
            <w:r>
              <w:rPr>
                <w:rFonts w:hint="default"/>
              </w:rPr>
              <w:t>废气：地下空间臭气抽排系统故障造成臭气外溢，或臭气处理装置运行不正常，造成臭气处理系统的非正常排放，对周边环境质量造成不良影响；污泥处理系统的设备发生故障，污泥不能及时脱水外运，引起污泥发酵，贮泥池爆满，散发恶臭。</w:t>
            </w:r>
          </w:p>
          <w:p w14:paraId="18A6B2E9">
            <w:pPr>
              <w:pStyle w:val="42"/>
              <w:keepNext w:val="0"/>
              <w:keepLines w:val="0"/>
              <w:suppressLineNumbers w:val="0"/>
              <w:bidi w:val="0"/>
              <w:spacing w:before="0" w:beforeAutospacing="0" w:after="0" w:afterAutospacing="0"/>
              <w:jc w:val="left"/>
              <w:rPr>
                <w:rFonts w:hint="default"/>
                <w:lang w:eastAsia="zh-CN"/>
              </w:rPr>
            </w:pPr>
            <w:r>
              <w:rPr>
                <w:rFonts w:hint="default"/>
              </w:rPr>
              <w:t>泄漏：化学品和危险废物运输和贮存过程中泄漏污染土壤和地下水，各池体、管线废水泄漏污染地下水和土壤。</w:t>
            </w:r>
          </w:p>
        </w:tc>
      </w:tr>
      <w:tr w14:paraId="07DE65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377" w:type="pct"/>
            <w:tcBorders>
              <w:tl2br w:val="nil"/>
              <w:tr2bl w:val="nil"/>
            </w:tcBorders>
            <w:noWrap w:val="0"/>
            <w:vAlign w:val="center"/>
          </w:tcPr>
          <w:p w14:paraId="31D505E0">
            <w:pPr>
              <w:pStyle w:val="42"/>
              <w:keepNext w:val="0"/>
              <w:keepLines w:val="0"/>
              <w:suppressLineNumbers w:val="0"/>
              <w:bidi w:val="0"/>
              <w:spacing w:before="0" w:beforeAutospacing="0" w:after="0" w:afterAutospacing="0"/>
              <w:rPr>
                <w:rFonts w:hint="default"/>
              </w:rPr>
            </w:pPr>
            <w:r>
              <w:rPr>
                <w:rFonts w:hint="default"/>
              </w:rPr>
              <w:t>风险防范措施及要求</w:t>
            </w:r>
          </w:p>
        </w:tc>
        <w:tc>
          <w:tcPr>
            <w:tcW w:w="6171" w:type="dxa"/>
            <w:gridSpan w:val="4"/>
            <w:tcBorders>
              <w:tl2br w:val="nil"/>
              <w:tr2bl w:val="nil"/>
            </w:tcBorders>
            <w:noWrap w:val="0"/>
            <w:vAlign w:val="top"/>
          </w:tcPr>
          <w:p w14:paraId="71243D67">
            <w:pPr>
              <w:pStyle w:val="42"/>
              <w:keepNext w:val="0"/>
              <w:keepLines w:val="0"/>
              <w:suppressLineNumbers w:val="0"/>
              <w:bidi w:val="0"/>
              <w:spacing w:before="0" w:beforeAutospacing="0" w:after="0" w:afterAutospacing="0"/>
              <w:jc w:val="left"/>
              <w:rPr>
                <w:rFonts w:hint="default"/>
              </w:rPr>
            </w:pPr>
            <w:r>
              <w:rPr>
                <w:rFonts w:hint="default"/>
              </w:rPr>
              <w:t>1、污水事故排放风险防范应急措施</w:t>
            </w:r>
          </w:p>
          <w:p w14:paraId="0EAFF34E">
            <w:pPr>
              <w:pStyle w:val="42"/>
              <w:keepNext w:val="0"/>
              <w:keepLines w:val="0"/>
              <w:suppressLineNumbers w:val="0"/>
              <w:bidi w:val="0"/>
              <w:spacing w:before="0" w:beforeAutospacing="0" w:after="0" w:afterAutospacing="0"/>
              <w:jc w:val="left"/>
              <w:rPr>
                <w:rFonts w:hint="default"/>
              </w:rPr>
            </w:pPr>
            <w:r>
              <w:rPr>
                <w:rFonts w:hint="default"/>
              </w:rPr>
              <w:t>（1）设备的维修要及时，常用的设备（加药泵、提升泵、喷淋除臭、</w:t>
            </w:r>
            <w:r>
              <w:rPr>
                <w:rFonts w:hint="eastAsia"/>
                <w:lang w:val="en-US" w:eastAsia="zh-CN"/>
              </w:rPr>
              <w:t>生物滤池</w:t>
            </w:r>
            <w:r>
              <w:rPr>
                <w:rFonts w:hint="default"/>
              </w:rPr>
              <w:t>、风机等）和配件需常备，建设单位应加强巡逻，及时发现问题，解决问题，避免废水超标排放。</w:t>
            </w:r>
          </w:p>
          <w:p w14:paraId="1FE2271B">
            <w:pPr>
              <w:pStyle w:val="42"/>
              <w:keepNext w:val="0"/>
              <w:keepLines w:val="0"/>
              <w:suppressLineNumbers w:val="0"/>
              <w:bidi w:val="0"/>
              <w:spacing w:before="0" w:beforeAutospacing="0" w:after="0" w:afterAutospacing="0"/>
              <w:jc w:val="left"/>
              <w:rPr>
                <w:rFonts w:hint="default"/>
              </w:rPr>
            </w:pPr>
            <w:r>
              <w:rPr>
                <w:rFonts w:hint="default"/>
              </w:rPr>
              <w:t>（2）设置废水事故池。</w:t>
            </w:r>
          </w:p>
          <w:p w14:paraId="29A83970">
            <w:pPr>
              <w:pStyle w:val="42"/>
              <w:keepNext w:val="0"/>
              <w:keepLines w:val="0"/>
              <w:suppressLineNumbers w:val="0"/>
              <w:bidi w:val="0"/>
              <w:spacing w:before="0" w:beforeAutospacing="0" w:after="0" w:afterAutospacing="0"/>
              <w:jc w:val="left"/>
              <w:rPr>
                <w:rFonts w:hint="default"/>
              </w:rPr>
            </w:pPr>
            <w:r>
              <w:rPr>
                <w:rFonts w:hint="default"/>
              </w:rPr>
              <w:t>（3）污水处理工程的尾水排放口设置在线监控装置，对排水的流量以及水体中的主要排放指标如COD、</w:t>
            </w:r>
            <w:r>
              <w:rPr>
                <w:rFonts w:hint="eastAsia"/>
                <w:lang w:eastAsia="zh-CN"/>
              </w:rPr>
              <w:t>NH3</w:t>
            </w:r>
            <w:r>
              <w:rPr>
                <w:rFonts w:hint="default"/>
              </w:rPr>
              <w:t>-N、TP等进行实时监控，并将数据传输至中控室的电脑中。</w:t>
            </w:r>
          </w:p>
          <w:p w14:paraId="6705DA5E">
            <w:pPr>
              <w:pStyle w:val="42"/>
              <w:keepNext w:val="0"/>
              <w:keepLines w:val="0"/>
              <w:suppressLineNumbers w:val="0"/>
              <w:bidi w:val="0"/>
              <w:spacing w:before="0" w:beforeAutospacing="0" w:after="0" w:afterAutospacing="0"/>
              <w:jc w:val="left"/>
              <w:rPr>
                <w:rFonts w:hint="default"/>
              </w:rPr>
            </w:pPr>
            <w:r>
              <w:rPr>
                <w:rFonts w:hint="default"/>
              </w:rPr>
              <w:t>2、恶臭泄漏风险防范措施</w:t>
            </w:r>
          </w:p>
          <w:p w14:paraId="26EA01B0">
            <w:pPr>
              <w:pStyle w:val="42"/>
              <w:keepNext w:val="0"/>
              <w:keepLines w:val="0"/>
              <w:suppressLineNumbers w:val="0"/>
              <w:bidi w:val="0"/>
              <w:spacing w:before="0" w:beforeAutospacing="0" w:after="0" w:afterAutospacing="0"/>
              <w:jc w:val="left"/>
              <w:rPr>
                <w:rFonts w:hint="default"/>
              </w:rPr>
            </w:pPr>
            <w:r>
              <w:rPr>
                <w:rFonts w:hint="default"/>
              </w:rPr>
              <w:t>（1）污泥处理系统的主要设备均设置备用设备。</w:t>
            </w:r>
          </w:p>
          <w:p w14:paraId="242E99FB">
            <w:pPr>
              <w:pStyle w:val="42"/>
              <w:keepNext w:val="0"/>
              <w:keepLines w:val="0"/>
              <w:suppressLineNumbers w:val="0"/>
              <w:bidi w:val="0"/>
              <w:spacing w:before="0" w:beforeAutospacing="0" w:after="0" w:afterAutospacing="0"/>
              <w:jc w:val="left"/>
              <w:rPr>
                <w:rFonts w:hint="default"/>
              </w:rPr>
            </w:pPr>
            <w:r>
              <w:rPr>
                <w:rFonts w:hint="default"/>
              </w:rPr>
              <w:t>（2）加强除臭装置的维护和管理，提高设施的完好率，机械设备采用性能可靠的优质产品，关键设备及配件应备足备件，定期更换生物</w:t>
            </w:r>
            <w:r>
              <w:rPr>
                <w:rFonts w:hint="eastAsia"/>
                <w:lang w:val="en-US" w:eastAsia="zh-CN"/>
              </w:rPr>
              <w:t>膜</w:t>
            </w:r>
            <w:r>
              <w:rPr>
                <w:rFonts w:hint="default"/>
              </w:rPr>
              <w:t>。</w:t>
            </w:r>
          </w:p>
          <w:p w14:paraId="484FF420">
            <w:pPr>
              <w:pStyle w:val="42"/>
              <w:keepNext w:val="0"/>
              <w:keepLines w:val="0"/>
              <w:suppressLineNumbers w:val="0"/>
              <w:bidi w:val="0"/>
              <w:spacing w:before="0" w:beforeAutospacing="0" w:after="0" w:afterAutospacing="0"/>
              <w:jc w:val="left"/>
              <w:rPr>
                <w:rFonts w:hint="default"/>
              </w:rPr>
            </w:pPr>
            <w:r>
              <w:rPr>
                <w:rFonts w:hint="default"/>
              </w:rPr>
              <w:t>（3）及时清运污泥，做好污泥管理，控制污泥泥龄，调节生物活性降低污泥膨胀。</w:t>
            </w:r>
          </w:p>
          <w:p w14:paraId="54899CFA">
            <w:pPr>
              <w:pStyle w:val="42"/>
              <w:keepNext w:val="0"/>
              <w:keepLines w:val="0"/>
              <w:suppressLineNumbers w:val="0"/>
              <w:bidi w:val="0"/>
              <w:spacing w:before="0" w:beforeAutospacing="0" w:after="0" w:afterAutospacing="0"/>
              <w:jc w:val="left"/>
              <w:rPr>
                <w:rFonts w:hint="default"/>
              </w:rPr>
            </w:pPr>
            <w:r>
              <w:rPr>
                <w:rFonts w:hint="default"/>
              </w:rPr>
              <w:t>3、泄漏风险防范应急措施</w:t>
            </w:r>
          </w:p>
          <w:p w14:paraId="0B6440F0">
            <w:pPr>
              <w:pStyle w:val="42"/>
              <w:keepNext w:val="0"/>
              <w:keepLines w:val="0"/>
              <w:suppressLineNumbers w:val="0"/>
              <w:bidi w:val="0"/>
              <w:spacing w:before="0" w:beforeAutospacing="0" w:after="0" w:afterAutospacing="0"/>
              <w:jc w:val="left"/>
              <w:rPr>
                <w:rFonts w:hint="default"/>
              </w:rPr>
            </w:pPr>
            <w:r>
              <w:rPr>
                <w:rFonts w:hint="default"/>
              </w:rPr>
              <w:t>（1）各化学品贮存地面铺设水泥进行防渗，建议气浮间内化学品贮存区周围设置围堰和导流沟等，能够及时收集泄漏化学品，防止化学品泄漏进入厂外环境。</w:t>
            </w:r>
          </w:p>
          <w:p w14:paraId="10E37DBA">
            <w:pPr>
              <w:pStyle w:val="42"/>
              <w:keepNext w:val="0"/>
              <w:keepLines w:val="0"/>
              <w:suppressLineNumbers w:val="0"/>
              <w:bidi w:val="0"/>
              <w:spacing w:before="0" w:beforeAutospacing="0" w:after="0" w:afterAutospacing="0"/>
              <w:jc w:val="left"/>
              <w:rPr>
                <w:rFonts w:hint="default"/>
              </w:rPr>
            </w:pPr>
            <w:r>
              <w:rPr>
                <w:rFonts w:hint="default"/>
              </w:rPr>
              <w:t>（2）在存储化学品的气浮间设置相应的通风、防火灭火等设施、设备，并设专人监管，定期进行检查。</w:t>
            </w:r>
          </w:p>
          <w:p w14:paraId="68D5EE77">
            <w:pPr>
              <w:pStyle w:val="42"/>
              <w:keepNext w:val="0"/>
              <w:keepLines w:val="0"/>
              <w:suppressLineNumbers w:val="0"/>
              <w:bidi w:val="0"/>
              <w:spacing w:before="0" w:beforeAutospacing="0" w:after="0" w:afterAutospacing="0"/>
              <w:jc w:val="left"/>
              <w:rPr>
                <w:rFonts w:hint="default"/>
              </w:rPr>
            </w:pPr>
            <w:r>
              <w:rPr>
                <w:rFonts w:hint="default"/>
              </w:rPr>
              <w:t>（3）危废间采取防渗措施。</w:t>
            </w:r>
          </w:p>
          <w:p w14:paraId="45479701">
            <w:pPr>
              <w:pStyle w:val="42"/>
              <w:keepNext w:val="0"/>
              <w:keepLines w:val="0"/>
              <w:suppressLineNumbers w:val="0"/>
              <w:bidi w:val="0"/>
              <w:spacing w:before="0" w:beforeAutospacing="0" w:after="0" w:afterAutospacing="0"/>
              <w:jc w:val="left"/>
              <w:rPr>
                <w:rFonts w:hint="default"/>
              </w:rPr>
            </w:pPr>
            <w:r>
              <w:rPr>
                <w:rFonts w:hint="default"/>
              </w:rPr>
              <w:t>（4）各池体及地下管线铺设应采取防渗漏措施，定期对各池体、管线进行检查，及时发现池体、管线破裂部位后进行处理。</w:t>
            </w:r>
          </w:p>
          <w:p w14:paraId="3814D03D">
            <w:pPr>
              <w:pStyle w:val="42"/>
              <w:keepNext w:val="0"/>
              <w:keepLines w:val="0"/>
              <w:suppressLineNumbers w:val="0"/>
              <w:bidi w:val="0"/>
              <w:spacing w:before="0" w:beforeAutospacing="0" w:after="0" w:afterAutospacing="0"/>
              <w:jc w:val="left"/>
              <w:rPr>
                <w:rFonts w:hint="default"/>
              </w:rPr>
            </w:pPr>
            <w:r>
              <w:rPr>
                <w:rFonts w:hint="default"/>
              </w:rPr>
              <w:t>（5）对地下水开展跟踪检测，根据地下水水质情况及时了解地下池体是否存在泄漏情况。</w:t>
            </w:r>
          </w:p>
        </w:tc>
      </w:tr>
      <w:tr w14:paraId="5A3B3F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000" w:type="pct"/>
            <w:gridSpan w:val="5"/>
            <w:tcBorders>
              <w:tl2br w:val="nil"/>
              <w:tr2bl w:val="nil"/>
            </w:tcBorders>
            <w:noWrap w:val="0"/>
            <w:vAlign w:val="center"/>
          </w:tcPr>
          <w:p w14:paraId="77920B7C">
            <w:pPr>
              <w:pStyle w:val="42"/>
              <w:keepNext w:val="0"/>
              <w:keepLines w:val="0"/>
              <w:suppressLineNumbers w:val="0"/>
              <w:bidi w:val="0"/>
              <w:spacing w:before="0" w:beforeAutospacing="0" w:after="0" w:afterAutospacing="0"/>
              <w:rPr>
                <w:rFonts w:hint="default"/>
              </w:rPr>
            </w:pPr>
            <w:r>
              <w:rPr>
                <w:rFonts w:hint="default"/>
              </w:rPr>
              <w:t>填表说明（列出项目相关信息及评价说明）：</w:t>
            </w:r>
          </w:p>
          <w:p w14:paraId="479911A1">
            <w:pPr>
              <w:pStyle w:val="42"/>
              <w:keepNext w:val="0"/>
              <w:keepLines w:val="0"/>
              <w:suppressLineNumbers w:val="0"/>
              <w:bidi w:val="0"/>
              <w:spacing w:before="0" w:beforeAutospacing="0" w:after="0" w:afterAutospacing="0"/>
              <w:rPr>
                <w:rFonts w:hint="default"/>
              </w:rPr>
            </w:pPr>
            <w:r>
              <w:rPr>
                <w:rFonts w:hint="default"/>
              </w:rPr>
              <w:t>①风险物质识别：依据《危险化学品名录》（201</w:t>
            </w:r>
            <w:r>
              <w:rPr>
                <w:rFonts w:hint="default"/>
                <w:lang w:val="en-US" w:eastAsia="zh-CN"/>
              </w:rPr>
              <w:t>8</w:t>
            </w:r>
            <w:r>
              <w:rPr>
                <w:rFonts w:hint="default"/>
              </w:rPr>
              <w:t>版）、《建设项目环境风险评价技术导则》（HJ 169-2018）附录B.1中表1</w:t>
            </w:r>
            <w:r>
              <w:rPr>
                <w:rFonts w:hint="default"/>
                <w:lang w:eastAsia="zh-CN"/>
              </w:rPr>
              <w:t>“</w:t>
            </w:r>
            <w:r>
              <w:rPr>
                <w:rFonts w:hint="default"/>
              </w:rPr>
              <w:t>物质危险性标准</w:t>
            </w:r>
            <w:r>
              <w:rPr>
                <w:rFonts w:hint="default"/>
                <w:lang w:eastAsia="zh-CN"/>
              </w:rPr>
              <w:t>”《</w:t>
            </w:r>
            <w:r>
              <w:rPr>
                <w:rFonts w:hint="default"/>
              </w:rPr>
              <w:t>企业突发环境事件风险分级方法》（HJ 941-2018）附录A中</w:t>
            </w:r>
            <w:r>
              <w:rPr>
                <w:rFonts w:hint="default"/>
                <w:lang w:eastAsia="zh-CN"/>
              </w:rPr>
              <w:t>“</w:t>
            </w:r>
            <w:r>
              <w:rPr>
                <w:rFonts w:hint="default"/>
              </w:rPr>
              <w:t>化学物质及临界量清单</w:t>
            </w:r>
            <w:r>
              <w:rPr>
                <w:rFonts w:hint="default"/>
                <w:lang w:eastAsia="zh-CN"/>
              </w:rPr>
              <w:t>”</w:t>
            </w:r>
            <w:r>
              <w:rPr>
                <w:rFonts w:hint="default"/>
              </w:rPr>
              <w:t>和《危险化学品重大危险源辨识》（GB 18218-20</w:t>
            </w:r>
            <w:r>
              <w:rPr>
                <w:rFonts w:hint="default"/>
                <w:lang w:val="en-US" w:eastAsia="zh-CN"/>
              </w:rPr>
              <w:t>18</w:t>
            </w:r>
            <w:r>
              <w:rPr>
                <w:rFonts w:hint="default"/>
              </w:rPr>
              <w:t>）；</w:t>
            </w:r>
          </w:p>
          <w:p w14:paraId="1BA75530">
            <w:pPr>
              <w:pStyle w:val="42"/>
              <w:keepNext w:val="0"/>
              <w:keepLines w:val="0"/>
              <w:suppressLineNumbers w:val="0"/>
              <w:bidi w:val="0"/>
              <w:spacing w:before="0" w:beforeAutospacing="0" w:after="0" w:afterAutospacing="0"/>
              <w:rPr>
                <w:rFonts w:hint="default"/>
              </w:rPr>
            </w:pPr>
            <w:r>
              <w:rPr>
                <w:rFonts w:hint="default"/>
              </w:rPr>
              <w:t>②Q值：项目Q＜1。根据《建设项目环境风险评价技术导则》（HJ 169-2018）附录C.1.1中规定，当Q＜1时，该项目环境风险潜势为Ⅰ。</w:t>
            </w:r>
          </w:p>
        </w:tc>
      </w:tr>
    </w:tbl>
    <w:p w14:paraId="32670085">
      <w:pPr>
        <w:pStyle w:val="5"/>
        <w:rPr>
          <w:rFonts w:hint="default" w:ascii="Times New Roman" w:hAnsi="Times New Roman" w:cs="Times New Roman"/>
          <w:color w:val="auto"/>
          <w:highlight w:val="none"/>
          <w:u w:val="none" w:color="auto"/>
        </w:rPr>
      </w:pPr>
      <w:bookmarkStart w:id="173" w:name="_Toc29336"/>
      <w:r>
        <w:rPr>
          <w:rFonts w:hint="default" w:ascii="Times New Roman" w:hAnsi="Times New Roman" w:cs="Times New Roman"/>
          <w:color w:val="auto"/>
          <w:highlight w:val="none"/>
          <w:u w:val="none" w:color="auto"/>
        </w:rPr>
        <w:t>总量控制指标</w:t>
      </w:r>
      <w:bookmarkEnd w:id="173"/>
    </w:p>
    <w:p w14:paraId="217E8804">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依据《湖南省“十四五”生态环境保护规划》及湖南省人民政府办公厅关于印发《湖南省主要污染物排污权有偿使用和交易实施细则》的通知，湘环发〔2024〕3号。化学需氧量、氨氮、二氧化硫、氮氧化物、挥发性有机物、总磷、铅、镉、砷、汞、铬十一类污染物实施管理的范围为有效实施的国家固定污染源排污许可分类管理名录的工业类排污单位。</w:t>
      </w:r>
    </w:p>
    <w:p w14:paraId="2ED8E417">
      <w:pPr>
        <w:bidi w:val="0"/>
        <w:rPr>
          <w:rFonts w:hint="default" w:ascii="Times New Roman" w:hAnsi="Times New Roman" w:cs="Times New Roman"/>
          <w:highlight w:val="none"/>
          <w:u w:val="single" w:color="auto"/>
        </w:rPr>
      </w:pPr>
      <w:r>
        <w:rPr>
          <w:rFonts w:hint="default" w:ascii="Times New Roman" w:hAnsi="Times New Roman" w:cs="Times New Roman"/>
          <w:color w:val="auto"/>
          <w:highlight w:val="none"/>
          <w:u w:val="none" w:color="auto"/>
        </w:rPr>
        <w:t>根据本项目工程分析、排污特征以及有关规定要求，确定本项目污染物总量控制因子为：COD、</w:t>
      </w:r>
      <w:r>
        <w:rPr>
          <w:rFonts w:hint="eastAsia" w:ascii="Times New Roman" w:hAnsi="Times New Roman" w:cs="Times New Roman"/>
          <w:color w:val="auto"/>
          <w:highlight w:val="none"/>
          <w:u w:val="none" w:color="auto"/>
          <w:lang w:eastAsia="zh-CN"/>
        </w:rPr>
        <w:t>NH</w:t>
      </w:r>
      <w:r>
        <w:rPr>
          <w:rFonts w:hint="eastAsia" w:ascii="Times New Roman" w:hAnsi="Times New Roman" w:cs="Times New Roman"/>
          <w:color w:val="auto"/>
          <w:highlight w:val="none"/>
          <w:u w:val="none" w:color="auto"/>
          <w:vertAlign w:val="subscript"/>
          <w:lang w:eastAsia="zh-CN"/>
        </w:rPr>
        <w:t>3</w:t>
      </w:r>
      <w:r>
        <w:rPr>
          <w:rFonts w:hint="default" w:ascii="Times New Roman" w:hAnsi="Times New Roman" w:cs="Times New Roman"/>
          <w:color w:val="auto"/>
          <w:highlight w:val="none"/>
          <w:u w:val="none" w:color="auto"/>
        </w:rPr>
        <w:t>-N、TP。本项目废水处理达到《污水综合排放标准》（GB8978-1996）表4中的三级标准和</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县第二污水处理厂进水水质接纳标准后经城市污水管网进入</w:t>
      </w:r>
      <w:r>
        <w:rPr>
          <w:rFonts w:hint="eastAsia" w:ascii="Times New Roman" w:hAnsi="Times New Roman" w:cs="Times New Roman"/>
          <w:color w:val="auto"/>
          <w:highlight w:val="none"/>
          <w:u w:val="none" w:color="auto"/>
          <w:lang w:val="en-US" w:eastAsia="zh-CN"/>
        </w:rPr>
        <w:t>湘阴县</w:t>
      </w:r>
      <w:r>
        <w:rPr>
          <w:rFonts w:hint="default" w:ascii="Times New Roman" w:hAnsi="Times New Roman" w:cs="Times New Roman"/>
          <w:color w:val="auto"/>
          <w:highlight w:val="none"/>
          <w:u w:val="none" w:color="auto"/>
        </w:rPr>
        <w:t>第二污水处理厂集中处理，达到《城镇污水处理厂污染物排放标准》（GB18918-2002）中的一级A标准排放至</w:t>
      </w:r>
      <w:r>
        <w:rPr>
          <w:rFonts w:hint="eastAsia" w:ascii="Times New Roman" w:hAnsi="Times New Roman" w:cs="Times New Roman"/>
          <w:color w:val="auto"/>
          <w:highlight w:val="none"/>
          <w:u w:val="none" w:color="auto"/>
          <w:lang w:val="en-US" w:eastAsia="zh-CN"/>
        </w:rPr>
        <w:t>湘江</w:t>
      </w:r>
      <w:r>
        <w:rPr>
          <w:rFonts w:hint="default" w:ascii="Times New Roman" w:hAnsi="Times New Roman" w:cs="Times New Roman"/>
          <w:color w:val="auto"/>
          <w:highlight w:val="none"/>
          <w:u w:val="none" w:color="auto"/>
        </w:rPr>
        <w:t>。</w:t>
      </w:r>
    </w:p>
    <w:p w14:paraId="067EAE09">
      <w:pPr>
        <w:pStyle w:val="39"/>
        <w:bidi w:val="0"/>
        <w:rPr>
          <w:rFonts w:hint="default"/>
          <w:lang w:val="en-US" w:eastAsia="zh-CN"/>
        </w:rPr>
      </w:pPr>
      <w:r>
        <w:rPr>
          <w:rFonts w:hint="default"/>
        </w:rPr>
        <w:t>表</w:t>
      </w:r>
      <w:r>
        <w:rPr>
          <w:rFonts w:hint="eastAsia"/>
          <w:lang w:val="en-US" w:eastAsia="zh-CN"/>
        </w:rPr>
        <w:t>6.5</w:t>
      </w:r>
      <w:r>
        <w:rPr>
          <w:rFonts w:hint="default"/>
          <w:lang w:val="en-US" w:eastAsia="zh-CN"/>
        </w:rPr>
        <w:t>-1</w:t>
      </w:r>
      <w:r>
        <w:rPr>
          <w:rFonts w:hint="default"/>
        </w:rPr>
        <w:t xml:space="preserve">   项目污染物排放总量指标表</w:t>
      </w:r>
      <w:r>
        <w:rPr>
          <w:rFonts w:hint="default"/>
          <w:lang w:val="en-US" w:eastAsia="zh-CN"/>
        </w:rPr>
        <w:t xml:space="preserve"> （t/a）</w:t>
      </w:r>
    </w:p>
    <w:tbl>
      <w:tblPr>
        <w:tblStyle w:val="51"/>
        <w:tblW w:w="501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916"/>
        <w:gridCol w:w="2610"/>
        <w:gridCol w:w="2418"/>
        <w:gridCol w:w="1419"/>
      </w:tblGrid>
      <w:tr w14:paraId="51F954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45" w:type="pct"/>
            <w:tcBorders>
              <w:top w:val="single" w:color="000000" w:sz="12" w:space="0"/>
              <w:left w:val="single" w:color="000000" w:sz="12" w:space="0"/>
              <w:bottom w:val="single" w:color="000000" w:sz="4" w:space="0"/>
              <w:right w:val="single" w:color="000000" w:sz="4" w:space="0"/>
            </w:tcBorders>
            <w:vAlign w:val="center"/>
          </w:tcPr>
          <w:p w14:paraId="372F1DF2">
            <w:pPr>
              <w:pStyle w:val="42"/>
              <w:bidi w:val="0"/>
              <w:jc w:val="center"/>
            </w:pPr>
            <w:r>
              <w:t>废水量（t/a）</w:t>
            </w:r>
          </w:p>
        </w:tc>
        <w:tc>
          <w:tcPr>
            <w:tcW w:w="1560" w:type="pct"/>
            <w:tcBorders>
              <w:top w:val="single" w:color="000000" w:sz="12" w:space="0"/>
              <w:left w:val="single" w:color="000000" w:sz="4" w:space="0"/>
              <w:bottom w:val="single" w:color="000000" w:sz="4" w:space="0"/>
              <w:right w:val="single" w:color="000000" w:sz="4" w:space="0"/>
            </w:tcBorders>
            <w:vAlign w:val="center"/>
          </w:tcPr>
          <w:p w14:paraId="5F496D3D">
            <w:pPr>
              <w:pStyle w:val="42"/>
              <w:bidi w:val="0"/>
              <w:jc w:val="center"/>
            </w:pPr>
            <w:r>
              <w:t>总量控制因子</w:t>
            </w:r>
          </w:p>
        </w:tc>
        <w:tc>
          <w:tcPr>
            <w:tcW w:w="1445" w:type="pct"/>
            <w:tcBorders>
              <w:top w:val="single" w:color="000000" w:sz="12" w:space="0"/>
              <w:left w:val="single" w:color="000000" w:sz="4" w:space="0"/>
              <w:bottom w:val="single" w:color="000000" w:sz="4" w:space="0"/>
              <w:right w:val="single" w:color="000000" w:sz="4" w:space="0"/>
            </w:tcBorders>
            <w:vAlign w:val="center"/>
          </w:tcPr>
          <w:p w14:paraId="43D0FBE1">
            <w:pPr>
              <w:pStyle w:val="42"/>
              <w:bidi w:val="0"/>
              <w:jc w:val="center"/>
            </w:pPr>
            <w:r>
              <w:t>排放标准（mg/L）</w:t>
            </w:r>
          </w:p>
        </w:tc>
        <w:tc>
          <w:tcPr>
            <w:tcW w:w="848" w:type="pct"/>
            <w:tcBorders>
              <w:top w:val="single" w:color="000000" w:sz="12" w:space="0"/>
              <w:left w:val="single" w:color="000000" w:sz="4" w:space="0"/>
              <w:bottom w:val="single" w:color="000000" w:sz="4" w:space="0"/>
              <w:right w:val="single" w:color="000000" w:sz="12" w:space="0"/>
            </w:tcBorders>
            <w:vAlign w:val="top"/>
          </w:tcPr>
          <w:p w14:paraId="68D79163">
            <w:pPr>
              <w:pStyle w:val="42"/>
              <w:bidi w:val="0"/>
            </w:pPr>
            <w:r>
              <w:t>排放总量（t/a）</w:t>
            </w:r>
          </w:p>
        </w:tc>
      </w:tr>
      <w:tr w14:paraId="3CFCE3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1145" w:type="pct"/>
            <w:vMerge w:val="restart"/>
            <w:tcBorders>
              <w:top w:val="single" w:color="000000" w:sz="4" w:space="0"/>
              <w:left w:val="single" w:color="000000" w:sz="12" w:space="0"/>
              <w:right w:val="single" w:color="000000" w:sz="4" w:space="0"/>
            </w:tcBorders>
            <w:vAlign w:val="center"/>
          </w:tcPr>
          <w:p w14:paraId="55C2A73D">
            <w:pPr>
              <w:pStyle w:val="42"/>
              <w:bidi w:val="0"/>
              <w:jc w:val="center"/>
            </w:pPr>
            <w:r>
              <w:t>438000</w:t>
            </w:r>
          </w:p>
        </w:tc>
        <w:tc>
          <w:tcPr>
            <w:tcW w:w="1560" w:type="pct"/>
            <w:tcBorders>
              <w:top w:val="single" w:color="000000" w:sz="4" w:space="0"/>
              <w:left w:val="single" w:color="000000" w:sz="4" w:space="0"/>
              <w:bottom w:val="single" w:color="000000" w:sz="4" w:space="0"/>
              <w:right w:val="single" w:color="000000" w:sz="4" w:space="0"/>
            </w:tcBorders>
            <w:vAlign w:val="center"/>
          </w:tcPr>
          <w:p w14:paraId="6F3D12E2">
            <w:pPr>
              <w:pStyle w:val="42"/>
              <w:bidi w:val="0"/>
              <w:jc w:val="center"/>
              <w:rPr>
                <w:rFonts w:hint="eastAsia" w:eastAsia="宋体"/>
                <w:lang w:eastAsia="zh-CN"/>
              </w:rPr>
            </w:pPr>
            <w:r>
              <w:rPr>
                <w:rFonts w:hint="eastAsia"/>
                <w:lang w:eastAsia="zh-CN"/>
              </w:rPr>
              <w:t>COD</w:t>
            </w:r>
            <w:r>
              <w:rPr>
                <w:rFonts w:hint="eastAsia"/>
                <w:vertAlign w:val="subscript"/>
                <w:lang w:eastAsia="zh-CN"/>
              </w:rPr>
              <w:t>cr</w:t>
            </w:r>
          </w:p>
        </w:tc>
        <w:tc>
          <w:tcPr>
            <w:tcW w:w="1445" w:type="pct"/>
            <w:tcBorders>
              <w:top w:val="single" w:color="000000" w:sz="4" w:space="0"/>
              <w:left w:val="single" w:color="000000" w:sz="4" w:space="0"/>
              <w:bottom w:val="single" w:color="000000" w:sz="4" w:space="0"/>
              <w:right w:val="single" w:color="000000" w:sz="4" w:space="0"/>
            </w:tcBorders>
            <w:vAlign w:val="center"/>
          </w:tcPr>
          <w:p w14:paraId="1FF2A15C">
            <w:pPr>
              <w:pStyle w:val="42"/>
              <w:bidi w:val="0"/>
              <w:jc w:val="center"/>
            </w:pPr>
            <w:r>
              <w:t>50</w:t>
            </w:r>
          </w:p>
        </w:tc>
        <w:tc>
          <w:tcPr>
            <w:tcW w:w="848" w:type="pct"/>
            <w:tcBorders>
              <w:top w:val="single" w:color="000000" w:sz="4" w:space="0"/>
              <w:left w:val="single" w:color="000000" w:sz="4" w:space="0"/>
              <w:bottom w:val="single" w:color="000000" w:sz="4" w:space="0"/>
              <w:right w:val="single" w:color="000000" w:sz="12" w:space="0"/>
            </w:tcBorders>
            <w:vAlign w:val="top"/>
          </w:tcPr>
          <w:p w14:paraId="3065D29F">
            <w:pPr>
              <w:pStyle w:val="42"/>
              <w:bidi w:val="0"/>
            </w:pPr>
            <w:r>
              <w:t>21.9</w:t>
            </w:r>
          </w:p>
        </w:tc>
      </w:tr>
      <w:tr w14:paraId="4EC74D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trPr>
        <w:tc>
          <w:tcPr>
            <w:tcW w:w="1145" w:type="pct"/>
            <w:vMerge w:val="continue"/>
            <w:tcBorders>
              <w:left w:val="single" w:color="000000" w:sz="12" w:space="0"/>
              <w:right w:val="single" w:color="000000" w:sz="4" w:space="0"/>
            </w:tcBorders>
            <w:vAlign w:val="center"/>
          </w:tcPr>
          <w:p w14:paraId="0EBAE939">
            <w:pPr>
              <w:pStyle w:val="42"/>
              <w:bidi w:val="0"/>
              <w:jc w:val="center"/>
            </w:pPr>
          </w:p>
        </w:tc>
        <w:tc>
          <w:tcPr>
            <w:tcW w:w="1560" w:type="pct"/>
            <w:tcBorders>
              <w:top w:val="single" w:color="000000" w:sz="4" w:space="0"/>
              <w:left w:val="single" w:color="000000" w:sz="4" w:space="0"/>
              <w:bottom w:val="single" w:color="000000" w:sz="4" w:space="0"/>
              <w:right w:val="single" w:color="000000" w:sz="4" w:space="0"/>
            </w:tcBorders>
            <w:vAlign w:val="center"/>
          </w:tcPr>
          <w:p w14:paraId="11E9CAF9">
            <w:pPr>
              <w:pStyle w:val="42"/>
              <w:bidi w:val="0"/>
              <w:jc w:val="center"/>
            </w:pPr>
            <w:r>
              <w:rPr>
                <w:rFonts w:hint="eastAsia"/>
                <w:lang w:eastAsia="zh-CN"/>
              </w:rPr>
              <w:t>NH</w:t>
            </w:r>
            <w:r>
              <w:rPr>
                <w:rFonts w:hint="eastAsia"/>
                <w:vertAlign w:val="subscript"/>
                <w:lang w:eastAsia="zh-CN"/>
              </w:rPr>
              <w:t>3</w:t>
            </w:r>
            <w:r>
              <w:t>-N</w:t>
            </w:r>
          </w:p>
        </w:tc>
        <w:tc>
          <w:tcPr>
            <w:tcW w:w="1445" w:type="pct"/>
            <w:tcBorders>
              <w:top w:val="single" w:color="000000" w:sz="4" w:space="0"/>
              <w:left w:val="single" w:color="000000" w:sz="4" w:space="0"/>
              <w:bottom w:val="single" w:color="000000" w:sz="4" w:space="0"/>
              <w:right w:val="single" w:color="000000" w:sz="4" w:space="0"/>
            </w:tcBorders>
            <w:vAlign w:val="center"/>
          </w:tcPr>
          <w:p w14:paraId="22E72B9F">
            <w:pPr>
              <w:pStyle w:val="42"/>
              <w:bidi w:val="0"/>
              <w:jc w:val="center"/>
            </w:pPr>
            <w:r>
              <w:t>5</w:t>
            </w:r>
          </w:p>
        </w:tc>
        <w:tc>
          <w:tcPr>
            <w:tcW w:w="848" w:type="pct"/>
            <w:tcBorders>
              <w:top w:val="single" w:color="000000" w:sz="4" w:space="0"/>
              <w:left w:val="single" w:color="000000" w:sz="4" w:space="0"/>
              <w:bottom w:val="single" w:color="000000" w:sz="4" w:space="0"/>
              <w:right w:val="single" w:color="000000" w:sz="12" w:space="0"/>
            </w:tcBorders>
            <w:vAlign w:val="top"/>
          </w:tcPr>
          <w:p w14:paraId="583B7874">
            <w:pPr>
              <w:pStyle w:val="42"/>
              <w:bidi w:val="0"/>
            </w:pPr>
            <w:r>
              <w:t>2.19</w:t>
            </w:r>
          </w:p>
        </w:tc>
      </w:tr>
      <w:tr w14:paraId="75395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trPr>
        <w:tc>
          <w:tcPr>
            <w:tcW w:w="1145" w:type="pct"/>
            <w:vMerge w:val="continue"/>
            <w:tcBorders>
              <w:left w:val="single" w:color="000000" w:sz="12" w:space="0"/>
              <w:bottom w:val="single" w:color="000000" w:sz="12" w:space="0"/>
              <w:right w:val="single" w:color="000000" w:sz="4" w:space="0"/>
            </w:tcBorders>
            <w:vAlign w:val="center"/>
          </w:tcPr>
          <w:p w14:paraId="4EE93A25">
            <w:pPr>
              <w:pStyle w:val="42"/>
              <w:bidi w:val="0"/>
              <w:jc w:val="center"/>
            </w:pPr>
          </w:p>
        </w:tc>
        <w:tc>
          <w:tcPr>
            <w:tcW w:w="1560" w:type="pct"/>
            <w:tcBorders>
              <w:top w:val="single" w:color="000000" w:sz="4" w:space="0"/>
              <w:left w:val="single" w:color="000000" w:sz="4" w:space="0"/>
              <w:bottom w:val="single" w:color="000000" w:sz="12" w:space="0"/>
              <w:right w:val="single" w:color="000000" w:sz="4" w:space="0"/>
            </w:tcBorders>
            <w:vAlign w:val="center"/>
          </w:tcPr>
          <w:p w14:paraId="1F6A4059">
            <w:pPr>
              <w:pStyle w:val="42"/>
              <w:bidi w:val="0"/>
              <w:jc w:val="center"/>
              <w:rPr>
                <w:rFonts w:hint="default" w:eastAsia="宋体"/>
                <w:lang w:val="en-US" w:eastAsia="zh-CN"/>
              </w:rPr>
            </w:pPr>
            <w:r>
              <w:rPr>
                <w:rFonts w:hint="eastAsia"/>
                <w:lang w:val="en-US" w:eastAsia="zh-CN"/>
              </w:rPr>
              <w:t>TP</w:t>
            </w:r>
          </w:p>
        </w:tc>
        <w:tc>
          <w:tcPr>
            <w:tcW w:w="1445" w:type="pct"/>
            <w:tcBorders>
              <w:top w:val="single" w:color="000000" w:sz="4" w:space="0"/>
              <w:left w:val="single" w:color="000000" w:sz="4" w:space="0"/>
              <w:bottom w:val="single" w:color="000000" w:sz="12" w:space="0"/>
              <w:right w:val="single" w:color="000000" w:sz="4" w:space="0"/>
            </w:tcBorders>
            <w:vAlign w:val="center"/>
          </w:tcPr>
          <w:p w14:paraId="3E602454">
            <w:pPr>
              <w:pStyle w:val="42"/>
              <w:bidi w:val="0"/>
              <w:jc w:val="center"/>
              <w:rPr>
                <w:rFonts w:hint="default" w:eastAsia="宋体"/>
                <w:lang w:val="en-US" w:eastAsia="zh-CN"/>
              </w:rPr>
            </w:pPr>
            <w:r>
              <w:rPr>
                <w:rFonts w:hint="eastAsia"/>
                <w:lang w:val="en-US" w:eastAsia="zh-CN"/>
              </w:rPr>
              <w:t>0.5</w:t>
            </w:r>
          </w:p>
        </w:tc>
        <w:tc>
          <w:tcPr>
            <w:tcW w:w="848" w:type="pct"/>
            <w:tcBorders>
              <w:top w:val="single" w:color="000000" w:sz="4" w:space="0"/>
              <w:left w:val="single" w:color="000000" w:sz="4" w:space="0"/>
              <w:bottom w:val="single" w:color="000000" w:sz="12" w:space="0"/>
              <w:right w:val="single" w:color="000000" w:sz="12" w:space="0"/>
            </w:tcBorders>
            <w:vAlign w:val="top"/>
          </w:tcPr>
          <w:p w14:paraId="41A949BE">
            <w:pPr>
              <w:pStyle w:val="42"/>
              <w:bidi w:val="0"/>
              <w:rPr>
                <w:rFonts w:hint="default" w:eastAsia="宋体"/>
                <w:lang w:val="en-US" w:eastAsia="zh-CN"/>
              </w:rPr>
            </w:pPr>
            <w:r>
              <w:rPr>
                <w:rFonts w:hint="eastAsia"/>
                <w:lang w:val="en-US" w:eastAsia="zh-CN"/>
              </w:rPr>
              <w:t>0.22</w:t>
            </w:r>
          </w:p>
        </w:tc>
      </w:tr>
    </w:tbl>
    <w:p w14:paraId="3FDAE54A">
      <w:pPr>
        <w:bidi w:val="0"/>
        <w:rPr>
          <w:rFonts w:hint="default" w:ascii="Times New Roman" w:hAnsi="Times New Roman" w:eastAsia="宋体" w:cs="Times New Roman"/>
          <w:lang w:val="en-US" w:eastAsia="zh-CN"/>
        </w:rPr>
      </w:pPr>
      <w:r>
        <w:rPr>
          <w:rFonts w:hint="default"/>
        </w:rPr>
        <w:t>由上表可知</w:t>
      </w:r>
      <w:r>
        <w:rPr>
          <w:rFonts w:hint="default" w:ascii="Times New Roman" w:hAnsi="Times New Roman" w:cs="Times New Roman"/>
        </w:rPr>
        <w:t>，本次拟建项目废水</w:t>
      </w:r>
      <w:r>
        <w:rPr>
          <w:rFonts w:hint="default" w:ascii="Times New Roman" w:hAnsi="Times New Roman" w:cs="Times New Roman"/>
          <w:lang w:val="en-US" w:eastAsia="zh-CN"/>
        </w:rPr>
        <w:t>总量指标</w:t>
      </w:r>
      <w:r>
        <w:rPr>
          <w:rFonts w:hint="default" w:ascii="Times New Roman" w:hAnsi="Times New Roman" w:cs="Times New Roman"/>
        </w:rPr>
        <w:t>为</w:t>
      </w:r>
      <w:r>
        <w:rPr>
          <w:rFonts w:hint="eastAsia" w:ascii="Times New Roman" w:hAnsi="Times New Roman" w:cs="Times New Roman"/>
          <w:lang w:eastAsia="zh-CN"/>
        </w:rPr>
        <w:t>COD</w:t>
      </w:r>
      <w:r>
        <w:rPr>
          <w:rFonts w:hint="eastAsia" w:ascii="Times New Roman" w:hAnsi="Times New Roman" w:cs="Times New Roman"/>
          <w:vertAlign w:val="subscript"/>
          <w:lang w:eastAsia="zh-CN"/>
        </w:rPr>
        <w:t>cr</w:t>
      </w:r>
      <w:r>
        <w:rPr>
          <w:rFonts w:hint="default" w:ascii="Times New Roman" w:hAnsi="Times New Roman" w:cs="Times New Roman"/>
        </w:rPr>
        <w:t>21.9t/a，</w:t>
      </w:r>
      <w:r>
        <w:rPr>
          <w:rFonts w:hint="eastAsia" w:ascii="Times New Roman" w:hAnsi="Times New Roman" w:cs="Times New Roman"/>
          <w:lang w:eastAsia="zh-CN"/>
        </w:rPr>
        <w:t>NH</w:t>
      </w:r>
      <w:r>
        <w:rPr>
          <w:rFonts w:hint="eastAsia" w:ascii="Times New Roman" w:hAnsi="Times New Roman" w:cs="Times New Roman"/>
          <w:vertAlign w:val="subscript"/>
          <w:lang w:eastAsia="zh-CN"/>
        </w:rPr>
        <w:t>3</w:t>
      </w:r>
      <w:r>
        <w:rPr>
          <w:rFonts w:hint="default" w:ascii="Times New Roman" w:hAnsi="Times New Roman" w:cs="Times New Roman"/>
        </w:rPr>
        <w:t>-N2.19t/a</w:t>
      </w:r>
      <w:r>
        <w:rPr>
          <w:rFonts w:hint="default" w:ascii="Times New Roman" w:hAnsi="Times New Roman" w:cs="Times New Roman"/>
          <w:lang w:eastAsia="zh-CN"/>
        </w:rPr>
        <w:t>，</w:t>
      </w:r>
      <w:r>
        <w:rPr>
          <w:rFonts w:hint="default" w:ascii="Times New Roman" w:hAnsi="Times New Roman" w:cs="Times New Roman"/>
          <w:lang w:val="en-US" w:eastAsia="zh-CN"/>
        </w:rPr>
        <w:t>TP0.22</w:t>
      </w:r>
      <w:r>
        <w:rPr>
          <w:rFonts w:hint="default" w:ascii="Times New Roman" w:hAnsi="Times New Roman" w:cs="Times New Roman"/>
        </w:rPr>
        <w:t>t/a</w:t>
      </w:r>
      <w:r>
        <w:rPr>
          <w:rFonts w:hint="default" w:ascii="Times New Roman" w:hAnsi="Times New Roman" w:cs="Times New Roman"/>
          <w:lang w:eastAsia="zh-CN"/>
        </w:rPr>
        <w:t>。</w:t>
      </w:r>
    </w:p>
    <w:p w14:paraId="1F3159FC">
      <w:pPr>
        <w:pStyle w:val="4"/>
        <w:ind w:firstLine="643"/>
        <w:rPr>
          <w:rFonts w:hint="default" w:ascii="Times New Roman" w:hAnsi="Times New Roman" w:cs="Times New Roman"/>
          <w:color w:val="auto"/>
          <w:highlight w:val="none"/>
          <w:u w:val="none" w:color="auto"/>
        </w:rPr>
      </w:pPr>
      <w:bookmarkStart w:id="174" w:name="_Toc13660"/>
      <w:r>
        <w:rPr>
          <w:rFonts w:hint="default" w:ascii="Times New Roman" w:hAnsi="Times New Roman" w:cs="Times New Roman"/>
          <w:color w:val="auto"/>
          <w:highlight w:val="none"/>
          <w:u w:val="none" w:color="auto"/>
        </w:rPr>
        <w:t>污染防治措施及可行性分析</w:t>
      </w:r>
      <w:bookmarkEnd w:id="167"/>
      <w:bookmarkEnd w:id="174"/>
    </w:p>
    <w:p w14:paraId="4666D40F">
      <w:pPr>
        <w:pStyle w:val="5"/>
        <w:bidi w:val="0"/>
        <w:rPr>
          <w:rFonts w:hint="default" w:ascii="Times New Roman" w:hAnsi="Times New Roman" w:cs="Times New Roman"/>
          <w:color w:val="auto"/>
          <w:highlight w:val="none"/>
          <w:u w:val="none" w:color="auto"/>
        </w:rPr>
      </w:pPr>
      <w:bookmarkStart w:id="175" w:name="_Toc29250"/>
      <w:bookmarkStart w:id="176" w:name="_Toc29106"/>
      <w:r>
        <w:rPr>
          <w:rFonts w:hint="default" w:ascii="Times New Roman" w:hAnsi="Times New Roman" w:cs="Times New Roman"/>
          <w:color w:val="auto"/>
          <w:highlight w:val="none"/>
          <w:u w:val="none" w:color="auto"/>
        </w:rPr>
        <w:t>施工期环境保护措施可行性分析</w:t>
      </w:r>
      <w:bookmarkEnd w:id="175"/>
      <w:bookmarkEnd w:id="176"/>
    </w:p>
    <w:p w14:paraId="47066A5F">
      <w:pPr>
        <w:pStyle w:val="6"/>
        <w:bidi w:val="0"/>
        <w:rPr>
          <w:rFonts w:hint="default"/>
          <w:highlight w:val="none"/>
        </w:rPr>
      </w:pPr>
      <w:r>
        <w:rPr>
          <w:rFonts w:hint="default"/>
          <w:highlight w:val="none"/>
        </w:rPr>
        <w:t>施工期废气环境影响污染防治对策</w:t>
      </w:r>
    </w:p>
    <w:p w14:paraId="26DDF4CB">
      <w:pPr>
        <w:bidi w:val="0"/>
        <w:rPr>
          <w:rFonts w:hint="default"/>
        </w:rPr>
      </w:pPr>
      <w:r>
        <w:rPr>
          <w:rFonts w:hint="default"/>
        </w:rPr>
        <w:t>本项目施工期间废气污染控制措施主要有：</w:t>
      </w:r>
    </w:p>
    <w:p w14:paraId="014A2947">
      <w:pPr>
        <w:bidi w:val="0"/>
        <w:rPr>
          <w:rFonts w:hint="default"/>
        </w:rPr>
      </w:pPr>
      <w:r>
        <w:rPr>
          <w:rFonts w:hint="default"/>
        </w:rPr>
        <w:t>（1）严格落实“六个百分百”相关要求，安装视频监控与扬尘污染物在线监控设备并与市生态环境局监控平台联网，构建“6+2”扬尘污染治理体系，采取有效措施防治施工现场扬尘污染。</w:t>
      </w:r>
    </w:p>
    <w:p w14:paraId="199038B1">
      <w:pPr>
        <w:bidi w:val="0"/>
        <w:rPr>
          <w:rFonts w:hint="default"/>
        </w:rPr>
      </w:pPr>
      <w:r>
        <w:rPr>
          <w:rFonts w:hint="default"/>
        </w:rPr>
        <w:t>（2）施工现场实行围挡封闭。主要路段施工现场围挡高度不得低于2.5米，一般路段施工现场围挡高度不得低于1.8米。围挡底边应当封闭并设置防溢沉淀井，不得有泥浆外漏。</w:t>
      </w:r>
    </w:p>
    <w:p w14:paraId="5C469640">
      <w:pPr>
        <w:bidi w:val="0"/>
        <w:rPr>
          <w:rFonts w:hint="default"/>
        </w:rPr>
      </w:pPr>
      <w:r>
        <w:rPr>
          <w:rFonts w:hint="default"/>
        </w:rPr>
        <w:t>（3）合理安排施工现场，谨防运输车辆装载过满，不得超出车厢板高度，并采取遮盖、密闭措施减少沿途抛洒、散落，及时扫清散落在路上的泥土和建筑材料，</w:t>
      </w:r>
    </w:p>
    <w:p w14:paraId="53174D3A">
      <w:pPr>
        <w:bidi w:val="0"/>
        <w:rPr>
          <w:rFonts w:hint="default"/>
        </w:rPr>
      </w:pPr>
      <w:r>
        <w:rPr>
          <w:rFonts w:hint="default"/>
        </w:rPr>
        <w:t>车辆出入施工现场应冲洗轮胎，不得将泥沙带出现场，并指定专人对附近的运输道路定期喷水，使其保持一定的湿度，防止道路扬尘。</w:t>
      </w:r>
    </w:p>
    <w:p w14:paraId="1169B0A4">
      <w:pPr>
        <w:bidi w:val="0"/>
        <w:rPr>
          <w:rFonts w:hint="default"/>
        </w:rPr>
      </w:pPr>
      <w:r>
        <w:rPr>
          <w:rFonts w:hint="default"/>
        </w:rPr>
        <w:t>（4）对施工现场实行合理化管理，开挖的土方及建筑垃圾及时进行利用，以防因长期堆放表面干燥而起尘，对作业面、建筑垃圾等堆放场地定期洒水，使其保持一定的湿度，以减少扬尘量。</w:t>
      </w:r>
    </w:p>
    <w:p w14:paraId="2DBCEBD6">
      <w:pPr>
        <w:bidi w:val="0"/>
        <w:rPr>
          <w:rFonts w:hint="default"/>
        </w:rPr>
      </w:pPr>
      <w:r>
        <w:rPr>
          <w:rFonts w:hint="default"/>
        </w:rPr>
        <w:t>（5）合理安排工期，尽可能地加快施工速度，减少施工时间。</w:t>
      </w:r>
    </w:p>
    <w:p w14:paraId="4C1F1317">
      <w:pPr>
        <w:bidi w:val="0"/>
        <w:rPr>
          <w:rFonts w:hint="default"/>
        </w:rPr>
      </w:pPr>
      <w:r>
        <w:rPr>
          <w:rFonts w:hint="default"/>
        </w:rPr>
        <w:t>（6）当出现风速大于5级或不利天气状况时应停止易造成扬尘的施工作业，并对堆放的砂石等建筑材料进行遮盖。</w:t>
      </w:r>
    </w:p>
    <w:p w14:paraId="613B4F60">
      <w:pPr>
        <w:shd w:val="clear"/>
        <w:bidi w:val="0"/>
        <w:rPr>
          <w:rFonts w:hint="default"/>
          <w:highlight w:val="none"/>
        </w:rPr>
      </w:pPr>
      <w:r>
        <w:rPr>
          <w:rFonts w:hint="default"/>
        </w:rPr>
        <w:t>（7）水泥</w:t>
      </w:r>
      <w:r>
        <w:rPr>
          <w:rFonts w:hint="default"/>
          <w:highlight w:val="none"/>
        </w:rPr>
        <w:t>浇铸作业，应采用商品混凝土，以减少水泥搅拌时扬尘的产生。</w:t>
      </w:r>
    </w:p>
    <w:p w14:paraId="39F4009C">
      <w:pPr>
        <w:shd w:val="clear"/>
        <w:bidi w:val="0"/>
        <w:rPr>
          <w:rFonts w:hint="default"/>
          <w:highlight w:val="none"/>
        </w:rPr>
      </w:pPr>
      <w:r>
        <w:rPr>
          <w:rFonts w:hint="default"/>
          <w:highlight w:val="none"/>
        </w:rPr>
        <w:t>（8）建设单位在工程概算中应包括用于施工过程的环保专项资金，施工单位要保证此专项资金专款专用。</w:t>
      </w:r>
    </w:p>
    <w:p w14:paraId="66F04AB2">
      <w:pPr>
        <w:pStyle w:val="6"/>
        <w:shd w:val="clear"/>
        <w:bidi w:val="0"/>
        <w:rPr>
          <w:rFonts w:hint="default"/>
          <w:highlight w:val="none"/>
        </w:rPr>
      </w:pPr>
      <w:r>
        <w:rPr>
          <w:rFonts w:hint="default"/>
          <w:highlight w:val="none"/>
        </w:rPr>
        <w:t>施工期废水环境影响污染防治对策</w:t>
      </w:r>
    </w:p>
    <w:p w14:paraId="36BC0684">
      <w:pPr>
        <w:shd w:val="clear"/>
        <w:ind w:firstLine="480"/>
        <w:rPr>
          <w:rFonts w:hint="default" w:ascii="Times New Roman" w:hAnsi="Times New Roman" w:cs="Times New Roman"/>
          <w:highlight w:val="none"/>
        </w:rPr>
      </w:pPr>
      <w:r>
        <w:rPr>
          <w:rFonts w:hint="default" w:ascii="Times New Roman" w:hAnsi="Times New Roman" w:cs="Times New Roman"/>
          <w:highlight w:val="none"/>
        </w:rPr>
        <w:t>施工期中废水对外环境的影响减缓措施如下：</w:t>
      </w:r>
    </w:p>
    <w:p w14:paraId="6261075F">
      <w:pPr>
        <w:shd w:val="clear"/>
        <w:ind w:firstLine="480"/>
        <w:rPr>
          <w:rFonts w:hint="default" w:ascii="Times New Roman" w:hAnsi="Times New Roman" w:cs="Times New Roman"/>
          <w:highlight w:val="none"/>
        </w:rPr>
      </w:pPr>
      <w:r>
        <w:rPr>
          <w:rFonts w:hint="default" w:ascii="Times New Roman" w:hAnsi="Times New Roman" w:cs="Times New Roman"/>
          <w:highlight w:val="none"/>
        </w:rPr>
        <w:t>（1）尽量减少物料流失、散落和溢流现象，以减少废水产生量。</w:t>
      </w:r>
    </w:p>
    <w:p w14:paraId="0BADF1E8">
      <w:pPr>
        <w:shd w:val="clear"/>
        <w:ind w:firstLine="480"/>
        <w:rPr>
          <w:rFonts w:hint="default" w:ascii="Times New Roman" w:hAnsi="Times New Roman" w:cs="Times New Roman"/>
          <w:highlight w:val="none"/>
        </w:rPr>
      </w:pPr>
      <w:r>
        <w:rPr>
          <w:rFonts w:hint="default" w:ascii="Times New Roman" w:hAnsi="Times New Roman" w:cs="Times New Roman"/>
          <w:highlight w:val="none"/>
        </w:rPr>
        <w:t>（2）施工现场必须建造集水池、沉砂池、沉淀池、排水沟等水处理构筑物，对废水进行必要的分类处理，并尽可能地将沉淀池的中水回用于施工现场洒水降尘，严禁不经处理直接排放。</w:t>
      </w:r>
    </w:p>
    <w:p w14:paraId="72509F96">
      <w:pPr>
        <w:shd w:val="clear"/>
        <w:ind w:firstLine="480"/>
        <w:rPr>
          <w:rFonts w:hint="default" w:ascii="Times New Roman" w:hAnsi="Times New Roman" w:cs="Times New Roman"/>
          <w:highlight w:val="none"/>
        </w:rPr>
      </w:pPr>
      <w:r>
        <w:rPr>
          <w:rFonts w:hint="default" w:ascii="Times New Roman" w:hAnsi="Times New Roman" w:cs="Times New Roman"/>
          <w:highlight w:val="none"/>
        </w:rPr>
        <w:t>（3）施工人员产生的生活污水经园区内化粪池预处理排入</w:t>
      </w:r>
      <w:r>
        <w:rPr>
          <w:rFonts w:hint="eastAsia" w:ascii="Times New Roman" w:hAnsi="Times New Roman" w:cs="Times New Roman"/>
          <w:highlight w:val="none"/>
          <w:lang w:eastAsia="zh-CN"/>
        </w:rPr>
        <w:t>湘阴县第二</w:t>
      </w:r>
      <w:r>
        <w:rPr>
          <w:rFonts w:hint="default" w:ascii="Times New Roman" w:hAnsi="Times New Roman" w:cs="Times New Roman"/>
          <w:highlight w:val="none"/>
        </w:rPr>
        <w:t>污水处理厂处理后排放。对周边水域水质基本无影响。</w:t>
      </w:r>
    </w:p>
    <w:p w14:paraId="2FE0B3C3">
      <w:pPr>
        <w:shd w:val="clear"/>
        <w:ind w:firstLine="480"/>
        <w:rPr>
          <w:rFonts w:hint="default" w:ascii="Times New Roman" w:hAnsi="Times New Roman" w:cs="Times New Roman"/>
          <w:highlight w:val="none"/>
        </w:rPr>
      </w:pPr>
      <w:r>
        <w:rPr>
          <w:rFonts w:hint="default" w:ascii="Times New Roman" w:hAnsi="Times New Roman" w:cs="Times New Roman"/>
          <w:highlight w:val="none"/>
        </w:rPr>
        <w:t>在施工期污水处理方面要求业主做到以下几点：</w:t>
      </w:r>
    </w:p>
    <w:p w14:paraId="667412B4">
      <w:pPr>
        <w:shd w:val="clear"/>
        <w:ind w:firstLine="480"/>
        <w:rPr>
          <w:rFonts w:hint="default" w:ascii="Times New Roman" w:hAnsi="Times New Roman" w:cs="Times New Roman"/>
          <w:highlight w:val="none"/>
        </w:rPr>
      </w:pPr>
      <w:r>
        <w:rPr>
          <w:rFonts w:hint="default" w:ascii="Times New Roman" w:hAnsi="Times New Roman" w:cs="Times New Roman"/>
          <w:highlight w:val="none"/>
        </w:rPr>
        <w:t>（1）施工期间必须制定严格的施工环保管理制度，教育自觉遵守规章制度，并加以严格监督和管理。</w:t>
      </w:r>
    </w:p>
    <w:p w14:paraId="5EBB6E4D">
      <w:pPr>
        <w:shd w:val="clear"/>
        <w:ind w:firstLine="480"/>
        <w:rPr>
          <w:rFonts w:hint="default" w:ascii="Times New Roman" w:hAnsi="Times New Roman" w:cs="Times New Roman"/>
          <w:highlight w:val="none"/>
        </w:rPr>
      </w:pPr>
      <w:r>
        <w:rPr>
          <w:rFonts w:hint="default" w:ascii="Times New Roman" w:hAnsi="Times New Roman" w:cs="Times New Roman"/>
          <w:highlight w:val="none"/>
        </w:rPr>
        <w:t>（2）建议建设单位依据JGJ146-2004《建筑施工现场环境与卫生标准》做好施工生活污水的处置工作。</w:t>
      </w:r>
    </w:p>
    <w:p w14:paraId="3D0BC050">
      <w:pPr>
        <w:shd w:val="clear"/>
        <w:ind w:firstLine="480"/>
        <w:rPr>
          <w:rFonts w:hint="default" w:ascii="Times New Roman" w:hAnsi="Times New Roman" w:cs="Times New Roman"/>
          <w:highlight w:val="none"/>
        </w:rPr>
      </w:pPr>
      <w:r>
        <w:rPr>
          <w:rFonts w:hint="default" w:ascii="Times New Roman" w:hAnsi="Times New Roman" w:cs="Times New Roman"/>
          <w:highlight w:val="none"/>
        </w:rPr>
        <w:t>（3）加强了施工管理，实施工地节约用水，减少项目施工污水的排放量。</w:t>
      </w:r>
    </w:p>
    <w:p w14:paraId="165C07A0">
      <w:pPr>
        <w:shd w:val="clear"/>
        <w:ind w:firstLine="480"/>
        <w:rPr>
          <w:rFonts w:hint="default" w:ascii="Times New Roman" w:hAnsi="Times New Roman" w:cs="Times New Roman"/>
          <w:highlight w:val="none"/>
        </w:rPr>
      </w:pPr>
      <w:r>
        <w:rPr>
          <w:rFonts w:hint="default" w:ascii="Times New Roman" w:hAnsi="Times New Roman" w:cs="Times New Roman"/>
          <w:highlight w:val="none"/>
        </w:rPr>
        <w:t>（4）施工过程中还应加强对机械设备的检修，以防止设备漏油现象的发生；施工机械设备的维修应在专业厂家进行。</w:t>
      </w:r>
    </w:p>
    <w:p w14:paraId="51F27518">
      <w:pPr>
        <w:pStyle w:val="6"/>
        <w:shd w:val="clear"/>
        <w:bidi w:val="0"/>
        <w:rPr>
          <w:rFonts w:hint="default"/>
          <w:highlight w:val="none"/>
        </w:rPr>
      </w:pPr>
      <w:r>
        <w:rPr>
          <w:rFonts w:hint="default"/>
          <w:highlight w:val="none"/>
        </w:rPr>
        <w:t>施工期噪声环境影响防治对策</w:t>
      </w:r>
    </w:p>
    <w:p w14:paraId="62A0BDD8">
      <w:pPr>
        <w:shd w:val="clear"/>
        <w:ind w:firstLine="480"/>
        <w:rPr>
          <w:rFonts w:hint="default" w:ascii="Times New Roman" w:hAnsi="Times New Roman" w:cs="Times New Roman"/>
          <w:highlight w:val="none"/>
        </w:rPr>
      </w:pPr>
      <w:r>
        <w:rPr>
          <w:rFonts w:hint="default" w:ascii="Times New Roman" w:hAnsi="Times New Roman" w:cs="Times New Roman"/>
          <w:highlight w:val="none"/>
        </w:rPr>
        <w:t>施工噪声对周围环境的影响是暂时的，也将随施工期的结束而自动消除，但由于施工时噪声值较大，为了最大限度地减轻施工噪声对环境的不良影响，保证施工期场界满足《建筑施工场界环境噪声排放标准》（GB12523-2011）要求，本评价建议采取以下控制措施：</w:t>
      </w:r>
    </w:p>
    <w:p w14:paraId="71FCBDEB">
      <w:pPr>
        <w:shd w:val="clear"/>
        <w:ind w:firstLine="480"/>
        <w:rPr>
          <w:rFonts w:hint="default" w:ascii="Times New Roman" w:hAnsi="Times New Roman" w:cs="Times New Roman"/>
          <w:highlight w:val="none"/>
        </w:rPr>
      </w:pPr>
      <w:r>
        <w:rPr>
          <w:rFonts w:hint="default" w:ascii="Times New Roman" w:hAnsi="Times New Roman" w:cs="Times New Roman"/>
          <w:highlight w:val="none"/>
        </w:rPr>
        <w:t>（1）在施工过程中，施工单位应严格执行《建筑施工场界环境噪声排放标准》（GB12523-2011）的有关规定，避免施工扰民事件的发生，同时在施工过程中施工单位应设专人对设备进行定期保养和维护，并负责对现场工作人员进行培训，严格按操作规范使用各类机械。</w:t>
      </w:r>
    </w:p>
    <w:p w14:paraId="1E27F9A4">
      <w:pPr>
        <w:shd w:val="clear"/>
        <w:ind w:firstLine="480"/>
        <w:rPr>
          <w:rFonts w:hint="default" w:ascii="Times New Roman" w:hAnsi="Times New Roman" w:cs="Times New Roman"/>
          <w:highlight w:val="none"/>
        </w:rPr>
      </w:pPr>
      <w:r>
        <w:rPr>
          <w:rFonts w:hint="default" w:ascii="Times New Roman" w:hAnsi="Times New Roman" w:cs="Times New Roman"/>
          <w:highlight w:val="none"/>
        </w:rPr>
        <w:t>（2）施工机械产生的噪声往往具有突发、无规则、不连续和高强度等特点，施工单位应采取合理安排施工机械操作时间的方法加以缓解，并减少同时作业的高噪施工机械数量，尽可能减轻声源叠加影响。</w:t>
      </w:r>
    </w:p>
    <w:p w14:paraId="36E5009C">
      <w:pPr>
        <w:shd w:val="clear"/>
        <w:ind w:firstLine="480"/>
        <w:rPr>
          <w:rFonts w:hint="default" w:ascii="Times New Roman" w:hAnsi="Times New Roman" w:cs="Times New Roman"/>
          <w:highlight w:val="none"/>
        </w:rPr>
      </w:pPr>
      <w:r>
        <w:rPr>
          <w:rFonts w:hint="default" w:ascii="Times New Roman" w:hAnsi="Times New Roman" w:cs="Times New Roman"/>
          <w:highlight w:val="none"/>
        </w:rPr>
        <w:t>（3）对于施工期间的材料运输、敲击等噪声源，要求施工单位文明施工、加强有效管理以缓解其影响。</w:t>
      </w:r>
    </w:p>
    <w:p w14:paraId="721F4132">
      <w:pPr>
        <w:shd w:val="clear"/>
        <w:ind w:firstLine="480"/>
        <w:rPr>
          <w:rFonts w:hint="default" w:ascii="Times New Roman" w:hAnsi="Times New Roman" w:cs="Times New Roman"/>
          <w:highlight w:val="none"/>
        </w:rPr>
      </w:pPr>
      <w:r>
        <w:rPr>
          <w:rFonts w:hint="default" w:ascii="Times New Roman" w:hAnsi="Times New Roman" w:cs="Times New Roman"/>
          <w:highlight w:val="none"/>
        </w:rPr>
        <w:t>（4）对于高噪声设备应采取安装消声器、隔声罩等降噪措施，应尽量选择低噪声施工方式和设备，尽量避开夜间和中午施工时段，如必须进行夜间施工，应禁止高噪声作业行为。</w:t>
      </w:r>
    </w:p>
    <w:p w14:paraId="0BB37398">
      <w:pPr>
        <w:shd w:val="clear"/>
        <w:ind w:firstLine="480"/>
        <w:rPr>
          <w:rFonts w:hint="default" w:ascii="Times New Roman" w:hAnsi="Times New Roman" w:cs="Times New Roman"/>
          <w:highlight w:val="none"/>
        </w:rPr>
      </w:pPr>
      <w:r>
        <w:rPr>
          <w:rFonts w:hint="default" w:ascii="Times New Roman" w:hAnsi="Times New Roman" w:cs="Times New Roman"/>
          <w:highlight w:val="none"/>
        </w:rPr>
        <w:t>（5）要求业主单位在施工现场标明投诉电话，一旦接到投诉，业主单位应及时与当地水生态环境部门取得联系，以便及时处理环境纠纷。</w:t>
      </w:r>
    </w:p>
    <w:p w14:paraId="1ACFDE92">
      <w:pPr>
        <w:pStyle w:val="6"/>
        <w:shd w:val="clear"/>
        <w:bidi w:val="0"/>
        <w:rPr>
          <w:rFonts w:hint="default"/>
          <w:highlight w:val="none"/>
        </w:rPr>
      </w:pPr>
      <w:r>
        <w:rPr>
          <w:rFonts w:hint="default"/>
          <w:highlight w:val="none"/>
        </w:rPr>
        <w:t>施工期固体废物环境影响防治对策</w:t>
      </w:r>
    </w:p>
    <w:p w14:paraId="56193114">
      <w:pPr>
        <w:shd w:val="clear"/>
        <w:bidi w:val="0"/>
        <w:rPr>
          <w:rFonts w:hint="default"/>
          <w:highlight w:val="none"/>
        </w:rPr>
      </w:pPr>
      <w:r>
        <w:rPr>
          <w:rFonts w:hint="default"/>
          <w:highlight w:val="none"/>
        </w:rPr>
        <w:t>施工垃圾主要来自施工所产生的建筑垃圾和施工队伍生活产生的生活垃圾。施工中的建筑垃圾若长期堆放，在气候干燥时易产生扬尘；下雨时又易造成冲刷、淋溶，导致水环境污染。施工中生活垃圾如不及时清运处理，则会腐烂变质、滋生蚊虫苍蝇，产生恶臭，传染疾病，从而对周围环境和作业人员的健康带来不利影响。</w:t>
      </w:r>
    </w:p>
    <w:p w14:paraId="3E727BB4">
      <w:pPr>
        <w:shd w:val="clear"/>
        <w:bidi w:val="0"/>
        <w:rPr>
          <w:rFonts w:hint="default"/>
          <w:highlight w:val="none"/>
        </w:rPr>
      </w:pPr>
      <w:r>
        <w:rPr>
          <w:rFonts w:hint="default"/>
          <w:highlight w:val="none"/>
        </w:rPr>
        <w:t>为降低和消除上述固体废物对环境的影响，首先应对施工过程中产生的碎石、碎砖等碎建筑材料及场地挖掘产生的土方应尽快利用以减少堆存时间，若在不能确保其全部利用时，需对不能利用部分及时清运出场并按渣土有关管理要求进行处置，以免因长期堆积而产生二次污染；其次生活垃圾应集中收集，及时清运出场。</w:t>
      </w:r>
    </w:p>
    <w:p w14:paraId="54DFD8A4">
      <w:pPr>
        <w:pStyle w:val="6"/>
        <w:bidi w:val="0"/>
        <w:rPr>
          <w:rFonts w:hint="default"/>
        </w:rPr>
      </w:pPr>
      <w:r>
        <w:rPr>
          <w:rFonts w:hint="default"/>
        </w:rPr>
        <w:t>施工期水土保持措施</w:t>
      </w:r>
    </w:p>
    <w:p w14:paraId="6B826DA4">
      <w:pPr>
        <w:bidi w:val="0"/>
        <w:rPr>
          <w:rFonts w:hint="default"/>
        </w:rPr>
      </w:pPr>
      <w:r>
        <w:rPr>
          <w:rFonts w:hint="default"/>
        </w:rPr>
        <w:t>项目基础开挖、地基处理以及土地平整期间，施工将造成施工区域地表裸露，暴雨时容易引起水土流失。</w:t>
      </w:r>
    </w:p>
    <w:p w14:paraId="77D70E1D">
      <w:pPr>
        <w:bidi w:val="0"/>
        <w:rPr>
          <w:rFonts w:hint="default"/>
        </w:rPr>
      </w:pPr>
      <w:r>
        <w:rPr>
          <w:rFonts w:hint="default"/>
        </w:rPr>
        <w:t>为了尽量减少项目施工期间造成的水土流失，本次评价要求施工单位采取以下水土保持措施：</w:t>
      </w:r>
    </w:p>
    <w:p w14:paraId="5085A55B">
      <w:pPr>
        <w:bidi w:val="0"/>
        <w:rPr>
          <w:rFonts w:hint="default"/>
        </w:rPr>
      </w:pPr>
      <w:r>
        <w:rPr>
          <w:rFonts w:hint="default"/>
        </w:rPr>
        <w:t>（1）本项目建设分步进行，开挖时应分步开挖，避免整个用地大开挖。对前期施工完毕的项目，尽快压实平整场地，待恢复植被后，再进行下一期的建设，以便将施工裸露尽量减少到最低程度，从而减少水土流失；</w:t>
      </w:r>
    </w:p>
    <w:p w14:paraId="7965EECC">
      <w:pPr>
        <w:bidi w:val="0"/>
        <w:rPr>
          <w:rFonts w:hint="default"/>
        </w:rPr>
      </w:pPr>
      <w:r>
        <w:rPr>
          <w:rFonts w:hint="default"/>
        </w:rPr>
        <w:t>（2）根据同类工程的比较，最有可能产生水土流失的时段主要集中在基础开挖期间。对本项目而言，基础开挖持续时间较短，如果将此步工序调整在秋、冬季，</w:t>
      </w:r>
    </w:p>
    <w:p w14:paraId="60568184">
      <w:pPr>
        <w:bidi w:val="0"/>
        <w:rPr>
          <w:rFonts w:hint="default"/>
        </w:rPr>
      </w:pPr>
      <w:r>
        <w:rPr>
          <w:rFonts w:hint="default"/>
        </w:rPr>
        <w:t>则本项目的水土流失发生的可能性将大大降低。建议建设方在今后的大规模施工中，尽量避开雨季。尤其对大面积的破土工程尽可能安排在10月至次年3月进行。这样可大幅度减少水土流失并有利施工顺利进行。</w:t>
      </w:r>
    </w:p>
    <w:p w14:paraId="55F00073">
      <w:pPr>
        <w:bidi w:val="0"/>
        <w:rPr>
          <w:rFonts w:hint="default"/>
        </w:rPr>
      </w:pPr>
      <w:r>
        <w:rPr>
          <w:rFonts w:hint="default"/>
        </w:rPr>
        <w:t>（3）在施工后期，可配合绿化规划及时进行一次性地绿化美化，种植一些耐脊薄、根系发达的草灌和乔木，使得裸露的地表及时得到覆盖。</w:t>
      </w:r>
    </w:p>
    <w:p w14:paraId="37E82219">
      <w:pPr>
        <w:bidi w:val="0"/>
        <w:rPr>
          <w:rFonts w:hint="default"/>
        </w:rPr>
      </w:pPr>
      <w:r>
        <w:rPr>
          <w:rFonts w:hint="default"/>
        </w:rPr>
        <w:t>项目所在地的地势平缓，对防止水土流失较为有利。但是，施工期的水土保持工作不可忽视。水土保持工作应坚持及时、多样、因地制宜、长短期相结合与总体和局部相结合的原则。结合本工程的具体情况在施工中可以采用以下对策：</w:t>
      </w:r>
    </w:p>
    <w:p w14:paraId="65E019B6">
      <w:pPr>
        <w:bidi w:val="0"/>
        <w:rPr>
          <w:rFonts w:hint="default"/>
        </w:rPr>
      </w:pPr>
      <w:r>
        <w:rPr>
          <w:rFonts w:hint="default"/>
        </w:rPr>
        <w:t>（1）施工中产生的多余土方及时的用于厂区垫高，不可长时间堆放。</w:t>
      </w:r>
    </w:p>
    <w:p w14:paraId="17E49552">
      <w:pPr>
        <w:bidi w:val="0"/>
        <w:rPr>
          <w:rFonts w:hint="default"/>
        </w:rPr>
      </w:pPr>
      <w:r>
        <w:rPr>
          <w:rFonts w:hint="default"/>
        </w:rPr>
        <w:t>（2）土方开挖阶段尽量避开雨季，对雨季中不得不进行的某些施工，建设方应随时关注气象变化，在大雨到来之前作好相应的水保应急工作。例如对新产生的裸露地表的松土予以压实。此外，在不影响工作效率的前提下，做好工程运筹计划，尽量缩小土方工程的工作面，避免同时产生较多的裸露地表。</w:t>
      </w:r>
    </w:p>
    <w:p w14:paraId="5ED1BBEB">
      <w:pPr>
        <w:bidi w:val="0"/>
        <w:rPr>
          <w:rFonts w:hint="default"/>
        </w:rPr>
      </w:pPr>
      <w:r>
        <w:rPr>
          <w:rFonts w:hint="default"/>
        </w:rPr>
        <w:t>（3）在推挖填土工程完成后，工地往往还要裸露一个阶段才能完成建设或重新绿化，这就要及时的在地面的径流汇集线上设置缓流泥沙阻隔带。阻隔带可以采用透水的高强PVC编织带，用角铁或木桩将编织带固置于汇流相切的方向上，带高一般为50mm就已足够，带长可以视地形而定，一般为数米至数十米不等。这样可以有效的阻止泥沙随径流的初始流动，控制住施工期的水土流失。</w:t>
      </w:r>
    </w:p>
    <w:p w14:paraId="75985EAC">
      <w:pPr>
        <w:bidi w:val="0"/>
        <w:rPr>
          <w:rFonts w:hint="default"/>
        </w:rPr>
      </w:pPr>
      <w:r>
        <w:rPr>
          <w:rFonts w:hint="default"/>
        </w:rPr>
        <w:t>（4）对建设中不需要再用水泥覆盖的地面进行绿化，要强调边施工边绿化的原则，实现绿化与主体工程同时规划设计、同时施工、同时达标验收使用。</w:t>
      </w:r>
    </w:p>
    <w:p w14:paraId="1087735F">
      <w:pPr>
        <w:pStyle w:val="6"/>
        <w:bidi w:val="0"/>
        <w:rPr>
          <w:rFonts w:hint="default"/>
        </w:rPr>
      </w:pPr>
      <w:r>
        <w:rPr>
          <w:rFonts w:hint="default"/>
        </w:rPr>
        <w:t>施工期社会影响防治措施</w:t>
      </w:r>
    </w:p>
    <w:p w14:paraId="70427FC6">
      <w:pPr>
        <w:bidi w:val="0"/>
        <w:rPr>
          <w:rFonts w:hint="default"/>
          <w:highlight w:val="none"/>
        </w:rPr>
      </w:pPr>
      <w:r>
        <w:rPr>
          <w:rFonts w:hint="default"/>
        </w:rPr>
        <w:t>施工期社会环境影响主要为物料运输车辆对道路交通的影响，建议建设单位通过加</w:t>
      </w:r>
      <w:r>
        <w:rPr>
          <w:rFonts w:hint="default"/>
          <w:highlight w:val="none"/>
        </w:rPr>
        <w:t>强运输车辆管理，合理安排运输时间，避免高峰期运输等降低车辆运输对交通的影响。</w:t>
      </w:r>
    </w:p>
    <w:p w14:paraId="051C5770">
      <w:pPr>
        <w:pStyle w:val="5"/>
        <w:bidi w:val="0"/>
        <w:rPr>
          <w:rFonts w:hint="default" w:ascii="Times New Roman" w:hAnsi="Times New Roman" w:cs="Times New Roman"/>
          <w:color w:val="auto"/>
          <w:highlight w:val="none"/>
          <w:u w:val="none" w:color="auto"/>
        </w:rPr>
      </w:pPr>
      <w:bookmarkStart w:id="177" w:name="_Toc3389"/>
      <w:bookmarkStart w:id="178" w:name="_Toc28733"/>
      <w:r>
        <w:rPr>
          <w:rFonts w:hint="default" w:ascii="Times New Roman" w:hAnsi="Times New Roman" w:cs="Times New Roman"/>
          <w:color w:val="auto"/>
          <w:highlight w:val="none"/>
          <w:u w:val="none" w:color="auto"/>
        </w:rPr>
        <w:t>营运期大气环境污染防治措施及可行性</w:t>
      </w:r>
      <w:bookmarkEnd w:id="177"/>
      <w:bookmarkEnd w:id="178"/>
    </w:p>
    <w:p w14:paraId="5480CE18">
      <w:pPr>
        <w:pStyle w:val="6"/>
        <w:bidi w:val="0"/>
        <w:rPr>
          <w:rFonts w:hint="default" w:ascii="Times New Roman" w:hAnsi="Times New Roman" w:cs="Times New Roman"/>
          <w:highlight w:val="none"/>
        </w:rPr>
      </w:pPr>
      <w:bookmarkStart w:id="179" w:name="OLE_LINK526"/>
      <w:bookmarkStart w:id="180" w:name="OLE_LINK525"/>
      <w:r>
        <w:rPr>
          <w:rFonts w:hint="default" w:ascii="Times New Roman" w:hAnsi="Times New Roman" w:cs="Times New Roman"/>
          <w:highlight w:val="none"/>
        </w:rPr>
        <w:t>废气污染防治措施</w:t>
      </w:r>
    </w:p>
    <w:p w14:paraId="1053E803">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本项目运营期废气污染物主要为污水处理过程产生的恶臭气体，主要产生来源为污水预处理部分（</w:t>
      </w:r>
      <w:r>
        <w:rPr>
          <w:rFonts w:hint="eastAsia" w:ascii="Times New Roman" w:hAnsi="Times New Roman" w:cs="Times New Roman"/>
          <w:color w:val="auto"/>
          <w:highlight w:val="none"/>
          <w:lang w:val="en-US" w:eastAsia="zh-CN"/>
        </w:rPr>
        <w:t>微滤</w:t>
      </w:r>
      <w:r>
        <w:rPr>
          <w:rFonts w:hint="default" w:ascii="Times New Roman" w:hAnsi="Times New Roman" w:eastAsia="宋体" w:cs="Times New Roman"/>
          <w:color w:val="auto"/>
          <w:highlight w:val="none"/>
          <w:lang w:eastAsia="zh-CN"/>
        </w:rPr>
        <w:t>、隔油池、调节池）和污泥处理部分（污泥池、污泥脱水间等），生化处理区（厌氧池、缺氧池）会产生少量恶臭。</w:t>
      </w:r>
    </w:p>
    <w:p w14:paraId="7D5A699C">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本项目集水池、调节池、厌氧流化床、缺氧池、消化池、污泥池均设置为密闭式池体，然后废气采用密闭管道进行收集</w:t>
      </w:r>
      <w:r>
        <w:rPr>
          <w:rFonts w:hint="default" w:ascii="Times New Roman" w:hAnsi="Times New Roman" w:eastAsia="宋体" w:cs="Times New Roman"/>
          <w:color w:val="auto"/>
          <w:highlight w:val="none"/>
          <w:shd w:val="clear"/>
          <w:lang w:eastAsia="zh-CN"/>
        </w:rPr>
        <w:t>；隔油初沉池对池体加盖抽风；污泥脱水采用集气罩进行收集，收集后的臭气经一套“二级喷淋塔+</w:t>
      </w:r>
      <w:r>
        <w:rPr>
          <w:rFonts w:hint="eastAsia" w:ascii="Times New Roman" w:hAnsi="Times New Roman" w:cs="Times New Roman"/>
          <w:color w:val="auto"/>
          <w:highlight w:val="none"/>
          <w:shd w:val="clear"/>
          <w:lang w:val="en-US" w:eastAsia="zh-CN"/>
        </w:rPr>
        <w:t>生物滤池</w:t>
      </w:r>
      <w:r>
        <w:rPr>
          <w:rFonts w:hint="default" w:ascii="Times New Roman" w:hAnsi="Times New Roman" w:eastAsia="宋体" w:cs="Times New Roman"/>
          <w:color w:val="auto"/>
          <w:highlight w:val="none"/>
          <w:shd w:val="clear"/>
          <w:lang w:eastAsia="zh-CN"/>
        </w:rPr>
        <w:t>”除</w:t>
      </w:r>
      <w:r>
        <w:rPr>
          <w:rFonts w:hint="default" w:ascii="Times New Roman" w:hAnsi="Times New Roman" w:eastAsia="宋体" w:cs="Times New Roman"/>
          <w:color w:val="auto"/>
          <w:highlight w:val="none"/>
          <w:lang w:eastAsia="zh-CN"/>
        </w:rPr>
        <w:t>臭系统处理后通过一根15m高排气筒(DA001)排放，其他池体为无组织排放。</w:t>
      </w:r>
    </w:p>
    <w:p w14:paraId="00A39F67">
      <w:pPr>
        <w:pStyle w:val="6"/>
        <w:bidi w:val="0"/>
        <w:rPr>
          <w:rFonts w:hint="eastAsia"/>
          <w:b/>
          <w:bCs/>
        </w:rPr>
      </w:pPr>
      <w:r>
        <w:rPr>
          <w:rFonts w:hint="eastAsia"/>
          <w:b w:val="0"/>
          <w:bCs w:val="0"/>
        </w:rPr>
        <w:t>除臭系统的构成</w:t>
      </w:r>
    </w:p>
    <w:p w14:paraId="10F361E7">
      <w:pPr>
        <w:bidi w:val="0"/>
        <w:rPr>
          <w:rFonts w:hint="eastAsia"/>
        </w:rPr>
      </w:pPr>
      <w:r>
        <w:rPr>
          <w:rFonts w:hint="eastAsia"/>
        </w:rPr>
        <w:t>除臭系统由处理构筑物臭气风管收集系统、水喷淋塔、碱喷淋塔、</w:t>
      </w:r>
      <w:r>
        <w:rPr>
          <w:rFonts w:hint="eastAsia"/>
          <w:lang w:val="en-US" w:eastAsia="zh-CN"/>
        </w:rPr>
        <w:t>生物滤池</w:t>
      </w:r>
      <w:r>
        <w:rPr>
          <w:rFonts w:hint="eastAsia"/>
        </w:rPr>
        <w:t>设备等构成，臭气污染物经由臭气收集系统通过管道收集后，经风机抽送导入喷淋塔设备，臭气从底部进入喷淋塔，由下向上与喷淋塔水雾进行接触，以同样的方式通过二级洗涤后进入</w:t>
      </w:r>
      <w:r>
        <w:rPr>
          <w:rFonts w:hint="eastAsia"/>
          <w:lang w:val="en-US" w:eastAsia="zh-CN"/>
        </w:rPr>
        <w:t>生物滤池</w:t>
      </w:r>
      <w:r>
        <w:rPr>
          <w:rFonts w:hint="eastAsia"/>
        </w:rPr>
        <w:t>进行吸附处理。</w:t>
      </w:r>
    </w:p>
    <w:p w14:paraId="54B77295">
      <w:pPr>
        <w:pStyle w:val="6"/>
        <w:bidi w:val="0"/>
        <w:rPr>
          <w:rFonts w:hint="eastAsia"/>
          <w:lang w:val="en-US" w:eastAsia="zh-CN"/>
        </w:rPr>
      </w:pPr>
      <w:r>
        <w:rPr>
          <w:rFonts w:hint="eastAsia"/>
          <w:lang w:val="en-US" w:eastAsia="zh-CN"/>
        </w:rPr>
        <w:t>可行性分析</w:t>
      </w:r>
    </w:p>
    <w:p w14:paraId="7D93090E">
      <w:pPr>
        <w:bidi w:val="0"/>
        <w:rPr>
          <w:rFonts w:hint="default"/>
          <w:lang w:val="en-US" w:eastAsia="zh-CN"/>
        </w:rPr>
      </w:pPr>
      <w:r>
        <w:rPr>
          <w:rFonts w:hint="default"/>
          <w:lang w:val="en-US" w:eastAsia="zh-CN"/>
        </w:rPr>
        <w:t>根据《排污许可证申请与核发技术规范水处理（试行）》（HJ978-2018）表5废气污染治理可行技术参照表，预处理段、污泥处理段等产生恶臭气体的工段可行技术包括生物过滤、化学洗涤、</w:t>
      </w:r>
      <w:r>
        <w:rPr>
          <w:rFonts w:hint="eastAsia"/>
          <w:lang w:val="en-US" w:eastAsia="zh-CN"/>
        </w:rPr>
        <w:t>生物滤池</w:t>
      </w:r>
      <w:r>
        <w:rPr>
          <w:rFonts w:hint="default"/>
          <w:lang w:val="en-US" w:eastAsia="zh-CN"/>
        </w:rPr>
        <w:t>。</w:t>
      </w:r>
    </w:p>
    <w:p w14:paraId="5B4B17DE">
      <w:pPr>
        <w:bidi w:val="0"/>
        <w:rPr>
          <w:rFonts w:hint="default"/>
          <w:lang w:val="en-US" w:eastAsia="zh-CN"/>
        </w:rPr>
      </w:pPr>
      <w:r>
        <w:rPr>
          <w:rFonts w:hint="default"/>
          <w:lang w:val="en-US" w:eastAsia="zh-CN"/>
        </w:rPr>
        <w:t>本项目采用的“二级喷淋塔+</w:t>
      </w:r>
      <w:r>
        <w:rPr>
          <w:rFonts w:hint="eastAsia"/>
          <w:lang w:val="en-US" w:eastAsia="zh-CN"/>
        </w:rPr>
        <w:t>生物滤池</w:t>
      </w:r>
      <w:r>
        <w:rPr>
          <w:rFonts w:hint="default"/>
          <w:lang w:val="en-US" w:eastAsia="zh-CN"/>
        </w:rPr>
        <w:t>”除臭系统属于化学洗涤和</w:t>
      </w:r>
      <w:r>
        <w:rPr>
          <w:rFonts w:hint="eastAsia"/>
          <w:lang w:val="en-US" w:eastAsia="zh-CN"/>
        </w:rPr>
        <w:t>生物滤池</w:t>
      </w:r>
      <w:r>
        <w:rPr>
          <w:rFonts w:hint="default"/>
          <w:lang w:val="en-US" w:eastAsia="zh-CN"/>
        </w:rPr>
        <w:t>设施组合的处理措施，因此项目措施可行。</w:t>
      </w:r>
    </w:p>
    <w:p w14:paraId="6D294E0D">
      <w:pPr>
        <w:bidi w:val="0"/>
        <w:rPr>
          <w:rFonts w:hint="default"/>
          <w:lang w:val="en-US" w:eastAsia="zh-CN"/>
        </w:rPr>
      </w:pPr>
      <w:r>
        <w:rPr>
          <w:rFonts w:hint="default"/>
          <w:lang w:val="en-US" w:eastAsia="zh-CN"/>
        </w:rPr>
        <w:t>各建构筑物收集后的废气通过管道先进入水吸收塔，废气中的氨气由于水溶性较好，大部分被水吸收塔中的水所吸收，经预处理后再进入碱吸收塔，废气中的硫化氢与碱发生中和反应，大部分硫化氢得到去除，再进入</w:t>
      </w:r>
      <w:r>
        <w:rPr>
          <w:rFonts w:hint="eastAsia"/>
          <w:lang w:val="en-US" w:eastAsia="zh-CN"/>
        </w:rPr>
        <w:t>生物滤池</w:t>
      </w:r>
      <w:r>
        <w:rPr>
          <w:rFonts w:hint="default"/>
          <w:lang w:val="en-US" w:eastAsia="zh-CN"/>
        </w:rPr>
        <w:t>进一步吸收。净化后的气体经总引风机牵引送至15m高排气筒高空排放。</w:t>
      </w:r>
    </w:p>
    <w:p w14:paraId="08EAEF00">
      <w:pPr>
        <w:bidi w:val="0"/>
        <w:rPr>
          <w:rFonts w:hint="default"/>
          <w:lang w:val="en-US" w:eastAsia="zh-CN"/>
        </w:rPr>
      </w:pPr>
      <w:r>
        <w:rPr>
          <w:rFonts w:hint="default"/>
          <w:lang w:val="en-US" w:eastAsia="zh-CN"/>
        </w:rPr>
        <w:t>液体吸收法是利用喷淋吸收原理，用来处理腐蚀性或毒性的可溶性气体的空气污染防治设备，吸收塔由贮液箱、塔体、进风段、喷淋层、填料层、旋流除雾层、出风锥帽、检修孔等组成。适合于连续和间歇排放废气的治理，工艺简单，管理、操作及维修方便；适用范围广，可同时净化多种污染物及含粉尘气体；塔体可根据实际情况采用PP/FRP等材料制作；填料采用高效、低阻的鲍尔环，可彻底地去除气体中的异味、有害物质等。采用吸收法处理易溶于水溶液的物料是化工行业常用的方法，处理技术成熟可靠，是可行的。</w:t>
      </w:r>
    </w:p>
    <w:p w14:paraId="6628DEC8">
      <w:pPr>
        <w:bidi w:val="0"/>
        <w:rPr>
          <w:rFonts w:hint="default"/>
          <w:lang w:val="en-US" w:eastAsia="zh-CN"/>
        </w:rPr>
      </w:pPr>
      <w:r>
        <w:rPr>
          <w:rFonts w:hint="default"/>
          <w:lang w:val="en-US" w:eastAsia="zh-CN"/>
        </w:rPr>
        <w:t>生物除臭法是通过微生物的生理代谢将具有臭味的物质加以转化，达到除臭的目的。应用较多的为生物滤池法。生物滤池法是把收集的臭气先经过加湿处理，再通过长满微生物的、湿润多孔的生物滤层，臭气物质被填料吸收，然后被微生物分解成二氧化碳和其他无机物，从而达到除臭目的。生物滤池法工艺流程为：臭气收集→风管输送→抽风机→预洗池加湿→生物滤池→排气。滤池填料可采用海绵、干树皮、干草、木渣、贝壳、果壳及其混合物等。生物滤池的缺点是占地较大，其优点是较经济，来自天然的富含有机成分的多孔渗水填料构造简单，操作方便，无须液体循环系统。以硫化氢为代表的硫化物净化效率在85%~98%、氨以及部分有机化合物则接近90%，处理效果较为理想。</w:t>
      </w:r>
    </w:p>
    <w:p w14:paraId="0E3D56C1">
      <w:pPr>
        <w:bidi w:val="0"/>
        <w:rPr>
          <w:rFonts w:hint="default"/>
          <w:lang w:val="en-US" w:eastAsia="zh-CN"/>
        </w:rPr>
      </w:pPr>
      <w:r>
        <w:rPr>
          <w:rFonts w:hint="default"/>
          <w:lang w:val="en-US" w:eastAsia="zh-CN"/>
        </w:rPr>
        <w:t>本项目产生的恶臭气体属于低浓度废气，废气中主要含有硫化氢、氨气及其他恶臭组分等污染物，考虑到生物除臭法去除效率高的特点，为保证废气中各种恶臭组分的去除效果，最终确定本项目采用“</w:t>
      </w:r>
      <w:r>
        <w:rPr>
          <w:rFonts w:hint="eastAsia"/>
          <w:lang w:val="en-US" w:eastAsia="zh-CN"/>
        </w:rPr>
        <w:t>二级喷淋塔+</w:t>
      </w:r>
      <w:r>
        <w:rPr>
          <w:rFonts w:hint="default"/>
          <w:lang w:val="en-US" w:eastAsia="zh-CN"/>
        </w:rPr>
        <w:t>生物滤池”治理工艺。</w:t>
      </w:r>
    </w:p>
    <w:p w14:paraId="254535AB">
      <w:pPr>
        <w:bidi w:val="0"/>
        <w:rPr>
          <w:rFonts w:hint="default"/>
          <w:lang w:val="en-US" w:eastAsia="zh-CN"/>
        </w:rPr>
      </w:pPr>
      <w:r>
        <w:rPr>
          <w:rFonts w:hint="default"/>
          <w:lang w:val="en-US" w:eastAsia="zh-CN"/>
        </w:rPr>
        <w:t>类比同类型污水处理站运行除臭技术处理效率，水、碱喷淋除臭技术和</w:t>
      </w:r>
      <w:r>
        <w:rPr>
          <w:rFonts w:hint="eastAsia"/>
          <w:lang w:val="en-US" w:eastAsia="zh-CN"/>
        </w:rPr>
        <w:t>生物滤池</w:t>
      </w:r>
      <w:r>
        <w:rPr>
          <w:rFonts w:hint="default"/>
          <w:lang w:val="en-US" w:eastAsia="zh-CN"/>
        </w:rPr>
        <w:t>技术组合对氨、硫化氢等恶臭气体的处理效率可以达到95%以上；该方法对恶臭气体的去除吸附具有很好的效果，设备运转稳定，处理效果良好，经处理后尾气具有稳定达标性。本次保守估计对</w:t>
      </w:r>
      <w:r>
        <w:rPr>
          <w:rFonts w:hint="eastAsia"/>
          <w:lang w:val="en-US" w:eastAsia="zh-CN"/>
        </w:rPr>
        <w:t>H</w:t>
      </w:r>
      <w:r>
        <w:rPr>
          <w:rFonts w:hint="eastAsia"/>
          <w:vertAlign w:val="subscript"/>
          <w:lang w:val="en-US" w:eastAsia="zh-CN"/>
        </w:rPr>
        <w:t>2</w:t>
      </w:r>
      <w:r>
        <w:rPr>
          <w:rFonts w:hint="eastAsia"/>
          <w:lang w:val="en-US" w:eastAsia="zh-CN"/>
        </w:rPr>
        <w:t>S</w:t>
      </w:r>
      <w:r>
        <w:rPr>
          <w:rFonts w:hint="default"/>
          <w:lang w:val="en-US" w:eastAsia="zh-CN"/>
        </w:rPr>
        <w:t>、</w:t>
      </w:r>
      <w:r>
        <w:rPr>
          <w:rFonts w:hint="eastAsia"/>
          <w:lang w:val="en-US" w:eastAsia="zh-CN"/>
        </w:rPr>
        <w:t>NH</w:t>
      </w:r>
      <w:r>
        <w:rPr>
          <w:rFonts w:hint="eastAsia"/>
          <w:vertAlign w:val="subscript"/>
          <w:lang w:val="en-US" w:eastAsia="zh-CN"/>
        </w:rPr>
        <w:t>3</w:t>
      </w:r>
      <w:r>
        <w:rPr>
          <w:rFonts w:hint="default"/>
          <w:lang w:val="en-US" w:eastAsia="zh-CN"/>
        </w:rPr>
        <w:t>等物质的去除率为90%是完全可行的。</w:t>
      </w:r>
    </w:p>
    <w:p w14:paraId="5F3E835B">
      <w:pPr>
        <w:bidi w:val="0"/>
        <w:rPr>
          <w:rFonts w:hint="default"/>
          <w:lang w:val="en-US" w:eastAsia="zh-CN"/>
        </w:rPr>
      </w:pPr>
      <w:r>
        <w:rPr>
          <w:rFonts w:hint="default"/>
          <w:lang w:val="en-US" w:eastAsia="zh-CN"/>
        </w:rPr>
        <w:t>由工程分析可知，污水处理站所产生的氨和硫化氢经二级喷淋塔+</w:t>
      </w:r>
      <w:r>
        <w:rPr>
          <w:rFonts w:hint="eastAsia"/>
          <w:lang w:val="en-US" w:eastAsia="zh-CN"/>
        </w:rPr>
        <w:t>生物滤池</w:t>
      </w:r>
      <w:r>
        <w:rPr>
          <w:rFonts w:hint="default"/>
          <w:lang w:val="en-US" w:eastAsia="zh-CN"/>
        </w:rPr>
        <w:t>处理后，排放能满足《恶臭污染物排放标准》（GB14554-93）表1相应标准要求（15m高排气筒，氨：4.9kg/h；硫化氢：0.33kg/h）。因此，本项目采用该种多级吸收法处理工艺是可行的。</w:t>
      </w:r>
    </w:p>
    <w:p w14:paraId="6310D1B9">
      <w:pPr>
        <w:pStyle w:val="6"/>
        <w:bidi w:val="0"/>
        <w:rPr>
          <w:rFonts w:hint="default"/>
          <w:lang w:val="en-US" w:eastAsia="zh-CN"/>
        </w:rPr>
      </w:pPr>
      <w:r>
        <w:rPr>
          <w:rFonts w:hint="default"/>
          <w:lang w:val="en-US" w:eastAsia="zh-CN"/>
        </w:rPr>
        <w:t>防治恶臭的环境管理措施</w:t>
      </w:r>
    </w:p>
    <w:p w14:paraId="1309DBAA">
      <w:pPr>
        <w:bidi w:val="0"/>
        <w:rPr>
          <w:rFonts w:hint="default"/>
          <w:lang w:val="en-US" w:eastAsia="zh-CN"/>
        </w:rPr>
      </w:pPr>
      <w:r>
        <w:rPr>
          <w:rFonts w:hint="default"/>
          <w:lang w:val="en-US" w:eastAsia="zh-CN"/>
        </w:rPr>
        <w:t>考虑到污水处理设备的处理效果可能有一定波动，且生化处理的后续工艺没有进行加盖密封和臭气收集，会散发少量恶臭气体，为更好的减少恶臭对周围环境的影响，除了要加强硬件设施的建设，还应该强化污水处理站的环境与生产运行管理，以减少恶臭气体的产生。</w:t>
      </w:r>
    </w:p>
    <w:p w14:paraId="389428CA">
      <w:pPr>
        <w:bidi w:val="0"/>
        <w:rPr>
          <w:rFonts w:hint="default"/>
          <w:lang w:val="en-US" w:eastAsia="zh-CN"/>
        </w:rPr>
      </w:pPr>
      <w:r>
        <w:rPr>
          <w:rFonts w:hint="eastAsia"/>
          <w:lang w:val="en-US" w:eastAsia="zh-CN"/>
        </w:rPr>
        <w:t>①</w:t>
      </w:r>
      <w:r>
        <w:rPr>
          <w:rFonts w:hint="default"/>
          <w:lang w:val="en-US" w:eastAsia="zh-CN"/>
        </w:rPr>
        <w:t>加强厂区绿化，降低恶臭污染。主要臭气源周围应种植抗害性较强的乔灌木，并适当增加栽植密度；选择抗污染能力强、吸收有害气体能力较强的树种。</w:t>
      </w:r>
    </w:p>
    <w:p w14:paraId="45379CD5">
      <w:pPr>
        <w:bidi w:val="0"/>
        <w:rPr>
          <w:rFonts w:hint="default"/>
          <w:lang w:val="en-US" w:eastAsia="zh-CN"/>
        </w:rPr>
      </w:pPr>
      <w:r>
        <w:rPr>
          <w:rFonts w:hint="eastAsia"/>
          <w:lang w:val="en-US" w:eastAsia="zh-CN"/>
        </w:rPr>
        <w:t>②</w:t>
      </w:r>
      <w:r>
        <w:rPr>
          <w:rFonts w:hint="default"/>
          <w:lang w:val="en-US" w:eastAsia="zh-CN"/>
        </w:rPr>
        <w:t>厂内应制定工作人员的个人卫生防护制度，尽可能避免在恶臭污染源附近的人员与恶臭气体长时间接触。</w:t>
      </w:r>
    </w:p>
    <w:p w14:paraId="73F5CBD2">
      <w:pPr>
        <w:bidi w:val="0"/>
        <w:rPr>
          <w:rFonts w:hint="default"/>
          <w:lang w:val="en-US" w:eastAsia="zh-CN"/>
        </w:rPr>
      </w:pPr>
      <w:r>
        <w:rPr>
          <w:rFonts w:hint="eastAsia"/>
          <w:lang w:val="en-US" w:eastAsia="zh-CN"/>
        </w:rPr>
        <w:t>③</w:t>
      </w:r>
      <w:r>
        <w:rPr>
          <w:rFonts w:hint="default"/>
          <w:lang w:val="en-US" w:eastAsia="zh-CN"/>
        </w:rPr>
        <w:t>加强废水处理设施的运行管理，厂区的污水管设计流速应足够大，尽量避免产生死区。厂区保持清洁，沉淀池表面漂浮污泥层和固体定期清除。</w:t>
      </w:r>
    </w:p>
    <w:p w14:paraId="40F0AFA9">
      <w:pPr>
        <w:bidi w:val="0"/>
        <w:rPr>
          <w:rFonts w:hint="default"/>
          <w:lang w:val="en-US" w:eastAsia="zh-CN"/>
        </w:rPr>
      </w:pPr>
      <w:r>
        <w:rPr>
          <w:rFonts w:hint="eastAsia"/>
          <w:lang w:val="en-US" w:eastAsia="zh-CN"/>
        </w:rPr>
        <w:t>④</w:t>
      </w:r>
      <w:r>
        <w:rPr>
          <w:rFonts w:hint="default"/>
          <w:lang w:val="en-US" w:eastAsia="zh-CN"/>
        </w:rPr>
        <w:t>脱水污泥应及时清运，脱水机要定时清洗，以减轻臭味的扩散和滋生蚊蝇，格栅截流的固型物和隔油池收集的废油应及时清除外运，减少其停留时间和恶臭源的量。</w:t>
      </w:r>
    </w:p>
    <w:p w14:paraId="75431984">
      <w:pPr>
        <w:bidi w:val="0"/>
        <w:rPr>
          <w:rFonts w:hint="default"/>
          <w:lang w:val="en-US" w:eastAsia="zh-CN"/>
        </w:rPr>
      </w:pPr>
      <w:r>
        <w:rPr>
          <w:rFonts w:hint="eastAsia"/>
          <w:lang w:val="en-US" w:eastAsia="zh-CN"/>
        </w:rPr>
        <w:t>⑤</w:t>
      </w:r>
      <w:r>
        <w:rPr>
          <w:rFonts w:hint="default"/>
          <w:lang w:val="en-US" w:eastAsia="zh-CN"/>
        </w:rPr>
        <w:t>定期对臭气处理设施进行检查，包括喷淋塔洗涤系统是否出现结垢、堵塞等现象，及时更换</w:t>
      </w:r>
      <w:r>
        <w:rPr>
          <w:rFonts w:hint="eastAsia"/>
          <w:lang w:val="en-US" w:eastAsia="zh-CN"/>
        </w:rPr>
        <w:t>生物填料</w:t>
      </w:r>
      <w:r>
        <w:rPr>
          <w:rFonts w:hint="default"/>
          <w:lang w:val="en-US" w:eastAsia="zh-CN"/>
        </w:rPr>
        <w:t>，以确保正常运行。</w:t>
      </w:r>
    </w:p>
    <w:p w14:paraId="1BC490DB">
      <w:pPr>
        <w:bidi w:val="0"/>
        <w:rPr>
          <w:rFonts w:hint="default"/>
          <w:highlight w:val="none"/>
          <w:lang w:val="en-US" w:eastAsia="zh-CN"/>
        </w:rPr>
      </w:pPr>
      <w:r>
        <w:rPr>
          <w:rFonts w:hint="eastAsia"/>
          <w:lang w:val="en-US" w:eastAsia="zh-CN"/>
        </w:rPr>
        <w:t>⑥</w:t>
      </w:r>
      <w:r>
        <w:rPr>
          <w:rFonts w:hint="default"/>
          <w:lang w:val="en-US" w:eastAsia="zh-CN"/>
        </w:rPr>
        <w:t>在污水处</w:t>
      </w:r>
      <w:r>
        <w:rPr>
          <w:rFonts w:hint="default"/>
          <w:highlight w:val="none"/>
          <w:lang w:val="en-US" w:eastAsia="zh-CN"/>
        </w:rPr>
        <w:t>理站周围喷洒除臭植物液。</w:t>
      </w:r>
    </w:p>
    <w:bookmarkEnd w:id="179"/>
    <w:bookmarkEnd w:id="180"/>
    <w:p w14:paraId="1BE03B55">
      <w:pPr>
        <w:pStyle w:val="5"/>
        <w:bidi w:val="0"/>
        <w:rPr>
          <w:rFonts w:hint="default" w:ascii="Times New Roman" w:hAnsi="Times New Roman" w:cs="Times New Roman"/>
          <w:color w:val="auto"/>
          <w:highlight w:val="none"/>
          <w:u w:val="none" w:color="auto"/>
        </w:rPr>
      </w:pPr>
      <w:bookmarkStart w:id="181" w:name="_Toc21929"/>
      <w:bookmarkStart w:id="182" w:name="_Toc6224"/>
      <w:r>
        <w:rPr>
          <w:rFonts w:hint="default" w:ascii="Times New Roman" w:hAnsi="Times New Roman" w:cs="Times New Roman"/>
          <w:color w:val="auto"/>
          <w:highlight w:val="none"/>
          <w:u w:val="none" w:color="auto"/>
        </w:rPr>
        <w:t>营运期地表水环境污染防治措施及可行性分析</w:t>
      </w:r>
      <w:bookmarkEnd w:id="181"/>
      <w:bookmarkEnd w:id="182"/>
    </w:p>
    <w:p w14:paraId="675C8364">
      <w:pPr>
        <w:pStyle w:val="6"/>
        <w:bidi w:val="0"/>
        <w:rPr>
          <w:rFonts w:hint="default"/>
          <w:highlight w:val="none"/>
        </w:rPr>
      </w:pPr>
      <w:bookmarkStart w:id="183" w:name="_Toc13784"/>
      <w:r>
        <w:rPr>
          <w:rFonts w:hint="default"/>
          <w:highlight w:val="none"/>
        </w:rPr>
        <w:t>运营期废水污染防治措施</w:t>
      </w:r>
    </w:p>
    <w:p w14:paraId="3D6963C8">
      <w:pP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根据项目工程分析，项目废水主要包括污泥脱水间冲洗废水、喷淋塔循环废水以及污水处理厂的尾水。</w:t>
      </w:r>
    </w:p>
    <w:p w14:paraId="5D480503">
      <w:pP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w:t>
      </w:r>
      <w:r>
        <w:rPr>
          <w:rFonts w:hint="default" w:ascii="Times New Roman" w:hAnsi="Times New Roman" w:cs="Times New Roman"/>
          <w:highlight w:val="none"/>
        </w:rPr>
        <w:t>）项目排水体制</w:t>
      </w:r>
    </w:p>
    <w:p w14:paraId="1B646076">
      <w:pPr>
        <w:autoSpaceDE w:val="0"/>
        <w:autoSpaceDN w:val="0"/>
        <w:adjustRightInd w:val="0"/>
        <w:ind w:firstLine="424" w:firstLineChars="177"/>
        <w:jc w:val="left"/>
        <w:rPr>
          <w:rFonts w:hint="default" w:ascii="Times New Roman" w:hAnsi="Times New Roman" w:cs="Times New Roman"/>
          <w:highlight w:val="none"/>
        </w:rPr>
      </w:pPr>
      <w:r>
        <w:rPr>
          <w:rFonts w:hint="eastAsia" w:ascii="Times New Roman" w:hAnsi="Times New Roman" w:cs="Times New Roman"/>
          <w:kern w:val="0"/>
          <w:highlight w:val="none"/>
          <w:lang w:val="en-US" w:eastAsia="zh-CN"/>
        </w:rPr>
        <w:t>本项目采用雨污分流体制，污污分流的排放体制，即雨水和污水分别收集排放。泥脱水间冲洗废水、喷淋塔循环废水全部进入自身污水处理系统，与进站废水一并处理。</w:t>
      </w:r>
    </w:p>
    <w:p w14:paraId="1D02CAA3">
      <w:pP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2</w:t>
      </w:r>
      <w:r>
        <w:rPr>
          <w:rFonts w:hint="default" w:ascii="Times New Roman" w:hAnsi="Times New Roman" w:cs="Times New Roman"/>
          <w:highlight w:val="none"/>
        </w:rPr>
        <w:t>）废水防治措施</w:t>
      </w:r>
    </w:p>
    <w:p w14:paraId="5E206F7E">
      <w:pPr>
        <w:autoSpaceDE w:val="0"/>
        <w:autoSpaceDN w:val="0"/>
        <w:adjustRightInd w:val="0"/>
        <w:ind w:firstLine="424" w:firstLineChars="177"/>
        <w:rPr>
          <w:rFonts w:hint="default" w:ascii="Times New Roman" w:hAnsi="Times New Roman" w:cs="Times New Roman"/>
          <w:kern w:val="0"/>
          <w:highlight w:val="none"/>
          <w:lang w:val="en-US" w:eastAsia="zh-CN"/>
        </w:rPr>
      </w:pPr>
      <w:r>
        <w:rPr>
          <w:rFonts w:hint="default" w:ascii="Times New Roman" w:hAnsi="Times New Roman" w:cs="Times New Roman"/>
          <w:kern w:val="0"/>
          <w:highlight w:val="none"/>
          <w:lang w:val="en-US" w:eastAsia="zh-CN"/>
        </w:rPr>
        <w:t>由工程分析可知，</w:t>
      </w:r>
      <w:r>
        <w:rPr>
          <w:rFonts w:hint="eastAsia" w:ascii="Times New Roman" w:hAnsi="Times New Roman" w:cs="Times New Roman"/>
          <w:kern w:val="0"/>
          <w:highlight w:val="none"/>
          <w:lang w:val="en-US" w:eastAsia="zh-CN"/>
        </w:rPr>
        <w:t>本项目</w:t>
      </w:r>
      <w:r>
        <w:rPr>
          <w:rFonts w:hint="default" w:ascii="Times New Roman" w:hAnsi="Times New Roman" w:cs="Times New Roman"/>
          <w:kern w:val="0"/>
          <w:highlight w:val="none"/>
          <w:lang w:val="en-US" w:eastAsia="zh-CN"/>
        </w:rPr>
        <w:t>采用“集水池+微滤机+隔油预沉池+调节池/应急池+厌氧流化床+好氧池+缺氧池+消化池+好氧流化床+去磷池+清水池”处理工艺，服务范围为佳海产业园区内企业的生产废水（生活污水进入园区隔油、化粪池处理后外排市政管网），废水达到废水达到《污水综合排放标准》（GB8978-1996）表4中的三级标准和湘阴县第二污水处理厂进水水质接纳标准后经城市污水管网进入湘阴县第二污水处理厂集中处理后排放。因此项目运营期间自身废水不会对周边水环境产生明显影响。</w:t>
      </w:r>
    </w:p>
    <w:p w14:paraId="7BDE7371">
      <w:pPr>
        <w:autoSpaceDE w:val="0"/>
        <w:autoSpaceDN w:val="0"/>
        <w:adjustRightInd w:val="0"/>
        <w:ind w:firstLine="424" w:firstLineChars="177"/>
        <w:rPr>
          <w:rFonts w:hint="eastAsia" w:ascii="Times New Roman" w:hAnsi="Times New Roman" w:cs="Times New Roman"/>
          <w:kern w:val="0"/>
          <w:highlight w:val="none"/>
          <w:lang w:val="en-US" w:eastAsia="zh-CN"/>
        </w:rPr>
      </w:pPr>
      <w:r>
        <w:rPr>
          <w:rFonts w:hint="eastAsia" w:ascii="Times New Roman" w:hAnsi="Times New Roman" w:cs="Times New Roman"/>
          <w:kern w:val="0"/>
          <w:highlight w:val="none"/>
          <w:lang w:val="en-US" w:eastAsia="zh-CN"/>
        </w:rPr>
        <w:t>（3）污水处理工艺可行性</w:t>
      </w:r>
    </w:p>
    <w:p w14:paraId="73C520A1">
      <w:pPr>
        <w:autoSpaceDE w:val="0"/>
        <w:autoSpaceDN w:val="0"/>
        <w:adjustRightInd w:val="0"/>
        <w:ind w:firstLine="424" w:firstLineChars="177"/>
        <w:rPr>
          <w:rFonts w:hint="default" w:ascii="Times New Roman" w:hAnsi="Times New Roman" w:cs="Times New Roman"/>
          <w:kern w:val="0"/>
          <w:highlight w:val="none"/>
          <w:lang w:val="en-US" w:eastAsia="zh-CN"/>
        </w:rPr>
      </w:pPr>
      <w:r>
        <w:rPr>
          <w:rFonts w:hint="default" w:ascii="Times New Roman" w:hAnsi="Times New Roman" w:cs="Times New Roman"/>
          <w:kern w:val="0"/>
          <w:highlight w:val="none"/>
          <w:lang w:val="en-US" w:eastAsia="zh-CN"/>
        </w:rPr>
        <w:t>本项目污水主要园区企业所排</w:t>
      </w:r>
      <w:r>
        <w:rPr>
          <w:rFonts w:hint="eastAsia" w:ascii="Times New Roman" w:hAnsi="Times New Roman" w:cs="Times New Roman"/>
          <w:kern w:val="0"/>
          <w:highlight w:val="none"/>
          <w:lang w:val="en-US" w:eastAsia="zh-CN"/>
        </w:rPr>
        <w:t>食品</w:t>
      </w:r>
      <w:r>
        <w:rPr>
          <w:rFonts w:hint="default" w:ascii="Times New Roman" w:hAnsi="Times New Roman" w:cs="Times New Roman"/>
          <w:kern w:val="0"/>
          <w:highlight w:val="none"/>
          <w:lang w:val="en-US" w:eastAsia="zh-CN"/>
        </w:rPr>
        <w:t>工业废水，其主要处理对象为COD、</w:t>
      </w:r>
      <w:r>
        <w:rPr>
          <w:rFonts w:hint="eastAsia" w:ascii="Times New Roman" w:hAnsi="Times New Roman" w:cs="Times New Roman"/>
          <w:kern w:val="0"/>
          <w:highlight w:val="none"/>
          <w:lang w:val="en-US" w:eastAsia="zh-CN"/>
        </w:rPr>
        <w:t>BOD</w:t>
      </w:r>
      <w:r>
        <w:rPr>
          <w:rFonts w:hint="eastAsia" w:ascii="Times New Roman" w:hAnsi="Times New Roman" w:cs="Times New Roman"/>
          <w:kern w:val="0"/>
          <w:highlight w:val="none"/>
          <w:vertAlign w:val="subscript"/>
          <w:lang w:val="en-US" w:eastAsia="zh-CN"/>
        </w:rPr>
        <w:t>5</w:t>
      </w:r>
      <w:r>
        <w:rPr>
          <w:rFonts w:hint="default" w:ascii="Times New Roman" w:hAnsi="Times New Roman" w:cs="Times New Roman"/>
          <w:kern w:val="0"/>
          <w:highlight w:val="none"/>
          <w:lang w:val="en-US" w:eastAsia="zh-CN"/>
        </w:rPr>
        <w:t>、SS、氮磷营养物及病原体的控制。项目进水水质分析详见前文3.</w:t>
      </w:r>
      <w:r>
        <w:rPr>
          <w:rFonts w:hint="eastAsia" w:ascii="Times New Roman" w:hAnsi="Times New Roman" w:cs="Times New Roman"/>
          <w:kern w:val="0"/>
          <w:highlight w:val="none"/>
          <w:lang w:val="en-US" w:eastAsia="zh-CN"/>
        </w:rPr>
        <w:t>2.3</w:t>
      </w:r>
      <w:r>
        <w:rPr>
          <w:rFonts w:hint="default" w:ascii="Times New Roman" w:hAnsi="Times New Roman" w:cs="Times New Roman"/>
          <w:kern w:val="0"/>
          <w:highlight w:val="none"/>
          <w:lang w:val="en-US" w:eastAsia="zh-CN"/>
        </w:rPr>
        <w:t>设计进出水质章节。一般情况下，生化处理部分是生活污水处理工艺的核心，也是工艺方案选择的主要对象。污水能否采用生物法处理工艺，特别是脱氮除磷工艺，对进水中污染物质的配比和平衡有较高的要求。</w:t>
      </w:r>
      <w:r>
        <w:rPr>
          <w:rFonts w:hint="eastAsia" w:ascii="Times New Roman" w:hAnsi="Times New Roman" w:cs="Times New Roman"/>
          <w:kern w:val="0"/>
          <w:highlight w:val="none"/>
          <w:lang w:val="en-US" w:eastAsia="zh-CN"/>
        </w:rPr>
        <w:t>根据本项目设计方案，所采用工艺单元各去除效果如下表所示：</w:t>
      </w:r>
    </w:p>
    <w:p w14:paraId="4C4B2315">
      <w:pPr>
        <w:pStyle w:val="39"/>
        <w:bidi w:val="0"/>
        <w:rPr>
          <w:rFonts w:hint="default"/>
          <w:lang w:val="en-US" w:eastAsia="zh-CN"/>
        </w:rPr>
      </w:pPr>
      <w:r>
        <w:rPr>
          <w:rFonts w:hint="default"/>
          <w:lang w:val="en-US" w:eastAsia="zh-CN"/>
        </w:rPr>
        <w:t>表</w:t>
      </w:r>
      <w:r>
        <w:rPr>
          <w:rFonts w:hint="eastAsia"/>
          <w:lang w:val="en-US" w:eastAsia="zh-CN"/>
        </w:rPr>
        <w:t>7.3</w:t>
      </w:r>
      <w:r>
        <w:rPr>
          <w:rFonts w:hint="default"/>
          <w:lang w:val="en-US" w:eastAsia="zh-CN"/>
        </w:rPr>
        <w:t>-1 废水处理去除</w:t>
      </w:r>
      <w:r>
        <w:rPr>
          <w:rFonts w:hint="eastAsia"/>
          <w:lang w:val="en-US" w:eastAsia="zh-CN"/>
        </w:rPr>
        <w:t>效果</w:t>
      </w:r>
      <w:r>
        <w:rPr>
          <w:rFonts w:hint="default"/>
          <w:lang w:val="en-US" w:eastAsia="zh-CN"/>
        </w:rPr>
        <w:t>预测</w:t>
      </w:r>
    </w:p>
    <w:tbl>
      <w:tblPr>
        <w:tblStyle w:val="5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13"/>
        <w:gridCol w:w="835"/>
        <w:gridCol w:w="793"/>
        <w:gridCol w:w="733"/>
        <w:gridCol w:w="837"/>
        <w:gridCol w:w="835"/>
        <w:gridCol w:w="850"/>
        <w:gridCol w:w="820"/>
        <w:gridCol w:w="713"/>
      </w:tblGrid>
      <w:tr w14:paraId="5B330F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vMerge w:val="restart"/>
            <w:tcBorders>
              <w:top w:val="single" w:color="000000" w:sz="10" w:space="0"/>
              <w:left w:val="single" w:color="000000" w:sz="10" w:space="0"/>
              <w:bottom w:val="nil"/>
              <w:tl2br w:val="single" w:color="000000" w:sz="6" w:space="0"/>
            </w:tcBorders>
            <w:vAlign w:val="center"/>
          </w:tcPr>
          <w:p w14:paraId="48E09BAE">
            <w:pPr>
              <w:pStyle w:val="42"/>
              <w:bidi w:val="0"/>
              <w:jc w:val="center"/>
            </w:pPr>
            <w:r>
              <w:rPr>
                <w:rFonts w:hint="eastAsia"/>
                <w:lang w:val="en-US" w:eastAsia="zh-CN"/>
              </w:rPr>
              <w:t xml:space="preserve">    </w:t>
            </w:r>
            <w:r>
              <w:t>污染物</w:t>
            </w:r>
          </w:p>
          <w:p w14:paraId="5A3C0AF8">
            <w:pPr>
              <w:pStyle w:val="42"/>
              <w:bidi w:val="0"/>
              <w:jc w:val="both"/>
            </w:pPr>
            <w:r>
              <w:t>处理单元</w:t>
            </w:r>
          </w:p>
        </w:tc>
        <w:tc>
          <w:tcPr>
            <w:tcW w:w="977" w:type="pct"/>
            <w:gridSpan w:val="2"/>
            <w:tcBorders>
              <w:top w:val="single" w:color="000000" w:sz="10" w:space="0"/>
            </w:tcBorders>
            <w:vAlign w:val="center"/>
          </w:tcPr>
          <w:p w14:paraId="441F6A78">
            <w:pPr>
              <w:pStyle w:val="42"/>
              <w:bidi w:val="0"/>
              <w:jc w:val="center"/>
            </w:pPr>
            <w:r>
              <w:rPr>
                <w:rFonts w:hint="eastAsia"/>
                <w:lang w:eastAsia="zh-CN"/>
              </w:rPr>
              <w:t>COD</w:t>
            </w:r>
            <w:r>
              <w:rPr>
                <w:rFonts w:hint="eastAsia"/>
                <w:vertAlign w:val="subscript"/>
                <w:lang w:eastAsia="zh-CN"/>
              </w:rPr>
              <w:t>cr</w:t>
            </w:r>
            <w:r>
              <w:t>（mg/L）</w:t>
            </w:r>
          </w:p>
        </w:tc>
        <w:tc>
          <w:tcPr>
            <w:tcW w:w="942" w:type="pct"/>
            <w:gridSpan w:val="2"/>
            <w:tcBorders>
              <w:top w:val="single" w:color="000000" w:sz="10" w:space="0"/>
            </w:tcBorders>
            <w:vAlign w:val="center"/>
          </w:tcPr>
          <w:p w14:paraId="3389DBDD">
            <w:pPr>
              <w:pStyle w:val="42"/>
              <w:bidi w:val="0"/>
              <w:jc w:val="center"/>
            </w:pPr>
            <w:r>
              <w:t>BOD（mg/L）</w:t>
            </w:r>
          </w:p>
        </w:tc>
        <w:tc>
          <w:tcPr>
            <w:tcW w:w="1011" w:type="pct"/>
            <w:gridSpan w:val="2"/>
            <w:tcBorders>
              <w:top w:val="single" w:color="000000" w:sz="10" w:space="0"/>
            </w:tcBorders>
            <w:vAlign w:val="center"/>
          </w:tcPr>
          <w:p w14:paraId="36AC69AD">
            <w:pPr>
              <w:pStyle w:val="42"/>
              <w:bidi w:val="0"/>
              <w:jc w:val="center"/>
            </w:pPr>
            <w:r>
              <w:t>SS（mg/L）</w:t>
            </w:r>
          </w:p>
        </w:tc>
        <w:tc>
          <w:tcPr>
            <w:tcW w:w="920" w:type="pct"/>
            <w:gridSpan w:val="2"/>
            <w:tcBorders>
              <w:top w:val="single" w:color="000000" w:sz="10" w:space="0"/>
              <w:right w:val="single" w:color="000000" w:sz="10" w:space="0"/>
            </w:tcBorders>
            <w:vAlign w:val="center"/>
          </w:tcPr>
          <w:p w14:paraId="3FD4262B">
            <w:pPr>
              <w:pStyle w:val="42"/>
              <w:bidi w:val="0"/>
              <w:jc w:val="center"/>
            </w:pPr>
            <w:r>
              <w:t>氨氮（mg/L）</w:t>
            </w:r>
          </w:p>
        </w:tc>
      </w:tr>
      <w:tr w14:paraId="232222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vMerge w:val="continue"/>
            <w:tcBorders>
              <w:top w:val="nil"/>
              <w:left w:val="single" w:color="000000" w:sz="10" w:space="0"/>
              <w:tl2br w:val="single" w:color="000000" w:sz="6" w:space="0"/>
            </w:tcBorders>
            <w:vAlign w:val="center"/>
          </w:tcPr>
          <w:p w14:paraId="47656019">
            <w:pPr>
              <w:pStyle w:val="42"/>
              <w:bidi w:val="0"/>
              <w:jc w:val="center"/>
            </w:pPr>
          </w:p>
        </w:tc>
        <w:tc>
          <w:tcPr>
            <w:tcW w:w="501" w:type="pct"/>
            <w:vAlign w:val="center"/>
          </w:tcPr>
          <w:p w14:paraId="328E9CCD">
            <w:pPr>
              <w:pStyle w:val="42"/>
              <w:bidi w:val="0"/>
              <w:jc w:val="center"/>
            </w:pPr>
            <w:r>
              <w:t>进水浓度</w:t>
            </w:r>
          </w:p>
        </w:tc>
        <w:tc>
          <w:tcPr>
            <w:tcW w:w="475" w:type="pct"/>
            <w:vAlign w:val="center"/>
          </w:tcPr>
          <w:p w14:paraId="6C2811D1">
            <w:pPr>
              <w:pStyle w:val="42"/>
              <w:bidi w:val="0"/>
              <w:jc w:val="center"/>
            </w:pPr>
            <w:r>
              <w:t>出水浓度</w:t>
            </w:r>
          </w:p>
        </w:tc>
        <w:tc>
          <w:tcPr>
            <w:tcW w:w="440" w:type="pct"/>
            <w:vAlign w:val="center"/>
          </w:tcPr>
          <w:p w14:paraId="4666CFB5">
            <w:pPr>
              <w:pStyle w:val="42"/>
              <w:bidi w:val="0"/>
              <w:jc w:val="center"/>
            </w:pPr>
            <w:r>
              <w:t>进水浓度</w:t>
            </w:r>
          </w:p>
        </w:tc>
        <w:tc>
          <w:tcPr>
            <w:tcW w:w="502" w:type="pct"/>
            <w:vAlign w:val="center"/>
          </w:tcPr>
          <w:p w14:paraId="3B746741">
            <w:pPr>
              <w:pStyle w:val="42"/>
              <w:bidi w:val="0"/>
              <w:jc w:val="center"/>
            </w:pPr>
            <w:r>
              <w:t>出水浓度</w:t>
            </w:r>
          </w:p>
        </w:tc>
        <w:tc>
          <w:tcPr>
            <w:tcW w:w="501" w:type="pct"/>
            <w:vAlign w:val="center"/>
          </w:tcPr>
          <w:p w14:paraId="69104687">
            <w:pPr>
              <w:pStyle w:val="42"/>
              <w:bidi w:val="0"/>
              <w:jc w:val="center"/>
            </w:pPr>
            <w:r>
              <w:t>进水浓度</w:t>
            </w:r>
          </w:p>
        </w:tc>
        <w:tc>
          <w:tcPr>
            <w:tcW w:w="509" w:type="pct"/>
            <w:vAlign w:val="center"/>
          </w:tcPr>
          <w:p w14:paraId="69441DE3">
            <w:pPr>
              <w:pStyle w:val="42"/>
              <w:bidi w:val="0"/>
              <w:jc w:val="center"/>
            </w:pPr>
            <w:r>
              <w:t>出水浓度</w:t>
            </w:r>
          </w:p>
        </w:tc>
        <w:tc>
          <w:tcPr>
            <w:tcW w:w="492" w:type="pct"/>
            <w:vAlign w:val="center"/>
          </w:tcPr>
          <w:p w14:paraId="0AE0DEFB">
            <w:pPr>
              <w:pStyle w:val="42"/>
              <w:bidi w:val="0"/>
              <w:jc w:val="center"/>
            </w:pPr>
            <w:r>
              <w:t>进水浓度</w:t>
            </w:r>
          </w:p>
        </w:tc>
        <w:tc>
          <w:tcPr>
            <w:tcW w:w="428" w:type="pct"/>
            <w:tcBorders>
              <w:right w:val="single" w:color="000000" w:sz="10" w:space="0"/>
            </w:tcBorders>
            <w:vAlign w:val="center"/>
          </w:tcPr>
          <w:p w14:paraId="256D514B">
            <w:pPr>
              <w:pStyle w:val="42"/>
              <w:bidi w:val="0"/>
              <w:jc w:val="center"/>
            </w:pPr>
            <w:r>
              <w:t>出水浓度</w:t>
            </w:r>
          </w:p>
        </w:tc>
      </w:tr>
      <w:tr w14:paraId="681A57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7168AEA0">
            <w:pPr>
              <w:pStyle w:val="42"/>
              <w:bidi w:val="0"/>
              <w:jc w:val="center"/>
            </w:pPr>
            <w:r>
              <w:t>集水池+微滤</w:t>
            </w:r>
          </w:p>
        </w:tc>
        <w:tc>
          <w:tcPr>
            <w:tcW w:w="501" w:type="pct"/>
            <w:vAlign w:val="center"/>
          </w:tcPr>
          <w:p w14:paraId="64B5D33C">
            <w:pPr>
              <w:pStyle w:val="42"/>
              <w:bidi w:val="0"/>
              <w:jc w:val="center"/>
            </w:pPr>
            <w:r>
              <w:t>6000</w:t>
            </w:r>
          </w:p>
        </w:tc>
        <w:tc>
          <w:tcPr>
            <w:tcW w:w="475" w:type="pct"/>
            <w:vAlign w:val="center"/>
          </w:tcPr>
          <w:p w14:paraId="2002A929">
            <w:pPr>
              <w:pStyle w:val="42"/>
              <w:bidi w:val="0"/>
              <w:jc w:val="center"/>
            </w:pPr>
            <w:r>
              <w:t>6000</w:t>
            </w:r>
          </w:p>
        </w:tc>
        <w:tc>
          <w:tcPr>
            <w:tcW w:w="440" w:type="pct"/>
            <w:vAlign w:val="center"/>
          </w:tcPr>
          <w:p w14:paraId="340CBA6A">
            <w:pPr>
              <w:pStyle w:val="42"/>
              <w:bidi w:val="0"/>
              <w:jc w:val="center"/>
            </w:pPr>
            <w:r>
              <w:t>2500</w:t>
            </w:r>
          </w:p>
        </w:tc>
        <w:tc>
          <w:tcPr>
            <w:tcW w:w="502" w:type="pct"/>
            <w:vAlign w:val="center"/>
          </w:tcPr>
          <w:p w14:paraId="75C5ECEC">
            <w:pPr>
              <w:pStyle w:val="42"/>
              <w:bidi w:val="0"/>
              <w:jc w:val="center"/>
            </w:pPr>
            <w:r>
              <w:t>2500</w:t>
            </w:r>
          </w:p>
        </w:tc>
        <w:tc>
          <w:tcPr>
            <w:tcW w:w="501" w:type="pct"/>
            <w:vAlign w:val="center"/>
          </w:tcPr>
          <w:p w14:paraId="7C822FDE">
            <w:pPr>
              <w:pStyle w:val="42"/>
              <w:bidi w:val="0"/>
              <w:jc w:val="center"/>
            </w:pPr>
            <w:r>
              <w:t>500</w:t>
            </w:r>
          </w:p>
        </w:tc>
        <w:tc>
          <w:tcPr>
            <w:tcW w:w="509" w:type="pct"/>
            <w:vAlign w:val="center"/>
          </w:tcPr>
          <w:p w14:paraId="05AED0BD">
            <w:pPr>
              <w:pStyle w:val="42"/>
              <w:bidi w:val="0"/>
              <w:jc w:val="center"/>
            </w:pPr>
            <w:r>
              <w:t>500</w:t>
            </w:r>
          </w:p>
        </w:tc>
        <w:tc>
          <w:tcPr>
            <w:tcW w:w="492" w:type="pct"/>
            <w:vAlign w:val="center"/>
          </w:tcPr>
          <w:p w14:paraId="1CA88FA8">
            <w:pPr>
              <w:pStyle w:val="42"/>
              <w:bidi w:val="0"/>
              <w:jc w:val="center"/>
            </w:pPr>
            <w:r>
              <w:t>100</w:t>
            </w:r>
          </w:p>
        </w:tc>
        <w:tc>
          <w:tcPr>
            <w:tcW w:w="428" w:type="pct"/>
            <w:tcBorders>
              <w:right w:val="single" w:color="000000" w:sz="10" w:space="0"/>
            </w:tcBorders>
            <w:vAlign w:val="center"/>
          </w:tcPr>
          <w:p w14:paraId="1007AAF9">
            <w:pPr>
              <w:pStyle w:val="42"/>
              <w:bidi w:val="0"/>
              <w:jc w:val="center"/>
            </w:pPr>
            <w:r>
              <w:t>100</w:t>
            </w:r>
          </w:p>
        </w:tc>
      </w:tr>
      <w:tr w14:paraId="2EB94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02AEBE78">
            <w:pPr>
              <w:pStyle w:val="42"/>
              <w:bidi w:val="0"/>
              <w:jc w:val="center"/>
            </w:pPr>
            <w:r>
              <w:t>隔油初沉池</w:t>
            </w:r>
          </w:p>
        </w:tc>
        <w:tc>
          <w:tcPr>
            <w:tcW w:w="501" w:type="pct"/>
            <w:vAlign w:val="center"/>
          </w:tcPr>
          <w:p w14:paraId="0BAB3AC6">
            <w:pPr>
              <w:pStyle w:val="42"/>
              <w:bidi w:val="0"/>
              <w:jc w:val="center"/>
            </w:pPr>
            <w:r>
              <w:t>6000</w:t>
            </w:r>
          </w:p>
        </w:tc>
        <w:tc>
          <w:tcPr>
            <w:tcW w:w="475" w:type="pct"/>
            <w:vAlign w:val="center"/>
          </w:tcPr>
          <w:p w14:paraId="147FA87F">
            <w:pPr>
              <w:pStyle w:val="42"/>
              <w:bidi w:val="0"/>
              <w:jc w:val="center"/>
            </w:pPr>
            <w:r>
              <w:t>5000</w:t>
            </w:r>
          </w:p>
        </w:tc>
        <w:tc>
          <w:tcPr>
            <w:tcW w:w="440" w:type="pct"/>
            <w:vAlign w:val="center"/>
          </w:tcPr>
          <w:p w14:paraId="1A50748F">
            <w:pPr>
              <w:pStyle w:val="42"/>
              <w:bidi w:val="0"/>
              <w:jc w:val="center"/>
            </w:pPr>
            <w:r>
              <w:t>2500</w:t>
            </w:r>
          </w:p>
        </w:tc>
        <w:tc>
          <w:tcPr>
            <w:tcW w:w="502" w:type="pct"/>
            <w:vAlign w:val="center"/>
          </w:tcPr>
          <w:p w14:paraId="2F67E3D2">
            <w:pPr>
              <w:pStyle w:val="42"/>
              <w:bidi w:val="0"/>
              <w:jc w:val="center"/>
            </w:pPr>
            <w:r>
              <w:t>2000</w:t>
            </w:r>
          </w:p>
        </w:tc>
        <w:tc>
          <w:tcPr>
            <w:tcW w:w="501" w:type="pct"/>
            <w:vAlign w:val="center"/>
          </w:tcPr>
          <w:p w14:paraId="76318595">
            <w:pPr>
              <w:pStyle w:val="42"/>
              <w:bidi w:val="0"/>
              <w:jc w:val="center"/>
            </w:pPr>
            <w:r>
              <w:t>500</w:t>
            </w:r>
          </w:p>
        </w:tc>
        <w:tc>
          <w:tcPr>
            <w:tcW w:w="509" w:type="pct"/>
            <w:vAlign w:val="center"/>
          </w:tcPr>
          <w:p w14:paraId="3549E7FB">
            <w:pPr>
              <w:pStyle w:val="42"/>
              <w:bidi w:val="0"/>
              <w:jc w:val="center"/>
            </w:pPr>
            <w:r>
              <w:t>300</w:t>
            </w:r>
          </w:p>
        </w:tc>
        <w:tc>
          <w:tcPr>
            <w:tcW w:w="492" w:type="pct"/>
            <w:vAlign w:val="center"/>
          </w:tcPr>
          <w:p w14:paraId="1BBA1843">
            <w:pPr>
              <w:pStyle w:val="42"/>
              <w:bidi w:val="0"/>
              <w:jc w:val="center"/>
            </w:pPr>
            <w:r>
              <w:t>100</w:t>
            </w:r>
          </w:p>
        </w:tc>
        <w:tc>
          <w:tcPr>
            <w:tcW w:w="428" w:type="pct"/>
            <w:tcBorders>
              <w:right w:val="single" w:color="000000" w:sz="10" w:space="0"/>
            </w:tcBorders>
            <w:vAlign w:val="center"/>
          </w:tcPr>
          <w:p w14:paraId="48D26C4A">
            <w:pPr>
              <w:pStyle w:val="42"/>
              <w:bidi w:val="0"/>
              <w:jc w:val="center"/>
            </w:pPr>
            <w:r>
              <w:t>100</w:t>
            </w:r>
          </w:p>
        </w:tc>
      </w:tr>
      <w:tr w14:paraId="007CC4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72924131">
            <w:pPr>
              <w:pStyle w:val="42"/>
              <w:bidi w:val="0"/>
              <w:jc w:val="center"/>
            </w:pPr>
            <w:r>
              <w:t>调节池/应急池</w:t>
            </w:r>
          </w:p>
        </w:tc>
        <w:tc>
          <w:tcPr>
            <w:tcW w:w="501" w:type="pct"/>
            <w:vAlign w:val="center"/>
          </w:tcPr>
          <w:p w14:paraId="4446617B">
            <w:pPr>
              <w:pStyle w:val="42"/>
              <w:bidi w:val="0"/>
              <w:jc w:val="center"/>
            </w:pPr>
            <w:r>
              <w:t>5000</w:t>
            </w:r>
          </w:p>
        </w:tc>
        <w:tc>
          <w:tcPr>
            <w:tcW w:w="475" w:type="pct"/>
            <w:vAlign w:val="center"/>
          </w:tcPr>
          <w:p w14:paraId="44DB3CB3">
            <w:pPr>
              <w:pStyle w:val="42"/>
              <w:bidi w:val="0"/>
              <w:jc w:val="center"/>
            </w:pPr>
            <w:r>
              <w:t>4500</w:t>
            </w:r>
          </w:p>
        </w:tc>
        <w:tc>
          <w:tcPr>
            <w:tcW w:w="440" w:type="pct"/>
            <w:vAlign w:val="center"/>
          </w:tcPr>
          <w:p w14:paraId="229FCB7E">
            <w:pPr>
              <w:pStyle w:val="42"/>
              <w:bidi w:val="0"/>
              <w:jc w:val="center"/>
            </w:pPr>
            <w:r>
              <w:t>2000</w:t>
            </w:r>
          </w:p>
        </w:tc>
        <w:tc>
          <w:tcPr>
            <w:tcW w:w="502" w:type="pct"/>
            <w:vAlign w:val="center"/>
          </w:tcPr>
          <w:p w14:paraId="58CA6463">
            <w:pPr>
              <w:pStyle w:val="42"/>
              <w:bidi w:val="0"/>
              <w:jc w:val="center"/>
            </w:pPr>
            <w:r>
              <w:t>1800</w:t>
            </w:r>
          </w:p>
        </w:tc>
        <w:tc>
          <w:tcPr>
            <w:tcW w:w="501" w:type="pct"/>
            <w:vAlign w:val="center"/>
          </w:tcPr>
          <w:p w14:paraId="55513412">
            <w:pPr>
              <w:pStyle w:val="42"/>
              <w:bidi w:val="0"/>
              <w:jc w:val="center"/>
            </w:pPr>
            <w:r>
              <w:t>300</w:t>
            </w:r>
          </w:p>
        </w:tc>
        <w:tc>
          <w:tcPr>
            <w:tcW w:w="509" w:type="pct"/>
            <w:vAlign w:val="center"/>
          </w:tcPr>
          <w:p w14:paraId="6F1D1C4B">
            <w:pPr>
              <w:pStyle w:val="42"/>
              <w:bidi w:val="0"/>
              <w:jc w:val="center"/>
            </w:pPr>
            <w:r>
              <w:t>200</w:t>
            </w:r>
          </w:p>
        </w:tc>
        <w:tc>
          <w:tcPr>
            <w:tcW w:w="492" w:type="pct"/>
            <w:vAlign w:val="center"/>
          </w:tcPr>
          <w:p w14:paraId="07009267">
            <w:pPr>
              <w:pStyle w:val="42"/>
              <w:bidi w:val="0"/>
              <w:jc w:val="center"/>
            </w:pPr>
            <w:r>
              <w:t>100</w:t>
            </w:r>
          </w:p>
        </w:tc>
        <w:tc>
          <w:tcPr>
            <w:tcW w:w="428" w:type="pct"/>
            <w:tcBorders>
              <w:right w:val="single" w:color="000000" w:sz="10" w:space="0"/>
            </w:tcBorders>
            <w:vAlign w:val="center"/>
          </w:tcPr>
          <w:p w14:paraId="5E4E4A2C">
            <w:pPr>
              <w:pStyle w:val="42"/>
              <w:bidi w:val="0"/>
              <w:jc w:val="center"/>
            </w:pPr>
            <w:r>
              <w:t>80</w:t>
            </w:r>
          </w:p>
        </w:tc>
      </w:tr>
      <w:tr w14:paraId="4DCD07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663B4AFE">
            <w:pPr>
              <w:pStyle w:val="42"/>
              <w:bidi w:val="0"/>
              <w:jc w:val="center"/>
            </w:pPr>
            <w:r>
              <w:t>厌氧流化床</w:t>
            </w:r>
          </w:p>
        </w:tc>
        <w:tc>
          <w:tcPr>
            <w:tcW w:w="501" w:type="pct"/>
            <w:vAlign w:val="center"/>
          </w:tcPr>
          <w:p w14:paraId="72AF539D">
            <w:pPr>
              <w:pStyle w:val="42"/>
              <w:bidi w:val="0"/>
              <w:jc w:val="center"/>
            </w:pPr>
            <w:r>
              <w:t>4500</w:t>
            </w:r>
          </w:p>
        </w:tc>
        <w:tc>
          <w:tcPr>
            <w:tcW w:w="475" w:type="pct"/>
            <w:vAlign w:val="center"/>
          </w:tcPr>
          <w:p w14:paraId="017443B2">
            <w:pPr>
              <w:pStyle w:val="42"/>
              <w:bidi w:val="0"/>
              <w:jc w:val="center"/>
            </w:pPr>
            <w:r>
              <w:t>1500</w:t>
            </w:r>
          </w:p>
        </w:tc>
        <w:tc>
          <w:tcPr>
            <w:tcW w:w="440" w:type="pct"/>
            <w:vAlign w:val="center"/>
          </w:tcPr>
          <w:p w14:paraId="2F0FD6B4">
            <w:pPr>
              <w:pStyle w:val="42"/>
              <w:bidi w:val="0"/>
              <w:jc w:val="center"/>
            </w:pPr>
            <w:r>
              <w:t>1800</w:t>
            </w:r>
          </w:p>
        </w:tc>
        <w:tc>
          <w:tcPr>
            <w:tcW w:w="502" w:type="pct"/>
            <w:vAlign w:val="center"/>
          </w:tcPr>
          <w:p w14:paraId="0B1435D3">
            <w:pPr>
              <w:pStyle w:val="42"/>
              <w:bidi w:val="0"/>
              <w:jc w:val="center"/>
            </w:pPr>
            <w:r>
              <w:t>500</w:t>
            </w:r>
          </w:p>
        </w:tc>
        <w:tc>
          <w:tcPr>
            <w:tcW w:w="501" w:type="pct"/>
            <w:vAlign w:val="center"/>
          </w:tcPr>
          <w:p w14:paraId="57BD6E1F">
            <w:pPr>
              <w:pStyle w:val="42"/>
              <w:bidi w:val="0"/>
              <w:jc w:val="center"/>
            </w:pPr>
            <w:r>
              <w:t>200</w:t>
            </w:r>
          </w:p>
        </w:tc>
        <w:tc>
          <w:tcPr>
            <w:tcW w:w="509" w:type="pct"/>
            <w:vAlign w:val="center"/>
          </w:tcPr>
          <w:p w14:paraId="7970240E">
            <w:pPr>
              <w:pStyle w:val="42"/>
              <w:bidi w:val="0"/>
              <w:jc w:val="center"/>
            </w:pPr>
            <w:r>
              <w:t>125</w:t>
            </w:r>
          </w:p>
        </w:tc>
        <w:tc>
          <w:tcPr>
            <w:tcW w:w="492" w:type="pct"/>
            <w:vAlign w:val="center"/>
          </w:tcPr>
          <w:p w14:paraId="4523210A">
            <w:pPr>
              <w:pStyle w:val="42"/>
              <w:bidi w:val="0"/>
              <w:jc w:val="center"/>
            </w:pPr>
            <w:r>
              <w:t>80</w:t>
            </w:r>
          </w:p>
        </w:tc>
        <w:tc>
          <w:tcPr>
            <w:tcW w:w="428" w:type="pct"/>
            <w:tcBorders>
              <w:right w:val="single" w:color="000000" w:sz="10" w:space="0"/>
            </w:tcBorders>
            <w:vAlign w:val="center"/>
          </w:tcPr>
          <w:p w14:paraId="55B35AD2">
            <w:pPr>
              <w:pStyle w:val="42"/>
              <w:bidi w:val="0"/>
              <w:jc w:val="center"/>
            </w:pPr>
            <w:r>
              <w:t>100</w:t>
            </w:r>
          </w:p>
        </w:tc>
      </w:tr>
      <w:tr w14:paraId="5E9F94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58C2271F">
            <w:pPr>
              <w:pStyle w:val="42"/>
              <w:bidi w:val="0"/>
              <w:jc w:val="center"/>
            </w:pPr>
            <w:r>
              <w:t>好氧池</w:t>
            </w:r>
          </w:p>
        </w:tc>
        <w:tc>
          <w:tcPr>
            <w:tcW w:w="501" w:type="pct"/>
            <w:vAlign w:val="center"/>
          </w:tcPr>
          <w:p w14:paraId="53F0E5A7">
            <w:pPr>
              <w:pStyle w:val="42"/>
              <w:bidi w:val="0"/>
              <w:jc w:val="center"/>
            </w:pPr>
            <w:r>
              <w:t>1500</w:t>
            </w:r>
          </w:p>
        </w:tc>
        <w:tc>
          <w:tcPr>
            <w:tcW w:w="475" w:type="pct"/>
            <w:vAlign w:val="center"/>
          </w:tcPr>
          <w:p w14:paraId="1BE3E477">
            <w:pPr>
              <w:pStyle w:val="42"/>
              <w:bidi w:val="0"/>
              <w:jc w:val="center"/>
            </w:pPr>
            <w:r>
              <w:t>900</w:t>
            </w:r>
          </w:p>
        </w:tc>
        <w:tc>
          <w:tcPr>
            <w:tcW w:w="440" w:type="pct"/>
            <w:vAlign w:val="center"/>
          </w:tcPr>
          <w:p w14:paraId="758ABA10">
            <w:pPr>
              <w:pStyle w:val="42"/>
              <w:bidi w:val="0"/>
              <w:jc w:val="center"/>
            </w:pPr>
            <w:r>
              <w:t>500</w:t>
            </w:r>
          </w:p>
        </w:tc>
        <w:tc>
          <w:tcPr>
            <w:tcW w:w="502" w:type="pct"/>
            <w:vAlign w:val="center"/>
          </w:tcPr>
          <w:p w14:paraId="4A0913FB">
            <w:pPr>
              <w:pStyle w:val="42"/>
              <w:bidi w:val="0"/>
              <w:jc w:val="center"/>
            </w:pPr>
            <w:r>
              <w:t>200</w:t>
            </w:r>
          </w:p>
        </w:tc>
        <w:tc>
          <w:tcPr>
            <w:tcW w:w="501" w:type="pct"/>
            <w:vAlign w:val="center"/>
          </w:tcPr>
          <w:p w14:paraId="4711F973">
            <w:pPr>
              <w:pStyle w:val="42"/>
              <w:bidi w:val="0"/>
              <w:jc w:val="center"/>
            </w:pPr>
            <w:r>
              <w:t>125</w:t>
            </w:r>
          </w:p>
        </w:tc>
        <w:tc>
          <w:tcPr>
            <w:tcW w:w="509" w:type="pct"/>
            <w:vAlign w:val="center"/>
          </w:tcPr>
          <w:p w14:paraId="45AF9337">
            <w:pPr>
              <w:pStyle w:val="42"/>
              <w:bidi w:val="0"/>
              <w:jc w:val="center"/>
            </w:pPr>
            <w:r>
              <w:t>125</w:t>
            </w:r>
          </w:p>
        </w:tc>
        <w:tc>
          <w:tcPr>
            <w:tcW w:w="492" w:type="pct"/>
            <w:vAlign w:val="center"/>
          </w:tcPr>
          <w:p w14:paraId="4A0AF1F5">
            <w:pPr>
              <w:pStyle w:val="42"/>
              <w:bidi w:val="0"/>
              <w:jc w:val="center"/>
            </w:pPr>
            <w:r>
              <w:t>100</w:t>
            </w:r>
          </w:p>
        </w:tc>
        <w:tc>
          <w:tcPr>
            <w:tcW w:w="428" w:type="pct"/>
            <w:tcBorders>
              <w:right w:val="single" w:color="000000" w:sz="10" w:space="0"/>
            </w:tcBorders>
            <w:vAlign w:val="center"/>
          </w:tcPr>
          <w:p w14:paraId="33561FCF">
            <w:pPr>
              <w:pStyle w:val="42"/>
              <w:bidi w:val="0"/>
              <w:jc w:val="center"/>
            </w:pPr>
            <w:r>
              <w:t>60</w:t>
            </w:r>
          </w:p>
        </w:tc>
      </w:tr>
      <w:tr w14:paraId="4612D7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4896F8E6">
            <w:pPr>
              <w:pStyle w:val="42"/>
              <w:bidi w:val="0"/>
              <w:jc w:val="center"/>
            </w:pPr>
            <w:r>
              <w:t>缺氧+消化池+好氧流化床</w:t>
            </w:r>
          </w:p>
        </w:tc>
        <w:tc>
          <w:tcPr>
            <w:tcW w:w="501" w:type="pct"/>
            <w:vAlign w:val="center"/>
          </w:tcPr>
          <w:p w14:paraId="14C09DB4">
            <w:pPr>
              <w:pStyle w:val="42"/>
              <w:bidi w:val="0"/>
              <w:jc w:val="center"/>
            </w:pPr>
            <w:r>
              <w:t>900</w:t>
            </w:r>
          </w:p>
        </w:tc>
        <w:tc>
          <w:tcPr>
            <w:tcW w:w="475" w:type="pct"/>
            <w:vAlign w:val="center"/>
          </w:tcPr>
          <w:p w14:paraId="55CE4233">
            <w:pPr>
              <w:pStyle w:val="42"/>
              <w:bidi w:val="0"/>
              <w:jc w:val="center"/>
            </w:pPr>
            <w:r>
              <w:t>400</w:t>
            </w:r>
          </w:p>
        </w:tc>
        <w:tc>
          <w:tcPr>
            <w:tcW w:w="440" w:type="pct"/>
            <w:vAlign w:val="center"/>
          </w:tcPr>
          <w:p w14:paraId="465958D1">
            <w:pPr>
              <w:pStyle w:val="42"/>
              <w:bidi w:val="0"/>
              <w:jc w:val="center"/>
            </w:pPr>
            <w:r>
              <w:t>200</w:t>
            </w:r>
          </w:p>
        </w:tc>
        <w:tc>
          <w:tcPr>
            <w:tcW w:w="502" w:type="pct"/>
            <w:vAlign w:val="center"/>
          </w:tcPr>
          <w:p w14:paraId="5083AC88">
            <w:pPr>
              <w:pStyle w:val="42"/>
              <w:bidi w:val="0"/>
              <w:jc w:val="center"/>
            </w:pPr>
            <w:r>
              <w:t>100</w:t>
            </w:r>
          </w:p>
        </w:tc>
        <w:tc>
          <w:tcPr>
            <w:tcW w:w="501" w:type="pct"/>
            <w:vAlign w:val="center"/>
          </w:tcPr>
          <w:p w14:paraId="7221219A">
            <w:pPr>
              <w:pStyle w:val="42"/>
              <w:bidi w:val="0"/>
              <w:jc w:val="center"/>
            </w:pPr>
            <w:r>
              <w:t>125</w:t>
            </w:r>
          </w:p>
        </w:tc>
        <w:tc>
          <w:tcPr>
            <w:tcW w:w="509" w:type="pct"/>
            <w:vAlign w:val="center"/>
          </w:tcPr>
          <w:p w14:paraId="2015025F">
            <w:pPr>
              <w:pStyle w:val="42"/>
              <w:bidi w:val="0"/>
              <w:jc w:val="center"/>
            </w:pPr>
            <w:r>
              <w:t>50</w:t>
            </w:r>
          </w:p>
        </w:tc>
        <w:tc>
          <w:tcPr>
            <w:tcW w:w="492" w:type="pct"/>
            <w:vAlign w:val="center"/>
          </w:tcPr>
          <w:p w14:paraId="359FF112">
            <w:pPr>
              <w:pStyle w:val="42"/>
              <w:bidi w:val="0"/>
              <w:jc w:val="center"/>
            </w:pPr>
            <w:r>
              <w:t>60</w:t>
            </w:r>
          </w:p>
        </w:tc>
        <w:tc>
          <w:tcPr>
            <w:tcW w:w="428" w:type="pct"/>
            <w:tcBorders>
              <w:right w:val="single" w:color="000000" w:sz="10" w:space="0"/>
            </w:tcBorders>
            <w:vAlign w:val="center"/>
          </w:tcPr>
          <w:p w14:paraId="61E58543">
            <w:pPr>
              <w:pStyle w:val="42"/>
              <w:bidi w:val="0"/>
              <w:jc w:val="center"/>
            </w:pPr>
            <w:r>
              <w:t>30</w:t>
            </w:r>
          </w:p>
        </w:tc>
      </w:tr>
      <w:tr w14:paraId="00E607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tcBorders>
            <w:vAlign w:val="center"/>
          </w:tcPr>
          <w:p w14:paraId="5558789A">
            <w:pPr>
              <w:pStyle w:val="42"/>
              <w:bidi w:val="0"/>
              <w:jc w:val="center"/>
            </w:pPr>
            <w:r>
              <w:t>去磷池+清水池</w:t>
            </w:r>
          </w:p>
        </w:tc>
        <w:tc>
          <w:tcPr>
            <w:tcW w:w="501" w:type="pct"/>
            <w:vAlign w:val="center"/>
          </w:tcPr>
          <w:p w14:paraId="4AA76964">
            <w:pPr>
              <w:pStyle w:val="42"/>
              <w:bidi w:val="0"/>
              <w:jc w:val="center"/>
            </w:pPr>
            <w:r>
              <w:t>400</w:t>
            </w:r>
          </w:p>
        </w:tc>
        <w:tc>
          <w:tcPr>
            <w:tcW w:w="475" w:type="pct"/>
            <w:vAlign w:val="center"/>
          </w:tcPr>
          <w:p w14:paraId="2FD1683C">
            <w:pPr>
              <w:pStyle w:val="42"/>
              <w:bidi w:val="0"/>
              <w:jc w:val="center"/>
            </w:pPr>
            <w:r>
              <w:t>300</w:t>
            </w:r>
          </w:p>
        </w:tc>
        <w:tc>
          <w:tcPr>
            <w:tcW w:w="440" w:type="pct"/>
            <w:vAlign w:val="center"/>
          </w:tcPr>
          <w:p w14:paraId="608AE007">
            <w:pPr>
              <w:pStyle w:val="42"/>
              <w:bidi w:val="0"/>
              <w:jc w:val="center"/>
            </w:pPr>
            <w:r>
              <w:t>100</w:t>
            </w:r>
          </w:p>
        </w:tc>
        <w:tc>
          <w:tcPr>
            <w:tcW w:w="502" w:type="pct"/>
            <w:vAlign w:val="center"/>
          </w:tcPr>
          <w:p w14:paraId="0EF370EA">
            <w:pPr>
              <w:pStyle w:val="42"/>
              <w:bidi w:val="0"/>
              <w:jc w:val="center"/>
            </w:pPr>
            <w:r>
              <w:t>90</w:t>
            </w:r>
          </w:p>
        </w:tc>
        <w:tc>
          <w:tcPr>
            <w:tcW w:w="501" w:type="pct"/>
            <w:vAlign w:val="center"/>
          </w:tcPr>
          <w:p w14:paraId="3EDD1F9E">
            <w:pPr>
              <w:pStyle w:val="42"/>
              <w:bidi w:val="0"/>
              <w:jc w:val="center"/>
            </w:pPr>
            <w:r>
              <w:t>50</w:t>
            </w:r>
          </w:p>
        </w:tc>
        <w:tc>
          <w:tcPr>
            <w:tcW w:w="509" w:type="pct"/>
            <w:vAlign w:val="center"/>
          </w:tcPr>
          <w:p w14:paraId="71BB5ECC">
            <w:pPr>
              <w:pStyle w:val="42"/>
              <w:bidi w:val="0"/>
              <w:jc w:val="center"/>
            </w:pPr>
            <w:r>
              <w:t>50</w:t>
            </w:r>
          </w:p>
        </w:tc>
        <w:tc>
          <w:tcPr>
            <w:tcW w:w="492" w:type="pct"/>
            <w:vAlign w:val="center"/>
          </w:tcPr>
          <w:p w14:paraId="5727159A">
            <w:pPr>
              <w:pStyle w:val="42"/>
              <w:bidi w:val="0"/>
              <w:jc w:val="center"/>
            </w:pPr>
            <w:r>
              <w:t>30</w:t>
            </w:r>
          </w:p>
        </w:tc>
        <w:tc>
          <w:tcPr>
            <w:tcW w:w="428" w:type="pct"/>
            <w:tcBorders>
              <w:right w:val="single" w:color="000000" w:sz="10" w:space="0"/>
            </w:tcBorders>
            <w:vAlign w:val="center"/>
          </w:tcPr>
          <w:p w14:paraId="53BB5CB9">
            <w:pPr>
              <w:pStyle w:val="42"/>
              <w:bidi w:val="0"/>
              <w:jc w:val="center"/>
            </w:pPr>
            <w:r>
              <w:t>30</w:t>
            </w:r>
          </w:p>
        </w:tc>
      </w:tr>
      <w:tr w14:paraId="7F281B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48" w:type="pct"/>
            <w:tcBorders>
              <w:left w:val="single" w:color="000000" w:sz="10" w:space="0"/>
              <w:bottom w:val="single" w:color="000000" w:sz="10" w:space="0"/>
            </w:tcBorders>
            <w:vAlign w:val="center"/>
          </w:tcPr>
          <w:p w14:paraId="0084C47D">
            <w:pPr>
              <w:pStyle w:val="42"/>
              <w:bidi w:val="0"/>
              <w:jc w:val="center"/>
            </w:pPr>
            <w:r>
              <w:t>排放标准</w:t>
            </w:r>
          </w:p>
        </w:tc>
        <w:tc>
          <w:tcPr>
            <w:tcW w:w="977" w:type="pct"/>
            <w:gridSpan w:val="2"/>
            <w:tcBorders>
              <w:bottom w:val="single" w:color="000000" w:sz="10" w:space="0"/>
            </w:tcBorders>
            <w:vAlign w:val="center"/>
          </w:tcPr>
          <w:p w14:paraId="7BC48802">
            <w:pPr>
              <w:pStyle w:val="42"/>
              <w:bidi w:val="0"/>
              <w:jc w:val="center"/>
            </w:pPr>
            <w:r>
              <w:t>＜500</w:t>
            </w:r>
          </w:p>
        </w:tc>
        <w:tc>
          <w:tcPr>
            <w:tcW w:w="942" w:type="pct"/>
            <w:gridSpan w:val="2"/>
            <w:tcBorders>
              <w:bottom w:val="single" w:color="000000" w:sz="10" w:space="0"/>
            </w:tcBorders>
            <w:vAlign w:val="center"/>
          </w:tcPr>
          <w:p w14:paraId="05843D7B">
            <w:pPr>
              <w:pStyle w:val="42"/>
              <w:bidi w:val="0"/>
              <w:jc w:val="center"/>
            </w:pPr>
            <w:r>
              <w:t>＜300</w:t>
            </w:r>
          </w:p>
        </w:tc>
        <w:tc>
          <w:tcPr>
            <w:tcW w:w="1011" w:type="pct"/>
            <w:gridSpan w:val="2"/>
            <w:tcBorders>
              <w:bottom w:val="single" w:color="000000" w:sz="10" w:space="0"/>
            </w:tcBorders>
            <w:vAlign w:val="center"/>
          </w:tcPr>
          <w:p w14:paraId="27C2DD55">
            <w:pPr>
              <w:pStyle w:val="42"/>
              <w:bidi w:val="0"/>
              <w:jc w:val="center"/>
            </w:pPr>
            <w:r>
              <w:t>＜400</w:t>
            </w:r>
          </w:p>
        </w:tc>
        <w:tc>
          <w:tcPr>
            <w:tcW w:w="920" w:type="pct"/>
            <w:gridSpan w:val="2"/>
            <w:tcBorders>
              <w:bottom w:val="single" w:color="000000" w:sz="10" w:space="0"/>
              <w:right w:val="single" w:color="000000" w:sz="10" w:space="0"/>
            </w:tcBorders>
            <w:vAlign w:val="center"/>
          </w:tcPr>
          <w:p w14:paraId="6F6265AA">
            <w:pPr>
              <w:pStyle w:val="42"/>
              <w:bidi w:val="0"/>
              <w:jc w:val="center"/>
            </w:pPr>
            <w:r>
              <w:t>＜45</w:t>
            </w:r>
          </w:p>
        </w:tc>
      </w:tr>
    </w:tbl>
    <w:p w14:paraId="2D8682C6">
      <w:pPr>
        <w:pStyle w:val="6"/>
        <w:bidi w:val="0"/>
        <w:rPr>
          <w:rFonts w:hint="default"/>
        </w:rPr>
      </w:pPr>
      <w:r>
        <w:rPr>
          <w:rFonts w:hint="default"/>
        </w:rPr>
        <w:t>与排污许可技术规范符合性</w:t>
      </w:r>
    </w:p>
    <w:p w14:paraId="05457A45">
      <w:pP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本项目污水处理厂各类废水处理工艺与《排污许可证申请与核发技术规范水处理（试行）》（HJ978-2018）推荐可行技术对比情况，详见表</w:t>
      </w:r>
      <w:r>
        <w:rPr>
          <w:rFonts w:hint="eastAsia" w:ascii="Times New Roman" w:hAnsi="Times New Roman" w:cs="Times New Roman"/>
          <w:highlight w:val="none"/>
          <w:lang w:val="en-US" w:eastAsia="zh-CN"/>
        </w:rPr>
        <w:t>7.3</w:t>
      </w:r>
      <w:r>
        <w:rPr>
          <w:rFonts w:hint="default" w:ascii="Times New Roman" w:hAnsi="Times New Roman" w:cs="Times New Roman"/>
          <w:highlight w:val="none"/>
        </w:rPr>
        <w:t>-2。</w:t>
      </w:r>
    </w:p>
    <w:p w14:paraId="0A9A94B4">
      <w:pPr>
        <w:pStyle w:val="39"/>
        <w:bidi w:val="0"/>
        <w:rPr>
          <w:rFonts w:hint="default"/>
        </w:rPr>
      </w:pPr>
      <w:r>
        <w:rPr>
          <w:rFonts w:hint="default"/>
        </w:rPr>
        <w:t>表</w:t>
      </w:r>
      <w:r>
        <w:rPr>
          <w:rFonts w:hint="eastAsia"/>
          <w:lang w:val="en-US" w:eastAsia="zh-CN"/>
        </w:rPr>
        <w:t>7.3</w:t>
      </w:r>
      <w:r>
        <w:rPr>
          <w:rFonts w:hint="default"/>
        </w:rPr>
        <w:t>-2   本项目废水处理措施可行性分析一览表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654"/>
        <w:gridCol w:w="654"/>
        <w:gridCol w:w="3960"/>
        <w:gridCol w:w="2099"/>
        <w:gridCol w:w="654"/>
      </w:tblGrid>
      <w:tr w14:paraId="25FCE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op w:val="single" w:color="auto" w:sz="12" w:space="0"/>
              <w:left w:val="single" w:color="auto" w:sz="12" w:space="0"/>
              <w:bottom w:val="single" w:color="auto" w:sz="4" w:space="0"/>
              <w:right w:val="single" w:color="auto" w:sz="4" w:space="0"/>
            </w:tcBorders>
            <w:noWrap w:val="0"/>
            <w:vAlign w:val="center"/>
          </w:tcPr>
          <w:p w14:paraId="5260A06B">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序号</w:t>
            </w:r>
          </w:p>
        </w:tc>
        <w:tc>
          <w:tcPr>
            <w:tcW w:w="0" w:type="auto"/>
            <w:tcBorders>
              <w:top w:val="single" w:color="auto" w:sz="12" w:space="0"/>
              <w:left w:val="single" w:color="auto" w:sz="4" w:space="0"/>
              <w:bottom w:val="single" w:color="auto" w:sz="4" w:space="0"/>
              <w:right w:val="single" w:color="auto" w:sz="4" w:space="0"/>
            </w:tcBorders>
            <w:noWrap w:val="0"/>
            <w:vAlign w:val="center"/>
          </w:tcPr>
          <w:p w14:paraId="13F71A6F">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废水类别</w:t>
            </w:r>
          </w:p>
        </w:tc>
        <w:tc>
          <w:tcPr>
            <w:tcW w:w="0" w:type="auto"/>
            <w:tcBorders>
              <w:top w:val="single" w:color="auto" w:sz="12" w:space="0"/>
              <w:left w:val="single" w:color="auto" w:sz="4" w:space="0"/>
              <w:bottom w:val="single" w:color="auto" w:sz="4" w:space="0"/>
              <w:right w:val="single" w:color="auto" w:sz="4" w:space="0"/>
            </w:tcBorders>
            <w:noWrap w:val="0"/>
            <w:vAlign w:val="center"/>
          </w:tcPr>
          <w:p w14:paraId="2E01112F">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处理工段</w:t>
            </w:r>
          </w:p>
        </w:tc>
        <w:tc>
          <w:tcPr>
            <w:tcW w:w="0" w:type="auto"/>
            <w:tcBorders>
              <w:top w:val="single" w:color="auto" w:sz="12" w:space="0"/>
              <w:left w:val="single" w:color="auto" w:sz="4" w:space="0"/>
              <w:bottom w:val="single" w:color="auto" w:sz="4" w:space="0"/>
              <w:right w:val="single" w:color="auto" w:sz="4" w:space="0"/>
            </w:tcBorders>
            <w:noWrap w:val="0"/>
            <w:vAlign w:val="center"/>
          </w:tcPr>
          <w:p w14:paraId="5119189D">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《排污许可证申请与核发技术规范水处理（试行）》推荐可行技术</w:t>
            </w:r>
          </w:p>
        </w:tc>
        <w:tc>
          <w:tcPr>
            <w:tcW w:w="0" w:type="auto"/>
            <w:tcBorders>
              <w:top w:val="single" w:color="auto" w:sz="12" w:space="0"/>
              <w:left w:val="single" w:color="auto" w:sz="4" w:space="0"/>
              <w:bottom w:val="single" w:color="auto" w:sz="4" w:space="0"/>
              <w:right w:val="single" w:color="auto" w:sz="4" w:space="0"/>
            </w:tcBorders>
            <w:noWrap w:val="0"/>
            <w:vAlign w:val="center"/>
          </w:tcPr>
          <w:p w14:paraId="50DC0113">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项目拟采取主要处理工艺</w:t>
            </w:r>
          </w:p>
        </w:tc>
        <w:tc>
          <w:tcPr>
            <w:tcW w:w="0" w:type="auto"/>
            <w:tcBorders>
              <w:top w:val="single" w:color="auto" w:sz="12" w:space="0"/>
              <w:left w:val="single" w:color="auto" w:sz="4" w:space="0"/>
              <w:bottom w:val="single" w:color="auto" w:sz="4" w:space="0"/>
              <w:right w:val="single" w:color="auto" w:sz="12" w:space="0"/>
            </w:tcBorders>
            <w:noWrap w:val="0"/>
            <w:vAlign w:val="center"/>
          </w:tcPr>
          <w:p w14:paraId="2A136B22">
            <w:pPr>
              <w:pStyle w:val="42"/>
              <w:keepNext w:val="0"/>
              <w:keepLines w:val="0"/>
              <w:suppressLineNumbers w:val="0"/>
              <w:bidi w:val="0"/>
              <w:spacing w:before="0" w:beforeAutospacing="0" w:after="0" w:afterAutospacing="0"/>
              <w:rPr>
                <w:rFonts w:hint="default"/>
                <w:highlight w:val="none"/>
                <w:lang w:val="en-US" w:eastAsia="zh-CN"/>
              </w:rPr>
            </w:pPr>
            <w:r>
              <w:rPr>
                <w:rFonts w:hint="default"/>
                <w:highlight w:val="none"/>
                <w:lang w:val="en-US" w:eastAsia="zh-CN"/>
              </w:rPr>
              <w:t>是否可行</w:t>
            </w:r>
          </w:p>
        </w:tc>
      </w:tr>
      <w:tr w14:paraId="3D740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op w:val="single" w:color="auto" w:sz="4" w:space="0"/>
              <w:left w:val="single" w:color="auto" w:sz="12" w:space="0"/>
              <w:bottom w:val="single" w:color="auto" w:sz="4" w:space="0"/>
              <w:right w:val="single" w:color="auto" w:sz="4" w:space="0"/>
            </w:tcBorders>
            <w:noWrap w:val="0"/>
            <w:vAlign w:val="center"/>
          </w:tcPr>
          <w:p w14:paraId="23BF018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1</w:t>
            </w:r>
          </w:p>
        </w:tc>
        <w:tc>
          <w:tcPr>
            <w:tcW w:w="0" w:type="auto"/>
            <w:vMerge w:val="restart"/>
            <w:tcBorders>
              <w:top w:val="single" w:color="auto" w:sz="4" w:space="0"/>
              <w:left w:val="single" w:color="auto" w:sz="4" w:space="0"/>
              <w:right w:val="single" w:color="auto" w:sz="4" w:space="0"/>
            </w:tcBorders>
            <w:noWrap w:val="0"/>
            <w:vAlign w:val="center"/>
          </w:tcPr>
          <w:p w14:paraId="3C3ECD8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工业废水</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F06C85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预处理</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A1A850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沉淀、调节、气浮、水解酸化</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716133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沉淀、调节、</w:t>
            </w:r>
            <w:r>
              <w:rPr>
                <w:rFonts w:hint="eastAsia"/>
                <w:lang w:val="en-US" w:eastAsia="zh-CN"/>
              </w:rPr>
              <w:t>厌氧流化床</w:t>
            </w:r>
          </w:p>
        </w:tc>
        <w:tc>
          <w:tcPr>
            <w:tcW w:w="0" w:type="auto"/>
            <w:tcBorders>
              <w:top w:val="single" w:color="auto" w:sz="4" w:space="0"/>
              <w:left w:val="single" w:color="auto" w:sz="4" w:space="0"/>
              <w:bottom w:val="single" w:color="auto" w:sz="4" w:space="0"/>
              <w:right w:val="single" w:color="auto" w:sz="12" w:space="0"/>
            </w:tcBorders>
            <w:noWrap w:val="0"/>
            <w:vAlign w:val="center"/>
          </w:tcPr>
          <w:p w14:paraId="76BC5F2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是</w:t>
            </w:r>
          </w:p>
        </w:tc>
      </w:tr>
      <w:tr w14:paraId="6F12F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op w:val="single" w:color="auto" w:sz="4" w:space="0"/>
              <w:left w:val="single" w:color="auto" w:sz="12" w:space="0"/>
              <w:bottom w:val="single" w:color="auto" w:sz="4" w:space="0"/>
              <w:right w:val="single" w:color="auto" w:sz="4" w:space="0"/>
            </w:tcBorders>
            <w:noWrap w:val="0"/>
            <w:vAlign w:val="center"/>
          </w:tcPr>
          <w:p w14:paraId="0361E00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2</w:t>
            </w:r>
          </w:p>
        </w:tc>
        <w:tc>
          <w:tcPr>
            <w:tcW w:w="0" w:type="auto"/>
            <w:vMerge w:val="continue"/>
            <w:tcBorders>
              <w:left w:val="single" w:color="auto" w:sz="4" w:space="0"/>
              <w:right w:val="single" w:color="auto" w:sz="4" w:space="0"/>
            </w:tcBorders>
            <w:noWrap w:val="0"/>
            <w:vAlign w:val="center"/>
          </w:tcPr>
          <w:p w14:paraId="026C84EA">
            <w:pPr>
              <w:pStyle w:val="42"/>
              <w:keepNext w:val="0"/>
              <w:keepLines w:val="0"/>
              <w:suppressLineNumbers w:val="0"/>
              <w:bidi w:val="0"/>
              <w:spacing w:before="0" w:beforeAutospacing="0" w:after="0" w:afterAutospacing="0"/>
              <w:rPr>
                <w:rFonts w:hint="default"/>
                <w:lang w:val="en-US" w:eastAsia="zh-CN"/>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1466AF9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生化处理</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234B4F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缺氧好氧、厌氧缺氧好氧、序批式活性污泥、接触氧化、氧化沟、移动生物床反应器、膜生物反应器</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C7CF61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厌氧流化床+好氧池+缺氧池+消化池+好氧流化床</w:t>
            </w:r>
          </w:p>
        </w:tc>
        <w:tc>
          <w:tcPr>
            <w:tcW w:w="0" w:type="auto"/>
            <w:tcBorders>
              <w:top w:val="single" w:color="auto" w:sz="4" w:space="0"/>
              <w:left w:val="single" w:color="auto" w:sz="4" w:space="0"/>
              <w:bottom w:val="single" w:color="auto" w:sz="4" w:space="0"/>
              <w:right w:val="single" w:color="auto" w:sz="12" w:space="0"/>
            </w:tcBorders>
            <w:noWrap w:val="0"/>
            <w:vAlign w:val="center"/>
          </w:tcPr>
          <w:p w14:paraId="27243FE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是</w:t>
            </w:r>
          </w:p>
        </w:tc>
      </w:tr>
      <w:tr w14:paraId="3E09D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op w:val="single" w:color="auto" w:sz="4" w:space="0"/>
              <w:left w:val="single" w:color="auto" w:sz="12" w:space="0"/>
              <w:bottom w:val="single" w:color="auto" w:sz="12" w:space="0"/>
              <w:right w:val="single" w:color="auto" w:sz="4" w:space="0"/>
            </w:tcBorders>
            <w:noWrap w:val="0"/>
            <w:vAlign w:val="center"/>
          </w:tcPr>
          <w:p w14:paraId="1DDDF1EF">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3</w:t>
            </w:r>
          </w:p>
        </w:tc>
        <w:tc>
          <w:tcPr>
            <w:tcW w:w="0" w:type="auto"/>
            <w:vMerge w:val="continue"/>
            <w:tcBorders>
              <w:left w:val="single" w:color="auto" w:sz="4" w:space="0"/>
              <w:bottom w:val="single" w:color="auto" w:sz="12" w:space="0"/>
              <w:right w:val="single" w:color="auto" w:sz="4" w:space="0"/>
            </w:tcBorders>
            <w:noWrap w:val="0"/>
            <w:vAlign w:val="center"/>
          </w:tcPr>
          <w:p w14:paraId="634CA52E">
            <w:pPr>
              <w:pStyle w:val="42"/>
              <w:keepNext w:val="0"/>
              <w:keepLines w:val="0"/>
              <w:suppressLineNumbers w:val="0"/>
              <w:bidi w:val="0"/>
              <w:spacing w:before="0" w:beforeAutospacing="0" w:after="0" w:afterAutospacing="0"/>
              <w:rPr>
                <w:rFonts w:hint="default"/>
                <w:lang w:val="en-US" w:eastAsia="zh-CN"/>
              </w:rPr>
            </w:pPr>
          </w:p>
        </w:tc>
        <w:tc>
          <w:tcPr>
            <w:tcW w:w="0" w:type="auto"/>
            <w:tcBorders>
              <w:top w:val="single" w:color="auto" w:sz="4" w:space="0"/>
              <w:left w:val="single" w:color="auto" w:sz="4" w:space="0"/>
              <w:bottom w:val="single" w:color="auto" w:sz="12" w:space="0"/>
              <w:right w:val="single" w:color="auto" w:sz="4" w:space="0"/>
            </w:tcBorders>
            <w:noWrap w:val="0"/>
            <w:vAlign w:val="center"/>
          </w:tcPr>
          <w:p w14:paraId="2ADB361C">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深度处理</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3D6ABCF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反硝化深度滤池、化学沉淀、过滤、高级氧化、曝气生物滤池、生物接触氧化、膜分离、离子交换</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40F7B6BB">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去磷沉淀池+湘阴县第二污水处理厂</w:t>
            </w:r>
          </w:p>
        </w:tc>
        <w:tc>
          <w:tcPr>
            <w:tcW w:w="0" w:type="auto"/>
            <w:tcBorders>
              <w:top w:val="single" w:color="auto" w:sz="4" w:space="0"/>
              <w:left w:val="single" w:color="auto" w:sz="4" w:space="0"/>
              <w:bottom w:val="single" w:color="auto" w:sz="12" w:space="0"/>
              <w:right w:val="single" w:color="auto" w:sz="12" w:space="0"/>
            </w:tcBorders>
            <w:noWrap w:val="0"/>
            <w:vAlign w:val="center"/>
          </w:tcPr>
          <w:p w14:paraId="18ACF3B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是</w:t>
            </w:r>
          </w:p>
        </w:tc>
      </w:tr>
    </w:tbl>
    <w:p w14:paraId="285718D4">
      <w:pPr>
        <w:bidi w:val="0"/>
        <w:rPr>
          <w:rFonts w:hint="default"/>
        </w:rPr>
      </w:pPr>
      <w:r>
        <w:rPr>
          <w:rFonts w:hint="default"/>
        </w:rPr>
        <w:t>综上，本项目污水处理工艺属于《排污许可证申请与核发技术规范水处理（试 行）》（HJ978-2018）中推荐处理工艺，可以有效的处理本项目工业废水。</w:t>
      </w:r>
    </w:p>
    <w:p w14:paraId="24E977FA">
      <w:pPr>
        <w:pStyle w:val="6"/>
        <w:bidi w:val="0"/>
        <w:rPr>
          <w:rFonts w:hint="default"/>
        </w:rPr>
      </w:pPr>
      <w:r>
        <w:t>废水环境影响污染防治对策</w:t>
      </w:r>
    </w:p>
    <w:p w14:paraId="0690D992">
      <w:pPr>
        <w:bidi w:val="0"/>
        <w:rPr>
          <w:rFonts w:hint="default"/>
        </w:rPr>
      </w:pPr>
      <w:r>
        <w:rPr>
          <w:rFonts w:hint="eastAsia"/>
          <w:lang w:val="en-US" w:eastAsia="zh-CN"/>
        </w:rPr>
        <w:t>1、</w:t>
      </w:r>
      <w:r>
        <w:rPr>
          <w:rFonts w:hint="default"/>
        </w:rPr>
        <w:t>污染源控制</w:t>
      </w:r>
    </w:p>
    <w:p w14:paraId="04D3C9BA">
      <w:pPr>
        <w:bidi w:val="0"/>
        <w:rPr>
          <w:rFonts w:hint="default"/>
        </w:rPr>
      </w:pPr>
      <w:r>
        <w:rPr>
          <w:rFonts w:hint="default"/>
        </w:rPr>
        <w:t>本项目为工业污水预处理，为保证处理工程的正常运行，一定要做好水污染源的源头控制和管理。</w:t>
      </w:r>
    </w:p>
    <w:p w14:paraId="50F54F4C">
      <w:pPr>
        <w:bidi w:val="0"/>
        <w:rPr>
          <w:rFonts w:hint="default"/>
        </w:rPr>
      </w:pPr>
      <w:r>
        <w:rPr>
          <w:rFonts w:hint="default"/>
        </w:rPr>
        <w:t>（1）为减轻项目工业污水处理的负荷，服务范围内企业应加强内部环境管理。通过清洁生产、车间预处理等手段减少污染物的排放，杜绝事故发生。</w:t>
      </w:r>
    </w:p>
    <w:p w14:paraId="31F9C1C4">
      <w:pPr>
        <w:bidi w:val="0"/>
        <w:rPr>
          <w:rFonts w:hint="default"/>
        </w:rPr>
      </w:pPr>
      <w:r>
        <w:rPr>
          <w:rFonts w:hint="default"/>
        </w:rPr>
        <w:t>（2）编制比较完善的应急预案，并与区域应急预案相接轨，在发生事故的情况下降低污染扩散的范围。</w:t>
      </w:r>
    </w:p>
    <w:p w14:paraId="2EC958F0">
      <w:pPr>
        <w:bidi w:val="0"/>
        <w:rPr>
          <w:rFonts w:hint="default"/>
        </w:rPr>
      </w:pPr>
      <w:r>
        <w:rPr>
          <w:rFonts w:hint="default"/>
        </w:rPr>
        <w:t>（3）严格限制处理范围以外工业废水进入污水处理厂，企业必须预处理达到接管标准后排放污水管网。</w:t>
      </w:r>
    </w:p>
    <w:p w14:paraId="69E0D4FA">
      <w:pPr>
        <w:bidi w:val="0"/>
        <w:rPr>
          <w:rFonts w:hint="default"/>
        </w:rPr>
      </w:pPr>
      <w:r>
        <w:rPr>
          <w:rFonts w:hint="eastAsia"/>
          <w:lang w:val="en-US" w:eastAsia="zh-CN"/>
        </w:rPr>
        <w:t>2、</w:t>
      </w:r>
      <w:r>
        <w:rPr>
          <w:rFonts w:hint="default"/>
        </w:rPr>
        <w:t>管网维护措施</w:t>
      </w:r>
    </w:p>
    <w:p w14:paraId="094000C0">
      <w:pPr>
        <w:bidi w:val="0"/>
        <w:rPr>
          <w:rFonts w:hint="default"/>
        </w:rPr>
      </w:pPr>
      <w:r>
        <w:rPr>
          <w:rFonts w:hint="default"/>
        </w:rPr>
        <w:t>（1）为了保证污水处理工程的稳定运行，应加强管网的维护和管理，防止泥砂沉积堵塞影响管道过水能力。</w:t>
      </w:r>
    </w:p>
    <w:p w14:paraId="6AAED3F7">
      <w:pPr>
        <w:bidi w:val="0"/>
        <w:rPr>
          <w:rFonts w:hint="default"/>
        </w:rPr>
      </w:pPr>
      <w:r>
        <w:rPr>
          <w:rFonts w:hint="default"/>
        </w:rPr>
        <w:t>（2）污水处理工程应同截流管网同步设计、同步施工、同步运行。</w:t>
      </w:r>
    </w:p>
    <w:p w14:paraId="180338FD">
      <w:pPr>
        <w:bidi w:val="0"/>
        <w:rPr>
          <w:rFonts w:hint="default"/>
        </w:rPr>
      </w:pPr>
      <w:r>
        <w:rPr>
          <w:rFonts w:hint="default"/>
        </w:rPr>
        <w:t>（3）截流管网衔接应防止泄露，避免带来污染地下水和淘空地基等环境问题。</w:t>
      </w:r>
    </w:p>
    <w:p w14:paraId="6BD0EC7E">
      <w:pPr>
        <w:bidi w:val="0"/>
        <w:rPr>
          <w:rFonts w:hint="default"/>
        </w:rPr>
      </w:pPr>
      <w:r>
        <w:rPr>
          <w:rFonts w:hint="default"/>
        </w:rPr>
        <w:t>（4）及时制定接管的收费标准，以保证工程稳定运行。</w:t>
      </w:r>
    </w:p>
    <w:p w14:paraId="38086ACF">
      <w:pPr>
        <w:bidi w:val="0"/>
        <w:rPr>
          <w:rFonts w:hint="default"/>
        </w:rPr>
      </w:pPr>
      <w:r>
        <w:rPr>
          <w:rFonts w:hint="eastAsia"/>
          <w:lang w:val="en-US" w:eastAsia="zh-CN"/>
        </w:rPr>
        <w:t>3、</w:t>
      </w:r>
      <w:r>
        <w:rPr>
          <w:rFonts w:hint="default"/>
        </w:rPr>
        <w:t>厂内运行管理</w:t>
      </w:r>
    </w:p>
    <w:p w14:paraId="13B6A68C">
      <w:pPr>
        <w:bidi w:val="0"/>
        <w:rPr>
          <w:rFonts w:hint="default"/>
        </w:rPr>
      </w:pPr>
      <w:r>
        <w:rPr>
          <w:rFonts w:hint="default"/>
        </w:rPr>
        <w:t>在保证出水水质的条件下，为使污水处理厂高效运转，减少运行费用，提高能源利用率，应加强对污水处理厂内部的运行管理。</w:t>
      </w:r>
    </w:p>
    <w:p w14:paraId="42009728">
      <w:pPr>
        <w:bidi w:val="0"/>
        <w:rPr>
          <w:rFonts w:hint="default"/>
        </w:rPr>
      </w:pPr>
      <w:r>
        <w:rPr>
          <w:rFonts w:hint="default"/>
        </w:rPr>
        <w:t>（1）专业培训</w:t>
      </w:r>
    </w:p>
    <w:p w14:paraId="5A7E98ED">
      <w:pPr>
        <w:bidi w:val="0"/>
        <w:rPr>
          <w:rFonts w:hint="default"/>
        </w:rPr>
      </w:pPr>
      <w:r>
        <w:rPr>
          <w:rFonts w:hint="default"/>
        </w:rPr>
        <w:t>污水处理厂投入运行之前，对操作人员的专业化培训和考核是必要的一环，也应作为污水处理厂运行准备工作的必要条件，特别是对主要操作人员进行理论和实际操作的培训。</w:t>
      </w:r>
    </w:p>
    <w:p w14:paraId="45038B8E">
      <w:pPr>
        <w:bidi w:val="0"/>
        <w:rPr>
          <w:rFonts w:hint="default"/>
        </w:rPr>
      </w:pPr>
      <w:r>
        <w:rPr>
          <w:rFonts w:hint="default"/>
        </w:rPr>
        <w:t>（2）加强常规化验分析</w:t>
      </w:r>
    </w:p>
    <w:p w14:paraId="62E66D8F">
      <w:pPr>
        <w:bidi w:val="0"/>
        <w:rPr>
          <w:rFonts w:hint="default"/>
        </w:rPr>
      </w:pPr>
      <w:r>
        <w:rPr>
          <w:rFonts w:hint="default"/>
        </w:rPr>
        <w:t>常规化验分析是污水厂的重要组成部分之一。污水处理厂的操作人员，必须根据水质变化情况，及时改变运行状况，实现最佳运行条件，减少运转费用，做到达标排放。</w:t>
      </w:r>
    </w:p>
    <w:p w14:paraId="58179973">
      <w:pPr>
        <w:bidi w:val="0"/>
        <w:rPr>
          <w:rFonts w:hint="default"/>
        </w:rPr>
      </w:pPr>
      <w:r>
        <w:rPr>
          <w:rFonts w:hint="default"/>
        </w:rPr>
        <w:t>（3）建立较先进的自动控制系统</w:t>
      </w:r>
    </w:p>
    <w:p w14:paraId="05908B34">
      <w:pPr>
        <w:bidi w:val="0"/>
        <w:rPr>
          <w:rFonts w:hint="default"/>
        </w:rPr>
      </w:pPr>
      <w:r>
        <w:rPr>
          <w:rFonts w:hint="default"/>
        </w:rPr>
        <w:t>先进的自动控制系统既是实现污水厂现代化管理的重要标志，也是提高操作水平，及时发现事故隐患的重要手段。同时应加强自动化仪器仪表的维护管理。</w:t>
      </w:r>
    </w:p>
    <w:p w14:paraId="67EC200E">
      <w:pPr>
        <w:bidi w:val="0"/>
        <w:rPr>
          <w:rFonts w:hint="default"/>
        </w:rPr>
      </w:pPr>
      <w:r>
        <w:rPr>
          <w:rFonts w:hint="default"/>
        </w:rPr>
        <w:t>（4）建立一个完整的管理机构和制订一套完善的管理措施。污水处理厂应建立一套以厂长责任制为主要内容的责权利清晰的管理体系。</w:t>
      </w:r>
    </w:p>
    <w:p w14:paraId="1C9FD601">
      <w:pPr>
        <w:bidi w:val="0"/>
        <w:rPr>
          <w:rFonts w:hint="default"/>
        </w:rPr>
      </w:pPr>
      <w:r>
        <w:rPr>
          <w:rFonts w:hint="default"/>
        </w:rPr>
        <w:t>（5）可委托给专业的机构对污水处理站进行全权运营。</w:t>
      </w:r>
    </w:p>
    <w:p w14:paraId="1E6E6DD2">
      <w:pPr>
        <w:bidi w:val="0"/>
        <w:rPr>
          <w:rFonts w:hint="default"/>
          <w:highlight w:val="none"/>
        </w:rPr>
      </w:pPr>
      <w:r>
        <w:rPr>
          <w:rFonts w:hint="default"/>
        </w:rPr>
        <w:t>（</w:t>
      </w:r>
      <w:r>
        <w:rPr>
          <w:rFonts w:hint="eastAsia"/>
          <w:lang w:val="en-US" w:eastAsia="zh-CN"/>
        </w:rPr>
        <w:t>6</w:t>
      </w:r>
      <w:r>
        <w:rPr>
          <w:rFonts w:hint="default"/>
        </w:rPr>
        <w:t>）加强进、出水质管控：根据《湖南省环境保护厅办公室关于做好污水处理厂氨氮在线监控</w:t>
      </w:r>
      <w:r>
        <w:rPr>
          <w:rFonts w:hint="default"/>
          <w:highlight w:val="none"/>
        </w:rPr>
        <w:t>设施建设工作的通知（湘环办〔2012〕70号）》、以及《排污许可证申请与核发</w:t>
      </w:r>
      <w:r>
        <w:rPr>
          <w:rFonts w:hint="default"/>
          <w:highlight w:val="none"/>
          <w:shd w:val="clear"/>
        </w:rPr>
        <w:t>技术规范 水处理（试行）》（HJ978-2018）文件要求，本项目对拟建工业污水处理工程进、出水口设置在线监测系统，对进、出水的流量及pH、COD、</w:t>
      </w:r>
      <w:r>
        <w:rPr>
          <w:rFonts w:hint="eastAsia"/>
          <w:highlight w:val="none"/>
          <w:shd w:val="clear"/>
          <w:lang w:eastAsia="zh-CN"/>
        </w:rPr>
        <w:t>NH</w:t>
      </w:r>
      <w:r>
        <w:rPr>
          <w:rFonts w:hint="eastAsia"/>
          <w:highlight w:val="none"/>
          <w:shd w:val="clear"/>
          <w:vertAlign w:val="subscript"/>
          <w:lang w:eastAsia="zh-CN"/>
        </w:rPr>
        <w:t>3</w:t>
      </w:r>
      <w:r>
        <w:rPr>
          <w:rFonts w:hint="default"/>
          <w:highlight w:val="none"/>
          <w:shd w:val="clear"/>
        </w:rPr>
        <w:t>-N、TP、TN因子进行监控，一旦发现进水中污染物浓度高于进水水质控制要求，应迅速</w:t>
      </w:r>
      <w:r>
        <w:rPr>
          <w:rFonts w:hint="default"/>
          <w:highlight w:val="none"/>
        </w:rPr>
        <w:t>对进水进行阻断或应急处理，追查污染源头。</w:t>
      </w:r>
    </w:p>
    <w:p w14:paraId="54E8197A">
      <w:pPr>
        <w:pStyle w:val="6"/>
        <w:bidi w:val="0"/>
        <w:rPr>
          <w:rFonts w:hint="default"/>
          <w:highlight w:val="none"/>
        </w:rPr>
      </w:pPr>
      <w:r>
        <w:rPr>
          <w:rFonts w:hint="default"/>
          <w:highlight w:val="none"/>
        </w:rPr>
        <w:t>小结</w:t>
      </w:r>
    </w:p>
    <w:p w14:paraId="07A6CB4B">
      <w:pPr>
        <w:shd w:val="clear"/>
        <w:autoSpaceDE w:val="0"/>
        <w:autoSpaceDN w:val="0"/>
        <w:adjustRightInd w:val="0"/>
        <w:ind w:firstLine="424" w:firstLineChars="177"/>
        <w:jc w:val="left"/>
        <w:rPr>
          <w:rFonts w:hint="default" w:ascii="Times New Roman" w:hAnsi="Times New Roman" w:cs="Times New Roman"/>
          <w:highlight w:val="none"/>
        </w:rPr>
      </w:pPr>
      <w:r>
        <w:rPr>
          <w:rFonts w:hint="default" w:ascii="Times New Roman" w:hAnsi="Times New Roman" w:cs="Times New Roman"/>
          <w:highlight w:val="none"/>
        </w:rPr>
        <w:t>根据以上分析</w:t>
      </w:r>
      <w:r>
        <w:rPr>
          <w:rFonts w:hint="default" w:ascii="Times New Roman" w:hAnsi="Times New Roman" w:cs="Times New Roman"/>
          <w:highlight w:val="none"/>
          <w:lang w:eastAsia="zh-CN"/>
        </w:rPr>
        <w:t>，</w:t>
      </w:r>
      <w:r>
        <w:rPr>
          <w:rFonts w:hint="default" w:ascii="Times New Roman" w:hAnsi="Times New Roman" w:cs="Times New Roman"/>
          <w:highlight w:val="none"/>
        </w:rPr>
        <w:t>不论从本项目废水水质特点及设计规模的角度分析</w:t>
      </w:r>
      <w:r>
        <w:rPr>
          <w:rFonts w:hint="default" w:ascii="Times New Roman" w:hAnsi="Times New Roman" w:cs="Times New Roman"/>
          <w:highlight w:val="none"/>
          <w:lang w:eastAsia="zh-CN"/>
        </w:rPr>
        <w:t>，</w:t>
      </w:r>
      <w:r>
        <w:rPr>
          <w:rFonts w:hint="default" w:ascii="Times New Roman" w:hAnsi="Times New Roman" w:cs="Times New Roman"/>
          <w:highlight w:val="none"/>
        </w:rPr>
        <w:t>本项目废水污染防治措施是可行、可靠的。</w:t>
      </w:r>
    </w:p>
    <w:p w14:paraId="7B0ED1B5">
      <w:pPr>
        <w:pStyle w:val="5"/>
        <w:bidi w:val="0"/>
        <w:rPr>
          <w:rFonts w:hint="default" w:ascii="Times New Roman" w:hAnsi="Times New Roman" w:cs="Times New Roman"/>
          <w:color w:val="auto"/>
          <w:highlight w:val="none"/>
          <w:u w:val="none" w:color="auto"/>
        </w:rPr>
      </w:pPr>
      <w:bookmarkStart w:id="184" w:name="_Toc20266"/>
      <w:r>
        <w:rPr>
          <w:rFonts w:hint="default" w:ascii="Times New Roman" w:hAnsi="Times New Roman" w:cs="Times New Roman"/>
          <w:color w:val="auto"/>
          <w:highlight w:val="none"/>
          <w:u w:val="none" w:color="auto"/>
        </w:rPr>
        <w:t>营运期地下水污染防治措施及可行性分析</w:t>
      </w:r>
      <w:bookmarkEnd w:id="184"/>
    </w:p>
    <w:p w14:paraId="6893B0C9">
      <w:pPr>
        <w:autoSpaceDE w:val="0"/>
        <w:autoSpaceDN w:val="0"/>
        <w:adjustRightIn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根据《环境影响评价技术导则 地下水环境》（HJ610-2016）可知，本项目评价工作等级为二级。针对本项目运营期废水处理及固体废物产生、输送和处理过程，采取合理有效的工程措施可防止污染物对地下水的污染。</w:t>
      </w:r>
    </w:p>
    <w:p w14:paraId="2F664E4D">
      <w:pPr>
        <w:autoSpaceDE w:val="0"/>
        <w:autoSpaceDN w:val="0"/>
        <w:adjustRightIn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正常情况下，地下水的污染主要是由于污染物迁移穿过包气带进入含水层造成。若废水发生渗漏，首先污染所在土壤，同时污染物会较快穿过包气带进入浅层地下水，对浅层地下水造成污染。由于地下水一旦受污染其发现和治理难度都非常难，为了更好的保护地下水资源，将本项目对地下水的影响降至最低限度，采取以下的污染防治措施。</w:t>
      </w:r>
    </w:p>
    <w:p w14:paraId="446206A2">
      <w:pPr>
        <w:pStyle w:val="6"/>
        <w:bidi w:val="0"/>
        <w:rPr>
          <w:rFonts w:hint="default"/>
        </w:rPr>
      </w:pPr>
      <w:r>
        <w:rPr>
          <w:rFonts w:hint="eastAsia"/>
          <w:lang w:val="en-US" w:eastAsia="zh-CN"/>
        </w:rPr>
        <w:t>污染防治措施</w:t>
      </w:r>
    </w:p>
    <w:p w14:paraId="01D89BDE">
      <w:pPr>
        <w:autoSpaceDE w:val="0"/>
        <w:autoSpaceDN w:val="0"/>
        <w:adjustRightIn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（1）源头控制措施</w:t>
      </w:r>
    </w:p>
    <w:p w14:paraId="190B5384">
      <w:pPr>
        <w:autoSpaceDE w:val="0"/>
        <w:autoSpaceDN w:val="0"/>
        <w:adjustRightIn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从源头上减少污染物排放；严格按照国家相关规范要求，对工艺、设备、污水储存及处理构筑物采取相应的措施，防止和降低污染物的跑、冒、滴、漏，将污染物泄漏的环境风险事故降低到最低程度；优化排水系统设计。</w:t>
      </w:r>
    </w:p>
    <w:p w14:paraId="477925D2">
      <w:pPr>
        <w:autoSpaceDE w:val="0"/>
        <w:autoSpaceDN w:val="0"/>
        <w:adjustRightInd w:val="0"/>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针对本建设项目地下水污染防治的重点是对污水处理区、污泥处理区等采取相应的防渗措施，并建立完善的风险应急预案、设置合理有效的监测井，加强地下水环境监测，把地下水污染控制在源头或起始阶段，防止有害物质渗入地下水中。</w:t>
      </w:r>
    </w:p>
    <w:p w14:paraId="48B20AAF">
      <w:pPr>
        <w:adjustRightInd w:val="0"/>
        <w:ind w:firstLine="480"/>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（2）分区防护措施</w:t>
      </w:r>
    </w:p>
    <w:p w14:paraId="06EEB434">
      <w:pPr>
        <w:adjustRightInd w:val="0"/>
        <w:ind w:firstLine="480"/>
        <w:jc w:val="left"/>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针对本项目厂区不同区域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划分为重点防护区及一般防护区。</w:t>
      </w:r>
    </w:p>
    <w:p w14:paraId="2BF2BAA1">
      <w:pPr>
        <w:adjustRightInd w:val="0"/>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①重点防渗区：包括危废仓库、应急池、污水处理区（集水池</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隔油初沉池</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储油池</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调节池</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厌氧流化床</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好氧池A/B</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缺氧池A/B</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消化池A/B</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好氧流化床A/B</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去磷池）、污泥处理区（污泥池、污泥脱水间等）等区域。要求等效黏土防渗层Mb≥6.0m，渗透系数K≤10</w:t>
      </w:r>
      <w:r>
        <w:rPr>
          <w:rFonts w:hint="default" w:ascii="Times New Roman" w:hAnsi="Times New Roman" w:cs="Times New Roman"/>
          <w:color w:val="auto"/>
          <w:sz w:val="24"/>
          <w:szCs w:val="24"/>
          <w:highlight w:val="none"/>
          <w:u w:val="none" w:color="auto"/>
          <w:vertAlign w:val="superscript"/>
        </w:rPr>
        <w:t>-7</w:t>
      </w:r>
      <w:r>
        <w:rPr>
          <w:rFonts w:hint="default" w:ascii="Times New Roman" w:hAnsi="Times New Roman" w:cs="Times New Roman"/>
          <w:color w:val="auto"/>
          <w:sz w:val="24"/>
          <w:szCs w:val="24"/>
          <w:highlight w:val="none"/>
          <w:u w:val="none" w:color="auto"/>
        </w:rPr>
        <w:t>cm/s，或参照GB18598执行。</w:t>
      </w:r>
    </w:p>
    <w:p w14:paraId="683DE3FE">
      <w:pPr>
        <w:keepNext w:val="0"/>
        <w:keepLines w:val="0"/>
        <w:widowControl/>
        <w:suppressLineNumbers w:val="0"/>
        <w:jc w:val="both"/>
        <w:rPr>
          <w:rFonts w:hint="default" w:ascii="Times New Roman" w:hAnsi="Times New Roman" w:cs="Times New Roman"/>
          <w:color w:val="auto"/>
          <w:highlight w:val="none"/>
          <w:u w:val="none" w:color="auto"/>
        </w:rPr>
      </w:pPr>
      <w:r>
        <w:rPr>
          <w:rFonts w:hint="default" w:ascii="Times New Roman" w:hAnsi="Times New Roman" w:cs="Times New Roman"/>
          <w:color w:val="auto"/>
          <w:sz w:val="24"/>
          <w:szCs w:val="24"/>
          <w:highlight w:val="none"/>
          <w:u w:val="none" w:color="auto"/>
        </w:rPr>
        <w:t>②一般防渗区：包括</w:t>
      </w:r>
      <w:r>
        <w:rPr>
          <w:rFonts w:hint="eastAsia" w:ascii="Times New Roman" w:hAnsi="Times New Roman" w:cs="Times New Roman"/>
          <w:color w:val="auto"/>
          <w:sz w:val="24"/>
          <w:szCs w:val="24"/>
          <w:highlight w:val="none"/>
          <w:u w:val="none" w:color="auto"/>
          <w:lang w:val="en-US" w:eastAsia="zh-CN"/>
        </w:rPr>
        <w:t>加药间</w:t>
      </w:r>
      <w:r>
        <w:rPr>
          <w:rFonts w:hint="default" w:ascii="Times New Roman" w:hAnsi="Times New Roman" w:cs="Times New Roman"/>
          <w:color w:val="auto"/>
          <w:sz w:val="24"/>
          <w:szCs w:val="24"/>
          <w:highlight w:val="none"/>
          <w:u w:val="none" w:color="auto"/>
        </w:rPr>
        <w:t>等区域。要求等效黏土防渗层Mb≥1.5m，渗透系数K≤10</w:t>
      </w:r>
      <w:r>
        <w:rPr>
          <w:rFonts w:hint="default" w:ascii="Times New Roman" w:hAnsi="Times New Roman" w:cs="Times New Roman"/>
          <w:color w:val="auto"/>
          <w:sz w:val="24"/>
          <w:szCs w:val="24"/>
          <w:highlight w:val="none"/>
          <w:u w:val="none" w:color="auto"/>
          <w:vertAlign w:val="superscript"/>
        </w:rPr>
        <w:t>-7</w:t>
      </w:r>
      <w:r>
        <w:rPr>
          <w:rFonts w:hint="default" w:ascii="Times New Roman" w:hAnsi="Times New Roman" w:cs="Times New Roman"/>
          <w:color w:val="auto"/>
          <w:sz w:val="24"/>
          <w:szCs w:val="24"/>
          <w:highlight w:val="none"/>
          <w:u w:val="none" w:color="auto"/>
        </w:rPr>
        <w:t>cm/s，或参照GB16889执行。</w:t>
      </w:r>
    </w:p>
    <w:p w14:paraId="53F93886">
      <w:pPr>
        <w:keepNext w:val="0"/>
        <w:keepLines w:val="0"/>
        <w:widowControl/>
        <w:suppressLineNumbers w:val="0"/>
        <w:jc w:val="left"/>
        <w:rPr>
          <w:rFonts w:hint="default" w:ascii="Times New Roman" w:hAnsi="Times New Roman" w:eastAsia="宋体" w:cs="Times New Roman"/>
          <w:color w:val="auto"/>
          <w:kern w:val="0"/>
          <w:sz w:val="24"/>
          <w:szCs w:val="24"/>
          <w:highlight w:val="none"/>
          <w:u w:val="none" w:color="auto"/>
          <w:lang w:val="en-US" w:eastAsia="zh-CN" w:bidi="ar"/>
        </w:rPr>
      </w:pPr>
      <w:r>
        <w:rPr>
          <w:rFonts w:hint="default" w:ascii="Times New Roman" w:hAnsi="Times New Roman" w:eastAsia="宋体" w:cs="Times New Roman"/>
          <w:color w:val="auto"/>
          <w:kern w:val="0"/>
          <w:sz w:val="24"/>
          <w:szCs w:val="24"/>
          <w:highlight w:val="none"/>
          <w:u w:val="none" w:color="auto"/>
          <w:lang w:val="en-US" w:eastAsia="zh-CN" w:bidi="ar"/>
        </w:rPr>
        <w:t>③简单防渗区：包括风机房及配电控制间、值班室等区域。采取一般地面硬化措施。</w:t>
      </w:r>
    </w:p>
    <w:p w14:paraId="06FA527F">
      <w:pPr>
        <w:keepNext w:val="0"/>
        <w:keepLines w:val="0"/>
        <w:widowControl/>
        <w:suppressLineNumbers w:val="0"/>
        <w:jc w:val="left"/>
        <w:rPr>
          <w:rFonts w:hint="default" w:ascii="Times New Roman" w:hAnsi="Times New Roman" w:eastAsia="宋体" w:cs="Times New Roman"/>
          <w:color w:val="auto"/>
          <w:kern w:val="0"/>
          <w:sz w:val="24"/>
          <w:szCs w:val="24"/>
          <w:highlight w:val="none"/>
          <w:u w:val="none" w:color="auto"/>
          <w:lang w:val="en-US" w:eastAsia="zh-CN" w:bidi="ar"/>
        </w:rPr>
      </w:pPr>
      <w:r>
        <w:rPr>
          <w:rFonts w:hint="eastAsia" w:ascii="Times New Roman" w:hAnsi="Times New Roman" w:cs="Times New Roman"/>
          <w:color w:val="auto"/>
          <w:kern w:val="0"/>
          <w:sz w:val="24"/>
          <w:szCs w:val="24"/>
          <w:highlight w:val="none"/>
          <w:u w:val="none" w:color="auto"/>
          <w:lang w:val="en-US" w:eastAsia="zh-CN" w:bidi="ar"/>
        </w:rPr>
        <w:t>④</w:t>
      </w:r>
      <w:r>
        <w:rPr>
          <w:rFonts w:hint="default" w:ascii="Times New Roman" w:hAnsi="Times New Roman" w:eastAsia="宋体" w:cs="Times New Roman"/>
          <w:color w:val="auto"/>
          <w:kern w:val="0"/>
          <w:sz w:val="24"/>
          <w:szCs w:val="24"/>
          <w:highlight w:val="none"/>
          <w:u w:val="none" w:color="auto"/>
          <w:lang w:val="en-US" w:eastAsia="zh-CN" w:bidi="ar"/>
        </w:rPr>
        <w:t>排水系统防渗：管道选取不锈钢、PVC、ABS等防腐材质；所有阀体，包括自动阀、切换阀、球阀等选取PVC、衬胶等防腐材质；管道与管道的连接采用柔性的橡胶圈接口；排污管沟、截水沟、排水渠道均采用10～15cm高标水泥做硬化防渗处理，并且设置排水系统；厂区排水系统配套设置的雨水口检查井、阀门井、水封井等所有构筑物均采用防渗的钢筋混凝土结构。</w:t>
      </w:r>
    </w:p>
    <w:p w14:paraId="406D2B82">
      <w:pPr>
        <w:ind w:firstLine="480"/>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val="en-US" w:eastAsia="zh-CN"/>
        </w:rPr>
        <w:t>项目分区防渗图见附图。</w:t>
      </w:r>
      <w:r>
        <w:rPr>
          <w:rFonts w:hint="default" w:ascii="Times New Roman" w:hAnsi="Times New Roman" w:cs="Times New Roman"/>
          <w:color w:val="auto"/>
          <w:highlight w:val="none"/>
          <w:u w:val="none" w:color="auto"/>
        </w:rPr>
        <w:t>经以上防护措施后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可有效防止污染物渗漏污染地下水。</w:t>
      </w:r>
    </w:p>
    <w:p w14:paraId="1DDCAA21">
      <w:pPr>
        <w:ind w:firstLine="48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3）环境监管措施</w:t>
      </w:r>
    </w:p>
    <w:p w14:paraId="3E3F40DE">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为保障地下水监测有效、有序管理，应制定相应的规定明确职责，采取科学的管理措施和技术措施。</w:t>
      </w:r>
    </w:p>
    <w:p w14:paraId="47CF2951">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从管理上：应由厂区环境保护管理部门指派专人负责地下水污染防治管理工作；委托具有监测资质的单位负责地下水监测工作，按要求及时分析整理原始资料、编写监测报告；根据实际情况，按事故的性质、类型、影响范围、影响程度等因素进行分级，综合考虑厂区环境污染事故潜在威胁，制订相应的地下水污染应急处置预案。</w:t>
      </w:r>
    </w:p>
    <w:p w14:paraId="5B65847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在技术上：根据《环境影响评价技术导则——地下水环境》（HJ610-2016）；环境保护部，2016年1月7日）中跟踪监测点数量要求：二级评价的建设项目，一般不少于3个，应至少在建设项目场地上、下游各布设1个。为了掌握本工程周围地下水环境质量状况和地下水体中污染物的动态变化，对项目所在地周围的地下水水质进行跟监测，严格按照《地下水环境监测技术规范》（HJ/T 163-2004）要求，及时整理上报监测数据以及相关表格；在日常例行监测中，一旦发现地下水水质监测数据存在异常，应尽快核实数据，确保数据可靠性，由专人负责数据分析，并密切关注生产设施运行情况，及时了解生产异常情况、出现异常的装备及原因，同时加大监测频率和监测密度，及时分析地下水质变化动向；周期性编写地下水动态监测报告；定期安排对厂区内生产装置、管道等设备进行检查和维护。</w:t>
      </w:r>
    </w:p>
    <w:p w14:paraId="30CDB107">
      <w:pPr>
        <w:pStyle w:val="6"/>
        <w:bidi w:val="0"/>
        <w:rPr>
          <w:rFonts w:hint="default"/>
          <w:lang w:val="en-US" w:eastAsia="zh-CN"/>
        </w:rPr>
      </w:pPr>
      <w:r>
        <w:rPr>
          <w:rFonts w:hint="default"/>
          <w:lang w:val="en-US" w:eastAsia="zh-CN"/>
        </w:rPr>
        <w:t>应急措施</w:t>
      </w:r>
    </w:p>
    <w:p w14:paraId="31D3F2B7">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（1）应急预案</w:t>
      </w:r>
    </w:p>
    <w:p w14:paraId="463503DD">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在制定全厂安全管理体制的基础上，制订专门的地下水污染事故的应急措施， 并应与其它应急预案相协调。</w:t>
      </w:r>
    </w:p>
    <w:p w14:paraId="075EFE0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地下水应急预案应包括以下内容：</w:t>
      </w:r>
    </w:p>
    <w:p w14:paraId="14E67D49">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①应急预案的日常协调和指挥机构；</w:t>
      </w:r>
    </w:p>
    <w:p w14:paraId="60DA1E8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②相关部门在应急预案中的职责和分工；</w:t>
      </w:r>
    </w:p>
    <w:p w14:paraId="0EAD32A8">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③地下水环境保护目标的确定，采取的紧急处置措施和潜在污染源评估；</w:t>
      </w:r>
    </w:p>
    <w:p w14:paraId="709C3D3D">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④特大事故应急救援组织状况和人员、装备情况，平常的训练和演习；</w:t>
      </w:r>
    </w:p>
    <w:p w14:paraId="3DD7984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⑤特大事故的社会支持和援助，应急救援的经费保障。</w:t>
      </w:r>
    </w:p>
    <w:p w14:paraId="49C4334F">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（2）应急处置</w:t>
      </w:r>
    </w:p>
    <w:p w14:paraId="1E992CF3">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一旦发现地下水发生异常情况，必须按照应急预案马上采取紧急措施：</w:t>
      </w:r>
    </w:p>
    <w:p w14:paraId="1014F1F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①当确定发生地下水异常情况时，按照制订的地下水应急预案，在第一时间内 尽快上报公司主管领导，密切关注地下水水质变化情况。</w:t>
      </w:r>
    </w:p>
    <w:p w14:paraId="35A6B117">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②组织专业队伍或委托第三方服务机构对事故现场进行调查、监测，查找环境 事故发生点、分析事故原因，尽量将紧急事件局部化，如可能应予以消除，采取包 括切断生产装置或设施等措施，防止事故的扩散、蔓延及连锁反应，尽量缩小地下 水污染事故对环境的影响。</w:t>
      </w:r>
    </w:p>
    <w:p w14:paraId="789320A0">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③对事故后果进行评估，并制定防止类似事件发生的措施。</w:t>
      </w:r>
    </w:p>
    <w:p w14:paraId="339ADFFC">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④必要时应请求社会应急力量协助处理。</w:t>
      </w:r>
    </w:p>
    <w:p w14:paraId="016FD216">
      <w:pPr>
        <w:pStyle w:val="6"/>
        <w:bidi w:val="0"/>
        <w:rPr>
          <w:rFonts w:hint="default"/>
          <w:lang w:val="en-US" w:eastAsia="zh-CN"/>
        </w:rPr>
      </w:pPr>
      <w:r>
        <w:rPr>
          <w:rFonts w:hint="eastAsia"/>
          <w:lang w:val="en-US" w:eastAsia="zh-CN"/>
        </w:rPr>
        <w:t>小结</w:t>
      </w:r>
    </w:p>
    <w:p w14:paraId="5CBF4704">
      <w:pPr>
        <w:rPr>
          <w:rFonts w:hint="default"/>
          <w:lang w:val="en-US" w:eastAsia="zh-CN"/>
        </w:rPr>
      </w:pPr>
      <w:r>
        <w:rPr>
          <w:rFonts w:hint="default"/>
          <w:lang w:val="en-US" w:eastAsia="zh-CN"/>
        </w:rPr>
        <w:t>综上，建设项目采取的防渗分区方案及防渗性能指标满足《环境影响评价技术导则 地下水环境》（HJ610-2016）的要求，建立跟踪监测机制，定期对地下水进行跟踪监测，保证及时掌握地下水水质的变化情况，地下水防渗措施可行。</w:t>
      </w:r>
    </w:p>
    <w:p w14:paraId="61F8F333">
      <w:pPr>
        <w:pStyle w:val="5"/>
        <w:shd w:val="clear"/>
        <w:bidi w:val="0"/>
        <w:rPr>
          <w:rFonts w:hint="default" w:ascii="Times New Roman" w:hAnsi="Times New Roman" w:cs="Times New Roman"/>
          <w:color w:val="auto"/>
          <w:highlight w:val="none"/>
          <w:u w:val="none" w:color="auto"/>
        </w:rPr>
      </w:pPr>
      <w:bookmarkStart w:id="185" w:name="_Toc16008"/>
      <w:r>
        <w:rPr>
          <w:rFonts w:hint="default" w:ascii="Times New Roman" w:hAnsi="Times New Roman" w:cs="Times New Roman"/>
          <w:color w:val="auto"/>
          <w:highlight w:val="none"/>
          <w:u w:val="none" w:color="auto"/>
        </w:rPr>
        <w:t>营运期声环境污染防治措施及可行性分析</w:t>
      </w:r>
      <w:bookmarkEnd w:id="183"/>
      <w:bookmarkEnd w:id="185"/>
    </w:p>
    <w:p w14:paraId="6A14D240">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拟建工程主要噪声源为泵、风机、污泥脱水机等设备，设备噪声源源强约为70~85dB(A)，控制措施也比较成熟，主要采取的措施如下。</w:t>
      </w:r>
    </w:p>
    <w:p w14:paraId="65E4603D">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（1）对于各类泵等，对噪声的控制主要从声源上着手，在设备安装时加装减振装置；</w:t>
      </w:r>
    </w:p>
    <w:p w14:paraId="31898082">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（2）对于各类风机，一方面安装设备时设置隔声罩、减振基础等；另一方面风机置于风机房中，风机的进出风口与管道之间采用软管连接；</w:t>
      </w:r>
    </w:p>
    <w:p w14:paraId="5360E54D">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在总平面布置上充分考虑地形、声源方向性和设备噪声强弱等因素，对高噪声设备进行合理布局，如将高噪声的设备远离厂界及办公区域，利用厂内部建筑物的阻隔作用及声波本身的衰减来减少对周围环境的影响；</w:t>
      </w:r>
    </w:p>
    <w:p w14:paraId="42DB622A">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（4）各种电机设备高速旋转，噪声较大，通过采用先进的低噪声设备，再经过隔声以后，传播到外环境时已衰减很多；</w:t>
      </w:r>
    </w:p>
    <w:p w14:paraId="100E1F03">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（5）加强绿化，在厂房和厂界之间空地建立以乔灌为主的绿化带，不仅美化厂区周围环境，同时树木、草坪还可吸收、降低噪声3～5dB(A)，降低厂房内噪声对厂界外环境的影响。</w:t>
      </w:r>
    </w:p>
    <w:p w14:paraId="3917E090">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噪声环境影响预测评价表明，采取降噪措施后，各厂界噪声均可达标排放。因此项目噪声污染防治措施是可行的。</w:t>
      </w:r>
    </w:p>
    <w:p w14:paraId="344BD567">
      <w:pPr>
        <w:pStyle w:val="5"/>
        <w:bidi w:val="0"/>
        <w:rPr>
          <w:rFonts w:hint="default" w:ascii="Times New Roman" w:hAnsi="Times New Roman" w:cs="Times New Roman"/>
          <w:color w:val="auto"/>
          <w:highlight w:val="none"/>
          <w:u w:val="none" w:color="auto"/>
        </w:rPr>
      </w:pPr>
      <w:bookmarkStart w:id="186" w:name="_Toc390"/>
      <w:bookmarkStart w:id="187" w:name="_Toc4408"/>
      <w:r>
        <w:rPr>
          <w:rFonts w:hint="default" w:ascii="Times New Roman" w:hAnsi="Times New Roman" w:cs="Times New Roman"/>
          <w:color w:val="auto"/>
          <w:highlight w:val="none"/>
          <w:u w:val="none" w:color="auto"/>
        </w:rPr>
        <w:t>营运期固体废物污染防治措施及可行性分析</w:t>
      </w:r>
      <w:bookmarkEnd w:id="186"/>
      <w:bookmarkEnd w:id="187"/>
    </w:p>
    <w:p w14:paraId="5D35959D">
      <w:pPr>
        <w:pStyle w:val="6"/>
        <w:bidi w:val="0"/>
        <w:rPr>
          <w:rFonts w:hint="default"/>
          <w:highlight w:val="none"/>
        </w:rPr>
      </w:pPr>
      <w:bookmarkStart w:id="188" w:name="_Toc1182"/>
      <w:r>
        <w:rPr>
          <w:rFonts w:hint="default"/>
          <w:highlight w:val="none"/>
        </w:rPr>
        <w:t>固废产生情况</w:t>
      </w:r>
    </w:p>
    <w:p w14:paraId="184A74CF">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本项目产生的固体废弃物主要是污水处理过程中产生的栅渣、废油、污泥、废包装袋、生活垃圾以及生物填料、废机油及废机油桶、含油抹布、手套、劳保用品等。</w:t>
      </w:r>
    </w:p>
    <w:p w14:paraId="2DEEAB64">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栅渣由环卫部门统一清运处置，废油交相关单位回收利用，污泥脱水后由相关单位外运处置</w:t>
      </w:r>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生物填料</w:t>
      </w: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废包装袋交由原料厂家回收</w:t>
      </w:r>
      <w:r>
        <w:rPr>
          <w:rFonts w:hint="default" w:ascii="Times New Roman" w:hAnsi="Times New Roman" w:cs="Times New Roman"/>
          <w:color w:val="auto"/>
          <w:highlight w:val="none"/>
          <w:u w:val="none" w:color="auto"/>
        </w:rPr>
        <w:t>，废机油及废机油桶、含油抹布、手套、劳保用品属于危险废物，在危废仓库暂存后定期交由有资质单位处置。</w:t>
      </w:r>
    </w:p>
    <w:p w14:paraId="6C136255">
      <w:pPr>
        <w:pStyle w:val="6"/>
        <w:bidi w:val="0"/>
        <w:rPr>
          <w:rFonts w:hint="default"/>
          <w:highlight w:val="none"/>
        </w:rPr>
      </w:pPr>
      <w:r>
        <w:rPr>
          <w:rFonts w:hint="default"/>
          <w:highlight w:val="none"/>
        </w:rPr>
        <w:t>污泥处理可行性</w:t>
      </w:r>
    </w:p>
    <w:p w14:paraId="7C7CC13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本项目处理废水主要为食品加工废水，其产生的污泥不具备危险特性，作为一般工业固废进行处理。本项目采用</w:t>
      </w:r>
      <w:r>
        <w:rPr>
          <w:rFonts w:hint="eastAsia" w:ascii="Times New Roman" w:hAnsi="Times New Roman" w:cs="Times New Roman"/>
          <w:color w:val="auto"/>
          <w:highlight w:val="none"/>
          <w:u w:val="none" w:color="auto"/>
          <w:lang w:val="en-US" w:eastAsia="zh-CN"/>
        </w:rPr>
        <w:t>板框压滤机</w:t>
      </w:r>
      <w:r>
        <w:rPr>
          <w:rFonts w:hint="default" w:ascii="Times New Roman" w:hAnsi="Times New Roman" w:cs="Times New Roman"/>
          <w:color w:val="auto"/>
          <w:highlight w:val="none"/>
          <w:u w:val="none" w:color="auto"/>
        </w:rPr>
        <w:t>对污泥进行脱水，平均两天进行一次污泥脱水处理，脱水污泥脱水后</w:t>
      </w:r>
      <w:r>
        <w:rPr>
          <w:rFonts w:hint="eastAsia" w:ascii="Times New Roman" w:hAnsi="Times New Roman" w:cs="Times New Roman"/>
          <w:color w:val="auto"/>
          <w:highlight w:val="none"/>
          <w:u w:val="none" w:color="auto"/>
          <w:lang w:val="en-US" w:eastAsia="zh-CN"/>
        </w:rPr>
        <w:t>外运综合利用</w:t>
      </w:r>
      <w:r>
        <w:rPr>
          <w:rFonts w:hint="default" w:ascii="Times New Roman" w:hAnsi="Times New Roman" w:cs="Times New Roman"/>
          <w:color w:val="auto"/>
          <w:highlight w:val="none"/>
          <w:u w:val="none" w:color="auto"/>
        </w:rPr>
        <w:t>，不在厂内进行</w:t>
      </w:r>
      <w:r>
        <w:rPr>
          <w:rFonts w:hint="eastAsia" w:ascii="Times New Roman" w:hAnsi="Times New Roman" w:cs="Times New Roman"/>
          <w:color w:val="auto"/>
          <w:highlight w:val="none"/>
          <w:u w:val="none" w:color="auto"/>
          <w:lang w:val="en-US" w:eastAsia="zh-CN"/>
        </w:rPr>
        <w:t>长期</w:t>
      </w:r>
      <w:r>
        <w:rPr>
          <w:rFonts w:hint="default" w:ascii="Times New Roman" w:hAnsi="Times New Roman" w:cs="Times New Roman"/>
          <w:color w:val="auto"/>
          <w:highlight w:val="none"/>
          <w:u w:val="none" w:color="auto"/>
        </w:rPr>
        <w:t>储存。</w:t>
      </w:r>
    </w:p>
    <w:p w14:paraId="3458F742">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污泥的运输要采用密封性能好的专用车辆，并加强车辆的管理与维护，杜绝运输过程中的沿途抛洒滴漏。污泥运输时要避开运输高峰期，尽量减小臭气对运输线路附近大气环境的影响。</w:t>
      </w:r>
    </w:p>
    <w:p w14:paraId="25C197FC">
      <w:pPr>
        <w:pStyle w:val="6"/>
        <w:bidi w:val="0"/>
        <w:rPr>
          <w:rFonts w:hint="default"/>
          <w:highlight w:val="none"/>
        </w:rPr>
      </w:pPr>
      <w:r>
        <w:rPr>
          <w:rFonts w:hint="default"/>
          <w:highlight w:val="none"/>
        </w:rPr>
        <w:t>危险废物收集污染防治措施分析</w:t>
      </w:r>
    </w:p>
    <w:p w14:paraId="65E1611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危险废物在收集时，根据危险废物的类别、主要成份、性质和形态，采用不同大小和不同材质的容器进行包装，所有包装容器应足够安全，并经过周密检查，严防在装载、搬移或运输途中出现渗漏、溢出、抛洒或挥发等情况。</w:t>
      </w:r>
    </w:p>
    <w:p w14:paraId="35AB9D25">
      <w:pPr>
        <w:pStyle w:val="6"/>
        <w:bidi w:val="0"/>
        <w:rPr>
          <w:rFonts w:hint="default"/>
          <w:highlight w:val="none"/>
        </w:rPr>
      </w:pPr>
      <w:r>
        <w:rPr>
          <w:rFonts w:hint="default"/>
          <w:highlight w:val="none"/>
        </w:rPr>
        <w:t>危险废物暂存污染防治措施分析</w:t>
      </w:r>
    </w:p>
    <w:p w14:paraId="7AD2142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本项目危废仓库拟建设在污泥脱水间一楼，面积约</w:t>
      </w:r>
      <w:r>
        <w:rPr>
          <w:rFonts w:hint="eastAsia" w:ascii="Times New Roman" w:hAnsi="Times New Roman" w:cs="Times New Roman"/>
          <w:color w:val="auto"/>
          <w:highlight w:val="none"/>
          <w:u w:val="none" w:color="auto"/>
          <w:lang w:val="en-US" w:eastAsia="zh-CN"/>
        </w:rPr>
        <w:t>5</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，可满足项目危废暂存要求。危险废物的贮存必须严格执行《危险废物贮存污染控制标准》（GB18597-2023）要求，存储过程应采取以下措施：</w:t>
      </w:r>
    </w:p>
    <w:p w14:paraId="52C7812B">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①危险废物存放处应为独立封闭空间，并设置明显的警示标志，危险废物临时贮存时间不得超过三个月；</w:t>
      </w:r>
    </w:p>
    <w:p w14:paraId="7DB0BC1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②设置专门的危废贮存容器，不相容的危险废物不得贮存于同一容器内；</w:t>
      </w:r>
    </w:p>
    <w:p w14:paraId="6CD1C272">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③危废间地面应设HDPE防渗膜，渗透系数≤10-10 cm/s；</w:t>
      </w:r>
    </w:p>
    <w:p w14:paraId="0FB2F281">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④地面裙角设导流沟，在地势低处设渗滤液收集池，收集池容积为最大储存容器存储量的五分之一，防止渗滤液泄漏；</w:t>
      </w:r>
    </w:p>
    <w:p w14:paraId="2CE563A2">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⑤危废贮存容器上应粘贴相应贮存物质标签，专人管理，并做好记录，项目危险废物的转运需严格执行联单管理制度。</w:t>
      </w:r>
    </w:p>
    <w:p w14:paraId="2A2B0B8E">
      <w:pPr>
        <w:pStyle w:val="6"/>
        <w:bidi w:val="0"/>
        <w:rPr>
          <w:rFonts w:hint="default"/>
        </w:rPr>
      </w:pPr>
      <w:r>
        <w:rPr>
          <w:rFonts w:hint="default"/>
        </w:rPr>
        <w:t>危险废物运输污染防治措施分析</w:t>
      </w:r>
    </w:p>
    <w:p w14:paraId="49058E3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本项目危废由处置单位使用专业运输车进行运输，运输过程按照《危险废物收集贮存运输技术规范》（HJ 2025-2012）进行，运输路线经当地生态环境部门批复，对环境造成影响可接受。对于委托处理的危险废物，运输中应做到以下几点：</w:t>
      </w:r>
    </w:p>
    <w:p w14:paraId="2796F68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①该运输车辆须经主管单位检查，并持有有关单位签发的许可证，负责运输的司机应通过培训，持有证明文件。</w:t>
      </w:r>
    </w:p>
    <w:p w14:paraId="1B404148">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②承载危险废物的车辆须有明显的标志或适当的危险符号，以引起注意。</w:t>
      </w:r>
    </w:p>
    <w:p w14:paraId="3F0C4A1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③载有危险废物的车辆在公路上行驶时，需持有运输许可证，其上应注明废物来源、性质和运往地点。</w:t>
      </w:r>
    </w:p>
    <w:p w14:paraId="5C46E3A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④组织危险废物的运输单位，在事先需作出周密的运输计划和行驶路线，其中包括有效的废物泄漏情况下的应急措施。</w:t>
      </w:r>
    </w:p>
    <w:p w14:paraId="085A5EA5">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综上所述，项目建成后所产生的的固废能得到妥善处置，不会对周围环境造成二次污染。</w:t>
      </w:r>
    </w:p>
    <w:bookmarkEnd w:id="188"/>
    <w:p w14:paraId="397B09A2">
      <w:pPr>
        <w:pStyle w:val="4"/>
        <w:shd w:val="clear"/>
        <w:tabs>
          <w:tab w:val="left" w:pos="1080"/>
        </w:tabs>
        <w:ind w:firstLine="643"/>
        <w:rPr>
          <w:rFonts w:hint="default" w:ascii="Times New Roman" w:hAnsi="Times New Roman" w:cs="Times New Roman"/>
          <w:color w:val="auto"/>
          <w:kern w:val="0"/>
          <w:szCs w:val="32"/>
          <w:highlight w:val="none"/>
          <w:u w:val="none" w:color="auto"/>
        </w:rPr>
      </w:pPr>
      <w:bookmarkStart w:id="189" w:name="_Toc22911"/>
      <w:bookmarkStart w:id="190" w:name="_Toc24599"/>
      <w:r>
        <w:rPr>
          <w:rFonts w:hint="default" w:ascii="Times New Roman" w:hAnsi="Times New Roman" w:cs="Times New Roman"/>
          <w:color w:val="auto"/>
          <w:kern w:val="0"/>
          <w:szCs w:val="32"/>
          <w:highlight w:val="none"/>
          <w:u w:val="none" w:color="auto"/>
        </w:rPr>
        <w:t>环境影响经济损益分析</w:t>
      </w:r>
      <w:bookmarkEnd w:id="189"/>
    </w:p>
    <w:p w14:paraId="229BA3C0">
      <w:pPr>
        <w:shd w:val="clear"/>
        <w:autoSpaceDE w:val="0"/>
        <w:autoSpaceDN w:val="0"/>
        <w:ind w:firstLine="480"/>
        <w:jc w:val="left"/>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环境经济损益分析是环境影响评价的一项重要工作内容</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其主要任务是估算建设项目需要投入的环保投资和所能收到的环境保护效果。因此</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在环境经济损益分析中</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除需计算用于控制污染所需投资和费用外</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还要同时核算可能收到的环境与经济实效。</w:t>
      </w:r>
    </w:p>
    <w:p w14:paraId="18D3925E">
      <w:pPr>
        <w:shd w:val="clear"/>
        <w:autoSpaceDE w:val="0"/>
        <w:autoSpaceDN w:val="0"/>
        <w:ind w:firstLine="480"/>
        <w:jc w:val="left"/>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然而</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经济效益比较直观</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很容易用货币直接计算</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而污染影响带来的损失一般是间接的</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很难用货币直接计算。因此</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目前环境影响经济损益的定量分析难度较大</w:t>
      </w:r>
      <w:r>
        <w:rPr>
          <w:rFonts w:hint="default" w:ascii="Times New Roman" w:hAnsi="Times New Roman" w:cs="Times New Roman"/>
          <w:color w:val="auto"/>
          <w:kern w:val="0"/>
          <w:highlight w:val="none"/>
          <w:u w:val="none" w:color="auto"/>
          <w:lang w:eastAsia="zh-CN"/>
        </w:rPr>
        <w:t>，</w:t>
      </w:r>
      <w:r>
        <w:rPr>
          <w:rFonts w:hint="default" w:ascii="Times New Roman" w:hAnsi="Times New Roman" w:cs="Times New Roman"/>
          <w:color w:val="auto"/>
          <w:kern w:val="0"/>
          <w:highlight w:val="none"/>
          <w:u w:val="none" w:color="auto"/>
        </w:rPr>
        <w:t>本项目环境经济损益采用定性与半定量相结合的方法进行简要分析。</w:t>
      </w:r>
    </w:p>
    <w:p w14:paraId="3AC5B5FA">
      <w:pPr>
        <w:pStyle w:val="5"/>
        <w:shd w:val="clear"/>
        <w:rPr>
          <w:rFonts w:hint="default" w:ascii="Times New Roman" w:hAnsi="Times New Roman" w:cs="Times New Roman"/>
          <w:color w:val="auto"/>
          <w:szCs w:val="30"/>
          <w:highlight w:val="none"/>
          <w:u w:val="none" w:color="auto"/>
        </w:rPr>
      </w:pPr>
      <w:bookmarkStart w:id="191" w:name="_Toc26230"/>
      <w:bookmarkStart w:id="192" w:name="_Toc6041"/>
      <w:bookmarkStart w:id="193" w:name="_Toc8847"/>
      <w:r>
        <w:rPr>
          <w:rFonts w:hint="default" w:ascii="Times New Roman" w:hAnsi="Times New Roman" w:cs="Times New Roman"/>
          <w:color w:val="auto"/>
          <w:szCs w:val="30"/>
          <w:highlight w:val="none"/>
          <w:u w:val="none" w:color="auto"/>
        </w:rPr>
        <w:t>环保投资分析</w:t>
      </w:r>
      <w:bookmarkEnd w:id="191"/>
      <w:bookmarkEnd w:id="192"/>
      <w:bookmarkEnd w:id="193"/>
    </w:p>
    <w:p w14:paraId="000A1C4D">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《建设项目环境保护设计规定》规定：</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凡属于污染治理和保护环境所需的装置、设备、监测手段和工程设施等属于环境保护设施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凡有环境保护设施的建设项目均应列入环境保护设施的投资概算</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。根据工程分析和环境影响预测可知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项目建成投产后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产生的废气、废水、噪声、废渣等将对周围环境造成一定的影响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因此必须投入一定的资金</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采取相应的污染治理措施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使工程对环境的影响降到最小程度。本项目环保设施均需新建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具体的环保措施及投资估算见表</w:t>
      </w:r>
      <w:r>
        <w:rPr>
          <w:rFonts w:hint="eastAsia" w:ascii="Times New Roman" w:hAnsi="Times New Roman" w:cs="Times New Roman"/>
          <w:color w:val="auto"/>
          <w:highlight w:val="none"/>
          <w:u w:val="none" w:color="auto"/>
          <w:lang w:val="en-US" w:eastAsia="zh-CN"/>
        </w:rPr>
        <w:t>8</w:t>
      </w:r>
      <w:r>
        <w:rPr>
          <w:rFonts w:hint="default" w:ascii="Times New Roman" w:hAnsi="Times New Roman" w:cs="Times New Roman"/>
          <w:color w:val="auto"/>
          <w:highlight w:val="none"/>
          <w:u w:val="none" w:color="auto"/>
        </w:rPr>
        <w:t>.1-1。</w:t>
      </w:r>
    </w:p>
    <w:p w14:paraId="053F60F5">
      <w:pPr>
        <w:pStyle w:val="39"/>
        <w:bidi w:val="0"/>
        <w:rPr>
          <w:rFonts w:hint="default"/>
        </w:rPr>
      </w:pPr>
      <w:r>
        <w:rPr>
          <w:rFonts w:hint="default"/>
        </w:rPr>
        <w:t>表</w:t>
      </w:r>
      <w:r>
        <w:rPr>
          <w:rFonts w:hint="eastAsia"/>
          <w:lang w:val="en-US" w:eastAsia="zh-CN"/>
        </w:rPr>
        <w:t>8</w:t>
      </w:r>
      <w:r>
        <w:rPr>
          <w:rFonts w:hint="default"/>
        </w:rPr>
        <w:t>.1-1 环保投资估算一览表   投资单位：万元</w:t>
      </w:r>
    </w:p>
    <w:tbl>
      <w:tblPr>
        <w:tblStyle w:val="51"/>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55"/>
        <w:gridCol w:w="1130"/>
        <w:gridCol w:w="5448"/>
        <w:gridCol w:w="860"/>
      </w:tblGrid>
      <w:tr w14:paraId="3CABA3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tcBorders>
              <w:tl2br w:val="nil"/>
              <w:tr2bl w:val="nil"/>
            </w:tcBorders>
            <w:vAlign w:val="center"/>
          </w:tcPr>
          <w:p w14:paraId="003A3E6B">
            <w:pPr>
              <w:pStyle w:val="42"/>
              <w:bidi w:val="0"/>
              <w:jc w:val="center"/>
            </w:pPr>
            <w:r>
              <w:t>时期</w:t>
            </w:r>
          </w:p>
        </w:tc>
        <w:tc>
          <w:tcPr>
            <w:tcW w:w="673" w:type="pct"/>
            <w:tcBorders>
              <w:tl2br w:val="nil"/>
              <w:tr2bl w:val="nil"/>
            </w:tcBorders>
            <w:vAlign w:val="center"/>
          </w:tcPr>
          <w:p w14:paraId="1404F82A">
            <w:pPr>
              <w:pStyle w:val="42"/>
              <w:bidi w:val="0"/>
              <w:jc w:val="center"/>
            </w:pPr>
            <w:r>
              <w:t>类别</w:t>
            </w:r>
          </w:p>
        </w:tc>
        <w:tc>
          <w:tcPr>
            <w:tcW w:w="3244" w:type="pct"/>
            <w:tcBorders>
              <w:tl2br w:val="nil"/>
              <w:tr2bl w:val="nil"/>
            </w:tcBorders>
            <w:vAlign w:val="center"/>
          </w:tcPr>
          <w:p w14:paraId="6AEFFE19">
            <w:pPr>
              <w:pStyle w:val="42"/>
              <w:bidi w:val="0"/>
              <w:jc w:val="center"/>
            </w:pPr>
            <w:r>
              <w:t>环保措施</w:t>
            </w:r>
          </w:p>
        </w:tc>
        <w:tc>
          <w:tcPr>
            <w:tcW w:w="512" w:type="pct"/>
            <w:tcBorders>
              <w:tl2br w:val="nil"/>
              <w:tr2bl w:val="nil"/>
            </w:tcBorders>
            <w:vAlign w:val="center"/>
          </w:tcPr>
          <w:p w14:paraId="5446AE6F">
            <w:pPr>
              <w:pStyle w:val="42"/>
              <w:bidi w:val="0"/>
              <w:jc w:val="center"/>
            </w:pPr>
            <w:r>
              <w:t>费用(万元)</w:t>
            </w:r>
          </w:p>
        </w:tc>
      </w:tr>
      <w:tr w14:paraId="6AA9CF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restart"/>
            <w:tcBorders>
              <w:tl2br w:val="nil"/>
              <w:tr2bl w:val="nil"/>
            </w:tcBorders>
            <w:vAlign w:val="center"/>
          </w:tcPr>
          <w:p w14:paraId="3E174FE3">
            <w:pPr>
              <w:pStyle w:val="42"/>
              <w:bidi w:val="0"/>
              <w:jc w:val="center"/>
            </w:pPr>
            <w:r>
              <w:t>营运期</w:t>
            </w:r>
          </w:p>
        </w:tc>
        <w:tc>
          <w:tcPr>
            <w:tcW w:w="673" w:type="pct"/>
            <w:tcBorders>
              <w:tl2br w:val="nil"/>
              <w:tr2bl w:val="nil"/>
            </w:tcBorders>
            <w:vAlign w:val="center"/>
          </w:tcPr>
          <w:p w14:paraId="1BF82E13">
            <w:pPr>
              <w:pStyle w:val="42"/>
              <w:bidi w:val="0"/>
              <w:jc w:val="center"/>
            </w:pPr>
            <w:r>
              <w:t>废气处理措施</w:t>
            </w:r>
          </w:p>
        </w:tc>
        <w:tc>
          <w:tcPr>
            <w:tcW w:w="3244" w:type="pct"/>
            <w:tcBorders>
              <w:tl2br w:val="nil"/>
              <w:tr2bl w:val="nil"/>
            </w:tcBorders>
            <w:vAlign w:val="center"/>
          </w:tcPr>
          <w:p w14:paraId="6784A497">
            <w:pPr>
              <w:pStyle w:val="42"/>
              <w:bidi w:val="0"/>
              <w:jc w:val="center"/>
            </w:pPr>
            <w:r>
              <w:rPr>
                <w:rFonts w:hint="eastAsia"/>
              </w:rPr>
              <w:t>集水池、调节池、厌氧流化床、缺氧池、消化池、污泥池均设置为密闭式池体，隔油初沉池对池体加盖抽风，然后废气采用密闭管道进行收集</w:t>
            </w:r>
            <w:r>
              <w:t>，</w:t>
            </w:r>
            <w:r>
              <w:rPr>
                <w:rFonts w:hint="eastAsia"/>
              </w:rPr>
              <w:t>污泥脱水区域采用集气罩进行收集</w:t>
            </w:r>
            <w:r>
              <w:t>收集后的臭气经一套“二级喷淋塔+</w:t>
            </w:r>
            <w:r>
              <w:rPr>
                <w:rFonts w:hint="eastAsia"/>
                <w:lang w:eastAsia="zh-CN"/>
              </w:rPr>
              <w:t>生物滤池</w:t>
            </w:r>
            <w:r>
              <w:t>”除臭系统处理后通过一根15m高排气筒(DA00</w:t>
            </w:r>
            <w:r>
              <w:rPr>
                <w:rFonts w:hint="eastAsia"/>
                <w:lang w:val="en-US" w:eastAsia="zh-CN"/>
              </w:rPr>
              <w:t>1</w:t>
            </w:r>
            <w:r>
              <w:t>)排放</w:t>
            </w:r>
          </w:p>
        </w:tc>
        <w:tc>
          <w:tcPr>
            <w:tcW w:w="512" w:type="pct"/>
            <w:tcBorders>
              <w:tl2br w:val="nil"/>
              <w:tr2bl w:val="nil"/>
            </w:tcBorders>
            <w:vAlign w:val="center"/>
          </w:tcPr>
          <w:p w14:paraId="64509C93">
            <w:pPr>
              <w:pStyle w:val="42"/>
              <w:bidi w:val="0"/>
              <w:jc w:val="center"/>
            </w:pPr>
            <w:r>
              <w:t>250</w:t>
            </w:r>
          </w:p>
        </w:tc>
      </w:tr>
      <w:tr w14:paraId="2686C5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190D3AA4">
            <w:pPr>
              <w:pStyle w:val="42"/>
              <w:bidi w:val="0"/>
              <w:jc w:val="center"/>
            </w:pPr>
          </w:p>
        </w:tc>
        <w:tc>
          <w:tcPr>
            <w:tcW w:w="673" w:type="pct"/>
            <w:tcBorders>
              <w:tl2br w:val="nil"/>
              <w:tr2bl w:val="nil"/>
            </w:tcBorders>
            <w:vAlign w:val="center"/>
          </w:tcPr>
          <w:p w14:paraId="0E412E8E">
            <w:pPr>
              <w:pStyle w:val="42"/>
              <w:bidi w:val="0"/>
              <w:jc w:val="center"/>
            </w:pPr>
            <w:r>
              <w:t>固废处理措施</w:t>
            </w:r>
          </w:p>
        </w:tc>
        <w:tc>
          <w:tcPr>
            <w:tcW w:w="3244" w:type="pct"/>
            <w:tcBorders>
              <w:tl2br w:val="nil"/>
              <w:tr2bl w:val="nil"/>
            </w:tcBorders>
            <w:vAlign w:val="center"/>
          </w:tcPr>
          <w:p w14:paraId="1E101AC2">
            <w:pPr>
              <w:pStyle w:val="42"/>
              <w:bidi w:val="0"/>
              <w:jc w:val="center"/>
            </w:pPr>
            <w:r>
              <w:t>栅渣：由环卫部门统一清运处置；</w:t>
            </w:r>
          </w:p>
          <w:p w14:paraId="2B42103B">
            <w:pPr>
              <w:pStyle w:val="42"/>
              <w:bidi w:val="0"/>
              <w:jc w:val="center"/>
            </w:pPr>
            <w:r>
              <w:t>废包装袋：收集后由原料厂家回收利用；</w:t>
            </w:r>
          </w:p>
          <w:p w14:paraId="4F912F80">
            <w:pPr>
              <w:pStyle w:val="42"/>
              <w:bidi w:val="0"/>
              <w:jc w:val="center"/>
            </w:pPr>
            <w:r>
              <w:t>废油：委托</w:t>
            </w:r>
            <w:r>
              <w:rPr>
                <w:rFonts w:hint="eastAsia"/>
                <w:lang w:val="en-US" w:eastAsia="zh-CN"/>
              </w:rPr>
              <w:t>资质单位</w:t>
            </w:r>
            <w:r>
              <w:t>进行清掏清运处理；</w:t>
            </w:r>
          </w:p>
          <w:p w14:paraId="3FBAE958">
            <w:pPr>
              <w:pStyle w:val="42"/>
              <w:bidi w:val="0"/>
              <w:jc w:val="center"/>
            </w:pPr>
            <w:r>
              <w:t>污泥：污泥采用压滤机脱水后</w:t>
            </w:r>
            <w:r>
              <w:rPr>
                <w:rFonts w:hint="eastAsia"/>
                <w:lang w:val="en-US" w:eastAsia="zh-CN"/>
              </w:rPr>
              <w:t>外运综合利用</w:t>
            </w:r>
            <w:r>
              <w:t>，脱水污泥不在厂内</w:t>
            </w:r>
            <w:r>
              <w:rPr>
                <w:rFonts w:hint="eastAsia"/>
                <w:lang w:val="en-US" w:eastAsia="zh-CN"/>
              </w:rPr>
              <w:t>长期</w:t>
            </w:r>
            <w:r>
              <w:t>暂存，清运频次为两天一次；</w:t>
            </w:r>
          </w:p>
          <w:p w14:paraId="0501DFB9">
            <w:pPr>
              <w:pStyle w:val="42"/>
              <w:bidi w:val="0"/>
              <w:jc w:val="center"/>
            </w:pPr>
            <w:r>
              <w:rPr>
                <w:rFonts w:hint="eastAsia"/>
              </w:rPr>
              <w:t>废机油及废机油桶、含油抹布、手套、劳保用品</w:t>
            </w:r>
            <w:r>
              <w:t>：建设一间危废间（</w:t>
            </w:r>
            <w:r>
              <w:rPr>
                <w:rFonts w:hint="eastAsia"/>
                <w:lang w:val="en-US" w:eastAsia="zh-CN"/>
              </w:rPr>
              <w:t>5m</w:t>
            </w:r>
            <w:r>
              <w:rPr>
                <w:rFonts w:hint="eastAsia"/>
                <w:vertAlign w:val="superscript"/>
                <w:lang w:val="en-US" w:eastAsia="zh-CN"/>
              </w:rPr>
              <w:t>2</w:t>
            </w:r>
            <w:r>
              <w:t>），在危废仓库暂存后定期交由有资质单位处理。</w:t>
            </w:r>
          </w:p>
        </w:tc>
        <w:tc>
          <w:tcPr>
            <w:tcW w:w="512" w:type="pct"/>
            <w:tcBorders>
              <w:tl2br w:val="nil"/>
              <w:tr2bl w:val="nil"/>
            </w:tcBorders>
            <w:vAlign w:val="center"/>
          </w:tcPr>
          <w:p w14:paraId="6AE79B8A">
            <w:pPr>
              <w:pStyle w:val="42"/>
              <w:bidi w:val="0"/>
              <w:jc w:val="center"/>
            </w:pPr>
            <w:r>
              <w:rPr>
                <w:rFonts w:hint="eastAsia"/>
                <w:lang w:val="en-US" w:eastAsia="zh-CN"/>
              </w:rPr>
              <w:t>5</w:t>
            </w:r>
            <w:r>
              <w:t>0</w:t>
            </w:r>
          </w:p>
        </w:tc>
      </w:tr>
      <w:tr w14:paraId="3937DF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7AD008E4">
            <w:pPr>
              <w:pStyle w:val="42"/>
              <w:bidi w:val="0"/>
              <w:jc w:val="center"/>
            </w:pPr>
          </w:p>
        </w:tc>
        <w:tc>
          <w:tcPr>
            <w:tcW w:w="673" w:type="pct"/>
            <w:tcBorders>
              <w:tl2br w:val="nil"/>
              <w:tr2bl w:val="nil"/>
            </w:tcBorders>
            <w:vAlign w:val="center"/>
          </w:tcPr>
          <w:p w14:paraId="630F3C42">
            <w:pPr>
              <w:pStyle w:val="42"/>
              <w:bidi w:val="0"/>
              <w:jc w:val="center"/>
            </w:pPr>
            <w:r>
              <w:t>噪声防治措施</w:t>
            </w:r>
          </w:p>
        </w:tc>
        <w:tc>
          <w:tcPr>
            <w:tcW w:w="3244" w:type="pct"/>
            <w:tcBorders>
              <w:tl2br w:val="nil"/>
              <w:tr2bl w:val="nil"/>
            </w:tcBorders>
            <w:vAlign w:val="center"/>
          </w:tcPr>
          <w:p w14:paraId="51FC0C5F">
            <w:pPr>
              <w:pStyle w:val="42"/>
              <w:bidi w:val="0"/>
              <w:jc w:val="center"/>
            </w:pPr>
            <w:r>
              <w:t>针对高噪声设备采取选用低噪声设备、基础减振、消声、合理布局、厂房隔声等降噪措施</w:t>
            </w:r>
          </w:p>
        </w:tc>
        <w:tc>
          <w:tcPr>
            <w:tcW w:w="512" w:type="pct"/>
            <w:tcBorders>
              <w:tl2br w:val="nil"/>
              <w:tr2bl w:val="nil"/>
            </w:tcBorders>
            <w:vAlign w:val="center"/>
          </w:tcPr>
          <w:p w14:paraId="06EB2EFA">
            <w:pPr>
              <w:pStyle w:val="42"/>
              <w:bidi w:val="0"/>
              <w:jc w:val="center"/>
            </w:pPr>
            <w:r>
              <w:t>5</w:t>
            </w:r>
          </w:p>
        </w:tc>
      </w:tr>
      <w:tr w14:paraId="43A87E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15789D50">
            <w:pPr>
              <w:pStyle w:val="42"/>
              <w:bidi w:val="0"/>
              <w:jc w:val="center"/>
            </w:pPr>
          </w:p>
        </w:tc>
        <w:tc>
          <w:tcPr>
            <w:tcW w:w="1127" w:type="dxa"/>
            <w:tcBorders>
              <w:bottom w:val="single" w:color="auto" w:sz="4" w:space="0"/>
              <w:tl2br w:val="nil"/>
              <w:tr2bl w:val="nil"/>
            </w:tcBorders>
            <w:vAlign w:val="center"/>
          </w:tcPr>
          <w:p w14:paraId="53A485F4">
            <w:pPr>
              <w:pStyle w:val="42"/>
              <w:bidi w:val="0"/>
            </w:pPr>
            <w:r>
              <w:rPr>
                <w:rFonts w:hint="default"/>
              </w:rPr>
              <w:t>地下水、土壤环境保护</w:t>
            </w:r>
          </w:p>
        </w:tc>
        <w:tc>
          <w:tcPr>
            <w:tcW w:w="5426" w:type="dxa"/>
            <w:tcBorders>
              <w:tl2br w:val="nil"/>
              <w:tr2bl w:val="nil"/>
            </w:tcBorders>
            <w:vAlign w:val="center"/>
          </w:tcPr>
          <w:p w14:paraId="6A995F3C">
            <w:pPr>
              <w:pStyle w:val="42"/>
              <w:bidi w:val="0"/>
            </w:pPr>
            <w:r>
              <w:rPr>
                <w:rFonts w:hint="default"/>
              </w:rPr>
              <w:t>地下水分区防渗，建设地下水跟踪监测井</w:t>
            </w:r>
          </w:p>
        </w:tc>
        <w:tc>
          <w:tcPr>
            <w:tcW w:w="512" w:type="pct"/>
            <w:tcBorders>
              <w:tl2br w:val="nil"/>
              <w:tr2bl w:val="nil"/>
            </w:tcBorders>
            <w:vAlign w:val="center"/>
          </w:tcPr>
          <w:p w14:paraId="090AC9D2">
            <w:pPr>
              <w:pStyle w:val="42"/>
              <w:bidi w:val="0"/>
              <w:jc w:val="center"/>
            </w:pPr>
            <w:r>
              <w:rPr>
                <w:rFonts w:hint="eastAsia"/>
                <w:lang w:val="en-US" w:eastAsia="zh-CN"/>
              </w:rPr>
              <w:t>3</w:t>
            </w:r>
            <w:r>
              <w:t>0</w:t>
            </w:r>
          </w:p>
        </w:tc>
      </w:tr>
      <w:tr w14:paraId="0DF6C8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52603FE2">
            <w:pPr>
              <w:pStyle w:val="42"/>
              <w:bidi w:val="0"/>
              <w:jc w:val="center"/>
            </w:pPr>
          </w:p>
        </w:tc>
        <w:tc>
          <w:tcPr>
            <w:tcW w:w="673" w:type="pct"/>
            <w:tcBorders>
              <w:top w:val="single" w:color="auto" w:sz="4" w:space="0"/>
              <w:tl2br w:val="nil"/>
              <w:tr2bl w:val="nil"/>
            </w:tcBorders>
            <w:vAlign w:val="center"/>
          </w:tcPr>
          <w:p w14:paraId="1ED2F028">
            <w:pPr>
              <w:pStyle w:val="42"/>
              <w:bidi w:val="0"/>
              <w:jc w:val="center"/>
            </w:pPr>
            <w:r>
              <w:t>环境风险防治措施</w:t>
            </w:r>
          </w:p>
        </w:tc>
        <w:tc>
          <w:tcPr>
            <w:tcW w:w="3244" w:type="pct"/>
            <w:tcBorders>
              <w:tl2br w:val="nil"/>
              <w:tr2bl w:val="nil"/>
            </w:tcBorders>
            <w:vAlign w:val="center"/>
          </w:tcPr>
          <w:p w14:paraId="068E10E0">
            <w:pPr>
              <w:pStyle w:val="42"/>
              <w:bidi w:val="0"/>
              <w:jc w:val="center"/>
              <w:rPr>
                <w:rFonts w:hint="eastAsia" w:eastAsia="宋体"/>
                <w:lang w:eastAsia="zh-CN"/>
              </w:rPr>
            </w:pPr>
            <w:r>
              <w:t>建设应急池1座，容积</w:t>
            </w:r>
            <w:r>
              <w:rPr>
                <w:rFonts w:hint="eastAsia"/>
                <w:lang w:val="en-US" w:eastAsia="zh-CN"/>
              </w:rPr>
              <w:t>2</w:t>
            </w:r>
            <w:r>
              <w:t>00</w:t>
            </w:r>
            <w:r>
              <w:rPr>
                <w:rFonts w:hint="eastAsia"/>
                <w:lang w:eastAsia="zh-CN"/>
              </w:rPr>
              <w:t>m</w:t>
            </w:r>
            <w:r>
              <w:rPr>
                <w:rFonts w:hint="eastAsia"/>
                <w:vertAlign w:val="superscript"/>
                <w:lang w:eastAsia="zh-CN"/>
              </w:rPr>
              <w:t>3</w:t>
            </w:r>
          </w:p>
        </w:tc>
        <w:tc>
          <w:tcPr>
            <w:tcW w:w="512" w:type="pct"/>
            <w:tcBorders>
              <w:tl2br w:val="nil"/>
              <w:tr2bl w:val="nil"/>
            </w:tcBorders>
            <w:vAlign w:val="center"/>
          </w:tcPr>
          <w:p w14:paraId="2F837E7B">
            <w:pPr>
              <w:pStyle w:val="42"/>
              <w:bidi w:val="0"/>
              <w:jc w:val="center"/>
            </w:pPr>
            <w:r>
              <w:t>10</w:t>
            </w:r>
          </w:p>
        </w:tc>
      </w:tr>
      <w:tr w14:paraId="7C037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25F8808A">
            <w:pPr>
              <w:pStyle w:val="42"/>
              <w:bidi w:val="0"/>
              <w:jc w:val="center"/>
            </w:pPr>
          </w:p>
        </w:tc>
        <w:tc>
          <w:tcPr>
            <w:tcW w:w="673" w:type="pct"/>
            <w:tcBorders>
              <w:tl2br w:val="nil"/>
              <w:tr2bl w:val="nil"/>
            </w:tcBorders>
            <w:shd w:val="clear" w:color="auto" w:fill="auto"/>
            <w:vAlign w:val="center"/>
          </w:tcPr>
          <w:p w14:paraId="6CB6C280">
            <w:pPr>
              <w:pStyle w:val="42"/>
              <w:bidi w:val="0"/>
              <w:rPr>
                <w:rFonts w:hint="default"/>
                <w:lang w:val="en-US" w:eastAsia="en-US"/>
              </w:rPr>
            </w:pPr>
            <w:r>
              <w:rPr>
                <w:rFonts w:hint="default"/>
              </w:rPr>
              <w:t>环境管理与监测</w:t>
            </w:r>
          </w:p>
        </w:tc>
        <w:tc>
          <w:tcPr>
            <w:tcW w:w="3244" w:type="pct"/>
            <w:tcBorders>
              <w:tl2br w:val="nil"/>
              <w:tr2bl w:val="nil"/>
            </w:tcBorders>
            <w:shd w:val="clear" w:color="auto" w:fill="auto"/>
            <w:vAlign w:val="center"/>
          </w:tcPr>
          <w:p w14:paraId="4E2D868A">
            <w:pPr>
              <w:pStyle w:val="42"/>
              <w:bidi w:val="0"/>
              <w:rPr>
                <w:rFonts w:hint="default"/>
                <w:lang w:val="en-US" w:eastAsia="en-US"/>
              </w:rPr>
            </w:pPr>
            <w:r>
              <w:rPr>
                <w:rFonts w:hint="default"/>
                <w:lang w:eastAsia="zh-CN"/>
              </w:rPr>
              <w:t>污水处理</w:t>
            </w:r>
            <w:r>
              <w:rPr>
                <w:rFonts w:hint="default"/>
              </w:rPr>
              <w:t>设施运行及其他管理、</w:t>
            </w:r>
            <w:r>
              <w:rPr>
                <w:rFonts w:hint="default"/>
                <w:lang w:val="en-US" w:eastAsia="zh-CN"/>
              </w:rPr>
              <w:t>排污口规范设置，流量及水质在线监测设备，</w:t>
            </w:r>
            <w:r>
              <w:rPr>
                <w:rFonts w:hint="default"/>
              </w:rPr>
              <w:t>地下水等监测费用</w:t>
            </w:r>
          </w:p>
        </w:tc>
        <w:tc>
          <w:tcPr>
            <w:tcW w:w="512" w:type="pct"/>
            <w:tcBorders>
              <w:tl2br w:val="nil"/>
              <w:tr2bl w:val="nil"/>
            </w:tcBorders>
            <w:shd w:val="clear" w:color="auto" w:fill="auto"/>
            <w:vAlign w:val="center"/>
          </w:tcPr>
          <w:p w14:paraId="459DEABE">
            <w:pPr>
              <w:pStyle w:val="42"/>
              <w:bidi w:val="0"/>
              <w:rPr>
                <w:rFonts w:hint="default"/>
                <w:lang w:val="en-US" w:eastAsia="zh-CN"/>
              </w:rPr>
            </w:pPr>
            <w:r>
              <w:rPr>
                <w:rFonts w:hint="default"/>
                <w:lang w:val="en-US" w:eastAsia="zh-CN"/>
              </w:rPr>
              <w:t>30</w:t>
            </w:r>
          </w:p>
        </w:tc>
      </w:tr>
      <w:tr w14:paraId="188F12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69" w:type="pct"/>
            <w:vMerge w:val="continue"/>
            <w:tcBorders>
              <w:tl2br w:val="nil"/>
              <w:tr2bl w:val="nil"/>
            </w:tcBorders>
            <w:vAlign w:val="center"/>
          </w:tcPr>
          <w:p w14:paraId="16D0B3FB">
            <w:pPr>
              <w:pStyle w:val="42"/>
              <w:bidi w:val="0"/>
              <w:jc w:val="center"/>
            </w:pPr>
          </w:p>
        </w:tc>
        <w:tc>
          <w:tcPr>
            <w:tcW w:w="673" w:type="pct"/>
            <w:tcBorders>
              <w:tl2br w:val="nil"/>
              <w:tr2bl w:val="nil"/>
            </w:tcBorders>
            <w:vAlign w:val="center"/>
          </w:tcPr>
          <w:p w14:paraId="59F1D2CC">
            <w:pPr>
              <w:pStyle w:val="42"/>
              <w:bidi w:val="0"/>
              <w:jc w:val="center"/>
            </w:pPr>
            <w:r>
              <w:t>绿化</w:t>
            </w:r>
          </w:p>
        </w:tc>
        <w:tc>
          <w:tcPr>
            <w:tcW w:w="3244" w:type="pct"/>
            <w:tcBorders>
              <w:tl2br w:val="nil"/>
              <w:tr2bl w:val="nil"/>
            </w:tcBorders>
            <w:vAlign w:val="center"/>
          </w:tcPr>
          <w:p w14:paraId="054814D5">
            <w:pPr>
              <w:pStyle w:val="42"/>
              <w:bidi w:val="0"/>
              <w:jc w:val="center"/>
            </w:pPr>
            <w:r>
              <w:t>厂区周边绿化带</w:t>
            </w:r>
          </w:p>
        </w:tc>
        <w:tc>
          <w:tcPr>
            <w:tcW w:w="512" w:type="pct"/>
            <w:tcBorders>
              <w:tl2br w:val="nil"/>
              <w:tr2bl w:val="nil"/>
            </w:tcBorders>
            <w:vAlign w:val="center"/>
          </w:tcPr>
          <w:p w14:paraId="4616D1BD">
            <w:pPr>
              <w:pStyle w:val="42"/>
              <w:bidi w:val="0"/>
              <w:jc w:val="center"/>
            </w:pPr>
            <w:r>
              <w:t>5</w:t>
            </w:r>
          </w:p>
        </w:tc>
      </w:tr>
      <w:tr w14:paraId="560273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87" w:type="pct"/>
            <w:gridSpan w:val="3"/>
            <w:tcBorders>
              <w:tl2br w:val="nil"/>
              <w:tr2bl w:val="nil"/>
            </w:tcBorders>
            <w:vAlign w:val="center"/>
          </w:tcPr>
          <w:p w14:paraId="33E7D51B">
            <w:pPr>
              <w:pStyle w:val="42"/>
              <w:bidi w:val="0"/>
              <w:jc w:val="center"/>
            </w:pPr>
            <w:r>
              <w:t>合计</w:t>
            </w:r>
          </w:p>
        </w:tc>
        <w:tc>
          <w:tcPr>
            <w:tcW w:w="512" w:type="pct"/>
            <w:tcBorders>
              <w:tl2br w:val="nil"/>
              <w:tr2bl w:val="nil"/>
            </w:tcBorders>
            <w:vAlign w:val="center"/>
          </w:tcPr>
          <w:p w14:paraId="793856CA">
            <w:pPr>
              <w:pStyle w:val="42"/>
              <w:bidi w:val="0"/>
              <w:jc w:val="center"/>
            </w:pPr>
            <w:r>
              <w:rPr>
                <w:rFonts w:hint="eastAsia"/>
                <w:lang w:val="en-US" w:eastAsia="zh-CN"/>
              </w:rPr>
              <w:t>38</w:t>
            </w:r>
            <w:r>
              <w:t>0</w:t>
            </w:r>
          </w:p>
        </w:tc>
      </w:tr>
    </w:tbl>
    <w:p w14:paraId="516C07D1">
      <w:pPr>
        <w:pStyle w:val="5"/>
        <w:shd w:val="clear"/>
        <w:rPr>
          <w:rFonts w:hint="default" w:ascii="Times New Roman" w:hAnsi="Times New Roman" w:cs="Times New Roman"/>
          <w:color w:val="auto"/>
          <w:szCs w:val="30"/>
          <w:highlight w:val="none"/>
          <w:u w:val="none" w:color="auto"/>
        </w:rPr>
      </w:pPr>
      <w:bookmarkStart w:id="194" w:name="_Toc20651"/>
      <w:bookmarkStart w:id="195" w:name="_Toc11869"/>
      <w:bookmarkStart w:id="196" w:name="_Toc1567"/>
      <w:r>
        <w:rPr>
          <w:rFonts w:hint="default"/>
          <w:highlight w:val="none"/>
        </w:rPr>
        <w:t>环境</w:t>
      </w:r>
      <w:r>
        <w:rPr>
          <w:rFonts w:hint="default" w:ascii="Times New Roman" w:hAnsi="Times New Roman" w:cs="Times New Roman"/>
          <w:color w:val="auto"/>
          <w:szCs w:val="30"/>
          <w:highlight w:val="none"/>
          <w:u w:val="none" w:color="auto"/>
        </w:rPr>
        <w:t>经济效益分析</w:t>
      </w:r>
      <w:bookmarkEnd w:id="194"/>
      <w:bookmarkEnd w:id="195"/>
      <w:bookmarkEnd w:id="196"/>
    </w:p>
    <w:p w14:paraId="0817F06D">
      <w:pPr>
        <w:pStyle w:val="6"/>
        <w:shd w:val="clear"/>
        <w:bidi w:val="0"/>
        <w:rPr>
          <w:rFonts w:hint="default"/>
          <w:highlight w:val="none"/>
        </w:rPr>
      </w:pPr>
      <w:r>
        <w:rPr>
          <w:rFonts w:hint="default"/>
          <w:highlight w:val="none"/>
        </w:rPr>
        <w:t>环境效益分析</w:t>
      </w:r>
    </w:p>
    <w:p w14:paraId="7379EE00">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污水处理厂是一项环保工程，本项目污水处理站废水处理能力为1200m³/d，主 要污染物为</w:t>
      </w:r>
      <w:r>
        <w:rPr>
          <w:rFonts w:hint="eastAsia" w:ascii="Times New Roman" w:hAnsi="Times New Roman" w:cs="Times New Roman"/>
          <w:color w:val="auto"/>
          <w:highlight w:val="none"/>
          <w:u w:val="none" w:color="auto"/>
          <w:lang w:eastAsia="zh-CN"/>
        </w:rPr>
        <w:t>COD</w:t>
      </w:r>
      <w:r>
        <w:rPr>
          <w:rFonts w:hint="eastAsia" w:ascii="Times New Roman" w:hAnsi="Times New Roman" w:cs="Times New Roman"/>
          <w:color w:val="auto"/>
          <w:highlight w:val="none"/>
          <w:u w:val="none" w:color="auto"/>
          <w:vertAlign w:val="subscript"/>
          <w:lang w:eastAsia="zh-CN"/>
        </w:rPr>
        <w:t>cr</w:t>
      </w:r>
      <w:r>
        <w:rPr>
          <w:rFonts w:hint="default" w:ascii="Times New Roman" w:hAnsi="Times New Roman" w:cs="Times New Roman"/>
          <w:color w:val="auto"/>
          <w:highlight w:val="none"/>
          <w:u w:val="none" w:color="auto"/>
        </w:rPr>
        <w:t>、氨氮。该工程的实施将减轻</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佳海食产业园废水排放 对</w:t>
      </w:r>
      <w:r>
        <w:rPr>
          <w:rFonts w:hint="eastAsia" w:ascii="Times New Roman" w:hAnsi="Times New Roman" w:cs="Times New Roman"/>
          <w:color w:val="auto"/>
          <w:highlight w:val="none"/>
          <w:u w:val="none" w:color="auto"/>
          <w:lang w:val="en-US" w:eastAsia="zh-CN"/>
        </w:rPr>
        <w:t>湘阴县</w:t>
      </w:r>
      <w:r>
        <w:rPr>
          <w:rFonts w:hint="default" w:ascii="Times New Roman" w:hAnsi="Times New Roman" w:cs="Times New Roman"/>
          <w:color w:val="auto"/>
          <w:highlight w:val="none"/>
          <w:u w:val="none" w:color="auto"/>
        </w:rPr>
        <w:t>县第二污水处理厂的水质冲击，并为</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佳海食品产业园项目的引进提 供环境保障，环境效益显著。</w:t>
      </w:r>
    </w:p>
    <w:p w14:paraId="240EBADA">
      <w:pPr>
        <w:pStyle w:val="6"/>
        <w:bidi w:val="0"/>
        <w:rPr>
          <w:rFonts w:hint="default"/>
        </w:rPr>
      </w:pPr>
      <w:r>
        <w:rPr>
          <w:rFonts w:hint="default"/>
        </w:rPr>
        <w:t>经济效益分析</w:t>
      </w:r>
    </w:p>
    <w:p w14:paraId="40EEB547">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尽管污水治理工程并不直接产生经济效益，但项目的实施可减少部分企事业分散处理废污水的设备投资和运行管理费用。本工程总投资</w:t>
      </w:r>
      <w:r>
        <w:rPr>
          <w:rFonts w:hint="eastAsia" w:ascii="Times New Roman" w:hAnsi="Times New Roman" w:cs="Times New Roman"/>
          <w:color w:val="auto"/>
          <w:highlight w:val="none"/>
          <w:u w:val="none" w:color="auto"/>
          <w:lang w:val="en-US" w:eastAsia="zh-CN"/>
        </w:rPr>
        <w:t>1200</w:t>
      </w:r>
      <w:r>
        <w:rPr>
          <w:rFonts w:hint="default" w:ascii="Times New Roman" w:hAnsi="Times New Roman" w:cs="Times New Roman"/>
          <w:color w:val="auto"/>
          <w:highlight w:val="none"/>
          <w:u w:val="none" w:color="auto"/>
        </w:rPr>
        <w:t>万元，污水处理站投产后，可以收取相应的污水处理费用，用于本工程的持续运营维护，项目的盈利能力接近行业基准水平，说明该项目能按期收回投资。</w:t>
      </w:r>
    </w:p>
    <w:p w14:paraId="7D652F17">
      <w:pPr>
        <w:pStyle w:val="6"/>
        <w:bidi w:val="0"/>
        <w:rPr>
          <w:rFonts w:hint="default"/>
        </w:rPr>
      </w:pPr>
      <w:r>
        <w:rPr>
          <w:rFonts w:hint="default"/>
        </w:rPr>
        <w:t>社会效益分析</w:t>
      </w:r>
    </w:p>
    <w:p w14:paraId="3DFA2D64">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污水处理项目的公共服务性是区别于其它建设项目的显著特点之一。园区内污水处理站的建设能吸引大量企业入驻，从而带动</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劳动力就业，促进GDP增长；随着入驻企业的增加，该地区的用水量将大幅度增加，这部分用水若未经处理排入</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县第二污水处理厂，将会对</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县第二污水处理厂的水质造成冲击，导致进水超标，污染加剧。污水处理工程运行后其出水达到排放标准，出水排入</w:t>
      </w:r>
      <w:r>
        <w:rPr>
          <w:rFonts w:hint="eastAsia" w:ascii="Times New Roman" w:hAnsi="Times New Roman" w:cs="Times New Roman"/>
          <w:color w:val="auto"/>
          <w:highlight w:val="none"/>
          <w:u w:val="none" w:color="auto"/>
          <w:lang w:val="en-US" w:eastAsia="zh-CN"/>
        </w:rPr>
        <w:t>湘阴</w:t>
      </w:r>
      <w:r>
        <w:rPr>
          <w:rFonts w:hint="default" w:ascii="Times New Roman" w:hAnsi="Times New Roman" w:cs="Times New Roman"/>
          <w:color w:val="auto"/>
          <w:highlight w:val="none"/>
          <w:u w:val="none" w:color="auto"/>
        </w:rPr>
        <w:t>县第二污水处理厂，将使项目区域水质得到改善。</w:t>
      </w:r>
    </w:p>
    <w:p w14:paraId="3F64768F">
      <w:pPr>
        <w:shd w:val="clea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本工程竣工投产后，按处理规模</w:t>
      </w:r>
      <w:r>
        <w:rPr>
          <w:rFonts w:hint="eastAsia" w:ascii="Times New Roman" w:hAnsi="Times New Roman" w:cs="Times New Roman"/>
          <w:color w:val="auto"/>
          <w:highlight w:val="none"/>
          <w:u w:val="none" w:color="auto"/>
          <w:lang w:val="en-US" w:eastAsia="zh-CN"/>
        </w:rPr>
        <w:t>12</w:t>
      </w:r>
      <w:r>
        <w:rPr>
          <w:rFonts w:hint="default" w:ascii="Times New Roman" w:hAnsi="Times New Roman" w:cs="Times New Roman"/>
          <w:color w:val="auto"/>
          <w:highlight w:val="none"/>
          <w:u w:val="none" w:color="auto"/>
        </w:rPr>
        <w:t>00</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rPr>
        <w:t>/d计，在达标排放的情况下，社会效益和环境效益显著。</w:t>
      </w:r>
    </w:p>
    <w:p w14:paraId="755C770F">
      <w:pPr>
        <w:pStyle w:val="5"/>
        <w:bidi w:val="0"/>
        <w:rPr>
          <w:rFonts w:hint="default"/>
        </w:rPr>
      </w:pPr>
      <w:bookmarkStart w:id="197" w:name="_Toc25287"/>
      <w:r>
        <w:rPr>
          <w:rFonts w:hint="default"/>
        </w:rPr>
        <w:t>小结</w:t>
      </w:r>
      <w:bookmarkEnd w:id="197"/>
    </w:p>
    <w:p w14:paraId="3C8E5DCA">
      <w:pPr>
        <w:bidi w:val="0"/>
        <w:rPr>
          <w:rFonts w:hint="default"/>
        </w:rPr>
      </w:pPr>
      <w:r>
        <w:rPr>
          <w:rFonts w:hint="default"/>
        </w:rPr>
        <w:t>结合本项目的社会经济效益、环保投入和环境效益进行综合分析得出，</w:t>
      </w:r>
      <w:r>
        <w:rPr>
          <w:rFonts w:hint="eastAsia"/>
          <w:lang w:val="en-US" w:eastAsia="zh-CN"/>
        </w:rPr>
        <w:t>相应</w:t>
      </w:r>
      <w:r>
        <w:rPr>
          <w:rFonts w:hint="default"/>
        </w:rPr>
        <w:t>佳海食品产业园污水处理厂的建设能减少废水对</w:t>
      </w:r>
      <w:r>
        <w:rPr>
          <w:rFonts w:hint="eastAsia"/>
          <w:lang w:val="en-US" w:eastAsia="zh-CN"/>
        </w:rPr>
        <w:t>湘阴县</w:t>
      </w:r>
      <w:r>
        <w:rPr>
          <w:rFonts w:hint="default"/>
        </w:rPr>
        <w:t>第二污水处理厂的水质冲击，优化投资环境，吸引投资企业，吸纳劳动力，促进区域社会经济的可持续发展。</w:t>
      </w:r>
    </w:p>
    <w:p w14:paraId="1B3195C5">
      <w:pPr>
        <w:bidi w:val="0"/>
        <w:rPr>
          <w:rFonts w:hint="default"/>
        </w:rPr>
      </w:pPr>
      <w:r>
        <w:rPr>
          <w:rFonts w:hint="default"/>
        </w:rPr>
        <w:t>同时随着工程建设期和营运期的环境保护措施的落实，将使该工程的环境、社会效益和经济效益远大于环境损失，项目运营后对环境、经济、社会具有明显的正效益。</w:t>
      </w:r>
    </w:p>
    <w:bookmarkEnd w:id="190"/>
    <w:p w14:paraId="4834C86B">
      <w:pPr>
        <w:pStyle w:val="4"/>
        <w:bidi w:val="0"/>
        <w:rPr>
          <w:rFonts w:hint="default"/>
        </w:rPr>
      </w:pPr>
      <w:bookmarkStart w:id="198" w:name="_Toc28201"/>
      <w:bookmarkStart w:id="199" w:name="_Toc15551"/>
      <w:bookmarkStart w:id="200" w:name="_Toc29687"/>
      <w:r>
        <w:rPr>
          <w:rFonts w:hint="default"/>
        </w:rPr>
        <w:t>环境管理与监测计划</w:t>
      </w:r>
      <w:bookmarkEnd w:id="198"/>
    </w:p>
    <w:p w14:paraId="794B2DEE">
      <w:pPr>
        <w:ind w:firstLine="480"/>
        <w:rPr>
          <w:rFonts w:hint="default" w:ascii="Times New Roman" w:hAnsi="Times New Roman" w:cs="Times New Roman"/>
          <w:color w:val="auto"/>
          <w:highlight w:val="none"/>
          <w:u w:val="none" w:color="auto"/>
        </w:rPr>
      </w:pPr>
      <w:bookmarkStart w:id="201" w:name="_Toc17386"/>
      <w:bookmarkStart w:id="202" w:name="_Toc241467164"/>
      <w:bookmarkStart w:id="203" w:name="_Toc475344942"/>
      <w:bookmarkStart w:id="204" w:name="_Toc5630"/>
      <w:r>
        <w:rPr>
          <w:rFonts w:hint="default" w:ascii="Times New Roman" w:hAnsi="Times New Roman" w:cs="Times New Roman"/>
          <w:color w:val="auto"/>
          <w:highlight w:val="none"/>
          <w:u w:val="none" w:color="auto"/>
        </w:rPr>
        <w:t>环境管理和环境监测是污染防治的重要内容之一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是实现污染总量控制和治理措施达到预期治理的有效保证。装置建成投产后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除了依据环评中所评述和建议的环境保护措施实施的同时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还需要加强环境管理和环境监测工作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以便及时发现装置运行过程中存在的问题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尽快采取处理措施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减少或避免污染和损失。同时通过加强管理和环境监测工作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为清洁生产工艺改造和污染处理技术进步提供具有实际指导意义的参考。</w:t>
      </w:r>
    </w:p>
    <w:p w14:paraId="454AF825">
      <w:pPr>
        <w:pStyle w:val="5"/>
        <w:rPr>
          <w:rFonts w:hint="default" w:ascii="Times New Roman" w:hAnsi="Times New Roman" w:cs="Times New Roman"/>
          <w:color w:val="auto"/>
          <w:highlight w:val="none"/>
          <w:u w:val="none" w:color="auto"/>
        </w:rPr>
      </w:pPr>
      <w:bookmarkStart w:id="205" w:name="_Toc385515507"/>
      <w:bookmarkStart w:id="206" w:name="_Toc22988"/>
      <w:bookmarkStart w:id="207" w:name="_Toc11914804"/>
      <w:bookmarkStart w:id="208" w:name="_Toc405366416"/>
      <w:bookmarkStart w:id="209" w:name="_Toc286232356"/>
      <w:r>
        <w:rPr>
          <w:rFonts w:hint="default" w:ascii="Times New Roman" w:hAnsi="Times New Roman" w:cs="Times New Roman"/>
          <w:color w:val="auto"/>
          <w:highlight w:val="none"/>
          <w:u w:val="none" w:color="auto"/>
        </w:rPr>
        <w:t>环境管理</w:t>
      </w:r>
      <w:bookmarkEnd w:id="205"/>
      <w:bookmarkEnd w:id="206"/>
      <w:bookmarkEnd w:id="207"/>
      <w:bookmarkEnd w:id="208"/>
    </w:p>
    <w:p w14:paraId="675EC703">
      <w:pPr>
        <w:pStyle w:val="6"/>
        <w:rPr>
          <w:rFonts w:hint="default" w:ascii="Times New Roman" w:hAnsi="Times New Roman" w:cs="Times New Roman"/>
          <w:color w:val="auto"/>
          <w:kern w:val="24"/>
          <w:highlight w:val="none"/>
          <w:u w:val="none" w:color="auto"/>
        </w:rPr>
      </w:pPr>
      <w:bookmarkStart w:id="210" w:name="_Toc359485741"/>
      <w:bookmarkStart w:id="211" w:name="_Toc360204347"/>
      <w:r>
        <w:rPr>
          <w:rFonts w:hint="default" w:ascii="Times New Roman" w:hAnsi="Times New Roman" w:cs="Times New Roman"/>
          <w:color w:val="auto"/>
          <w:kern w:val="24"/>
          <w:highlight w:val="none"/>
          <w:u w:val="none" w:color="auto"/>
        </w:rPr>
        <w:t>环境管理计划</w:t>
      </w:r>
      <w:bookmarkEnd w:id="209"/>
      <w:bookmarkEnd w:id="210"/>
      <w:bookmarkEnd w:id="211"/>
    </w:p>
    <w:p w14:paraId="41E9184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建立比较合理的环境管理体制和管理机构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是保证环境保护措施有效实施的重要手段</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制定科学的环境监控计划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正确处理经济发展与保护环境的关系</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实现项目建设经济效益、社会效益和环境效益的统一。</w:t>
      </w:r>
    </w:p>
    <w:p w14:paraId="7843577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环境管理包括机构设置及职责、管理制度、管理计划、环保责任制等内容。开展企业环境管理的目的是在项目施工阶段和运营阶段履行监督与管理职责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确保工程在各阶段执行并遵守有关环保法规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协助地方环保管理部门做好监督监测工作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了解工程明显与潜在的环境影响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制定针对性的监督管理计划与措施。</w:t>
      </w:r>
    </w:p>
    <w:p w14:paraId="056FF6B6">
      <w:pPr>
        <w:pStyle w:val="6"/>
        <w:rPr>
          <w:rFonts w:hint="default" w:ascii="Times New Roman" w:hAnsi="Times New Roman" w:cs="Times New Roman"/>
          <w:color w:val="auto"/>
          <w:kern w:val="24"/>
          <w:highlight w:val="none"/>
          <w:u w:val="none" w:color="auto"/>
        </w:rPr>
      </w:pPr>
      <w:bookmarkStart w:id="212" w:name="_Toc286232357"/>
      <w:bookmarkStart w:id="213" w:name="_Toc360204348"/>
      <w:bookmarkStart w:id="214" w:name="_Toc359485742"/>
      <w:r>
        <w:rPr>
          <w:rFonts w:hint="default" w:ascii="Times New Roman" w:hAnsi="Times New Roman" w:cs="Times New Roman"/>
          <w:color w:val="auto"/>
          <w:kern w:val="24"/>
          <w:highlight w:val="none"/>
          <w:u w:val="none" w:color="auto"/>
        </w:rPr>
        <w:t>环境管理机构</w:t>
      </w:r>
      <w:bookmarkEnd w:id="212"/>
      <w:r>
        <w:rPr>
          <w:rFonts w:hint="default" w:ascii="Times New Roman" w:hAnsi="Times New Roman" w:cs="Times New Roman"/>
          <w:color w:val="auto"/>
          <w:kern w:val="24"/>
          <w:highlight w:val="none"/>
          <w:u w:val="none" w:color="auto"/>
        </w:rPr>
        <w:t>及职责</w:t>
      </w:r>
      <w:bookmarkEnd w:id="213"/>
      <w:bookmarkEnd w:id="214"/>
    </w:p>
    <w:p w14:paraId="2AB768AA">
      <w:pPr>
        <w:ind w:firstLine="480"/>
        <w:rPr>
          <w:rFonts w:hint="default" w:ascii="Times New Roman" w:hAnsi="Times New Roman" w:cs="Times New Roman"/>
          <w:color w:val="auto"/>
          <w:highlight w:val="none"/>
          <w:u w:val="none" w:color="auto"/>
        </w:rPr>
      </w:pPr>
      <w:bookmarkStart w:id="215" w:name="_Toc213837605"/>
      <w:bookmarkStart w:id="216" w:name="_Toc260210460"/>
      <w:bookmarkStart w:id="217" w:name="_Toc286232359"/>
      <w:r>
        <w:rPr>
          <w:rFonts w:hint="default" w:ascii="Times New Roman" w:hAnsi="Times New Roman" w:cs="Times New Roman"/>
          <w:color w:val="auto"/>
          <w:highlight w:val="none"/>
          <w:u w:val="none" w:color="auto"/>
        </w:rPr>
        <w:t>（1）环境管理机构</w:t>
      </w:r>
    </w:p>
    <w:p w14:paraId="0D7882A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为了加强环境保护工作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环评建议建设单位建立一套完善的环境管理体制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设置专门的环境保护管理机构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设立环保部门</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配备专职环保管理人员至少1名。环境保护管理环保人员由熟悉生产工艺和污染防治措施系统的管理、技术人员组成</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负责组织、落实、管理工程在施工和运行期的环境保护工作。</w:t>
      </w:r>
    </w:p>
    <w:p w14:paraId="523FAF3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（2）环境管理职责</w:t>
      </w:r>
    </w:p>
    <w:p w14:paraId="0794FCD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环境管理机构主要职责主要包括：</w:t>
      </w:r>
    </w:p>
    <w:p w14:paraId="55924A0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1）贯彻执行国家和地方的环境保护政策、法规及环境保护标准； </w:t>
      </w:r>
    </w:p>
    <w:p w14:paraId="613F43EA">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2）建立并完善企业环境保护管理制度</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经常督促检查落实情况； </w:t>
      </w:r>
    </w:p>
    <w:p w14:paraId="4B5F9995">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3）编制并组织实施本企业的环境保护规划和计划； </w:t>
      </w:r>
    </w:p>
    <w:p w14:paraId="49F88725">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4）搞好环境保护宣传和教育</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不断提高职工的环境保护意识； </w:t>
      </w:r>
    </w:p>
    <w:p w14:paraId="1ABEA3B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5）组织对环保人员的培训</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提高工作素质； </w:t>
      </w:r>
    </w:p>
    <w:p w14:paraId="0551D83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6）领导并组织企业的环境监测工作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建立环境监控档案； </w:t>
      </w:r>
    </w:p>
    <w:p w14:paraId="32AADE0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7）制定本企业污染治理设备设施操作规程和检修计划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检查、记录污染治理设施运行及检修情况</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确保治理设施常年正常运行； </w:t>
      </w:r>
    </w:p>
    <w:p w14:paraId="6B7972F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8）制定车间的污染物排放指标</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定时考核和统计</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确保污染物排放达到国家排放标准和总量控制指标。</w:t>
      </w:r>
    </w:p>
    <w:p w14:paraId="5C4A6A5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（3）环境管理要求</w:t>
      </w:r>
    </w:p>
    <w:p w14:paraId="1FD1411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本项目环境管理工作要求如下：</w:t>
      </w:r>
    </w:p>
    <w:p w14:paraId="3D7B267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1）运行前期</w:t>
      </w:r>
    </w:p>
    <w:p w14:paraId="765FCDBB">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①落实本项目各项环保投资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确保各项治理措施达到设计要求与环境保护设施执行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三同时</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制度。</w:t>
      </w:r>
    </w:p>
    <w:p w14:paraId="3218CC3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②向环保部门递交建设项目竣工试运行报告</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组织环保设施试运行。</w:t>
      </w:r>
    </w:p>
    <w:p w14:paraId="7624D631">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③编制环保设施竣工验收方案报告</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向环保部门申报；同时开展竣工验收监测工作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办理竣工环保验收手续。</w:t>
      </w:r>
    </w:p>
    <w:p w14:paraId="274A21BA">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④向当地环保部门进行排污申报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正式运行。</w:t>
      </w:r>
    </w:p>
    <w:p w14:paraId="121F7C7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 xml:space="preserve">2）正式运行后 </w:t>
      </w:r>
    </w:p>
    <w:p w14:paraId="292AFA1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（1）建立建全污水处理站环境管理规章制度，强化管理手段，将环保管理纳入法治管理轨道，建立管理小组及化验室，来管理和实施有关的监测计划，实施有效的质量控制，切实监督、落实执行所有规章制度。</w:t>
      </w:r>
    </w:p>
    <w:p w14:paraId="5A34E54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加强运营期生产管理。严格实行污水处理岗位责任制，根据进厂水质、水量变化，及时调整运行条件，出现问题立即解决，做好日常水质化验分析。保存完整的原始记录和各项资料，建立技术档案，并将每班的污水处理量、处理成本、处理出水指标、运行的正常率与事故率比等列为岗位责任考核指标。加强污水处理运行设备的保养、维护和处理设施正常运行，杜绝事故性排放的发生。</w:t>
      </w:r>
    </w:p>
    <w:p w14:paraId="2E2224F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（3）加强排污口、排污管网和泵站的管理。排污口、排污管网、泵站应设立专 职工作岗位、独立管理，制订完善的岗位制度和规范的操作规程。污水排放应保持一定的流速。对接入污水处理站的污水，严格控制接管污水的标准。</w:t>
      </w:r>
    </w:p>
    <w:p w14:paraId="1273DE9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（4）加强原料及产品的储、运管理，防止事故的发生。</w:t>
      </w:r>
    </w:p>
    <w:p w14:paraId="4A01E00C">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（5）针对各工序建立污染源档案管理制度，具体包括以下内容：</w:t>
      </w:r>
    </w:p>
    <w:p w14:paraId="073B28C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1）反应原理及操作步骤，操作条件；</w:t>
      </w:r>
    </w:p>
    <w:p w14:paraId="4EB227E1">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2）污染源的产生节点、种类、产生量及对应的产生方式、时间、具体的污染物成分及含量等内容；</w:t>
      </w:r>
    </w:p>
    <w:p w14:paraId="7393838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3）污染源治理措施、设计参数、运行条件，处理效率、排放方式；</w:t>
      </w:r>
    </w:p>
    <w:p w14:paraId="70130BC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4）各治理措施的运行成本记录，特别是</w:t>
      </w:r>
      <w:r>
        <w:rPr>
          <w:rFonts w:hint="eastAsia" w:ascii="Times New Roman" w:hAnsi="Times New Roman" w:cs="Times New Roman"/>
          <w:color w:val="auto"/>
          <w:highlight w:val="none"/>
          <w:u w:val="none" w:color="auto"/>
          <w:lang w:val="en-US" w:eastAsia="zh-CN"/>
        </w:rPr>
        <w:t>生物填料</w:t>
      </w:r>
      <w:r>
        <w:rPr>
          <w:rFonts w:hint="default" w:ascii="Times New Roman" w:hAnsi="Times New Roman" w:cs="Times New Roman"/>
          <w:color w:val="auto"/>
          <w:highlight w:val="none"/>
          <w:u w:val="none" w:color="auto"/>
        </w:rPr>
        <w:t>的更换周期等内容；</w:t>
      </w:r>
    </w:p>
    <w:p w14:paraId="2F9CE0FA">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5）治理措施的维修记录，不良运行记录及造成的原因；</w:t>
      </w:r>
    </w:p>
    <w:p w14:paraId="266D5739">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6）各污染源处理后的例行监测、验收监测等监测数据。</w:t>
      </w:r>
    </w:p>
    <w:p w14:paraId="2BBD1AEA">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7）各污染源及治理措施的风险事故、影响范围及应急措施、预案的落实情况，事故总结和后处理结果等内容。</w:t>
      </w:r>
    </w:p>
    <w:p w14:paraId="1C9D037C">
      <w:pPr>
        <w:pStyle w:val="5"/>
        <w:rPr>
          <w:rFonts w:hint="default" w:ascii="Times New Roman" w:hAnsi="Times New Roman" w:cs="Times New Roman"/>
          <w:color w:val="auto"/>
          <w:highlight w:val="none"/>
          <w:u w:val="none" w:color="auto"/>
        </w:rPr>
      </w:pPr>
      <w:bookmarkStart w:id="218" w:name="_Toc13500"/>
      <w:bookmarkStart w:id="219" w:name="_Toc385515508"/>
      <w:bookmarkStart w:id="220" w:name="_Toc405366417"/>
      <w:bookmarkStart w:id="221" w:name="_Toc11914806"/>
      <w:r>
        <w:rPr>
          <w:rFonts w:hint="default" w:ascii="Times New Roman" w:hAnsi="Times New Roman" w:cs="Times New Roman"/>
          <w:color w:val="auto"/>
          <w:highlight w:val="none"/>
          <w:u w:val="none" w:color="auto"/>
        </w:rPr>
        <w:t>环境监测计划</w:t>
      </w:r>
      <w:bookmarkEnd w:id="215"/>
      <w:bookmarkEnd w:id="216"/>
      <w:bookmarkEnd w:id="217"/>
      <w:bookmarkEnd w:id="218"/>
      <w:bookmarkEnd w:id="219"/>
      <w:bookmarkEnd w:id="220"/>
      <w:bookmarkEnd w:id="221"/>
    </w:p>
    <w:p w14:paraId="0544E529">
      <w:pPr>
        <w:pStyle w:val="6"/>
        <w:rPr>
          <w:rFonts w:hint="default" w:ascii="Times New Roman" w:hAnsi="Times New Roman" w:cs="Times New Roman"/>
          <w:color w:val="auto"/>
          <w:kern w:val="24"/>
          <w:highlight w:val="none"/>
          <w:u w:val="none" w:color="auto"/>
        </w:rPr>
      </w:pPr>
      <w:bookmarkStart w:id="222" w:name="_Toc286232360"/>
      <w:bookmarkStart w:id="223" w:name="_Toc359485744"/>
      <w:bookmarkStart w:id="224" w:name="_Toc360204350"/>
      <w:r>
        <w:rPr>
          <w:rFonts w:hint="default" w:ascii="Times New Roman" w:hAnsi="Times New Roman" w:eastAsia="宋体" w:cs="Times New Roman"/>
          <w:color w:val="auto"/>
          <w:sz w:val="24"/>
          <w:szCs w:val="24"/>
          <w:highlight w:val="none"/>
          <w:u w:val="none" w:color="auto"/>
        </w:rPr>
        <w:t xml:space="preserve">设置和维护监测设施 </w:t>
      </w:r>
    </w:p>
    <w:p w14:paraId="533D1A4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建设</w:t>
      </w:r>
      <w:r>
        <w:rPr>
          <w:rFonts w:hint="default" w:ascii="Times New Roman" w:hAnsi="Times New Roman" w:cs="Times New Roman"/>
          <w:color w:val="auto"/>
          <w:highlight w:val="none"/>
          <w:u w:val="none" w:color="auto"/>
        </w:rPr>
        <w:t>单位应按照规定设置满足开展监测所需要的监测设施。废水排放口，废气（采样）监测平台、监测断面和监测孔的设置应符合监测规范要求。监测平台应便于开展监测活动，应能保证监测人员的安全。</w:t>
      </w:r>
    </w:p>
    <w:p w14:paraId="0143CED2">
      <w:pPr>
        <w:pStyle w:val="6"/>
        <w:rPr>
          <w:rFonts w:hint="default" w:ascii="Times New Roman" w:hAnsi="Times New Roman" w:cs="Times New Roman"/>
          <w:color w:val="auto"/>
          <w:kern w:val="24"/>
          <w:highlight w:val="none"/>
          <w:u w:val="none" w:color="auto"/>
        </w:rPr>
      </w:pPr>
      <w:r>
        <w:rPr>
          <w:rFonts w:hint="default" w:ascii="Times New Roman" w:hAnsi="Times New Roman" w:cs="Times New Roman"/>
          <w:color w:val="auto"/>
          <w:kern w:val="24"/>
          <w:highlight w:val="none"/>
          <w:u w:val="none" w:color="auto"/>
        </w:rPr>
        <w:t>环境监测机构与人员</w:t>
      </w:r>
      <w:bookmarkEnd w:id="222"/>
      <w:bookmarkEnd w:id="223"/>
      <w:bookmarkEnd w:id="224"/>
    </w:p>
    <w:p w14:paraId="4151E503">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本次工程建成运行后的污染源监测</w:t>
      </w:r>
      <w:r>
        <w:rPr>
          <w:rFonts w:hint="default" w:ascii="Times New Roman" w:hAnsi="Times New Roman" w:cs="Times New Roman"/>
          <w:color w:val="auto"/>
          <w:highlight w:val="none"/>
          <w:u w:val="none" w:color="auto"/>
          <w:lang w:val="en-US" w:eastAsia="zh-CN"/>
        </w:rPr>
        <w:t>委托</w:t>
      </w:r>
      <w:r>
        <w:rPr>
          <w:rFonts w:hint="default" w:ascii="Times New Roman" w:hAnsi="Times New Roman" w:cs="Times New Roman"/>
          <w:color w:val="auto"/>
          <w:highlight w:val="none"/>
          <w:u w:val="none" w:color="auto"/>
        </w:rPr>
        <w:t>其它有资质的检（监）测机构代其开展自行监测。</w:t>
      </w:r>
    </w:p>
    <w:p w14:paraId="1C36FEEF">
      <w:pPr>
        <w:pStyle w:val="6"/>
        <w:rPr>
          <w:rFonts w:hint="default" w:ascii="Times New Roman" w:hAnsi="Times New Roman" w:cs="Times New Roman"/>
          <w:color w:val="auto"/>
          <w:highlight w:val="none"/>
          <w:u w:val="none" w:color="auto"/>
        </w:rPr>
      </w:pPr>
      <w:r>
        <w:rPr>
          <w:rFonts w:hint="default" w:ascii="Times New Roman" w:hAnsi="Times New Roman" w:eastAsia="宋体" w:cs="Times New Roman"/>
          <w:color w:val="auto"/>
          <w:sz w:val="24"/>
          <w:szCs w:val="24"/>
          <w:highlight w:val="none"/>
          <w:u w:val="none" w:color="auto"/>
        </w:rPr>
        <w:t>做好监测质量保证与质量控制</w:t>
      </w:r>
    </w:p>
    <w:p w14:paraId="669DFAB0">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建设单位</w:t>
      </w:r>
      <w:r>
        <w:rPr>
          <w:rFonts w:hint="default" w:ascii="Times New Roman" w:hAnsi="Times New Roman" w:cs="Times New Roman"/>
          <w:color w:val="auto"/>
          <w:highlight w:val="none"/>
          <w:u w:val="none" w:color="auto"/>
        </w:rPr>
        <w:t>应建立自行监测质量管理制度，按照相关技术规范要求做好监测质量保证与质量控制。</w:t>
      </w:r>
    </w:p>
    <w:p w14:paraId="596C72E0">
      <w:pPr>
        <w:pStyle w:val="6"/>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记录和保存监测数据</w:t>
      </w:r>
    </w:p>
    <w:p w14:paraId="6DE7E5C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排污单位应做好与监测相关的数据记录，按照规定进行保存，并依据相关法规向社会公开监测结果</w:t>
      </w:r>
    </w:p>
    <w:p w14:paraId="21F24D16">
      <w:pPr>
        <w:pStyle w:val="6"/>
        <w:rPr>
          <w:rFonts w:hint="default" w:ascii="Times New Roman" w:hAnsi="Times New Roman" w:cs="Times New Roman"/>
          <w:color w:val="auto"/>
          <w:kern w:val="24"/>
          <w:highlight w:val="none"/>
          <w:u w:val="none" w:color="auto"/>
        </w:rPr>
      </w:pPr>
      <w:bookmarkStart w:id="225" w:name="_Toc360204351"/>
      <w:bookmarkStart w:id="226" w:name="_Toc359485745"/>
      <w:bookmarkStart w:id="227" w:name="_Toc286232361"/>
      <w:r>
        <w:rPr>
          <w:rFonts w:hint="default" w:ascii="Times New Roman" w:hAnsi="Times New Roman" w:cs="Times New Roman"/>
          <w:color w:val="auto"/>
          <w:kern w:val="24"/>
          <w:highlight w:val="none"/>
          <w:u w:val="none" w:color="auto"/>
        </w:rPr>
        <w:t>监测</w:t>
      </w:r>
      <w:bookmarkEnd w:id="225"/>
      <w:bookmarkEnd w:id="226"/>
      <w:bookmarkEnd w:id="227"/>
      <w:r>
        <w:rPr>
          <w:rFonts w:hint="default" w:ascii="Times New Roman" w:hAnsi="Times New Roman" w:cs="Times New Roman"/>
          <w:color w:val="auto"/>
          <w:kern w:val="24"/>
          <w:highlight w:val="none"/>
          <w:u w:val="none" w:color="auto"/>
        </w:rPr>
        <w:t>计划</w:t>
      </w:r>
    </w:p>
    <w:p w14:paraId="6DC84C5D">
      <w:pPr>
        <w:pStyle w:val="7"/>
        <w:bidi w:val="0"/>
        <w:rPr>
          <w:rFonts w:hint="default"/>
          <w:lang w:val="en-US" w:eastAsia="zh-CN"/>
        </w:rPr>
      </w:pPr>
      <w:bookmarkStart w:id="228" w:name="_Toc313105802"/>
      <w:bookmarkStart w:id="229" w:name="_Toc385515510"/>
      <w:bookmarkStart w:id="230" w:name="_Toc405366419"/>
      <w:bookmarkStart w:id="231" w:name="_Toc11914807"/>
      <w:r>
        <w:rPr>
          <w:rFonts w:hint="eastAsia"/>
          <w:lang w:val="en-US" w:eastAsia="zh-CN"/>
        </w:rPr>
        <w:t>污染源监测</w:t>
      </w:r>
    </w:p>
    <w:p w14:paraId="5F0D92E8">
      <w:pPr>
        <w:bidi w:val="0"/>
        <w:rPr>
          <w:rFonts w:hint="default"/>
          <w:lang w:val="en-US" w:eastAsia="zh-CN"/>
        </w:rPr>
      </w:pPr>
      <w:r>
        <w:rPr>
          <w:rFonts w:hint="default"/>
          <w:lang w:val="en-US" w:eastAsia="zh-CN"/>
        </w:rPr>
        <w:t>根据《排污许可证申请与核发技术规范 水处理（试行）》（HJ978-2018）、《排污单位自行监测技术指南 水处理》（HJ1083-2020）等规定，本项目污染源监测方案如下所示。</w:t>
      </w:r>
    </w:p>
    <w:p w14:paraId="456C3BE8">
      <w:pPr>
        <w:numPr>
          <w:ilvl w:val="0"/>
          <w:numId w:val="6"/>
        </w:numPr>
        <w:bidi w:val="0"/>
        <w:rPr>
          <w:rFonts w:hint="default"/>
          <w:lang w:eastAsia="zh-CN"/>
        </w:rPr>
      </w:pPr>
      <w:r>
        <w:rPr>
          <w:rFonts w:hint="default"/>
          <w:lang w:eastAsia="zh-CN"/>
        </w:rPr>
        <w:t>废气</w:t>
      </w:r>
    </w:p>
    <w:p w14:paraId="4B0C89F7">
      <w:pPr>
        <w:pStyle w:val="39"/>
        <w:bidi w:val="0"/>
        <w:rPr>
          <w:rFonts w:hint="default"/>
          <w:lang w:eastAsia="zh-CN"/>
        </w:rPr>
      </w:pPr>
      <w:r>
        <w:rPr>
          <w:rFonts w:hint="default"/>
          <w:lang w:eastAsia="zh-CN"/>
        </w:rPr>
        <w:t>表9.2-1    废气污染源监测指标及监测频次</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6"/>
        <w:gridCol w:w="1939"/>
        <w:gridCol w:w="2741"/>
        <w:gridCol w:w="1938"/>
      </w:tblGrid>
      <w:tr w14:paraId="77EC62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192" w:type="pct"/>
            <w:gridSpan w:val="2"/>
            <w:tcBorders>
              <w:top w:val="single" w:color="000000" w:sz="12" w:space="0"/>
              <w:left w:val="single" w:color="000000" w:sz="12" w:space="0"/>
              <w:bottom w:val="single" w:color="000000" w:sz="4" w:space="0"/>
              <w:right w:val="single" w:color="000000" w:sz="4" w:space="0"/>
            </w:tcBorders>
            <w:vAlign w:val="center"/>
          </w:tcPr>
          <w:p w14:paraId="49AE5EC5">
            <w:pPr>
              <w:pStyle w:val="42"/>
              <w:bidi w:val="0"/>
              <w:jc w:val="center"/>
            </w:pPr>
            <w:r>
              <w:t>监测点位置</w:t>
            </w:r>
          </w:p>
        </w:tc>
        <w:tc>
          <w:tcPr>
            <w:tcW w:w="1644" w:type="pct"/>
            <w:tcBorders>
              <w:top w:val="single" w:color="000000" w:sz="12" w:space="0"/>
              <w:left w:val="single" w:color="000000" w:sz="4" w:space="0"/>
              <w:bottom w:val="single" w:color="000000" w:sz="4" w:space="0"/>
              <w:right w:val="single" w:color="000000" w:sz="4" w:space="0"/>
            </w:tcBorders>
            <w:vAlign w:val="center"/>
          </w:tcPr>
          <w:p w14:paraId="4BC70BFF">
            <w:pPr>
              <w:pStyle w:val="42"/>
              <w:bidi w:val="0"/>
              <w:jc w:val="center"/>
            </w:pPr>
            <w:r>
              <w:t>监测项目</w:t>
            </w:r>
          </w:p>
        </w:tc>
        <w:tc>
          <w:tcPr>
            <w:tcW w:w="1162" w:type="pct"/>
            <w:tcBorders>
              <w:top w:val="single" w:color="000000" w:sz="12" w:space="0"/>
              <w:left w:val="single" w:color="000000" w:sz="4" w:space="0"/>
              <w:bottom w:val="single" w:color="000000" w:sz="4" w:space="0"/>
              <w:right w:val="single" w:color="000000" w:sz="12" w:space="0"/>
            </w:tcBorders>
            <w:vAlign w:val="center"/>
          </w:tcPr>
          <w:p w14:paraId="1121D894">
            <w:pPr>
              <w:pStyle w:val="42"/>
              <w:bidi w:val="0"/>
              <w:jc w:val="center"/>
            </w:pPr>
            <w:r>
              <w:t>监测频率</w:t>
            </w:r>
          </w:p>
        </w:tc>
      </w:tr>
      <w:tr w14:paraId="4E98A9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029" w:type="pct"/>
            <w:tcBorders>
              <w:top w:val="single" w:color="000000" w:sz="4" w:space="0"/>
              <w:left w:val="single" w:color="000000" w:sz="12" w:space="0"/>
              <w:bottom w:val="single" w:color="000000" w:sz="4" w:space="0"/>
              <w:right w:val="single" w:color="000000" w:sz="4" w:space="0"/>
            </w:tcBorders>
            <w:vAlign w:val="center"/>
          </w:tcPr>
          <w:p w14:paraId="5CB2F9B1">
            <w:pPr>
              <w:pStyle w:val="42"/>
              <w:bidi w:val="0"/>
              <w:jc w:val="center"/>
            </w:pPr>
            <w:r>
              <w:t>有组织</w:t>
            </w:r>
          </w:p>
        </w:tc>
        <w:tc>
          <w:tcPr>
            <w:tcW w:w="1163" w:type="pct"/>
            <w:tcBorders>
              <w:top w:val="single" w:color="000000" w:sz="4" w:space="0"/>
              <w:left w:val="single" w:color="000000" w:sz="4" w:space="0"/>
              <w:bottom w:val="single" w:color="000000" w:sz="4" w:space="0"/>
              <w:right w:val="single" w:color="000000" w:sz="4" w:space="0"/>
            </w:tcBorders>
            <w:vAlign w:val="center"/>
          </w:tcPr>
          <w:p w14:paraId="7E69F696">
            <w:pPr>
              <w:pStyle w:val="42"/>
              <w:bidi w:val="0"/>
              <w:jc w:val="center"/>
            </w:pPr>
            <w:r>
              <w:t>DA00</w:t>
            </w:r>
            <w:r>
              <w:rPr>
                <w:rFonts w:hint="eastAsia"/>
                <w:lang w:val="en-US" w:eastAsia="zh-CN"/>
              </w:rPr>
              <w:t>1</w:t>
            </w:r>
            <w:r>
              <w:t>排气筒出口</w:t>
            </w:r>
          </w:p>
        </w:tc>
        <w:tc>
          <w:tcPr>
            <w:tcW w:w="1644" w:type="pct"/>
            <w:tcBorders>
              <w:top w:val="single" w:color="000000" w:sz="4" w:space="0"/>
              <w:left w:val="single" w:color="000000" w:sz="4" w:space="0"/>
              <w:bottom w:val="single" w:color="000000" w:sz="4" w:space="0"/>
              <w:right w:val="single" w:color="000000" w:sz="4" w:space="0"/>
            </w:tcBorders>
            <w:vAlign w:val="center"/>
          </w:tcPr>
          <w:p w14:paraId="1A4540F4">
            <w:pPr>
              <w:pStyle w:val="42"/>
              <w:bidi w:val="0"/>
              <w:jc w:val="center"/>
            </w:pPr>
            <w:r>
              <w:t>氨、硫化氢、臭气浓度</w:t>
            </w:r>
          </w:p>
        </w:tc>
        <w:tc>
          <w:tcPr>
            <w:tcW w:w="1162" w:type="pct"/>
            <w:tcBorders>
              <w:top w:val="single" w:color="000000" w:sz="4" w:space="0"/>
              <w:left w:val="single" w:color="000000" w:sz="4" w:space="0"/>
              <w:bottom w:val="single" w:color="000000" w:sz="4" w:space="0"/>
              <w:right w:val="single" w:color="000000" w:sz="12" w:space="0"/>
            </w:tcBorders>
            <w:vAlign w:val="center"/>
          </w:tcPr>
          <w:p w14:paraId="5B4A3B08">
            <w:pPr>
              <w:pStyle w:val="42"/>
              <w:bidi w:val="0"/>
              <w:jc w:val="center"/>
            </w:pPr>
            <w:r>
              <w:t>半年</w:t>
            </w:r>
          </w:p>
        </w:tc>
      </w:tr>
      <w:tr w14:paraId="67E2D0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029" w:type="pct"/>
            <w:tcBorders>
              <w:top w:val="single" w:color="000000" w:sz="4" w:space="0"/>
              <w:left w:val="single" w:color="000000" w:sz="12" w:space="0"/>
              <w:bottom w:val="single" w:color="000000" w:sz="12" w:space="0"/>
              <w:right w:val="single" w:color="000000" w:sz="4" w:space="0"/>
            </w:tcBorders>
            <w:vAlign w:val="center"/>
          </w:tcPr>
          <w:p w14:paraId="3E0E3196">
            <w:pPr>
              <w:pStyle w:val="42"/>
              <w:bidi w:val="0"/>
              <w:jc w:val="center"/>
            </w:pPr>
            <w:r>
              <w:t>无组织</w:t>
            </w:r>
          </w:p>
        </w:tc>
        <w:tc>
          <w:tcPr>
            <w:tcW w:w="1163" w:type="pct"/>
            <w:tcBorders>
              <w:top w:val="single" w:color="000000" w:sz="4" w:space="0"/>
              <w:left w:val="single" w:color="000000" w:sz="4" w:space="0"/>
              <w:bottom w:val="single" w:color="000000" w:sz="12" w:space="0"/>
              <w:right w:val="single" w:color="000000" w:sz="4" w:space="0"/>
            </w:tcBorders>
            <w:vAlign w:val="center"/>
          </w:tcPr>
          <w:p w14:paraId="4BB25050">
            <w:pPr>
              <w:pStyle w:val="42"/>
              <w:bidi w:val="0"/>
              <w:jc w:val="center"/>
            </w:pPr>
            <w:r>
              <w:t>厂界（上风向1个，</w:t>
            </w:r>
          </w:p>
          <w:p w14:paraId="71752D45">
            <w:pPr>
              <w:pStyle w:val="42"/>
              <w:bidi w:val="0"/>
              <w:jc w:val="center"/>
            </w:pPr>
            <w:r>
              <w:t>下风向2个）</w:t>
            </w:r>
          </w:p>
        </w:tc>
        <w:tc>
          <w:tcPr>
            <w:tcW w:w="1644" w:type="pct"/>
            <w:tcBorders>
              <w:top w:val="single" w:color="000000" w:sz="4" w:space="0"/>
              <w:left w:val="single" w:color="000000" w:sz="4" w:space="0"/>
              <w:bottom w:val="single" w:color="000000" w:sz="12" w:space="0"/>
              <w:right w:val="single" w:color="000000" w:sz="4" w:space="0"/>
            </w:tcBorders>
            <w:vAlign w:val="center"/>
          </w:tcPr>
          <w:p w14:paraId="37D1AE2A">
            <w:pPr>
              <w:pStyle w:val="42"/>
              <w:bidi w:val="0"/>
              <w:jc w:val="center"/>
            </w:pPr>
            <w:r>
              <w:t>氨、硫化氢、臭气浓度</w:t>
            </w:r>
          </w:p>
        </w:tc>
        <w:tc>
          <w:tcPr>
            <w:tcW w:w="1162" w:type="pct"/>
            <w:tcBorders>
              <w:top w:val="single" w:color="000000" w:sz="4" w:space="0"/>
              <w:left w:val="single" w:color="000000" w:sz="4" w:space="0"/>
              <w:bottom w:val="single" w:color="000000" w:sz="12" w:space="0"/>
              <w:right w:val="single" w:color="000000" w:sz="12" w:space="0"/>
            </w:tcBorders>
            <w:vAlign w:val="center"/>
          </w:tcPr>
          <w:p w14:paraId="2485EE7C">
            <w:pPr>
              <w:pStyle w:val="42"/>
              <w:bidi w:val="0"/>
              <w:jc w:val="center"/>
            </w:pPr>
            <w:r>
              <w:t>半年</w:t>
            </w:r>
          </w:p>
        </w:tc>
      </w:tr>
    </w:tbl>
    <w:p w14:paraId="2AF5C290">
      <w:pPr>
        <w:bidi w:val="0"/>
        <w:rPr>
          <w:rFonts w:hint="default"/>
          <w:lang w:eastAsia="zh-CN"/>
        </w:rPr>
      </w:pPr>
      <w:r>
        <w:rPr>
          <w:rFonts w:hint="default"/>
          <w:lang w:eastAsia="zh-CN"/>
        </w:rPr>
        <w:t>（2）废水</w:t>
      </w:r>
    </w:p>
    <w:p w14:paraId="577B8E8F">
      <w:pPr>
        <w:pStyle w:val="39"/>
        <w:bidi w:val="0"/>
        <w:rPr>
          <w:rFonts w:hint="default"/>
          <w:lang w:eastAsia="zh-CN"/>
        </w:rPr>
      </w:pPr>
      <w:r>
        <w:rPr>
          <w:rFonts w:hint="default"/>
          <w:lang w:eastAsia="zh-CN"/>
        </w:rPr>
        <w:t xml:space="preserve">表9.2-2    </w:t>
      </w:r>
      <w:r>
        <w:rPr>
          <w:rFonts w:hint="eastAsia"/>
          <w:lang w:val="en-US" w:eastAsia="zh-CN"/>
        </w:rPr>
        <w:t>废水</w:t>
      </w:r>
      <w:r>
        <w:rPr>
          <w:rFonts w:hint="default"/>
          <w:lang w:eastAsia="zh-CN"/>
        </w:rPr>
        <w:t>监测指标及监测频次</w:t>
      </w:r>
    </w:p>
    <w:tbl>
      <w:tblPr>
        <w:tblStyle w:val="51"/>
        <w:tblW w:w="505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18"/>
        <w:gridCol w:w="4045"/>
        <w:gridCol w:w="2360"/>
      </w:tblGrid>
      <w:tr w14:paraId="5DABBA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tcBorders>
              <w:top w:val="single" w:color="000000" w:sz="12" w:space="0"/>
              <w:left w:val="single" w:color="000000" w:sz="12" w:space="0"/>
              <w:bottom w:val="single" w:color="000000" w:sz="4" w:space="0"/>
              <w:right w:val="single" w:color="000000" w:sz="4" w:space="0"/>
            </w:tcBorders>
            <w:vAlign w:val="center"/>
          </w:tcPr>
          <w:p w14:paraId="3A33E01D">
            <w:pPr>
              <w:pStyle w:val="42"/>
              <w:bidi w:val="0"/>
              <w:jc w:val="center"/>
            </w:pPr>
            <w:r>
              <w:t>监测点位</w:t>
            </w:r>
          </w:p>
        </w:tc>
        <w:tc>
          <w:tcPr>
            <w:tcW w:w="2401" w:type="pct"/>
            <w:tcBorders>
              <w:top w:val="single" w:color="000000" w:sz="12" w:space="0"/>
              <w:left w:val="single" w:color="000000" w:sz="4" w:space="0"/>
              <w:bottom w:val="single" w:color="000000" w:sz="4" w:space="0"/>
              <w:right w:val="single" w:color="000000" w:sz="4" w:space="0"/>
            </w:tcBorders>
            <w:vAlign w:val="center"/>
          </w:tcPr>
          <w:p w14:paraId="315385B9">
            <w:pPr>
              <w:pStyle w:val="42"/>
              <w:bidi w:val="0"/>
              <w:jc w:val="center"/>
            </w:pPr>
            <w:r>
              <w:t>监测指标</w:t>
            </w:r>
          </w:p>
        </w:tc>
        <w:tc>
          <w:tcPr>
            <w:tcW w:w="1400" w:type="pct"/>
            <w:tcBorders>
              <w:top w:val="single" w:color="000000" w:sz="12" w:space="0"/>
              <w:left w:val="single" w:color="000000" w:sz="4" w:space="0"/>
              <w:bottom w:val="single" w:color="000000" w:sz="4" w:space="0"/>
              <w:right w:val="single" w:color="000000" w:sz="12" w:space="0"/>
            </w:tcBorders>
            <w:vAlign w:val="center"/>
          </w:tcPr>
          <w:p w14:paraId="7E1575A6">
            <w:pPr>
              <w:pStyle w:val="42"/>
              <w:bidi w:val="0"/>
              <w:jc w:val="center"/>
            </w:pPr>
            <w:r>
              <w:t>监测频次</w:t>
            </w:r>
          </w:p>
        </w:tc>
      </w:tr>
      <w:tr w14:paraId="2DBF4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198" w:type="pct"/>
            <w:vMerge w:val="restart"/>
            <w:tcBorders>
              <w:top w:val="single" w:color="000000" w:sz="4" w:space="0"/>
              <w:left w:val="single" w:color="000000" w:sz="12" w:space="0"/>
              <w:bottom w:val="single" w:color="000000" w:sz="4" w:space="0"/>
              <w:right w:val="single" w:color="000000" w:sz="4" w:space="0"/>
            </w:tcBorders>
            <w:vAlign w:val="center"/>
          </w:tcPr>
          <w:p w14:paraId="21753CC7">
            <w:pPr>
              <w:pStyle w:val="42"/>
              <w:bidi w:val="0"/>
              <w:jc w:val="center"/>
            </w:pPr>
            <w:r>
              <w:t>进水总管</w:t>
            </w:r>
          </w:p>
        </w:tc>
        <w:tc>
          <w:tcPr>
            <w:tcW w:w="2401" w:type="pct"/>
            <w:tcBorders>
              <w:top w:val="single" w:color="000000" w:sz="4" w:space="0"/>
              <w:left w:val="single" w:color="000000" w:sz="4" w:space="0"/>
              <w:bottom w:val="single" w:color="000000" w:sz="4" w:space="0"/>
              <w:right w:val="single" w:color="000000" w:sz="4" w:space="0"/>
            </w:tcBorders>
            <w:vAlign w:val="center"/>
          </w:tcPr>
          <w:p w14:paraId="792976B8">
            <w:pPr>
              <w:pStyle w:val="42"/>
              <w:bidi w:val="0"/>
              <w:jc w:val="center"/>
            </w:pPr>
            <w:r>
              <w:t>流量、COD、氨氮</w:t>
            </w:r>
          </w:p>
        </w:tc>
        <w:tc>
          <w:tcPr>
            <w:tcW w:w="1400" w:type="pct"/>
            <w:tcBorders>
              <w:top w:val="single" w:color="000000" w:sz="4" w:space="0"/>
              <w:left w:val="single" w:color="000000" w:sz="4" w:space="0"/>
              <w:bottom w:val="single" w:color="000000" w:sz="4" w:space="0"/>
              <w:right w:val="single" w:color="000000" w:sz="12" w:space="0"/>
            </w:tcBorders>
            <w:vAlign w:val="center"/>
          </w:tcPr>
          <w:p w14:paraId="72C40388">
            <w:pPr>
              <w:pStyle w:val="42"/>
              <w:bidi w:val="0"/>
              <w:jc w:val="center"/>
            </w:pPr>
            <w:r>
              <w:t>自动监测</w:t>
            </w:r>
          </w:p>
        </w:tc>
      </w:tr>
      <w:tr w14:paraId="7C4D5F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vMerge w:val="continue"/>
            <w:tcBorders>
              <w:top w:val="single" w:color="000000" w:sz="4" w:space="0"/>
              <w:left w:val="single" w:color="000000" w:sz="12" w:space="0"/>
              <w:bottom w:val="single" w:color="000000" w:sz="4" w:space="0"/>
              <w:right w:val="single" w:color="000000" w:sz="4" w:space="0"/>
            </w:tcBorders>
            <w:vAlign w:val="center"/>
          </w:tcPr>
          <w:p w14:paraId="1CA65449">
            <w:pPr>
              <w:pStyle w:val="42"/>
              <w:bidi w:val="0"/>
              <w:jc w:val="center"/>
            </w:pPr>
          </w:p>
        </w:tc>
        <w:tc>
          <w:tcPr>
            <w:tcW w:w="2401" w:type="pct"/>
            <w:tcBorders>
              <w:top w:val="single" w:color="000000" w:sz="4" w:space="0"/>
              <w:left w:val="single" w:color="000000" w:sz="4" w:space="0"/>
              <w:bottom w:val="single" w:color="000000" w:sz="4" w:space="0"/>
              <w:right w:val="single" w:color="000000" w:sz="4" w:space="0"/>
            </w:tcBorders>
            <w:vAlign w:val="center"/>
          </w:tcPr>
          <w:p w14:paraId="2E445F02">
            <w:pPr>
              <w:pStyle w:val="42"/>
              <w:bidi w:val="0"/>
              <w:jc w:val="center"/>
            </w:pPr>
            <w:r>
              <w:t>总氮、总磷</w:t>
            </w:r>
          </w:p>
        </w:tc>
        <w:tc>
          <w:tcPr>
            <w:tcW w:w="1400" w:type="pct"/>
            <w:tcBorders>
              <w:top w:val="single" w:color="000000" w:sz="4" w:space="0"/>
              <w:left w:val="single" w:color="000000" w:sz="4" w:space="0"/>
              <w:bottom w:val="single" w:color="000000" w:sz="4" w:space="0"/>
              <w:right w:val="single" w:color="000000" w:sz="12" w:space="0"/>
            </w:tcBorders>
            <w:vAlign w:val="center"/>
          </w:tcPr>
          <w:p w14:paraId="66F29925">
            <w:pPr>
              <w:pStyle w:val="42"/>
              <w:bidi w:val="0"/>
              <w:jc w:val="center"/>
            </w:pPr>
            <w:r>
              <w:t>日</w:t>
            </w:r>
          </w:p>
        </w:tc>
      </w:tr>
      <w:tr w14:paraId="099CF1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vMerge w:val="restart"/>
            <w:tcBorders>
              <w:top w:val="single" w:color="000000" w:sz="4" w:space="0"/>
              <w:left w:val="single" w:color="000000" w:sz="12" w:space="0"/>
              <w:right w:val="single" w:color="000000" w:sz="4" w:space="0"/>
            </w:tcBorders>
            <w:shd w:val="clear" w:color="auto" w:fill="auto"/>
            <w:vAlign w:val="center"/>
          </w:tcPr>
          <w:p w14:paraId="1A007F41">
            <w:pPr>
              <w:pStyle w:val="42"/>
              <w:bidi w:val="0"/>
              <w:jc w:val="center"/>
            </w:pPr>
            <w:r>
              <w:t>污水总排放口a</w:t>
            </w:r>
          </w:p>
        </w:tc>
        <w:tc>
          <w:tcPr>
            <w:tcW w:w="2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FDF3F">
            <w:pPr>
              <w:pStyle w:val="42"/>
              <w:bidi w:val="0"/>
              <w:jc w:val="center"/>
              <w:rPr>
                <w:lang w:val="en-US" w:eastAsia="en-US"/>
              </w:rPr>
            </w:pPr>
            <w:r>
              <w:t>流量、pH、水温、COD、氨氮、总氮b、总磷</w:t>
            </w:r>
          </w:p>
        </w:tc>
        <w:tc>
          <w:tcPr>
            <w:tcW w:w="140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31F1CA5">
            <w:pPr>
              <w:pStyle w:val="42"/>
              <w:bidi w:val="0"/>
              <w:jc w:val="center"/>
              <w:rPr>
                <w:lang w:val="en-US" w:eastAsia="en-US"/>
              </w:rPr>
            </w:pPr>
            <w:r>
              <w:t>自动监测</w:t>
            </w:r>
          </w:p>
        </w:tc>
      </w:tr>
      <w:tr w14:paraId="34DA6B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vMerge w:val="continue"/>
            <w:tcBorders>
              <w:left w:val="single" w:color="000000" w:sz="12" w:space="0"/>
              <w:right w:val="single" w:color="000000" w:sz="4" w:space="0"/>
            </w:tcBorders>
            <w:vAlign w:val="center"/>
          </w:tcPr>
          <w:p w14:paraId="31F62126">
            <w:pPr>
              <w:pStyle w:val="42"/>
              <w:bidi w:val="0"/>
              <w:jc w:val="center"/>
            </w:pPr>
          </w:p>
        </w:tc>
        <w:tc>
          <w:tcPr>
            <w:tcW w:w="2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7086C">
            <w:pPr>
              <w:pStyle w:val="42"/>
              <w:bidi w:val="0"/>
              <w:jc w:val="center"/>
              <w:rPr>
                <w:lang w:val="en-US" w:eastAsia="en-US"/>
              </w:rPr>
            </w:pPr>
            <w:r>
              <w:t>SS、色度</w:t>
            </w:r>
          </w:p>
        </w:tc>
        <w:tc>
          <w:tcPr>
            <w:tcW w:w="140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0E4C4A8B">
            <w:pPr>
              <w:pStyle w:val="42"/>
              <w:bidi w:val="0"/>
              <w:jc w:val="center"/>
              <w:rPr>
                <w:lang w:val="en-US" w:eastAsia="en-US"/>
              </w:rPr>
            </w:pPr>
            <w:r>
              <w:t>月</w:t>
            </w:r>
          </w:p>
        </w:tc>
      </w:tr>
      <w:tr w14:paraId="23038E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vMerge w:val="continue"/>
            <w:tcBorders>
              <w:left w:val="single" w:color="000000" w:sz="12" w:space="0"/>
              <w:right w:val="single" w:color="000000" w:sz="4" w:space="0"/>
            </w:tcBorders>
            <w:vAlign w:val="center"/>
          </w:tcPr>
          <w:p w14:paraId="5A7815BE">
            <w:pPr>
              <w:pStyle w:val="42"/>
              <w:bidi w:val="0"/>
              <w:jc w:val="center"/>
            </w:pPr>
          </w:p>
        </w:tc>
        <w:tc>
          <w:tcPr>
            <w:tcW w:w="2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B8FC3">
            <w:pPr>
              <w:pStyle w:val="42"/>
              <w:bidi w:val="0"/>
              <w:jc w:val="center"/>
              <w:rPr>
                <w:lang w:val="en-US" w:eastAsia="en-US"/>
              </w:rPr>
            </w:pPr>
            <w:r>
              <w:rPr>
                <w:rFonts w:hint="eastAsia"/>
                <w:lang w:eastAsia="zh-CN"/>
              </w:rPr>
              <w:t>BOD</w:t>
            </w:r>
            <w:r>
              <w:rPr>
                <w:rFonts w:hint="eastAsia"/>
                <w:vertAlign w:val="subscript"/>
                <w:lang w:eastAsia="zh-CN"/>
              </w:rPr>
              <w:t>5</w:t>
            </w:r>
            <w:r>
              <w:t>、石油类</w:t>
            </w:r>
          </w:p>
        </w:tc>
        <w:tc>
          <w:tcPr>
            <w:tcW w:w="140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707E0CBF">
            <w:pPr>
              <w:pStyle w:val="42"/>
              <w:bidi w:val="0"/>
              <w:jc w:val="center"/>
              <w:rPr>
                <w:lang w:val="en-US" w:eastAsia="en-US"/>
              </w:rPr>
            </w:pPr>
            <w:r>
              <w:t>季</w:t>
            </w:r>
          </w:p>
        </w:tc>
      </w:tr>
      <w:tr w14:paraId="169067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vMerge w:val="continue"/>
            <w:tcBorders>
              <w:left w:val="single" w:color="000000" w:sz="12" w:space="0"/>
              <w:bottom w:val="single" w:color="000000" w:sz="4" w:space="0"/>
              <w:right w:val="single" w:color="000000" w:sz="4" w:space="0"/>
            </w:tcBorders>
            <w:vAlign w:val="center"/>
          </w:tcPr>
          <w:p w14:paraId="7281A12F">
            <w:pPr>
              <w:pStyle w:val="42"/>
              <w:bidi w:val="0"/>
              <w:jc w:val="center"/>
            </w:pPr>
          </w:p>
        </w:tc>
        <w:tc>
          <w:tcPr>
            <w:tcW w:w="2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1A650">
            <w:pPr>
              <w:pStyle w:val="42"/>
              <w:bidi w:val="0"/>
              <w:jc w:val="center"/>
              <w:rPr>
                <w:lang w:val="en-US" w:eastAsia="en-US"/>
              </w:rPr>
            </w:pPr>
            <w:r>
              <w:t>总镉、总铬、总汞、总铅、总砷、六价铬</w:t>
            </w:r>
          </w:p>
        </w:tc>
        <w:tc>
          <w:tcPr>
            <w:tcW w:w="140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5F325470">
            <w:pPr>
              <w:pStyle w:val="42"/>
              <w:bidi w:val="0"/>
              <w:jc w:val="center"/>
              <w:rPr>
                <w:lang w:val="en-US" w:eastAsia="en-US"/>
              </w:rPr>
            </w:pPr>
            <w:r>
              <w:t>月</w:t>
            </w:r>
          </w:p>
        </w:tc>
      </w:tr>
      <w:tr w14:paraId="7BF97E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198" w:type="pct"/>
            <w:tcBorders>
              <w:top w:val="single" w:color="000000" w:sz="4" w:space="0"/>
              <w:left w:val="single" w:color="000000" w:sz="12" w:space="0"/>
              <w:bottom w:val="single" w:color="000000" w:sz="4" w:space="0"/>
              <w:right w:val="single" w:color="000000" w:sz="4" w:space="0"/>
            </w:tcBorders>
            <w:shd w:val="clear" w:color="auto" w:fill="auto"/>
            <w:vAlign w:val="center"/>
          </w:tcPr>
          <w:p w14:paraId="26F03318">
            <w:pPr>
              <w:pStyle w:val="42"/>
              <w:bidi w:val="0"/>
              <w:jc w:val="center"/>
              <w:rPr>
                <w:lang w:val="en-US" w:eastAsia="en-US"/>
              </w:rPr>
            </w:pPr>
            <w:r>
              <w:t>雨水排放口</w:t>
            </w:r>
          </w:p>
        </w:tc>
        <w:tc>
          <w:tcPr>
            <w:tcW w:w="24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B4D10">
            <w:pPr>
              <w:pStyle w:val="42"/>
              <w:bidi w:val="0"/>
              <w:jc w:val="center"/>
              <w:rPr>
                <w:lang w:val="en-US" w:eastAsia="en-US"/>
              </w:rPr>
            </w:pPr>
            <w:r>
              <w:t>pH、COD、氨氮、SS</w:t>
            </w:r>
          </w:p>
        </w:tc>
        <w:tc>
          <w:tcPr>
            <w:tcW w:w="1400" w:type="pct"/>
            <w:tcBorders>
              <w:top w:val="single" w:color="000000" w:sz="4" w:space="0"/>
              <w:left w:val="single" w:color="000000" w:sz="4" w:space="0"/>
              <w:bottom w:val="single" w:color="000000" w:sz="4" w:space="0"/>
              <w:right w:val="single" w:color="000000" w:sz="12" w:space="0"/>
            </w:tcBorders>
            <w:shd w:val="clear" w:color="auto" w:fill="auto"/>
            <w:vAlign w:val="center"/>
          </w:tcPr>
          <w:p w14:paraId="1B115EC6">
            <w:pPr>
              <w:pStyle w:val="42"/>
              <w:bidi w:val="0"/>
              <w:jc w:val="center"/>
              <w:rPr>
                <w:lang w:val="en-US" w:eastAsia="en-US"/>
              </w:rPr>
            </w:pPr>
            <w:r>
              <w:t>月c</w:t>
            </w:r>
          </w:p>
        </w:tc>
      </w:tr>
      <w:tr w14:paraId="57E827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5000" w:type="pct"/>
            <w:gridSpan w:val="3"/>
            <w:tcBorders>
              <w:top w:val="single" w:color="000000" w:sz="4" w:space="0"/>
              <w:left w:val="single" w:color="000000" w:sz="12" w:space="0"/>
              <w:bottom w:val="single" w:color="000000" w:sz="12" w:space="0"/>
              <w:right w:val="single" w:color="000000" w:sz="12" w:space="0"/>
            </w:tcBorders>
            <w:shd w:val="clear" w:color="auto" w:fill="auto"/>
            <w:vAlign w:val="center"/>
          </w:tcPr>
          <w:p w14:paraId="1DC96FBC">
            <w:pPr>
              <w:pStyle w:val="42"/>
              <w:bidi w:val="0"/>
              <w:jc w:val="both"/>
            </w:pPr>
            <w:r>
              <w:t>a 废水排入环境水体之前，有其他排污单位废水混入的，应在混入前后均设置监测点位。</w:t>
            </w:r>
          </w:p>
          <w:p w14:paraId="51C4F7A2">
            <w:pPr>
              <w:pStyle w:val="42"/>
              <w:bidi w:val="0"/>
              <w:jc w:val="both"/>
            </w:pPr>
            <w:r>
              <w:t>b 总氮自动监测技术规范发布实施前，按日监测。</w:t>
            </w:r>
          </w:p>
          <w:p w14:paraId="279F1534">
            <w:pPr>
              <w:pStyle w:val="42"/>
              <w:bidi w:val="0"/>
              <w:jc w:val="both"/>
            </w:pPr>
            <w:r>
              <w:t>c 雨水排放口有流动水排放时按月监测。若监测一年无异常情况，可放宽至每季度开展一次监测</w:t>
            </w:r>
          </w:p>
        </w:tc>
      </w:tr>
    </w:tbl>
    <w:p w14:paraId="46F94C57">
      <w:pPr>
        <w:bidi w:val="0"/>
        <w:rPr>
          <w:rFonts w:hint="default"/>
          <w:lang w:eastAsia="zh-CN"/>
        </w:rPr>
      </w:pPr>
      <w:r>
        <w:rPr>
          <w:rFonts w:hint="default"/>
          <w:lang w:eastAsia="zh-CN"/>
        </w:rPr>
        <w:t>注：设区的市级及以上生态环境主管部门明确要求安装自动监测设备的污染物指标，须采取自动监测。</w:t>
      </w:r>
    </w:p>
    <w:p w14:paraId="70383CD6">
      <w:pPr>
        <w:bidi w:val="0"/>
        <w:rPr>
          <w:rFonts w:hint="default"/>
          <w:lang w:eastAsia="zh-CN"/>
        </w:rPr>
      </w:pPr>
      <w:r>
        <w:rPr>
          <w:rFonts w:hint="default"/>
          <w:lang w:eastAsia="zh-CN"/>
        </w:rPr>
        <w:t>（3）噪声</w:t>
      </w:r>
    </w:p>
    <w:p w14:paraId="25C2BE8D">
      <w:pPr>
        <w:pStyle w:val="39"/>
        <w:bidi w:val="0"/>
        <w:rPr>
          <w:rFonts w:hint="default"/>
          <w:lang w:eastAsia="zh-CN"/>
        </w:rPr>
      </w:pPr>
      <w:r>
        <w:rPr>
          <w:rFonts w:hint="default"/>
          <w:lang w:eastAsia="zh-CN"/>
        </w:rPr>
        <w:t>表9.2-4    噪声污染监测计划一览表</w:t>
      </w:r>
    </w:p>
    <w:tbl>
      <w:tblPr>
        <w:tblStyle w:val="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32"/>
        <w:gridCol w:w="3763"/>
        <w:gridCol w:w="2239"/>
      </w:tblGrid>
      <w:tr w14:paraId="04BBAE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0" w:hRule="atLeast"/>
        </w:trPr>
        <w:tc>
          <w:tcPr>
            <w:tcW w:w="1399" w:type="pct"/>
            <w:tcBorders>
              <w:top w:val="single" w:color="000000" w:sz="12" w:space="0"/>
              <w:left w:val="single" w:color="000000" w:sz="12" w:space="0"/>
              <w:bottom w:val="single" w:color="000000" w:sz="4" w:space="0"/>
              <w:right w:val="single" w:color="000000" w:sz="4" w:space="0"/>
            </w:tcBorders>
            <w:vAlign w:val="center"/>
          </w:tcPr>
          <w:p w14:paraId="7C7A260B">
            <w:pPr>
              <w:pStyle w:val="42"/>
              <w:bidi w:val="0"/>
              <w:jc w:val="center"/>
            </w:pPr>
            <w:r>
              <w:t>监测点位置</w:t>
            </w:r>
          </w:p>
        </w:tc>
        <w:tc>
          <w:tcPr>
            <w:tcW w:w="2257" w:type="pct"/>
            <w:tcBorders>
              <w:top w:val="single" w:color="000000" w:sz="12" w:space="0"/>
              <w:left w:val="single" w:color="000000" w:sz="4" w:space="0"/>
              <w:bottom w:val="single" w:color="000000" w:sz="4" w:space="0"/>
              <w:right w:val="single" w:color="000000" w:sz="4" w:space="0"/>
            </w:tcBorders>
            <w:vAlign w:val="center"/>
          </w:tcPr>
          <w:p w14:paraId="0912C5F1">
            <w:pPr>
              <w:pStyle w:val="42"/>
              <w:bidi w:val="0"/>
              <w:jc w:val="center"/>
            </w:pPr>
            <w:r>
              <w:t>监测项目</w:t>
            </w:r>
          </w:p>
        </w:tc>
        <w:tc>
          <w:tcPr>
            <w:tcW w:w="1343" w:type="pct"/>
            <w:tcBorders>
              <w:top w:val="single" w:color="000000" w:sz="12" w:space="0"/>
              <w:left w:val="single" w:color="000000" w:sz="4" w:space="0"/>
              <w:bottom w:val="single" w:color="000000" w:sz="4" w:space="0"/>
              <w:right w:val="single" w:color="000000" w:sz="12" w:space="0"/>
            </w:tcBorders>
            <w:vAlign w:val="center"/>
          </w:tcPr>
          <w:p w14:paraId="6E963C7E">
            <w:pPr>
              <w:pStyle w:val="42"/>
              <w:bidi w:val="0"/>
              <w:jc w:val="center"/>
            </w:pPr>
            <w:r>
              <w:t>监测频率</w:t>
            </w:r>
          </w:p>
        </w:tc>
      </w:tr>
      <w:tr w14:paraId="56A565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3" w:hRule="atLeast"/>
        </w:trPr>
        <w:tc>
          <w:tcPr>
            <w:tcW w:w="1399" w:type="pct"/>
            <w:tcBorders>
              <w:top w:val="single" w:color="000000" w:sz="4" w:space="0"/>
              <w:left w:val="single" w:color="000000" w:sz="12" w:space="0"/>
              <w:bottom w:val="single" w:color="000000" w:sz="12" w:space="0"/>
              <w:right w:val="single" w:color="000000" w:sz="4" w:space="0"/>
            </w:tcBorders>
            <w:vAlign w:val="center"/>
          </w:tcPr>
          <w:p w14:paraId="10B423E6">
            <w:pPr>
              <w:pStyle w:val="42"/>
              <w:bidi w:val="0"/>
              <w:jc w:val="center"/>
            </w:pPr>
            <w:r>
              <w:t>四周厂界外1米处</w:t>
            </w:r>
          </w:p>
        </w:tc>
        <w:tc>
          <w:tcPr>
            <w:tcW w:w="2257" w:type="pct"/>
            <w:tcBorders>
              <w:top w:val="single" w:color="000000" w:sz="4" w:space="0"/>
              <w:left w:val="single" w:color="000000" w:sz="4" w:space="0"/>
              <w:bottom w:val="single" w:color="000000" w:sz="12" w:space="0"/>
              <w:right w:val="single" w:color="000000" w:sz="4" w:space="0"/>
            </w:tcBorders>
            <w:vAlign w:val="center"/>
          </w:tcPr>
          <w:p w14:paraId="475EB12B">
            <w:pPr>
              <w:pStyle w:val="42"/>
              <w:bidi w:val="0"/>
              <w:jc w:val="center"/>
            </w:pPr>
            <w:r>
              <w:t>等效A声级</w:t>
            </w:r>
          </w:p>
        </w:tc>
        <w:tc>
          <w:tcPr>
            <w:tcW w:w="1343" w:type="pct"/>
            <w:tcBorders>
              <w:top w:val="single" w:color="000000" w:sz="4" w:space="0"/>
              <w:left w:val="single" w:color="000000" w:sz="4" w:space="0"/>
              <w:bottom w:val="single" w:color="000000" w:sz="12" w:space="0"/>
              <w:right w:val="single" w:color="000000" w:sz="12" w:space="0"/>
            </w:tcBorders>
            <w:vAlign w:val="center"/>
          </w:tcPr>
          <w:p w14:paraId="3ADB08E0">
            <w:pPr>
              <w:pStyle w:val="42"/>
              <w:bidi w:val="0"/>
              <w:jc w:val="center"/>
            </w:pPr>
            <w:r>
              <w:t>季度，昼夜各一次</w:t>
            </w:r>
          </w:p>
        </w:tc>
      </w:tr>
    </w:tbl>
    <w:p w14:paraId="21D46EE4">
      <w:pPr>
        <w:bidi w:val="0"/>
        <w:rPr>
          <w:rFonts w:hint="default"/>
          <w:lang w:eastAsia="zh-CN"/>
        </w:rPr>
      </w:pPr>
      <w:r>
        <w:rPr>
          <w:rFonts w:hint="default"/>
          <w:lang w:eastAsia="zh-CN"/>
        </w:rPr>
        <w:t>（4）污泥监测</w:t>
      </w:r>
    </w:p>
    <w:p w14:paraId="1E0BF947">
      <w:pPr>
        <w:bidi w:val="0"/>
        <w:rPr>
          <w:rFonts w:hint="default"/>
          <w:lang w:eastAsia="zh-CN"/>
        </w:rPr>
      </w:pPr>
      <w:r>
        <w:rPr>
          <w:rFonts w:hint="default"/>
          <w:lang w:eastAsia="zh-CN"/>
        </w:rPr>
        <w:t>监测项目：含水率每日监测一次；蠕虫卵死亡率、粪大肠菌群菌值每月监测一次。</w:t>
      </w:r>
    </w:p>
    <w:p w14:paraId="0FF77D84">
      <w:pPr>
        <w:pStyle w:val="7"/>
        <w:bidi w:val="0"/>
        <w:rPr>
          <w:rFonts w:hint="default"/>
          <w:lang w:eastAsia="zh-CN"/>
        </w:rPr>
      </w:pPr>
      <w:r>
        <w:rPr>
          <w:rFonts w:hint="default"/>
          <w:lang w:eastAsia="zh-CN"/>
        </w:rPr>
        <w:t>环境质量监测</w:t>
      </w:r>
    </w:p>
    <w:p w14:paraId="214B8148">
      <w:pPr>
        <w:bidi w:val="0"/>
        <w:rPr>
          <w:rFonts w:hint="default"/>
        </w:rPr>
      </w:pPr>
      <w:r>
        <w:rPr>
          <w:rFonts w:hint="default"/>
        </w:rPr>
        <w:t>根据《排污单位自行监测技术指南水处理》（HJ1083-2020）、《环境影响评价技术导则地下水环境》（HJ610-2016）</w:t>
      </w:r>
      <w:r>
        <w:rPr>
          <w:rFonts w:hint="eastAsia"/>
          <w:lang w:eastAsia="zh-CN"/>
        </w:rPr>
        <w:t>、《环境影响评价技术导则 土壤环境（试行）》（HJ 964-2018）</w:t>
      </w:r>
      <w:r>
        <w:rPr>
          <w:rFonts w:hint="default"/>
        </w:rPr>
        <w:t>，项目运营期环境质量监测计划制定见下表。</w:t>
      </w:r>
    </w:p>
    <w:p w14:paraId="02CB0611">
      <w:pPr>
        <w:pStyle w:val="39"/>
        <w:bidi w:val="0"/>
        <w:rPr>
          <w:rFonts w:hint="default"/>
          <w:lang w:val="zh-CN" w:eastAsia="zh-CN"/>
        </w:rPr>
      </w:pPr>
      <w:r>
        <w:rPr>
          <w:rFonts w:hint="default"/>
          <w:lang w:val="zh-CN" w:eastAsia="zh-CN"/>
        </w:rPr>
        <w:t>表</w:t>
      </w:r>
      <w:r>
        <w:rPr>
          <w:rFonts w:hint="eastAsia"/>
          <w:lang w:val="en-US" w:eastAsia="zh-CN"/>
        </w:rPr>
        <w:t>9</w:t>
      </w:r>
      <w:r>
        <w:rPr>
          <w:rFonts w:hint="default"/>
          <w:lang w:val="en-US" w:eastAsia="zh-CN"/>
        </w:rPr>
        <w:t xml:space="preserve">.2-2 </w:t>
      </w:r>
      <w:r>
        <w:rPr>
          <w:rFonts w:hint="default"/>
          <w:lang w:val="zh-CN" w:eastAsia="zh-CN"/>
        </w:rPr>
        <w:t>项目周边环境质量影响监测</w:t>
      </w:r>
    </w:p>
    <w:tbl>
      <w:tblPr>
        <w:tblStyle w:val="5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7"/>
        <w:gridCol w:w="1212"/>
        <w:gridCol w:w="2828"/>
        <w:gridCol w:w="1465"/>
        <w:gridCol w:w="2001"/>
      </w:tblGrid>
      <w:tr w14:paraId="08DD30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496" w:type="pct"/>
            <w:tcBorders>
              <w:tl2br w:val="nil"/>
              <w:tr2bl w:val="nil"/>
            </w:tcBorders>
            <w:vAlign w:val="center"/>
          </w:tcPr>
          <w:p w14:paraId="0522DD8C">
            <w:pPr>
              <w:pStyle w:val="42"/>
              <w:bidi w:val="0"/>
              <w:jc w:val="center"/>
            </w:pPr>
            <w:r>
              <w:t>类别</w:t>
            </w:r>
          </w:p>
        </w:tc>
        <w:tc>
          <w:tcPr>
            <w:tcW w:w="727" w:type="pct"/>
            <w:tcBorders>
              <w:tl2br w:val="nil"/>
              <w:tr2bl w:val="nil"/>
            </w:tcBorders>
            <w:vAlign w:val="center"/>
          </w:tcPr>
          <w:p w14:paraId="16D0688E">
            <w:pPr>
              <w:pStyle w:val="42"/>
              <w:bidi w:val="0"/>
              <w:jc w:val="center"/>
            </w:pPr>
            <w:r>
              <w:t>监测点位</w:t>
            </w:r>
          </w:p>
        </w:tc>
        <w:tc>
          <w:tcPr>
            <w:tcW w:w="1696" w:type="pct"/>
            <w:tcBorders>
              <w:tl2br w:val="nil"/>
              <w:tr2bl w:val="nil"/>
            </w:tcBorders>
            <w:vAlign w:val="center"/>
          </w:tcPr>
          <w:p w14:paraId="4D8931E9">
            <w:pPr>
              <w:pStyle w:val="42"/>
              <w:bidi w:val="0"/>
              <w:jc w:val="center"/>
            </w:pPr>
            <w:r>
              <w:t>监测指标</w:t>
            </w:r>
          </w:p>
        </w:tc>
        <w:tc>
          <w:tcPr>
            <w:tcW w:w="879" w:type="pct"/>
            <w:tcBorders>
              <w:tl2br w:val="nil"/>
              <w:tr2bl w:val="nil"/>
            </w:tcBorders>
            <w:vAlign w:val="center"/>
          </w:tcPr>
          <w:p w14:paraId="0E6131E4">
            <w:pPr>
              <w:pStyle w:val="42"/>
              <w:bidi w:val="0"/>
              <w:jc w:val="center"/>
            </w:pPr>
            <w:r>
              <w:t>监测频率</w:t>
            </w:r>
          </w:p>
        </w:tc>
        <w:tc>
          <w:tcPr>
            <w:tcW w:w="1200" w:type="pct"/>
            <w:tcBorders>
              <w:tl2br w:val="nil"/>
              <w:tr2bl w:val="nil"/>
            </w:tcBorders>
            <w:vAlign w:val="center"/>
          </w:tcPr>
          <w:p w14:paraId="293886F8">
            <w:pPr>
              <w:pStyle w:val="42"/>
              <w:bidi w:val="0"/>
              <w:jc w:val="center"/>
            </w:pPr>
            <w:r>
              <w:t>执行标准</w:t>
            </w:r>
          </w:p>
        </w:tc>
      </w:tr>
      <w:tr w14:paraId="0175FC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81" w:hRule="atLeast"/>
        </w:trPr>
        <w:tc>
          <w:tcPr>
            <w:tcW w:w="496" w:type="pct"/>
            <w:tcBorders>
              <w:tl2br w:val="nil"/>
              <w:tr2bl w:val="nil"/>
            </w:tcBorders>
            <w:vAlign w:val="center"/>
          </w:tcPr>
          <w:p w14:paraId="2A423534">
            <w:pPr>
              <w:pStyle w:val="42"/>
              <w:bidi w:val="0"/>
              <w:jc w:val="center"/>
            </w:pPr>
            <w:r>
              <w:t>地下水</w:t>
            </w:r>
          </w:p>
        </w:tc>
        <w:tc>
          <w:tcPr>
            <w:tcW w:w="727" w:type="pct"/>
            <w:tcBorders>
              <w:tl2br w:val="nil"/>
              <w:tr2bl w:val="nil"/>
            </w:tcBorders>
            <w:vAlign w:val="center"/>
          </w:tcPr>
          <w:p w14:paraId="11AAFBDF">
            <w:pPr>
              <w:pStyle w:val="42"/>
              <w:bidi w:val="0"/>
              <w:jc w:val="center"/>
            </w:pPr>
            <w:r>
              <w:t>跟踪监测点</w:t>
            </w:r>
          </w:p>
          <w:p w14:paraId="49CCC1B8">
            <w:pPr>
              <w:pStyle w:val="42"/>
              <w:bidi w:val="0"/>
              <w:jc w:val="center"/>
            </w:pPr>
            <w:r>
              <w:t>（上下游各1个）</w:t>
            </w:r>
          </w:p>
        </w:tc>
        <w:tc>
          <w:tcPr>
            <w:tcW w:w="1696" w:type="pct"/>
            <w:tcBorders>
              <w:tl2br w:val="nil"/>
              <w:tr2bl w:val="nil"/>
            </w:tcBorders>
            <w:vAlign w:val="center"/>
          </w:tcPr>
          <w:p w14:paraId="1ED02A80">
            <w:pPr>
              <w:pStyle w:val="42"/>
              <w:bidi w:val="0"/>
              <w:jc w:val="center"/>
            </w:pPr>
            <w:r>
              <w:t>pH、总硬度、溶解性总固体、硫酸盐、氯化物、铁、锰、铜、锌、挥发性酚类（以苯酚计）、阴离子表面活性剂、耗氧量、氨氮、硫化物、钠、亚硝酸盐、硝酸盐、氟化物、汞、砷、镉、六价铬、铅、总大肠菌群、菌</w:t>
            </w:r>
          </w:p>
          <w:p w14:paraId="3A08648D">
            <w:pPr>
              <w:pStyle w:val="42"/>
              <w:bidi w:val="0"/>
              <w:jc w:val="center"/>
            </w:pPr>
            <w:r>
              <w:t>落总数</w:t>
            </w:r>
          </w:p>
        </w:tc>
        <w:tc>
          <w:tcPr>
            <w:tcW w:w="879" w:type="pct"/>
            <w:tcBorders>
              <w:tl2br w:val="nil"/>
              <w:tr2bl w:val="nil"/>
            </w:tcBorders>
            <w:vAlign w:val="center"/>
          </w:tcPr>
          <w:p w14:paraId="4790372D">
            <w:pPr>
              <w:pStyle w:val="42"/>
              <w:bidi w:val="0"/>
              <w:jc w:val="center"/>
            </w:pPr>
            <w:r>
              <w:t>每年一次</w:t>
            </w:r>
          </w:p>
        </w:tc>
        <w:tc>
          <w:tcPr>
            <w:tcW w:w="1200" w:type="pct"/>
            <w:tcBorders>
              <w:tl2br w:val="nil"/>
              <w:tr2bl w:val="nil"/>
            </w:tcBorders>
            <w:vAlign w:val="center"/>
          </w:tcPr>
          <w:p w14:paraId="55673085">
            <w:pPr>
              <w:pStyle w:val="42"/>
              <w:bidi w:val="0"/>
              <w:jc w:val="center"/>
            </w:pPr>
            <w:r>
              <w:t>《地下水质量标准》</w:t>
            </w:r>
          </w:p>
          <w:p w14:paraId="515A7EAE">
            <w:pPr>
              <w:pStyle w:val="42"/>
              <w:bidi w:val="0"/>
              <w:jc w:val="center"/>
            </w:pPr>
            <w:r>
              <w:t>（GB/T14848-2017)中Ⅲ类标准</w:t>
            </w:r>
          </w:p>
        </w:tc>
      </w:tr>
      <w:tr w14:paraId="3BFBB9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42" w:hRule="atLeast"/>
        </w:trPr>
        <w:tc>
          <w:tcPr>
            <w:tcW w:w="496" w:type="pct"/>
            <w:tcBorders>
              <w:tl2br w:val="nil"/>
              <w:tr2bl w:val="nil"/>
            </w:tcBorders>
            <w:vAlign w:val="center"/>
          </w:tcPr>
          <w:p w14:paraId="180DA5ED">
            <w:pPr>
              <w:pStyle w:val="42"/>
              <w:bidi w:val="0"/>
              <w:jc w:val="center"/>
            </w:pPr>
            <w:r>
              <w:t>土壤</w:t>
            </w:r>
          </w:p>
        </w:tc>
        <w:tc>
          <w:tcPr>
            <w:tcW w:w="727" w:type="pct"/>
            <w:tcBorders>
              <w:tl2br w:val="nil"/>
              <w:tr2bl w:val="nil"/>
            </w:tcBorders>
            <w:vAlign w:val="center"/>
          </w:tcPr>
          <w:p w14:paraId="512B5FBD">
            <w:pPr>
              <w:pStyle w:val="42"/>
              <w:bidi w:val="0"/>
              <w:jc w:val="center"/>
            </w:pPr>
            <w:r>
              <w:t>厂区西南侧厂界内</w:t>
            </w:r>
          </w:p>
        </w:tc>
        <w:tc>
          <w:tcPr>
            <w:tcW w:w="1696" w:type="pct"/>
            <w:tcBorders>
              <w:tl2br w:val="nil"/>
              <w:tr2bl w:val="nil"/>
            </w:tcBorders>
            <w:vAlign w:val="center"/>
          </w:tcPr>
          <w:p w14:paraId="7EABC4AC">
            <w:pPr>
              <w:pStyle w:val="42"/>
              <w:bidi w:val="0"/>
              <w:jc w:val="center"/>
            </w:pPr>
            <w:r>
              <w:t>pH、45项基本因子</w:t>
            </w:r>
          </w:p>
        </w:tc>
        <w:tc>
          <w:tcPr>
            <w:tcW w:w="879" w:type="pct"/>
            <w:tcBorders>
              <w:tl2br w:val="nil"/>
              <w:tr2bl w:val="nil"/>
            </w:tcBorders>
            <w:vAlign w:val="center"/>
          </w:tcPr>
          <w:p w14:paraId="72BC5988">
            <w:pPr>
              <w:pStyle w:val="42"/>
              <w:bidi w:val="0"/>
              <w:jc w:val="center"/>
              <w:rPr>
                <w:rFonts w:hint="default" w:eastAsia="宋体"/>
                <w:lang w:val="en-US" w:eastAsia="zh-CN"/>
              </w:rPr>
            </w:pPr>
            <w:r>
              <w:rPr>
                <w:rFonts w:hint="eastAsia"/>
                <w:lang w:val="en-US" w:eastAsia="zh-CN"/>
              </w:rPr>
              <w:t>必要时进行监测</w:t>
            </w:r>
          </w:p>
        </w:tc>
        <w:tc>
          <w:tcPr>
            <w:tcW w:w="1200" w:type="pct"/>
            <w:tcBorders>
              <w:tl2br w:val="nil"/>
              <w:tr2bl w:val="nil"/>
            </w:tcBorders>
            <w:vAlign w:val="center"/>
          </w:tcPr>
          <w:p w14:paraId="24A41926">
            <w:pPr>
              <w:pStyle w:val="42"/>
              <w:bidi w:val="0"/>
              <w:jc w:val="center"/>
            </w:pPr>
            <w:r>
              <w:t>《土壤环境质量建设用地土壤污染风险管控标准（试行）》（GB 36600-2018）表1第二类用地筛选值标准</w:t>
            </w:r>
          </w:p>
        </w:tc>
      </w:tr>
    </w:tbl>
    <w:p w14:paraId="54462B2C">
      <w:pPr>
        <w:pStyle w:val="5"/>
        <w:shd w:val="clear"/>
        <w:rPr>
          <w:rFonts w:hint="default" w:ascii="Times New Roman" w:hAnsi="Times New Roman" w:cs="Times New Roman"/>
          <w:color w:val="auto"/>
          <w:highlight w:val="none"/>
          <w:u w:val="none" w:color="auto"/>
        </w:rPr>
      </w:pPr>
      <w:bookmarkStart w:id="232" w:name="_Toc13523"/>
      <w:r>
        <w:rPr>
          <w:rFonts w:hint="default" w:ascii="Times New Roman" w:hAnsi="Times New Roman" w:cs="Times New Roman"/>
          <w:color w:val="auto"/>
          <w:highlight w:val="none"/>
          <w:u w:val="none" w:color="auto"/>
        </w:rPr>
        <w:t>竣工环境保护</w:t>
      </w:r>
      <w:bookmarkEnd w:id="228"/>
      <w:bookmarkEnd w:id="229"/>
      <w:bookmarkEnd w:id="230"/>
      <w:r>
        <w:rPr>
          <w:rFonts w:hint="default" w:ascii="Times New Roman" w:hAnsi="Times New Roman" w:cs="Times New Roman"/>
          <w:color w:val="auto"/>
          <w:highlight w:val="none"/>
          <w:u w:val="none" w:color="auto"/>
        </w:rPr>
        <w:t>验收</w:t>
      </w:r>
      <w:bookmarkEnd w:id="231"/>
      <w:bookmarkEnd w:id="232"/>
    </w:p>
    <w:p w14:paraId="523A70A2">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为贯彻落实新修改的《建设项目环境保护管理条例》，规范建设项目竣工后建设单位自主开展环境保护验收的程序和标准。根据《建设项目竣工环境保护验收暂行办法》（国环规环评〔2017〕4 号）（以下简称《暂行办法》），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339C72E3">
      <w:pPr>
        <w:shd w:val="clea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具体验收流程见下图</w:t>
      </w:r>
      <w:r>
        <w:rPr>
          <w:rFonts w:hint="eastAsia" w:ascii="Times New Roman" w:hAnsi="Times New Roman" w:cs="Times New Roman"/>
          <w:color w:val="auto"/>
          <w:highlight w:val="none"/>
          <w:u w:val="none" w:color="auto"/>
          <w:lang w:val="en-US" w:eastAsia="zh-CN"/>
        </w:rPr>
        <w:t>9</w:t>
      </w:r>
      <w:r>
        <w:rPr>
          <w:rFonts w:hint="default"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-1：</w:t>
      </w:r>
    </w:p>
    <w:p w14:paraId="2FC01C3C">
      <w:pPr>
        <w:pStyle w:val="39"/>
        <w:bidi w:val="0"/>
        <w:rPr>
          <w:rFonts w:hint="default" w:ascii="Times New Roman" w:hAnsi="Times New Roman" w:cs="Times New Roman"/>
          <w:color w:val="auto"/>
          <w:highlight w:val="none"/>
          <w:u w:val="none" w:color="auto"/>
          <w:lang w:val="zh-CN" w:eastAsia="zh-CN"/>
        </w:rPr>
      </w:pPr>
      <w:r>
        <w:rPr>
          <w:rFonts w:hint="default" w:ascii="Times New Roman" w:hAnsi="Times New Roman" w:cs="Times New Roman"/>
          <w:color w:val="auto"/>
          <w:highlight w:val="none"/>
          <w:u w:val="none" w:color="auto"/>
          <w:lang w:val="zh-CN" w:eastAsia="zh-CN"/>
        </w:rPr>
        <w:drawing>
          <wp:anchor distT="0" distB="0" distL="114300" distR="114300" simplePos="0" relativeHeight="251665408" behindDoc="0" locked="0" layoutInCell="1" allowOverlap="1">
            <wp:simplePos x="0" y="0"/>
            <wp:positionH relativeFrom="page">
              <wp:posOffset>1162050</wp:posOffset>
            </wp:positionH>
            <wp:positionV relativeFrom="paragraph">
              <wp:posOffset>31750</wp:posOffset>
            </wp:positionV>
            <wp:extent cx="5285105" cy="965835"/>
            <wp:effectExtent l="0" t="0" r="10795" b="5715"/>
            <wp:wrapTopAndBottom/>
            <wp:docPr id="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3.jpeg"/>
                    <pic:cNvPicPr>
                      <a:picLocks noChangeAspect="1"/>
                    </pic:cNvPicPr>
                  </pic:nvPicPr>
                  <pic:blipFill>
                    <a:blip r:embed="rId55"/>
                    <a:stretch>
                      <a:fillRect/>
                    </a:stretch>
                  </pic:blipFill>
                  <pic:spPr>
                    <a:xfrm>
                      <a:off x="0" y="0"/>
                      <a:ext cx="5285105" cy="965835"/>
                    </a:xfrm>
                    <a:prstGeom prst="rect">
                      <a:avLst/>
                    </a:prstGeom>
                    <a:noFill/>
                    <a:ln>
                      <a:noFill/>
                    </a:ln>
                  </pic:spPr>
                </pic:pic>
              </a:graphicData>
            </a:graphic>
          </wp:anchor>
        </w:drawing>
      </w:r>
      <w:r>
        <w:rPr>
          <w:rFonts w:hint="default" w:ascii="Times New Roman" w:hAnsi="Times New Roman" w:cs="Times New Roman"/>
          <w:color w:val="auto"/>
          <w:highlight w:val="none"/>
          <w:u w:val="none" w:color="auto"/>
          <w:lang w:val="zh-CN" w:eastAsia="zh-CN"/>
        </w:rPr>
        <w:t>图</w:t>
      </w:r>
      <w:r>
        <w:rPr>
          <w:rFonts w:hint="eastAsia" w:cs="Times New Roman"/>
          <w:color w:val="auto"/>
          <w:highlight w:val="none"/>
          <w:u w:val="none" w:color="auto"/>
          <w:lang w:val="en-US" w:eastAsia="zh-CN"/>
        </w:rPr>
        <w:t>9.</w:t>
      </w:r>
      <w:r>
        <w:rPr>
          <w:rFonts w:hint="default"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val="zh-CN" w:eastAsia="zh-CN"/>
        </w:rPr>
        <w:t>1</w:t>
      </w:r>
      <w:r>
        <w:rPr>
          <w:rFonts w:hint="default" w:ascii="Times New Roman" w:hAnsi="Times New Roman" w:cs="Times New Roman"/>
          <w:color w:val="auto"/>
          <w:highlight w:val="none"/>
          <w:u w:val="none" w:color="auto"/>
          <w:lang w:val="zh-CN" w:eastAsia="zh-CN"/>
        </w:rPr>
        <w:tab/>
      </w:r>
      <w:r>
        <w:rPr>
          <w:rFonts w:hint="default" w:ascii="Times New Roman" w:hAnsi="Times New Roman" w:cs="Times New Roman"/>
          <w:color w:val="auto"/>
          <w:highlight w:val="none"/>
          <w:u w:val="none" w:color="auto"/>
          <w:lang w:val="zh-CN" w:eastAsia="zh-CN"/>
        </w:rPr>
        <w:t>竣工环保验收流程图</w:t>
      </w:r>
    </w:p>
    <w:p w14:paraId="4268367D">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验收程序简述及相关要求如下：</w:t>
      </w:r>
    </w:p>
    <w:p w14:paraId="3A7393B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建设单位如实查验、监测记载环保设施的建设和调试情况。调试期间，建设单位应当确保该期间污染物排放符合国家和地方的有关污染物排放标准和排污许可等相关规定。环境保护设施未与主体工程同时建成的，或者应当取得排污许可证但未取得的，建设单位不得对该建设项目环境保护设施进行调试。</w:t>
      </w:r>
    </w:p>
    <w:p w14:paraId="69783A4B">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（2）编制验收调查报告，建设单位不具备自主验收能力的可以委托有能力的技术机构编制。</w:t>
      </w:r>
    </w:p>
    <w:p w14:paraId="4DF1717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验收监测调查报告编制完成后，建设单位应当根据验收调查报告结论，逐一检查是否存在《建设项目竣工环保验收暂行办法》中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w:t>
      </w:r>
    </w:p>
    <w:p w14:paraId="278CFECE">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验收调查报告编制完成后5个工作日内，公开验收报告，公示的期限不得少于20个工作日，同步公开环保设施竣工日期以及对环保设施公开调试的起始日期。建设单位公开上述信息的同时，应当向所在地县级以上环境保护主管部门报送相关信息，并接受监督检查。</w:t>
      </w:r>
    </w:p>
    <w:p w14:paraId="3F686BE7">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（5）验收调查报告公示期满后5个工作日内，建设单位应当登录全国建设项目竣工环境保护验收信息平台，填报建设项目基本信息、环境保护设施验收情况等相关信息，环境保护主管部门对上述信息予以公开。</w:t>
      </w:r>
    </w:p>
    <w:p w14:paraId="5DF2A759">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纳入排污许可管理的建设项目，排污单位应当在项目产生实际污染物排放之前，按照国家排污许可有关管理规定要求，申请排污许可证。建设项目验收报告中与污染物排放相关主要内容应当纳入项目验收完成排污许可证执行年报。本项目属于</w:t>
      </w:r>
      <w:r>
        <w:rPr>
          <w:rFonts w:hint="eastAsia" w:ascii="Times New Roman" w:hAnsi="Times New Roman" w:cs="Times New Roman"/>
          <w:color w:val="auto"/>
          <w:highlight w:val="none"/>
          <w:u w:val="none" w:color="auto"/>
          <w:lang w:val="en-US" w:eastAsia="zh-CN"/>
        </w:rPr>
        <w:t>简化</w:t>
      </w:r>
      <w:r>
        <w:rPr>
          <w:rFonts w:hint="default" w:ascii="Times New Roman" w:hAnsi="Times New Roman" w:cs="Times New Roman"/>
          <w:color w:val="auto"/>
          <w:highlight w:val="none"/>
          <w:u w:val="none" w:color="auto"/>
        </w:rPr>
        <w:t>管理行业，2019年开始实施排污许可制度，本项目建设单位应该根据《排污许可管理办法（试行）》要求在国家排污许可信息公开系统申请办理排污许可。</w:t>
      </w:r>
    </w:p>
    <w:p w14:paraId="376C8231">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按照建设项目竣工环境保护验收要求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本项目投资建设的主要环保设施验收应符合表</w:t>
      </w:r>
      <w:r>
        <w:rPr>
          <w:rFonts w:hint="eastAsia" w:ascii="Times New Roman" w:hAnsi="Times New Roman" w:cs="Times New Roman"/>
          <w:color w:val="auto"/>
          <w:highlight w:val="none"/>
          <w:u w:val="none" w:color="auto"/>
          <w:lang w:val="en-US" w:eastAsia="zh-CN"/>
        </w:rPr>
        <w:t>9</w:t>
      </w:r>
      <w:r>
        <w:rPr>
          <w:rFonts w:hint="default" w:ascii="Times New Roman" w:hAnsi="Times New Roman" w:cs="Times New Roman"/>
          <w:color w:val="auto"/>
          <w:highlight w:val="none"/>
          <w:u w:val="none" w:color="auto"/>
        </w:rPr>
        <w:t>.3-1的要求。</w:t>
      </w:r>
    </w:p>
    <w:p w14:paraId="2EB7B54B">
      <w:pPr>
        <w:pStyle w:val="39"/>
        <w:bidi w:val="0"/>
        <w:rPr>
          <w:rFonts w:hint="default"/>
        </w:rPr>
      </w:pPr>
      <w:r>
        <w:rPr>
          <w:rFonts w:hint="default"/>
        </w:rPr>
        <w:t>表</w:t>
      </w:r>
      <w:r>
        <w:rPr>
          <w:rFonts w:hint="eastAsia"/>
          <w:lang w:val="en-US" w:eastAsia="zh-CN"/>
        </w:rPr>
        <w:t>9</w:t>
      </w:r>
      <w:r>
        <w:rPr>
          <w:rFonts w:hint="default"/>
        </w:rPr>
        <w:t>.3-1  本工程竣工环境保护验收一览表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098"/>
        <w:gridCol w:w="1384"/>
        <w:gridCol w:w="3153"/>
        <w:gridCol w:w="2219"/>
      </w:tblGrid>
      <w:tr w14:paraId="03EA21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tcBorders>
              <w:tl2br w:val="nil"/>
              <w:tr2bl w:val="nil"/>
            </w:tcBorders>
            <w:vAlign w:val="center"/>
          </w:tcPr>
          <w:p w14:paraId="232D3581">
            <w:pPr>
              <w:pStyle w:val="42"/>
              <w:keepNext w:val="0"/>
              <w:keepLines w:val="0"/>
              <w:suppressLineNumbers w:val="0"/>
              <w:bidi w:val="0"/>
              <w:spacing w:before="0" w:beforeAutospacing="0" w:after="0" w:afterAutospacing="0"/>
              <w:rPr>
                <w:rFonts w:hint="default"/>
              </w:rPr>
            </w:pPr>
            <w:r>
              <w:rPr>
                <w:rFonts w:hint="default"/>
              </w:rPr>
              <w:t>内容类型</w:t>
            </w:r>
          </w:p>
        </w:tc>
        <w:tc>
          <w:tcPr>
            <w:tcW w:w="644" w:type="pct"/>
            <w:tcBorders>
              <w:tl2br w:val="nil"/>
              <w:tr2bl w:val="nil"/>
            </w:tcBorders>
            <w:vAlign w:val="center"/>
          </w:tcPr>
          <w:p w14:paraId="546C35F9">
            <w:pPr>
              <w:pStyle w:val="42"/>
              <w:keepNext w:val="0"/>
              <w:keepLines w:val="0"/>
              <w:suppressLineNumbers w:val="0"/>
              <w:bidi w:val="0"/>
              <w:spacing w:before="0" w:beforeAutospacing="0" w:after="0" w:afterAutospacing="0"/>
              <w:rPr>
                <w:rFonts w:hint="default"/>
              </w:rPr>
            </w:pPr>
            <w:r>
              <w:rPr>
                <w:rFonts w:hint="default"/>
              </w:rPr>
              <w:t>排放源（编号）</w:t>
            </w:r>
          </w:p>
        </w:tc>
        <w:tc>
          <w:tcPr>
            <w:tcW w:w="811" w:type="pct"/>
            <w:tcBorders>
              <w:tl2br w:val="nil"/>
              <w:tr2bl w:val="nil"/>
            </w:tcBorders>
            <w:vAlign w:val="center"/>
          </w:tcPr>
          <w:p w14:paraId="336AD701">
            <w:pPr>
              <w:pStyle w:val="42"/>
              <w:keepNext w:val="0"/>
              <w:keepLines w:val="0"/>
              <w:suppressLineNumbers w:val="0"/>
              <w:bidi w:val="0"/>
              <w:spacing w:before="0" w:beforeAutospacing="0" w:after="0" w:afterAutospacing="0"/>
              <w:rPr>
                <w:rFonts w:hint="default"/>
              </w:rPr>
            </w:pPr>
            <w:r>
              <w:rPr>
                <w:rFonts w:hint="default"/>
              </w:rPr>
              <w:t>污染物名称</w:t>
            </w:r>
          </w:p>
        </w:tc>
        <w:tc>
          <w:tcPr>
            <w:tcW w:w="1850" w:type="pct"/>
            <w:tcBorders>
              <w:tl2br w:val="nil"/>
              <w:tr2bl w:val="nil"/>
            </w:tcBorders>
            <w:vAlign w:val="center"/>
          </w:tcPr>
          <w:p w14:paraId="7E734028">
            <w:pPr>
              <w:pStyle w:val="42"/>
              <w:keepNext w:val="0"/>
              <w:keepLines w:val="0"/>
              <w:suppressLineNumbers w:val="0"/>
              <w:bidi w:val="0"/>
              <w:spacing w:before="0" w:beforeAutospacing="0" w:after="0" w:afterAutospacing="0"/>
              <w:rPr>
                <w:rFonts w:hint="default"/>
              </w:rPr>
            </w:pPr>
            <w:r>
              <w:rPr>
                <w:rFonts w:hint="default"/>
              </w:rPr>
              <w:t>验收内容</w:t>
            </w:r>
          </w:p>
        </w:tc>
        <w:tc>
          <w:tcPr>
            <w:tcW w:w="1302" w:type="pct"/>
            <w:tcBorders>
              <w:tl2br w:val="nil"/>
              <w:tr2bl w:val="nil"/>
            </w:tcBorders>
            <w:vAlign w:val="center"/>
          </w:tcPr>
          <w:p w14:paraId="44108BA8">
            <w:pPr>
              <w:pStyle w:val="42"/>
              <w:keepNext w:val="0"/>
              <w:keepLines w:val="0"/>
              <w:suppressLineNumbers w:val="0"/>
              <w:bidi w:val="0"/>
              <w:spacing w:before="0" w:beforeAutospacing="0" w:after="0" w:afterAutospacing="0"/>
              <w:rPr>
                <w:rFonts w:hint="default"/>
              </w:rPr>
            </w:pPr>
            <w:r>
              <w:rPr>
                <w:rFonts w:hint="default"/>
              </w:rPr>
              <w:t>验收标准</w:t>
            </w:r>
          </w:p>
        </w:tc>
      </w:tr>
      <w:tr w14:paraId="660A2A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tcBorders>
              <w:tl2br w:val="nil"/>
              <w:tr2bl w:val="nil"/>
            </w:tcBorders>
            <w:vAlign w:val="center"/>
          </w:tcPr>
          <w:p w14:paraId="2011CDAD">
            <w:pPr>
              <w:pStyle w:val="42"/>
              <w:keepNext w:val="0"/>
              <w:keepLines w:val="0"/>
              <w:suppressLineNumbers w:val="0"/>
              <w:bidi w:val="0"/>
              <w:spacing w:before="0" w:beforeAutospacing="0" w:after="0" w:afterAutospacing="0"/>
              <w:rPr>
                <w:rFonts w:hint="default"/>
              </w:rPr>
            </w:pPr>
            <w:r>
              <w:rPr>
                <w:rFonts w:hint="default"/>
              </w:rPr>
              <w:t>大气污染物</w:t>
            </w:r>
          </w:p>
        </w:tc>
        <w:tc>
          <w:tcPr>
            <w:tcW w:w="644" w:type="pct"/>
            <w:tcBorders>
              <w:tl2br w:val="nil"/>
              <w:tr2bl w:val="nil"/>
            </w:tcBorders>
            <w:vAlign w:val="center"/>
          </w:tcPr>
          <w:p w14:paraId="2DE7F8C9">
            <w:pPr>
              <w:pStyle w:val="42"/>
              <w:keepNext w:val="0"/>
              <w:keepLines w:val="0"/>
              <w:suppressLineNumbers w:val="0"/>
              <w:bidi w:val="0"/>
              <w:spacing w:before="0" w:beforeAutospacing="0" w:after="0" w:afterAutospacing="0"/>
              <w:rPr>
                <w:rFonts w:hint="default"/>
              </w:rPr>
            </w:pPr>
            <w:r>
              <w:rPr>
                <w:rFonts w:hint="default"/>
              </w:rPr>
              <w:t>污水处理区</w:t>
            </w:r>
          </w:p>
        </w:tc>
        <w:tc>
          <w:tcPr>
            <w:tcW w:w="811" w:type="pct"/>
            <w:tcBorders>
              <w:tl2br w:val="nil"/>
              <w:tr2bl w:val="nil"/>
            </w:tcBorders>
            <w:vAlign w:val="center"/>
          </w:tcPr>
          <w:p w14:paraId="2C71A680">
            <w:pPr>
              <w:pStyle w:val="42"/>
              <w:keepNext w:val="0"/>
              <w:keepLines w:val="0"/>
              <w:suppressLineNumbers w:val="0"/>
              <w:bidi w:val="0"/>
              <w:spacing w:before="0" w:beforeAutospacing="0" w:after="0" w:afterAutospacing="0"/>
              <w:rPr>
                <w:rFonts w:hint="default"/>
              </w:rPr>
            </w:pPr>
            <w:r>
              <w:rPr>
                <w:rFonts w:hint="default"/>
              </w:rPr>
              <w:t>氨、硫化氢</w:t>
            </w:r>
          </w:p>
        </w:tc>
        <w:tc>
          <w:tcPr>
            <w:tcW w:w="1850" w:type="pct"/>
            <w:tcBorders>
              <w:tl2br w:val="nil"/>
              <w:tr2bl w:val="nil"/>
            </w:tcBorders>
            <w:vAlign w:val="center"/>
          </w:tcPr>
          <w:p w14:paraId="28E72B31">
            <w:pPr>
              <w:pStyle w:val="42"/>
              <w:keepNext w:val="0"/>
              <w:keepLines w:val="0"/>
              <w:suppressLineNumbers w:val="0"/>
              <w:bidi w:val="0"/>
              <w:spacing w:before="0" w:beforeAutospacing="0" w:after="0" w:afterAutospacing="0"/>
              <w:rPr>
                <w:rFonts w:hint="eastAsia" w:eastAsia="宋体"/>
                <w:lang w:eastAsia="zh-CN"/>
              </w:rPr>
            </w:pPr>
            <w:r>
              <w:rPr>
                <w:rFonts w:hint="eastAsia"/>
                <w:lang w:eastAsia="zh-CN"/>
              </w:rPr>
              <w:t>“</w:t>
            </w:r>
            <w:r>
              <w:rPr>
                <w:rFonts w:hint="eastAsia"/>
              </w:rPr>
              <w:t>二级喷淋塔+</w:t>
            </w:r>
            <w:r>
              <w:rPr>
                <w:rFonts w:hint="eastAsia"/>
                <w:lang w:eastAsia="zh-CN"/>
              </w:rPr>
              <w:t>生物滤池</w:t>
            </w:r>
            <w:r>
              <w:rPr>
                <w:rFonts w:hint="eastAsia"/>
              </w:rPr>
              <w:t>”除臭系统处理后通过一根15m高排气筒(DA00</w:t>
            </w:r>
            <w:r>
              <w:rPr>
                <w:rFonts w:hint="eastAsia"/>
                <w:lang w:val="en-US" w:eastAsia="zh-CN"/>
              </w:rPr>
              <w:t>1</w:t>
            </w:r>
            <w:r>
              <w:rPr>
                <w:rFonts w:hint="eastAsia"/>
              </w:rPr>
              <w:t>)排放</w:t>
            </w:r>
            <w:r>
              <w:rPr>
                <w:rFonts w:hint="eastAsia"/>
                <w:lang w:eastAsia="zh-CN"/>
              </w:rPr>
              <w:t>，其他池体为无组织排放，厂区四周种植绿化带。</w:t>
            </w:r>
          </w:p>
        </w:tc>
        <w:tc>
          <w:tcPr>
            <w:tcW w:w="1302" w:type="pct"/>
            <w:tcBorders>
              <w:tl2br w:val="nil"/>
              <w:tr2bl w:val="nil"/>
            </w:tcBorders>
            <w:vAlign w:val="center"/>
          </w:tcPr>
          <w:p w14:paraId="04C13DA3">
            <w:pPr>
              <w:pStyle w:val="42"/>
              <w:keepNext w:val="0"/>
              <w:keepLines w:val="0"/>
              <w:suppressLineNumbers w:val="0"/>
              <w:bidi w:val="0"/>
              <w:spacing w:before="0" w:beforeAutospacing="0" w:after="0" w:afterAutospacing="0"/>
              <w:rPr>
                <w:rFonts w:hint="default"/>
              </w:rPr>
            </w:pPr>
            <w:r>
              <w:rPr>
                <w:rFonts w:hint="default"/>
              </w:rPr>
              <w:t>满足《恶臭污染物排放标准》（GB14554-93）</w:t>
            </w:r>
          </w:p>
        </w:tc>
      </w:tr>
      <w:tr w14:paraId="7A0430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restart"/>
            <w:tcBorders>
              <w:tl2br w:val="nil"/>
              <w:tr2bl w:val="nil"/>
            </w:tcBorders>
            <w:vAlign w:val="center"/>
          </w:tcPr>
          <w:p w14:paraId="7AFFB04E">
            <w:pPr>
              <w:pStyle w:val="42"/>
              <w:keepNext w:val="0"/>
              <w:keepLines w:val="0"/>
              <w:suppressLineNumbers w:val="0"/>
              <w:bidi w:val="0"/>
              <w:spacing w:before="0" w:beforeAutospacing="0" w:after="0" w:afterAutospacing="0"/>
              <w:rPr>
                <w:rFonts w:hint="default"/>
              </w:rPr>
            </w:pPr>
            <w:r>
              <w:rPr>
                <w:rFonts w:hint="default"/>
              </w:rPr>
              <w:t>水污染物</w:t>
            </w:r>
          </w:p>
        </w:tc>
        <w:tc>
          <w:tcPr>
            <w:tcW w:w="644" w:type="pct"/>
            <w:tcBorders>
              <w:tl2br w:val="nil"/>
              <w:tr2bl w:val="nil"/>
            </w:tcBorders>
            <w:vAlign w:val="center"/>
          </w:tcPr>
          <w:p w14:paraId="26623D0A">
            <w:pPr>
              <w:pStyle w:val="42"/>
              <w:keepNext w:val="0"/>
              <w:keepLines w:val="0"/>
              <w:suppressLineNumbers w:val="0"/>
              <w:bidi w:val="0"/>
              <w:spacing w:before="0" w:beforeAutospacing="0" w:after="0" w:afterAutospacing="0"/>
              <w:rPr>
                <w:rFonts w:hint="default"/>
              </w:rPr>
            </w:pPr>
            <w:r>
              <w:rPr>
                <w:rFonts w:hint="default"/>
              </w:rPr>
              <w:t>厂区尾水</w:t>
            </w:r>
          </w:p>
        </w:tc>
        <w:tc>
          <w:tcPr>
            <w:tcW w:w="811" w:type="pct"/>
            <w:tcBorders>
              <w:tl2br w:val="nil"/>
              <w:tr2bl w:val="nil"/>
            </w:tcBorders>
            <w:vAlign w:val="center"/>
          </w:tcPr>
          <w:p w14:paraId="18A0D5C1">
            <w:pPr>
              <w:pStyle w:val="42"/>
              <w:keepNext w:val="0"/>
              <w:keepLines w:val="0"/>
              <w:suppressLineNumbers w:val="0"/>
              <w:bidi w:val="0"/>
              <w:spacing w:before="0" w:beforeAutospacing="0" w:after="0" w:afterAutospacing="0"/>
              <w:rPr>
                <w:rFonts w:hint="default" w:eastAsia="宋体"/>
                <w:lang w:val="en-US" w:eastAsia="zh-CN"/>
              </w:rPr>
            </w:pPr>
            <w:r>
              <w:rPr>
                <w:rFonts w:hint="default"/>
              </w:rPr>
              <w:t>pH、COD、五日生化需氧量、氨氮、总氮、总磷</w:t>
            </w:r>
            <w:r>
              <w:rPr>
                <w:rFonts w:hint="eastAsia"/>
                <w:lang w:eastAsia="zh-CN"/>
              </w:rPr>
              <w:t>、</w:t>
            </w:r>
            <w:r>
              <w:rPr>
                <w:rFonts w:hint="eastAsia"/>
                <w:lang w:val="en-US" w:eastAsia="zh-CN"/>
              </w:rPr>
              <w:t>氯化物</w:t>
            </w:r>
          </w:p>
        </w:tc>
        <w:tc>
          <w:tcPr>
            <w:tcW w:w="1850" w:type="pct"/>
            <w:tcBorders>
              <w:tl2br w:val="nil"/>
              <w:tr2bl w:val="nil"/>
            </w:tcBorders>
            <w:vAlign w:val="center"/>
          </w:tcPr>
          <w:p w14:paraId="4B1206CB">
            <w:pPr>
              <w:pStyle w:val="42"/>
              <w:keepNext w:val="0"/>
              <w:keepLines w:val="0"/>
              <w:suppressLineNumbers w:val="0"/>
              <w:bidi w:val="0"/>
              <w:spacing w:before="0" w:beforeAutospacing="0" w:after="0" w:afterAutospacing="0"/>
              <w:rPr>
                <w:rFonts w:hint="default"/>
              </w:rPr>
            </w:pPr>
            <w:r>
              <w:rPr>
                <w:rFonts w:hint="default"/>
              </w:rPr>
              <w:t>工艺路线为“</w:t>
            </w:r>
            <w:r>
              <w:rPr>
                <w:rFonts w:hint="eastAsia"/>
              </w:rPr>
              <w:t>集水池+微滤机+隔油预沉池+调节池/应急池+厌氧流化床+好氧池+缺氧池+消化池+好氧流化床+去磷池+清水池</w:t>
            </w:r>
            <w:r>
              <w:rPr>
                <w:rFonts w:hint="default"/>
              </w:rPr>
              <w:t>”</w:t>
            </w:r>
          </w:p>
        </w:tc>
        <w:tc>
          <w:tcPr>
            <w:tcW w:w="1302" w:type="pct"/>
            <w:tcBorders>
              <w:tl2br w:val="nil"/>
              <w:tr2bl w:val="nil"/>
            </w:tcBorders>
            <w:vAlign w:val="center"/>
          </w:tcPr>
          <w:p w14:paraId="2B241787">
            <w:pPr>
              <w:pStyle w:val="42"/>
              <w:keepNext w:val="0"/>
              <w:keepLines w:val="0"/>
              <w:suppressLineNumbers w:val="0"/>
              <w:bidi w:val="0"/>
              <w:spacing w:before="0" w:beforeAutospacing="0" w:after="0" w:afterAutospacing="0"/>
              <w:rPr>
                <w:rFonts w:hint="default"/>
              </w:rPr>
            </w:pPr>
            <w:r>
              <w:rPr>
                <w:rFonts w:hint="eastAsia"/>
              </w:rPr>
              <w:t>《污水综合排放标准》（GB8978-1996）表4中三级标准以及湘阴县第二污水处理厂接纳标准</w:t>
            </w:r>
            <w:r>
              <w:rPr>
                <w:rFonts w:hint="eastAsia"/>
                <w:lang w:eastAsia="zh-CN"/>
              </w:rPr>
              <w:t>、</w:t>
            </w:r>
            <w:r>
              <w:rPr>
                <w:rFonts w:hint="eastAsia"/>
              </w:rPr>
              <w:t>《污水排入城镇下水道水质标准》（GB/T31962-2015）表1中B等级标准要求</w:t>
            </w:r>
          </w:p>
        </w:tc>
      </w:tr>
      <w:tr w14:paraId="4E6FC0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4220E943">
            <w:pPr>
              <w:pStyle w:val="42"/>
              <w:keepNext w:val="0"/>
              <w:keepLines w:val="0"/>
              <w:suppressLineNumbers w:val="0"/>
              <w:bidi w:val="0"/>
              <w:spacing w:before="0" w:beforeAutospacing="0" w:after="0" w:afterAutospacing="0"/>
              <w:rPr>
                <w:rFonts w:hint="default"/>
              </w:rPr>
            </w:pPr>
          </w:p>
        </w:tc>
        <w:tc>
          <w:tcPr>
            <w:tcW w:w="644" w:type="pct"/>
            <w:tcBorders>
              <w:tl2br w:val="nil"/>
              <w:tr2bl w:val="nil"/>
            </w:tcBorders>
            <w:vAlign w:val="center"/>
          </w:tcPr>
          <w:p w14:paraId="4F505F99">
            <w:pPr>
              <w:pStyle w:val="42"/>
              <w:keepNext w:val="0"/>
              <w:keepLines w:val="0"/>
              <w:suppressLineNumbers w:val="0"/>
              <w:bidi w:val="0"/>
              <w:spacing w:before="0" w:beforeAutospacing="0" w:after="0" w:afterAutospacing="0"/>
              <w:rPr>
                <w:rFonts w:hint="default"/>
              </w:rPr>
            </w:pPr>
            <w:r>
              <w:rPr>
                <w:rFonts w:hint="default"/>
              </w:rPr>
              <w:t>生产废水</w:t>
            </w:r>
          </w:p>
        </w:tc>
        <w:tc>
          <w:tcPr>
            <w:tcW w:w="811" w:type="pct"/>
            <w:tcBorders>
              <w:tl2br w:val="nil"/>
              <w:tr2bl w:val="nil"/>
            </w:tcBorders>
            <w:vAlign w:val="center"/>
          </w:tcPr>
          <w:p w14:paraId="0E661288">
            <w:pPr>
              <w:pStyle w:val="42"/>
              <w:keepNext w:val="0"/>
              <w:keepLines w:val="0"/>
              <w:suppressLineNumbers w:val="0"/>
              <w:bidi w:val="0"/>
              <w:spacing w:before="0" w:beforeAutospacing="0" w:after="0" w:afterAutospacing="0"/>
              <w:rPr>
                <w:rFonts w:hint="default"/>
              </w:rPr>
            </w:pPr>
            <w:r>
              <w:rPr>
                <w:rFonts w:hint="default"/>
              </w:rPr>
              <w:t>pH、COD、</w:t>
            </w:r>
            <w:r>
              <w:rPr>
                <w:rFonts w:hint="eastAsia"/>
                <w:lang w:eastAsia="zh-CN"/>
              </w:rPr>
              <w:t>BOD</w:t>
            </w:r>
            <w:r>
              <w:rPr>
                <w:rFonts w:hint="eastAsia"/>
                <w:vertAlign w:val="subscript"/>
                <w:lang w:eastAsia="zh-CN"/>
              </w:rPr>
              <w:t>5</w:t>
            </w:r>
            <w:r>
              <w:rPr>
                <w:rFonts w:hint="default"/>
              </w:rPr>
              <w:t>、SS、氨氮、总氮、总磷</w:t>
            </w:r>
          </w:p>
        </w:tc>
        <w:tc>
          <w:tcPr>
            <w:tcW w:w="1850" w:type="pct"/>
            <w:tcBorders>
              <w:tl2br w:val="nil"/>
              <w:tr2bl w:val="nil"/>
            </w:tcBorders>
            <w:vAlign w:val="center"/>
          </w:tcPr>
          <w:p w14:paraId="377CEA00">
            <w:pPr>
              <w:pStyle w:val="42"/>
              <w:keepNext w:val="0"/>
              <w:keepLines w:val="0"/>
              <w:suppressLineNumbers w:val="0"/>
              <w:bidi w:val="0"/>
              <w:spacing w:before="0" w:beforeAutospacing="0" w:after="0" w:afterAutospacing="0"/>
              <w:rPr>
                <w:rFonts w:hint="default"/>
              </w:rPr>
            </w:pPr>
            <w:r>
              <w:rPr>
                <w:rFonts w:hint="default"/>
              </w:rPr>
              <w:t>收集进入进水泵房集水井，与进厂污水一同处理</w:t>
            </w:r>
          </w:p>
        </w:tc>
        <w:tc>
          <w:tcPr>
            <w:tcW w:w="1302" w:type="pct"/>
            <w:tcBorders>
              <w:tl2br w:val="nil"/>
              <w:tr2bl w:val="nil"/>
            </w:tcBorders>
            <w:vAlign w:val="center"/>
          </w:tcPr>
          <w:p w14:paraId="4F8184F6">
            <w:pPr>
              <w:pStyle w:val="42"/>
              <w:keepNext w:val="0"/>
              <w:keepLines w:val="0"/>
              <w:suppressLineNumbers w:val="0"/>
              <w:bidi w:val="0"/>
              <w:spacing w:before="0" w:beforeAutospacing="0" w:after="0" w:afterAutospacing="0"/>
              <w:rPr>
                <w:rFonts w:hint="default"/>
              </w:rPr>
            </w:pPr>
            <w:r>
              <w:rPr>
                <w:rFonts w:hint="default"/>
              </w:rPr>
              <w:t>/</w:t>
            </w:r>
          </w:p>
        </w:tc>
      </w:tr>
      <w:tr w14:paraId="43238A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restart"/>
            <w:tcBorders>
              <w:tl2br w:val="nil"/>
              <w:tr2bl w:val="nil"/>
            </w:tcBorders>
            <w:vAlign w:val="center"/>
          </w:tcPr>
          <w:p w14:paraId="41F0B81C">
            <w:pPr>
              <w:pStyle w:val="42"/>
              <w:keepNext w:val="0"/>
              <w:keepLines w:val="0"/>
              <w:suppressLineNumbers w:val="0"/>
              <w:bidi w:val="0"/>
              <w:spacing w:before="0" w:beforeAutospacing="0" w:after="0" w:afterAutospacing="0"/>
              <w:rPr>
                <w:rFonts w:hint="default"/>
              </w:rPr>
            </w:pPr>
            <w:r>
              <w:rPr>
                <w:rFonts w:hint="default"/>
              </w:rPr>
              <w:t>固体废物</w:t>
            </w:r>
          </w:p>
        </w:tc>
        <w:tc>
          <w:tcPr>
            <w:tcW w:w="644" w:type="pct"/>
            <w:vMerge w:val="restart"/>
            <w:tcBorders>
              <w:tl2br w:val="nil"/>
              <w:tr2bl w:val="nil"/>
            </w:tcBorders>
            <w:vAlign w:val="center"/>
          </w:tcPr>
          <w:p w14:paraId="679BAAED">
            <w:pPr>
              <w:pStyle w:val="42"/>
              <w:keepNext w:val="0"/>
              <w:keepLines w:val="0"/>
              <w:suppressLineNumbers w:val="0"/>
              <w:bidi w:val="0"/>
              <w:spacing w:before="0" w:beforeAutospacing="0" w:after="0" w:afterAutospacing="0"/>
              <w:rPr>
                <w:rFonts w:hint="default"/>
              </w:rPr>
            </w:pPr>
            <w:r>
              <w:rPr>
                <w:rFonts w:hint="default"/>
              </w:rPr>
              <w:t>污水处理</w:t>
            </w:r>
          </w:p>
        </w:tc>
        <w:tc>
          <w:tcPr>
            <w:tcW w:w="811" w:type="pct"/>
            <w:tcBorders>
              <w:tl2br w:val="nil"/>
              <w:tr2bl w:val="nil"/>
            </w:tcBorders>
            <w:vAlign w:val="center"/>
          </w:tcPr>
          <w:p w14:paraId="09EAD9BE">
            <w:pPr>
              <w:pStyle w:val="42"/>
              <w:keepNext w:val="0"/>
              <w:keepLines w:val="0"/>
              <w:suppressLineNumbers w:val="0"/>
              <w:bidi w:val="0"/>
              <w:spacing w:before="0" w:beforeAutospacing="0" w:after="0" w:afterAutospacing="0"/>
              <w:rPr>
                <w:rFonts w:hint="default"/>
              </w:rPr>
            </w:pPr>
            <w:r>
              <w:rPr>
                <w:rFonts w:hint="default"/>
              </w:rPr>
              <w:t>格栅渣</w:t>
            </w:r>
          </w:p>
        </w:tc>
        <w:tc>
          <w:tcPr>
            <w:tcW w:w="1850" w:type="pct"/>
            <w:tcBorders>
              <w:tl2br w:val="nil"/>
              <w:tr2bl w:val="nil"/>
            </w:tcBorders>
            <w:vAlign w:val="center"/>
          </w:tcPr>
          <w:p w14:paraId="5108C93C">
            <w:pPr>
              <w:pStyle w:val="42"/>
              <w:keepNext w:val="0"/>
              <w:keepLines w:val="0"/>
              <w:suppressLineNumbers w:val="0"/>
              <w:bidi w:val="0"/>
              <w:spacing w:before="0" w:beforeAutospacing="0" w:after="0" w:afterAutospacing="0"/>
              <w:rPr>
                <w:rFonts w:hint="default"/>
              </w:rPr>
            </w:pPr>
            <w:r>
              <w:rPr>
                <w:rFonts w:hint="default"/>
              </w:rPr>
              <w:t>环卫部门处理</w:t>
            </w:r>
          </w:p>
        </w:tc>
        <w:tc>
          <w:tcPr>
            <w:tcW w:w="1302" w:type="pct"/>
            <w:vMerge w:val="restart"/>
            <w:tcBorders>
              <w:tl2br w:val="nil"/>
              <w:tr2bl w:val="nil"/>
            </w:tcBorders>
            <w:vAlign w:val="center"/>
          </w:tcPr>
          <w:p w14:paraId="746CF93F">
            <w:pPr>
              <w:pStyle w:val="42"/>
              <w:keepNext w:val="0"/>
              <w:keepLines w:val="0"/>
              <w:suppressLineNumbers w:val="0"/>
              <w:bidi w:val="0"/>
              <w:spacing w:before="0" w:beforeAutospacing="0" w:after="0" w:afterAutospacing="0"/>
              <w:rPr>
                <w:rFonts w:hint="default"/>
              </w:rPr>
            </w:pPr>
            <w:r>
              <w:rPr>
                <w:rFonts w:hint="eastAsia"/>
              </w:rPr>
              <w:t>符合《一般工业固体废物贮存和填埋污染控制标准》（GB18599-2020）标准</w:t>
            </w:r>
          </w:p>
        </w:tc>
      </w:tr>
      <w:tr w14:paraId="2A6FF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6FA1EF92">
            <w:pPr>
              <w:pStyle w:val="42"/>
              <w:keepNext w:val="0"/>
              <w:keepLines w:val="0"/>
              <w:suppressLineNumbers w:val="0"/>
              <w:bidi w:val="0"/>
              <w:spacing w:before="0" w:beforeAutospacing="0" w:after="0" w:afterAutospacing="0"/>
              <w:rPr>
                <w:rFonts w:hint="default"/>
              </w:rPr>
            </w:pPr>
          </w:p>
        </w:tc>
        <w:tc>
          <w:tcPr>
            <w:tcW w:w="644" w:type="pct"/>
            <w:vMerge w:val="continue"/>
            <w:tcBorders>
              <w:tl2br w:val="nil"/>
              <w:tr2bl w:val="nil"/>
            </w:tcBorders>
            <w:vAlign w:val="center"/>
          </w:tcPr>
          <w:p w14:paraId="3D78A545">
            <w:pPr>
              <w:pStyle w:val="42"/>
              <w:keepNext w:val="0"/>
              <w:keepLines w:val="0"/>
              <w:suppressLineNumbers w:val="0"/>
              <w:bidi w:val="0"/>
              <w:spacing w:before="0" w:beforeAutospacing="0" w:after="0" w:afterAutospacing="0"/>
              <w:rPr>
                <w:rFonts w:hint="default"/>
              </w:rPr>
            </w:pPr>
          </w:p>
        </w:tc>
        <w:tc>
          <w:tcPr>
            <w:tcW w:w="811" w:type="pct"/>
            <w:tcBorders>
              <w:tl2br w:val="nil"/>
              <w:tr2bl w:val="nil"/>
            </w:tcBorders>
            <w:vAlign w:val="center"/>
          </w:tcPr>
          <w:p w14:paraId="5F688911">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生物填料</w:t>
            </w:r>
          </w:p>
        </w:tc>
        <w:tc>
          <w:tcPr>
            <w:tcW w:w="1850" w:type="pct"/>
            <w:tcBorders>
              <w:tl2br w:val="nil"/>
              <w:tr2bl w:val="nil"/>
            </w:tcBorders>
            <w:vAlign w:val="center"/>
          </w:tcPr>
          <w:p w14:paraId="7C4CC366">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原料供应商回收</w:t>
            </w:r>
          </w:p>
        </w:tc>
        <w:tc>
          <w:tcPr>
            <w:tcW w:w="1302" w:type="pct"/>
            <w:vMerge w:val="continue"/>
            <w:tcBorders>
              <w:tl2br w:val="nil"/>
              <w:tr2bl w:val="nil"/>
            </w:tcBorders>
            <w:vAlign w:val="center"/>
          </w:tcPr>
          <w:p w14:paraId="34579688">
            <w:pPr>
              <w:pStyle w:val="42"/>
              <w:keepNext w:val="0"/>
              <w:keepLines w:val="0"/>
              <w:suppressLineNumbers w:val="0"/>
              <w:bidi w:val="0"/>
              <w:spacing w:before="0" w:beforeAutospacing="0" w:after="0" w:afterAutospacing="0"/>
              <w:rPr>
                <w:rFonts w:hint="eastAsia"/>
              </w:rPr>
            </w:pPr>
          </w:p>
        </w:tc>
      </w:tr>
      <w:tr w14:paraId="2769D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55C0C78F">
            <w:pPr>
              <w:pStyle w:val="42"/>
              <w:keepNext w:val="0"/>
              <w:keepLines w:val="0"/>
              <w:suppressLineNumbers w:val="0"/>
              <w:bidi w:val="0"/>
              <w:spacing w:before="0" w:beforeAutospacing="0" w:after="0" w:afterAutospacing="0"/>
              <w:rPr>
                <w:rFonts w:hint="default"/>
              </w:rPr>
            </w:pPr>
          </w:p>
        </w:tc>
        <w:tc>
          <w:tcPr>
            <w:tcW w:w="644" w:type="pct"/>
            <w:vMerge w:val="continue"/>
            <w:tcBorders>
              <w:tl2br w:val="nil"/>
              <w:tr2bl w:val="nil"/>
            </w:tcBorders>
            <w:vAlign w:val="center"/>
          </w:tcPr>
          <w:p w14:paraId="407CC22F">
            <w:pPr>
              <w:pStyle w:val="42"/>
              <w:keepNext w:val="0"/>
              <w:keepLines w:val="0"/>
              <w:suppressLineNumbers w:val="0"/>
              <w:bidi w:val="0"/>
              <w:spacing w:before="0" w:beforeAutospacing="0" w:after="0" w:afterAutospacing="0"/>
              <w:rPr>
                <w:rFonts w:hint="default"/>
              </w:rPr>
            </w:pPr>
          </w:p>
        </w:tc>
        <w:tc>
          <w:tcPr>
            <w:tcW w:w="811" w:type="pct"/>
            <w:tcBorders>
              <w:tl2br w:val="nil"/>
              <w:tr2bl w:val="nil"/>
            </w:tcBorders>
            <w:vAlign w:val="center"/>
          </w:tcPr>
          <w:p w14:paraId="12B58E48">
            <w:pPr>
              <w:pStyle w:val="42"/>
              <w:keepNext w:val="0"/>
              <w:keepLines w:val="0"/>
              <w:suppressLineNumbers w:val="0"/>
              <w:bidi w:val="0"/>
              <w:spacing w:before="0" w:beforeAutospacing="0" w:after="0" w:afterAutospacing="0"/>
              <w:rPr>
                <w:rFonts w:hint="default"/>
              </w:rPr>
            </w:pPr>
            <w:r>
              <w:rPr>
                <w:rFonts w:hint="eastAsia"/>
              </w:rPr>
              <w:t>废包装袋</w:t>
            </w:r>
          </w:p>
        </w:tc>
        <w:tc>
          <w:tcPr>
            <w:tcW w:w="1850" w:type="pct"/>
            <w:tcBorders>
              <w:tl2br w:val="nil"/>
              <w:tr2bl w:val="nil"/>
            </w:tcBorders>
            <w:vAlign w:val="center"/>
          </w:tcPr>
          <w:p w14:paraId="7FBC3F94">
            <w:pPr>
              <w:pStyle w:val="42"/>
              <w:keepNext w:val="0"/>
              <w:keepLines w:val="0"/>
              <w:suppressLineNumbers w:val="0"/>
              <w:bidi w:val="0"/>
              <w:spacing w:before="0" w:beforeAutospacing="0" w:after="0" w:afterAutospacing="0"/>
              <w:rPr>
                <w:rFonts w:hint="default"/>
              </w:rPr>
            </w:pPr>
            <w:r>
              <w:rPr>
                <w:rFonts w:hint="default"/>
              </w:rPr>
              <w:t>收集后交由原料供应厂家回收利用</w:t>
            </w:r>
          </w:p>
        </w:tc>
        <w:tc>
          <w:tcPr>
            <w:tcW w:w="1302" w:type="pct"/>
            <w:vMerge w:val="continue"/>
            <w:tcBorders>
              <w:tl2br w:val="nil"/>
              <w:tr2bl w:val="nil"/>
            </w:tcBorders>
            <w:vAlign w:val="center"/>
          </w:tcPr>
          <w:p w14:paraId="00F164B7">
            <w:pPr>
              <w:pStyle w:val="42"/>
              <w:keepNext w:val="0"/>
              <w:keepLines w:val="0"/>
              <w:suppressLineNumbers w:val="0"/>
              <w:bidi w:val="0"/>
              <w:spacing w:before="0" w:beforeAutospacing="0" w:after="0" w:afterAutospacing="0"/>
              <w:rPr>
                <w:rFonts w:hint="default"/>
              </w:rPr>
            </w:pPr>
          </w:p>
        </w:tc>
      </w:tr>
      <w:tr w14:paraId="67986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10BE4529">
            <w:pPr>
              <w:pStyle w:val="42"/>
              <w:keepNext w:val="0"/>
              <w:keepLines w:val="0"/>
              <w:suppressLineNumbers w:val="0"/>
              <w:bidi w:val="0"/>
              <w:spacing w:before="0" w:beforeAutospacing="0" w:after="0" w:afterAutospacing="0"/>
              <w:rPr>
                <w:rFonts w:hint="default"/>
              </w:rPr>
            </w:pPr>
          </w:p>
        </w:tc>
        <w:tc>
          <w:tcPr>
            <w:tcW w:w="644" w:type="pct"/>
            <w:vMerge w:val="continue"/>
            <w:tcBorders>
              <w:tl2br w:val="nil"/>
              <w:tr2bl w:val="nil"/>
            </w:tcBorders>
            <w:vAlign w:val="center"/>
          </w:tcPr>
          <w:p w14:paraId="7700BF07">
            <w:pPr>
              <w:pStyle w:val="42"/>
              <w:keepNext w:val="0"/>
              <w:keepLines w:val="0"/>
              <w:suppressLineNumbers w:val="0"/>
              <w:bidi w:val="0"/>
              <w:spacing w:before="0" w:beforeAutospacing="0" w:after="0" w:afterAutospacing="0"/>
              <w:rPr>
                <w:rFonts w:hint="default"/>
              </w:rPr>
            </w:pPr>
          </w:p>
        </w:tc>
        <w:tc>
          <w:tcPr>
            <w:tcW w:w="811" w:type="pct"/>
            <w:tcBorders>
              <w:tl2br w:val="nil"/>
              <w:tr2bl w:val="nil"/>
            </w:tcBorders>
            <w:vAlign w:val="center"/>
          </w:tcPr>
          <w:p w14:paraId="515E75C5">
            <w:pPr>
              <w:pStyle w:val="42"/>
              <w:keepNext w:val="0"/>
              <w:keepLines w:val="0"/>
              <w:suppressLineNumbers w:val="0"/>
              <w:bidi w:val="0"/>
              <w:spacing w:before="0" w:beforeAutospacing="0" w:after="0" w:afterAutospacing="0"/>
              <w:rPr>
                <w:rFonts w:hint="eastAsia"/>
              </w:rPr>
            </w:pPr>
            <w:r>
              <w:rPr>
                <w:rFonts w:hint="eastAsia"/>
              </w:rPr>
              <w:t>废油</w:t>
            </w:r>
          </w:p>
        </w:tc>
        <w:tc>
          <w:tcPr>
            <w:tcW w:w="1850" w:type="pct"/>
            <w:tcBorders>
              <w:tl2br w:val="nil"/>
              <w:tr2bl w:val="nil"/>
            </w:tcBorders>
            <w:vAlign w:val="center"/>
          </w:tcPr>
          <w:p w14:paraId="128D7CCA">
            <w:pPr>
              <w:pStyle w:val="42"/>
              <w:keepNext w:val="0"/>
              <w:keepLines w:val="0"/>
              <w:suppressLineNumbers w:val="0"/>
              <w:bidi w:val="0"/>
              <w:spacing w:before="0" w:beforeAutospacing="0" w:after="0" w:afterAutospacing="0"/>
              <w:rPr>
                <w:rFonts w:hint="default"/>
              </w:rPr>
            </w:pPr>
            <w:r>
              <w:rPr>
                <w:rFonts w:hint="eastAsia"/>
              </w:rPr>
              <w:t>委托</w:t>
            </w:r>
            <w:r>
              <w:rPr>
                <w:rFonts w:hint="eastAsia"/>
                <w:lang w:val="en-US" w:eastAsia="zh-CN"/>
              </w:rPr>
              <w:t>资质单位</w:t>
            </w:r>
            <w:r>
              <w:rPr>
                <w:rFonts w:hint="eastAsia"/>
              </w:rPr>
              <w:t>进行清掏清运处理</w:t>
            </w:r>
          </w:p>
        </w:tc>
        <w:tc>
          <w:tcPr>
            <w:tcW w:w="1302" w:type="pct"/>
            <w:vMerge w:val="continue"/>
            <w:tcBorders>
              <w:tl2br w:val="nil"/>
              <w:tr2bl w:val="nil"/>
            </w:tcBorders>
            <w:vAlign w:val="center"/>
          </w:tcPr>
          <w:p w14:paraId="58EA252C">
            <w:pPr>
              <w:pStyle w:val="42"/>
              <w:keepNext w:val="0"/>
              <w:keepLines w:val="0"/>
              <w:suppressLineNumbers w:val="0"/>
              <w:bidi w:val="0"/>
              <w:spacing w:before="0" w:beforeAutospacing="0" w:after="0" w:afterAutospacing="0"/>
              <w:rPr>
                <w:rFonts w:hint="default"/>
              </w:rPr>
            </w:pPr>
          </w:p>
        </w:tc>
      </w:tr>
      <w:tr w14:paraId="57D23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5F3CF5CA">
            <w:pPr>
              <w:pStyle w:val="42"/>
              <w:keepNext w:val="0"/>
              <w:keepLines w:val="0"/>
              <w:suppressLineNumbers w:val="0"/>
              <w:bidi w:val="0"/>
              <w:spacing w:before="0" w:beforeAutospacing="0" w:after="0" w:afterAutospacing="0"/>
              <w:rPr>
                <w:rFonts w:hint="default"/>
              </w:rPr>
            </w:pPr>
          </w:p>
        </w:tc>
        <w:tc>
          <w:tcPr>
            <w:tcW w:w="644" w:type="pct"/>
            <w:vMerge w:val="continue"/>
            <w:tcBorders>
              <w:tl2br w:val="nil"/>
              <w:tr2bl w:val="nil"/>
            </w:tcBorders>
            <w:vAlign w:val="center"/>
          </w:tcPr>
          <w:p w14:paraId="406DC72C">
            <w:pPr>
              <w:pStyle w:val="42"/>
              <w:keepNext w:val="0"/>
              <w:keepLines w:val="0"/>
              <w:suppressLineNumbers w:val="0"/>
              <w:bidi w:val="0"/>
              <w:spacing w:before="0" w:beforeAutospacing="0" w:after="0" w:afterAutospacing="0"/>
              <w:rPr>
                <w:rFonts w:hint="default"/>
              </w:rPr>
            </w:pPr>
          </w:p>
        </w:tc>
        <w:tc>
          <w:tcPr>
            <w:tcW w:w="811" w:type="pct"/>
            <w:tcBorders>
              <w:tl2br w:val="nil"/>
              <w:tr2bl w:val="nil"/>
            </w:tcBorders>
            <w:vAlign w:val="center"/>
          </w:tcPr>
          <w:p w14:paraId="011C8A41">
            <w:pPr>
              <w:pStyle w:val="42"/>
              <w:keepNext w:val="0"/>
              <w:keepLines w:val="0"/>
              <w:suppressLineNumbers w:val="0"/>
              <w:bidi w:val="0"/>
              <w:spacing w:before="0" w:beforeAutospacing="0" w:after="0" w:afterAutospacing="0"/>
              <w:rPr>
                <w:rFonts w:hint="default"/>
              </w:rPr>
            </w:pPr>
            <w:r>
              <w:rPr>
                <w:rFonts w:hint="default"/>
              </w:rPr>
              <w:t>污泥</w:t>
            </w:r>
          </w:p>
        </w:tc>
        <w:tc>
          <w:tcPr>
            <w:tcW w:w="1850" w:type="pct"/>
            <w:tcBorders>
              <w:tl2br w:val="nil"/>
              <w:tr2bl w:val="nil"/>
            </w:tcBorders>
            <w:vAlign w:val="center"/>
          </w:tcPr>
          <w:p w14:paraId="5E1F9253">
            <w:pPr>
              <w:pStyle w:val="42"/>
              <w:keepNext w:val="0"/>
              <w:keepLines w:val="0"/>
              <w:suppressLineNumbers w:val="0"/>
              <w:bidi w:val="0"/>
              <w:spacing w:before="0" w:beforeAutospacing="0" w:after="0" w:afterAutospacing="0"/>
              <w:rPr>
                <w:rFonts w:hint="default"/>
                <w:lang w:val="en-US" w:eastAsia="zh-CN"/>
              </w:rPr>
            </w:pPr>
            <w:r>
              <w:rPr>
                <w:rFonts w:hint="default"/>
              </w:rPr>
              <w:t>脱水后</w:t>
            </w:r>
            <w:r>
              <w:rPr>
                <w:rFonts w:hint="eastAsia"/>
                <w:lang w:val="en-US" w:eastAsia="zh-CN"/>
              </w:rPr>
              <w:t>外运综合利用</w:t>
            </w:r>
          </w:p>
        </w:tc>
        <w:tc>
          <w:tcPr>
            <w:tcW w:w="1302" w:type="pct"/>
            <w:tcBorders>
              <w:tl2br w:val="nil"/>
              <w:tr2bl w:val="nil"/>
            </w:tcBorders>
            <w:vAlign w:val="center"/>
          </w:tcPr>
          <w:p w14:paraId="3615A19C">
            <w:pPr>
              <w:pStyle w:val="42"/>
              <w:keepNext w:val="0"/>
              <w:keepLines w:val="0"/>
              <w:suppressLineNumbers w:val="0"/>
              <w:bidi w:val="0"/>
              <w:spacing w:before="0" w:beforeAutospacing="0" w:after="0" w:afterAutospacing="0"/>
              <w:rPr>
                <w:rFonts w:hint="default"/>
              </w:rPr>
            </w:pPr>
            <w:r>
              <w:rPr>
                <w:rFonts w:hint="eastAsia"/>
              </w:rPr>
              <w:t>《城镇污水处理厂污染物排放标准》（GB18918-2002）表5污泥稳定化控制指标</w:t>
            </w:r>
          </w:p>
        </w:tc>
      </w:tr>
      <w:tr w14:paraId="7A8A1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Merge w:val="continue"/>
            <w:tcBorders>
              <w:tl2br w:val="nil"/>
              <w:tr2bl w:val="nil"/>
            </w:tcBorders>
            <w:vAlign w:val="center"/>
          </w:tcPr>
          <w:p w14:paraId="1877F53C">
            <w:pPr>
              <w:pStyle w:val="42"/>
              <w:keepNext w:val="0"/>
              <w:keepLines w:val="0"/>
              <w:suppressLineNumbers w:val="0"/>
              <w:bidi w:val="0"/>
              <w:spacing w:before="0" w:beforeAutospacing="0" w:after="0" w:afterAutospacing="0"/>
              <w:rPr>
                <w:rFonts w:hint="default"/>
              </w:rPr>
            </w:pPr>
          </w:p>
        </w:tc>
        <w:tc>
          <w:tcPr>
            <w:tcW w:w="644" w:type="pct"/>
            <w:tcBorders>
              <w:tl2br w:val="nil"/>
              <w:tr2bl w:val="nil"/>
            </w:tcBorders>
            <w:vAlign w:val="center"/>
          </w:tcPr>
          <w:p w14:paraId="16D59D7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废气处理</w:t>
            </w:r>
          </w:p>
        </w:tc>
        <w:tc>
          <w:tcPr>
            <w:tcW w:w="811" w:type="pct"/>
            <w:tcBorders>
              <w:tl2br w:val="nil"/>
              <w:tr2bl w:val="nil"/>
            </w:tcBorders>
            <w:vAlign w:val="center"/>
          </w:tcPr>
          <w:p w14:paraId="5665DF08">
            <w:pPr>
              <w:pStyle w:val="42"/>
              <w:keepNext w:val="0"/>
              <w:keepLines w:val="0"/>
              <w:suppressLineNumbers w:val="0"/>
              <w:bidi w:val="0"/>
              <w:spacing w:before="0" w:beforeAutospacing="0" w:after="0" w:afterAutospacing="0"/>
              <w:rPr>
                <w:rFonts w:hint="default"/>
              </w:rPr>
            </w:pPr>
            <w:r>
              <w:rPr>
                <w:rFonts w:hint="eastAsia"/>
              </w:rPr>
              <w:t>废机油及废机油桶、含油抹布、手套、劳保用品</w:t>
            </w:r>
          </w:p>
        </w:tc>
        <w:tc>
          <w:tcPr>
            <w:tcW w:w="1850" w:type="pct"/>
            <w:tcBorders>
              <w:tl2br w:val="nil"/>
              <w:tr2bl w:val="nil"/>
            </w:tcBorders>
            <w:vAlign w:val="center"/>
          </w:tcPr>
          <w:p w14:paraId="4B202FA0">
            <w:pPr>
              <w:pStyle w:val="42"/>
              <w:keepNext w:val="0"/>
              <w:keepLines w:val="0"/>
              <w:suppressLineNumbers w:val="0"/>
              <w:bidi w:val="0"/>
              <w:spacing w:before="0" w:beforeAutospacing="0" w:after="0" w:afterAutospacing="0"/>
              <w:rPr>
                <w:rFonts w:hint="default"/>
              </w:rPr>
            </w:pPr>
            <w:r>
              <w:rPr>
                <w:rFonts w:hint="eastAsia"/>
              </w:rPr>
              <w:t>建设一间危废间（</w:t>
            </w:r>
            <w:r>
              <w:rPr>
                <w:rFonts w:hint="eastAsia"/>
                <w:lang w:val="en-US" w:eastAsia="zh-CN"/>
              </w:rPr>
              <w:t>5</w:t>
            </w:r>
            <w:r>
              <w:rPr>
                <w:rFonts w:hint="eastAsia"/>
              </w:rPr>
              <w:t>㎡），在危废仓库暂存后定期交由有资质单位处理</w:t>
            </w:r>
          </w:p>
        </w:tc>
        <w:tc>
          <w:tcPr>
            <w:tcW w:w="1302" w:type="pct"/>
            <w:tcBorders>
              <w:tl2br w:val="nil"/>
              <w:tr2bl w:val="nil"/>
            </w:tcBorders>
            <w:vAlign w:val="center"/>
          </w:tcPr>
          <w:p w14:paraId="55C410D8">
            <w:pPr>
              <w:pStyle w:val="42"/>
              <w:keepNext w:val="0"/>
              <w:keepLines w:val="0"/>
              <w:suppressLineNumbers w:val="0"/>
              <w:bidi w:val="0"/>
              <w:spacing w:before="0" w:beforeAutospacing="0" w:after="0" w:afterAutospacing="0"/>
              <w:rPr>
                <w:rFonts w:hint="default"/>
              </w:rPr>
            </w:pPr>
            <w:r>
              <w:rPr>
                <w:rFonts w:hint="eastAsia"/>
              </w:rPr>
              <w:t>《危险废物贮存污染控制标准》（GB18597-2023）</w:t>
            </w:r>
          </w:p>
        </w:tc>
      </w:tr>
      <w:tr w14:paraId="19FE4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tcBorders>
              <w:tl2br w:val="nil"/>
              <w:tr2bl w:val="nil"/>
            </w:tcBorders>
            <w:vAlign w:val="center"/>
          </w:tcPr>
          <w:p w14:paraId="40623CD8">
            <w:pPr>
              <w:pStyle w:val="42"/>
              <w:keepNext w:val="0"/>
              <w:keepLines w:val="0"/>
              <w:suppressLineNumbers w:val="0"/>
              <w:bidi w:val="0"/>
              <w:spacing w:before="0" w:beforeAutospacing="0" w:after="0" w:afterAutospacing="0"/>
              <w:rPr>
                <w:rFonts w:hint="default"/>
              </w:rPr>
            </w:pPr>
            <w:r>
              <w:rPr>
                <w:rFonts w:hint="default"/>
              </w:rPr>
              <w:t>噪声</w:t>
            </w:r>
          </w:p>
        </w:tc>
        <w:tc>
          <w:tcPr>
            <w:tcW w:w="644" w:type="pct"/>
            <w:tcBorders>
              <w:tl2br w:val="nil"/>
              <w:tr2bl w:val="nil"/>
            </w:tcBorders>
            <w:vAlign w:val="center"/>
          </w:tcPr>
          <w:p w14:paraId="72B0C08B">
            <w:pPr>
              <w:pStyle w:val="42"/>
              <w:keepNext w:val="0"/>
              <w:keepLines w:val="0"/>
              <w:suppressLineNumbers w:val="0"/>
              <w:bidi w:val="0"/>
              <w:spacing w:before="0" w:beforeAutospacing="0" w:after="0" w:afterAutospacing="0"/>
              <w:rPr>
                <w:rFonts w:hint="default"/>
              </w:rPr>
            </w:pPr>
            <w:r>
              <w:rPr>
                <w:rFonts w:hint="default"/>
              </w:rPr>
              <w:t>设备</w:t>
            </w:r>
          </w:p>
        </w:tc>
        <w:tc>
          <w:tcPr>
            <w:tcW w:w="811" w:type="pct"/>
            <w:tcBorders>
              <w:tl2br w:val="nil"/>
              <w:tr2bl w:val="nil"/>
            </w:tcBorders>
            <w:vAlign w:val="center"/>
          </w:tcPr>
          <w:p w14:paraId="277DACA3">
            <w:pPr>
              <w:pStyle w:val="42"/>
              <w:keepNext w:val="0"/>
              <w:keepLines w:val="0"/>
              <w:suppressLineNumbers w:val="0"/>
              <w:bidi w:val="0"/>
              <w:spacing w:before="0" w:beforeAutospacing="0" w:after="0" w:afterAutospacing="0"/>
              <w:rPr>
                <w:rFonts w:hint="default"/>
              </w:rPr>
            </w:pPr>
            <w:r>
              <w:rPr>
                <w:rFonts w:hint="default"/>
              </w:rPr>
              <w:t>设备噪声</w:t>
            </w:r>
          </w:p>
        </w:tc>
        <w:tc>
          <w:tcPr>
            <w:tcW w:w="1850" w:type="pct"/>
            <w:tcBorders>
              <w:tl2br w:val="nil"/>
              <w:tr2bl w:val="nil"/>
            </w:tcBorders>
            <w:vAlign w:val="center"/>
          </w:tcPr>
          <w:p w14:paraId="1401CC53">
            <w:pPr>
              <w:pStyle w:val="42"/>
              <w:keepNext w:val="0"/>
              <w:keepLines w:val="0"/>
              <w:suppressLineNumbers w:val="0"/>
              <w:bidi w:val="0"/>
              <w:spacing w:before="0" w:beforeAutospacing="0" w:after="0" w:afterAutospacing="0"/>
              <w:rPr>
                <w:rFonts w:hint="default"/>
              </w:rPr>
            </w:pPr>
            <w:r>
              <w:rPr>
                <w:rFonts w:hint="default"/>
              </w:rPr>
              <w:t>选取低噪声设备，设备隔声减振、墙体隔声</w:t>
            </w:r>
          </w:p>
        </w:tc>
        <w:tc>
          <w:tcPr>
            <w:tcW w:w="1302" w:type="pct"/>
            <w:tcBorders>
              <w:tl2br w:val="nil"/>
              <w:tr2bl w:val="nil"/>
            </w:tcBorders>
            <w:vAlign w:val="center"/>
          </w:tcPr>
          <w:p w14:paraId="2FA8EFF3">
            <w:pPr>
              <w:pStyle w:val="42"/>
              <w:keepNext w:val="0"/>
              <w:keepLines w:val="0"/>
              <w:suppressLineNumbers w:val="0"/>
              <w:bidi w:val="0"/>
              <w:spacing w:before="0" w:beforeAutospacing="0" w:after="0" w:afterAutospacing="0"/>
              <w:rPr>
                <w:rFonts w:hint="default"/>
              </w:rPr>
            </w:pPr>
            <w:r>
              <w:rPr>
                <w:rFonts w:hint="default"/>
              </w:rPr>
              <w:t>《工业企业厂界环境噪声排放标准》（GB12348-2008）</w:t>
            </w:r>
          </w:p>
        </w:tc>
      </w:tr>
      <w:tr w14:paraId="544FC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391" w:type="pct"/>
            <w:tcBorders>
              <w:tl2br w:val="nil"/>
              <w:tr2bl w:val="nil"/>
            </w:tcBorders>
            <w:vAlign w:val="center"/>
          </w:tcPr>
          <w:p w14:paraId="27E87834">
            <w:pPr>
              <w:pStyle w:val="42"/>
              <w:keepNext w:val="0"/>
              <w:keepLines w:val="0"/>
              <w:suppressLineNumbers w:val="0"/>
              <w:bidi w:val="0"/>
              <w:spacing w:before="0" w:beforeAutospacing="0" w:after="0" w:afterAutospacing="0"/>
              <w:rPr>
                <w:rFonts w:hint="default"/>
              </w:rPr>
            </w:pPr>
            <w:r>
              <w:rPr>
                <w:rFonts w:hint="default"/>
              </w:rPr>
              <w:t>地下水</w:t>
            </w:r>
          </w:p>
        </w:tc>
        <w:tc>
          <w:tcPr>
            <w:tcW w:w="1455" w:type="pct"/>
            <w:gridSpan w:val="2"/>
            <w:tcBorders>
              <w:tl2br w:val="nil"/>
              <w:tr2bl w:val="nil"/>
            </w:tcBorders>
            <w:vAlign w:val="center"/>
          </w:tcPr>
          <w:p w14:paraId="7D0AF403">
            <w:pPr>
              <w:pStyle w:val="42"/>
              <w:keepNext w:val="0"/>
              <w:keepLines w:val="0"/>
              <w:suppressLineNumbers w:val="0"/>
              <w:bidi w:val="0"/>
              <w:spacing w:before="0" w:beforeAutospacing="0" w:after="0" w:afterAutospacing="0"/>
              <w:rPr>
                <w:rFonts w:hint="default"/>
              </w:rPr>
            </w:pPr>
            <w:r>
              <w:rPr>
                <w:rFonts w:hint="eastAsia"/>
              </w:rPr>
              <w:t>厂区采用分级防渗措施</w:t>
            </w:r>
          </w:p>
        </w:tc>
        <w:tc>
          <w:tcPr>
            <w:tcW w:w="1850" w:type="pct"/>
            <w:tcBorders>
              <w:tl2br w:val="nil"/>
              <w:tr2bl w:val="nil"/>
            </w:tcBorders>
            <w:vAlign w:val="center"/>
          </w:tcPr>
          <w:p w14:paraId="4A91D8AD">
            <w:pPr>
              <w:pStyle w:val="42"/>
              <w:keepNext w:val="0"/>
              <w:keepLines w:val="0"/>
              <w:suppressLineNumbers w:val="0"/>
              <w:bidi w:val="0"/>
              <w:spacing w:before="0" w:beforeAutospacing="0" w:after="0" w:afterAutospacing="0"/>
              <w:rPr>
                <w:rFonts w:hint="default"/>
              </w:rPr>
            </w:pPr>
            <w:r>
              <w:rPr>
                <w:rFonts w:hint="eastAsia"/>
              </w:rPr>
              <w:t>厂区内防渗设施建设情况等</w:t>
            </w:r>
          </w:p>
        </w:tc>
        <w:tc>
          <w:tcPr>
            <w:tcW w:w="1302" w:type="pct"/>
            <w:tcBorders>
              <w:tl2br w:val="nil"/>
              <w:tr2bl w:val="nil"/>
            </w:tcBorders>
            <w:vAlign w:val="center"/>
          </w:tcPr>
          <w:p w14:paraId="38475221">
            <w:pPr>
              <w:pStyle w:val="42"/>
              <w:keepNext w:val="0"/>
              <w:keepLines w:val="0"/>
              <w:suppressLineNumbers w:val="0"/>
              <w:bidi w:val="0"/>
              <w:spacing w:before="0" w:beforeAutospacing="0" w:after="0" w:afterAutospacing="0"/>
              <w:rPr>
                <w:rFonts w:hint="default"/>
              </w:rPr>
            </w:pPr>
            <w:r>
              <w:rPr>
                <w:rFonts w:hint="default"/>
              </w:rPr>
              <w:t>/</w:t>
            </w:r>
          </w:p>
        </w:tc>
      </w:tr>
      <w:tr w14:paraId="57FEFE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1847" w:type="pct"/>
            <w:gridSpan w:val="3"/>
            <w:tcBorders>
              <w:tl2br w:val="nil"/>
              <w:tr2bl w:val="nil"/>
            </w:tcBorders>
            <w:vAlign w:val="center"/>
          </w:tcPr>
          <w:p w14:paraId="27A7594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环境风险</w:t>
            </w:r>
          </w:p>
        </w:tc>
        <w:tc>
          <w:tcPr>
            <w:tcW w:w="1850" w:type="pct"/>
            <w:tcBorders>
              <w:tl2br w:val="nil"/>
              <w:tr2bl w:val="nil"/>
            </w:tcBorders>
            <w:vAlign w:val="center"/>
          </w:tcPr>
          <w:p w14:paraId="4880EDA8">
            <w:pPr>
              <w:pStyle w:val="42"/>
              <w:keepNext w:val="0"/>
              <w:keepLines w:val="0"/>
              <w:suppressLineNumbers w:val="0"/>
              <w:bidi w:val="0"/>
              <w:spacing w:before="0" w:beforeAutospacing="0" w:after="0" w:afterAutospacing="0"/>
              <w:rPr>
                <w:rFonts w:hint="eastAsia"/>
              </w:rPr>
            </w:pPr>
            <w:r>
              <w:rPr>
                <w:rFonts w:hint="eastAsia"/>
              </w:rPr>
              <w:t>事故应急池（</w:t>
            </w:r>
            <w:r>
              <w:rPr>
                <w:rFonts w:hint="eastAsia"/>
                <w:lang w:val="en-US" w:eastAsia="zh-CN"/>
              </w:rPr>
              <w:t>200</w:t>
            </w:r>
            <w:r>
              <w:rPr>
                <w:rFonts w:hint="eastAsia"/>
                <w:lang w:eastAsia="zh-CN"/>
              </w:rPr>
              <w:t>m</w:t>
            </w:r>
            <w:r>
              <w:rPr>
                <w:rFonts w:hint="eastAsia"/>
                <w:vertAlign w:val="superscript"/>
                <w:lang w:eastAsia="zh-CN"/>
              </w:rPr>
              <w:t>3</w:t>
            </w:r>
            <w:r>
              <w:rPr>
                <w:rFonts w:hint="eastAsia"/>
              </w:rPr>
              <w:t>）</w:t>
            </w:r>
          </w:p>
        </w:tc>
        <w:tc>
          <w:tcPr>
            <w:tcW w:w="1302" w:type="pct"/>
            <w:tcBorders>
              <w:tl2br w:val="nil"/>
              <w:tr2bl w:val="nil"/>
            </w:tcBorders>
            <w:vAlign w:val="center"/>
          </w:tcPr>
          <w:p w14:paraId="56C19AE9">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w:t>
            </w:r>
          </w:p>
        </w:tc>
      </w:tr>
      <w:tr w14:paraId="3F5D3E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391" w:type="pct"/>
            <w:tcBorders>
              <w:tl2br w:val="nil"/>
              <w:tr2bl w:val="nil"/>
            </w:tcBorders>
            <w:vAlign w:val="center"/>
          </w:tcPr>
          <w:p w14:paraId="33765014">
            <w:pPr>
              <w:pStyle w:val="42"/>
              <w:keepNext w:val="0"/>
              <w:keepLines w:val="0"/>
              <w:suppressLineNumbers w:val="0"/>
              <w:bidi w:val="0"/>
              <w:spacing w:before="0" w:beforeAutospacing="0" w:after="0" w:afterAutospacing="0"/>
              <w:rPr>
                <w:rFonts w:hint="default"/>
              </w:rPr>
            </w:pPr>
            <w:r>
              <w:rPr>
                <w:rFonts w:hint="eastAsia"/>
              </w:rPr>
              <w:t>排污口规范化</w:t>
            </w:r>
          </w:p>
        </w:tc>
        <w:tc>
          <w:tcPr>
            <w:tcW w:w="3306" w:type="pct"/>
            <w:gridSpan w:val="3"/>
            <w:tcBorders>
              <w:tl2br w:val="nil"/>
              <w:tr2bl w:val="nil"/>
            </w:tcBorders>
            <w:vAlign w:val="center"/>
          </w:tcPr>
          <w:p w14:paraId="1F665231">
            <w:pPr>
              <w:pStyle w:val="42"/>
              <w:keepNext w:val="0"/>
              <w:keepLines w:val="0"/>
              <w:suppressLineNumbers w:val="0"/>
              <w:bidi w:val="0"/>
              <w:spacing w:before="0" w:beforeAutospacing="0" w:after="0" w:afterAutospacing="0"/>
              <w:rPr>
                <w:rFonts w:hint="default"/>
              </w:rPr>
            </w:pPr>
            <w:r>
              <w:rPr>
                <w:rFonts w:hint="eastAsia"/>
              </w:rPr>
              <w:t>废气：在废气排放口设置排放口标志牌，排污口设置应符合国家规范要求；废水：在外排废水总排口设置明显排污口标志及安装污水流量计，排污口设置应符合国家规范要求；噪声：固定噪声源对边界影响最大处，设置噪声监测点；固废：设置专用的贮存设施、堆放场地，在固废贮存场所设置醒目的环境保护标志牌。</w:t>
            </w:r>
          </w:p>
        </w:tc>
        <w:tc>
          <w:tcPr>
            <w:tcW w:w="1302" w:type="pct"/>
            <w:tcBorders>
              <w:tl2br w:val="nil"/>
              <w:tr2bl w:val="nil"/>
            </w:tcBorders>
            <w:vAlign w:val="center"/>
          </w:tcPr>
          <w:p w14:paraId="121BCA04">
            <w:pPr>
              <w:pStyle w:val="42"/>
              <w:keepNext w:val="0"/>
              <w:keepLines w:val="0"/>
              <w:suppressLineNumbers w:val="0"/>
              <w:bidi w:val="0"/>
              <w:spacing w:before="0" w:beforeAutospacing="0" w:after="0" w:afterAutospacing="0"/>
              <w:rPr>
                <w:rFonts w:hint="default"/>
              </w:rPr>
            </w:pPr>
            <w:r>
              <w:rPr>
                <w:rFonts w:hint="eastAsia"/>
              </w:rPr>
              <w:t>《环境保护图形标志—排放口（源）》（GB15562.1-1995）和《环境保护图形标志—固体废物贮存（处置）场》（GB15562.2-1995）</w:t>
            </w:r>
          </w:p>
        </w:tc>
      </w:tr>
      <w:tr w14:paraId="1DC048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tcBorders>
              <w:tl2br w:val="nil"/>
              <w:tr2bl w:val="nil"/>
            </w:tcBorders>
            <w:vAlign w:val="center"/>
          </w:tcPr>
          <w:p w14:paraId="23AE8816">
            <w:pPr>
              <w:pStyle w:val="42"/>
              <w:keepNext w:val="0"/>
              <w:keepLines w:val="0"/>
              <w:suppressLineNumbers w:val="0"/>
              <w:bidi w:val="0"/>
              <w:spacing w:before="0" w:beforeAutospacing="0" w:after="0" w:afterAutospacing="0"/>
              <w:rPr>
                <w:rFonts w:hint="default"/>
              </w:rPr>
            </w:pPr>
            <w:r>
              <w:rPr>
                <w:rFonts w:hint="eastAsia"/>
              </w:rPr>
              <w:t>环境管理</w:t>
            </w:r>
          </w:p>
        </w:tc>
        <w:tc>
          <w:tcPr>
            <w:tcW w:w="1455" w:type="pct"/>
            <w:gridSpan w:val="2"/>
            <w:tcBorders>
              <w:tl2br w:val="nil"/>
              <w:tr2bl w:val="nil"/>
            </w:tcBorders>
            <w:vAlign w:val="center"/>
          </w:tcPr>
          <w:p w14:paraId="65951B13">
            <w:pPr>
              <w:pStyle w:val="42"/>
              <w:keepNext w:val="0"/>
              <w:keepLines w:val="0"/>
              <w:suppressLineNumbers w:val="0"/>
              <w:bidi w:val="0"/>
              <w:spacing w:before="0" w:beforeAutospacing="0" w:after="0" w:afterAutospacing="0"/>
              <w:rPr>
                <w:rFonts w:hint="default"/>
              </w:rPr>
            </w:pPr>
            <w:r>
              <w:rPr>
                <w:rFonts w:hint="eastAsia"/>
              </w:rPr>
              <w:t>环境管理文件，监测计划。</w:t>
            </w:r>
          </w:p>
        </w:tc>
        <w:tc>
          <w:tcPr>
            <w:tcW w:w="1850" w:type="pct"/>
            <w:tcBorders>
              <w:tl2br w:val="nil"/>
              <w:tr2bl w:val="nil"/>
            </w:tcBorders>
            <w:vAlign w:val="center"/>
          </w:tcPr>
          <w:p w14:paraId="2AA96168">
            <w:pPr>
              <w:pStyle w:val="42"/>
              <w:keepNext w:val="0"/>
              <w:keepLines w:val="0"/>
              <w:suppressLineNumbers w:val="0"/>
              <w:bidi w:val="0"/>
              <w:spacing w:before="0" w:beforeAutospacing="0" w:after="0" w:afterAutospacing="0"/>
              <w:rPr>
                <w:rFonts w:hint="default"/>
              </w:rPr>
            </w:pPr>
            <w:r>
              <w:rPr>
                <w:rFonts w:hint="eastAsia"/>
              </w:rPr>
              <w:t>在线监测设备</w:t>
            </w:r>
          </w:p>
        </w:tc>
        <w:tc>
          <w:tcPr>
            <w:tcW w:w="1302" w:type="pct"/>
            <w:tcBorders>
              <w:tl2br w:val="nil"/>
              <w:tr2bl w:val="nil"/>
            </w:tcBorders>
            <w:vAlign w:val="center"/>
          </w:tcPr>
          <w:p w14:paraId="473EE392">
            <w:pPr>
              <w:pStyle w:val="42"/>
              <w:keepNext w:val="0"/>
              <w:keepLines w:val="0"/>
              <w:suppressLineNumbers w:val="0"/>
              <w:bidi w:val="0"/>
              <w:spacing w:before="0" w:beforeAutospacing="0" w:after="0" w:afterAutospacing="0"/>
              <w:rPr>
                <w:rFonts w:hint="default"/>
              </w:rPr>
            </w:pPr>
            <w:r>
              <w:rPr>
                <w:rFonts w:hint="default"/>
              </w:rPr>
              <w:t>/</w:t>
            </w:r>
          </w:p>
        </w:tc>
      </w:tr>
    </w:tbl>
    <w:p w14:paraId="035B2CE8">
      <w:pPr>
        <w:pStyle w:val="5"/>
        <w:bidi w:val="0"/>
        <w:rPr>
          <w:rFonts w:hint="default"/>
        </w:rPr>
      </w:pPr>
      <w:bookmarkStart w:id="233" w:name="_Toc645"/>
      <w:r>
        <w:rPr>
          <w:rFonts w:hint="default"/>
        </w:rPr>
        <w:t>排污口规范化管理</w:t>
      </w:r>
      <w:bookmarkEnd w:id="201"/>
      <w:bookmarkEnd w:id="202"/>
      <w:bookmarkEnd w:id="203"/>
      <w:bookmarkEnd w:id="204"/>
      <w:bookmarkEnd w:id="233"/>
    </w:p>
    <w:p w14:paraId="7C8A122B">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根据《关于开展排放口规范化整治工作的通知》（国家环境保护总局环发〔1999〕24号）和《排放口规范化整治技术》（国家环境保护总局环发〔1999〕24号文）文件的要求，一切新建、改建的排污单位以及限期治理的排污单位，必须在建设污染治理设施的同时，建设规范化排污口。因此，建设单位在投产时，各类排污口必须规范化建设和管理，而且规范化工作应与污染治理同步实施，即治理设施完工时，规范化工作必须同时完成，并列入污染物治理设施的验收内容。</w:t>
      </w:r>
    </w:p>
    <w:p w14:paraId="04156913">
      <w:pPr>
        <w:ind w:firstLine="480"/>
        <w:jc w:val="left"/>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排污口是企业排放污染物进入环境的通道，强化排污口的管理是实施污染物总量控制的基础工作之一，也是区域环境管理逐步实现污染物排放的科学化、定量化的重要手段。</w:t>
      </w:r>
    </w:p>
    <w:p w14:paraId="3B2FDA81">
      <w:pPr>
        <w:ind w:firstLine="480"/>
        <w:jc w:val="left"/>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（1）工艺废气排放口</w:t>
      </w:r>
    </w:p>
    <w:p w14:paraId="3A898717">
      <w:pPr>
        <w:ind w:firstLine="480"/>
        <w:jc w:val="left"/>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本项目</w:t>
      </w:r>
      <w:r>
        <w:rPr>
          <w:rFonts w:hint="eastAsia" w:ascii="Times New Roman" w:hAnsi="Times New Roman" w:cs="Times New Roman"/>
          <w:color w:val="auto"/>
          <w:highlight w:val="none"/>
          <w:u w:val="none" w:color="auto"/>
          <w:lang w:val="en-US" w:eastAsia="zh-CN"/>
        </w:rPr>
        <w:t>恶臭等</w:t>
      </w:r>
      <w:r>
        <w:rPr>
          <w:rFonts w:hint="default" w:ascii="Times New Roman" w:hAnsi="Times New Roman" w:eastAsia="宋体" w:cs="Times New Roman"/>
          <w:color w:val="auto"/>
          <w:highlight w:val="none"/>
          <w:u w:val="none" w:color="auto"/>
          <w:lang w:val="zh-CN"/>
        </w:rPr>
        <w:t>排放口应设置采样口，采样口的设置应符合《污染源监测技术规范》要求，同时安装环境图形标志。</w:t>
      </w:r>
    </w:p>
    <w:p w14:paraId="1FEAE930">
      <w:pPr>
        <w:ind w:firstLine="480"/>
        <w:jc w:val="left"/>
        <w:rPr>
          <w:rFonts w:hint="default" w:ascii="Times New Roman" w:hAnsi="Times New Roman" w:eastAsia="宋体"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（2）污水排放口</w:t>
      </w:r>
    </w:p>
    <w:p w14:paraId="1101409C">
      <w:pPr>
        <w:ind w:firstLine="480"/>
        <w:jc w:val="left"/>
        <w:rPr>
          <w:rFonts w:hint="default" w:ascii="Times New Roman" w:hAnsi="Times New Roman" w:cs="Times New Roman"/>
          <w:color w:val="auto"/>
          <w:highlight w:val="none"/>
          <w:u w:val="none" w:color="auto"/>
          <w:lang w:val="zh-CN"/>
        </w:rPr>
      </w:pPr>
      <w:r>
        <w:rPr>
          <w:rFonts w:hint="default" w:ascii="Times New Roman" w:hAnsi="Times New Roman" w:eastAsia="宋体" w:cs="Times New Roman"/>
          <w:color w:val="auto"/>
          <w:highlight w:val="none"/>
          <w:u w:val="none" w:color="auto"/>
          <w:lang w:val="zh-CN"/>
        </w:rPr>
        <w:t>项目废水总排口应按照《污染源监测技术规范》设置规范的、便于测量流量和流速的测流段和采样点，安装环境</w:t>
      </w:r>
      <w:r>
        <w:rPr>
          <w:rFonts w:hint="default" w:ascii="Times New Roman" w:hAnsi="Times New Roman" w:cs="Times New Roman"/>
          <w:color w:val="auto"/>
          <w:highlight w:val="none"/>
          <w:u w:val="none" w:color="auto"/>
          <w:lang w:val="zh-CN"/>
        </w:rPr>
        <w:t>图形标志。</w:t>
      </w:r>
    </w:p>
    <w:p w14:paraId="7F3857EA">
      <w:pPr>
        <w:ind w:firstLine="480"/>
        <w:jc w:val="left"/>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（3）固废贮存场所</w:t>
      </w:r>
    </w:p>
    <w:p w14:paraId="553BA664">
      <w:pPr>
        <w:ind w:firstLine="480"/>
        <w:jc w:val="left"/>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lang w:val="zh-CN"/>
        </w:rPr>
        <w:t>本项目固废贮存场所应按照GB15562.2安装环境图形标志。</w:t>
      </w:r>
    </w:p>
    <w:p w14:paraId="3E59FC0C">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排污口立标管理</w:t>
      </w:r>
    </w:p>
    <w:p w14:paraId="4EBEF0C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按《环境保护图形标志—排放口（源）》（GB15562.1-1995）规定的图形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在各气、水、声排污口（源）挂牌标识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做到各排污口（源）的环保标志明显</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便于企业管理和公众监督。</w:t>
      </w:r>
    </w:p>
    <w:p w14:paraId="48091CF2">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此外</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应注意以下几点：</w:t>
      </w:r>
    </w:p>
    <w:p w14:paraId="56DFE191">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排污口的环保图形标志牌应设置在靠近采样点的醒目处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标志牌设置高度为其上边缘距离地面约2米；排污口和固体废物堆置场以设置方形标志牌为主</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亦可根据情况设置立面或平面固定式标志牌；</w:t>
      </w:r>
    </w:p>
    <w:p w14:paraId="0BE90C0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废水排放口和固体废物堆场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应设置提示性环境保护图形标志牌。并在以后的运行过程中按照以上原则对排污口进行规范化管理。</w:t>
      </w:r>
    </w:p>
    <w:p w14:paraId="1596FB78">
      <w:pPr>
        <w:pStyle w:val="6"/>
        <w:rPr>
          <w:rFonts w:hint="default" w:ascii="Times New Roman" w:hAnsi="Times New Roman" w:cs="Times New Roman"/>
          <w:color w:val="auto"/>
          <w:highlight w:val="none"/>
          <w:u w:val="none" w:color="auto"/>
        </w:rPr>
      </w:pPr>
      <w:bookmarkStart w:id="234" w:name="8.3.3排污口建档管理"/>
      <w:bookmarkEnd w:id="234"/>
      <w:r>
        <w:rPr>
          <w:rFonts w:hint="default" w:ascii="Times New Roman" w:hAnsi="Times New Roman" w:cs="Times New Roman"/>
          <w:color w:val="auto"/>
          <w:highlight w:val="none"/>
          <w:u w:val="none" w:color="auto"/>
        </w:rPr>
        <w:t>排污口建档管理</w:t>
      </w:r>
    </w:p>
    <w:p w14:paraId="3A7090F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公司在以后的生产过程中应做到：</w:t>
      </w:r>
    </w:p>
    <w:p w14:paraId="2D257B2B">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使用国家环保总局统一印制的《中华人民共和国规范化排污口标志登记证》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 xml:space="preserve"> 并按要求填写有关内容；</w:t>
      </w:r>
    </w:p>
    <w:p w14:paraId="0E012B0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根据排污口管理内容要求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项目建成投产后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应将主要污染物种类、数量、浓度、排放去向、</w:t>
      </w:r>
      <w:r>
        <w:rPr>
          <w:rFonts w:hint="eastAsia" w:ascii="Times New Roman" w:hAnsi="Times New Roman" w:cs="Times New Roman"/>
          <w:color w:val="auto"/>
          <w:highlight w:val="none"/>
          <w:u w:val="none" w:color="auto"/>
          <w:lang w:eastAsia="zh-CN"/>
        </w:rPr>
        <w:t>达标</w:t>
      </w:r>
      <w:r>
        <w:rPr>
          <w:rFonts w:hint="default" w:ascii="Times New Roman" w:hAnsi="Times New Roman" w:cs="Times New Roman"/>
          <w:color w:val="auto"/>
          <w:highlight w:val="none"/>
          <w:u w:val="none" w:color="auto"/>
        </w:rPr>
        <w:t>情况及设施运行情况记录于档案。</w:t>
      </w:r>
    </w:p>
    <w:p w14:paraId="7118A3C1">
      <w:pPr>
        <w:rPr>
          <w:rFonts w:hint="default" w:ascii="Times New Roman" w:hAnsi="Times New Roman" w:cs="Times New Roman"/>
          <w:color w:val="auto"/>
          <w:highlight w:val="none"/>
          <w:u w:val="none" w:color="auto"/>
        </w:rPr>
        <w:sectPr>
          <w:headerReference r:id="rId14" w:type="default"/>
          <w:footerReference r:id="rId1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5931AB4">
      <w:pPr>
        <w:pStyle w:val="6"/>
        <w:rPr>
          <w:rFonts w:hint="default" w:ascii="Times New Roman" w:hAnsi="Times New Roman" w:cs="Times New Roman"/>
          <w:color w:val="auto"/>
          <w:highlight w:val="none"/>
          <w:u w:val="none" w:color="auto"/>
        </w:rPr>
      </w:pPr>
      <w:bookmarkStart w:id="235" w:name="8.3.4排污管理要求"/>
      <w:bookmarkEnd w:id="235"/>
      <w:r>
        <w:rPr>
          <w:rFonts w:hint="default" w:ascii="Times New Roman" w:hAnsi="Times New Roman" w:cs="Times New Roman"/>
          <w:color w:val="auto"/>
          <w:highlight w:val="none"/>
          <w:u w:val="none" w:color="auto"/>
        </w:rPr>
        <w:t>排污管理要求</w:t>
      </w:r>
    </w:p>
    <w:p w14:paraId="5067576E">
      <w:pPr>
        <w:pStyle w:val="3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w:t>
      </w:r>
      <w:r>
        <w:rPr>
          <w:rFonts w:hint="eastAsia" w:cs="Times New Roman"/>
          <w:color w:val="auto"/>
          <w:highlight w:val="none"/>
          <w:u w:val="none" w:color="auto"/>
          <w:lang w:val="en-US" w:eastAsia="zh-CN"/>
        </w:rPr>
        <w:t>9.</w:t>
      </w:r>
      <w:r>
        <w:rPr>
          <w:rFonts w:hint="default" w:ascii="Times New Roman" w:hAnsi="Times New Roman" w:cs="Times New Roman"/>
          <w:color w:val="auto"/>
          <w:highlight w:val="none"/>
          <w:u w:val="none" w:color="auto"/>
          <w:lang w:val="en-US" w:eastAsia="zh-CN"/>
        </w:rPr>
        <w:t>4</w:t>
      </w:r>
      <w:r>
        <w:rPr>
          <w:rFonts w:hint="default" w:ascii="Times New Roman" w:hAnsi="Times New Roman" w:cs="Times New Roman"/>
          <w:color w:val="auto"/>
          <w:highlight w:val="none"/>
          <w:u w:val="none" w:color="auto"/>
        </w:rPr>
        <w:t>-1 项目废气、废水、固废产排污环节、污染物种类、排放形式、污染治理工艺及对应排放口类型一览表</w:t>
      </w:r>
    </w:p>
    <w:tbl>
      <w:tblPr>
        <w:tblStyle w:val="30"/>
        <w:tblW w:w="1474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60"/>
        <w:gridCol w:w="1401"/>
        <w:gridCol w:w="1589"/>
        <w:gridCol w:w="1830"/>
        <w:gridCol w:w="1888"/>
        <w:gridCol w:w="2106"/>
        <w:gridCol w:w="3564"/>
        <w:gridCol w:w="1302"/>
      </w:tblGrid>
      <w:tr w14:paraId="650402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060" w:type="dxa"/>
            <w:noWrap w:val="0"/>
            <w:vAlign w:val="center"/>
          </w:tcPr>
          <w:p w14:paraId="2D7FACDC">
            <w:pPr>
              <w:pStyle w:val="42"/>
              <w:keepNext w:val="0"/>
              <w:keepLines w:val="0"/>
              <w:suppressLineNumbers w:val="0"/>
              <w:bidi w:val="0"/>
              <w:spacing w:before="0" w:beforeAutospacing="0" w:after="0" w:afterAutospacing="0"/>
              <w:rPr>
                <w:rFonts w:hint="default"/>
              </w:rPr>
            </w:pPr>
            <w:r>
              <w:rPr>
                <w:rFonts w:hint="default"/>
              </w:rPr>
              <w:t>污染类别</w:t>
            </w:r>
          </w:p>
        </w:tc>
        <w:tc>
          <w:tcPr>
            <w:tcW w:w="1401" w:type="dxa"/>
            <w:noWrap w:val="0"/>
            <w:vAlign w:val="center"/>
          </w:tcPr>
          <w:p w14:paraId="4997512F">
            <w:pPr>
              <w:pStyle w:val="42"/>
              <w:keepNext w:val="0"/>
              <w:keepLines w:val="0"/>
              <w:suppressLineNumbers w:val="0"/>
              <w:bidi w:val="0"/>
              <w:spacing w:before="0" w:beforeAutospacing="0" w:after="0" w:afterAutospacing="0"/>
              <w:rPr>
                <w:rFonts w:hint="default"/>
              </w:rPr>
            </w:pPr>
            <w:r>
              <w:rPr>
                <w:rFonts w:hint="default"/>
              </w:rPr>
              <w:t>生产单元</w:t>
            </w:r>
          </w:p>
        </w:tc>
        <w:tc>
          <w:tcPr>
            <w:tcW w:w="1589" w:type="dxa"/>
            <w:noWrap w:val="0"/>
            <w:vAlign w:val="center"/>
          </w:tcPr>
          <w:p w14:paraId="5DD5959D">
            <w:pPr>
              <w:pStyle w:val="42"/>
              <w:keepNext w:val="0"/>
              <w:keepLines w:val="0"/>
              <w:suppressLineNumbers w:val="0"/>
              <w:bidi w:val="0"/>
              <w:spacing w:before="0" w:beforeAutospacing="0" w:after="0" w:afterAutospacing="0"/>
              <w:rPr>
                <w:rFonts w:hint="default"/>
              </w:rPr>
            </w:pPr>
            <w:r>
              <w:rPr>
                <w:rFonts w:hint="default"/>
              </w:rPr>
              <w:t>生产工艺</w:t>
            </w:r>
          </w:p>
        </w:tc>
        <w:tc>
          <w:tcPr>
            <w:tcW w:w="1830" w:type="dxa"/>
            <w:noWrap w:val="0"/>
            <w:vAlign w:val="center"/>
          </w:tcPr>
          <w:p w14:paraId="6A31062F">
            <w:pPr>
              <w:pStyle w:val="42"/>
              <w:keepNext w:val="0"/>
              <w:keepLines w:val="0"/>
              <w:suppressLineNumbers w:val="0"/>
              <w:bidi w:val="0"/>
              <w:spacing w:before="0" w:beforeAutospacing="0" w:after="0" w:afterAutospacing="0"/>
              <w:rPr>
                <w:rFonts w:hint="default"/>
              </w:rPr>
            </w:pPr>
            <w:r>
              <w:rPr>
                <w:rFonts w:hint="default"/>
              </w:rPr>
              <w:t>产排污环节</w:t>
            </w:r>
          </w:p>
        </w:tc>
        <w:tc>
          <w:tcPr>
            <w:tcW w:w="1888" w:type="dxa"/>
            <w:noWrap w:val="0"/>
            <w:vAlign w:val="center"/>
          </w:tcPr>
          <w:p w14:paraId="23B15F0D">
            <w:pPr>
              <w:pStyle w:val="42"/>
              <w:keepNext w:val="0"/>
              <w:keepLines w:val="0"/>
              <w:suppressLineNumbers w:val="0"/>
              <w:bidi w:val="0"/>
              <w:spacing w:before="0" w:beforeAutospacing="0" w:after="0" w:afterAutospacing="0"/>
              <w:rPr>
                <w:rFonts w:hint="default"/>
              </w:rPr>
            </w:pPr>
            <w:r>
              <w:rPr>
                <w:rFonts w:hint="default"/>
              </w:rPr>
              <w:t>污染物种类</w:t>
            </w:r>
          </w:p>
        </w:tc>
        <w:tc>
          <w:tcPr>
            <w:tcW w:w="2106" w:type="dxa"/>
            <w:noWrap w:val="0"/>
            <w:vAlign w:val="center"/>
          </w:tcPr>
          <w:p w14:paraId="69875147">
            <w:pPr>
              <w:pStyle w:val="42"/>
              <w:keepNext w:val="0"/>
              <w:keepLines w:val="0"/>
              <w:suppressLineNumbers w:val="0"/>
              <w:bidi w:val="0"/>
              <w:spacing w:before="0" w:beforeAutospacing="0" w:after="0" w:afterAutospacing="0"/>
              <w:rPr>
                <w:rFonts w:hint="default"/>
              </w:rPr>
            </w:pPr>
            <w:r>
              <w:rPr>
                <w:rFonts w:hint="default"/>
              </w:rPr>
              <w:t>排放形式/去向</w:t>
            </w:r>
          </w:p>
        </w:tc>
        <w:tc>
          <w:tcPr>
            <w:tcW w:w="3564" w:type="dxa"/>
            <w:noWrap w:val="0"/>
            <w:vAlign w:val="center"/>
          </w:tcPr>
          <w:p w14:paraId="1190D5D6">
            <w:pPr>
              <w:pStyle w:val="42"/>
              <w:keepNext w:val="0"/>
              <w:keepLines w:val="0"/>
              <w:suppressLineNumbers w:val="0"/>
              <w:bidi w:val="0"/>
              <w:spacing w:before="0" w:beforeAutospacing="0" w:after="0" w:afterAutospacing="0"/>
              <w:rPr>
                <w:rFonts w:hint="default"/>
              </w:rPr>
            </w:pPr>
            <w:r>
              <w:rPr>
                <w:rFonts w:hint="default"/>
              </w:rPr>
              <w:t>污染治理工艺</w:t>
            </w:r>
          </w:p>
        </w:tc>
        <w:tc>
          <w:tcPr>
            <w:tcW w:w="1302" w:type="dxa"/>
            <w:noWrap w:val="0"/>
            <w:vAlign w:val="center"/>
          </w:tcPr>
          <w:p w14:paraId="08096249">
            <w:pPr>
              <w:pStyle w:val="42"/>
              <w:keepNext w:val="0"/>
              <w:keepLines w:val="0"/>
              <w:suppressLineNumbers w:val="0"/>
              <w:bidi w:val="0"/>
              <w:spacing w:before="0" w:beforeAutospacing="0" w:after="0" w:afterAutospacing="0"/>
              <w:rPr>
                <w:rFonts w:hint="default"/>
              </w:rPr>
            </w:pPr>
            <w:r>
              <w:rPr>
                <w:rFonts w:hint="default"/>
              </w:rPr>
              <w:t>排放口类型</w:t>
            </w:r>
          </w:p>
        </w:tc>
      </w:tr>
      <w:tr w14:paraId="77F6D3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1060" w:type="dxa"/>
            <w:tcBorders>
              <w:top w:val="single" w:color="auto" w:sz="4" w:space="0"/>
            </w:tcBorders>
            <w:noWrap w:val="0"/>
            <w:vAlign w:val="center"/>
          </w:tcPr>
          <w:p w14:paraId="204250E0">
            <w:pPr>
              <w:pStyle w:val="42"/>
              <w:keepNext w:val="0"/>
              <w:keepLines w:val="0"/>
              <w:suppressLineNumbers w:val="0"/>
              <w:bidi w:val="0"/>
              <w:spacing w:before="0" w:beforeAutospacing="0" w:after="0" w:afterAutospacing="0"/>
              <w:rPr>
                <w:rFonts w:hint="default"/>
              </w:rPr>
            </w:pPr>
            <w:r>
              <w:rPr>
                <w:rFonts w:hint="default"/>
              </w:rPr>
              <w:t>废气</w:t>
            </w:r>
          </w:p>
        </w:tc>
        <w:tc>
          <w:tcPr>
            <w:tcW w:w="1401" w:type="dxa"/>
            <w:noWrap w:val="0"/>
            <w:vAlign w:val="center"/>
          </w:tcPr>
          <w:p w14:paraId="1FA50E8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废水处理</w:t>
            </w:r>
          </w:p>
        </w:tc>
        <w:tc>
          <w:tcPr>
            <w:tcW w:w="1589" w:type="dxa"/>
            <w:noWrap w:val="0"/>
            <w:vAlign w:val="center"/>
          </w:tcPr>
          <w:p w14:paraId="19F9E5D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预处理、生化处理</w:t>
            </w:r>
          </w:p>
        </w:tc>
        <w:tc>
          <w:tcPr>
            <w:tcW w:w="1830" w:type="dxa"/>
            <w:noWrap w:val="0"/>
            <w:vAlign w:val="center"/>
          </w:tcPr>
          <w:p w14:paraId="5CC1E53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集水池、调节池、厌氧流化床、缺氧池、消化池、污泥池</w:t>
            </w:r>
            <w:r>
              <w:rPr>
                <w:rFonts w:hint="eastAsia"/>
                <w:lang w:val="en-US" w:eastAsia="zh-CN"/>
              </w:rPr>
              <w:t>、隔油初沉池、污泥脱水</w:t>
            </w:r>
          </w:p>
        </w:tc>
        <w:tc>
          <w:tcPr>
            <w:tcW w:w="1888" w:type="dxa"/>
            <w:noWrap w:val="0"/>
            <w:vAlign w:val="center"/>
          </w:tcPr>
          <w:p w14:paraId="4F0A7B7A">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硫化氢、氨、臭气浓度</w:t>
            </w:r>
          </w:p>
        </w:tc>
        <w:tc>
          <w:tcPr>
            <w:tcW w:w="2106" w:type="dxa"/>
            <w:noWrap w:val="0"/>
            <w:vAlign w:val="center"/>
          </w:tcPr>
          <w:p w14:paraId="0EEE803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有组织排放</w:t>
            </w:r>
          </w:p>
        </w:tc>
        <w:tc>
          <w:tcPr>
            <w:tcW w:w="3564" w:type="dxa"/>
            <w:noWrap w:val="0"/>
            <w:vAlign w:val="center"/>
          </w:tcPr>
          <w:p w14:paraId="5C7976FE">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经一套“二级喷淋塔+</w:t>
            </w:r>
            <w:r>
              <w:rPr>
                <w:rFonts w:hint="eastAsia"/>
                <w:lang w:val="en-US" w:eastAsia="zh-CN"/>
              </w:rPr>
              <w:t>生物滤池</w:t>
            </w:r>
            <w:r>
              <w:rPr>
                <w:rFonts w:hint="default"/>
                <w:lang w:val="en-US" w:eastAsia="zh-CN"/>
              </w:rPr>
              <w:t>”除臭系统处理后通过一根15m高排气筒(DA001)排放</w:t>
            </w:r>
          </w:p>
        </w:tc>
        <w:tc>
          <w:tcPr>
            <w:tcW w:w="1302" w:type="dxa"/>
            <w:noWrap w:val="0"/>
            <w:vAlign w:val="center"/>
          </w:tcPr>
          <w:p w14:paraId="53B9184B">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一般排放口</w:t>
            </w:r>
          </w:p>
        </w:tc>
      </w:tr>
      <w:tr w14:paraId="4CACB7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7" w:hRule="atLeast"/>
          <w:jc w:val="center"/>
        </w:trPr>
        <w:tc>
          <w:tcPr>
            <w:tcW w:w="1060" w:type="dxa"/>
            <w:tcBorders>
              <w:top w:val="single" w:color="auto" w:sz="4" w:space="0"/>
            </w:tcBorders>
            <w:noWrap w:val="0"/>
            <w:vAlign w:val="center"/>
          </w:tcPr>
          <w:p w14:paraId="298675BD">
            <w:pPr>
              <w:pStyle w:val="42"/>
              <w:keepNext w:val="0"/>
              <w:keepLines w:val="0"/>
              <w:suppressLineNumbers w:val="0"/>
              <w:bidi w:val="0"/>
              <w:spacing w:before="0" w:beforeAutospacing="0" w:after="0" w:afterAutospacing="0"/>
              <w:rPr>
                <w:rFonts w:hint="default"/>
              </w:rPr>
            </w:pPr>
            <w:r>
              <w:rPr>
                <w:rFonts w:hint="default"/>
              </w:rPr>
              <w:t>废水</w:t>
            </w:r>
          </w:p>
        </w:tc>
        <w:tc>
          <w:tcPr>
            <w:tcW w:w="1401" w:type="dxa"/>
            <w:noWrap w:val="0"/>
            <w:vAlign w:val="center"/>
          </w:tcPr>
          <w:p w14:paraId="7C97C736">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项目处理尾水</w:t>
            </w:r>
          </w:p>
        </w:tc>
        <w:tc>
          <w:tcPr>
            <w:tcW w:w="1589" w:type="dxa"/>
            <w:noWrap w:val="0"/>
            <w:vAlign w:val="center"/>
          </w:tcPr>
          <w:p w14:paraId="35BBF88B">
            <w:pPr>
              <w:pStyle w:val="42"/>
              <w:keepNext w:val="0"/>
              <w:keepLines w:val="0"/>
              <w:suppressLineNumbers w:val="0"/>
              <w:bidi w:val="0"/>
              <w:spacing w:before="0" w:beforeAutospacing="0" w:after="0" w:afterAutospacing="0"/>
              <w:rPr>
                <w:rFonts w:hint="default"/>
              </w:rPr>
            </w:pPr>
            <w:r>
              <w:rPr>
                <w:rFonts w:hint="default"/>
              </w:rPr>
              <w:t>/</w:t>
            </w:r>
          </w:p>
        </w:tc>
        <w:tc>
          <w:tcPr>
            <w:tcW w:w="1830" w:type="dxa"/>
            <w:noWrap w:val="0"/>
            <w:vAlign w:val="center"/>
          </w:tcPr>
          <w:p w14:paraId="0015CE7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项目生产</w:t>
            </w:r>
          </w:p>
        </w:tc>
        <w:tc>
          <w:tcPr>
            <w:tcW w:w="1888" w:type="dxa"/>
            <w:noWrap w:val="0"/>
            <w:vAlign w:val="center"/>
          </w:tcPr>
          <w:p w14:paraId="246068A9">
            <w:pPr>
              <w:pStyle w:val="42"/>
              <w:keepNext w:val="0"/>
              <w:keepLines w:val="0"/>
              <w:suppressLineNumbers w:val="0"/>
              <w:bidi w:val="0"/>
              <w:spacing w:before="0" w:beforeAutospacing="0" w:after="0" w:afterAutospacing="0"/>
              <w:rPr>
                <w:rFonts w:hint="default"/>
                <w:lang w:eastAsia="zh-CN"/>
              </w:rPr>
            </w:pPr>
            <w:r>
              <w:rPr>
                <w:rFonts w:hint="default"/>
              </w:rPr>
              <w:t>COD、</w:t>
            </w:r>
            <w:r>
              <w:rPr>
                <w:rFonts w:hint="eastAsia"/>
                <w:lang w:eastAsia="zh-CN"/>
              </w:rPr>
              <w:t>BOD</w:t>
            </w:r>
            <w:r>
              <w:rPr>
                <w:rFonts w:hint="eastAsia"/>
                <w:vertAlign w:val="subscript"/>
                <w:lang w:eastAsia="zh-CN"/>
              </w:rPr>
              <w:t>5</w:t>
            </w:r>
            <w:r>
              <w:rPr>
                <w:rFonts w:hint="default"/>
              </w:rPr>
              <w:t>、氨氮、</w:t>
            </w:r>
            <w:r>
              <w:rPr>
                <w:rFonts w:hint="default"/>
                <w:lang w:val="en-US" w:eastAsia="zh-CN"/>
              </w:rPr>
              <w:t>动植物油类、TP、SS</w:t>
            </w:r>
          </w:p>
        </w:tc>
        <w:tc>
          <w:tcPr>
            <w:tcW w:w="2106" w:type="dxa"/>
            <w:noWrap w:val="0"/>
            <w:vAlign w:val="center"/>
          </w:tcPr>
          <w:p w14:paraId="59893EE6">
            <w:pPr>
              <w:pStyle w:val="42"/>
              <w:keepNext w:val="0"/>
              <w:keepLines w:val="0"/>
              <w:suppressLineNumbers w:val="0"/>
              <w:bidi w:val="0"/>
              <w:spacing w:before="0" w:beforeAutospacing="0" w:after="0" w:afterAutospacing="0"/>
              <w:rPr>
                <w:rFonts w:hint="default"/>
              </w:rPr>
            </w:pPr>
            <w:r>
              <w:rPr>
                <w:rFonts w:hint="default"/>
              </w:rPr>
              <w:t>市政污水管网</w:t>
            </w:r>
          </w:p>
        </w:tc>
        <w:tc>
          <w:tcPr>
            <w:tcW w:w="3564" w:type="dxa"/>
            <w:noWrap w:val="0"/>
            <w:vAlign w:val="center"/>
          </w:tcPr>
          <w:p w14:paraId="7D8288C9">
            <w:pPr>
              <w:pStyle w:val="42"/>
              <w:keepNext w:val="0"/>
              <w:keepLines w:val="0"/>
              <w:suppressLineNumbers w:val="0"/>
              <w:bidi w:val="0"/>
              <w:spacing w:before="0" w:beforeAutospacing="0" w:after="0" w:afterAutospacing="0"/>
              <w:rPr>
                <w:rFonts w:hint="default"/>
              </w:rPr>
            </w:pPr>
            <w:r>
              <w:rPr>
                <w:rFonts w:hint="default"/>
              </w:rPr>
              <w:t>集水池+微滤机+隔油预沉池+调节池/应急池+厌氧流化床+好氧池+缺氧池+消化池+好氧流化床+去磷池+清水池</w:t>
            </w:r>
          </w:p>
        </w:tc>
        <w:tc>
          <w:tcPr>
            <w:tcW w:w="1302" w:type="dxa"/>
            <w:noWrap w:val="0"/>
            <w:vAlign w:val="center"/>
          </w:tcPr>
          <w:p w14:paraId="65623159">
            <w:pPr>
              <w:pStyle w:val="42"/>
              <w:keepNext w:val="0"/>
              <w:keepLines w:val="0"/>
              <w:suppressLineNumbers w:val="0"/>
              <w:bidi w:val="0"/>
              <w:spacing w:before="0" w:beforeAutospacing="0" w:after="0" w:afterAutospacing="0"/>
              <w:rPr>
                <w:rFonts w:hint="default"/>
              </w:rPr>
            </w:pPr>
            <w:r>
              <w:rPr>
                <w:rFonts w:hint="eastAsia"/>
                <w:lang w:val="en-US" w:eastAsia="zh-CN"/>
              </w:rPr>
              <w:t>主要</w:t>
            </w:r>
            <w:r>
              <w:rPr>
                <w:rFonts w:hint="default"/>
              </w:rPr>
              <w:t>排放口</w:t>
            </w:r>
          </w:p>
        </w:tc>
      </w:tr>
      <w:tr w14:paraId="3B746C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060" w:type="dxa"/>
            <w:vMerge w:val="restart"/>
            <w:noWrap w:val="0"/>
            <w:vAlign w:val="center"/>
          </w:tcPr>
          <w:p w14:paraId="029099D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一般工业固体废物</w:t>
            </w:r>
          </w:p>
        </w:tc>
        <w:tc>
          <w:tcPr>
            <w:tcW w:w="1401" w:type="dxa"/>
            <w:noWrap w:val="0"/>
            <w:vAlign w:val="center"/>
          </w:tcPr>
          <w:p w14:paraId="1A08275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废水处理</w:t>
            </w:r>
          </w:p>
        </w:tc>
        <w:tc>
          <w:tcPr>
            <w:tcW w:w="1589" w:type="dxa"/>
            <w:noWrap w:val="0"/>
            <w:vAlign w:val="center"/>
          </w:tcPr>
          <w:p w14:paraId="0702FA08">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t>
            </w:r>
          </w:p>
        </w:tc>
        <w:tc>
          <w:tcPr>
            <w:tcW w:w="1830" w:type="dxa"/>
            <w:noWrap w:val="0"/>
            <w:vAlign w:val="center"/>
          </w:tcPr>
          <w:p w14:paraId="43F696C3">
            <w:pPr>
              <w:pStyle w:val="42"/>
              <w:keepNext w:val="0"/>
              <w:keepLines w:val="0"/>
              <w:suppressLineNumbers w:val="0"/>
              <w:bidi w:val="0"/>
              <w:spacing w:before="0" w:beforeAutospacing="0" w:after="0" w:afterAutospacing="0"/>
              <w:rPr>
                <w:rFonts w:hint="default"/>
              </w:rPr>
            </w:pPr>
            <w:r>
              <w:rPr>
                <w:rFonts w:hint="eastAsia"/>
                <w:lang w:val="en-US" w:eastAsia="zh-CN"/>
              </w:rPr>
              <w:t>微滤</w:t>
            </w:r>
          </w:p>
        </w:tc>
        <w:tc>
          <w:tcPr>
            <w:tcW w:w="1888" w:type="dxa"/>
            <w:shd w:val="clear" w:color="auto" w:fill="auto"/>
            <w:noWrap w:val="0"/>
            <w:vAlign w:val="center"/>
          </w:tcPr>
          <w:p w14:paraId="09D5D132">
            <w:pPr>
              <w:pStyle w:val="42"/>
              <w:keepNext w:val="0"/>
              <w:keepLines w:val="0"/>
              <w:suppressLineNumbers w:val="0"/>
              <w:bidi w:val="0"/>
              <w:spacing w:before="0" w:beforeAutospacing="0" w:after="0" w:afterAutospacing="0"/>
              <w:rPr>
                <w:rFonts w:hint="default"/>
                <w:lang w:val="en-US" w:eastAsia="en-US"/>
              </w:rPr>
            </w:pPr>
            <w:r>
              <w:rPr>
                <w:rFonts w:hint="default"/>
              </w:rPr>
              <w:t>栅渣</w:t>
            </w:r>
          </w:p>
        </w:tc>
        <w:tc>
          <w:tcPr>
            <w:tcW w:w="2106" w:type="dxa"/>
            <w:shd w:val="clear" w:color="auto" w:fill="auto"/>
            <w:noWrap w:val="0"/>
            <w:vAlign w:val="top"/>
          </w:tcPr>
          <w:p w14:paraId="2966255E">
            <w:pPr>
              <w:pStyle w:val="42"/>
              <w:keepNext w:val="0"/>
              <w:keepLines w:val="0"/>
              <w:suppressLineNumbers w:val="0"/>
              <w:bidi w:val="0"/>
              <w:spacing w:before="0" w:beforeAutospacing="0" w:after="0" w:afterAutospacing="0"/>
              <w:rPr>
                <w:rFonts w:hint="default"/>
                <w:lang w:val="en-US" w:eastAsia="en-US"/>
              </w:rPr>
            </w:pPr>
            <w:r>
              <w:rPr>
                <w:rFonts w:hint="default"/>
              </w:rPr>
              <w:t>委托环卫部门清运处置</w:t>
            </w:r>
          </w:p>
        </w:tc>
        <w:tc>
          <w:tcPr>
            <w:tcW w:w="3564" w:type="dxa"/>
            <w:noWrap w:val="0"/>
            <w:vAlign w:val="center"/>
          </w:tcPr>
          <w:p w14:paraId="29CB2E66">
            <w:pPr>
              <w:pStyle w:val="42"/>
              <w:keepNext w:val="0"/>
              <w:keepLines w:val="0"/>
              <w:suppressLineNumbers w:val="0"/>
              <w:bidi w:val="0"/>
              <w:spacing w:before="0" w:beforeAutospacing="0" w:after="0" w:afterAutospacing="0"/>
              <w:rPr>
                <w:rFonts w:hint="default"/>
              </w:rPr>
            </w:pPr>
            <w:r>
              <w:rPr>
                <w:rFonts w:hint="default"/>
                <w:lang w:val="en-US" w:eastAsia="zh-CN"/>
              </w:rPr>
              <w:t>一般工业固废暂存间</w:t>
            </w:r>
          </w:p>
        </w:tc>
        <w:tc>
          <w:tcPr>
            <w:tcW w:w="1302" w:type="dxa"/>
            <w:noWrap w:val="0"/>
            <w:vAlign w:val="center"/>
          </w:tcPr>
          <w:p w14:paraId="5D4AC065">
            <w:pPr>
              <w:pStyle w:val="42"/>
              <w:keepNext w:val="0"/>
              <w:keepLines w:val="0"/>
              <w:suppressLineNumbers w:val="0"/>
              <w:bidi w:val="0"/>
              <w:spacing w:before="0" w:beforeAutospacing="0" w:after="0" w:afterAutospacing="0"/>
              <w:rPr>
                <w:rFonts w:hint="default"/>
              </w:rPr>
            </w:pPr>
            <w:r>
              <w:rPr>
                <w:rFonts w:hint="default"/>
              </w:rPr>
              <w:t>/</w:t>
            </w:r>
          </w:p>
        </w:tc>
      </w:tr>
      <w:tr w14:paraId="04AB4E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060" w:type="dxa"/>
            <w:vMerge w:val="continue"/>
            <w:noWrap w:val="0"/>
            <w:vAlign w:val="center"/>
          </w:tcPr>
          <w:p w14:paraId="05442DE9">
            <w:pPr>
              <w:pStyle w:val="42"/>
              <w:keepNext w:val="0"/>
              <w:keepLines w:val="0"/>
              <w:suppressLineNumbers w:val="0"/>
              <w:bidi w:val="0"/>
              <w:spacing w:before="0" w:beforeAutospacing="0" w:after="0" w:afterAutospacing="0"/>
              <w:rPr>
                <w:rFonts w:hint="default"/>
              </w:rPr>
            </w:pPr>
          </w:p>
        </w:tc>
        <w:tc>
          <w:tcPr>
            <w:tcW w:w="1401" w:type="dxa"/>
            <w:noWrap w:val="0"/>
            <w:vAlign w:val="center"/>
          </w:tcPr>
          <w:p w14:paraId="4F48F1BE">
            <w:pPr>
              <w:pStyle w:val="42"/>
              <w:keepNext w:val="0"/>
              <w:keepLines w:val="0"/>
              <w:suppressLineNumbers w:val="0"/>
              <w:bidi w:val="0"/>
              <w:spacing w:before="0" w:beforeAutospacing="0" w:after="0" w:afterAutospacing="0"/>
              <w:rPr>
                <w:rFonts w:hint="default"/>
              </w:rPr>
            </w:pPr>
            <w:r>
              <w:rPr>
                <w:rFonts w:hint="eastAsia"/>
                <w:lang w:val="en-US" w:eastAsia="zh-CN"/>
              </w:rPr>
              <w:t>废水处理</w:t>
            </w:r>
          </w:p>
        </w:tc>
        <w:tc>
          <w:tcPr>
            <w:tcW w:w="1589" w:type="dxa"/>
            <w:noWrap w:val="0"/>
            <w:vAlign w:val="center"/>
          </w:tcPr>
          <w:p w14:paraId="35FF9D2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隔油处理</w:t>
            </w:r>
          </w:p>
        </w:tc>
        <w:tc>
          <w:tcPr>
            <w:tcW w:w="1830" w:type="dxa"/>
            <w:noWrap w:val="0"/>
            <w:vAlign w:val="center"/>
          </w:tcPr>
          <w:p w14:paraId="020440F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隔油沉淀池</w:t>
            </w:r>
          </w:p>
        </w:tc>
        <w:tc>
          <w:tcPr>
            <w:tcW w:w="1888" w:type="dxa"/>
            <w:shd w:val="clear" w:color="auto" w:fill="auto"/>
            <w:noWrap w:val="0"/>
            <w:vAlign w:val="center"/>
          </w:tcPr>
          <w:p w14:paraId="37AF7659">
            <w:pPr>
              <w:pStyle w:val="42"/>
              <w:keepNext w:val="0"/>
              <w:keepLines w:val="0"/>
              <w:suppressLineNumbers w:val="0"/>
              <w:bidi w:val="0"/>
              <w:spacing w:before="0" w:beforeAutospacing="0" w:after="0" w:afterAutospacing="0"/>
              <w:rPr>
                <w:rFonts w:hint="default"/>
                <w:lang w:val="en-US" w:eastAsia="zh-CN"/>
              </w:rPr>
            </w:pPr>
            <w:r>
              <w:rPr>
                <w:rFonts w:hint="default"/>
              </w:rPr>
              <w:t>废油</w:t>
            </w:r>
          </w:p>
        </w:tc>
        <w:tc>
          <w:tcPr>
            <w:tcW w:w="2106" w:type="dxa"/>
            <w:shd w:val="clear" w:color="auto" w:fill="auto"/>
            <w:noWrap w:val="0"/>
            <w:vAlign w:val="top"/>
          </w:tcPr>
          <w:p w14:paraId="09F46FC0">
            <w:pPr>
              <w:pStyle w:val="42"/>
              <w:keepNext w:val="0"/>
              <w:keepLines w:val="0"/>
              <w:suppressLineNumbers w:val="0"/>
              <w:bidi w:val="0"/>
              <w:spacing w:before="0" w:beforeAutospacing="0" w:after="0" w:afterAutospacing="0"/>
              <w:rPr>
                <w:rFonts w:hint="default"/>
                <w:lang w:val="en-US" w:eastAsia="zh-CN"/>
              </w:rPr>
            </w:pPr>
            <w:r>
              <w:rPr>
                <w:rFonts w:hint="default"/>
              </w:rPr>
              <w:t>委托</w:t>
            </w:r>
            <w:r>
              <w:rPr>
                <w:rFonts w:hint="eastAsia"/>
                <w:lang w:val="en-US" w:eastAsia="zh-CN"/>
              </w:rPr>
              <w:t>资质单位</w:t>
            </w:r>
            <w:r>
              <w:rPr>
                <w:rFonts w:hint="default"/>
              </w:rPr>
              <w:t>进行清掏清运处理</w:t>
            </w:r>
          </w:p>
        </w:tc>
        <w:tc>
          <w:tcPr>
            <w:tcW w:w="3564" w:type="dxa"/>
            <w:noWrap w:val="0"/>
            <w:vAlign w:val="center"/>
          </w:tcPr>
          <w:p w14:paraId="638335FA">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一般工业固废暂存间</w:t>
            </w:r>
          </w:p>
        </w:tc>
        <w:tc>
          <w:tcPr>
            <w:tcW w:w="1302" w:type="dxa"/>
            <w:noWrap w:val="0"/>
            <w:vAlign w:val="center"/>
          </w:tcPr>
          <w:p w14:paraId="57EBEB17">
            <w:pPr>
              <w:pStyle w:val="42"/>
              <w:keepNext w:val="0"/>
              <w:keepLines w:val="0"/>
              <w:suppressLineNumbers w:val="0"/>
              <w:bidi w:val="0"/>
              <w:spacing w:before="0" w:beforeAutospacing="0" w:after="0" w:afterAutospacing="0"/>
              <w:rPr>
                <w:rFonts w:hint="default"/>
              </w:rPr>
            </w:pPr>
            <w:r>
              <w:rPr>
                <w:rFonts w:hint="default"/>
              </w:rPr>
              <w:t>/</w:t>
            </w:r>
          </w:p>
        </w:tc>
      </w:tr>
      <w:tr w14:paraId="34108B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060" w:type="dxa"/>
            <w:vMerge w:val="continue"/>
            <w:noWrap w:val="0"/>
            <w:vAlign w:val="center"/>
          </w:tcPr>
          <w:p w14:paraId="4940F8D8">
            <w:pPr>
              <w:pStyle w:val="42"/>
              <w:keepNext w:val="0"/>
              <w:keepLines w:val="0"/>
              <w:suppressLineNumbers w:val="0"/>
              <w:bidi w:val="0"/>
              <w:spacing w:before="0" w:beforeAutospacing="0" w:after="0" w:afterAutospacing="0"/>
              <w:rPr>
                <w:rFonts w:hint="default"/>
              </w:rPr>
            </w:pPr>
          </w:p>
        </w:tc>
        <w:tc>
          <w:tcPr>
            <w:tcW w:w="1401" w:type="dxa"/>
            <w:noWrap w:val="0"/>
            <w:vAlign w:val="center"/>
          </w:tcPr>
          <w:p w14:paraId="1A42D4E0">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废气处理</w:t>
            </w:r>
          </w:p>
        </w:tc>
        <w:tc>
          <w:tcPr>
            <w:tcW w:w="1589" w:type="dxa"/>
            <w:noWrap w:val="0"/>
            <w:vAlign w:val="center"/>
          </w:tcPr>
          <w:p w14:paraId="2108D522">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生物除臭</w:t>
            </w:r>
          </w:p>
        </w:tc>
        <w:tc>
          <w:tcPr>
            <w:tcW w:w="1830" w:type="dxa"/>
            <w:noWrap w:val="0"/>
            <w:vAlign w:val="center"/>
          </w:tcPr>
          <w:p w14:paraId="6FBC2802">
            <w:pPr>
              <w:pStyle w:val="42"/>
              <w:keepNext w:val="0"/>
              <w:keepLines w:val="0"/>
              <w:suppressLineNumbers w:val="0"/>
              <w:bidi w:val="0"/>
              <w:spacing w:before="0" w:beforeAutospacing="0" w:after="0" w:afterAutospacing="0"/>
              <w:rPr>
                <w:rFonts w:hint="eastAsia"/>
                <w:lang w:val="en-US" w:eastAsia="zh-CN"/>
              </w:rPr>
            </w:pPr>
            <w:r>
              <w:rPr>
                <w:rFonts w:hint="eastAsia"/>
                <w:lang w:val="en-US" w:eastAsia="zh-CN"/>
              </w:rPr>
              <w:t>生物滤池</w:t>
            </w:r>
          </w:p>
        </w:tc>
        <w:tc>
          <w:tcPr>
            <w:tcW w:w="1888" w:type="dxa"/>
            <w:shd w:val="clear" w:color="auto" w:fill="auto"/>
            <w:noWrap w:val="0"/>
            <w:vAlign w:val="center"/>
          </w:tcPr>
          <w:p w14:paraId="7A187817">
            <w:pPr>
              <w:pStyle w:val="42"/>
              <w:keepNext w:val="0"/>
              <w:keepLines w:val="0"/>
              <w:suppressLineNumbers w:val="0"/>
              <w:bidi w:val="0"/>
              <w:spacing w:before="0" w:beforeAutospacing="0" w:after="0" w:afterAutospacing="0"/>
              <w:rPr>
                <w:rFonts w:hint="default" w:eastAsia="宋体"/>
                <w:lang w:val="en-US" w:eastAsia="zh-CN"/>
              </w:rPr>
            </w:pPr>
            <w:r>
              <w:rPr>
                <w:rFonts w:hint="eastAsia"/>
                <w:lang w:val="en-US" w:eastAsia="zh-CN"/>
              </w:rPr>
              <w:t>废生物填料</w:t>
            </w:r>
          </w:p>
        </w:tc>
        <w:tc>
          <w:tcPr>
            <w:tcW w:w="2106" w:type="dxa"/>
            <w:shd w:val="clear" w:color="auto" w:fill="auto"/>
            <w:noWrap w:val="0"/>
            <w:vAlign w:val="center"/>
          </w:tcPr>
          <w:p w14:paraId="12EBBDB7">
            <w:pPr>
              <w:pStyle w:val="42"/>
              <w:keepNext w:val="0"/>
              <w:keepLines w:val="0"/>
              <w:suppressLineNumbers w:val="0"/>
              <w:bidi w:val="0"/>
              <w:spacing w:before="0" w:beforeAutospacing="0" w:after="0" w:afterAutospacing="0"/>
              <w:jc w:val="center"/>
              <w:rPr>
                <w:rFonts w:hint="default"/>
              </w:rPr>
            </w:pPr>
            <w:r>
              <w:rPr>
                <w:rFonts w:hint="default"/>
              </w:rPr>
              <w:t>交由原料供应厂家回收利用</w:t>
            </w:r>
          </w:p>
        </w:tc>
        <w:tc>
          <w:tcPr>
            <w:tcW w:w="3564" w:type="dxa"/>
            <w:noWrap w:val="0"/>
            <w:vAlign w:val="center"/>
          </w:tcPr>
          <w:p w14:paraId="1999B5E7">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一般工业固废暂存间</w:t>
            </w:r>
          </w:p>
        </w:tc>
        <w:tc>
          <w:tcPr>
            <w:tcW w:w="1302" w:type="dxa"/>
            <w:noWrap w:val="0"/>
            <w:vAlign w:val="center"/>
          </w:tcPr>
          <w:p w14:paraId="4E73E9C1">
            <w:pPr>
              <w:pStyle w:val="42"/>
              <w:keepNext w:val="0"/>
              <w:keepLines w:val="0"/>
              <w:suppressLineNumbers w:val="0"/>
              <w:bidi w:val="0"/>
              <w:spacing w:before="0" w:beforeAutospacing="0" w:after="0" w:afterAutospacing="0"/>
              <w:rPr>
                <w:rFonts w:hint="eastAsia" w:eastAsia="宋体"/>
                <w:lang w:val="en-US" w:eastAsia="zh-CN"/>
              </w:rPr>
            </w:pPr>
            <w:r>
              <w:rPr>
                <w:rFonts w:hint="eastAsia"/>
                <w:lang w:val="en-US" w:eastAsia="zh-CN"/>
              </w:rPr>
              <w:t>/</w:t>
            </w:r>
          </w:p>
        </w:tc>
      </w:tr>
      <w:tr w14:paraId="0D7379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060" w:type="dxa"/>
            <w:vMerge w:val="continue"/>
            <w:noWrap w:val="0"/>
            <w:vAlign w:val="center"/>
          </w:tcPr>
          <w:p w14:paraId="33426246">
            <w:pPr>
              <w:pStyle w:val="42"/>
              <w:keepNext w:val="0"/>
              <w:keepLines w:val="0"/>
              <w:suppressLineNumbers w:val="0"/>
              <w:bidi w:val="0"/>
              <w:spacing w:before="0" w:beforeAutospacing="0" w:after="0" w:afterAutospacing="0"/>
              <w:rPr>
                <w:rFonts w:hint="default"/>
              </w:rPr>
            </w:pPr>
          </w:p>
        </w:tc>
        <w:tc>
          <w:tcPr>
            <w:tcW w:w="1401" w:type="dxa"/>
            <w:noWrap w:val="0"/>
            <w:vAlign w:val="center"/>
          </w:tcPr>
          <w:p w14:paraId="2D52FA1D">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原料使用过程</w:t>
            </w:r>
          </w:p>
        </w:tc>
        <w:tc>
          <w:tcPr>
            <w:tcW w:w="1589" w:type="dxa"/>
            <w:noWrap w:val="0"/>
            <w:vAlign w:val="center"/>
          </w:tcPr>
          <w:p w14:paraId="7DAB391E">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w:t>
            </w:r>
          </w:p>
        </w:tc>
        <w:tc>
          <w:tcPr>
            <w:tcW w:w="1830" w:type="dxa"/>
            <w:noWrap w:val="0"/>
            <w:vAlign w:val="center"/>
          </w:tcPr>
          <w:p w14:paraId="4069729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w:t>
            </w:r>
          </w:p>
        </w:tc>
        <w:tc>
          <w:tcPr>
            <w:tcW w:w="1888" w:type="dxa"/>
            <w:shd w:val="clear" w:color="auto" w:fill="auto"/>
            <w:noWrap w:val="0"/>
            <w:vAlign w:val="center"/>
          </w:tcPr>
          <w:p w14:paraId="1CDA40C7">
            <w:pPr>
              <w:pStyle w:val="42"/>
              <w:keepNext w:val="0"/>
              <w:keepLines w:val="0"/>
              <w:suppressLineNumbers w:val="0"/>
              <w:bidi w:val="0"/>
              <w:spacing w:before="0" w:beforeAutospacing="0" w:after="0" w:afterAutospacing="0"/>
              <w:rPr>
                <w:rFonts w:hint="default"/>
                <w:lang w:val="en-US" w:eastAsia="zh-CN"/>
              </w:rPr>
            </w:pPr>
            <w:r>
              <w:rPr>
                <w:rFonts w:hint="default"/>
              </w:rPr>
              <w:t>废包装材料</w:t>
            </w:r>
          </w:p>
        </w:tc>
        <w:tc>
          <w:tcPr>
            <w:tcW w:w="2106" w:type="dxa"/>
            <w:shd w:val="clear" w:color="auto" w:fill="auto"/>
            <w:noWrap w:val="0"/>
            <w:vAlign w:val="top"/>
          </w:tcPr>
          <w:p w14:paraId="090F39D0">
            <w:pPr>
              <w:pStyle w:val="42"/>
              <w:keepNext w:val="0"/>
              <w:keepLines w:val="0"/>
              <w:suppressLineNumbers w:val="0"/>
              <w:bidi w:val="0"/>
              <w:spacing w:before="0" w:beforeAutospacing="0" w:after="0" w:afterAutospacing="0"/>
              <w:rPr>
                <w:rFonts w:hint="default"/>
                <w:lang w:val="en-US" w:eastAsia="zh-CN"/>
              </w:rPr>
            </w:pPr>
            <w:r>
              <w:rPr>
                <w:rFonts w:hint="default"/>
              </w:rPr>
              <w:t>交由原料供应厂家回收利用</w:t>
            </w:r>
          </w:p>
        </w:tc>
        <w:tc>
          <w:tcPr>
            <w:tcW w:w="3564" w:type="dxa"/>
            <w:noWrap w:val="0"/>
            <w:vAlign w:val="center"/>
          </w:tcPr>
          <w:p w14:paraId="023F4690">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一般工业固废暂存间</w:t>
            </w:r>
          </w:p>
        </w:tc>
        <w:tc>
          <w:tcPr>
            <w:tcW w:w="1302" w:type="dxa"/>
            <w:noWrap w:val="0"/>
            <w:vAlign w:val="center"/>
          </w:tcPr>
          <w:p w14:paraId="7AE9C4F2">
            <w:pPr>
              <w:pStyle w:val="42"/>
              <w:keepNext w:val="0"/>
              <w:keepLines w:val="0"/>
              <w:suppressLineNumbers w:val="0"/>
              <w:bidi w:val="0"/>
              <w:spacing w:before="0" w:beforeAutospacing="0" w:after="0" w:afterAutospacing="0"/>
              <w:rPr>
                <w:rFonts w:hint="default"/>
                <w:lang w:val="en-US" w:eastAsia="zh-CN"/>
              </w:rPr>
            </w:pPr>
            <w:r>
              <w:rPr>
                <w:rFonts w:hint="default"/>
              </w:rPr>
              <w:t>/</w:t>
            </w:r>
          </w:p>
        </w:tc>
      </w:tr>
      <w:tr w14:paraId="26299F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060" w:type="dxa"/>
            <w:vMerge w:val="continue"/>
            <w:noWrap w:val="0"/>
            <w:vAlign w:val="center"/>
          </w:tcPr>
          <w:p w14:paraId="458EF3E2">
            <w:pPr>
              <w:pStyle w:val="42"/>
              <w:keepNext w:val="0"/>
              <w:keepLines w:val="0"/>
              <w:suppressLineNumbers w:val="0"/>
              <w:bidi w:val="0"/>
              <w:spacing w:before="0" w:beforeAutospacing="0" w:after="0" w:afterAutospacing="0"/>
              <w:rPr>
                <w:rFonts w:hint="default"/>
              </w:rPr>
            </w:pPr>
          </w:p>
        </w:tc>
        <w:tc>
          <w:tcPr>
            <w:tcW w:w="1401" w:type="dxa"/>
            <w:shd w:val="clear" w:color="auto" w:fill="auto"/>
            <w:noWrap w:val="0"/>
            <w:vAlign w:val="center"/>
          </w:tcPr>
          <w:p w14:paraId="572C4FD7">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废水处理</w:t>
            </w:r>
          </w:p>
        </w:tc>
        <w:tc>
          <w:tcPr>
            <w:tcW w:w="1589" w:type="dxa"/>
            <w:shd w:val="clear" w:color="auto" w:fill="auto"/>
            <w:noWrap w:val="0"/>
            <w:vAlign w:val="center"/>
          </w:tcPr>
          <w:p w14:paraId="2FF66433">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w:t>
            </w:r>
          </w:p>
        </w:tc>
        <w:tc>
          <w:tcPr>
            <w:tcW w:w="1830" w:type="dxa"/>
            <w:noWrap w:val="0"/>
            <w:vAlign w:val="center"/>
          </w:tcPr>
          <w:p w14:paraId="042A3D7F">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生化处理</w:t>
            </w:r>
          </w:p>
        </w:tc>
        <w:tc>
          <w:tcPr>
            <w:tcW w:w="1888" w:type="dxa"/>
            <w:shd w:val="clear" w:color="auto" w:fill="auto"/>
            <w:noWrap w:val="0"/>
            <w:vAlign w:val="center"/>
          </w:tcPr>
          <w:p w14:paraId="4D9BE02E">
            <w:pPr>
              <w:pStyle w:val="42"/>
              <w:keepNext w:val="0"/>
              <w:keepLines w:val="0"/>
              <w:suppressLineNumbers w:val="0"/>
              <w:bidi w:val="0"/>
              <w:spacing w:before="0" w:beforeAutospacing="0" w:after="0" w:afterAutospacing="0"/>
              <w:rPr>
                <w:rFonts w:hint="default"/>
                <w:lang w:val="en-US" w:eastAsia="zh-CN"/>
              </w:rPr>
            </w:pPr>
            <w:r>
              <w:rPr>
                <w:rFonts w:hint="default"/>
              </w:rPr>
              <w:t>污泥</w:t>
            </w:r>
          </w:p>
        </w:tc>
        <w:tc>
          <w:tcPr>
            <w:tcW w:w="2106" w:type="dxa"/>
            <w:shd w:val="clear" w:color="auto" w:fill="auto"/>
            <w:noWrap w:val="0"/>
            <w:vAlign w:val="top"/>
          </w:tcPr>
          <w:p w14:paraId="52CCF643">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外运综合利用</w:t>
            </w:r>
          </w:p>
        </w:tc>
        <w:tc>
          <w:tcPr>
            <w:tcW w:w="3564" w:type="dxa"/>
            <w:noWrap w:val="0"/>
            <w:vAlign w:val="center"/>
          </w:tcPr>
          <w:p w14:paraId="43B32852">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一般工业固废暂存间</w:t>
            </w:r>
          </w:p>
        </w:tc>
        <w:tc>
          <w:tcPr>
            <w:tcW w:w="1302" w:type="dxa"/>
            <w:noWrap w:val="0"/>
            <w:vAlign w:val="center"/>
          </w:tcPr>
          <w:p w14:paraId="06CEEE2E">
            <w:pPr>
              <w:pStyle w:val="42"/>
              <w:keepNext w:val="0"/>
              <w:keepLines w:val="0"/>
              <w:suppressLineNumbers w:val="0"/>
              <w:bidi w:val="0"/>
              <w:spacing w:before="0" w:beforeAutospacing="0" w:after="0" w:afterAutospacing="0"/>
              <w:rPr>
                <w:rFonts w:hint="default"/>
              </w:rPr>
            </w:pPr>
            <w:r>
              <w:rPr>
                <w:rFonts w:hint="default"/>
              </w:rPr>
              <w:t>/</w:t>
            </w:r>
          </w:p>
        </w:tc>
      </w:tr>
      <w:tr w14:paraId="379BA9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4" w:hRule="atLeast"/>
          <w:jc w:val="center"/>
        </w:trPr>
        <w:tc>
          <w:tcPr>
            <w:tcW w:w="1060" w:type="dxa"/>
            <w:noWrap w:val="0"/>
            <w:vAlign w:val="center"/>
          </w:tcPr>
          <w:p w14:paraId="68D150A5">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危险废物</w:t>
            </w:r>
          </w:p>
        </w:tc>
        <w:tc>
          <w:tcPr>
            <w:tcW w:w="1401" w:type="dxa"/>
            <w:noWrap w:val="0"/>
            <w:vAlign w:val="center"/>
          </w:tcPr>
          <w:p w14:paraId="61BEC454">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设备维护</w:t>
            </w:r>
          </w:p>
        </w:tc>
        <w:tc>
          <w:tcPr>
            <w:tcW w:w="1589" w:type="dxa"/>
            <w:noWrap w:val="0"/>
            <w:vAlign w:val="center"/>
          </w:tcPr>
          <w:p w14:paraId="308319E5">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设备维护</w:t>
            </w:r>
          </w:p>
        </w:tc>
        <w:tc>
          <w:tcPr>
            <w:tcW w:w="1830" w:type="dxa"/>
            <w:noWrap w:val="0"/>
            <w:vAlign w:val="center"/>
          </w:tcPr>
          <w:p w14:paraId="5069636C">
            <w:pPr>
              <w:pStyle w:val="42"/>
              <w:keepNext w:val="0"/>
              <w:keepLines w:val="0"/>
              <w:suppressLineNumbers w:val="0"/>
              <w:bidi w:val="0"/>
              <w:spacing w:before="0" w:beforeAutospacing="0" w:after="0" w:afterAutospacing="0"/>
              <w:rPr>
                <w:rFonts w:hint="default"/>
                <w:lang w:val="en-US" w:eastAsia="zh-CN"/>
              </w:rPr>
            </w:pPr>
            <w:r>
              <w:rPr>
                <w:rFonts w:hint="eastAsia"/>
                <w:lang w:val="en-US" w:eastAsia="zh-CN"/>
              </w:rPr>
              <w:t>/</w:t>
            </w:r>
          </w:p>
        </w:tc>
        <w:tc>
          <w:tcPr>
            <w:tcW w:w="1888" w:type="dxa"/>
            <w:shd w:val="clear" w:color="auto" w:fill="auto"/>
            <w:noWrap w:val="0"/>
            <w:vAlign w:val="center"/>
          </w:tcPr>
          <w:p w14:paraId="37AF0ED1">
            <w:pPr>
              <w:pStyle w:val="42"/>
              <w:keepNext w:val="0"/>
              <w:keepLines w:val="0"/>
              <w:suppressLineNumbers w:val="0"/>
              <w:bidi w:val="0"/>
              <w:spacing w:before="0" w:beforeAutospacing="0" w:after="0" w:afterAutospacing="0"/>
              <w:rPr>
                <w:rFonts w:hint="default"/>
                <w:lang w:val="en-US" w:eastAsia="zh-CN"/>
              </w:rPr>
            </w:pPr>
            <w:r>
              <w:rPr>
                <w:rFonts w:hint="default"/>
              </w:rPr>
              <w:t>废机油及废机油桶、含油抹布、手套、劳保用品</w:t>
            </w:r>
          </w:p>
        </w:tc>
        <w:tc>
          <w:tcPr>
            <w:tcW w:w="2106" w:type="dxa"/>
            <w:shd w:val="clear" w:color="auto" w:fill="auto"/>
            <w:noWrap w:val="0"/>
            <w:vAlign w:val="top"/>
          </w:tcPr>
          <w:p w14:paraId="47DE8CBC">
            <w:pPr>
              <w:pStyle w:val="42"/>
              <w:keepNext w:val="0"/>
              <w:keepLines w:val="0"/>
              <w:suppressLineNumbers w:val="0"/>
              <w:bidi w:val="0"/>
              <w:spacing w:before="0" w:beforeAutospacing="0" w:after="0" w:afterAutospacing="0"/>
              <w:rPr>
                <w:rFonts w:hint="default"/>
                <w:lang w:val="en-US" w:eastAsia="zh-CN"/>
              </w:rPr>
            </w:pPr>
            <w:r>
              <w:rPr>
                <w:rFonts w:hint="default"/>
              </w:rPr>
              <w:t>收集在危废仓库暂存后定期委托有资质单位处置</w:t>
            </w:r>
          </w:p>
        </w:tc>
        <w:tc>
          <w:tcPr>
            <w:tcW w:w="3564" w:type="dxa"/>
            <w:noWrap w:val="0"/>
            <w:vAlign w:val="center"/>
          </w:tcPr>
          <w:p w14:paraId="13909141">
            <w:pPr>
              <w:pStyle w:val="42"/>
              <w:keepNext w:val="0"/>
              <w:keepLines w:val="0"/>
              <w:suppressLineNumbers w:val="0"/>
              <w:bidi w:val="0"/>
              <w:spacing w:before="0" w:beforeAutospacing="0" w:after="0" w:afterAutospacing="0"/>
              <w:rPr>
                <w:rFonts w:hint="default"/>
                <w:lang w:val="en-US" w:eastAsia="zh-CN"/>
              </w:rPr>
            </w:pPr>
            <w:r>
              <w:rPr>
                <w:rFonts w:hint="default"/>
                <w:lang w:val="en-US" w:eastAsia="zh-CN"/>
              </w:rPr>
              <w:t>危险废物暂存间，</w:t>
            </w:r>
            <w:r>
              <w:rPr>
                <w:rFonts w:hint="default"/>
              </w:rPr>
              <w:t>交由有资质单位处理</w:t>
            </w:r>
          </w:p>
        </w:tc>
        <w:tc>
          <w:tcPr>
            <w:tcW w:w="1302" w:type="dxa"/>
            <w:noWrap w:val="0"/>
            <w:vAlign w:val="center"/>
          </w:tcPr>
          <w:p w14:paraId="4F02EFD5">
            <w:pPr>
              <w:pStyle w:val="42"/>
              <w:keepNext w:val="0"/>
              <w:keepLines w:val="0"/>
              <w:suppressLineNumbers w:val="0"/>
              <w:bidi w:val="0"/>
              <w:spacing w:before="0" w:beforeAutospacing="0" w:after="0" w:afterAutospacing="0"/>
              <w:rPr>
                <w:rFonts w:hint="default"/>
              </w:rPr>
            </w:pPr>
            <w:r>
              <w:rPr>
                <w:rFonts w:hint="default"/>
              </w:rPr>
              <w:t>/</w:t>
            </w:r>
          </w:p>
        </w:tc>
      </w:tr>
    </w:tbl>
    <w:p w14:paraId="631C2C19">
      <w:pPr>
        <w:rPr>
          <w:rFonts w:hint="default" w:ascii="Times New Roman" w:hAnsi="Times New Roman" w:cs="Times New Roman"/>
          <w:color w:val="auto"/>
          <w:highlight w:val="yellow"/>
          <w:u w:val="none" w:color="auto"/>
        </w:rPr>
      </w:pPr>
    </w:p>
    <w:p w14:paraId="64521E34">
      <w:pPr>
        <w:pStyle w:val="4"/>
        <w:tabs>
          <w:tab w:val="left" w:pos="1080"/>
        </w:tabs>
        <w:ind w:firstLine="643"/>
        <w:rPr>
          <w:rFonts w:hint="default" w:ascii="Times New Roman" w:hAnsi="Times New Roman" w:cs="Times New Roman"/>
          <w:color w:val="auto"/>
          <w:kern w:val="0"/>
          <w:szCs w:val="32"/>
          <w:highlight w:val="yellow"/>
          <w:u w:val="none" w:color="auto"/>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0F540A57">
      <w:pPr>
        <w:pStyle w:val="5"/>
        <w:bidi w:val="0"/>
        <w:rPr>
          <w:rFonts w:hint="default" w:ascii="Times New Roman" w:hAnsi="Times New Roman" w:cs="Times New Roman"/>
          <w:highlight w:val="none"/>
        </w:rPr>
      </w:pPr>
      <w:bookmarkStart w:id="236" w:name="_Toc18187"/>
      <w:bookmarkStart w:id="237" w:name="_Toc6128"/>
      <w:bookmarkStart w:id="238" w:name="_Toc63157977"/>
      <w:bookmarkStart w:id="239" w:name="_Toc13984"/>
      <w:bookmarkStart w:id="240" w:name="_Toc534412717"/>
      <w:bookmarkStart w:id="241" w:name="_Toc21241"/>
      <w:bookmarkStart w:id="242" w:name="_Toc22144"/>
      <w:r>
        <w:rPr>
          <w:rFonts w:hint="default" w:ascii="Times New Roman" w:hAnsi="Times New Roman" w:cs="Times New Roman"/>
          <w:highlight w:val="none"/>
        </w:rPr>
        <w:t>信息公开</w:t>
      </w:r>
      <w:bookmarkEnd w:id="236"/>
      <w:bookmarkEnd w:id="237"/>
      <w:bookmarkEnd w:id="238"/>
      <w:bookmarkEnd w:id="239"/>
      <w:bookmarkEnd w:id="240"/>
      <w:bookmarkEnd w:id="241"/>
      <w:bookmarkEnd w:id="242"/>
    </w:p>
    <w:p w14:paraId="037B8054">
      <w:pPr>
        <w:bidi w:val="0"/>
        <w:rPr>
          <w:rFonts w:hint="default" w:ascii="Times New Roman" w:hAnsi="Times New Roman" w:cs="Times New Roman"/>
          <w:highlight w:val="none"/>
        </w:rPr>
      </w:pPr>
      <w:r>
        <w:rPr>
          <w:rFonts w:hint="default" w:ascii="Times New Roman" w:hAnsi="Times New Roman" w:cs="Times New Roman"/>
          <w:highlight w:val="none"/>
        </w:rPr>
        <w:t>根据《企业事业单位环境信息公开办法》（环境保护部令 部令第31号）第十二条：重点排污单位之外的企业事业单位可以参照本办法第九条、第十条和第十一条的规定公开其环境信息。</w:t>
      </w:r>
    </w:p>
    <w:p w14:paraId="75F90246">
      <w:pPr>
        <w:bidi w:val="0"/>
        <w:rPr>
          <w:rFonts w:hint="default" w:ascii="Times New Roman" w:hAnsi="Times New Roman" w:cs="Times New Roman"/>
          <w:highlight w:val="none"/>
        </w:rPr>
      </w:pPr>
      <w:r>
        <w:rPr>
          <w:rFonts w:hint="default" w:ascii="Times New Roman" w:hAnsi="Times New Roman" w:cs="Times New Roman"/>
          <w:highlight w:val="none"/>
        </w:rPr>
        <w:t>（1）基础信息：包括单位名称、组织机构代码、法定代表人、生产地址、联系方式，以及生产经营和管理服务的主要内容、产品及规模；</w:t>
      </w:r>
    </w:p>
    <w:p w14:paraId="334D46C5">
      <w:pPr>
        <w:bidi w:val="0"/>
        <w:rPr>
          <w:rFonts w:hint="default" w:ascii="Times New Roman" w:hAnsi="Times New Roman" w:cs="Times New Roman"/>
          <w:highlight w:val="none"/>
        </w:rPr>
      </w:pPr>
      <w:r>
        <w:rPr>
          <w:rFonts w:hint="default" w:ascii="Times New Roman" w:hAnsi="Times New Roman" w:cs="Times New Roman"/>
          <w:highlight w:val="none"/>
        </w:rPr>
        <w:t>（2）排污信息：包括主要污染物及特征污染物的名称、排放方式、排放口数量和分布情况、排放浓度和总量、达标排放情况，以及执行的污染物排放标准、核定的排放总量；</w:t>
      </w:r>
    </w:p>
    <w:p w14:paraId="7D331C7A">
      <w:pPr>
        <w:bidi w:val="0"/>
        <w:rPr>
          <w:rFonts w:hint="default" w:ascii="Times New Roman" w:hAnsi="Times New Roman" w:cs="Times New Roman"/>
          <w:highlight w:val="none"/>
        </w:rPr>
      </w:pPr>
      <w:r>
        <w:rPr>
          <w:rFonts w:hint="default" w:ascii="Times New Roman" w:hAnsi="Times New Roman" w:cs="Times New Roman"/>
          <w:highlight w:val="none"/>
        </w:rPr>
        <w:t>（3）防治污染设施的建设和运行情况；</w:t>
      </w:r>
    </w:p>
    <w:p w14:paraId="30F03BD8">
      <w:pPr>
        <w:bidi w:val="0"/>
        <w:rPr>
          <w:rFonts w:hint="default" w:ascii="Times New Roman" w:hAnsi="Times New Roman" w:cs="Times New Roman"/>
          <w:highlight w:val="none"/>
        </w:rPr>
      </w:pPr>
      <w:r>
        <w:rPr>
          <w:rFonts w:hint="default" w:ascii="Times New Roman" w:hAnsi="Times New Roman" w:cs="Times New Roman"/>
          <w:highlight w:val="none"/>
        </w:rPr>
        <w:t>（4）建设项目环境影响评价及其他环境保护行政许可情况；</w:t>
      </w:r>
    </w:p>
    <w:p w14:paraId="2C219C25">
      <w:pPr>
        <w:bidi w:val="0"/>
        <w:rPr>
          <w:rFonts w:hint="default" w:ascii="Times New Roman" w:hAnsi="Times New Roman" w:cs="Times New Roman"/>
          <w:highlight w:val="none"/>
        </w:rPr>
      </w:pPr>
      <w:r>
        <w:rPr>
          <w:rFonts w:hint="default" w:ascii="Times New Roman" w:hAnsi="Times New Roman" w:cs="Times New Roman"/>
          <w:highlight w:val="none"/>
        </w:rPr>
        <w:t>（5）突发环境事件应急预案。</w:t>
      </w:r>
    </w:p>
    <w:p w14:paraId="6DF24891">
      <w:pPr>
        <w:rPr>
          <w:rFonts w:hint="default" w:ascii="Times New Roman" w:hAnsi="Times New Roman" w:cs="Times New Roman"/>
          <w:highlight w:val="none"/>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3891270F">
      <w:pPr>
        <w:pStyle w:val="4"/>
        <w:tabs>
          <w:tab w:val="left" w:pos="1080"/>
        </w:tabs>
        <w:ind w:firstLine="643"/>
        <w:rPr>
          <w:rFonts w:hint="default" w:ascii="Times New Roman" w:hAnsi="Times New Roman" w:cs="Times New Roman"/>
          <w:color w:val="auto"/>
          <w:kern w:val="0"/>
          <w:szCs w:val="32"/>
          <w:highlight w:val="none"/>
          <w:u w:val="none" w:color="auto"/>
        </w:rPr>
      </w:pPr>
      <w:bookmarkStart w:id="243" w:name="_Toc27265"/>
      <w:r>
        <w:rPr>
          <w:rFonts w:hint="default" w:ascii="Times New Roman" w:hAnsi="Times New Roman" w:cs="Times New Roman"/>
          <w:color w:val="auto"/>
          <w:kern w:val="0"/>
          <w:szCs w:val="32"/>
          <w:highlight w:val="none"/>
          <w:u w:val="none" w:color="auto"/>
        </w:rPr>
        <w:t>结论与建议</w:t>
      </w:r>
      <w:bookmarkEnd w:id="199"/>
      <w:bookmarkEnd w:id="200"/>
      <w:bookmarkEnd w:id="243"/>
    </w:p>
    <w:p w14:paraId="159716C2">
      <w:pPr>
        <w:pStyle w:val="5"/>
        <w:rPr>
          <w:rFonts w:hint="default" w:ascii="Times New Roman" w:hAnsi="Times New Roman" w:cs="Times New Roman"/>
          <w:color w:val="auto"/>
          <w:szCs w:val="30"/>
          <w:highlight w:val="none"/>
          <w:u w:val="none" w:color="auto"/>
        </w:rPr>
      </w:pPr>
      <w:bookmarkStart w:id="244" w:name="_Toc30716"/>
      <w:bookmarkStart w:id="245" w:name="_Toc22704"/>
      <w:bookmarkStart w:id="246" w:name="_Toc336"/>
      <w:r>
        <w:rPr>
          <w:rFonts w:hint="default" w:ascii="Times New Roman" w:hAnsi="Times New Roman" w:cs="Times New Roman"/>
          <w:color w:val="auto"/>
          <w:szCs w:val="30"/>
          <w:highlight w:val="none"/>
          <w:u w:val="none" w:color="auto"/>
        </w:rPr>
        <w:t>结论</w:t>
      </w:r>
      <w:bookmarkEnd w:id="244"/>
      <w:bookmarkEnd w:id="245"/>
      <w:bookmarkEnd w:id="246"/>
    </w:p>
    <w:p w14:paraId="35C97894">
      <w:pPr>
        <w:pStyle w:val="6"/>
        <w:rPr>
          <w:rFonts w:hint="default" w:ascii="Times New Roman" w:hAnsi="Times New Roman" w:cs="Times New Roman"/>
          <w:color w:val="auto"/>
          <w:highlight w:val="none"/>
          <w:u w:val="none" w:color="auto"/>
        </w:rPr>
      </w:pPr>
      <w:bookmarkStart w:id="247" w:name="_Toc14458"/>
      <w:r>
        <w:rPr>
          <w:rFonts w:hint="default" w:ascii="Times New Roman" w:hAnsi="Times New Roman" w:cs="Times New Roman"/>
          <w:color w:val="auto"/>
          <w:highlight w:val="none"/>
          <w:u w:val="none" w:color="auto"/>
        </w:rPr>
        <w:t>项目概况</w:t>
      </w:r>
      <w:bookmarkEnd w:id="247"/>
    </w:p>
    <w:p w14:paraId="7ADB66C6">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sz w:val="24"/>
          <w:highlight w:val="none"/>
          <w:u w:val="none"/>
          <w:lang w:val="en-US" w:eastAsia="zh-CN"/>
        </w:rPr>
        <w:t>为完善</w:t>
      </w:r>
      <w:r>
        <w:rPr>
          <w:rFonts w:hint="eastAsia" w:ascii="Times New Roman" w:hAnsi="Times New Roman" w:cs="Times New Roman"/>
          <w:color w:val="auto"/>
          <w:sz w:val="24"/>
          <w:highlight w:val="none"/>
          <w:u w:val="none"/>
          <w:lang w:val="en-US" w:eastAsia="zh-CN"/>
        </w:rPr>
        <w:t>湘阴佳海绿色食品产业园一期</w:t>
      </w:r>
      <w:r>
        <w:rPr>
          <w:rFonts w:hint="default" w:ascii="Times New Roman" w:hAnsi="Times New Roman" w:cs="Times New Roman"/>
          <w:color w:val="auto"/>
          <w:sz w:val="24"/>
          <w:highlight w:val="none"/>
          <w:u w:val="none"/>
          <w:lang w:val="en-US" w:eastAsia="zh-CN"/>
        </w:rPr>
        <w:t>片区配套设施，集中处理产业园区引进企业的生产废水，拟在产业园区东南角配套建设工业污水处理站，服务范围为佳海产业园区内企业生产废水，建设规模1200</w:t>
      </w:r>
      <w:r>
        <w:rPr>
          <w:rFonts w:hint="eastAsia" w:ascii="Times New Roman" w:hAnsi="Times New Roman" w:cs="Times New Roman"/>
          <w:color w:val="auto"/>
          <w:sz w:val="24"/>
          <w:highlight w:val="none"/>
          <w:u w:val="none"/>
          <w:lang w:val="en-US" w:eastAsia="zh-CN"/>
        </w:rPr>
        <w:t>m</w:t>
      </w:r>
      <w:r>
        <w:rPr>
          <w:rFonts w:hint="eastAsia" w:ascii="Times New Roman" w:hAnsi="Times New Roman" w:cs="Times New Roman"/>
          <w:color w:val="auto"/>
          <w:sz w:val="24"/>
          <w:highlight w:val="none"/>
          <w:u w:val="none"/>
          <w:vertAlign w:val="superscript"/>
          <w:lang w:val="en-US" w:eastAsia="zh-CN"/>
        </w:rPr>
        <w:t>3</w:t>
      </w:r>
      <w:r>
        <w:rPr>
          <w:rFonts w:hint="default" w:ascii="Times New Roman" w:hAnsi="Times New Roman" w:cs="Times New Roman"/>
          <w:color w:val="auto"/>
          <w:sz w:val="24"/>
          <w:highlight w:val="none"/>
          <w:u w:val="none"/>
          <w:lang w:val="en-US" w:eastAsia="zh-CN"/>
        </w:rPr>
        <w:t>/d，采用“集水池+微滤机+隔油预沉池+调节池/应急池+厌氧流化床+好氧池+缺氧池+消化池+好氧流化床+去磷池+清水池”处理工艺，处理达标后尾水进入湘阴县第二污水处理厂集中处理。由湘阴县第二污水处理厂集中处理达《城镇污水处理厂污染物排放标准》（GB18918-2002）一级A标准后排入</w:t>
      </w:r>
      <w:r>
        <w:rPr>
          <w:rFonts w:hint="eastAsia" w:ascii="Times New Roman" w:hAnsi="Times New Roman" w:cs="Times New Roman"/>
          <w:color w:val="auto"/>
          <w:sz w:val="24"/>
          <w:highlight w:val="none"/>
          <w:u w:val="none"/>
          <w:lang w:val="en-US" w:eastAsia="zh-CN"/>
        </w:rPr>
        <w:t>湘江</w:t>
      </w:r>
      <w:r>
        <w:rPr>
          <w:rFonts w:hint="default" w:ascii="Times New Roman" w:hAnsi="Times New Roman" w:cs="Times New Roman"/>
          <w:color w:val="auto"/>
          <w:sz w:val="24"/>
          <w:highlight w:val="none"/>
          <w:u w:val="none"/>
          <w:lang w:val="en-US" w:eastAsia="zh-CN"/>
        </w:rPr>
        <w:t>。</w:t>
      </w:r>
    </w:p>
    <w:p w14:paraId="3E322426">
      <w:pPr>
        <w:pStyle w:val="6"/>
        <w:rPr>
          <w:rFonts w:hint="default" w:ascii="Times New Roman" w:hAnsi="Times New Roman" w:cs="Times New Roman"/>
          <w:color w:val="auto"/>
          <w:highlight w:val="none"/>
          <w:u w:val="none" w:color="auto"/>
        </w:rPr>
      </w:pPr>
      <w:bookmarkStart w:id="248" w:name="_Toc6735"/>
      <w:r>
        <w:rPr>
          <w:rFonts w:hint="default" w:ascii="Times New Roman" w:hAnsi="Times New Roman" w:cs="Times New Roman"/>
          <w:color w:val="auto"/>
          <w:highlight w:val="none"/>
          <w:u w:val="none" w:color="auto"/>
        </w:rPr>
        <w:t>环保政策可达性</w:t>
      </w:r>
      <w:bookmarkEnd w:id="248"/>
    </w:p>
    <w:p w14:paraId="77F20064">
      <w:pPr>
        <w:ind w:firstLine="482"/>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（1）产业政策</w:t>
      </w:r>
    </w:p>
    <w:p w14:paraId="213E43D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本项目国民经济行业类别为D4620污水处理及其再生利用，对照《产业结构调整指导目录（2024 年本）》，项目属于第一类“鼓励类”第四十二条“环境保护与资源节约综合利用”第10项“工业“三废”循环利用”，项目符合国家产业政策。该项目不属于《市场准入负面清单（</w:t>
      </w:r>
      <w:r>
        <w:rPr>
          <w:rFonts w:hint="eastAsia" w:ascii="Times New Roman" w:hAnsi="Times New Roman" w:cs="Times New Roman"/>
          <w:color w:val="auto"/>
          <w:highlight w:val="none"/>
          <w:u w:val="none" w:color="auto"/>
          <w:lang w:val="en-US" w:eastAsia="zh-CN"/>
        </w:rPr>
        <w:t>2022</w:t>
      </w:r>
      <w:r>
        <w:rPr>
          <w:rFonts w:hint="default" w:ascii="Times New Roman" w:hAnsi="Times New Roman" w:cs="Times New Roman"/>
          <w:color w:val="auto"/>
          <w:highlight w:val="none"/>
          <w:u w:val="none" w:color="auto"/>
        </w:rPr>
        <w:t>年版）》中“禁止类”项目。因此，该项目符合当前国家产业政策。</w:t>
      </w:r>
    </w:p>
    <w:p w14:paraId="6A516A15">
      <w:pPr>
        <w:ind w:firstLine="482"/>
        <w:rPr>
          <w:rFonts w:hint="default" w:ascii="Times New Roman" w:hAnsi="Times New Roman" w:cs="Times New Roman"/>
          <w:b/>
          <w:bCs/>
          <w:color w:val="auto"/>
          <w:highlight w:val="none"/>
          <w:u w:val="none" w:color="auto"/>
          <w:lang w:val="zh-CN"/>
        </w:rPr>
      </w:pPr>
      <w:r>
        <w:rPr>
          <w:rFonts w:hint="default" w:ascii="Times New Roman" w:hAnsi="Times New Roman" w:cs="Times New Roman"/>
          <w:b/>
          <w:bCs/>
          <w:color w:val="auto"/>
          <w:highlight w:val="none"/>
          <w:u w:val="none" w:color="auto"/>
          <w:lang w:val="zh-CN"/>
        </w:rPr>
        <w:t>（</w:t>
      </w:r>
      <w:r>
        <w:rPr>
          <w:rFonts w:hint="default" w:ascii="Times New Roman" w:hAnsi="Times New Roman" w:cs="Times New Roman"/>
          <w:b/>
          <w:bCs/>
          <w:color w:val="auto"/>
          <w:highlight w:val="none"/>
          <w:u w:val="none" w:color="auto"/>
        </w:rPr>
        <w:t>2</w:t>
      </w:r>
      <w:r>
        <w:rPr>
          <w:rFonts w:hint="default" w:ascii="Times New Roman" w:hAnsi="Times New Roman" w:cs="Times New Roman"/>
          <w:b/>
          <w:bCs/>
          <w:color w:val="auto"/>
          <w:highlight w:val="none"/>
          <w:u w:val="none" w:color="auto"/>
          <w:lang w:val="zh-CN"/>
        </w:rPr>
        <w:t>）选址合理性分析</w:t>
      </w:r>
    </w:p>
    <w:p w14:paraId="525E5B7D">
      <w:pPr>
        <w:ind w:firstLine="452"/>
        <w:rPr>
          <w:rFonts w:hint="default" w:ascii="Times New Roman" w:hAnsi="Times New Roman" w:cs="Times New Roman"/>
          <w:color w:val="auto"/>
          <w:highlight w:val="none"/>
          <w:u w:val="none" w:color="auto"/>
        </w:rPr>
      </w:pPr>
      <w:r>
        <w:rPr>
          <w:rFonts w:hint="default" w:ascii="Times New Roman" w:hAnsi="Times New Roman" w:cs="Times New Roman"/>
          <w:color w:val="auto"/>
          <w:spacing w:val="-7"/>
          <w:highlight w:val="none"/>
          <w:u w:val="none" w:color="auto"/>
        </w:rPr>
        <w:t>本项目为该绿色食品产业园的污水处理站配套项目，可有效的解决后续入驻企业的生产废水问题。周边交通便利，项目用水、用电，项目区域基础设施能够满足日常生产需求，周边均为工业企业，因此项目选址合理。</w:t>
      </w:r>
    </w:p>
    <w:p w14:paraId="42E576A3">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本项目位于</w:t>
      </w:r>
      <w:r>
        <w:rPr>
          <w:rFonts w:hint="default" w:ascii="Times New Roman" w:hAnsi="Times New Roman" w:cs="Times New Roman"/>
          <w:highlight w:val="none"/>
        </w:rPr>
        <w:t>产业园区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用地性质为工业用地</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不占用划定的生态红线区域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因此与湖南省生态保护红线区域保护规划相符。</w:t>
      </w:r>
    </w:p>
    <w:p w14:paraId="765E1334">
      <w:pPr>
        <w:ind w:left="480" w:leftChars="200" w:firstLine="0" w:firstLineChars="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（3）总平面布局合理性</w:t>
      </w:r>
    </w:p>
    <w:p w14:paraId="1912F1EE">
      <w:pPr>
        <w:ind w:firstLine="480"/>
        <w:rPr>
          <w:rFonts w:hint="default" w:ascii="Times New Roman" w:hAnsi="Times New Roman" w:cs="Times New Roman"/>
          <w:color w:val="auto"/>
          <w:highlight w:val="none"/>
          <w:u w:val="none" w:color="auto"/>
        </w:rPr>
      </w:pPr>
      <w:bookmarkStart w:id="249" w:name="_Toc385515528"/>
      <w:r>
        <w:rPr>
          <w:rFonts w:hint="default" w:ascii="Times New Roman" w:hAnsi="Times New Roman" w:cs="Times New Roman"/>
          <w:color w:val="auto"/>
          <w:highlight w:val="none"/>
          <w:u w:val="none" w:color="auto"/>
        </w:rPr>
        <w:t>项目厂区布置满足工艺生产流程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布局连续紧凑</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功能分区明确</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平面布置基本合理。</w:t>
      </w:r>
    </w:p>
    <w:bookmarkEnd w:id="249"/>
    <w:p w14:paraId="0E7C16A6">
      <w:pPr>
        <w:pStyle w:val="6"/>
        <w:rPr>
          <w:rFonts w:hint="default" w:ascii="Times New Roman" w:hAnsi="Times New Roman" w:cs="Times New Roman"/>
          <w:color w:val="auto"/>
          <w:highlight w:val="none"/>
          <w:u w:val="none" w:color="auto"/>
        </w:rPr>
      </w:pPr>
      <w:bookmarkStart w:id="250" w:name="_Toc23828"/>
      <w:r>
        <w:rPr>
          <w:rFonts w:hint="default" w:ascii="Times New Roman" w:hAnsi="Times New Roman" w:cs="Times New Roman"/>
          <w:color w:val="auto"/>
          <w:highlight w:val="none"/>
          <w:u w:val="none" w:color="auto"/>
        </w:rPr>
        <w:t>环境质量现状结论</w:t>
      </w:r>
      <w:bookmarkEnd w:id="250"/>
    </w:p>
    <w:p w14:paraId="22695964">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（1）大气环境质量现状</w:t>
      </w:r>
    </w:p>
    <w:p w14:paraId="19688AB7">
      <w:pPr>
        <w:ind w:firstLine="480"/>
        <w:rPr>
          <w:rFonts w:hint="default" w:ascii="Times New Roman" w:hAnsi="Times New Roman" w:cs="Times New Roman"/>
          <w:color w:val="auto"/>
          <w:highlight w:val="none"/>
          <w:u w:val="none" w:color="auto"/>
        </w:rPr>
      </w:pPr>
      <w:r>
        <w:rPr>
          <w:rFonts w:hint="default" w:ascii="Times New Roman" w:hAnsi="Times New Roman" w:cs="Times New Roman"/>
          <w:highlight w:val="none"/>
        </w:rPr>
        <w:t>项目所在区域的监测因子均达到《环境空气质量标准》（GB3095-2012）二级标准要求，区域环境质量较好，属于达标区。</w:t>
      </w:r>
    </w:p>
    <w:p w14:paraId="6CEDCC00">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kern w:val="0"/>
          <w:highlight w:val="none"/>
          <w:u w:val="none" w:color="auto"/>
        </w:rPr>
        <w:t>监测数据表明，硫化氢、氨满足《环境影响技术导则-大气环境》（TJ2.2-2018）附录D其他污染物空气质量浓度参考限值，项目所在地环境空气质量良好。</w:t>
      </w:r>
    </w:p>
    <w:p w14:paraId="40797361">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（2）地表水环境质量现状</w:t>
      </w:r>
    </w:p>
    <w:p w14:paraId="5D71D03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本次评价引用20</w:t>
      </w:r>
      <w:r>
        <w:rPr>
          <w:rFonts w:hint="default" w:ascii="Times New Roman" w:hAnsi="Times New Roman" w:cs="Times New Roman"/>
          <w:color w:val="auto"/>
          <w:highlight w:val="none"/>
          <w:u w:val="none" w:color="auto"/>
          <w:lang w:val="en-US" w:eastAsia="zh-CN"/>
        </w:rPr>
        <w:t>2</w:t>
      </w:r>
      <w:r>
        <w:rPr>
          <w:rFonts w:hint="eastAsia"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年1月及2月对乌龙嘴断面湘江断面</w:t>
      </w:r>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进行的地表水环境常规监测的数据，监测数据表明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各</w:t>
      </w:r>
      <w:r>
        <w:rPr>
          <w:rFonts w:hint="default" w:ascii="Times New Roman" w:hAnsi="Times New Roman" w:cs="Times New Roman"/>
          <w:color w:val="auto"/>
          <w:highlight w:val="none"/>
          <w:u w:val="none" w:color="auto"/>
        </w:rPr>
        <w:t>监测因子</w:t>
      </w:r>
      <w:r>
        <w:rPr>
          <w:rFonts w:hint="default" w:ascii="Times New Roman" w:hAnsi="Times New Roman" w:cs="Times New Roman"/>
          <w:color w:val="auto"/>
          <w:highlight w:val="none"/>
          <w:u w:val="none" w:color="auto"/>
          <w:lang w:val="en-US" w:eastAsia="zh-CN"/>
        </w:rPr>
        <w:t>均</w:t>
      </w:r>
      <w:r>
        <w:rPr>
          <w:rFonts w:hint="default" w:ascii="Times New Roman" w:hAnsi="Times New Roman" w:cs="Times New Roman"/>
          <w:color w:val="auto"/>
          <w:highlight w:val="none"/>
          <w:u w:val="none" w:color="auto"/>
        </w:rPr>
        <w:t>能满足《地表水环境质量标准》（GB3838-2002）中的Ⅲ类标准要求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lang w:val="en-US" w:eastAsia="zh-CN"/>
        </w:rPr>
        <w:t>为达标区</w:t>
      </w:r>
      <w:r>
        <w:rPr>
          <w:rFonts w:hint="default" w:ascii="Times New Roman" w:hAnsi="Times New Roman" w:cs="Times New Roman"/>
          <w:color w:val="auto"/>
          <w:highlight w:val="none"/>
          <w:u w:val="none" w:color="auto"/>
        </w:rPr>
        <w:t>。</w:t>
      </w:r>
    </w:p>
    <w:p w14:paraId="6BF1666A">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（3）地下水环境质量现状</w:t>
      </w:r>
    </w:p>
    <w:p w14:paraId="7C48E9FB">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项目区域地下水各监测点位的各监测因子均未超过《地下水质量标准》（GB/T 14848—2017）Ⅲ类标准要求</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szCs w:val="18"/>
          <w:highlight w:val="none"/>
          <w:u w:val="none" w:color="auto"/>
        </w:rPr>
        <w:t>本项目区域地下水环境质量良好。</w:t>
      </w:r>
    </w:p>
    <w:p w14:paraId="04A13FF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（4）声环境质量现状</w:t>
      </w:r>
    </w:p>
    <w:p w14:paraId="3F658A27">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color w:val="auto"/>
          <w:highlight w:val="none"/>
          <w:u w:val="none" w:color="auto"/>
        </w:rPr>
        <w:t>由监测资料统计结果表明</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项目厂界昼、夜</w:t>
      </w:r>
      <w:r>
        <w:rPr>
          <w:rFonts w:hint="default" w:ascii="Times New Roman" w:hAnsi="Times New Roman" w:eastAsia="宋体" w:cs="Times New Roman"/>
          <w:color w:val="auto"/>
          <w:highlight w:val="none"/>
          <w:u w:val="none" w:color="auto"/>
          <w:lang w:val="en-US" w:eastAsia="zh-CN"/>
        </w:rPr>
        <w:t>间</w:t>
      </w:r>
      <w:r>
        <w:rPr>
          <w:rFonts w:hint="default" w:ascii="Times New Roman" w:hAnsi="Times New Roman" w:cs="Times New Roman"/>
          <w:color w:val="auto"/>
          <w:highlight w:val="none"/>
          <w:u w:val="none" w:color="auto"/>
        </w:rPr>
        <w:t>噪声监测值均达到《声环境质量标准》（GB3096-2008）中3类标准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工程所在区域声环境质量良好</w:t>
      </w:r>
      <w:r>
        <w:rPr>
          <w:rFonts w:hint="default" w:ascii="Times New Roman" w:hAnsi="Times New Roman" w:cs="Times New Roman"/>
          <w:color w:val="auto"/>
          <w:highlight w:val="none"/>
          <w:u w:val="none" w:color="auto"/>
          <w:lang w:val="zh-CN"/>
        </w:rPr>
        <w:t>。</w:t>
      </w:r>
    </w:p>
    <w:p w14:paraId="24CCDE68">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（5）土壤环境质量现状</w:t>
      </w:r>
    </w:p>
    <w:p w14:paraId="4282B99F">
      <w:pPr>
        <w:ind w:firstLine="480"/>
        <w:rPr>
          <w:rFonts w:hint="default" w:ascii="Times New Roman" w:hAnsi="Times New Roman" w:cs="Times New Roman"/>
          <w:color w:val="auto"/>
          <w:highlight w:val="none"/>
          <w:u w:val="none" w:color="auto"/>
          <w:lang w:val="zh-CN"/>
        </w:rPr>
      </w:pPr>
      <w:r>
        <w:rPr>
          <w:rFonts w:hint="default" w:ascii="Times New Roman" w:hAnsi="Times New Roman" w:cs="Times New Roman"/>
          <w:bCs/>
          <w:color w:val="auto"/>
          <w:kern w:val="0"/>
          <w:highlight w:val="none"/>
          <w:u w:val="none" w:color="auto"/>
        </w:rPr>
        <w:t>项目所在地监测点位T1-T</w:t>
      </w:r>
      <w:r>
        <w:rPr>
          <w:rFonts w:hint="eastAsia" w:ascii="Times New Roman" w:hAnsi="Times New Roman" w:cs="Times New Roman"/>
          <w:bCs/>
          <w:color w:val="auto"/>
          <w:kern w:val="0"/>
          <w:highlight w:val="none"/>
          <w:u w:val="none" w:color="auto"/>
          <w:lang w:val="en-US" w:eastAsia="zh-CN"/>
        </w:rPr>
        <w:t>3</w:t>
      </w:r>
      <w:r>
        <w:rPr>
          <w:rFonts w:hint="default" w:ascii="Times New Roman" w:hAnsi="Times New Roman" w:cs="Times New Roman"/>
          <w:bCs/>
          <w:color w:val="auto"/>
          <w:kern w:val="0"/>
          <w:highlight w:val="none"/>
          <w:u w:val="none" w:color="auto"/>
        </w:rPr>
        <w:t>各监测因子均达到《土壤环境质量建设用地土壤污染风险管控标准（试行）》（GB36600-2018）风险筛选值中的第二类用地的标准限值。项目区域土壤环境质量较好。</w:t>
      </w:r>
    </w:p>
    <w:p w14:paraId="3E8E7611">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营运期环境影响评价结论</w:t>
      </w:r>
    </w:p>
    <w:p w14:paraId="299CC4D4">
      <w:pPr>
        <w:ind w:firstLine="480"/>
        <w:rPr>
          <w:rFonts w:hint="default" w:ascii="Times New Roman" w:hAnsi="Times New Roman" w:cs="Times New Roman"/>
          <w:color w:val="auto"/>
          <w:highlight w:val="none"/>
          <w:u w:val="none" w:color="auto"/>
        </w:rPr>
      </w:pPr>
      <w:bookmarkStart w:id="251" w:name="_Toc32301"/>
      <w:bookmarkStart w:id="252" w:name="_Toc15649"/>
      <w:r>
        <w:rPr>
          <w:rFonts w:hint="default" w:ascii="Times New Roman" w:hAnsi="Times New Roman" w:cs="Times New Roman"/>
          <w:color w:val="auto"/>
          <w:highlight w:val="none"/>
          <w:u w:val="none" w:color="auto"/>
        </w:rPr>
        <w:t>（1）废气</w:t>
      </w:r>
    </w:p>
    <w:p w14:paraId="742B11E4">
      <w:pPr>
        <w:bidi w:val="0"/>
        <w:rPr>
          <w:rFonts w:hint="default"/>
          <w:highlight w:val="none"/>
        </w:rPr>
      </w:pPr>
      <w:r>
        <w:rPr>
          <w:rFonts w:hint="default" w:ascii="Times New Roman" w:hAnsi="Times New Roman" w:cs="Times New Roman"/>
          <w:color w:val="auto"/>
          <w:highlight w:val="none"/>
          <w:u w:val="none" w:color="auto"/>
        </w:rPr>
        <w:t>本项目产生的废气污染物主要为污水处理过程中产生的恶臭污染物氨气、硫化 氢等。集水池、调节池、厌氧流化床、缺氧池、消化池、污泥池均设置为密闭式池体，然后废气采用密闭管道进行收集；隔油初沉池对池体加盖抽风；污泥脱水区域采用集气罩进行收集</w:t>
      </w:r>
      <w:r>
        <w:rPr>
          <w:rFonts w:hint="eastAsia"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收集后的臭气经一套“二级喷淋塔+</w:t>
      </w:r>
      <w:r>
        <w:rPr>
          <w:rFonts w:hint="eastAsia" w:ascii="Times New Roman" w:hAnsi="Times New Roman" w:cs="Times New Roman"/>
          <w:color w:val="auto"/>
          <w:highlight w:val="none"/>
          <w:u w:val="none" w:color="auto"/>
          <w:lang w:eastAsia="zh-CN"/>
        </w:rPr>
        <w:t>生物滤池</w:t>
      </w:r>
      <w:r>
        <w:rPr>
          <w:rFonts w:hint="default" w:ascii="Times New Roman" w:hAnsi="Times New Roman" w:cs="Times New Roman"/>
          <w:color w:val="auto"/>
          <w:highlight w:val="none"/>
          <w:u w:val="none" w:color="auto"/>
        </w:rPr>
        <w:t>”除臭系统处理后通过一根15m高排气筒(DA001)排放，其他池体为无组织排放，厂区四</w:t>
      </w:r>
      <w:r>
        <w:rPr>
          <w:rFonts w:hint="default"/>
          <w:highlight w:val="none"/>
        </w:rPr>
        <w:t>周种植绿化带。</w:t>
      </w:r>
    </w:p>
    <w:p w14:paraId="25E5DAE6">
      <w:pPr>
        <w:bidi w:val="0"/>
        <w:rPr>
          <w:rFonts w:hint="eastAsia" w:eastAsia="宋体"/>
          <w:highlight w:val="none"/>
          <w:lang w:val="en-US" w:eastAsia="zh-CN"/>
        </w:rPr>
      </w:pPr>
      <w:r>
        <w:rPr>
          <w:rFonts w:hint="default"/>
          <w:highlight w:val="none"/>
        </w:rPr>
        <w:t>恶臭污染物有组织排放满足《恶臭污染物排放标准》（GB14554-1993）表2排放标准，厂界无组织排放满足《恶臭污染物排放标准》（GB14554-1993）表二级标准。废气经采取配套防治措施治理后能够达标排放，对区域大气环境质量的影响较小</w:t>
      </w:r>
      <w:r>
        <w:rPr>
          <w:rFonts w:hint="eastAsia"/>
          <w:highlight w:val="none"/>
          <w:lang w:eastAsia="zh-CN"/>
        </w:rPr>
        <w:t>。</w:t>
      </w:r>
    </w:p>
    <w:p w14:paraId="347A4751">
      <w:pPr>
        <w:bidi w:val="0"/>
        <w:rPr>
          <w:rFonts w:hint="default"/>
          <w:highlight w:val="none"/>
        </w:rPr>
      </w:pPr>
      <w:r>
        <w:rPr>
          <w:rFonts w:hint="default"/>
          <w:highlight w:val="none"/>
        </w:rPr>
        <w:t>（2）废水</w:t>
      </w:r>
    </w:p>
    <w:p w14:paraId="0CA70474">
      <w:pPr>
        <w:bidi w:val="0"/>
        <w:rPr>
          <w:rFonts w:hint="default"/>
          <w:highlight w:val="none"/>
        </w:rPr>
      </w:pPr>
      <w:r>
        <w:rPr>
          <w:rFonts w:hint="default"/>
          <w:highlight w:val="none"/>
        </w:rPr>
        <w:t>本项目废水主要为冲洗废水、喷淋塔循环废液，全部排入调节池同进厂污水一并处理。项目污水处理设计处理规模为1200</w:t>
      </w:r>
      <w:r>
        <w:rPr>
          <w:rFonts w:hint="eastAsia"/>
          <w:highlight w:val="none"/>
          <w:lang w:eastAsia="zh-CN"/>
        </w:rPr>
        <w:t>m</w:t>
      </w:r>
      <w:r>
        <w:rPr>
          <w:rFonts w:hint="eastAsia"/>
          <w:highlight w:val="none"/>
          <w:vertAlign w:val="superscript"/>
          <w:lang w:eastAsia="zh-CN"/>
        </w:rPr>
        <w:t>3</w:t>
      </w:r>
      <w:r>
        <w:rPr>
          <w:rFonts w:hint="default"/>
          <w:highlight w:val="none"/>
        </w:rPr>
        <w:t>/d，采用“集水池+微滤机+隔油预沉池+调节池/应急池+厌氧流化床+好氧池+缺氧池+消化池+好氧流化床+去磷池+清水池”组合处理工艺，项目外排放废水满足《污水综合排放标准》（GB8978-1996）表4中的三级标准和</w:t>
      </w:r>
      <w:r>
        <w:rPr>
          <w:rFonts w:hint="eastAsia"/>
          <w:highlight w:val="none"/>
          <w:lang w:val="en-US" w:eastAsia="zh-CN"/>
        </w:rPr>
        <w:t>湘阴县</w:t>
      </w:r>
      <w:r>
        <w:rPr>
          <w:rFonts w:hint="default"/>
          <w:highlight w:val="none"/>
        </w:rPr>
        <w:t>第二污水处理厂进水水质接纳标准后进入</w:t>
      </w:r>
      <w:r>
        <w:rPr>
          <w:rFonts w:hint="eastAsia"/>
          <w:highlight w:val="none"/>
          <w:lang w:val="en-US" w:eastAsia="zh-CN"/>
        </w:rPr>
        <w:t>湘阴县</w:t>
      </w:r>
      <w:r>
        <w:rPr>
          <w:rFonts w:hint="default"/>
          <w:highlight w:val="none"/>
        </w:rPr>
        <w:t>第二污水处理厂，处理后达到《城镇污水处理厂污染物排放标准》（GB18918-2002）中的一级A标准排入</w:t>
      </w:r>
      <w:r>
        <w:rPr>
          <w:rFonts w:hint="eastAsia"/>
          <w:highlight w:val="none"/>
          <w:lang w:val="en-US" w:eastAsia="zh-CN"/>
        </w:rPr>
        <w:t>湘江</w:t>
      </w:r>
      <w:r>
        <w:rPr>
          <w:rFonts w:hint="default"/>
          <w:highlight w:val="none"/>
        </w:rPr>
        <w:t>。不直接排入附近水体，对地表水环境质量不利影响较小</w:t>
      </w:r>
    </w:p>
    <w:p w14:paraId="724A272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（3）噪声</w:t>
      </w:r>
    </w:p>
    <w:p w14:paraId="04970E6D">
      <w:pPr>
        <w:ind w:firstLine="480"/>
        <w:rPr>
          <w:rFonts w:hint="eastAsia"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本项目高噪声源主要为风机、各类泵及空压机类，噪声级在70-85dB（A），采取选用低噪声设备、隔声、基础减振及消声等降噪措施</w:t>
      </w:r>
      <w:r>
        <w:rPr>
          <w:rFonts w:hint="eastAsia" w:ascii="Times New Roman" w:hAnsi="Times New Roman" w:cs="Times New Roman"/>
          <w:color w:val="auto"/>
          <w:highlight w:val="none"/>
          <w:u w:val="none" w:color="auto"/>
          <w:lang w:eastAsia="zh-CN"/>
        </w:rPr>
        <w:t>，根据声环境影响预测结果，项目建成运行后，各向厂界噪声贡献值均满足《工业企业厂界环境噪声排放标准》(GB12348-2008)3类标准，项目建设对区域声环境造成的不利影响较小。</w:t>
      </w:r>
    </w:p>
    <w:p w14:paraId="35A1F559">
      <w:pPr>
        <w:ind w:firstLine="48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（4）固废</w:t>
      </w:r>
    </w:p>
    <w:p w14:paraId="70978BC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本项目产生的固体废物主要为栅渣、废油、污泥、废包装袋、生物填料、废机油及废机油桶、含油抹布、手套、劳保用品等。栅渣由环卫部门统一清运处置；废油委托相关单位回收利用；污泥采用</w:t>
      </w:r>
      <w:r>
        <w:rPr>
          <w:rFonts w:hint="eastAsia" w:ascii="Times New Roman" w:hAnsi="Times New Roman" w:cs="Times New Roman"/>
          <w:color w:val="auto"/>
          <w:highlight w:val="none"/>
          <w:u w:val="none" w:color="auto"/>
          <w:lang w:val="en-US" w:eastAsia="zh-CN"/>
        </w:rPr>
        <w:t>板框压滤机</w:t>
      </w:r>
      <w:r>
        <w:rPr>
          <w:rFonts w:hint="default" w:ascii="Times New Roman" w:hAnsi="Times New Roman" w:cs="Times New Roman"/>
          <w:color w:val="auto"/>
          <w:highlight w:val="none"/>
          <w:u w:val="none" w:color="auto"/>
        </w:rPr>
        <w:t>脱水后</w:t>
      </w:r>
      <w:r>
        <w:rPr>
          <w:rFonts w:hint="eastAsia" w:ascii="Times New Roman" w:hAnsi="Times New Roman" w:cs="Times New Roman"/>
          <w:color w:val="auto"/>
          <w:highlight w:val="none"/>
          <w:u w:val="none" w:color="auto"/>
          <w:lang w:val="en-US" w:eastAsia="zh-CN"/>
        </w:rPr>
        <w:t>外运综合处置</w:t>
      </w:r>
      <w:r>
        <w:rPr>
          <w:rFonts w:hint="default" w:ascii="Times New Roman" w:hAnsi="Times New Roman" w:cs="Times New Roman"/>
          <w:color w:val="auto"/>
          <w:highlight w:val="none"/>
          <w:u w:val="none" w:color="auto"/>
        </w:rPr>
        <w:t>，不在厂内</w:t>
      </w:r>
      <w:r>
        <w:rPr>
          <w:rFonts w:hint="eastAsia" w:ascii="Times New Roman" w:hAnsi="Times New Roman" w:cs="Times New Roman"/>
          <w:color w:val="auto"/>
          <w:highlight w:val="none"/>
          <w:u w:val="none" w:color="auto"/>
          <w:lang w:val="en-US" w:eastAsia="zh-CN"/>
        </w:rPr>
        <w:t>长期</w:t>
      </w:r>
      <w:r>
        <w:rPr>
          <w:rFonts w:hint="default" w:ascii="Times New Roman" w:hAnsi="Times New Roman" w:cs="Times New Roman"/>
          <w:color w:val="auto"/>
          <w:highlight w:val="none"/>
          <w:u w:val="none" w:color="auto"/>
        </w:rPr>
        <w:t>储存；废包装袋收集后交由原料供应厂家回收利用、废机油及废机油桶、含油抹布、手套、劳保用品建设一间危废间，在危废仓库暂存后定期交由有资质单位处理。危废仓库位于污泥脱水间一楼，面积为</w:t>
      </w:r>
      <w:r>
        <w:rPr>
          <w:rFonts w:hint="eastAsia" w:ascii="Times New Roman" w:hAnsi="Times New Roman" w:cs="Times New Roman"/>
          <w:color w:val="auto"/>
          <w:highlight w:val="none"/>
          <w:u w:val="none" w:color="auto"/>
          <w:lang w:val="en-US" w:eastAsia="zh-CN"/>
        </w:rPr>
        <w:t>5</w:t>
      </w:r>
      <w:r>
        <w:rPr>
          <w:rFonts w:hint="eastAsia" w:ascii="Times New Roman" w:hAnsi="Times New Roman" w:cs="Times New Roman"/>
          <w:color w:val="auto"/>
          <w:highlight w:val="none"/>
          <w:u w:val="none" w:color="auto"/>
          <w:lang w:eastAsia="zh-CN"/>
        </w:rPr>
        <w:t>m</w:t>
      </w:r>
      <w:r>
        <w:rPr>
          <w:rFonts w:hint="eastAsia" w:ascii="Times New Roman" w:hAnsi="Times New Roman" w:cs="Times New Roman"/>
          <w:color w:val="auto"/>
          <w:highlight w:val="none"/>
          <w:u w:val="none" w:color="auto"/>
          <w:vertAlign w:val="superscript"/>
          <w:lang w:eastAsia="zh-CN"/>
        </w:rPr>
        <w:t>2</w:t>
      </w:r>
      <w:r>
        <w:rPr>
          <w:rFonts w:hint="default" w:ascii="Times New Roman" w:hAnsi="Times New Roman" w:cs="Times New Roman"/>
          <w:color w:val="auto"/>
          <w:highlight w:val="none"/>
          <w:u w:val="none" w:color="auto"/>
        </w:rPr>
        <w:t>。采取以上措施后，项目固体废物可得到合理处置，不会造成二次污染。</w:t>
      </w:r>
    </w:p>
    <w:p w14:paraId="1119D756">
      <w:pPr>
        <w:ind w:firstLine="48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5）地下水</w:t>
      </w:r>
    </w:p>
    <w:p w14:paraId="36A0E7C7">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经预测，项目非正常状况下，污水处理站调节池渗漏事故发生后，污染物对项目区域范围会造成一定的不利影响。环评建议在对各潜在污染源采取切实有效的污染防治措施前提下，加强地下水监测工作，发现污染源渗漏对地下水造成影响时，立即采取有效措施，保护地下水环境。</w:t>
      </w:r>
    </w:p>
    <w:p w14:paraId="69D65540">
      <w:pPr>
        <w:ind w:firstLine="48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（6）土壤</w:t>
      </w:r>
    </w:p>
    <w:p w14:paraId="78CD0944">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项目建成后，本项目废水处理池、危废暂存间、加药间均进行防腐、防渗、防雨、防晒处理。项目从源头上消除了土壤入渗途径，有效防止项目运营期对土壤环境的影响。项目建设对土壤环境影响较小。</w:t>
      </w:r>
    </w:p>
    <w:p w14:paraId="4F976CF7">
      <w:pPr>
        <w:ind w:firstLine="48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（7）环境风险</w:t>
      </w:r>
    </w:p>
    <w:p w14:paraId="18416986">
      <w:pPr>
        <w:ind w:firstLine="48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本项目不储存有重大危险源的药品，本项目污水处理具有潜在的事故风险，尽管事故概率较小，但要从建设、生产、贮运等各方面积极采取防护措施，这是确保安全的根本。为了防范事故和减少危害，需要制定事故的具体应急预案。当出现事故时，要采取紧急的工程应急措施，如有必要，要采取社会应急措施，以控制事故和减少对环境造成的危害。在落实环境风险防范措施后，项目存在的环境风险可接受。</w:t>
      </w:r>
    </w:p>
    <w:p w14:paraId="522696C1">
      <w:pPr>
        <w:pStyle w:val="6"/>
        <w:bidi w:val="0"/>
        <w:rPr>
          <w:rFonts w:hint="default"/>
          <w:lang w:val="en-US" w:eastAsia="zh-CN"/>
        </w:rPr>
      </w:pPr>
      <w:r>
        <w:rPr>
          <w:rFonts w:hint="eastAsia"/>
          <w:lang w:val="en-US" w:eastAsia="zh-CN"/>
        </w:rPr>
        <w:t>总量</w:t>
      </w:r>
    </w:p>
    <w:p w14:paraId="335D8410">
      <w:pPr>
        <w:rPr>
          <w:rFonts w:hint="default"/>
          <w:lang w:val="en-US" w:eastAsia="zh-CN"/>
        </w:rPr>
      </w:pPr>
      <w:r>
        <w:rPr>
          <w:rFonts w:hint="default"/>
          <w:lang w:val="en-US" w:eastAsia="zh-CN"/>
        </w:rPr>
        <w:t>根据《湖南省人民政府关于落实科学发展观切实加强环境保护的决定》，对全省主要污染物排放实行总量控制，由各级政府逐级将控制指标分解落实到各排污单位，全面实行排污许可证制度，禁止无证或超总量排污；严格执行项目建设必须同步削减所在地原有相应污染物排放量的制度，实施环境治理工程，推行清洁生产，淘汰落后生产能力，加快削减污染物排放总量。</w:t>
      </w:r>
    </w:p>
    <w:p w14:paraId="2F051391">
      <w:pPr>
        <w:rPr>
          <w:rFonts w:hint="default"/>
          <w:highlight w:val="none"/>
          <w:lang w:val="en-US" w:eastAsia="zh-CN"/>
        </w:rPr>
      </w:pPr>
      <w:r>
        <w:rPr>
          <w:rFonts w:hint="default"/>
          <w:lang w:val="en-US" w:eastAsia="zh-CN"/>
        </w:rPr>
        <w:t>根据工</w:t>
      </w:r>
      <w:r>
        <w:rPr>
          <w:rFonts w:hint="default"/>
          <w:highlight w:val="none"/>
          <w:lang w:val="en-US" w:eastAsia="zh-CN"/>
        </w:rPr>
        <w:t>程分析，本工程气型污染源主要为污水处理过程产生的臭气（硫化氢和氨气）；水型污染源为COD、</w:t>
      </w:r>
      <w:r>
        <w:rPr>
          <w:rFonts w:hint="eastAsia"/>
          <w:highlight w:val="none"/>
          <w:lang w:val="en-US" w:eastAsia="zh-CN"/>
        </w:rPr>
        <w:t>NH</w:t>
      </w:r>
      <w:r>
        <w:rPr>
          <w:rFonts w:hint="eastAsia"/>
          <w:highlight w:val="none"/>
          <w:vertAlign w:val="subscript"/>
          <w:lang w:val="en-US" w:eastAsia="zh-CN"/>
        </w:rPr>
        <w:t>3</w:t>
      </w:r>
      <w:r>
        <w:rPr>
          <w:rFonts w:hint="default"/>
          <w:highlight w:val="none"/>
          <w:lang w:val="en-US" w:eastAsia="zh-CN"/>
        </w:rPr>
        <w:t>-N、TP。经计算，本项目污染物排放总量控制建议指标，COD：</w:t>
      </w:r>
      <w:r>
        <w:rPr>
          <w:rFonts w:hint="eastAsia"/>
          <w:highlight w:val="none"/>
          <w:lang w:val="en-US" w:eastAsia="zh-CN"/>
        </w:rPr>
        <w:t>21.9</w:t>
      </w:r>
      <w:r>
        <w:rPr>
          <w:rFonts w:hint="default"/>
          <w:highlight w:val="none"/>
          <w:lang w:val="en-US" w:eastAsia="zh-CN"/>
        </w:rPr>
        <w:t>t/a、</w:t>
      </w:r>
      <w:r>
        <w:rPr>
          <w:rFonts w:hint="eastAsia"/>
          <w:highlight w:val="none"/>
          <w:lang w:val="en-US" w:eastAsia="zh-CN"/>
        </w:rPr>
        <w:t>NH</w:t>
      </w:r>
      <w:r>
        <w:rPr>
          <w:rFonts w:hint="eastAsia"/>
          <w:highlight w:val="none"/>
          <w:vertAlign w:val="subscript"/>
          <w:lang w:val="en-US" w:eastAsia="zh-CN"/>
        </w:rPr>
        <w:t>3</w:t>
      </w:r>
      <w:r>
        <w:rPr>
          <w:rFonts w:hint="default"/>
          <w:highlight w:val="none"/>
          <w:lang w:val="en-US" w:eastAsia="zh-CN"/>
        </w:rPr>
        <w:t>-N：</w:t>
      </w:r>
      <w:r>
        <w:rPr>
          <w:rFonts w:hint="eastAsia"/>
          <w:highlight w:val="none"/>
          <w:lang w:val="en-US" w:eastAsia="zh-CN"/>
        </w:rPr>
        <w:t>2.19</w:t>
      </w:r>
      <w:r>
        <w:rPr>
          <w:rFonts w:hint="default"/>
          <w:highlight w:val="none"/>
          <w:lang w:val="en-US" w:eastAsia="zh-CN"/>
        </w:rPr>
        <w:t>t/a、TP：</w:t>
      </w:r>
      <w:r>
        <w:rPr>
          <w:rFonts w:hint="eastAsia"/>
          <w:highlight w:val="none"/>
          <w:lang w:val="en-US" w:eastAsia="zh-CN"/>
        </w:rPr>
        <w:t>0.22</w:t>
      </w:r>
      <w:r>
        <w:rPr>
          <w:rFonts w:hint="default"/>
          <w:highlight w:val="none"/>
          <w:lang w:val="en-US" w:eastAsia="zh-CN"/>
        </w:rPr>
        <w:t>t/a。</w:t>
      </w:r>
    </w:p>
    <w:p w14:paraId="5AA89E38">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公众参与结论</w:t>
      </w:r>
      <w:bookmarkEnd w:id="251"/>
      <w:bookmarkEnd w:id="252"/>
    </w:p>
    <w:p w14:paraId="74D79AC3">
      <w:pPr>
        <w:keepNext w:val="0"/>
        <w:keepLines w:val="0"/>
        <w:widowControl/>
        <w:suppressLineNumbers w:val="0"/>
        <w:jc w:val="left"/>
        <w:rPr>
          <w:rFonts w:hint="default" w:ascii="Times New Roman" w:hAnsi="Times New Roman" w:cs="Times New Roman"/>
          <w:color w:val="auto"/>
          <w:highlight w:val="none"/>
          <w:u w:val="none" w:color="auto"/>
        </w:rPr>
      </w:pPr>
      <w:bookmarkStart w:id="253" w:name="_Toc29583"/>
      <w:r>
        <w:rPr>
          <w:rFonts w:hint="default" w:ascii="Times New Roman" w:hAnsi="Times New Roman" w:cs="Times New Roman"/>
          <w:color w:val="auto"/>
          <w:highlight w:val="none"/>
          <w:u w:val="none" w:color="auto"/>
        </w:rPr>
        <w:t>项目公众参与调查采取现场公示、网上公示和报纸公示等调查方式。该项目同时进行现场公示，在两次网上、报纸公示期内亦没有收到任何反对意见。本次公众参与调查方法可行，结果可信。</w:t>
      </w:r>
    </w:p>
    <w:p w14:paraId="2FD21823">
      <w:pPr>
        <w:pStyle w:val="6"/>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结论</w:t>
      </w:r>
      <w:bookmarkEnd w:id="253"/>
    </w:p>
    <w:p w14:paraId="38A6A8F5">
      <w:pPr>
        <w:pStyle w:val="14"/>
        <w:rPr>
          <w:rFonts w:hint="default" w:ascii="Times New Roman" w:hAnsi="Times New Roman" w:cs="Times New Roman"/>
          <w:color w:val="auto"/>
          <w:highlight w:val="none"/>
          <w:u w:val="none" w:color="auto"/>
        </w:rPr>
      </w:pPr>
      <w:bookmarkStart w:id="254" w:name="OLE_LINK527"/>
      <w:bookmarkStart w:id="255" w:name="OLE_LINK528"/>
      <w:r>
        <w:rPr>
          <w:rFonts w:hint="default" w:ascii="Times New Roman" w:hAnsi="Times New Roman" w:cs="Times New Roman"/>
          <w:color w:val="auto"/>
          <w:sz w:val="24"/>
          <w:szCs w:val="24"/>
          <w:highlight w:val="none"/>
          <w:u w:val="none" w:color="auto"/>
        </w:rPr>
        <w:t>该项目建设符合国家产业政策、</w:t>
      </w:r>
      <w:r>
        <w:rPr>
          <w:rFonts w:hint="default" w:ascii="Times New Roman" w:hAnsi="Times New Roman" w:cs="Times New Roman"/>
          <w:color w:val="auto"/>
          <w:sz w:val="24"/>
          <w:highlight w:val="none"/>
          <w:u w:val="none" w:color="auto"/>
        </w:rPr>
        <w:t>符合</w:t>
      </w:r>
      <w:r>
        <w:rPr>
          <w:rFonts w:hint="eastAsia" w:ascii="Times New Roman" w:hAnsi="Times New Roman" w:cs="Times New Roman"/>
          <w:color w:val="auto"/>
          <w:sz w:val="24"/>
          <w:highlight w:val="none"/>
          <w:u w:val="none" w:color="auto"/>
          <w:lang w:val="en-US" w:eastAsia="zh-CN"/>
        </w:rPr>
        <w:t>园区</w:t>
      </w:r>
      <w:r>
        <w:rPr>
          <w:rFonts w:hint="default" w:ascii="Times New Roman" w:hAnsi="Times New Roman" w:cs="Times New Roman"/>
          <w:color w:val="auto"/>
          <w:spacing w:val="-4"/>
          <w:sz w:val="24"/>
          <w:szCs w:val="24"/>
          <w:highlight w:val="none"/>
          <w:u w:val="none" w:color="auto"/>
        </w:rPr>
        <w:t>定位和用地规划</w:t>
      </w:r>
      <w:r>
        <w:rPr>
          <w:rFonts w:hint="default" w:ascii="Times New Roman" w:hAnsi="Times New Roman" w:cs="Times New Roman"/>
          <w:color w:val="auto"/>
          <w:sz w:val="24"/>
          <w:szCs w:val="24"/>
          <w:highlight w:val="none"/>
          <w:u w:val="none" w:color="auto"/>
        </w:rPr>
        <w:t>，厂址选择合理，采用的主要生产工艺属于先进、成熟的清洁生产工艺，采取的污染防治措施有效、可靠。项目正式投产后，正常排放情况下对评价区域环境质量造成的影响不大，在环境可承受范围内。项目的环境效益、经济效益和社会效益较明显。由此可见，只要建设单位能认真落实本环评提出的环保措施、厂区总平面</w:t>
      </w:r>
      <w:r>
        <w:rPr>
          <w:rFonts w:hint="default" w:ascii="Times New Roman" w:hAnsi="Times New Roman" w:cs="Times New Roman"/>
          <w:color w:val="auto"/>
          <w:sz w:val="24"/>
          <w:szCs w:val="24"/>
          <w:highlight w:val="none"/>
          <w:u w:val="none" w:color="auto"/>
          <w:lang w:val="en-US" w:eastAsia="zh-CN"/>
        </w:rPr>
        <w:t>及车间</w:t>
      </w:r>
      <w:r>
        <w:rPr>
          <w:rFonts w:hint="default" w:ascii="Times New Roman" w:hAnsi="Times New Roman" w:cs="Times New Roman"/>
          <w:color w:val="auto"/>
          <w:sz w:val="24"/>
          <w:szCs w:val="24"/>
          <w:highlight w:val="none"/>
          <w:u w:val="none" w:color="auto"/>
        </w:rPr>
        <w:t>布局优化，并加强日常环境管理，项目产生的废气、废水、噪声可做到达标排放，固废废物可得到安全处置，主要污染物的排放可满足总量控制的要求。从环境保护角度而言，本项目的建设是可行的</w:t>
      </w:r>
      <w:r>
        <w:rPr>
          <w:rFonts w:hint="default" w:ascii="Times New Roman" w:hAnsi="Times New Roman" w:cs="Times New Roman"/>
          <w:color w:val="auto"/>
          <w:highlight w:val="none"/>
          <w:u w:val="none" w:color="auto"/>
        </w:rPr>
        <w:t>。</w:t>
      </w:r>
    </w:p>
    <w:bookmarkEnd w:id="254"/>
    <w:bookmarkEnd w:id="255"/>
    <w:p w14:paraId="75A80564">
      <w:pPr>
        <w:pStyle w:val="5"/>
        <w:rPr>
          <w:rFonts w:hint="default" w:ascii="Times New Roman" w:hAnsi="Times New Roman" w:cs="Times New Roman"/>
          <w:color w:val="auto"/>
          <w:highlight w:val="none"/>
          <w:u w:val="none" w:color="auto"/>
        </w:rPr>
      </w:pPr>
      <w:bookmarkStart w:id="256" w:name="_Toc29318"/>
      <w:bookmarkStart w:id="257" w:name="_Toc5517"/>
      <w:bookmarkStart w:id="258" w:name="_Toc2463"/>
      <w:r>
        <w:rPr>
          <w:rFonts w:hint="default" w:ascii="Times New Roman" w:hAnsi="Times New Roman" w:cs="Times New Roman"/>
          <w:color w:val="auto"/>
          <w:highlight w:val="none"/>
          <w:u w:val="none" w:color="auto"/>
        </w:rPr>
        <w:t>建议</w:t>
      </w:r>
      <w:bookmarkEnd w:id="256"/>
      <w:bookmarkEnd w:id="257"/>
      <w:bookmarkEnd w:id="258"/>
    </w:p>
    <w:p w14:paraId="61078B3B">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建设单位在项目实施过程中，务必认真落实各项治理措施，加强对环保设施的运行管理，制定有效的管理规章制度，落实到人。公司应重视引进和建立先进的环保管理模式，完善管理机制，强化职工自身的环保意识。</w:t>
      </w:r>
    </w:p>
    <w:p w14:paraId="170662F7">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建设单位应认真贯彻执行清洁生产的有关政策，以预防为主，从源头削减污染，提高资源利用效率，对生产环节实行全过程的控制，在满足工艺参数条件的前提下，尽可能地减少有毒有害物质的使用量，使其在生产过程中对职工健康和周围环境的不利影响控制在最小程度。</w:t>
      </w:r>
    </w:p>
    <w:p w14:paraId="7B1DFD0D">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为了保证本项目产生的危险废物不对周围环境产生二次污染，建设单位要严格执行固体废物处理的有关协议；此外，必须加强对固体废弃物的管理，确保各类固体废弃物的妥善处置，临时堆放固体废弃物场所应有明显的标志，并有防渗、防雨、防晒等设施。同时，随着园区入驻企业的增多，污水处理厂进水水质可能会发生变化，环评要求污水处理厂污泥应按照《排污许可证申请与核发技术规范 水处理（试行）》（HJ978-2018）中要求，定期对项目污泥进行监测。</w:t>
      </w:r>
    </w:p>
    <w:p w14:paraId="0D53E016">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4、建设单位应加强环保设施的运营管理、维修保养，以保障废气的正常处理。</w:t>
      </w:r>
    </w:p>
    <w:p w14:paraId="2F000C7E">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5、做好工程的风险防范和环境风险应急预案培训、管理、演练工作。按照《企事业单位突发环境事件应急预案备案管理办法（试行）》编制环境应急预案并备案。</w:t>
      </w:r>
    </w:p>
    <w:p w14:paraId="610D0CAB">
      <w:pPr>
        <w:ind w:left="0" w:leftChars="0" w:firstLine="0" w:firstLineChars="0"/>
        <w:rPr>
          <w:rFonts w:hint="default" w:ascii="Times New Roman" w:hAnsi="Times New Roman" w:cs="Times New Roman"/>
          <w:color w:val="auto"/>
          <w:highlight w:val="none"/>
          <w:u w:val="none" w:color="auto"/>
        </w:rPr>
      </w:pPr>
    </w:p>
    <w:sectPr>
      <w:footerReference r:id="rId16"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3B989">
    <w:pPr>
      <w:tabs>
        <w:tab w:val="center" w:pos="4153"/>
        <w:tab w:val="right" w:pos="8306"/>
      </w:tabs>
      <w:ind w:firstLine="360"/>
    </w:pPr>
    <w:r>
      <w:rPr>
        <w:rStyle w:val="33"/>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CBD77C">
    <w:pPr>
      <w:pStyle w:val="20"/>
      <w:ind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B69F7C">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III</w:t>
                          </w:r>
                          <w:r>
                            <w:rPr>
                              <w:rFonts w:hint="eastAsia"/>
                              <w:sz w:val="18"/>
                            </w:rPr>
                            <w:fldChar w:fldCharType="end"/>
                          </w:r>
                        </w:p>
                      </w:txbxContent>
                    </wps:txbx>
                    <wps:bodyPr wrap="none" lIns="0" tIns="0" rIns="0" bIns="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JU4bMwBAACdAwAADgAAAGRycy9lMm9Eb2MueG1srVPNjtMwEL4j8Q6W&#10;79TZil1VUdMVqFqEhABp2QdwHbux5D953CZ9AXgDTly481x9DsZO0oXlsgcuznhm/M1830zWt4M1&#10;5CgjaO8aerWoKJFO+Fa7fUMfvty9WlECibuWG+9kQ08S6O3m5Yt1H2q59J03rYwEQRzUfWhol1Ko&#10;GQPRScth4YN0GFQ+Wp7wGvesjbxHdGvYsqpuWO9jG6IXEgC92zFIJ8T4HECvlBZy68XBSpdG1CgN&#10;T0gJOh2Abkq3SkmRPikFMhHTUGSayolF0N7lk23WvN5HHjotphb4c1p4wsly7bDoBWrLEyeHqP+B&#10;slpED16lhfCWjUSKIsjiqnqizX3HgyxcUGoIF9Hh/8GKj8fPkei2odc3lDhuceLn79/OP36df34l&#10;y+r6dZaoD1Bj5n3A3DS89QMuzuwHdGbmg4o2f5ETwTgKfLoILIdERH60Wq5WFYYExuYL4rPH5yFC&#10;eie9JdloaMQJFmH58QOkMXVOydWcv9PGlCka95cDMbOH5d7HHrOVht0wEdr59oR8ehx+Qx3uOiXm&#10;vUNt857MRpyN3WwcQtT7rixSrgfhzSFhE6W3XGGEnQrj1Aq7acPyWvx5L1mPf9X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QlThszAEAAJ0DAAAOAAAAAAAAAAEAIAAAAB4BAABkcnMvZTJv&#10;RG9jLnhtbFBLBQYAAAAABgAGAFkBAABcBQAAAAA=&#10;">
              <v:fill on="f" focussize="0,0"/>
              <v:stroke on="f"/>
              <v:imagedata o:title=""/>
              <o:lock v:ext="edit" aspectratio="f"/>
              <v:textbox inset="0mm,0mm,0mm,0mm" style="mso-fit-shape-to-text:t;">
                <w:txbxContent>
                  <w:p w14:paraId="6CB69F7C">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III</w:t>
                    </w:r>
                    <w:r>
                      <w:rPr>
                        <w:rFonts w:hint="eastAsia"/>
                        <w:sz w:val="18"/>
                      </w:rPr>
                      <w:fldChar w:fldCharType="end"/>
                    </w:r>
                  </w:p>
                </w:txbxContent>
              </v:textbox>
            </v:shape>
          </w:pict>
        </mc:Fallback>
      </mc:AlternateContent>
    </w:r>
    <w:r>
      <w:rPr>
        <w:rStyle w:val="33"/>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7120DE">
    <w:pPr>
      <w:pStyle w:val="20"/>
      <w:tabs>
        <w:tab w:val="center" w:pos="4156"/>
        <w:tab w:val="clear" w:pos="4153"/>
        <w:tab w:val="clear" w:pos="8306"/>
      </w:tabs>
      <w:ind w:firstLine="360"/>
      <w:rPr>
        <w:rStyle w:val="33"/>
        <w:rFonts w:hint="eastAsia"/>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F23F798">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vert="horz" wrap="none" lIns="0" tIns="0" rIns="0" bIns="0" anchor="t" anchorCtr="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nVve+IBAADCAwAADgAAAGRycy9lMm9Eb2MueG1srVPBjtMwEL0j8Q+W&#10;7zTZAqsqaroCqkVICJAWPsB1nMaS7bE8bpPyAfAHnLhw57v6HTt2mi7sXvawl2Q8M34z7814eTVY&#10;w/YqoAZX84tZyZlyEhrttjX/9vX6xYIzjMI1woBTNT8o5Fer58+Wva/UHDowjQqMQBxWva95F6Ov&#10;igJlp6zAGXjlKNhCsCLSMWyLJoie0K0p5mV5WfQQGh9AKkTyrscgPyGGxwBC22qp1iB3Vrk4ogZl&#10;RCRK2GmPfJW7bVsl4+e2RRWZqTkxjflLRcjepG+xWopqG4TvtDy1IB7Twj1OVmhHRc9QaxEF2wX9&#10;AMpqGQChjTMJthiJZEWIxUV5T5ubTniVuZDU6M+i49PByk/7L4HppuaXLzlzwtLEj79+Hn//Pf75&#10;webl61dJot5jRZk3nnLj8BYGWpzJj+RMzIc22PQnToziJPDhLLAaIpPp0mK+WJQUkhSbDoRf3F33&#10;AeN7BZYlo+aBJpiFFfuPGMfUKSVVc3CtjclTNO4/B2EmT5F6H3tMVhw2w4nQBpoD8aGnQHU6CN85&#10;62kRau5o7zkzHxzpnHZmMsJkbCZDOEkXax45G813cdytnQ962+VtS02hf7OL1GkmkNoYa5+6o9Fm&#10;CU5rmHbn33POunt6q1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2nVve+IBAADCAwAADgAA&#10;AAAAAAABACAAAAAeAQAAZHJzL2Uyb0RvYy54bWxQSwUGAAAAAAYABgBZAQAAcgUAAAAA&#10;">
              <v:fill on="f" focussize="0,0"/>
              <v:stroke on="f"/>
              <v:imagedata o:title=""/>
              <o:lock v:ext="edit" aspectratio="f"/>
              <v:textbox inset="0mm,0mm,0mm,0mm" style="mso-fit-shape-to-text:t;">
                <w:txbxContent>
                  <w:p w14:paraId="0F23F798">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r>
      <w:rPr>
        <w:rStyle w:val="33"/>
        <w:rFonts w:hint="eastAsia"/>
      </w:rPr>
      <w:tab/>
    </w:r>
    <w:r>
      <w:rPr>
        <w:rStyle w:val="33"/>
        <w:rFonts w:hint="eastAsia"/>
      </w:rPr>
      <w:tab/>
    </w:r>
  </w:p>
  <w:p w14:paraId="67AB7408">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A126D">
    <w:pPr>
      <w:pStyle w:val="20"/>
      <w:tabs>
        <w:tab w:val="center" w:pos="4156"/>
        <w:tab w:val="clear" w:pos="4153"/>
        <w:tab w:val="clear" w:pos="8306"/>
      </w:tabs>
      <w:ind w:firstLine="360"/>
      <w:rPr>
        <w:rStyle w:val="33"/>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AF4314">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vert="horz" wrap="none" lIns="0" tIns="0" rIns="0" bIns="0" anchor="t" anchorCtr="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xMsMuABAADCAwAADgAAAGRycy9lMm9Eb2MueG1srVPNjtMwEL4j8Q6W&#10;7zTZClAVNV0B1SIkBEgLD+A6TmPJfxpPm5QHgDfgxIU7z9Xn2LGTdGG57IFLMp4ZfzPfN+P19WAN&#10;OyqI2ruaXy1KzpSTvtFuX/Mvn2+erTiLKFwjjHeq5icV+fXm6ZN1Hyq19J03jQJGIC5Wfah5hxiq&#10;ooiyU1bEhQ/KUbD1YAXSEfZFA6IndGuKZVm+LHoPTQAvVYzk3Y5BPiHCYwB922qptl4erHI4ooIy&#10;AolS7HSIfJO7bVsl8WPbRoXM1JyYYv5SEbJ36Vts1qLagwidllML4jEtPOBkhXZU9AK1FSjYAfQ/&#10;UFZL8NG3uJDeFiORrAixuCofaHPbiaAyF5I6hovo8f/Byg/HT8B0U/MXzzlzwtLEzz++n3/+Pv/6&#10;xpYleUmiPsSKMm8D5eLw2g+0OLM/kjMxH1qw6U+cGMVJ4NNFYDUgk+nSarlalRSSFJsPhF/cXw8Q&#10;8a3yliWj5kATzMKK4/uIY+qckqo5f6ONyVM07i8HYSZPkXofe0wWDrthIrTzzYn40FOgOp2Hr5z1&#10;tAg1d7T3nJl3jnROOzMbMBu72RBO0sWaI2ej+QbH3ToE0Psub1tqKoZXB6ROM4HUxlh76o5GmyWY&#10;1jDtzp/nnHX/9DZ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FsTLDLgAQAAwgMAAA4AAAAA&#10;AAAAAQAgAAAAHgEAAGRycy9lMm9Eb2MueG1sUEsFBgAAAAAGAAYAWQEAAHAFAAAAAA==&#10;">
              <v:fill on="f" focussize="0,0"/>
              <v:stroke on="f"/>
              <v:imagedata o:title=""/>
              <o:lock v:ext="edit" aspectratio="f"/>
              <v:textbox inset="0mm,0mm,0mm,0mm" style="mso-fit-shape-to-text:t;">
                <w:txbxContent>
                  <w:p w14:paraId="31AF4314">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r>
      <w:rPr>
        <w:rStyle w:val="33"/>
        <w:rFonts w:hint="eastAsia"/>
      </w:rPr>
      <w:tab/>
    </w:r>
    <w:r>
      <w:rPr>
        <w:rStyle w:val="33"/>
        <w:rFonts w:hint="eastAsia"/>
      </w:rPr>
      <w:tab/>
    </w:r>
  </w:p>
  <w:p w14:paraId="611A8F2E">
    <w:pPr>
      <w:pStyle w:val="2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C5F406">
    <w:pPr>
      <w:pStyle w:val="20"/>
      <w:tabs>
        <w:tab w:val="center" w:pos="4156"/>
        <w:tab w:val="clear" w:pos="4153"/>
        <w:tab w:val="clear" w:pos="8306"/>
      </w:tabs>
      <w:ind w:firstLine="360"/>
      <w:rPr>
        <w:rStyle w:val="33"/>
        <w:rFonts w:hint="eastAsia"/>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098C3E">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vert="horz" wrap="none" lIns="0" tIns="0" rIns="0" bIns="0" anchor="t" anchorCtr="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9qn8OIBAADCAwAADgAAAGRycy9lMm9Eb2MueG1srVPNjtMwEL4j8Q6W&#10;7zTZClYlaroCqkVICJAWHsB1nMaS/+SZNikPAG/AiQt3nqvPsWOn6cLuZQ97ScYz42/m+2a8vBqs&#10;YXsVQXtX84tZyZly0jfabWv+7ev1iwVngMI1wninan5QwK9Wz58t+1Cpue+8aVRkBOKg6kPNO8RQ&#10;FQXITlkBMx+Uo2DroxVIx7gtmih6QremmJflZdH72ITopQIg73oM8hNifAygb1st1drLnVUOR9So&#10;jECiBJ0OwFe527ZVEj+3LShkpubEFPOXipC9Sd9itRTVNorQaXlqQTymhXucrNCOip6h1gIF20X9&#10;AMpqGT34FmfS22IkkhUhFhflPW1uOhFU5kJSQziLDk8HKz/tv0Smm5pfvubMCUsTP/76efz99/jn&#10;B5uXr14mifoAFWXeBMrF4a0faHEmP5AzMR/aaNOfODGKk8CHs8BqQCbTpcV8sSgpJCk2HQi/uLse&#10;IuB75S1LRs0jTTALK/YfAcfUKSVVc/5aG5OnaNx/DsJMniL1PvaYLBw2w4nQxjcH4kNPgep0Pn7n&#10;rKdFqLmjvefMfHCkc9qZyYiTsZkM4SRdrDlyNprvcNytXYh62+VtS01BeLND6jQTSG2MtU/d0Wiz&#10;BKc1TLvz7zln3T291S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M9qn8OIBAADCAwAADgAA&#10;AAAAAAABACAAAAAeAQAAZHJzL2Uyb0RvYy54bWxQSwUGAAAAAAYABgBZAQAAcgUAAAAA&#10;">
              <v:fill on="f" focussize="0,0"/>
              <v:stroke on="f"/>
              <v:imagedata o:title=""/>
              <o:lock v:ext="edit" aspectratio="f"/>
              <v:textbox inset="0mm,0mm,0mm,0mm" style="mso-fit-shape-to-text:t;">
                <w:txbxContent>
                  <w:p w14:paraId="6D098C3E">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r>
      <w:rPr>
        <w:rStyle w:val="33"/>
        <w:rFonts w:hint="eastAsia"/>
      </w:rPr>
      <w:tab/>
    </w:r>
    <w:r>
      <w:rPr>
        <w:rStyle w:val="33"/>
        <w:rFonts w:hint="eastAsia"/>
      </w:rPr>
      <w:tab/>
    </w:r>
  </w:p>
  <w:p w14:paraId="2C721336">
    <w:pPr>
      <w:pStyle w:val="2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BE8B0">
    <w:pPr>
      <w:pStyle w:val="20"/>
      <w:tabs>
        <w:tab w:val="center" w:pos="4156"/>
        <w:tab w:val="clear" w:pos="4153"/>
        <w:tab w:val="clear" w:pos="8306"/>
      </w:tabs>
      <w:ind w:firstLine="360"/>
      <w:rPr>
        <w:rStyle w:val="33"/>
        <w:rFonts w:hint="eastAsia"/>
      </w:rP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87F8737">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vert="horz" wrap="none" lIns="0" tIns="0" rIns="0" bIns="0" anchor="t" anchorCtr="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ImkieEBAADBAwAADgAAAGRycy9lMm9Eb2MueG1srVPNjtMwEL4j8Q6W&#10;7zTZip8qaroCqkVICJAWHsB1nMaS7bHGbpPyAPAGnLhw57n6HIydpAvLZQ9ckvHM+Jv5vhmvrwdr&#10;2FFh0OBqfrUoOVNOQqPdvuafP908WXEWonCNMOBUzU8q8OvN40fr3ldqCR2YRiEjEBeq3te8i9FX&#10;RRFkp6wIC/DKUbAFtCLSEfdFg6IndGuKZVk+L3rAxiNIFQJ5t2OQT4j4EEBoWy3VFuTBKhdHVFRG&#10;RKIUOu0D3+Ru21bJ+KFtg4rM1JyYxvylImTv0rfYrEW1R+E7LacWxENauMfJCu2o6AVqK6JgB9T/&#10;QFktEQK0cSHBFiORrAixuCrvaXPbCa8yF5I6+Ivo4f/ByvfHj8h0U/MXnDlhaeDn79/OP36df35l&#10;y/LZ06RQ70NFibeeUuPwCgbam9kfyJmIDy3a9CdKjOKk7+mirxoik+nSarlalRSSFJsPhF/cXfcY&#10;4hsFliWj5kgDzLqK47sQx9Q5JVVzcKONyUM07i8HYSZPkXofe0xWHHbDRGgHzYn40EugOh3gF856&#10;2oOaO1p7zsxbRzKnlZkNnI3dbAgn6WLNI2ej+TqOq3XwqPddXrbUVPAvD5E6zQRSG2PtqTuabJZg&#10;2sK0On+ec9bdy9v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IiaSJ4QEAAMEDAAAOAAAA&#10;AAAAAAEAIAAAAB4BAABkcnMvZTJvRG9jLnhtbFBLBQYAAAAABgAGAFkBAABxBQAAAAA=&#10;">
              <v:fill on="f" focussize="0,0"/>
              <v:stroke on="f"/>
              <v:imagedata o:title=""/>
              <o:lock v:ext="edit" aspectratio="f"/>
              <v:textbox inset="0mm,0mm,0mm,0mm" style="mso-fit-shape-to-text:t;">
                <w:txbxContent>
                  <w:p w14:paraId="687F8737">
                    <w:pPr>
                      <w:snapToGrid w:val="0"/>
                      <w:ind w:firstLine="36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r>
      <w:rPr>
        <w:rStyle w:val="33"/>
        <w:rFonts w:hint="eastAsia"/>
      </w:rPr>
      <w:tab/>
    </w:r>
    <w:r>
      <w:rPr>
        <w:rStyle w:val="33"/>
        <w:rFonts w:hint="eastAsia"/>
      </w:rPr>
      <w:tab/>
    </w:r>
  </w:p>
  <w:p w14:paraId="198555BE">
    <w:pPr>
      <w:pStyle w:val="2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B6D0F">
    <w:pPr>
      <w:spacing w:line="14" w:lineRule="auto"/>
      <w:ind w:firstLine="400"/>
      <w:rPr>
        <w:sz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839AFF6">
                          <w:pPr>
                            <w:pStyle w:val="20"/>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wps:txbx>
                    <wps:bodyPr vert="horz" wrap="none" lIns="0" tIns="0" rIns="0" bIns="0" anchor="t" anchorCtr="0" upright="0">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Q0MhuABAADAAwAADgAAAGRycy9lMm9Eb2MueG1srVPNjtMwEL4j8Q6W&#10;7zRpJZaqaroCqkVICJAWHsB1nMaS/zTjNikPAG/AiQt3nqvPwdhJuuzuZQ9ckvHM+Jv5vhmvr3tr&#10;2FEBau8qPp+VnCknfa3dvuJfv9y8WHKGUbhaGO9UxU8K+fXm+bN1F1Zq4VtvagWMQByuulDxNsaw&#10;KgqUrbICZz4oR8HGgxWRjrAvahAdoVtTLMryqug81AG8VIjk3Q5BPiLCUwB902iptl4erHJxQAVl&#10;RCRK2OqAfJO7bRol46emQRWZqTgxjflLRcjepW+xWYvVHkRotRxbEE9p4QEnK7SjoheorYiCHUA/&#10;grJagkffxJn0thiIZEWIxbx8oM1tK4LKXEhqDBfR8f/Byo/Hz8B0XfGXrzhzwtLEzz9/nH/9Of/+&#10;zuZXSaAu4IrybgNlxv6N72ltJj+SM/HuG7DpT4wYxUne00Ve1Ucm06XlYrksKSQpNh0Iv7i7HgDj&#10;O+UtS0bFgeaXZRXHDxiH1CklVXP+RhuTZ2jcPQdhJk+Reh96TFbsd/1IaOfrE/Ghh0B1Wg/fOOto&#10;DSruaOs5M+8dqZw2ZjJgMnaTIZykixWPnA3m2zhs1iGA3rd511JTGF4fInWaCaQ2htpjdzTYLMG4&#10;hGlz/j3nrLuHt/k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NUNDIbgAQAAwAMAAA4AAAAA&#10;AAAAAQAgAAAAHgEAAGRycy9lMm9Eb2MueG1sUEsFBgAAAAAGAAYAWQEAAHAFAAAAAA==&#10;">
              <v:fill on="f" focussize="0,0"/>
              <v:stroke on="f"/>
              <v:imagedata o:title=""/>
              <o:lock v:ext="edit" aspectratio="f"/>
              <v:textbox inset="0mm,0mm,0mm,0mm" style="mso-fit-shape-to-text:t;">
                <w:txbxContent>
                  <w:p w14:paraId="2839AFF6">
                    <w:pPr>
                      <w:pStyle w:val="20"/>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05E303">
    <w:pPr>
      <w:spacing w:line="14" w:lineRule="auto"/>
      <w:ind w:firstLine="400"/>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8C4907">
                          <w:pPr>
                            <w:pStyle w:val="20"/>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wps:txbx>
                    <wps:bodyPr vert="horz" wrap="none" lIns="0" tIns="0" rIns="0" bIns="0" anchor="t" anchorCtr="0" upright="0">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phjDeABAADAAwAADgAAAGRycy9lMm9Eb2MueG1srVPBjtMwEL0j8Q+W&#10;79uklXZVVU1XsNUiJARICx/gOk5jyfZY9rRJ+QD4A05cuPNd/Q7GTtKF5bIHLsl4Zvxm3pvx+ra3&#10;hh1ViBpcxeezkjPlJNTa7Sv++dP91ZKziMLVwoBTFT+pyG83L1+sO79SC2jB1CowAnFx1fmKt4h+&#10;VRRRtsqKOAOvHAUbCFYgHcO+qIPoCN2aYlGWN0UHofYBpIqRvNshyEfE8BxAaBot1RbkwSqHA2pQ&#10;RiBRiq32kW9yt02jJH5omqiQmYoTU8xfKkL2Ln2LzVqs9kH4VsuxBfGcFp5wskI7KnqB2goU7BD0&#10;P1BWywARGpxJsMVAJCtCLOblE20eWuFV5kJSR38RPf4/WPn++DEwXVf8+pozJyxN/Pz92/nHr/PP&#10;r2x+kwTqfFxR3oOnTOxfQ09rM/kjORPvvgk2/YkRozjJe7rIq3pkMl1aLpbLkkKSYtOB8IvH6z5E&#10;fKPAsmRUPND8sqzi+C7ikDqlpGoO7rUxeYbG/eUgzOQpUu9Dj8nCftePhHZQn4gPPQSq00L4wllH&#10;a1BxR1vPmXnrSOW0MZMRJmM3GcJJulhx5Gww73DYrIMPet/mXUtNRf/qgNRpJpDaGGqP3dFgswTj&#10;EqbN+fOcsx4f3uY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KqYYw3gAQAAwAMAAA4AAAAA&#10;AAAAAQAgAAAAHgEAAGRycy9lMm9Eb2MueG1sUEsFBgAAAAAGAAYAWQEAAHAFAAAAAA==&#10;">
              <v:fill on="f" focussize="0,0"/>
              <v:stroke on="f"/>
              <v:imagedata o:title=""/>
              <o:lock v:ext="edit" aspectratio="f"/>
              <v:textbox inset="0mm,0mm,0mm,0mm" style="mso-fit-shape-to-text:t;">
                <w:txbxContent>
                  <w:p w14:paraId="198C4907">
                    <w:pPr>
                      <w:pStyle w:val="20"/>
                      <w:rPr>
                        <w:rFonts w:hint="eastAsia"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26</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F8683">
    <w:pPr>
      <w:pBdr>
        <w:bottom w:val="none" w:color="auto" w:sz="0" w:space="0"/>
      </w:pBdr>
      <w:tabs>
        <w:tab w:val="center" w:pos="4153"/>
        <w:tab w:val="right" w:pos="8306"/>
      </w:tabs>
      <w:wordWrap w:val="0"/>
      <w:spacing w:line="240" w:lineRule="auto"/>
      <w:ind w:firstLine="0" w:firstLineChars="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E32EF0">
    <w:pPr>
      <w:pStyle w:val="21"/>
      <w:pBdr>
        <w:bottom w:val="none" w:color="auto" w:sz="0" w:space="0"/>
      </w:pBdr>
      <w:wordWrap w:val="0"/>
      <w:spacing w:line="240" w:lineRule="auto"/>
      <w:ind w:firstLine="0" w:firstLineChars="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5E7F6">
    <w:pPr>
      <w:spacing w:before="19" w:line="254" w:lineRule="auto"/>
      <w:ind w:left="751"/>
      <w:rPr>
        <w:rFonts w:ascii="宋体" w:hAnsi="宋体" w:eastAsia="宋体" w:cs="宋体"/>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2882C4">
    <w:pPr>
      <w:pBdr>
        <w:bottom w:val="none" w:color="auto" w:sz="0" w:space="0"/>
      </w:pBdr>
      <w:spacing w:before="16" w:line="218" w:lineRule="auto"/>
      <w:ind w:left="1505"/>
      <w:rPr>
        <w:rFonts w:ascii="宋体" w:hAnsi="宋体" w:eastAsia="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7FF054"/>
    <w:multiLevelType w:val="multilevel"/>
    <w:tmpl w:val="987FF054"/>
    <w:lvl w:ilvl="0" w:tentative="0">
      <w:start w:val="1"/>
      <w:numFmt w:val="decimal"/>
      <w:pStyle w:val="4"/>
      <w:lvlText w:val="%1."/>
      <w:lvlJc w:val="left"/>
      <w:pPr>
        <w:ind w:left="432" w:hanging="432"/>
      </w:pPr>
      <w:rPr>
        <w:rFonts w:hint="default"/>
      </w:rPr>
    </w:lvl>
    <w:lvl w:ilvl="1" w:tentative="0">
      <w:start w:val="1"/>
      <w:numFmt w:val="decimal"/>
      <w:pStyle w:val="5"/>
      <w:lvlText w:val="%1.%2."/>
      <w:lvlJc w:val="left"/>
      <w:pPr>
        <w:ind w:left="575" w:hanging="575"/>
      </w:pPr>
      <w:rPr>
        <w:rFonts w:hint="default"/>
      </w:rPr>
    </w:lvl>
    <w:lvl w:ilvl="2" w:tentative="0">
      <w:start w:val="1"/>
      <w:numFmt w:val="decimal"/>
      <w:pStyle w:val="6"/>
      <w:lvlText w:val="%1.%2.%3."/>
      <w:lvlJc w:val="left"/>
      <w:pPr>
        <w:ind w:left="720" w:hanging="720"/>
      </w:pPr>
      <w:rPr>
        <w:rFonts w:hint="default"/>
      </w:rPr>
    </w:lvl>
    <w:lvl w:ilvl="3" w:tentative="0">
      <w:start w:val="1"/>
      <w:numFmt w:val="decimal"/>
      <w:pStyle w:val="7"/>
      <w:lvlText w:val="%1.%2.%3.%4."/>
      <w:lvlJc w:val="left"/>
      <w:pPr>
        <w:ind w:left="384" w:hanging="864"/>
      </w:pPr>
      <w:rPr>
        <w:rFonts w:hint="default"/>
      </w:rPr>
    </w:lvl>
    <w:lvl w:ilvl="4" w:tentative="0">
      <w:start w:val="1"/>
      <w:numFmt w:val="decimal"/>
      <w:pStyle w:val="8"/>
      <w:lvlText w:val="%1.%2.%3.%4.%5."/>
      <w:lvlJc w:val="left"/>
      <w:pPr>
        <w:ind w:left="1008" w:hanging="1008"/>
      </w:pPr>
      <w:rPr>
        <w:rFonts w:hint="default"/>
      </w:rPr>
    </w:lvl>
    <w:lvl w:ilvl="5" w:tentative="0">
      <w:start w:val="1"/>
      <w:numFmt w:val="decimal"/>
      <w:pStyle w:val="9"/>
      <w:lvlText w:val="%1.%2.%3.%4.%5.%6."/>
      <w:lvlJc w:val="left"/>
      <w:pPr>
        <w:ind w:left="1151" w:hanging="1151"/>
      </w:pPr>
      <w:rPr>
        <w:rFonts w:hint="default"/>
      </w:rPr>
    </w:lvl>
    <w:lvl w:ilvl="6" w:tentative="0">
      <w:start w:val="1"/>
      <w:numFmt w:val="decimal"/>
      <w:pStyle w:val="10"/>
      <w:lvlText w:val="%1.%2.%3.%4.%5.%6.%7."/>
      <w:lvlJc w:val="left"/>
      <w:pPr>
        <w:ind w:left="1296" w:hanging="1296"/>
      </w:pPr>
      <w:rPr>
        <w:rFonts w:hint="default"/>
      </w:rPr>
    </w:lvl>
    <w:lvl w:ilvl="7" w:tentative="0">
      <w:start w:val="1"/>
      <w:numFmt w:val="decimal"/>
      <w:pStyle w:val="11"/>
      <w:lvlText w:val="%1.%2.%3.%4.%5.%6.%7.%8."/>
      <w:lvlJc w:val="left"/>
      <w:pPr>
        <w:ind w:left="1440" w:hanging="1440"/>
      </w:pPr>
      <w:rPr>
        <w:rFonts w:hint="default"/>
      </w:rPr>
    </w:lvl>
    <w:lvl w:ilvl="8" w:tentative="0">
      <w:start w:val="1"/>
      <w:numFmt w:val="decimal"/>
      <w:pStyle w:val="12"/>
      <w:lvlText w:val="%1.%2.%3.%4.%5.%6.%7.%8.%9."/>
      <w:lvlJc w:val="left"/>
      <w:pPr>
        <w:ind w:left="1583" w:hanging="1583"/>
      </w:pPr>
      <w:rPr>
        <w:rFonts w:hint="default"/>
      </w:rPr>
    </w:lvl>
  </w:abstractNum>
  <w:abstractNum w:abstractNumId="1">
    <w:nsid w:val="A916D647"/>
    <w:multiLevelType w:val="singleLevel"/>
    <w:tmpl w:val="A916D647"/>
    <w:lvl w:ilvl="0" w:tentative="0">
      <w:start w:val="1"/>
      <w:numFmt w:val="decimal"/>
      <w:suff w:val="nothing"/>
      <w:lvlText w:val="（%1）"/>
      <w:lvlJc w:val="left"/>
    </w:lvl>
  </w:abstractNum>
  <w:abstractNum w:abstractNumId="2">
    <w:nsid w:val="AF2E4463"/>
    <w:multiLevelType w:val="singleLevel"/>
    <w:tmpl w:val="AF2E4463"/>
    <w:lvl w:ilvl="0" w:tentative="0">
      <w:start w:val="10"/>
      <w:numFmt w:val="decimal"/>
      <w:suff w:val="nothing"/>
      <w:lvlText w:val="（%1）"/>
      <w:lvlJc w:val="left"/>
    </w:lvl>
  </w:abstractNum>
  <w:abstractNum w:abstractNumId="3">
    <w:nsid w:val="375FE694"/>
    <w:multiLevelType w:val="singleLevel"/>
    <w:tmpl w:val="375FE694"/>
    <w:lvl w:ilvl="0" w:tentative="0">
      <w:start w:val="1"/>
      <w:numFmt w:val="decimal"/>
      <w:suff w:val="nothing"/>
      <w:lvlText w:val="%1、"/>
      <w:lvlJc w:val="left"/>
    </w:lvl>
  </w:abstractNum>
  <w:abstractNum w:abstractNumId="4">
    <w:nsid w:val="494E78BA"/>
    <w:multiLevelType w:val="singleLevel"/>
    <w:tmpl w:val="494E78BA"/>
    <w:lvl w:ilvl="0" w:tentative="0">
      <w:start w:val="1"/>
      <w:numFmt w:val="lowerLetter"/>
      <w:suff w:val="nothing"/>
      <w:lvlText w:val="%1）"/>
      <w:lvlJc w:val="left"/>
    </w:lvl>
  </w:abstractNum>
  <w:abstractNum w:abstractNumId="5">
    <w:nsid w:val="6984E08E"/>
    <w:multiLevelType w:val="singleLevel"/>
    <w:tmpl w:val="6984E08E"/>
    <w:lvl w:ilvl="0" w:tentative="0">
      <w:start w:val="2"/>
      <w:numFmt w:val="decimal"/>
      <w:suff w:val="nothing"/>
      <w:lvlText w:val="%1、"/>
      <w:lvlJc w:val="left"/>
    </w:lvl>
  </w:abstractNum>
  <w:num w:numId="1">
    <w:abstractNumId w:val="0"/>
  </w:num>
  <w:num w:numId="2">
    <w:abstractNumId w:val="5"/>
  </w:num>
  <w:num w:numId="3">
    <w:abstractNumId w:val="4"/>
  </w:num>
  <w:num w:numId="4">
    <w:abstractNumId w:val="3"/>
  </w:num>
  <w:num w:numId="5">
    <w:abstractNumId w:val="2"/>
  </w:num>
  <w:num w:numId="6">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IN-">
    <w15:presenceInfo w15:providerId="None" w15:userId="W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hyphenationZone w:val="360"/>
  <w:drawingGridVerticalSpacing w:val="166"/>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NiNDNiY2IwZDJkOWJmMzBhNzZjZWM5ZGE4MTYwMjQifQ=="/>
    <w:docVar w:name="KSO_WPS_MARK_KEY" w:val="99efc259-0ffd-41bb-95ee-9aaec2cff1e3"/>
  </w:docVars>
  <w:rsids>
    <w:rsidRoot w:val="00172A27"/>
    <w:rsid w:val="00031D99"/>
    <w:rsid w:val="00071AAB"/>
    <w:rsid w:val="00082198"/>
    <w:rsid w:val="000B295A"/>
    <w:rsid w:val="000C01DC"/>
    <w:rsid w:val="00106550"/>
    <w:rsid w:val="0012011D"/>
    <w:rsid w:val="0012263A"/>
    <w:rsid w:val="00126804"/>
    <w:rsid w:val="00130AE6"/>
    <w:rsid w:val="00135667"/>
    <w:rsid w:val="00145DAE"/>
    <w:rsid w:val="001A6D31"/>
    <w:rsid w:val="001B151D"/>
    <w:rsid w:val="00202991"/>
    <w:rsid w:val="00210B71"/>
    <w:rsid w:val="002225A1"/>
    <w:rsid w:val="002520D0"/>
    <w:rsid w:val="002A3B74"/>
    <w:rsid w:val="002F28EB"/>
    <w:rsid w:val="002F3EBB"/>
    <w:rsid w:val="00314BF3"/>
    <w:rsid w:val="003B1F74"/>
    <w:rsid w:val="003B7EF4"/>
    <w:rsid w:val="003C37B8"/>
    <w:rsid w:val="003E5A60"/>
    <w:rsid w:val="00402EA3"/>
    <w:rsid w:val="00407962"/>
    <w:rsid w:val="00414358"/>
    <w:rsid w:val="004846AB"/>
    <w:rsid w:val="00497E37"/>
    <w:rsid w:val="004C42A5"/>
    <w:rsid w:val="004E4533"/>
    <w:rsid w:val="00504795"/>
    <w:rsid w:val="00510908"/>
    <w:rsid w:val="00565003"/>
    <w:rsid w:val="00566E01"/>
    <w:rsid w:val="005863F6"/>
    <w:rsid w:val="005B1A2C"/>
    <w:rsid w:val="005C4391"/>
    <w:rsid w:val="005D5294"/>
    <w:rsid w:val="00607D7C"/>
    <w:rsid w:val="00613587"/>
    <w:rsid w:val="00621340"/>
    <w:rsid w:val="006325FD"/>
    <w:rsid w:val="00647093"/>
    <w:rsid w:val="00655715"/>
    <w:rsid w:val="006575E3"/>
    <w:rsid w:val="00671739"/>
    <w:rsid w:val="00673377"/>
    <w:rsid w:val="00674C91"/>
    <w:rsid w:val="00676640"/>
    <w:rsid w:val="0069362F"/>
    <w:rsid w:val="006B0524"/>
    <w:rsid w:val="006B1F6D"/>
    <w:rsid w:val="006C77A9"/>
    <w:rsid w:val="006D60D3"/>
    <w:rsid w:val="006F7A71"/>
    <w:rsid w:val="00722908"/>
    <w:rsid w:val="00732B94"/>
    <w:rsid w:val="00742F2C"/>
    <w:rsid w:val="00746ABA"/>
    <w:rsid w:val="007560EF"/>
    <w:rsid w:val="00764B71"/>
    <w:rsid w:val="00777299"/>
    <w:rsid w:val="00786910"/>
    <w:rsid w:val="00796A01"/>
    <w:rsid w:val="007C0DCF"/>
    <w:rsid w:val="00803AA1"/>
    <w:rsid w:val="0080662A"/>
    <w:rsid w:val="00836BC4"/>
    <w:rsid w:val="008472BD"/>
    <w:rsid w:val="008504C5"/>
    <w:rsid w:val="008775AF"/>
    <w:rsid w:val="00895680"/>
    <w:rsid w:val="008A2103"/>
    <w:rsid w:val="008A55A4"/>
    <w:rsid w:val="008A706E"/>
    <w:rsid w:val="008D7787"/>
    <w:rsid w:val="009068C4"/>
    <w:rsid w:val="00927D73"/>
    <w:rsid w:val="00954CCE"/>
    <w:rsid w:val="0096005E"/>
    <w:rsid w:val="0099178E"/>
    <w:rsid w:val="009B1DC5"/>
    <w:rsid w:val="009F5A8F"/>
    <w:rsid w:val="00A210DC"/>
    <w:rsid w:val="00A44DD0"/>
    <w:rsid w:val="00A65D4E"/>
    <w:rsid w:val="00A725D0"/>
    <w:rsid w:val="00A753F3"/>
    <w:rsid w:val="00A87305"/>
    <w:rsid w:val="00A90A21"/>
    <w:rsid w:val="00A95CCC"/>
    <w:rsid w:val="00AB2D50"/>
    <w:rsid w:val="00AC736D"/>
    <w:rsid w:val="00AF1BA5"/>
    <w:rsid w:val="00AF3770"/>
    <w:rsid w:val="00B13135"/>
    <w:rsid w:val="00B13CF1"/>
    <w:rsid w:val="00B626C2"/>
    <w:rsid w:val="00B66A2C"/>
    <w:rsid w:val="00B7530A"/>
    <w:rsid w:val="00B90C6D"/>
    <w:rsid w:val="00B950D3"/>
    <w:rsid w:val="00B95F50"/>
    <w:rsid w:val="00B96E3B"/>
    <w:rsid w:val="00BB27DB"/>
    <w:rsid w:val="00BB6002"/>
    <w:rsid w:val="00BC4BB9"/>
    <w:rsid w:val="00BD1DB1"/>
    <w:rsid w:val="00BF7CF9"/>
    <w:rsid w:val="00C05C55"/>
    <w:rsid w:val="00C54779"/>
    <w:rsid w:val="00C63ED8"/>
    <w:rsid w:val="00CC7FF7"/>
    <w:rsid w:val="00CD0E48"/>
    <w:rsid w:val="00CD46DF"/>
    <w:rsid w:val="00CE4D98"/>
    <w:rsid w:val="00CF2500"/>
    <w:rsid w:val="00CF5FF8"/>
    <w:rsid w:val="00D00782"/>
    <w:rsid w:val="00D4265F"/>
    <w:rsid w:val="00D511E2"/>
    <w:rsid w:val="00DA042D"/>
    <w:rsid w:val="00DB4A4B"/>
    <w:rsid w:val="00DB62A3"/>
    <w:rsid w:val="00DD0D8F"/>
    <w:rsid w:val="00DE1120"/>
    <w:rsid w:val="00DE4C35"/>
    <w:rsid w:val="00DF5137"/>
    <w:rsid w:val="00E170B5"/>
    <w:rsid w:val="00E31882"/>
    <w:rsid w:val="00E334EB"/>
    <w:rsid w:val="00E87675"/>
    <w:rsid w:val="00E9052B"/>
    <w:rsid w:val="00E92371"/>
    <w:rsid w:val="00EA2379"/>
    <w:rsid w:val="00EF366E"/>
    <w:rsid w:val="00F06BB8"/>
    <w:rsid w:val="00F129EC"/>
    <w:rsid w:val="00F13A37"/>
    <w:rsid w:val="00F165FC"/>
    <w:rsid w:val="00F25635"/>
    <w:rsid w:val="00F72ED2"/>
    <w:rsid w:val="00FA5E8B"/>
    <w:rsid w:val="00FB7E70"/>
    <w:rsid w:val="00FC6484"/>
    <w:rsid w:val="01227507"/>
    <w:rsid w:val="01347C6D"/>
    <w:rsid w:val="01396BD7"/>
    <w:rsid w:val="01452A64"/>
    <w:rsid w:val="014858A7"/>
    <w:rsid w:val="014C0815"/>
    <w:rsid w:val="0152071A"/>
    <w:rsid w:val="0158220F"/>
    <w:rsid w:val="0162788C"/>
    <w:rsid w:val="016645CC"/>
    <w:rsid w:val="016E1B95"/>
    <w:rsid w:val="018737B0"/>
    <w:rsid w:val="019422C7"/>
    <w:rsid w:val="01944769"/>
    <w:rsid w:val="01956110"/>
    <w:rsid w:val="019C4126"/>
    <w:rsid w:val="019F2F6F"/>
    <w:rsid w:val="01BF2B01"/>
    <w:rsid w:val="01C54B08"/>
    <w:rsid w:val="01CB3E73"/>
    <w:rsid w:val="01CB4239"/>
    <w:rsid w:val="01D03AE5"/>
    <w:rsid w:val="01D20244"/>
    <w:rsid w:val="01DF16E5"/>
    <w:rsid w:val="01DF56AA"/>
    <w:rsid w:val="01E054EB"/>
    <w:rsid w:val="01E23718"/>
    <w:rsid w:val="01EE1C69"/>
    <w:rsid w:val="020365A9"/>
    <w:rsid w:val="022D06C2"/>
    <w:rsid w:val="022D74D6"/>
    <w:rsid w:val="02346AA7"/>
    <w:rsid w:val="023A1F9E"/>
    <w:rsid w:val="02471363"/>
    <w:rsid w:val="024874D9"/>
    <w:rsid w:val="026A1DF1"/>
    <w:rsid w:val="026F6DDE"/>
    <w:rsid w:val="02721E6A"/>
    <w:rsid w:val="02757716"/>
    <w:rsid w:val="027A0994"/>
    <w:rsid w:val="027D0C60"/>
    <w:rsid w:val="02867487"/>
    <w:rsid w:val="028A3B63"/>
    <w:rsid w:val="02991CF2"/>
    <w:rsid w:val="02A85375"/>
    <w:rsid w:val="02AA12CC"/>
    <w:rsid w:val="02AA487C"/>
    <w:rsid w:val="02AE31CD"/>
    <w:rsid w:val="02B03CA0"/>
    <w:rsid w:val="02B36EEA"/>
    <w:rsid w:val="02BB5A8C"/>
    <w:rsid w:val="02BC1AB4"/>
    <w:rsid w:val="02BD7E03"/>
    <w:rsid w:val="02C5376B"/>
    <w:rsid w:val="02CA7F94"/>
    <w:rsid w:val="02CC57C3"/>
    <w:rsid w:val="02DB6087"/>
    <w:rsid w:val="02DE191A"/>
    <w:rsid w:val="02DE4F74"/>
    <w:rsid w:val="02E11602"/>
    <w:rsid w:val="02E211C0"/>
    <w:rsid w:val="02E37C30"/>
    <w:rsid w:val="02E40DD4"/>
    <w:rsid w:val="03010756"/>
    <w:rsid w:val="03014A96"/>
    <w:rsid w:val="030747BF"/>
    <w:rsid w:val="030C5B87"/>
    <w:rsid w:val="031F1265"/>
    <w:rsid w:val="0324021C"/>
    <w:rsid w:val="03275DA0"/>
    <w:rsid w:val="032B061C"/>
    <w:rsid w:val="033168DB"/>
    <w:rsid w:val="03321EF6"/>
    <w:rsid w:val="0336458A"/>
    <w:rsid w:val="03397DAF"/>
    <w:rsid w:val="034A09F2"/>
    <w:rsid w:val="03605B9E"/>
    <w:rsid w:val="0365784E"/>
    <w:rsid w:val="03695C42"/>
    <w:rsid w:val="03714BC1"/>
    <w:rsid w:val="038326C7"/>
    <w:rsid w:val="03850079"/>
    <w:rsid w:val="038B7534"/>
    <w:rsid w:val="039631BC"/>
    <w:rsid w:val="039F78D2"/>
    <w:rsid w:val="03AD6FE0"/>
    <w:rsid w:val="03AF0A59"/>
    <w:rsid w:val="03B10EF4"/>
    <w:rsid w:val="03C06197"/>
    <w:rsid w:val="03C50843"/>
    <w:rsid w:val="03CB2910"/>
    <w:rsid w:val="03CC0BEC"/>
    <w:rsid w:val="03CC4303"/>
    <w:rsid w:val="03D15C32"/>
    <w:rsid w:val="03E2254C"/>
    <w:rsid w:val="03E532E0"/>
    <w:rsid w:val="03EA756A"/>
    <w:rsid w:val="041534AD"/>
    <w:rsid w:val="042E0691"/>
    <w:rsid w:val="04455658"/>
    <w:rsid w:val="044D4CED"/>
    <w:rsid w:val="0452768A"/>
    <w:rsid w:val="04563940"/>
    <w:rsid w:val="04586FEA"/>
    <w:rsid w:val="045C1F77"/>
    <w:rsid w:val="046E314E"/>
    <w:rsid w:val="047F7C78"/>
    <w:rsid w:val="04956ECC"/>
    <w:rsid w:val="04966A51"/>
    <w:rsid w:val="04A06255"/>
    <w:rsid w:val="04A51F85"/>
    <w:rsid w:val="04AA3887"/>
    <w:rsid w:val="04C913F8"/>
    <w:rsid w:val="04CE44C5"/>
    <w:rsid w:val="04E14AB9"/>
    <w:rsid w:val="04E43113"/>
    <w:rsid w:val="04FF45AC"/>
    <w:rsid w:val="050E7907"/>
    <w:rsid w:val="0515716A"/>
    <w:rsid w:val="051E1FF4"/>
    <w:rsid w:val="05217FF6"/>
    <w:rsid w:val="05336680"/>
    <w:rsid w:val="05384C0F"/>
    <w:rsid w:val="053D170D"/>
    <w:rsid w:val="054C1583"/>
    <w:rsid w:val="054E521E"/>
    <w:rsid w:val="055B1904"/>
    <w:rsid w:val="05773900"/>
    <w:rsid w:val="057C32E7"/>
    <w:rsid w:val="058D679A"/>
    <w:rsid w:val="058D721B"/>
    <w:rsid w:val="05922697"/>
    <w:rsid w:val="05A00AB1"/>
    <w:rsid w:val="05B316B3"/>
    <w:rsid w:val="05B9677F"/>
    <w:rsid w:val="05BA6D57"/>
    <w:rsid w:val="05C51C99"/>
    <w:rsid w:val="05C70F2A"/>
    <w:rsid w:val="05D638E8"/>
    <w:rsid w:val="05D71224"/>
    <w:rsid w:val="05EF3F4F"/>
    <w:rsid w:val="05F113EC"/>
    <w:rsid w:val="05F27A4D"/>
    <w:rsid w:val="05F91627"/>
    <w:rsid w:val="06083C79"/>
    <w:rsid w:val="06346314"/>
    <w:rsid w:val="06611386"/>
    <w:rsid w:val="06651DB0"/>
    <w:rsid w:val="0668773D"/>
    <w:rsid w:val="06752C34"/>
    <w:rsid w:val="068446CC"/>
    <w:rsid w:val="068B6DF4"/>
    <w:rsid w:val="068B7010"/>
    <w:rsid w:val="0690023C"/>
    <w:rsid w:val="06914381"/>
    <w:rsid w:val="06A4548C"/>
    <w:rsid w:val="06C555E7"/>
    <w:rsid w:val="06CA34F5"/>
    <w:rsid w:val="06D97A7A"/>
    <w:rsid w:val="06DB4F0D"/>
    <w:rsid w:val="07065A10"/>
    <w:rsid w:val="070914AD"/>
    <w:rsid w:val="07155DB8"/>
    <w:rsid w:val="075652E4"/>
    <w:rsid w:val="07770ECE"/>
    <w:rsid w:val="077B2244"/>
    <w:rsid w:val="07815F3C"/>
    <w:rsid w:val="0783003A"/>
    <w:rsid w:val="0784448F"/>
    <w:rsid w:val="079374B1"/>
    <w:rsid w:val="07AC7C25"/>
    <w:rsid w:val="07AF3264"/>
    <w:rsid w:val="07AF3790"/>
    <w:rsid w:val="07B4056B"/>
    <w:rsid w:val="07BC2BAB"/>
    <w:rsid w:val="07CB26F4"/>
    <w:rsid w:val="07D63361"/>
    <w:rsid w:val="07E2741E"/>
    <w:rsid w:val="07EB34D2"/>
    <w:rsid w:val="07EE255B"/>
    <w:rsid w:val="0803222D"/>
    <w:rsid w:val="080D6E43"/>
    <w:rsid w:val="08116774"/>
    <w:rsid w:val="084731CB"/>
    <w:rsid w:val="08570FA7"/>
    <w:rsid w:val="085F5EAC"/>
    <w:rsid w:val="086161CA"/>
    <w:rsid w:val="08822681"/>
    <w:rsid w:val="0883436C"/>
    <w:rsid w:val="08A640AF"/>
    <w:rsid w:val="08AC67B8"/>
    <w:rsid w:val="08C00ED3"/>
    <w:rsid w:val="08C82F48"/>
    <w:rsid w:val="08CE0793"/>
    <w:rsid w:val="08DB4458"/>
    <w:rsid w:val="08F05839"/>
    <w:rsid w:val="08F966F5"/>
    <w:rsid w:val="08FF2588"/>
    <w:rsid w:val="0909491D"/>
    <w:rsid w:val="091A2D4F"/>
    <w:rsid w:val="094F2FDA"/>
    <w:rsid w:val="095E4E2F"/>
    <w:rsid w:val="09752F40"/>
    <w:rsid w:val="0975592E"/>
    <w:rsid w:val="097F18B0"/>
    <w:rsid w:val="098C3CC3"/>
    <w:rsid w:val="099157FE"/>
    <w:rsid w:val="09983E41"/>
    <w:rsid w:val="09AE1FE2"/>
    <w:rsid w:val="09C046A8"/>
    <w:rsid w:val="09CA7A94"/>
    <w:rsid w:val="09CB1A80"/>
    <w:rsid w:val="09CB3B8D"/>
    <w:rsid w:val="09CE6784"/>
    <w:rsid w:val="09CF7FB4"/>
    <w:rsid w:val="09E666C9"/>
    <w:rsid w:val="09F11168"/>
    <w:rsid w:val="0A400E01"/>
    <w:rsid w:val="0A434AB2"/>
    <w:rsid w:val="0A442CB5"/>
    <w:rsid w:val="0A453019"/>
    <w:rsid w:val="0A4F7D5E"/>
    <w:rsid w:val="0A507E0C"/>
    <w:rsid w:val="0A5C5E00"/>
    <w:rsid w:val="0A5E6AFA"/>
    <w:rsid w:val="0A661ACA"/>
    <w:rsid w:val="0A6B1638"/>
    <w:rsid w:val="0A9A2A02"/>
    <w:rsid w:val="0A9A37E3"/>
    <w:rsid w:val="0AA14B1F"/>
    <w:rsid w:val="0AAB3175"/>
    <w:rsid w:val="0AB0307D"/>
    <w:rsid w:val="0ABF2988"/>
    <w:rsid w:val="0AC579F3"/>
    <w:rsid w:val="0AC85C42"/>
    <w:rsid w:val="0AD950EC"/>
    <w:rsid w:val="0B350656"/>
    <w:rsid w:val="0B436BBC"/>
    <w:rsid w:val="0B4646D9"/>
    <w:rsid w:val="0B674EBC"/>
    <w:rsid w:val="0B69011C"/>
    <w:rsid w:val="0B6D381B"/>
    <w:rsid w:val="0B787A58"/>
    <w:rsid w:val="0B8B007F"/>
    <w:rsid w:val="0B9B7927"/>
    <w:rsid w:val="0B9C6264"/>
    <w:rsid w:val="0BB35BB9"/>
    <w:rsid w:val="0BC4686A"/>
    <w:rsid w:val="0BC474E4"/>
    <w:rsid w:val="0BDE544B"/>
    <w:rsid w:val="0BE16D03"/>
    <w:rsid w:val="0BE37E56"/>
    <w:rsid w:val="0C2832B6"/>
    <w:rsid w:val="0C332188"/>
    <w:rsid w:val="0C3E38C8"/>
    <w:rsid w:val="0C452D34"/>
    <w:rsid w:val="0C52741A"/>
    <w:rsid w:val="0C747FFC"/>
    <w:rsid w:val="0C77295C"/>
    <w:rsid w:val="0C7C2C5D"/>
    <w:rsid w:val="0C8B2929"/>
    <w:rsid w:val="0CA65875"/>
    <w:rsid w:val="0CA762D4"/>
    <w:rsid w:val="0CAB6D80"/>
    <w:rsid w:val="0CC05AF1"/>
    <w:rsid w:val="0CC23364"/>
    <w:rsid w:val="0CCD1558"/>
    <w:rsid w:val="0CEF6BD7"/>
    <w:rsid w:val="0CF06185"/>
    <w:rsid w:val="0CFF5D50"/>
    <w:rsid w:val="0D1418BD"/>
    <w:rsid w:val="0D1C0926"/>
    <w:rsid w:val="0D211040"/>
    <w:rsid w:val="0D2E1D4C"/>
    <w:rsid w:val="0D371F45"/>
    <w:rsid w:val="0D445B76"/>
    <w:rsid w:val="0D5A4094"/>
    <w:rsid w:val="0D66668B"/>
    <w:rsid w:val="0D6B5D90"/>
    <w:rsid w:val="0D72654B"/>
    <w:rsid w:val="0D87691E"/>
    <w:rsid w:val="0D8A601B"/>
    <w:rsid w:val="0D92558E"/>
    <w:rsid w:val="0D9304EB"/>
    <w:rsid w:val="0DB421D4"/>
    <w:rsid w:val="0DB461AA"/>
    <w:rsid w:val="0DB53ED6"/>
    <w:rsid w:val="0DB7190D"/>
    <w:rsid w:val="0DB77176"/>
    <w:rsid w:val="0DB86E52"/>
    <w:rsid w:val="0DBD09A8"/>
    <w:rsid w:val="0DBE0F52"/>
    <w:rsid w:val="0DD359BA"/>
    <w:rsid w:val="0DD80C62"/>
    <w:rsid w:val="0DF00FC5"/>
    <w:rsid w:val="0DF964F3"/>
    <w:rsid w:val="0DFB5A18"/>
    <w:rsid w:val="0E0F4CB5"/>
    <w:rsid w:val="0E162D59"/>
    <w:rsid w:val="0E2E25AD"/>
    <w:rsid w:val="0E5105D8"/>
    <w:rsid w:val="0E5123FD"/>
    <w:rsid w:val="0E6F39EB"/>
    <w:rsid w:val="0E744C19"/>
    <w:rsid w:val="0E770F1E"/>
    <w:rsid w:val="0E80015A"/>
    <w:rsid w:val="0E813957"/>
    <w:rsid w:val="0E8C50FE"/>
    <w:rsid w:val="0E8D7DE6"/>
    <w:rsid w:val="0E9361C2"/>
    <w:rsid w:val="0E957CD7"/>
    <w:rsid w:val="0E9E29B6"/>
    <w:rsid w:val="0EA872F7"/>
    <w:rsid w:val="0EB4355C"/>
    <w:rsid w:val="0EB761B8"/>
    <w:rsid w:val="0ECC5341"/>
    <w:rsid w:val="0ED20598"/>
    <w:rsid w:val="0F062096"/>
    <w:rsid w:val="0F2C6895"/>
    <w:rsid w:val="0F38085C"/>
    <w:rsid w:val="0F3C50B1"/>
    <w:rsid w:val="0F3F419A"/>
    <w:rsid w:val="0F473AB6"/>
    <w:rsid w:val="0F5E79E1"/>
    <w:rsid w:val="0F6E279F"/>
    <w:rsid w:val="0F6F3CEF"/>
    <w:rsid w:val="0F8B0E98"/>
    <w:rsid w:val="0F8B4CE8"/>
    <w:rsid w:val="0FAF62EE"/>
    <w:rsid w:val="0FB3777A"/>
    <w:rsid w:val="0FC66AA6"/>
    <w:rsid w:val="0FCA53B5"/>
    <w:rsid w:val="0FF52AA9"/>
    <w:rsid w:val="0FF8727F"/>
    <w:rsid w:val="0FFA33CC"/>
    <w:rsid w:val="100D1392"/>
    <w:rsid w:val="1026620F"/>
    <w:rsid w:val="103D397F"/>
    <w:rsid w:val="103D6627"/>
    <w:rsid w:val="10441799"/>
    <w:rsid w:val="10482BD9"/>
    <w:rsid w:val="10801BA7"/>
    <w:rsid w:val="10846EC4"/>
    <w:rsid w:val="108A10C9"/>
    <w:rsid w:val="10916AB6"/>
    <w:rsid w:val="10AD4388"/>
    <w:rsid w:val="10B028F0"/>
    <w:rsid w:val="10B74E96"/>
    <w:rsid w:val="10BB7E1A"/>
    <w:rsid w:val="10BC0900"/>
    <w:rsid w:val="10CF24BE"/>
    <w:rsid w:val="10D9714E"/>
    <w:rsid w:val="10E03249"/>
    <w:rsid w:val="10E17A4B"/>
    <w:rsid w:val="110111FF"/>
    <w:rsid w:val="11313A5C"/>
    <w:rsid w:val="113931C7"/>
    <w:rsid w:val="1143314A"/>
    <w:rsid w:val="114A2C81"/>
    <w:rsid w:val="11567ED0"/>
    <w:rsid w:val="11603389"/>
    <w:rsid w:val="116E041E"/>
    <w:rsid w:val="116F1956"/>
    <w:rsid w:val="11707E5C"/>
    <w:rsid w:val="11751C27"/>
    <w:rsid w:val="11864155"/>
    <w:rsid w:val="119360D6"/>
    <w:rsid w:val="119368FA"/>
    <w:rsid w:val="11A21881"/>
    <w:rsid w:val="11AD4722"/>
    <w:rsid w:val="11B8789F"/>
    <w:rsid w:val="11C90149"/>
    <w:rsid w:val="11CA7784"/>
    <w:rsid w:val="11CC39FF"/>
    <w:rsid w:val="11E0001D"/>
    <w:rsid w:val="11E102C4"/>
    <w:rsid w:val="11E3559D"/>
    <w:rsid w:val="11EB727F"/>
    <w:rsid w:val="11EC2EF5"/>
    <w:rsid w:val="11FA6675"/>
    <w:rsid w:val="11FE2AA3"/>
    <w:rsid w:val="12036AFA"/>
    <w:rsid w:val="12074EFF"/>
    <w:rsid w:val="122026E7"/>
    <w:rsid w:val="123C0FAA"/>
    <w:rsid w:val="12440672"/>
    <w:rsid w:val="124A1F7D"/>
    <w:rsid w:val="124A2691"/>
    <w:rsid w:val="12596E3B"/>
    <w:rsid w:val="127C686A"/>
    <w:rsid w:val="12821F57"/>
    <w:rsid w:val="128649D7"/>
    <w:rsid w:val="12951B45"/>
    <w:rsid w:val="129616C1"/>
    <w:rsid w:val="12A00270"/>
    <w:rsid w:val="12CC4A6B"/>
    <w:rsid w:val="12E33AF3"/>
    <w:rsid w:val="12F7235E"/>
    <w:rsid w:val="12FB53A6"/>
    <w:rsid w:val="130030B9"/>
    <w:rsid w:val="132C4821"/>
    <w:rsid w:val="13452508"/>
    <w:rsid w:val="134553DA"/>
    <w:rsid w:val="13791D7B"/>
    <w:rsid w:val="137B1E06"/>
    <w:rsid w:val="137E703C"/>
    <w:rsid w:val="13916645"/>
    <w:rsid w:val="13965FDB"/>
    <w:rsid w:val="13993FF4"/>
    <w:rsid w:val="13B1014E"/>
    <w:rsid w:val="13B9178A"/>
    <w:rsid w:val="13C2037C"/>
    <w:rsid w:val="13C66891"/>
    <w:rsid w:val="13CD2312"/>
    <w:rsid w:val="13CE2B84"/>
    <w:rsid w:val="13D56D76"/>
    <w:rsid w:val="13EC75BE"/>
    <w:rsid w:val="13F371C9"/>
    <w:rsid w:val="14040F33"/>
    <w:rsid w:val="14074BA8"/>
    <w:rsid w:val="141821A6"/>
    <w:rsid w:val="14185F52"/>
    <w:rsid w:val="1424034D"/>
    <w:rsid w:val="142D60AA"/>
    <w:rsid w:val="14366A3C"/>
    <w:rsid w:val="14545DCF"/>
    <w:rsid w:val="1457366A"/>
    <w:rsid w:val="145D7B97"/>
    <w:rsid w:val="146A2700"/>
    <w:rsid w:val="146D70B2"/>
    <w:rsid w:val="147176DF"/>
    <w:rsid w:val="147723EC"/>
    <w:rsid w:val="148235B5"/>
    <w:rsid w:val="14873F39"/>
    <w:rsid w:val="148854BE"/>
    <w:rsid w:val="149673EE"/>
    <w:rsid w:val="14A24641"/>
    <w:rsid w:val="14B50B86"/>
    <w:rsid w:val="14BC4AEE"/>
    <w:rsid w:val="14D26837"/>
    <w:rsid w:val="14D808D6"/>
    <w:rsid w:val="14E13FFA"/>
    <w:rsid w:val="150A49B0"/>
    <w:rsid w:val="15180848"/>
    <w:rsid w:val="15226149"/>
    <w:rsid w:val="15431B38"/>
    <w:rsid w:val="15665983"/>
    <w:rsid w:val="157509FA"/>
    <w:rsid w:val="15776D9B"/>
    <w:rsid w:val="157811F5"/>
    <w:rsid w:val="15877A15"/>
    <w:rsid w:val="15881E3A"/>
    <w:rsid w:val="158C5B9D"/>
    <w:rsid w:val="159B571F"/>
    <w:rsid w:val="15A70B82"/>
    <w:rsid w:val="15A815F8"/>
    <w:rsid w:val="15AF49C8"/>
    <w:rsid w:val="15F03086"/>
    <w:rsid w:val="15FA63DB"/>
    <w:rsid w:val="16081BDF"/>
    <w:rsid w:val="16195882"/>
    <w:rsid w:val="161A71A5"/>
    <w:rsid w:val="161E12A9"/>
    <w:rsid w:val="162638FA"/>
    <w:rsid w:val="16396994"/>
    <w:rsid w:val="163A44AC"/>
    <w:rsid w:val="16442E4A"/>
    <w:rsid w:val="16486E98"/>
    <w:rsid w:val="164C577B"/>
    <w:rsid w:val="164F5FD1"/>
    <w:rsid w:val="16511FF6"/>
    <w:rsid w:val="166030C9"/>
    <w:rsid w:val="1668709E"/>
    <w:rsid w:val="167F4E7B"/>
    <w:rsid w:val="169575F2"/>
    <w:rsid w:val="16AF29CF"/>
    <w:rsid w:val="16B831D5"/>
    <w:rsid w:val="16DA4579"/>
    <w:rsid w:val="170114E8"/>
    <w:rsid w:val="1708435E"/>
    <w:rsid w:val="170E1344"/>
    <w:rsid w:val="1718092D"/>
    <w:rsid w:val="1719369B"/>
    <w:rsid w:val="17216CD7"/>
    <w:rsid w:val="172A34A0"/>
    <w:rsid w:val="172D291E"/>
    <w:rsid w:val="173E58CA"/>
    <w:rsid w:val="174011C4"/>
    <w:rsid w:val="174B5E12"/>
    <w:rsid w:val="1755072C"/>
    <w:rsid w:val="17581E7A"/>
    <w:rsid w:val="176438A3"/>
    <w:rsid w:val="176D19FF"/>
    <w:rsid w:val="177A5E7E"/>
    <w:rsid w:val="17821264"/>
    <w:rsid w:val="1784679C"/>
    <w:rsid w:val="178B6DA5"/>
    <w:rsid w:val="179D166B"/>
    <w:rsid w:val="17A11BBC"/>
    <w:rsid w:val="17AE2CEF"/>
    <w:rsid w:val="17B423BF"/>
    <w:rsid w:val="17C937C7"/>
    <w:rsid w:val="17D12C9D"/>
    <w:rsid w:val="17D36CF9"/>
    <w:rsid w:val="17DF57ED"/>
    <w:rsid w:val="17EC4D4C"/>
    <w:rsid w:val="17F11DA8"/>
    <w:rsid w:val="180044D6"/>
    <w:rsid w:val="18016394"/>
    <w:rsid w:val="1805650F"/>
    <w:rsid w:val="18095B2B"/>
    <w:rsid w:val="18176F38"/>
    <w:rsid w:val="181A11FB"/>
    <w:rsid w:val="181D5395"/>
    <w:rsid w:val="182E01A8"/>
    <w:rsid w:val="183220A7"/>
    <w:rsid w:val="18356716"/>
    <w:rsid w:val="183D2F3A"/>
    <w:rsid w:val="184D3F2B"/>
    <w:rsid w:val="18653E57"/>
    <w:rsid w:val="18711453"/>
    <w:rsid w:val="18814B4E"/>
    <w:rsid w:val="18826AEA"/>
    <w:rsid w:val="18851D21"/>
    <w:rsid w:val="189F18C3"/>
    <w:rsid w:val="18BB1532"/>
    <w:rsid w:val="18C2469D"/>
    <w:rsid w:val="18C50665"/>
    <w:rsid w:val="18D7149C"/>
    <w:rsid w:val="18E20AE4"/>
    <w:rsid w:val="18E50B16"/>
    <w:rsid w:val="18E85C25"/>
    <w:rsid w:val="19042771"/>
    <w:rsid w:val="190B0985"/>
    <w:rsid w:val="191D4014"/>
    <w:rsid w:val="19373154"/>
    <w:rsid w:val="19385169"/>
    <w:rsid w:val="1953333B"/>
    <w:rsid w:val="1979183F"/>
    <w:rsid w:val="197C3DA8"/>
    <w:rsid w:val="198404C6"/>
    <w:rsid w:val="1999436B"/>
    <w:rsid w:val="199B6353"/>
    <w:rsid w:val="19AF2384"/>
    <w:rsid w:val="19D079B1"/>
    <w:rsid w:val="19E47B7E"/>
    <w:rsid w:val="19EA6521"/>
    <w:rsid w:val="19EF16EA"/>
    <w:rsid w:val="19FC0AC8"/>
    <w:rsid w:val="19FD2CB2"/>
    <w:rsid w:val="19FE5588"/>
    <w:rsid w:val="1A034741"/>
    <w:rsid w:val="1A0A5338"/>
    <w:rsid w:val="1A264D1A"/>
    <w:rsid w:val="1A38718F"/>
    <w:rsid w:val="1A3D0518"/>
    <w:rsid w:val="1A4361F6"/>
    <w:rsid w:val="1A493720"/>
    <w:rsid w:val="1A580E4A"/>
    <w:rsid w:val="1A6D447D"/>
    <w:rsid w:val="1A73721A"/>
    <w:rsid w:val="1A7E2B64"/>
    <w:rsid w:val="1A8D74B4"/>
    <w:rsid w:val="1A902896"/>
    <w:rsid w:val="1AB205D9"/>
    <w:rsid w:val="1ABA02A0"/>
    <w:rsid w:val="1AE40668"/>
    <w:rsid w:val="1AE91A48"/>
    <w:rsid w:val="1AEA56F7"/>
    <w:rsid w:val="1AF0470C"/>
    <w:rsid w:val="1AF17DF3"/>
    <w:rsid w:val="1B0C4330"/>
    <w:rsid w:val="1B224B20"/>
    <w:rsid w:val="1B2D76C5"/>
    <w:rsid w:val="1B356E7A"/>
    <w:rsid w:val="1B3709E3"/>
    <w:rsid w:val="1B397D3A"/>
    <w:rsid w:val="1B412344"/>
    <w:rsid w:val="1B463F0D"/>
    <w:rsid w:val="1B8363D0"/>
    <w:rsid w:val="1BB4558C"/>
    <w:rsid w:val="1BB966C7"/>
    <w:rsid w:val="1BE507DF"/>
    <w:rsid w:val="1C0C2543"/>
    <w:rsid w:val="1C1110CC"/>
    <w:rsid w:val="1C1A2036"/>
    <w:rsid w:val="1C236DE1"/>
    <w:rsid w:val="1C306CE7"/>
    <w:rsid w:val="1C311C5D"/>
    <w:rsid w:val="1C3244B8"/>
    <w:rsid w:val="1C3276CE"/>
    <w:rsid w:val="1C4205ED"/>
    <w:rsid w:val="1C4B44C1"/>
    <w:rsid w:val="1C6F67C5"/>
    <w:rsid w:val="1C7965AB"/>
    <w:rsid w:val="1C7B5528"/>
    <w:rsid w:val="1C7C01E6"/>
    <w:rsid w:val="1C7D3773"/>
    <w:rsid w:val="1C7E1710"/>
    <w:rsid w:val="1C831720"/>
    <w:rsid w:val="1C8443F0"/>
    <w:rsid w:val="1C853DA0"/>
    <w:rsid w:val="1C9E534D"/>
    <w:rsid w:val="1CCA48D0"/>
    <w:rsid w:val="1CCC5E4E"/>
    <w:rsid w:val="1CE41AA3"/>
    <w:rsid w:val="1CF27D24"/>
    <w:rsid w:val="1CF4432B"/>
    <w:rsid w:val="1D0B4644"/>
    <w:rsid w:val="1D1D463C"/>
    <w:rsid w:val="1D2A1211"/>
    <w:rsid w:val="1D4346C3"/>
    <w:rsid w:val="1D5B63AE"/>
    <w:rsid w:val="1D673193"/>
    <w:rsid w:val="1D694298"/>
    <w:rsid w:val="1D6A2A33"/>
    <w:rsid w:val="1D715C95"/>
    <w:rsid w:val="1D887E55"/>
    <w:rsid w:val="1D9A1239"/>
    <w:rsid w:val="1D9C6312"/>
    <w:rsid w:val="1DA74012"/>
    <w:rsid w:val="1DA7417B"/>
    <w:rsid w:val="1DB01A07"/>
    <w:rsid w:val="1DBF2523"/>
    <w:rsid w:val="1DC3026E"/>
    <w:rsid w:val="1DC35E4C"/>
    <w:rsid w:val="1DC42063"/>
    <w:rsid w:val="1DCD3250"/>
    <w:rsid w:val="1DCE102F"/>
    <w:rsid w:val="1DCE21F8"/>
    <w:rsid w:val="1DCF6E43"/>
    <w:rsid w:val="1DD53967"/>
    <w:rsid w:val="1DD53B70"/>
    <w:rsid w:val="1DF94ABB"/>
    <w:rsid w:val="1E006359"/>
    <w:rsid w:val="1E1609D7"/>
    <w:rsid w:val="1E3D25B7"/>
    <w:rsid w:val="1E4759DD"/>
    <w:rsid w:val="1E477414"/>
    <w:rsid w:val="1E477F91"/>
    <w:rsid w:val="1E6B6AF3"/>
    <w:rsid w:val="1E7615BC"/>
    <w:rsid w:val="1E7C7B70"/>
    <w:rsid w:val="1E7D3D09"/>
    <w:rsid w:val="1E830A69"/>
    <w:rsid w:val="1E85469F"/>
    <w:rsid w:val="1E92044A"/>
    <w:rsid w:val="1E9C4C98"/>
    <w:rsid w:val="1EA41D47"/>
    <w:rsid w:val="1EAD0D18"/>
    <w:rsid w:val="1EB25707"/>
    <w:rsid w:val="1EB41F2E"/>
    <w:rsid w:val="1EB41FA8"/>
    <w:rsid w:val="1EB812EE"/>
    <w:rsid w:val="1EBE1373"/>
    <w:rsid w:val="1ECB1807"/>
    <w:rsid w:val="1ED65BEE"/>
    <w:rsid w:val="1EE0604A"/>
    <w:rsid w:val="1EE203E8"/>
    <w:rsid w:val="1EE31800"/>
    <w:rsid w:val="1EED6D30"/>
    <w:rsid w:val="1EF4650B"/>
    <w:rsid w:val="1F0F1DDB"/>
    <w:rsid w:val="1F180AEB"/>
    <w:rsid w:val="1F1E1343"/>
    <w:rsid w:val="1F22664D"/>
    <w:rsid w:val="1F3152A4"/>
    <w:rsid w:val="1F325A81"/>
    <w:rsid w:val="1F367607"/>
    <w:rsid w:val="1F5F7F75"/>
    <w:rsid w:val="1F6A6898"/>
    <w:rsid w:val="1F78562F"/>
    <w:rsid w:val="1F817D02"/>
    <w:rsid w:val="1F82140D"/>
    <w:rsid w:val="1F851DB6"/>
    <w:rsid w:val="1F870118"/>
    <w:rsid w:val="1F901EA7"/>
    <w:rsid w:val="1F973B3B"/>
    <w:rsid w:val="1FAA2D25"/>
    <w:rsid w:val="1FC57DA2"/>
    <w:rsid w:val="1FCD074A"/>
    <w:rsid w:val="1FE40EC7"/>
    <w:rsid w:val="1FE81062"/>
    <w:rsid w:val="1FF37E4B"/>
    <w:rsid w:val="1FF47FEF"/>
    <w:rsid w:val="20126D60"/>
    <w:rsid w:val="201524B5"/>
    <w:rsid w:val="202F7201"/>
    <w:rsid w:val="20436588"/>
    <w:rsid w:val="206902DB"/>
    <w:rsid w:val="206C639F"/>
    <w:rsid w:val="206F6B99"/>
    <w:rsid w:val="206F7ACF"/>
    <w:rsid w:val="206F7FE1"/>
    <w:rsid w:val="207774B0"/>
    <w:rsid w:val="207C105E"/>
    <w:rsid w:val="2084132D"/>
    <w:rsid w:val="208A4B48"/>
    <w:rsid w:val="209062ED"/>
    <w:rsid w:val="20950F43"/>
    <w:rsid w:val="209E390F"/>
    <w:rsid w:val="20A25DB4"/>
    <w:rsid w:val="20CF42A6"/>
    <w:rsid w:val="20F843D4"/>
    <w:rsid w:val="20FC3C8D"/>
    <w:rsid w:val="210F4606"/>
    <w:rsid w:val="21135FD2"/>
    <w:rsid w:val="2118431C"/>
    <w:rsid w:val="213A1A60"/>
    <w:rsid w:val="213D00F0"/>
    <w:rsid w:val="214252E7"/>
    <w:rsid w:val="216A0583"/>
    <w:rsid w:val="21750932"/>
    <w:rsid w:val="217701F6"/>
    <w:rsid w:val="217A2049"/>
    <w:rsid w:val="21A615C4"/>
    <w:rsid w:val="21A81008"/>
    <w:rsid w:val="21AA401B"/>
    <w:rsid w:val="21B012CC"/>
    <w:rsid w:val="21C32FC3"/>
    <w:rsid w:val="21CD0A98"/>
    <w:rsid w:val="21EC2695"/>
    <w:rsid w:val="21FA1C07"/>
    <w:rsid w:val="21FF280B"/>
    <w:rsid w:val="22054894"/>
    <w:rsid w:val="220713C9"/>
    <w:rsid w:val="220734E2"/>
    <w:rsid w:val="220E6088"/>
    <w:rsid w:val="221874C1"/>
    <w:rsid w:val="222933BC"/>
    <w:rsid w:val="222A0C75"/>
    <w:rsid w:val="222B2448"/>
    <w:rsid w:val="224131C1"/>
    <w:rsid w:val="2245466B"/>
    <w:rsid w:val="225A4EF6"/>
    <w:rsid w:val="225F01F3"/>
    <w:rsid w:val="228407F0"/>
    <w:rsid w:val="229C59FD"/>
    <w:rsid w:val="22A87696"/>
    <w:rsid w:val="22B027E3"/>
    <w:rsid w:val="22B71E8A"/>
    <w:rsid w:val="22CA2520"/>
    <w:rsid w:val="22D53077"/>
    <w:rsid w:val="22E00BFC"/>
    <w:rsid w:val="22E24EA7"/>
    <w:rsid w:val="22F14D22"/>
    <w:rsid w:val="23004135"/>
    <w:rsid w:val="230B2D8A"/>
    <w:rsid w:val="230C33E1"/>
    <w:rsid w:val="230C7700"/>
    <w:rsid w:val="23124440"/>
    <w:rsid w:val="2319798D"/>
    <w:rsid w:val="232F0A59"/>
    <w:rsid w:val="233F4C21"/>
    <w:rsid w:val="23507E88"/>
    <w:rsid w:val="23661D75"/>
    <w:rsid w:val="23736FC7"/>
    <w:rsid w:val="238F2A79"/>
    <w:rsid w:val="239A1670"/>
    <w:rsid w:val="239F1E4B"/>
    <w:rsid w:val="23B426F6"/>
    <w:rsid w:val="23BC26AD"/>
    <w:rsid w:val="23BE21BE"/>
    <w:rsid w:val="23C953E0"/>
    <w:rsid w:val="23D618F8"/>
    <w:rsid w:val="23EF693F"/>
    <w:rsid w:val="23F53B0C"/>
    <w:rsid w:val="23F97D2C"/>
    <w:rsid w:val="23FB3839"/>
    <w:rsid w:val="23FC6C77"/>
    <w:rsid w:val="242A15D0"/>
    <w:rsid w:val="242F74A0"/>
    <w:rsid w:val="24335B6F"/>
    <w:rsid w:val="24347028"/>
    <w:rsid w:val="2441682D"/>
    <w:rsid w:val="24505875"/>
    <w:rsid w:val="245B3AA0"/>
    <w:rsid w:val="24622DF1"/>
    <w:rsid w:val="248213E7"/>
    <w:rsid w:val="24870A04"/>
    <w:rsid w:val="248B0005"/>
    <w:rsid w:val="24922595"/>
    <w:rsid w:val="24A948B4"/>
    <w:rsid w:val="24B45210"/>
    <w:rsid w:val="24B9568E"/>
    <w:rsid w:val="24ED54C8"/>
    <w:rsid w:val="24FA76D4"/>
    <w:rsid w:val="25076E46"/>
    <w:rsid w:val="250D26E5"/>
    <w:rsid w:val="250E2290"/>
    <w:rsid w:val="251100EE"/>
    <w:rsid w:val="25115A2E"/>
    <w:rsid w:val="251334A1"/>
    <w:rsid w:val="251903EC"/>
    <w:rsid w:val="251B3728"/>
    <w:rsid w:val="25257535"/>
    <w:rsid w:val="252F3DA7"/>
    <w:rsid w:val="253E34BB"/>
    <w:rsid w:val="25691D05"/>
    <w:rsid w:val="256D3779"/>
    <w:rsid w:val="257A474A"/>
    <w:rsid w:val="25803B80"/>
    <w:rsid w:val="2581431C"/>
    <w:rsid w:val="258B18E4"/>
    <w:rsid w:val="25905349"/>
    <w:rsid w:val="25922CDA"/>
    <w:rsid w:val="259A665B"/>
    <w:rsid w:val="25AF576B"/>
    <w:rsid w:val="25B91F6F"/>
    <w:rsid w:val="25C855A8"/>
    <w:rsid w:val="25CA3F59"/>
    <w:rsid w:val="25CC3386"/>
    <w:rsid w:val="25DC5B32"/>
    <w:rsid w:val="25F01073"/>
    <w:rsid w:val="26075062"/>
    <w:rsid w:val="260A4565"/>
    <w:rsid w:val="26151599"/>
    <w:rsid w:val="26421A5A"/>
    <w:rsid w:val="26530ACA"/>
    <w:rsid w:val="265D4DD2"/>
    <w:rsid w:val="26777993"/>
    <w:rsid w:val="26781B3A"/>
    <w:rsid w:val="268D2249"/>
    <w:rsid w:val="26904E20"/>
    <w:rsid w:val="26A722BA"/>
    <w:rsid w:val="26AD4836"/>
    <w:rsid w:val="26B367A6"/>
    <w:rsid w:val="26D44912"/>
    <w:rsid w:val="26D627F2"/>
    <w:rsid w:val="26E06855"/>
    <w:rsid w:val="26E63FEC"/>
    <w:rsid w:val="26FD33DF"/>
    <w:rsid w:val="270A5B59"/>
    <w:rsid w:val="270A74FE"/>
    <w:rsid w:val="2714717B"/>
    <w:rsid w:val="271B72C3"/>
    <w:rsid w:val="2730579B"/>
    <w:rsid w:val="273B136A"/>
    <w:rsid w:val="2746105C"/>
    <w:rsid w:val="27655CDB"/>
    <w:rsid w:val="2767631E"/>
    <w:rsid w:val="27677841"/>
    <w:rsid w:val="276E08C0"/>
    <w:rsid w:val="276F3E55"/>
    <w:rsid w:val="27785F0B"/>
    <w:rsid w:val="277D5657"/>
    <w:rsid w:val="278003C2"/>
    <w:rsid w:val="278028DD"/>
    <w:rsid w:val="27815274"/>
    <w:rsid w:val="278A4D53"/>
    <w:rsid w:val="278B60A7"/>
    <w:rsid w:val="278F724E"/>
    <w:rsid w:val="27994816"/>
    <w:rsid w:val="27A10197"/>
    <w:rsid w:val="27A35BFF"/>
    <w:rsid w:val="27AB4EE2"/>
    <w:rsid w:val="27C20C04"/>
    <w:rsid w:val="27C74BD5"/>
    <w:rsid w:val="27CA1D34"/>
    <w:rsid w:val="27EF1D1C"/>
    <w:rsid w:val="27FB2A16"/>
    <w:rsid w:val="28065589"/>
    <w:rsid w:val="281B425C"/>
    <w:rsid w:val="283917FC"/>
    <w:rsid w:val="28491E85"/>
    <w:rsid w:val="284A16C7"/>
    <w:rsid w:val="28532684"/>
    <w:rsid w:val="28536C38"/>
    <w:rsid w:val="28537CC7"/>
    <w:rsid w:val="28671D17"/>
    <w:rsid w:val="286A5F00"/>
    <w:rsid w:val="2886464F"/>
    <w:rsid w:val="28BB6E5A"/>
    <w:rsid w:val="28BD0AFD"/>
    <w:rsid w:val="28C1325F"/>
    <w:rsid w:val="28D94B70"/>
    <w:rsid w:val="28E34173"/>
    <w:rsid w:val="28EB0C9D"/>
    <w:rsid w:val="28EB1989"/>
    <w:rsid w:val="28EF41A5"/>
    <w:rsid w:val="28F16720"/>
    <w:rsid w:val="28FF2E81"/>
    <w:rsid w:val="2918367F"/>
    <w:rsid w:val="291F6E16"/>
    <w:rsid w:val="292D08FC"/>
    <w:rsid w:val="292E7EA9"/>
    <w:rsid w:val="294836C7"/>
    <w:rsid w:val="294D4908"/>
    <w:rsid w:val="29523193"/>
    <w:rsid w:val="29557458"/>
    <w:rsid w:val="295A4A42"/>
    <w:rsid w:val="295D4999"/>
    <w:rsid w:val="296531F8"/>
    <w:rsid w:val="296C2904"/>
    <w:rsid w:val="29794E92"/>
    <w:rsid w:val="298B710E"/>
    <w:rsid w:val="2992762F"/>
    <w:rsid w:val="29A2195A"/>
    <w:rsid w:val="29A35ECD"/>
    <w:rsid w:val="29BA08CD"/>
    <w:rsid w:val="29CA79AC"/>
    <w:rsid w:val="2A077A61"/>
    <w:rsid w:val="2A134397"/>
    <w:rsid w:val="2A1A3758"/>
    <w:rsid w:val="2A1A7E98"/>
    <w:rsid w:val="2A371121"/>
    <w:rsid w:val="2A411D98"/>
    <w:rsid w:val="2A4219B2"/>
    <w:rsid w:val="2A504D41"/>
    <w:rsid w:val="2A505C0D"/>
    <w:rsid w:val="2A5F32F8"/>
    <w:rsid w:val="2A697D46"/>
    <w:rsid w:val="2A7924D4"/>
    <w:rsid w:val="2A7B737F"/>
    <w:rsid w:val="2A7F2DFF"/>
    <w:rsid w:val="2A897B1E"/>
    <w:rsid w:val="2A9B44FB"/>
    <w:rsid w:val="2AAB0F33"/>
    <w:rsid w:val="2AB81DBC"/>
    <w:rsid w:val="2ABB4F1D"/>
    <w:rsid w:val="2ABE60C3"/>
    <w:rsid w:val="2AC44187"/>
    <w:rsid w:val="2AC6052A"/>
    <w:rsid w:val="2AD4699C"/>
    <w:rsid w:val="2ADD7C5D"/>
    <w:rsid w:val="2AE05518"/>
    <w:rsid w:val="2AF30966"/>
    <w:rsid w:val="2AF33896"/>
    <w:rsid w:val="2AFD07F2"/>
    <w:rsid w:val="2B071EC9"/>
    <w:rsid w:val="2B1F57CD"/>
    <w:rsid w:val="2B372F45"/>
    <w:rsid w:val="2B392F3E"/>
    <w:rsid w:val="2B3A7933"/>
    <w:rsid w:val="2B5741D1"/>
    <w:rsid w:val="2B61265D"/>
    <w:rsid w:val="2B711ABA"/>
    <w:rsid w:val="2B762517"/>
    <w:rsid w:val="2B8F085E"/>
    <w:rsid w:val="2B94576A"/>
    <w:rsid w:val="2BA8442D"/>
    <w:rsid w:val="2BBA2260"/>
    <w:rsid w:val="2BBA67C2"/>
    <w:rsid w:val="2BBC1964"/>
    <w:rsid w:val="2BC2435C"/>
    <w:rsid w:val="2BC3094D"/>
    <w:rsid w:val="2BC30A64"/>
    <w:rsid w:val="2BD023F9"/>
    <w:rsid w:val="2BD51F86"/>
    <w:rsid w:val="2BDA5CF6"/>
    <w:rsid w:val="2BDB3982"/>
    <w:rsid w:val="2BE623D3"/>
    <w:rsid w:val="2BFC0D12"/>
    <w:rsid w:val="2C0705F5"/>
    <w:rsid w:val="2C08381F"/>
    <w:rsid w:val="2C1B476C"/>
    <w:rsid w:val="2C1E5FB8"/>
    <w:rsid w:val="2C2B44A7"/>
    <w:rsid w:val="2C36096D"/>
    <w:rsid w:val="2C526F13"/>
    <w:rsid w:val="2C536453"/>
    <w:rsid w:val="2C556514"/>
    <w:rsid w:val="2C5A3760"/>
    <w:rsid w:val="2C7B534E"/>
    <w:rsid w:val="2C7D06D0"/>
    <w:rsid w:val="2C7D0BC5"/>
    <w:rsid w:val="2C8D59A4"/>
    <w:rsid w:val="2C94532F"/>
    <w:rsid w:val="2CAA763B"/>
    <w:rsid w:val="2CB61C00"/>
    <w:rsid w:val="2CBA16EB"/>
    <w:rsid w:val="2CBF7ED5"/>
    <w:rsid w:val="2CD71723"/>
    <w:rsid w:val="2CEB3971"/>
    <w:rsid w:val="2CF515AE"/>
    <w:rsid w:val="2CF5626A"/>
    <w:rsid w:val="2CFE6400"/>
    <w:rsid w:val="2D0B6DCE"/>
    <w:rsid w:val="2D3C6E0F"/>
    <w:rsid w:val="2D3F79D2"/>
    <w:rsid w:val="2D400CCB"/>
    <w:rsid w:val="2D4569C9"/>
    <w:rsid w:val="2D481823"/>
    <w:rsid w:val="2D4B6999"/>
    <w:rsid w:val="2D593726"/>
    <w:rsid w:val="2D616BC7"/>
    <w:rsid w:val="2D69405B"/>
    <w:rsid w:val="2D6B5D9B"/>
    <w:rsid w:val="2D902422"/>
    <w:rsid w:val="2D990460"/>
    <w:rsid w:val="2DA24077"/>
    <w:rsid w:val="2DA24D44"/>
    <w:rsid w:val="2DAE7CDD"/>
    <w:rsid w:val="2DBE543C"/>
    <w:rsid w:val="2DBF701B"/>
    <w:rsid w:val="2DCA541A"/>
    <w:rsid w:val="2DD35322"/>
    <w:rsid w:val="2DD75DF8"/>
    <w:rsid w:val="2DE03F58"/>
    <w:rsid w:val="2DE040EF"/>
    <w:rsid w:val="2DE05988"/>
    <w:rsid w:val="2DEC3C08"/>
    <w:rsid w:val="2DED55DD"/>
    <w:rsid w:val="2DEF248E"/>
    <w:rsid w:val="2DFA2948"/>
    <w:rsid w:val="2E0F4D2B"/>
    <w:rsid w:val="2E186DEE"/>
    <w:rsid w:val="2E1A38A8"/>
    <w:rsid w:val="2E1C0DC7"/>
    <w:rsid w:val="2E3502DE"/>
    <w:rsid w:val="2E4C2545"/>
    <w:rsid w:val="2E6764C9"/>
    <w:rsid w:val="2E8243A6"/>
    <w:rsid w:val="2E8F3B72"/>
    <w:rsid w:val="2EA25ECF"/>
    <w:rsid w:val="2EA44C46"/>
    <w:rsid w:val="2EA53683"/>
    <w:rsid w:val="2EAC2763"/>
    <w:rsid w:val="2EB026C0"/>
    <w:rsid w:val="2EB41DCA"/>
    <w:rsid w:val="2EC273B0"/>
    <w:rsid w:val="2ED203CC"/>
    <w:rsid w:val="2ED36F77"/>
    <w:rsid w:val="2ED66D07"/>
    <w:rsid w:val="2EE53204"/>
    <w:rsid w:val="2EE81411"/>
    <w:rsid w:val="2EFB1F49"/>
    <w:rsid w:val="2F1271CB"/>
    <w:rsid w:val="2F3A79E1"/>
    <w:rsid w:val="2F3C2E7D"/>
    <w:rsid w:val="2F452BDB"/>
    <w:rsid w:val="2F662646"/>
    <w:rsid w:val="2F6B27B5"/>
    <w:rsid w:val="2F856DDD"/>
    <w:rsid w:val="2F890F8B"/>
    <w:rsid w:val="2F8F3EDE"/>
    <w:rsid w:val="2F9037FD"/>
    <w:rsid w:val="2F9648C3"/>
    <w:rsid w:val="2FA65D5F"/>
    <w:rsid w:val="2FC150CC"/>
    <w:rsid w:val="2FCA4353"/>
    <w:rsid w:val="2FD05321"/>
    <w:rsid w:val="2FD75073"/>
    <w:rsid w:val="2FDC3643"/>
    <w:rsid w:val="2FDC54AF"/>
    <w:rsid w:val="2FF06CB8"/>
    <w:rsid w:val="2FF314FE"/>
    <w:rsid w:val="2FFA4747"/>
    <w:rsid w:val="30073F33"/>
    <w:rsid w:val="30152524"/>
    <w:rsid w:val="30271E53"/>
    <w:rsid w:val="303B4CEC"/>
    <w:rsid w:val="303F226A"/>
    <w:rsid w:val="304A1F48"/>
    <w:rsid w:val="30580361"/>
    <w:rsid w:val="305D7804"/>
    <w:rsid w:val="30765F68"/>
    <w:rsid w:val="3076628F"/>
    <w:rsid w:val="30A27D62"/>
    <w:rsid w:val="30A44BA5"/>
    <w:rsid w:val="30AF71B5"/>
    <w:rsid w:val="30C62788"/>
    <w:rsid w:val="30D01994"/>
    <w:rsid w:val="30E206D1"/>
    <w:rsid w:val="30E32FEA"/>
    <w:rsid w:val="30E36C4B"/>
    <w:rsid w:val="30FE7059"/>
    <w:rsid w:val="31072D04"/>
    <w:rsid w:val="3139733E"/>
    <w:rsid w:val="313B39DC"/>
    <w:rsid w:val="31401D1E"/>
    <w:rsid w:val="3140679E"/>
    <w:rsid w:val="31532E23"/>
    <w:rsid w:val="3167087A"/>
    <w:rsid w:val="31724736"/>
    <w:rsid w:val="31725F5A"/>
    <w:rsid w:val="317A2959"/>
    <w:rsid w:val="317E19AF"/>
    <w:rsid w:val="319764A4"/>
    <w:rsid w:val="319F493C"/>
    <w:rsid w:val="31A71EA4"/>
    <w:rsid w:val="31A76210"/>
    <w:rsid w:val="31A96740"/>
    <w:rsid w:val="31AC3398"/>
    <w:rsid w:val="31C51967"/>
    <w:rsid w:val="31C55C70"/>
    <w:rsid w:val="31CB2385"/>
    <w:rsid w:val="31CE7B45"/>
    <w:rsid w:val="31D14346"/>
    <w:rsid w:val="31D20CD6"/>
    <w:rsid w:val="3205108B"/>
    <w:rsid w:val="320E73A8"/>
    <w:rsid w:val="321E1594"/>
    <w:rsid w:val="322059CC"/>
    <w:rsid w:val="32505913"/>
    <w:rsid w:val="325C61AF"/>
    <w:rsid w:val="327B1B1C"/>
    <w:rsid w:val="3287357C"/>
    <w:rsid w:val="32953E20"/>
    <w:rsid w:val="329D3C78"/>
    <w:rsid w:val="329E3D47"/>
    <w:rsid w:val="32A21573"/>
    <w:rsid w:val="32A24F4B"/>
    <w:rsid w:val="32A9099F"/>
    <w:rsid w:val="32B412C1"/>
    <w:rsid w:val="32C07384"/>
    <w:rsid w:val="32C92741"/>
    <w:rsid w:val="32CA6B82"/>
    <w:rsid w:val="32CD19CB"/>
    <w:rsid w:val="32FB3683"/>
    <w:rsid w:val="33130172"/>
    <w:rsid w:val="331373F8"/>
    <w:rsid w:val="331B7DB7"/>
    <w:rsid w:val="333D1567"/>
    <w:rsid w:val="3363215A"/>
    <w:rsid w:val="3372728A"/>
    <w:rsid w:val="3377799C"/>
    <w:rsid w:val="337A5602"/>
    <w:rsid w:val="3386512F"/>
    <w:rsid w:val="33A028D3"/>
    <w:rsid w:val="33B63F0B"/>
    <w:rsid w:val="33BF2C84"/>
    <w:rsid w:val="33EB2A78"/>
    <w:rsid w:val="33ED21DB"/>
    <w:rsid w:val="33FF1E8D"/>
    <w:rsid w:val="34021619"/>
    <w:rsid w:val="340633D6"/>
    <w:rsid w:val="34105434"/>
    <w:rsid w:val="34110E85"/>
    <w:rsid w:val="34466CA1"/>
    <w:rsid w:val="34556FD4"/>
    <w:rsid w:val="345F5B7C"/>
    <w:rsid w:val="346330AD"/>
    <w:rsid w:val="346959D5"/>
    <w:rsid w:val="346E3610"/>
    <w:rsid w:val="348A2FBE"/>
    <w:rsid w:val="349A6927"/>
    <w:rsid w:val="34AD3285"/>
    <w:rsid w:val="34B94EEA"/>
    <w:rsid w:val="34BA4260"/>
    <w:rsid w:val="34BC267D"/>
    <w:rsid w:val="34D055FD"/>
    <w:rsid w:val="34EE4D3E"/>
    <w:rsid w:val="34F67E1B"/>
    <w:rsid w:val="35357DF2"/>
    <w:rsid w:val="35425FE7"/>
    <w:rsid w:val="354B46BF"/>
    <w:rsid w:val="35505E01"/>
    <w:rsid w:val="35703779"/>
    <w:rsid w:val="35874AE2"/>
    <w:rsid w:val="35881264"/>
    <w:rsid w:val="358B3C15"/>
    <w:rsid w:val="35A167E9"/>
    <w:rsid w:val="35BF7A53"/>
    <w:rsid w:val="35C97220"/>
    <w:rsid w:val="35D25EA4"/>
    <w:rsid w:val="35DA07FD"/>
    <w:rsid w:val="35DA5B47"/>
    <w:rsid w:val="35E3535A"/>
    <w:rsid w:val="35E43ED1"/>
    <w:rsid w:val="35ED4F11"/>
    <w:rsid w:val="35F11A12"/>
    <w:rsid w:val="35F40122"/>
    <w:rsid w:val="36306DF5"/>
    <w:rsid w:val="36530FFE"/>
    <w:rsid w:val="366C60C1"/>
    <w:rsid w:val="36890788"/>
    <w:rsid w:val="368F48DE"/>
    <w:rsid w:val="3694506C"/>
    <w:rsid w:val="369A7220"/>
    <w:rsid w:val="369B796F"/>
    <w:rsid w:val="36A140F9"/>
    <w:rsid w:val="36AA1DAA"/>
    <w:rsid w:val="36B116F6"/>
    <w:rsid w:val="36C61B39"/>
    <w:rsid w:val="36CF1992"/>
    <w:rsid w:val="36CF7AB4"/>
    <w:rsid w:val="36D84AEE"/>
    <w:rsid w:val="36D94B64"/>
    <w:rsid w:val="371D360E"/>
    <w:rsid w:val="372616E5"/>
    <w:rsid w:val="37436141"/>
    <w:rsid w:val="37447183"/>
    <w:rsid w:val="374C04C6"/>
    <w:rsid w:val="37522911"/>
    <w:rsid w:val="37534589"/>
    <w:rsid w:val="375767A8"/>
    <w:rsid w:val="37590128"/>
    <w:rsid w:val="375F002F"/>
    <w:rsid w:val="37652427"/>
    <w:rsid w:val="37687045"/>
    <w:rsid w:val="3787769D"/>
    <w:rsid w:val="3789668E"/>
    <w:rsid w:val="378F705B"/>
    <w:rsid w:val="379754BE"/>
    <w:rsid w:val="37987B21"/>
    <w:rsid w:val="37A24CDA"/>
    <w:rsid w:val="37A64821"/>
    <w:rsid w:val="37B05692"/>
    <w:rsid w:val="37BD3C13"/>
    <w:rsid w:val="37BD6737"/>
    <w:rsid w:val="37C254A8"/>
    <w:rsid w:val="37C25F06"/>
    <w:rsid w:val="37C62AE1"/>
    <w:rsid w:val="37CD1D19"/>
    <w:rsid w:val="37DA4AF1"/>
    <w:rsid w:val="37E62943"/>
    <w:rsid w:val="37FD6402"/>
    <w:rsid w:val="37FF2002"/>
    <w:rsid w:val="3800244D"/>
    <w:rsid w:val="380354B4"/>
    <w:rsid w:val="380B7A6D"/>
    <w:rsid w:val="38111137"/>
    <w:rsid w:val="38132887"/>
    <w:rsid w:val="382D68C0"/>
    <w:rsid w:val="38337E93"/>
    <w:rsid w:val="38420068"/>
    <w:rsid w:val="388A6089"/>
    <w:rsid w:val="388B2053"/>
    <w:rsid w:val="388D0B17"/>
    <w:rsid w:val="389152DA"/>
    <w:rsid w:val="38AC0E19"/>
    <w:rsid w:val="38BB2DBA"/>
    <w:rsid w:val="38BE27D2"/>
    <w:rsid w:val="38C02384"/>
    <w:rsid w:val="38C3429E"/>
    <w:rsid w:val="38CB724C"/>
    <w:rsid w:val="38CC4208"/>
    <w:rsid w:val="38D248B1"/>
    <w:rsid w:val="38D772DD"/>
    <w:rsid w:val="38D87584"/>
    <w:rsid w:val="390041AF"/>
    <w:rsid w:val="39016497"/>
    <w:rsid w:val="3905309B"/>
    <w:rsid w:val="391170C3"/>
    <w:rsid w:val="391941AA"/>
    <w:rsid w:val="391B2228"/>
    <w:rsid w:val="39247C60"/>
    <w:rsid w:val="39255089"/>
    <w:rsid w:val="393718C5"/>
    <w:rsid w:val="393B7AEF"/>
    <w:rsid w:val="39597F17"/>
    <w:rsid w:val="395D6E46"/>
    <w:rsid w:val="39627D12"/>
    <w:rsid w:val="397A1254"/>
    <w:rsid w:val="397E4091"/>
    <w:rsid w:val="398206E6"/>
    <w:rsid w:val="39890E52"/>
    <w:rsid w:val="39910700"/>
    <w:rsid w:val="39A93EE6"/>
    <w:rsid w:val="39DB5959"/>
    <w:rsid w:val="39DF0347"/>
    <w:rsid w:val="39DF6391"/>
    <w:rsid w:val="39E217B4"/>
    <w:rsid w:val="39E82BB3"/>
    <w:rsid w:val="39F81B43"/>
    <w:rsid w:val="3A1509A7"/>
    <w:rsid w:val="3A2A2ABA"/>
    <w:rsid w:val="3A300D91"/>
    <w:rsid w:val="3A357626"/>
    <w:rsid w:val="3A376BE8"/>
    <w:rsid w:val="3A3E0D5F"/>
    <w:rsid w:val="3A592CA6"/>
    <w:rsid w:val="3A654870"/>
    <w:rsid w:val="3A834686"/>
    <w:rsid w:val="3A8B4F99"/>
    <w:rsid w:val="3AA41691"/>
    <w:rsid w:val="3AA664A5"/>
    <w:rsid w:val="3AAC761B"/>
    <w:rsid w:val="3AB85F64"/>
    <w:rsid w:val="3ABF5B7F"/>
    <w:rsid w:val="3AC275C6"/>
    <w:rsid w:val="3AC70EA1"/>
    <w:rsid w:val="3ACB2E11"/>
    <w:rsid w:val="3AD3295B"/>
    <w:rsid w:val="3AD35612"/>
    <w:rsid w:val="3AD36CE2"/>
    <w:rsid w:val="3AD459A3"/>
    <w:rsid w:val="3AD51619"/>
    <w:rsid w:val="3ADC2CA1"/>
    <w:rsid w:val="3AEA73DC"/>
    <w:rsid w:val="3B072161"/>
    <w:rsid w:val="3B0E419F"/>
    <w:rsid w:val="3B0F1416"/>
    <w:rsid w:val="3B113605"/>
    <w:rsid w:val="3B15683C"/>
    <w:rsid w:val="3B30153E"/>
    <w:rsid w:val="3B315D4A"/>
    <w:rsid w:val="3B342760"/>
    <w:rsid w:val="3B3F60E4"/>
    <w:rsid w:val="3B41279D"/>
    <w:rsid w:val="3B61494D"/>
    <w:rsid w:val="3B7019AF"/>
    <w:rsid w:val="3B7A5BEA"/>
    <w:rsid w:val="3B8F3437"/>
    <w:rsid w:val="3B9919F0"/>
    <w:rsid w:val="3B9B725A"/>
    <w:rsid w:val="3BB21909"/>
    <w:rsid w:val="3BB3471E"/>
    <w:rsid w:val="3BBE46E9"/>
    <w:rsid w:val="3BED376E"/>
    <w:rsid w:val="3BFE554C"/>
    <w:rsid w:val="3C0B7158"/>
    <w:rsid w:val="3C1412B9"/>
    <w:rsid w:val="3C18158D"/>
    <w:rsid w:val="3C1F1300"/>
    <w:rsid w:val="3C2148F9"/>
    <w:rsid w:val="3C2869FB"/>
    <w:rsid w:val="3C2F75A9"/>
    <w:rsid w:val="3C423FCB"/>
    <w:rsid w:val="3C5467BA"/>
    <w:rsid w:val="3C553E98"/>
    <w:rsid w:val="3C677E4D"/>
    <w:rsid w:val="3C691B6B"/>
    <w:rsid w:val="3C6A3884"/>
    <w:rsid w:val="3C70144A"/>
    <w:rsid w:val="3C8407D7"/>
    <w:rsid w:val="3C9A47F9"/>
    <w:rsid w:val="3CA314EE"/>
    <w:rsid w:val="3CB852F2"/>
    <w:rsid w:val="3CBB3CAE"/>
    <w:rsid w:val="3CD7442F"/>
    <w:rsid w:val="3CD91FD0"/>
    <w:rsid w:val="3CEC0BE0"/>
    <w:rsid w:val="3CED04E1"/>
    <w:rsid w:val="3CED2681"/>
    <w:rsid w:val="3CFB22CB"/>
    <w:rsid w:val="3D0000FC"/>
    <w:rsid w:val="3D0501E3"/>
    <w:rsid w:val="3D08761C"/>
    <w:rsid w:val="3D0B54B4"/>
    <w:rsid w:val="3D115CBD"/>
    <w:rsid w:val="3D1227E5"/>
    <w:rsid w:val="3D1726BF"/>
    <w:rsid w:val="3D1C3C48"/>
    <w:rsid w:val="3D22095C"/>
    <w:rsid w:val="3D28345A"/>
    <w:rsid w:val="3D2E007A"/>
    <w:rsid w:val="3D3E5B6F"/>
    <w:rsid w:val="3D423410"/>
    <w:rsid w:val="3D502BD6"/>
    <w:rsid w:val="3D505638"/>
    <w:rsid w:val="3D5300A7"/>
    <w:rsid w:val="3D594E68"/>
    <w:rsid w:val="3D5C6C68"/>
    <w:rsid w:val="3D714E8A"/>
    <w:rsid w:val="3D765F87"/>
    <w:rsid w:val="3D857ED1"/>
    <w:rsid w:val="3D93489B"/>
    <w:rsid w:val="3DA321AF"/>
    <w:rsid w:val="3DB10A7F"/>
    <w:rsid w:val="3DB114C5"/>
    <w:rsid w:val="3DB2388B"/>
    <w:rsid w:val="3DB55B08"/>
    <w:rsid w:val="3DBA5801"/>
    <w:rsid w:val="3DC65BE7"/>
    <w:rsid w:val="3DC9638F"/>
    <w:rsid w:val="3DD544EE"/>
    <w:rsid w:val="3DD72CFA"/>
    <w:rsid w:val="3DDD6A16"/>
    <w:rsid w:val="3DE24EC9"/>
    <w:rsid w:val="3DEE55B9"/>
    <w:rsid w:val="3DF60935"/>
    <w:rsid w:val="3E0B1F48"/>
    <w:rsid w:val="3E1005BE"/>
    <w:rsid w:val="3E244168"/>
    <w:rsid w:val="3E2A4674"/>
    <w:rsid w:val="3E4D18D6"/>
    <w:rsid w:val="3E4D2EF9"/>
    <w:rsid w:val="3E567528"/>
    <w:rsid w:val="3E5D25F5"/>
    <w:rsid w:val="3E614D8B"/>
    <w:rsid w:val="3E6C0C23"/>
    <w:rsid w:val="3E944DCB"/>
    <w:rsid w:val="3E947C74"/>
    <w:rsid w:val="3E9F0CD7"/>
    <w:rsid w:val="3EBC06FE"/>
    <w:rsid w:val="3EBD7D1C"/>
    <w:rsid w:val="3EC445C5"/>
    <w:rsid w:val="3EC6074A"/>
    <w:rsid w:val="3ECA1182"/>
    <w:rsid w:val="3ED54293"/>
    <w:rsid w:val="3ED665DF"/>
    <w:rsid w:val="3EDC3F32"/>
    <w:rsid w:val="3EFB3F1D"/>
    <w:rsid w:val="3F0014D7"/>
    <w:rsid w:val="3F134064"/>
    <w:rsid w:val="3F307AE9"/>
    <w:rsid w:val="3F500DC9"/>
    <w:rsid w:val="3F594EDD"/>
    <w:rsid w:val="3F8E4F3A"/>
    <w:rsid w:val="3FA328CB"/>
    <w:rsid w:val="3FA676AE"/>
    <w:rsid w:val="3FB939B6"/>
    <w:rsid w:val="3FBB694D"/>
    <w:rsid w:val="3FEA588C"/>
    <w:rsid w:val="3FF01F3A"/>
    <w:rsid w:val="3FFB13C9"/>
    <w:rsid w:val="3FFF0632"/>
    <w:rsid w:val="402127B6"/>
    <w:rsid w:val="403D40B0"/>
    <w:rsid w:val="40425F7B"/>
    <w:rsid w:val="404A0375"/>
    <w:rsid w:val="405214DD"/>
    <w:rsid w:val="405E777E"/>
    <w:rsid w:val="40614B08"/>
    <w:rsid w:val="40644767"/>
    <w:rsid w:val="406754CF"/>
    <w:rsid w:val="406B4ECC"/>
    <w:rsid w:val="40715A5C"/>
    <w:rsid w:val="407B6BEA"/>
    <w:rsid w:val="407B7744"/>
    <w:rsid w:val="408C6041"/>
    <w:rsid w:val="40977C03"/>
    <w:rsid w:val="409E1B2B"/>
    <w:rsid w:val="40AE77AE"/>
    <w:rsid w:val="40AF1409"/>
    <w:rsid w:val="40B46DBC"/>
    <w:rsid w:val="40C1771E"/>
    <w:rsid w:val="40CA3013"/>
    <w:rsid w:val="40E83259"/>
    <w:rsid w:val="410F5176"/>
    <w:rsid w:val="411A580D"/>
    <w:rsid w:val="411D39D5"/>
    <w:rsid w:val="413204AA"/>
    <w:rsid w:val="41367B60"/>
    <w:rsid w:val="4139147A"/>
    <w:rsid w:val="41444363"/>
    <w:rsid w:val="414A0E1E"/>
    <w:rsid w:val="414B1584"/>
    <w:rsid w:val="414F70D4"/>
    <w:rsid w:val="41530388"/>
    <w:rsid w:val="41555B4D"/>
    <w:rsid w:val="41590D6E"/>
    <w:rsid w:val="415F37D2"/>
    <w:rsid w:val="41650740"/>
    <w:rsid w:val="41687136"/>
    <w:rsid w:val="41815176"/>
    <w:rsid w:val="419905EE"/>
    <w:rsid w:val="419D1085"/>
    <w:rsid w:val="41A11CD8"/>
    <w:rsid w:val="41A24F7A"/>
    <w:rsid w:val="41A63644"/>
    <w:rsid w:val="41AF2E5A"/>
    <w:rsid w:val="41BA21E9"/>
    <w:rsid w:val="41BC3C88"/>
    <w:rsid w:val="41D85E18"/>
    <w:rsid w:val="41DC719A"/>
    <w:rsid w:val="41E01409"/>
    <w:rsid w:val="41E66FD1"/>
    <w:rsid w:val="41F1777C"/>
    <w:rsid w:val="41F317C6"/>
    <w:rsid w:val="41FE3F65"/>
    <w:rsid w:val="420D0AA0"/>
    <w:rsid w:val="421814B3"/>
    <w:rsid w:val="4218487C"/>
    <w:rsid w:val="42187D85"/>
    <w:rsid w:val="422D4BDB"/>
    <w:rsid w:val="42323C35"/>
    <w:rsid w:val="428371CA"/>
    <w:rsid w:val="428C0346"/>
    <w:rsid w:val="42A85D61"/>
    <w:rsid w:val="42B9439C"/>
    <w:rsid w:val="42CB2301"/>
    <w:rsid w:val="42CC708C"/>
    <w:rsid w:val="42D109AB"/>
    <w:rsid w:val="42E56B9C"/>
    <w:rsid w:val="42EC36E7"/>
    <w:rsid w:val="43196087"/>
    <w:rsid w:val="431F2109"/>
    <w:rsid w:val="43242FE2"/>
    <w:rsid w:val="4335294A"/>
    <w:rsid w:val="43523847"/>
    <w:rsid w:val="43632F12"/>
    <w:rsid w:val="436367E9"/>
    <w:rsid w:val="43771FE4"/>
    <w:rsid w:val="43790FED"/>
    <w:rsid w:val="437C3FBA"/>
    <w:rsid w:val="438233A8"/>
    <w:rsid w:val="43B97366"/>
    <w:rsid w:val="43C8086F"/>
    <w:rsid w:val="43C92424"/>
    <w:rsid w:val="43CA156A"/>
    <w:rsid w:val="43D24098"/>
    <w:rsid w:val="43D973AE"/>
    <w:rsid w:val="43E26626"/>
    <w:rsid w:val="43E4422D"/>
    <w:rsid w:val="43FE5DC0"/>
    <w:rsid w:val="44073CB0"/>
    <w:rsid w:val="44313406"/>
    <w:rsid w:val="44324B83"/>
    <w:rsid w:val="443351B3"/>
    <w:rsid w:val="443C04E5"/>
    <w:rsid w:val="44496B4E"/>
    <w:rsid w:val="444E43D4"/>
    <w:rsid w:val="444F0522"/>
    <w:rsid w:val="44604E0A"/>
    <w:rsid w:val="446145AC"/>
    <w:rsid w:val="446C285E"/>
    <w:rsid w:val="446F0254"/>
    <w:rsid w:val="44774C2D"/>
    <w:rsid w:val="44943487"/>
    <w:rsid w:val="44AA4484"/>
    <w:rsid w:val="44B4221A"/>
    <w:rsid w:val="44B95DFB"/>
    <w:rsid w:val="44BC21BB"/>
    <w:rsid w:val="44C81F67"/>
    <w:rsid w:val="44D202F8"/>
    <w:rsid w:val="44ED5A81"/>
    <w:rsid w:val="44F92D27"/>
    <w:rsid w:val="44FE6098"/>
    <w:rsid w:val="450B6ED1"/>
    <w:rsid w:val="450F1DEB"/>
    <w:rsid w:val="452B5903"/>
    <w:rsid w:val="452D2D7A"/>
    <w:rsid w:val="452D7411"/>
    <w:rsid w:val="45317076"/>
    <w:rsid w:val="45404288"/>
    <w:rsid w:val="45412BED"/>
    <w:rsid w:val="4549554A"/>
    <w:rsid w:val="45501FCB"/>
    <w:rsid w:val="45544D30"/>
    <w:rsid w:val="45706D26"/>
    <w:rsid w:val="4586028F"/>
    <w:rsid w:val="4588130D"/>
    <w:rsid w:val="458940A9"/>
    <w:rsid w:val="458B4583"/>
    <w:rsid w:val="458E6BBE"/>
    <w:rsid w:val="45963E01"/>
    <w:rsid w:val="459D0C77"/>
    <w:rsid w:val="459F329C"/>
    <w:rsid w:val="45A31BDA"/>
    <w:rsid w:val="45AB05B9"/>
    <w:rsid w:val="45AD4058"/>
    <w:rsid w:val="45B84BF1"/>
    <w:rsid w:val="45CF6F16"/>
    <w:rsid w:val="45EA2CB3"/>
    <w:rsid w:val="45FB6554"/>
    <w:rsid w:val="45FC0FA7"/>
    <w:rsid w:val="462828D1"/>
    <w:rsid w:val="462D205C"/>
    <w:rsid w:val="463E0C7D"/>
    <w:rsid w:val="46463C6F"/>
    <w:rsid w:val="46666627"/>
    <w:rsid w:val="468A7131"/>
    <w:rsid w:val="4691038A"/>
    <w:rsid w:val="46921267"/>
    <w:rsid w:val="469544D8"/>
    <w:rsid w:val="469559DB"/>
    <w:rsid w:val="46A56B05"/>
    <w:rsid w:val="46A62635"/>
    <w:rsid w:val="46B019C2"/>
    <w:rsid w:val="46B21D2D"/>
    <w:rsid w:val="46B61A7D"/>
    <w:rsid w:val="46BA09E6"/>
    <w:rsid w:val="46BC1B53"/>
    <w:rsid w:val="46C87FF5"/>
    <w:rsid w:val="46CD3D44"/>
    <w:rsid w:val="46CE1CE8"/>
    <w:rsid w:val="46F14FB3"/>
    <w:rsid w:val="46FD7572"/>
    <w:rsid w:val="470902D0"/>
    <w:rsid w:val="47107AB5"/>
    <w:rsid w:val="47202E96"/>
    <w:rsid w:val="47214390"/>
    <w:rsid w:val="47391418"/>
    <w:rsid w:val="473E085E"/>
    <w:rsid w:val="47475F21"/>
    <w:rsid w:val="474A6314"/>
    <w:rsid w:val="476C36B0"/>
    <w:rsid w:val="477476D0"/>
    <w:rsid w:val="47782206"/>
    <w:rsid w:val="479478DD"/>
    <w:rsid w:val="479F1AD4"/>
    <w:rsid w:val="47A95A58"/>
    <w:rsid w:val="47D41E69"/>
    <w:rsid w:val="47D62EEB"/>
    <w:rsid w:val="47DA4880"/>
    <w:rsid w:val="47E12061"/>
    <w:rsid w:val="47E75453"/>
    <w:rsid w:val="47F4047F"/>
    <w:rsid w:val="48010B21"/>
    <w:rsid w:val="48054C75"/>
    <w:rsid w:val="48284AC3"/>
    <w:rsid w:val="483B411A"/>
    <w:rsid w:val="48402316"/>
    <w:rsid w:val="4841321B"/>
    <w:rsid w:val="48486B00"/>
    <w:rsid w:val="48491F8D"/>
    <w:rsid w:val="487B34C7"/>
    <w:rsid w:val="48923136"/>
    <w:rsid w:val="4893242F"/>
    <w:rsid w:val="489D50C6"/>
    <w:rsid w:val="48AD6525"/>
    <w:rsid w:val="48AF5F0C"/>
    <w:rsid w:val="48BE7FAB"/>
    <w:rsid w:val="48CE657F"/>
    <w:rsid w:val="48E13D7F"/>
    <w:rsid w:val="48E32E23"/>
    <w:rsid w:val="48EE5BCB"/>
    <w:rsid w:val="48F5796F"/>
    <w:rsid w:val="49001596"/>
    <w:rsid w:val="490E5A67"/>
    <w:rsid w:val="49211A71"/>
    <w:rsid w:val="49283856"/>
    <w:rsid w:val="492C4189"/>
    <w:rsid w:val="49475F6C"/>
    <w:rsid w:val="494B65DC"/>
    <w:rsid w:val="4950443E"/>
    <w:rsid w:val="4955555E"/>
    <w:rsid w:val="4956187E"/>
    <w:rsid w:val="495C62F4"/>
    <w:rsid w:val="496143D5"/>
    <w:rsid w:val="496557F9"/>
    <w:rsid w:val="49970741"/>
    <w:rsid w:val="499A060F"/>
    <w:rsid w:val="49A0251D"/>
    <w:rsid w:val="49B21896"/>
    <w:rsid w:val="49B37802"/>
    <w:rsid w:val="49C6645E"/>
    <w:rsid w:val="49CA1577"/>
    <w:rsid w:val="49D273D5"/>
    <w:rsid w:val="49DB0CF2"/>
    <w:rsid w:val="49DD0FFA"/>
    <w:rsid w:val="49DE1842"/>
    <w:rsid w:val="49DF50EC"/>
    <w:rsid w:val="49F14A97"/>
    <w:rsid w:val="49F845AB"/>
    <w:rsid w:val="4A00781D"/>
    <w:rsid w:val="4A0C49BE"/>
    <w:rsid w:val="4A1D7ECF"/>
    <w:rsid w:val="4A1F56C5"/>
    <w:rsid w:val="4A391CFA"/>
    <w:rsid w:val="4A4C773B"/>
    <w:rsid w:val="4A5213A7"/>
    <w:rsid w:val="4A555101"/>
    <w:rsid w:val="4A576514"/>
    <w:rsid w:val="4A796420"/>
    <w:rsid w:val="4A7C125A"/>
    <w:rsid w:val="4A955EB0"/>
    <w:rsid w:val="4A9E67FA"/>
    <w:rsid w:val="4AA07508"/>
    <w:rsid w:val="4AA660A5"/>
    <w:rsid w:val="4AD4639B"/>
    <w:rsid w:val="4AED1757"/>
    <w:rsid w:val="4B0C095C"/>
    <w:rsid w:val="4B2B29C4"/>
    <w:rsid w:val="4B3314E1"/>
    <w:rsid w:val="4B365A74"/>
    <w:rsid w:val="4B455C07"/>
    <w:rsid w:val="4B54456E"/>
    <w:rsid w:val="4B5741B1"/>
    <w:rsid w:val="4B6A1845"/>
    <w:rsid w:val="4B8C58E0"/>
    <w:rsid w:val="4B92173F"/>
    <w:rsid w:val="4B970476"/>
    <w:rsid w:val="4B9902BC"/>
    <w:rsid w:val="4B992FB1"/>
    <w:rsid w:val="4BAA1E5E"/>
    <w:rsid w:val="4BAC7231"/>
    <w:rsid w:val="4BAD1C34"/>
    <w:rsid w:val="4BBB056F"/>
    <w:rsid w:val="4BBC65BE"/>
    <w:rsid w:val="4BCF6E74"/>
    <w:rsid w:val="4BD80550"/>
    <w:rsid w:val="4BEF6B37"/>
    <w:rsid w:val="4BF55B3F"/>
    <w:rsid w:val="4BFE13C9"/>
    <w:rsid w:val="4C1766F9"/>
    <w:rsid w:val="4C194750"/>
    <w:rsid w:val="4C685E6F"/>
    <w:rsid w:val="4C6A25BA"/>
    <w:rsid w:val="4C6D1940"/>
    <w:rsid w:val="4C6E2563"/>
    <w:rsid w:val="4C7502AA"/>
    <w:rsid w:val="4C972F12"/>
    <w:rsid w:val="4C974298"/>
    <w:rsid w:val="4C984F9B"/>
    <w:rsid w:val="4CB6393A"/>
    <w:rsid w:val="4CC05A20"/>
    <w:rsid w:val="4CC155CA"/>
    <w:rsid w:val="4CCB626F"/>
    <w:rsid w:val="4CE64ADB"/>
    <w:rsid w:val="4CE73ABD"/>
    <w:rsid w:val="4CE90285"/>
    <w:rsid w:val="4CF002C8"/>
    <w:rsid w:val="4CFC1EDC"/>
    <w:rsid w:val="4CFE326D"/>
    <w:rsid w:val="4D021D86"/>
    <w:rsid w:val="4D1A42BC"/>
    <w:rsid w:val="4D1D724A"/>
    <w:rsid w:val="4D2A3492"/>
    <w:rsid w:val="4D2A3925"/>
    <w:rsid w:val="4D2B4C2A"/>
    <w:rsid w:val="4D2D0592"/>
    <w:rsid w:val="4D390D85"/>
    <w:rsid w:val="4D4F2229"/>
    <w:rsid w:val="4D7030B3"/>
    <w:rsid w:val="4D7624D5"/>
    <w:rsid w:val="4D796F28"/>
    <w:rsid w:val="4D807091"/>
    <w:rsid w:val="4D8721C0"/>
    <w:rsid w:val="4D940089"/>
    <w:rsid w:val="4D9926DC"/>
    <w:rsid w:val="4DA024E2"/>
    <w:rsid w:val="4DBF6912"/>
    <w:rsid w:val="4DC22B3F"/>
    <w:rsid w:val="4DD22DD3"/>
    <w:rsid w:val="4DD9774A"/>
    <w:rsid w:val="4DEF5C6D"/>
    <w:rsid w:val="4DF33A40"/>
    <w:rsid w:val="4E276488"/>
    <w:rsid w:val="4E294732"/>
    <w:rsid w:val="4E374EB5"/>
    <w:rsid w:val="4E555EC8"/>
    <w:rsid w:val="4E5571E8"/>
    <w:rsid w:val="4E7735C7"/>
    <w:rsid w:val="4E834102"/>
    <w:rsid w:val="4E8508FD"/>
    <w:rsid w:val="4E8706F9"/>
    <w:rsid w:val="4E922CD7"/>
    <w:rsid w:val="4E9943DA"/>
    <w:rsid w:val="4E9B60C3"/>
    <w:rsid w:val="4EAB059E"/>
    <w:rsid w:val="4EB13E87"/>
    <w:rsid w:val="4EB50EAE"/>
    <w:rsid w:val="4EC12873"/>
    <w:rsid w:val="4ECB2498"/>
    <w:rsid w:val="4EDB63EB"/>
    <w:rsid w:val="4EF619F3"/>
    <w:rsid w:val="4EFC2205"/>
    <w:rsid w:val="4EFE3139"/>
    <w:rsid w:val="4F056FEA"/>
    <w:rsid w:val="4F0A6E10"/>
    <w:rsid w:val="4F103696"/>
    <w:rsid w:val="4F113523"/>
    <w:rsid w:val="4F3D19AB"/>
    <w:rsid w:val="4F544158"/>
    <w:rsid w:val="4F5819BC"/>
    <w:rsid w:val="4F6A1FEB"/>
    <w:rsid w:val="4F7B5E73"/>
    <w:rsid w:val="4F83209B"/>
    <w:rsid w:val="4F8A49C0"/>
    <w:rsid w:val="4F8C16E4"/>
    <w:rsid w:val="4F9E49FF"/>
    <w:rsid w:val="4FA14A00"/>
    <w:rsid w:val="4FA43223"/>
    <w:rsid w:val="4FA83A9E"/>
    <w:rsid w:val="4FAB2A57"/>
    <w:rsid w:val="4FB87457"/>
    <w:rsid w:val="4FCF40E9"/>
    <w:rsid w:val="4FD80F34"/>
    <w:rsid w:val="4FDC6DC0"/>
    <w:rsid w:val="4FE16A57"/>
    <w:rsid w:val="4FEC0603"/>
    <w:rsid w:val="4FEC376C"/>
    <w:rsid w:val="4FF02E34"/>
    <w:rsid w:val="4FF80D8C"/>
    <w:rsid w:val="4FFD1758"/>
    <w:rsid w:val="500274E1"/>
    <w:rsid w:val="50230348"/>
    <w:rsid w:val="5032097A"/>
    <w:rsid w:val="503853B0"/>
    <w:rsid w:val="505A3908"/>
    <w:rsid w:val="505F67AA"/>
    <w:rsid w:val="5063083A"/>
    <w:rsid w:val="506656F6"/>
    <w:rsid w:val="50696A8D"/>
    <w:rsid w:val="507D29BF"/>
    <w:rsid w:val="50876DF0"/>
    <w:rsid w:val="508D55FB"/>
    <w:rsid w:val="50935EC0"/>
    <w:rsid w:val="509D7460"/>
    <w:rsid w:val="50C61D24"/>
    <w:rsid w:val="50CF5A30"/>
    <w:rsid w:val="50D36BD8"/>
    <w:rsid w:val="50D778CB"/>
    <w:rsid w:val="50F23CDB"/>
    <w:rsid w:val="50FD7B9D"/>
    <w:rsid w:val="51147713"/>
    <w:rsid w:val="5115072F"/>
    <w:rsid w:val="512247A5"/>
    <w:rsid w:val="512C15CA"/>
    <w:rsid w:val="5140185C"/>
    <w:rsid w:val="51464EC7"/>
    <w:rsid w:val="514E1F83"/>
    <w:rsid w:val="51736111"/>
    <w:rsid w:val="51A12D59"/>
    <w:rsid w:val="51BB7DD9"/>
    <w:rsid w:val="51BC21F5"/>
    <w:rsid w:val="51C17CAB"/>
    <w:rsid w:val="51C419ED"/>
    <w:rsid w:val="51C4439E"/>
    <w:rsid w:val="51C870B1"/>
    <w:rsid w:val="51D51818"/>
    <w:rsid w:val="521C3C2C"/>
    <w:rsid w:val="522F36E3"/>
    <w:rsid w:val="523012E5"/>
    <w:rsid w:val="52356EBA"/>
    <w:rsid w:val="52380A63"/>
    <w:rsid w:val="52394A6C"/>
    <w:rsid w:val="523A1FC0"/>
    <w:rsid w:val="523A2157"/>
    <w:rsid w:val="52430699"/>
    <w:rsid w:val="5244529D"/>
    <w:rsid w:val="5249574F"/>
    <w:rsid w:val="52513557"/>
    <w:rsid w:val="525C27E1"/>
    <w:rsid w:val="52685B19"/>
    <w:rsid w:val="52766A34"/>
    <w:rsid w:val="527C4646"/>
    <w:rsid w:val="528A287A"/>
    <w:rsid w:val="528F43A2"/>
    <w:rsid w:val="52970E35"/>
    <w:rsid w:val="52A61FC8"/>
    <w:rsid w:val="52AD7835"/>
    <w:rsid w:val="52AE755F"/>
    <w:rsid w:val="52B77E11"/>
    <w:rsid w:val="52CB15EE"/>
    <w:rsid w:val="52CB48BF"/>
    <w:rsid w:val="52D62669"/>
    <w:rsid w:val="52F9273F"/>
    <w:rsid w:val="53260FFB"/>
    <w:rsid w:val="532F4FD9"/>
    <w:rsid w:val="53301E78"/>
    <w:rsid w:val="53334E48"/>
    <w:rsid w:val="53361649"/>
    <w:rsid w:val="5338049C"/>
    <w:rsid w:val="536540D2"/>
    <w:rsid w:val="537761C7"/>
    <w:rsid w:val="537A59B7"/>
    <w:rsid w:val="537D5985"/>
    <w:rsid w:val="53840BB2"/>
    <w:rsid w:val="538665C9"/>
    <w:rsid w:val="53875AFA"/>
    <w:rsid w:val="539B6228"/>
    <w:rsid w:val="53A060D9"/>
    <w:rsid w:val="53B04218"/>
    <w:rsid w:val="53D92B25"/>
    <w:rsid w:val="53F3465C"/>
    <w:rsid w:val="53F51822"/>
    <w:rsid w:val="54046C49"/>
    <w:rsid w:val="540A7CC2"/>
    <w:rsid w:val="54151EE0"/>
    <w:rsid w:val="54303794"/>
    <w:rsid w:val="544A50CD"/>
    <w:rsid w:val="546B520C"/>
    <w:rsid w:val="548269D5"/>
    <w:rsid w:val="549636BE"/>
    <w:rsid w:val="54985F41"/>
    <w:rsid w:val="54A834E6"/>
    <w:rsid w:val="54B00753"/>
    <w:rsid w:val="54B0091F"/>
    <w:rsid w:val="54B65A12"/>
    <w:rsid w:val="54C529A7"/>
    <w:rsid w:val="54C65448"/>
    <w:rsid w:val="54CB4FB3"/>
    <w:rsid w:val="54DD291A"/>
    <w:rsid w:val="54DE7CE3"/>
    <w:rsid w:val="54E219D3"/>
    <w:rsid w:val="54E40EFA"/>
    <w:rsid w:val="54EB1AAA"/>
    <w:rsid w:val="54F95527"/>
    <w:rsid w:val="55223299"/>
    <w:rsid w:val="552E396D"/>
    <w:rsid w:val="553B473A"/>
    <w:rsid w:val="553E73A4"/>
    <w:rsid w:val="55434EEF"/>
    <w:rsid w:val="555576B0"/>
    <w:rsid w:val="557A34DA"/>
    <w:rsid w:val="557C029A"/>
    <w:rsid w:val="558605CA"/>
    <w:rsid w:val="559353B9"/>
    <w:rsid w:val="559C6C03"/>
    <w:rsid w:val="55A30723"/>
    <w:rsid w:val="55B9162F"/>
    <w:rsid w:val="55C05D2B"/>
    <w:rsid w:val="55C30059"/>
    <w:rsid w:val="55C416EC"/>
    <w:rsid w:val="55C914F8"/>
    <w:rsid w:val="55CC0C1E"/>
    <w:rsid w:val="55DE56F6"/>
    <w:rsid w:val="55F75559"/>
    <w:rsid w:val="55FF023A"/>
    <w:rsid w:val="56070CD3"/>
    <w:rsid w:val="56165A49"/>
    <w:rsid w:val="56195BA6"/>
    <w:rsid w:val="561E3959"/>
    <w:rsid w:val="562A5C7C"/>
    <w:rsid w:val="563F3C68"/>
    <w:rsid w:val="56462A90"/>
    <w:rsid w:val="564B224F"/>
    <w:rsid w:val="564C1C40"/>
    <w:rsid w:val="564E3E39"/>
    <w:rsid w:val="565B5171"/>
    <w:rsid w:val="566717CE"/>
    <w:rsid w:val="56701BA7"/>
    <w:rsid w:val="567710EF"/>
    <w:rsid w:val="56972785"/>
    <w:rsid w:val="56B27352"/>
    <w:rsid w:val="56C2027C"/>
    <w:rsid w:val="56C34BB0"/>
    <w:rsid w:val="56D71B8E"/>
    <w:rsid w:val="56E87BD7"/>
    <w:rsid w:val="56F607F6"/>
    <w:rsid w:val="57093709"/>
    <w:rsid w:val="57110D66"/>
    <w:rsid w:val="57286583"/>
    <w:rsid w:val="57290D8D"/>
    <w:rsid w:val="572C3C6A"/>
    <w:rsid w:val="57335ECF"/>
    <w:rsid w:val="57397819"/>
    <w:rsid w:val="5742436F"/>
    <w:rsid w:val="57462870"/>
    <w:rsid w:val="575A398F"/>
    <w:rsid w:val="57676E7C"/>
    <w:rsid w:val="57806160"/>
    <w:rsid w:val="57836FA1"/>
    <w:rsid w:val="57852A6F"/>
    <w:rsid w:val="578B43CF"/>
    <w:rsid w:val="57974D29"/>
    <w:rsid w:val="579802FB"/>
    <w:rsid w:val="57A10251"/>
    <w:rsid w:val="57AB36AA"/>
    <w:rsid w:val="57AC4455"/>
    <w:rsid w:val="57B31237"/>
    <w:rsid w:val="57CC23D2"/>
    <w:rsid w:val="57D0536C"/>
    <w:rsid w:val="57D2240D"/>
    <w:rsid w:val="57D35153"/>
    <w:rsid w:val="57E14717"/>
    <w:rsid w:val="57E97DCB"/>
    <w:rsid w:val="57E97F07"/>
    <w:rsid w:val="57F16097"/>
    <w:rsid w:val="58075585"/>
    <w:rsid w:val="5816496D"/>
    <w:rsid w:val="58175F35"/>
    <w:rsid w:val="581E2CCE"/>
    <w:rsid w:val="5822342C"/>
    <w:rsid w:val="58246348"/>
    <w:rsid w:val="58284576"/>
    <w:rsid w:val="582A3C6A"/>
    <w:rsid w:val="582D70FF"/>
    <w:rsid w:val="58457CB7"/>
    <w:rsid w:val="585C67EF"/>
    <w:rsid w:val="586E0241"/>
    <w:rsid w:val="587B146F"/>
    <w:rsid w:val="587C30FD"/>
    <w:rsid w:val="58951D01"/>
    <w:rsid w:val="58A32B08"/>
    <w:rsid w:val="58A35376"/>
    <w:rsid w:val="58B53004"/>
    <w:rsid w:val="58BB46CE"/>
    <w:rsid w:val="58C97C22"/>
    <w:rsid w:val="58D02A3A"/>
    <w:rsid w:val="58D03B70"/>
    <w:rsid w:val="58D14966"/>
    <w:rsid w:val="58EB2097"/>
    <w:rsid w:val="58EB4346"/>
    <w:rsid w:val="58F951F1"/>
    <w:rsid w:val="58FC6474"/>
    <w:rsid w:val="590647AD"/>
    <w:rsid w:val="59066928"/>
    <w:rsid w:val="59104003"/>
    <w:rsid w:val="5916719A"/>
    <w:rsid w:val="592D2B22"/>
    <w:rsid w:val="59301FE2"/>
    <w:rsid w:val="593A758F"/>
    <w:rsid w:val="5945572C"/>
    <w:rsid w:val="595F506F"/>
    <w:rsid w:val="5964738D"/>
    <w:rsid w:val="596E5881"/>
    <w:rsid w:val="59805030"/>
    <w:rsid w:val="59843637"/>
    <w:rsid w:val="599071DA"/>
    <w:rsid w:val="59913D67"/>
    <w:rsid w:val="599525BB"/>
    <w:rsid w:val="59961C3F"/>
    <w:rsid w:val="59A33504"/>
    <w:rsid w:val="59B80799"/>
    <w:rsid w:val="59BB4CAF"/>
    <w:rsid w:val="59C217B3"/>
    <w:rsid w:val="59CD47F7"/>
    <w:rsid w:val="59D04D2D"/>
    <w:rsid w:val="59D27682"/>
    <w:rsid w:val="59E129C6"/>
    <w:rsid w:val="59ED5E18"/>
    <w:rsid w:val="59FC0431"/>
    <w:rsid w:val="5A062F2B"/>
    <w:rsid w:val="5A1D0965"/>
    <w:rsid w:val="5A4052F7"/>
    <w:rsid w:val="5A4B3D64"/>
    <w:rsid w:val="5A5A07C9"/>
    <w:rsid w:val="5A5E20D7"/>
    <w:rsid w:val="5A6E45F6"/>
    <w:rsid w:val="5A7203C3"/>
    <w:rsid w:val="5A7A6EF8"/>
    <w:rsid w:val="5A9A59E9"/>
    <w:rsid w:val="5AAA410D"/>
    <w:rsid w:val="5AAD69AD"/>
    <w:rsid w:val="5AAE4BCA"/>
    <w:rsid w:val="5AB441F4"/>
    <w:rsid w:val="5AB97AE1"/>
    <w:rsid w:val="5AC21871"/>
    <w:rsid w:val="5AC3781F"/>
    <w:rsid w:val="5AC92AD6"/>
    <w:rsid w:val="5ADC5155"/>
    <w:rsid w:val="5ADD23DD"/>
    <w:rsid w:val="5AE90992"/>
    <w:rsid w:val="5AEE36BF"/>
    <w:rsid w:val="5AF82BC2"/>
    <w:rsid w:val="5B141E25"/>
    <w:rsid w:val="5B1874A9"/>
    <w:rsid w:val="5B286418"/>
    <w:rsid w:val="5B301046"/>
    <w:rsid w:val="5B4412B6"/>
    <w:rsid w:val="5B4B35D6"/>
    <w:rsid w:val="5B584657"/>
    <w:rsid w:val="5B595267"/>
    <w:rsid w:val="5B645853"/>
    <w:rsid w:val="5B8B467E"/>
    <w:rsid w:val="5B8D0D99"/>
    <w:rsid w:val="5BA362DD"/>
    <w:rsid w:val="5BBA658A"/>
    <w:rsid w:val="5BBF5A9A"/>
    <w:rsid w:val="5BE26477"/>
    <w:rsid w:val="5BF4199C"/>
    <w:rsid w:val="5C1061AD"/>
    <w:rsid w:val="5C2240B4"/>
    <w:rsid w:val="5C25031B"/>
    <w:rsid w:val="5C2675C8"/>
    <w:rsid w:val="5C27204C"/>
    <w:rsid w:val="5C2851BD"/>
    <w:rsid w:val="5C384923"/>
    <w:rsid w:val="5C3D2CC3"/>
    <w:rsid w:val="5C45126F"/>
    <w:rsid w:val="5C455CC2"/>
    <w:rsid w:val="5C4579A9"/>
    <w:rsid w:val="5C4E5508"/>
    <w:rsid w:val="5C5C0E42"/>
    <w:rsid w:val="5C6435E4"/>
    <w:rsid w:val="5C69599F"/>
    <w:rsid w:val="5C7215BA"/>
    <w:rsid w:val="5C735B72"/>
    <w:rsid w:val="5C8149BB"/>
    <w:rsid w:val="5C873578"/>
    <w:rsid w:val="5C9143D2"/>
    <w:rsid w:val="5C955AE5"/>
    <w:rsid w:val="5CA617F1"/>
    <w:rsid w:val="5CA92BC8"/>
    <w:rsid w:val="5CAF0B46"/>
    <w:rsid w:val="5CB16437"/>
    <w:rsid w:val="5CC7785D"/>
    <w:rsid w:val="5CCB4A8E"/>
    <w:rsid w:val="5CCC7C6A"/>
    <w:rsid w:val="5CCE02C6"/>
    <w:rsid w:val="5CE52872"/>
    <w:rsid w:val="5D0479CB"/>
    <w:rsid w:val="5D092423"/>
    <w:rsid w:val="5D1129F8"/>
    <w:rsid w:val="5D4A7CA4"/>
    <w:rsid w:val="5D4F174E"/>
    <w:rsid w:val="5D4F313F"/>
    <w:rsid w:val="5D554BB4"/>
    <w:rsid w:val="5D6D7DD8"/>
    <w:rsid w:val="5D732FF2"/>
    <w:rsid w:val="5D742392"/>
    <w:rsid w:val="5D986C1B"/>
    <w:rsid w:val="5D9B5470"/>
    <w:rsid w:val="5D9F027D"/>
    <w:rsid w:val="5DA654D2"/>
    <w:rsid w:val="5DB20D9C"/>
    <w:rsid w:val="5DD41D21"/>
    <w:rsid w:val="5DD609C8"/>
    <w:rsid w:val="5DDE1552"/>
    <w:rsid w:val="5DEE0E3B"/>
    <w:rsid w:val="5DF23751"/>
    <w:rsid w:val="5DF464B6"/>
    <w:rsid w:val="5DFF5E20"/>
    <w:rsid w:val="5E0F155D"/>
    <w:rsid w:val="5E103256"/>
    <w:rsid w:val="5E1B7BD2"/>
    <w:rsid w:val="5E1E23BF"/>
    <w:rsid w:val="5E2E359A"/>
    <w:rsid w:val="5E3358C1"/>
    <w:rsid w:val="5E36348A"/>
    <w:rsid w:val="5E461066"/>
    <w:rsid w:val="5E4A3031"/>
    <w:rsid w:val="5E562534"/>
    <w:rsid w:val="5E5948C5"/>
    <w:rsid w:val="5E6B70A2"/>
    <w:rsid w:val="5E6C4086"/>
    <w:rsid w:val="5E733F40"/>
    <w:rsid w:val="5E740A3F"/>
    <w:rsid w:val="5E791835"/>
    <w:rsid w:val="5E7978E3"/>
    <w:rsid w:val="5EA6431A"/>
    <w:rsid w:val="5EAC6809"/>
    <w:rsid w:val="5EAD0764"/>
    <w:rsid w:val="5EAD5507"/>
    <w:rsid w:val="5EBC4CA9"/>
    <w:rsid w:val="5EC07CD9"/>
    <w:rsid w:val="5EC72464"/>
    <w:rsid w:val="5ECB1C1F"/>
    <w:rsid w:val="5EE17487"/>
    <w:rsid w:val="5EE353BB"/>
    <w:rsid w:val="5EE74E18"/>
    <w:rsid w:val="5EF96CAD"/>
    <w:rsid w:val="5EFF39EF"/>
    <w:rsid w:val="5F0A42E5"/>
    <w:rsid w:val="5F2C2D42"/>
    <w:rsid w:val="5F3A7B1B"/>
    <w:rsid w:val="5F4054B5"/>
    <w:rsid w:val="5F52696C"/>
    <w:rsid w:val="5F536D80"/>
    <w:rsid w:val="5F584447"/>
    <w:rsid w:val="5F602740"/>
    <w:rsid w:val="5F691C67"/>
    <w:rsid w:val="5F79713B"/>
    <w:rsid w:val="5F87482D"/>
    <w:rsid w:val="5F883691"/>
    <w:rsid w:val="5F8A511F"/>
    <w:rsid w:val="5F8E7B0F"/>
    <w:rsid w:val="5FA7479E"/>
    <w:rsid w:val="5FAC498C"/>
    <w:rsid w:val="5FBD6323"/>
    <w:rsid w:val="5FC102A5"/>
    <w:rsid w:val="5FCF70B9"/>
    <w:rsid w:val="5FF95AFE"/>
    <w:rsid w:val="60017D91"/>
    <w:rsid w:val="600862CC"/>
    <w:rsid w:val="60172B5E"/>
    <w:rsid w:val="60191EB4"/>
    <w:rsid w:val="601C4C45"/>
    <w:rsid w:val="60243717"/>
    <w:rsid w:val="60387C30"/>
    <w:rsid w:val="603D29E0"/>
    <w:rsid w:val="60561F01"/>
    <w:rsid w:val="605B435E"/>
    <w:rsid w:val="606B652D"/>
    <w:rsid w:val="60842F69"/>
    <w:rsid w:val="608C29D6"/>
    <w:rsid w:val="608F681C"/>
    <w:rsid w:val="60A73DA2"/>
    <w:rsid w:val="60B22405"/>
    <w:rsid w:val="60B87D6F"/>
    <w:rsid w:val="60B87F19"/>
    <w:rsid w:val="60BC2752"/>
    <w:rsid w:val="60BC328F"/>
    <w:rsid w:val="60D46EB1"/>
    <w:rsid w:val="60D8486C"/>
    <w:rsid w:val="60E071C2"/>
    <w:rsid w:val="60F12B44"/>
    <w:rsid w:val="60FA5D0A"/>
    <w:rsid w:val="611D2391"/>
    <w:rsid w:val="611F6B1B"/>
    <w:rsid w:val="6123428B"/>
    <w:rsid w:val="612F1165"/>
    <w:rsid w:val="61301728"/>
    <w:rsid w:val="61353868"/>
    <w:rsid w:val="6137458B"/>
    <w:rsid w:val="613E0559"/>
    <w:rsid w:val="614B711E"/>
    <w:rsid w:val="61852130"/>
    <w:rsid w:val="61877300"/>
    <w:rsid w:val="618A0059"/>
    <w:rsid w:val="619250C8"/>
    <w:rsid w:val="61943886"/>
    <w:rsid w:val="61B54C80"/>
    <w:rsid w:val="61DC2B1A"/>
    <w:rsid w:val="61F56F02"/>
    <w:rsid w:val="61F97775"/>
    <w:rsid w:val="62001D30"/>
    <w:rsid w:val="62022014"/>
    <w:rsid w:val="62116C55"/>
    <w:rsid w:val="62177F86"/>
    <w:rsid w:val="621A7059"/>
    <w:rsid w:val="62307541"/>
    <w:rsid w:val="623F0400"/>
    <w:rsid w:val="624238CD"/>
    <w:rsid w:val="624428DA"/>
    <w:rsid w:val="624B60B8"/>
    <w:rsid w:val="62505B9D"/>
    <w:rsid w:val="625C68D5"/>
    <w:rsid w:val="626E5245"/>
    <w:rsid w:val="62725E08"/>
    <w:rsid w:val="627D702E"/>
    <w:rsid w:val="62C35015"/>
    <w:rsid w:val="63196670"/>
    <w:rsid w:val="632131B2"/>
    <w:rsid w:val="633816AF"/>
    <w:rsid w:val="6339625B"/>
    <w:rsid w:val="633F3C50"/>
    <w:rsid w:val="63507466"/>
    <w:rsid w:val="6358588A"/>
    <w:rsid w:val="63683E7B"/>
    <w:rsid w:val="63984B32"/>
    <w:rsid w:val="63A42106"/>
    <w:rsid w:val="63A7198B"/>
    <w:rsid w:val="63AA73F6"/>
    <w:rsid w:val="63C109A9"/>
    <w:rsid w:val="63DB6459"/>
    <w:rsid w:val="63E5541C"/>
    <w:rsid w:val="63EB6031"/>
    <w:rsid w:val="63EE5463"/>
    <w:rsid w:val="63F27A1F"/>
    <w:rsid w:val="64011585"/>
    <w:rsid w:val="64076927"/>
    <w:rsid w:val="640B2A20"/>
    <w:rsid w:val="641F1048"/>
    <w:rsid w:val="6428216C"/>
    <w:rsid w:val="643510D3"/>
    <w:rsid w:val="643A39B8"/>
    <w:rsid w:val="644061EA"/>
    <w:rsid w:val="64417A4C"/>
    <w:rsid w:val="64430863"/>
    <w:rsid w:val="64450AAB"/>
    <w:rsid w:val="644C3509"/>
    <w:rsid w:val="644C4E9D"/>
    <w:rsid w:val="645E58F5"/>
    <w:rsid w:val="64873D1E"/>
    <w:rsid w:val="648E7F01"/>
    <w:rsid w:val="648F3C88"/>
    <w:rsid w:val="64902D58"/>
    <w:rsid w:val="64957EB7"/>
    <w:rsid w:val="649E0DB5"/>
    <w:rsid w:val="64B05B76"/>
    <w:rsid w:val="64B378C5"/>
    <w:rsid w:val="64BC5523"/>
    <w:rsid w:val="64DA0335"/>
    <w:rsid w:val="64DE7494"/>
    <w:rsid w:val="64DF0391"/>
    <w:rsid w:val="64F100CE"/>
    <w:rsid w:val="64F50CDE"/>
    <w:rsid w:val="64F85D90"/>
    <w:rsid w:val="64FD13BA"/>
    <w:rsid w:val="65024685"/>
    <w:rsid w:val="65151D42"/>
    <w:rsid w:val="65331D06"/>
    <w:rsid w:val="6536289C"/>
    <w:rsid w:val="653A653F"/>
    <w:rsid w:val="653F431F"/>
    <w:rsid w:val="65446B06"/>
    <w:rsid w:val="654C7EC9"/>
    <w:rsid w:val="65551F43"/>
    <w:rsid w:val="65613F94"/>
    <w:rsid w:val="65644F35"/>
    <w:rsid w:val="656A091F"/>
    <w:rsid w:val="65950EF0"/>
    <w:rsid w:val="65984B27"/>
    <w:rsid w:val="65A617BA"/>
    <w:rsid w:val="65A62B50"/>
    <w:rsid w:val="65A714B9"/>
    <w:rsid w:val="65AE01AE"/>
    <w:rsid w:val="65AF4475"/>
    <w:rsid w:val="65B80A7E"/>
    <w:rsid w:val="65D20A87"/>
    <w:rsid w:val="65E838A7"/>
    <w:rsid w:val="65EB22CA"/>
    <w:rsid w:val="65F230D3"/>
    <w:rsid w:val="65F476CE"/>
    <w:rsid w:val="65F735FF"/>
    <w:rsid w:val="65FA423E"/>
    <w:rsid w:val="660C3CBE"/>
    <w:rsid w:val="660C4D62"/>
    <w:rsid w:val="660E0090"/>
    <w:rsid w:val="661552CA"/>
    <w:rsid w:val="661C7073"/>
    <w:rsid w:val="661D5E55"/>
    <w:rsid w:val="66281D90"/>
    <w:rsid w:val="662D25D2"/>
    <w:rsid w:val="663B46C9"/>
    <w:rsid w:val="663F30CF"/>
    <w:rsid w:val="66597302"/>
    <w:rsid w:val="665B6338"/>
    <w:rsid w:val="66632EDD"/>
    <w:rsid w:val="6673380F"/>
    <w:rsid w:val="667C1D27"/>
    <w:rsid w:val="668551E4"/>
    <w:rsid w:val="668F3432"/>
    <w:rsid w:val="66974447"/>
    <w:rsid w:val="66A718E3"/>
    <w:rsid w:val="66B25229"/>
    <w:rsid w:val="66BE4BCA"/>
    <w:rsid w:val="66C80464"/>
    <w:rsid w:val="66E87BED"/>
    <w:rsid w:val="67034111"/>
    <w:rsid w:val="67124A12"/>
    <w:rsid w:val="67181975"/>
    <w:rsid w:val="671E3574"/>
    <w:rsid w:val="67233438"/>
    <w:rsid w:val="672F7B27"/>
    <w:rsid w:val="674163ED"/>
    <w:rsid w:val="675212BC"/>
    <w:rsid w:val="67585AA8"/>
    <w:rsid w:val="675C0B63"/>
    <w:rsid w:val="675E383C"/>
    <w:rsid w:val="675F4E6C"/>
    <w:rsid w:val="677024DF"/>
    <w:rsid w:val="677069C5"/>
    <w:rsid w:val="678410BA"/>
    <w:rsid w:val="67917422"/>
    <w:rsid w:val="67A02C8D"/>
    <w:rsid w:val="67A05A54"/>
    <w:rsid w:val="67A861F3"/>
    <w:rsid w:val="67B33A49"/>
    <w:rsid w:val="67B854A9"/>
    <w:rsid w:val="67BD17A4"/>
    <w:rsid w:val="67C55C9C"/>
    <w:rsid w:val="67EE2F16"/>
    <w:rsid w:val="67F06CAB"/>
    <w:rsid w:val="6817217C"/>
    <w:rsid w:val="682857D4"/>
    <w:rsid w:val="683D362A"/>
    <w:rsid w:val="683F7481"/>
    <w:rsid w:val="68456CBA"/>
    <w:rsid w:val="686F1352"/>
    <w:rsid w:val="68710A65"/>
    <w:rsid w:val="68A00E39"/>
    <w:rsid w:val="68C04951"/>
    <w:rsid w:val="68C65329"/>
    <w:rsid w:val="68C659DD"/>
    <w:rsid w:val="68F63006"/>
    <w:rsid w:val="6904398B"/>
    <w:rsid w:val="69050C23"/>
    <w:rsid w:val="69207C7A"/>
    <w:rsid w:val="69274E84"/>
    <w:rsid w:val="692B5D44"/>
    <w:rsid w:val="694C73DA"/>
    <w:rsid w:val="694E24AF"/>
    <w:rsid w:val="69702DC3"/>
    <w:rsid w:val="69796AD5"/>
    <w:rsid w:val="6988285F"/>
    <w:rsid w:val="699B4E9B"/>
    <w:rsid w:val="69BA3E68"/>
    <w:rsid w:val="69BD5344"/>
    <w:rsid w:val="69C06CEF"/>
    <w:rsid w:val="69CB1FC1"/>
    <w:rsid w:val="69D45F6B"/>
    <w:rsid w:val="69DA3487"/>
    <w:rsid w:val="69DF2F2D"/>
    <w:rsid w:val="69E503A3"/>
    <w:rsid w:val="69E515BE"/>
    <w:rsid w:val="69E95B2B"/>
    <w:rsid w:val="69ED5047"/>
    <w:rsid w:val="69FB3AA4"/>
    <w:rsid w:val="6A0341D2"/>
    <w:rsid w:val="6A241893"/>
    <w:rsid w:val="6A2E06D9"/>
    <w:rsid w:val="6A497973"/>
    <w:rsid w:val="6A51242E"/>
    <w:rsid w:val="6A520F40"/>
    <w:rsid w:val="6A582A89"/>
    <w:rsid w:val="6A71677E"/>
    <w:rsid w:val="6A7924BF"/>
    <w:rsid w:val="6AB5205B"/>
    <w:rsid w:val="6AC015A9"/>
    <w:rsid w:val="6AD45EC0"/>
    <w:rsid w:val="6AEE731B"/>
    <w:rsid w:val="6AF629C5"/>
    <w:rsid w:val="6AF83E34"/>
    <w:rsid w:val="6AFB533E"/>
    <w:rsid w:val="6B0F78C6"/>
    <w:rsid w:val="6B155846"/>
    <w:rsid w:val="6B1E1FB7"/>
    <w:rsid w:val="6B1F68AF"/>
    <w:rsid w:val="6B3144BA"/>
    <w:rsid w:val="6B3377C5"/>
    <w:rsid w:val="6B4F1D0C"/>
    <w:rsid w:val="6B5B657E"/>
    <w:rsid w:val="6B601B75"/>
    <w:rsid w:val="6B6E4569"/>
    <w:rsid w:val="6B822971"/>
    <w:rsid w:val="6B913117"/>
    <w:rsid w:val="6B9A5E05"/>
    <w:rsid w:val="6BA17ADC"/>
    <w:rsid w:val="6BB5512E"/>
    <w:rsid w:val="6BC70A93"/>
    <w:rsid w:val="6BD47F5C"/>
    <w:rsid w:val="6BD75F48"/>
    <w:rsid w:val="6BE04499"/>
    <w:rsid w:val="6BEF0A36"/>
    <w:rsid w:val="6BF560E9"/>
    <w:rsid w:val="6BF8685F"/>
    <w:rsid w:val="6BFA5729"/>
    <w:rsid w:val="6C15713F"/>
    <w:rsid w:val="6C1F5F4A"/>
    <w:rsid w:val="6C267FE0"/>
    <w:rsid w:val="6C2E0825"/>
    <w:rsid w:val="6C4913AF"/>
    <w:rsid w:val="6C4E294A"/>
    <w:rsid w:val="6C5C4853"/>
    <w:rsid w:val="6C5F4375"/>
    <w:rsid w:val="6C653FB4"/>
    <w:rsid w:val="6C6D2921"/>
    <w:rsid w:val="6C881922"/>
    <w:rsid w:val="6C881F88"/>
    <w:rsid w:val="6C9112F1"/>
    <w:rsid w:val="6C987200"/>
    <w:rsid w:val="6C9C55A7"/>
    <w:rsid w:val="6CAC0991"/>
    <w:rsid w:val="6CAC50C0"/>
    <w:rsid w:val="6CB10B62"/>
    <w:rsid w:val="6CC74491"/>
    <w:rsid w:val="6CCB73C7"/>
    <w:rsid w:val="6CD6037B"/>
    <w:rsid w:val="6CF068C5"/>
    <w:rsid w:val="6CF65C80"/>
    <w:rsid w:val="6D0C2FB1"/>
    <w:rsid w:val="6D0C6BF5"/>
    <w:rsid w:val="6D104872"/>
    <w:rsid w:val="6D193D0C"/>
    <w:rsid w:val="6D1C7E21"/>
    <w:rsid w:val="6D3113B3"/>
    <w:rsid w:val="6D3D1CF8"/>
    <w:rsid w:val="6D4547D0"/>
    <w:rsid w:val="6D483D52"/>
    <w:rsid w:val="6D504DAC"/>
    <w:rsid w:val="6D511F8D"/>
    <w:rsid w:val="6D5A423F"/>
    <w:rsid w:val="6D68383A"/>
    <w:rsid w:val="6D77008D"/>
    <w:rsid w:val="6D7A2AAC"/>
    <w:rsid w:val="6D806BB4"/>
    <w:rsid w:val="6D887D82"/>
    <w:rsid w:val="6DB02A97"/>
    <w:rsid w:val="6DB27983"/>
    <w:rsid w:val="6DBB1E16"/>
    <w:rsid w:val="6DC76865"/>
    <w:rsid w:val="6DD16EDF"/>
    <w:rsid w:val="6DD35299"/>
    <w:rsid w:val="6DD64909"/>
    <w:rsid w:val="6DEC5471"/>
    <w:rsid w:val="6DED6D6A"/>
    <w:rsid w:val="6DFF0617"/>
    <w:rsid w:val="6E00174B"/>
    <w:rsid w:val="6E017513"/>
    <w:rsid w:val="6E0A7995"/>
    <w:rsid w:val="6E1B3C17"/>
    <w:rsid w:val="6E1D2124"/>
    <w:rsid w:val="6E2B7463"/>
    <w:rsid w:val="6E311BDC"/>
    <w:rsid w:val="6E3269D7"/>
    <w:rsid w:val="6E393DE4"/>
    <w:rsid w:val="6E49106B"/>
    <w:rsid w:val="6E51604A"/>
    <w:rsid w:val="6E5C5B23"/>
    <w:rsid w:val="6E626800"/>
    <w:rsid w:val="6E7D2073"/>
    <w:rsid w:val="6E8A6A92"/>
    <w:rsid w:val="6E8B6695"/>
    <w:rsid w:val="6E961315"/>
    <w:rsid w:val="6EA02691"/>
    <w:rsid w:val="6EA166D4"/>
    <w:rsid w:val="6EA87C9B"/>
    <w:rsid w:val="6EB335A5"/>
    <w:rsid w:val="6EB60C5E"/>
    <w:rsid w:val="6EEC4557"/>
    <w:rsid w:val="6EF14D69"/>
    <w:rsid w:val="6EF1786C"/>
    <w:rsid w:val="6F132612"/>
    <w:rsid w:val="6F171F9A"/>
    <w:rsid w:val="6F1B0F20"/>
    <w:rsid w:val="6F465C0A"/>
    <w:rsid w:val="6F47436D"/>
    <w:rsid w:val="6F696E43"/>
    <w:rsid w:val="6F6B3422"/>
    <w:rsid w:val="6F8378B8"/>
    <w:rsid w:val="6F9462E7"/>
    <w:rsid w:val="6F9523CE"/>
    <w:rsid w:val="6F9C1821"/>
    <w:rsid w:val="6FB10D74"/>
    <w:rsid w:val="6FD05B59"/>
    <w:rsid w:val="6FEA467B"/>
    <w:rsid w:val="6FEE472F"/>
    <w:rsid w:val="6FF1789F"/>
    <w:rsid w:val="6FF43D22"/>
    <w:rsid w:val="6FF54A6D"/>
    <w:rsid w:val="7008038A"/>
    <w:rsid w:val="70092D0F"/>
    <w:rsid w:val="701614EE"/>
    <w:rsid w:val="70234B81"/>
    <w:rsid w:val="702A0FE7"/>
    <w:rsid w:val="704374F7"/>
    <w:rsid w:val="705603D2"/>
    <w:rsid w:val="705C5752"/>
    <w:rsid w:val="70625867"/>
    <w:rsid w:val="70663E42"/>
    <w:rsid w:val="70696222"/>
    <w:rsid w:val="706A3321"/>
    <w:rsid w:val="70733F9E"/>
    <w:rsid w:val="7075012D"/>
    <w:rsid w:val="70757CA8"/>
    <w:rsid w:val="7088372F"/>
    <w:rsid w:val="70941D37"/>
    <w:rsid w:val="709A6CF6"/>
    <w:rsid w:val="70AE720E"/>
    <w:rsid w:val="70B42F77"/>
    <w:rsid w:val="70C81D5D"/>
    <w:rsid w:val="70D95550"/>
    <w:rsid w:val="70DA06F8"/>
    <w:rsid w:val="70E02CFF"/>
    <w:rsid w:val="70E40BD7"/>
    <w:rsid w:val="70E76648"/>
    <w:rsid w:val="70F1577D"/>
    <w:rsid w:val="70F710A8"/>
    <w:rsid w:val="70FC0831"/>
    <w:rsid w:val="7103377A"/>
    <w:rsid w:val="71075182"/>
    <w:rsid w:val="71086389"/>
    <w:rsid w:val="710B0A29"/>
    <w:rsid w:val="711B080D"/>
    <w:rsid w:val="711D3E43"/>
    <w:rsid w:val="712D603E"/>
    <w:rsid w:val="71542301"/>
    <w:rsid w:val="71682F42"/>
    <w:rsid w:val="716F0FF3"/>
    <w:rsid w:val="717151CC"/>
    <w:rsid w:val="71757037"/>
    <w:rsid w:val="71777935"/>
    <w:rsid w:val="717A4531"/>
    <w:rsid w:val="717A7104"/>
    <w:rsid w:val="719A4145"/>
    <w:rsid w:val="71A353A7"/>
    <w:rsid w:val="71A461B8"/>
    <w:rsid w:val="71A770D2"/>
    <w:rsid w:val="71AB1AD1"/>
    <w:rsid w:val="71CA10CD"/>
    <w:rsid w:val="71CD7E24"/>
    <w:rsid w:val="71DA03CE"/>
    <w:rsid w:val="71DD3A6C"/>
    <w:rsid w:val="72033E1A"/>
    <w:rsid w:val="7205731D"/>
    <w:rsid w:val="7210228E"/>
    <w:rsid w:val="723530A5"/>
    <w:rsid w:val="72387521"/>
    <w:rsid w:val="724E3C63"/>
    <w:rsid w:val="725465AD"/>
    <w:rsid w:val="72606E22"/>
    <w:rsid w:val="726540F4"/>
    <w:rsid w:val="72821064"/>
    <w:rsid w:val="728A52EF"/>
    <w:rsid w:val="729034F7"/>
    <w:rsid w:val="72955A66"/>
    <w:rsid w:val="729C3049"/>
    <w:rsid w:val="72A37689"/>
    <w:rsid w:val="72B2267F"/>
    <w:rsid w:val="72B30761"/>
    <w:rsid w:val="72CC37CF"/>
    <w:rsid w:val="72E17744"/>
    <w:rsid w:val="72FB3FB5"/>
    <w:rsid w:val="73006342"/>
    <w:rsid w:val="731760E5"/>
    <w:rsid w:val="731D7836"/>
    <w:rsid w:val="731F351F"/>
    <w:rsid w:val="7326464B"/>
    <w:rsid w:val="73280CFB"/>
    <w:rsid w:val="7328666C"/>
    <w:rsid w:val="734831EA"/>
    <w:rsid w:val="7357042D"/>
    <w:rsid w:val="735A1458"/>
    <w:rsid w:val="735F0229"/>
    <w:rsid w:val="73873F96"/>
    <w:rsid w:val="738D37B5"/>
    <w:rsid w:val="738D50EF"/>
    <w:rsid w:val="73936F4C"/>
    <w:rsid w:val="73A21147"/>
    <w:rsid w:val="73A26EEC"/>
    <w:rsid w:val="73A9480C"/>
    <w:rsid w:val="73AF05F8"/>
    <w:rsid w:val="73B96F99"/>
    <w:rsid w:val="73BB5EC5"/>
    <w:rsid w:val="73D40EC5"/>
    <w:rsid w:val="73E37688"/>
    <w:rsid w:val="74014F5C"/>
    <w:rsid w:val="74033C4A"/>
    <w:rsid w:val="741C26A3"/>
    <w:rsid w:val="7429026F"/>
    <w:rsid w:val="743A08E1"/>
    <w:rsid w:val="744F0290"/>
    <w:rsid w:val="74574FB0"/>
    <w:rsid w:val="745E4BED"/>
    <w:rsid w:val="7470461A"/>
    <w:rsid w:val="74931623"/>
    <w:rsid w:val="74A15A55"/>
    <w:rsid w:val="74BF11AC"/>
    <w:rsid w:val="74D26036"/>
    <w:rsid w:val="74D8263E"/>
    <w:rsid w:val="74DE7B80"/>
    <w:rsid w:val="74E45CC9"/>
    <w:rsid w:val="74E771A1"/>
    <w:rsid w:val="74E90ED2"/>
    <w:rsid w:val="74F07158"/>
    <w:rsid w:val="75082C39"/>
    <w:rsid w:val="75251B40"/>
    <w:rsid w:val="752857A3"/>
    <w:rsid w:val="75364C39"/>
    <w:rsid w:val="75396F3C"/>
    <w:rsid w:val="75423B3C"/>
    <w:rsid w:val="754C6F35"/>
    <w:rsid w:val="75572DA7"/>
    <w:rsid w:val="755C2D1F"/>
    <w:rsid w:val="75925086"/>
    <w:rsid w:val="75997FD4"/>
    <w:rsid w:val="75A663C1"/>
    <w:rsid w:val="75B138FF"/>
    <w:rsid w:val="75B24A01"/>
    <w:rsid w:val="75C169B5"/>
    <w:rsid w:val="75C26B49"/>
    <w:rsid w:val="75D64BF6"/>
    <w:rsid w:val="75E034C9"/>
    <w:rsid w:val="75E17EDC"/>
    <w:rsid w:val="75F762C0"/>
    <w:rsid w:val="75F80D75"/>
    <w:rsid w:val="76136A98"/>
    <w:rsid w:val="76216B46"/>
    <w:rsid w:val="76320DB1"/>
    <w:rsid w:val="76443030"/>
    <w:rsid w:val="764C7FA1"/>
    <w:rsid w:val="765E3991"/>
    <w:rsid w:val="76612916"/>
    <w:rsid w:val="766D79C1"/>
    <w:rsid w:val="7670008F"/>
    <w:rsid w:val="76735D63"/>
    <w:rsid w:val="76775D4E"/>
    <w:rsid w:val="76926E2D"/>
    <w:rsid w:val="76943AE5"/>
    <w:rsid w:val="76A2195A"/>
    <w:rsid w:val="76AC44C7"/>
    <w:rsid w:val="76BC4018"/>
    <w:rsid w:val="76D4170D"/>
    <w:rsid w:val="76D867FE"/>
    <w:rsid w:val="76D87DA0"/>
    <w:rsid w:val="76F30DFD"/>
    <w:rsid w:val="77035ACF"/>
    <w:rsid w:val="770A0F7C"/>
    <w:rsid w:val="773A5EC5"/>
    <w:rsid w:val="77447EF3"/>
    <w:rsid w:val="774B7C44"/>
    <w:rsid w:val="775630B3"/>
    <w:rsid w:val="77576BBC"/>
    <w:rsid w:val="775B38B9"/>
    <w:rsid w:val="775F14D4"/>
    <w:rsid w:val="776672B5"/>
    <w:rsid w:val="776C465C"/>
    <w:rsid w:val="777E094A"/>
    <w:rsid w:val="778154D2"/>
    <w:rsid w:val="778D7C68"/>
    <w:rsid w:val="778E76B4"/>
    <w:rsid w:val="779B7C83"/>
    <w:rsid w:val="77A825A6"/>
    <w:rsid w:val="77A9693D"/>
    <w:rsid w:val="77B13F8A"/>
    <w:rsid w:val="77B75398"/>
    <w:rsid w:val="77B95F79"/>
    <w:rsid w:val="77BE76A5"/>
    <w:rsid w:val="77C5285B"/>
    <w:rsid w:val="77C60035"/>
    <w:rsid w:val="77E92DE0"/>
    <w:rsid w:val="77F208A9"/>
    <w:rsid w:val="77F9655A"/>
    <w:rsid w:val="780834C3"/>
    <w:rsid w:val="780974A9"/>
    <w:rsid w:val="78191CE5"/>
    <w:rsid w:val="781C70B8"/>
    <w:rsid w:val="78202874"/>
    <w:rsid w:val="782F5913"/>
    <w:rsid w:val="78330EB3"/>
    <w:rsid w:val="78397199"/>
    <w:rsid w:val="785D5BF2"/>
    <w:rsid w:val="7864141A"/>
    <w:rsid w:val="78690B58"/>
    <w:rsid w:val="78705341"/>
    <w:rsid w:val="787718A0"/>
    <w:rsid w:val="788F1E71"/>
    <w:rsid w:val="78952465"/>
    <w:rsid w:val="789C5D38"/>
    <w:rsid w:val="789C62AF"/>
    <w:rsid w:val="789E4DDD"/>
    <w:rsid w:val="78A22303"/>
    <w:rsid w:val="78A66BEE"/>
    <w:rsid w:val="78AD0BEC"/>
    <w:rsid w:val="78AD626E"/>
    <w:rsid w:val="78B07272"/>
    <w:rsid w:val="78B3268F"/>
    <w:rsid w:val="78CD47BD"/>
    <w:rsid w:val="78D424A1"/>
    <w:rsid w:val="78DC00F8"/>
    <w:rsid w:val="78DF1747"/>
    <w:rsid w:val="790B0164"/>
    <w:rsid w:val="79174450"/>
    <w:rsid w:val="791B7B90"/>
    <w:rsid w:val="79214DC2"/>
    <w:rsid w:val="792D2571"/>
    <w:rsid w:val="79300781"/>
    <w:rsid w:val="79333B81"/>
    <w:rsid w:val="79463183"/>
    <w:rsid w:val="794D3A33"/>
    <w:rsid w:val="79541C34"/>
    <w:rsid w:val="795804B5"/>
    <w:rsid w:val="79593195"/>
    <w:rsid w:val="795B1A73"/>
    <w:rsid w:val="795B591A"/>
    <w:rsid w:val="795C4F22"/>
    <w:rsid w:val="79610432"/>
    <w:rsid w:val="79696863"/>
    <w:rsid w:val="796A490A"/>
    <w:rsid w:val="797C2AE5"/>
    <w:rsid w:val="798E0BE3"/>
    <w:rsid w:val="798E2114"/>
    <w:rsid w:val="79913601"/>
    <w:rsid w:val="799976EE"/>
    <w:rsid w:val="79A14DA2"/>
    <w:rsid w:val="79A64B1E"/>
    <w:rsid w:val="79C557EE"/>
    <w:rsid w:val="79CA181D"/>
    <w:rsid w:val="79E16A31"/>
    <w:rsid w:val="79E50F80"/>
    <w:rsid w:val="7A000F3A"/>
    <w:rsid w:val="7A0A5AB1"/>
    <w:rsid w:val="7A0B68D2"/>
    <w:rsid w:val="7A154FE6"/>
    <w:rsid w:val="7A1C3A78"/>
    <w:rsid w:val="7A31669B"/>
    <w:rsid w:val="7A4146D4"/>
    <w:rsid w:val="7A475026"/>
    <w:rsid w:val="7A517BD4"/>
    <w:rsid w:val="7A58512F"/>
    <w:rsid w:val="7A652C42"/>
    <w:rsid w:val="7A691FDF"/>
    <w:rsid w:val="7A712410"/>
    <w:rsid w:val="7A784B4F"/>
    <w:rsid w:val="7A7A2537"/>
    <w:rsid w:val="7A7D4980"/>
    <w:rsid w:val="7A7E0271"/>
    <w:rsid w:val="7A8A44EC"/>
    <w:rsid w:val="7A9D2B10"/>
    <w:rsid w:val="7AA433B1"/>
    <w:rsid w:val="7AB17A7B"/>
    <w:rsid w:val="7AE66CF3"/>
    <w:rsid w:val="7AE93E43"/>
    <w:rsid w:val="7AF06BE6"/>
    <w:rsid w:val="7B074057"/>
    <w:rsid w:val="7B076778"/>
    <w:rsid w:val="7B0A5FD5"/>
    <w:rsid w:val="7B0F10EF"/>
    <w:rsid w:val="7B173B05"/>
    <w:rsid w:val="7B1E74DC"/>
    <w:rsid w:val="7B200B21"/>
    <w:rsid w:val="7B3828B4"/>
    <w:rsid w:val="7B512AEF"/>
    <w:rsid w:val="7B5A6BAD"/>
    <w:rsid w:val="7B636667"/>
    <w:rsid w:val="7B6D41A9"/>
    <w:rsid w:val="7B6E41A8"/>
    <w:rsid w:val="7B9466A0"/>
    <w:rsid w:val="7B963869"/>
    <w:rsid w:val="7B99100D"/>
    <w:rsid w:val="7BA47A5C"/>
    <w:rsid w:val="7BA8503B"/>
    <w:rsid w:val="7BCA2787"/>
    <w:rsid w:val="7BCF0ADD"/>
    <w:rsid w:val="7BD947C0"/>
    <w:rsid w:val="7BEE6EAE"/>
    <w:rsid w:val="7BEE730A"/>
    <w:rsid w:val="7BF3045C"/>
    <w:rsid w:val="7BF658B4"/>
    <w:rsid w:val="7BFC155D"/>
    <w:rsid w:val="7C095E0D"/>
    <w:rsid w:val="7C102FA1"/>
    <w:rsid w:val="7C143E53"/>
    <w:rsid w:val="7C251581"/>
    <w:rsid w:val="7C291B81"/>
    <w:rsid w:val="7C2E0981"/>
    <w:rsid w:val="7C2E2107"/>
    <w:rsid w:val="7C2F774D"/>
    <w:rsid w:val="7C467372"/>
    <w:rsid w:val="7C527AF5"/>
    <w:rsid w:val="7C650BE3"/>
    <w:rsid w:val="7C6802BD"/>
    <w:rsid w:val="7C6A0830"/>
    <w:rsid w:val="7C833DC2"/>
    <w:rsid w:val="7C8950E4"/>
    <w:rsid w:val="7C911CD7"/>
    <w:rsid w:val="7C951713"/>
    <w:rsid w:val="7C9B0CE5"/>
    <w:rsid w:val="7CA435AD"/>
    <w:rsid w:val="7CA676DE"/>
    <w:rsid w:val="7CA91C97"/>
    <w:rsid w:val="7CAD5D27"/>
    <w:rsid w:val="7CD10F76"/>
    <w:rsid w:val="7CF2748B"/>
    <w:rsid w:val="7D00534A"/>
    <w:rsid w:val="7D172DA2"/>
    <w:rsid w:val="7D1E1A15"/>
    <w:rsid w:val="7D24584D"/>
    <w:rsid w:val="7D25315D"/>
    <w:rsid w:val="7D2A14D5"/>
    <w:rsid w:val="7D34739A"/>
    <w:rsid w:val="7D4B2961"/>
    <w:rsid w:val="7D5C7C0D"/>
    <w:rsid w:val="7D5E6A76"/>
    <w:rsid w:val="7D624957"/>
    <w:rsid w:val="7D633FF9"/>
    <w:rsid w:val="7D677056"/>
    <w:rsid w:val="7D6F3931"/>
    <w:rsid w:val="7D873826"/>
    <w:rsid w:val="7DC50BCF"/>
    <w:rsid w:val="7DD3502C"/>
    <w:rsid w:val="7DD559F9"/>
    <w:rsid w:val="7DDE7D05"/>
    <w:rsid w:val="7DE30098"/>
    <w:rsid w:val="7DE4141D"/>
    <w:rsid w:val="7DE71859"/>
    <w:rsid w:val="7DF45DB4"/>
    <w:rsid w:val="7DF64E2A"/>
    <w:rsid w:val="7DFF5497"/>
    <w:rsid w:val="7E106B9A"/>
    <w:rsid w:val="7E2168D3"/>
    <w:rsid w:val="7E2C34F7"/>
    <w:rsid w:val="7E30558A"/>
    <w:rsid w:val="7E4C12CA"/>
    <w:rsid w:val="7E512A3E"/>
    <w:rsid w:val="7E706B85"/>
    <w:rsid w:val="7E8807F6"/>
    <w:rsid w:val="7E8B1BA5"/>
    <w:rsid w:val="7E952A9D"/>
    <w:rsid w:val="7EA34A35"/>
    <w:rsid w:val="7EB07466"/>
    <w:rsid w:val="7EB808E7"/>
    <w:rsid w:val="7EB93573"/>
    <w:rsid w:val="7EBB22FA"/>
    <w:rsid w:val="7EC06A2D"/>
    <w:rsid w:val="7EC07DE6"/>
    <w:rsid w:val="7ED84715"/>
    <w:rsid w:val="7EE0560B"/>
    <w:rsid w:val="7EF41C03"/>
    <w:rsid w:val="7EF4537B"/>
    <w:rsid w:val="7F2461BD"/>
    <w:rsid w:val="7F3736E0"/>
    <w:rsid w:val="7F375F9F"/>
    <w:rsid w:val="7F512BFF"/>
    <w:rsid w:val="7F585C65"/>
    <w:rsid w:val="7F622462"/>
    <w:rsid w:val="7F6C0ECD"/>
    <w:rsid w:val="7F6E2644"/>
    <w:rsid w:val="7F7A711D"/>
    <w:rsid w:val="7F8932EA"/>
    <w:rsid w:val="7F974623"/>
    <w:rsid w:val="7F9908B7"/>
    <w:rsid w:val="7F9C15E8"/>
    <w:rsid w:val="7FB47D2B"/>
    <w:rsid w:val="7FDF6ECC"/>
    <w:rsid w:val="7FE0383D"/>
    <w:rsid w:val="7FE5081F"/>
    <w:rsid w:val="7FE56572"/>
    <w:rsid w:val="7FE641E4"/>
    <w:rsid w:val="7FED5CF5"/>
    <w:rsid w:val="7FF6055D"/>
    <w:rsid w:val="BF26EB64"/>
    <w:rsid w:val="E3DEA63D"/>
    <w:rsid w:val="EFE5E0A9"/>
    <w:rsid w:val="F58E3D2A"/>
    <w:rsid w:val="FDEFF770"/>
    <w:rsid w:val="FF8C4DA8"/>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iPriority="39" w:semiHidden="0" w:name="toc 3"/>
    <w:lsdException w:qFormat="1" w:unhideWhenUsed="0" w:uiPriority="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643" w:firstLineChars="200"/>
      <w:jc w:val="both"/>
    </w:pPr>
    <w:rPr>
      <w:rFonts w:ascii="Calibri" w:hAnsi="Calibri" w:eastAsia="宋体" w:cs="Times New Roman"/>
      <w:kern w:val="2"/>
      <w:sz w:val="24"/>
      <w:szCs w:val="24"/>
      <w:lang w:val="en-US" w:eastAsia="zh-CN" w:bidi="ar-SA"/>
    </w:rPr>
  </w:style>
  <w:style w:type="paragraph" w:styleId="4">
    <w:name w:val="heading 1"/>
    <w:basedOn w:val="1"/>
    <w:next w:val="1"/>
    <w:link w:val="36"/>
    <w:qFormat/>
    <w:uiPriority w:val="0"/>
    <w:pPr>
      <w:keepNext/>
      <w:keepLines/>
      <w:pageBreakBefore/>
      <w:numPr>
        <w:ilvl w:val="0"/>
        <w:numId w:val="1"/>
      </w:numPr>
      <w:adjustRightInd w:val="0"/>
      <w:snapToGrid w:val="0"/>
      <w:spacing w:line="360" w:lineRule="auto"/>
      <w:ind w:left="0" w:firstLine="0"/>
      <w:jc w:val="center"/>
      <w:outlineLvl w:val="0"/>
    </w:pPr>
    <w:rPr>
      <w:rFonts w:eastAsia="黑体"/>
      <w:b/>
      <w:color w:val="000000"/>
      <w:kern w:val="44"/>
      <w:sz w:val="32"/>
      <w:szCs w:val="20"/>
    </w:rPr>
  </w:style>
  <w:style w:type="paragraph" w:styleId="5">
    <w:name w:val="heading 2"/>
    <w:basedOn w:val="1"/>
    <w:next w:val="1"/>
    <w:link w:val="47"/>
    <w:qFormat/>
    <w:uiPriority w:val="0"/>
    <w:pPr>
      <w:keepNext/>
      <w:numPr>
        <w:ilvl w:val="1"/>
        <w:numId w:val="1"/>
      </w:numPr>
      <w:ind w:left="575" w:hanging="575" w:firstLineChars="0"/>
      <w:jc w:val="left"/>
      <w:outlineLvl w:val="1"/>
    </w:pPr>
    <w:rPr>
      <w:rFonts w:ascii="宋体" w:hAnsi="宋体"/>
      <w:b/>
      <w:snapToGrid w:val="0"/>
      <w:sz w:val="30"/>
      <w:szCs w:val="20"/>
    </w:rPr>
  </w:style>
  <w:style w:type="paragraph" w:styleId="6">
    <w:name w:val="heading 3"/>
    <w:basedOn w:val="1"/>
    <w:next w:val="1"/>
    <w:link w:val="40"/>
    <w:qFormat/>
    <w:uiPriority w:val="0"/>
    <w:pPr>
      <w:numPr>
        <w:ilvl w:val="2"/>
        <w:numId w:val="1"/>
      </w:numPr>
      <w:tabs>
        <w:tab w:val="left" w:pos="0"/>
      </w:tabs>
      <w:ind w:left="0" w:firstLine="0" w:firstLineChars="0"/>
      <w:outlineLvl w:val="2"/>
    </w:pPr>
    <w:rPr>
      <w:rFonts w:ascii="Times New Roman" w:hAnsi="Times New Roman" w:eastAsia="宋体"/>
      <w:b/>
      <w:bCs/>
      <w:szCs w:val="32"/>
    </w:rPr>
  </w:style>
  <w:style w:type="paragraph" w:styleId="7">
    <w:name w:val="heading 4"/>
    <w:basedOn w:val="1"/>
    <w:next w:val="1"/>
    <w:link w:val="37"/>
    <w:qFormat/>
    <w:uiPriority w:val="0"/>
    <w:pPr>
      <w:keepNext/>
      <w:keepLines/>
      <w:numPr>
        <w:ilvl w:val="3"/>
        <w:numId w:val="1"/>
      </w:numPr>
      <w:tabs>
        <w:tab w:val="left" w:pos="0"/>
      </w:tabs>
      <w:adjustRightInd w:val="0"/>
      <w:snapToGrid w:val="0"/>
      <w:spacing w:beforeLines="0" w:beforeAutospacing="0" w:afterLines="0" w:afterAutospacing="0" w:line="360" w:lineRule="auto"/>
      <w:ind w:left="0" w:firstLine="720" w:firstLineChars="200"/>
      <w:outlineLvl w:val="3"/>
    </w:pPr>
    <w:rPr>
      <w:rFonts w:ascii="Times New Roman" w:hAnsi="Times New Roman" w:eastAsia="宋体"/>
      <w:kern w:val="0"/>
      <w:szCs w:val="20"/>
    </w:rPr>
  </w:style>
  <w:style w:type="paragraph" w:styleId="8">
    <w:name w:val="heading 5"/>
    <w:basedOn w:val="1"/>
    <w:next w:val="1"/>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9">
    <w:name w:val="heading 6"/>
    <w:basedOn w:val="1"/>
    <w:next w:val="1"/>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10">
    <w:name w:val="heading 7"/>
    <w:basedOn w:val="1"/>
    <w:next w:val="1"/>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11">
    <w:name w:val="heading 8"/>
    <w:basedOn w:val="1"/>
    <w:next w:val="1"/>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2">
    <w:name w:val="heading 9"/>
    <w:basedOn w:val="1"/>
    <w:next w:val="1"/>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32">
    <w:name w:val="Default Paragraph Font"/>
    <w:semiHidden/>
    <w:qFormat/>
    <w:uiPriority w:val="0"/>
    <w:rPr>
      <w:sz w:val="24"/>
    </w:rPr>
  </w:style>
  <w:style w:type="table" w:default="1" w:styleId="3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320" w:lineRule="exact"/>
      <w:jc w:val="center"/>
    </w:pPr>
    <w:rPr>
      <w:rFonts w:ascii="Times New Roman" w:hAnsi="Times New Roman" w:eastAsia="宋体" w:cs="Times New Roman"/>
      <w:kern w:val="2"/>
      <w:sz w:val="21"/>
      <w:szCs w:val="21"/>
      <w:lang w:val="en-US" w:eastAsia="zh-CN" w:bidi="ar-SA"/>
    </w:rPr>
  </w:style>
  <w:style w:type="paragraph" w:styleId="13">
    <w:name w:val="caption"/>
    <w:basedOn w:val="1"/>
    <w:next w:val="1"/>
    <w:qFormat/>
    <w:uiPriority w:val="0"/>
    <w:rPr>
      <w:rFonts w:ascii="宋体" w:hAnsi="宋体"/>
      <w:b/>
      <w:bCs/>
    </w:rPr>
  </w:style>
  <w:style w:type="paragraph" w:styleId="14">
    <w:name w:val="annotation text"/>
    <w:basedOn w:val="1"/>
    <w:qFormat/>
    <w:uiPriority w:val="0"/>
    <w:pPr>
      <w:jc w:val="left"/>
    </w:pPr>
  </w:style>
  <w:style w:type="paragraph" w:styleId="15">
    <w:name w:val="Body Text"/>
    <w:basedOn w:val="1"/>
    <w:semiHidden/>
    <w:qFormat/>
    <w:uiPriority w:val="0"/>
    <w:rPr>
      <w:rFonts w:ascii="Arial" w:hAnsi="Arial" w:eastAsia="Arial" w:cs="Arial"/>
      <w:sz w:val="21"/>
      <w:szCs w:val="21"/>
      <w:lang w:val="en-US" w:eastAsia="en-US" w:bidi="ar-SA"/>
    </w:rPr>
  </w:style>
  <w:style w:type="paragraph" w:styleId="16">
    <w:name w:val="Body Text Indent"/>
    <w:basedOn w:val="1"/>
    <w:qFormat/>
    <w:uiPriority w:val="0"/>
    <w:pPr>
      <w:spacing w:after="120" w:afterLines="0"/>
      <w:ind w:left="420" w:leftChars="200"/>
    </w:pPr>
    <w:rPr>
      <w:rFonts w:ascii="Times New Roman" w:hAnsi="Times New Roman" w:eastAsia="宋体" w:cs="Times New Roman"/>
      <w:szCs w:val="20"/>
    </w:rPr>
  </w:style>
  <w:style w:type="paragraph" w:styleId="17">
    <w:name w:val="toc 3"/>
    <w:basedOn w:val="1"/>
    <w:next w:val="1"/>
    <w:unhideWhenUsed/>
    <w:qFormat/>
    <w:uiPriority w:val="39"/>
    <w:pPr>
      <w:spacing w:line="240" w:lineRule="auto"/>
      <w:ind w:left="840" w:leftChars="400" w:firstLine="0" w:firstLineChars="0"/>
    </w:pPr>
    <w:rPr>
      <w:sz w:val="21"/>
    </w:rPr>
  </w:style>
  <w:style w:type="paragraph" w:styleId="18">
    <w:name w:val="Plain Text"/>
    <w:basedOn w:val="1"/>
    <w:next w:val="1"/>
    <w:qFormat/>
    <w:uiPriority w:val="0"/>
    <w:rPr>
      <w:rFonts w:ascii="宋体" w:hAnsi="Courier New" w:eastAsia="宋体"/>
      <w:kern w:val="2"/>
      <w:sz w:val="21"/>
      <w:lang w:val="en-US" w:eastAsia="zh-CN"/>
    </w:rPr>
  </w:style>
  <w:style w:type="paragraph" w:styleId="19">
    <w:name w:val="Date"/>
    <w:basedOn w:val="1"/>
    <w:next w:val="1"/>
    <w:qFormat/>
    <w:uiPriority w:val="0"/>
    <w:pPr>
      <w:adjustRightInd w:val="0"/>
      <w:spacing w:line="360" w:lineRule="atLeast"/>
      <w:textAlignment w:val="baseline"/>
    </w:pPr>
    <w:rPr>
      <w:kern w:val="0"/>
      <w:sz w:val="24"/>
    </w:rPr>
  </w:style>
  <w:style w:type="paragraph" w:styleId="20">
    <w:name w:val="footer"/>
    <w:basedOn w:val="1"/>
    <w:link w:val="48"/>
    <w:qFormat/>
    <w:uiPriority w:val="0"/>
    <w:pPr>
      <w:tabs>
        <w:tab w:val="center" w:pos="4153"/>
        <w:tab w:val="right" w:pos="8306"/>
      </w:tabs>
      <w:snapToGrid w:val="0"/>
      <w:jc w:val="left"/>
    </w:pPr>
    <w:rPr>
      <w:sz w:val="18"/>
      <w:szCs w:val="18"/>
    </w:rPr>
  </w:style>
  <w:style w:type="paragraph" w:styleId="21">
    <w:name w:val="header"/>
    <w:basedOn w:val="1"/>
    <w:next w:val="1"/>
    <w:link w:val="49"/>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0"/>
    <w:pPr>
      <w:ind w:firstLine="0" w:firstLineChars="0"/>
    </w:pPr>
    <w:rPr>
      <w:rFonts w:ascii="Calibri" w:hAnsi="Calibri" w:eastAsia="宋体"/>
    </w:rPr>
  </w:style>
  <w:style w:type="paragraph" w:styleId="23">
    <w:name w:val="toc 4"/>
    <w:basedOn w:val="1"/>
    <w:next w:val="1"/>
    <w:semiHidden/>
    <w:qFormat/>
    <w:uiPriority w:val="0"/>
    <w:pPr>
      <w:ind w:left="630"/>
      <w:jc w:val="left"/>
    </w:pPr>
    <w:rPr>
      <w:sz w:val="18"/>
      <w:szCs w:val="18"/>
    </w:rPr>
  </w:style>
  <w:style w:type="paragraph" w:styleId="24">
    <w:name w:val="Subtitle"/>
    <w:basedOn w:val="1"/>
    <w:qFormat/>
    <w:uiPriority w:val="0"/>
    <w:pPr>
      <w:spacing w:before="240" w:after="60" w:line="312" w:lineRule="auto"/>
      <w:ind w:firstLine="0" w:firstLineChars="0"/>
      <w:jc w:val="center"/>
      <w:outlineLvl w:val="1"/>
    </w:pPr>
    <w:rPr>
      <w:rFonts w:ascii="Arial" w:hAnsi="Arial" w:eastAsia="宋体"/>
      <w:b/>
      <w:bCs/>
      <w:kern w:val="28"/>
      <w:sz w:val="48"/>
      <w:szCs w:val="32"/>
    </w:rPr>
  </w:style>
  <w:style w:type="paragraph" w:styleId="25">
    <w:name w:val="List"/>
    <w:basedOn w:val="1"/>
    <w:qFormat/>
    <w:uiPriority w:val="0"/>
    <w:pPr>
      <w:ind w:left="200" w:hanging="200" w:hangingChars="200"/>
      <w:jc w:val="center"/>
    </w:pPr>
  </w:style>
  <w:style w:type="paragraph" w:styleId="26">
    <w:name w:val="toc 2"/>
    <w:basedOn w:val="1"/>
    <w:next w:val="1"/>
    <w:qFormat/>
    <w:uiPriority w:val="0"/>
    <w:pPr>
      <w:ind w:left="0" w:leftChars="0"/>
    </w:pPr>
    <w:rPr>
      <w:rFonts w:ascii="Calibri" w:hAnsi="Calibri" w:eastAsia="宋体"/>
    </w:rPr>
  </w:style>
  <w:style w:type="paragraph" w:styleId="27">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28">
    <w:name w:val="Body Text First Indent"/>
    <w:basedOn w:val="1"/>
    <w:next w:val="1"/>
    <w:qFormat/>
    <w:uiPriority w:val="0"/>
    <w:pPr>
      <w:ind w:firstLine="420" w:firstLineChars="100"/>
    </w:pPr>
    <w:rPr>
      <w:rFonts w:asciiTheme="minorHAnsi" w:hAnsiTheme="minorHAnsi" w:eastAsiaTheme="minorHAnsi" w:cstheme="minorBidi"/>
    </w:rPr>
  </w:style>
  <w:style w:type="paragraph" w:styleId="29">
    <w:name w:val="Body Text First Indent 2"/>
    <w:basedOn w:val="16"/>
    <w:next w:val="1"/>
    <w:qFormat/>
    <w:uiPriority w:val="0"/>
    <w:pPr>
      <w:ind w:firstLine="420"/>
    </w:pPr>
    <w:rPr>
      <w:rFonts w:ascii="Times New Roman" w:hAnsi="Times New Roman" w:eastAsia="宋体" w:cs="Times New Roman"/>
    </w:rPr>
  </w:style>
  <w:style w:type="table" w:styleId="31">
    <w:name w:val="Table Grid"/>
    <w:basedOn w:val="3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uiPriority w:val="0"/>
  </w:style>
  <w:style w:type="character" w:styleId="34">
    <w:name w:val="Hyperlink"/>
    <w:basedOn w:val="32"/>
    <w:qFormat/>
    <w:uiPriority w:val="0"/>
    <w:rPr>
      <w:color w:val="0000FF"/>
      <w:u w:val="single"/>
    </w:rPr>
  </w:style>
  <w:style w:type="character" w:styleId="35">
    <w:name w:val="annotation reference"/>
    <w:qFormat/>
    <w:uiPriority w:val="0"/>
    <w:rPr>
      <w:sz w:val="21"/>
      <w:szCs w:val="21"/>
    </w:rPr>
  </w:style>
  <w:style w:type="character" w:customStyle="1" w:styleId="36">
    <w:name w:val="标题 1 Char"/>
    <w:link w:val="4"/>
    <w:qFormat/>
    <w:uiPriority w:val="0"/>
    <w:rPr>
      <w:rFonts w:ascii="Times New Roman" w:hAnsi="Times New Roman" w:eastAsia="黑体"/>
      <w:b/>
      <w:color w:val="000000"/>
      <w:kern w:val="44"/>
      <w:sz w:val="32"/>
      <w:lang w:bidi="ar-SA"/>
    </w:rPr>
  </w:style>
  <w:style w:type="character" w:customStyle="1" w:styleId="37">
    <w:name w:val="标题 4 Char"/>
    <w:link w:val="7"/>
    <w:qFormat/>
    <w:uiPriority w:val="0"/>
    <w:rPr>
      <w:rFonts w:ascii="Times New Roman" w:hAnsi="Times New Roman" w:eastAsia="宋体"/>
      <w:sz w:val="24"/>
    </w:rPr>
  </w:style>
  <w:style w:type="paragraph" w:customStyle="1" w:styleId="38">
    <w:name w:val="正文报告书"/>
    <w:next w:val="1"/>
    <w:qFormat/>
    <w:uiPriority w:val="0"/>
    <w:pPr>
      <w:spacing w:before="20" w:line="360" w:lineRule="auto"/>
      <w:ind w:firstLine="643" w:firstLineChars="200"/>
    </w:pPr>
    <w:rPr>
      <w:rFonts w:ascii="Times New Roman" w:hAnsi="Times New Roman" w:eastAsia="宋体" w:cs="Times New Roman"/>
      <w:kern w:val="2"/>
      <w:sz w:val="24"/>
      <w:szCs w:val="24"/>
      <w:lang w:val="en-US" w:eastAsia="zh-CN" w:bidi="ar-SA"/>
    </w:rPr>
  </w:style>
  <w:style w:type="paragraph" w:customStyle="1" w:styleId="39">
    <w:name w:val="表标题"/>
    <w:link w:val="41"/>
    <w:qFormat/>
    <w:uiPriority w:val="0"/>
    <w:pPr>
      <w:tabs>
        <w:tab w:val="left" w:pos="0"/>
      </w:tabs>
      <w:spacing w:line="240" w:lineRule="auto"/>
      <w:jc w:val="center"/>
    </w:pPr>
    <w:rPr>
      <w:rFonts w:ascii="Times New Roman" w:hAnsi="Times New Roman" w:eastAsia="黑体" w:cs="Times New Roman"/>
      <w:sz w:val="24"/>
      <w:lang w:val="en-US" w:eastAsia="zh-CN" w:bidi="ar-SA"/>
    </w:rPr>
  </w:style>
  <w:style w:type="character" w:customStyle="1" w:styleId="40">
    <w:name w:val="标题 3 Char"/>
    <w:basedOn w:val="32"/>
    <w:link w:val="6"/>
    <w:qFormat/>
    <w:uiPriority w:val="0"/>
    <w:rPr>
      <w:rFonts w:ascii="Times New Roman" w:hAnsi="Times New Roman" w:eastAsia="宋体"/>
      <w:b/>
      <w:bCs/>
      <w:kern w:val="2"/>
      <w:sz w:val="24"/>
      <w:szCs w:val="32"/>
    </w:rPr>
  </w:style>
  <w:style w:type="character" w:customStyle="1" w:styleId="41">
    <w:name w:val="表标题 Char"/>
    <w:link w:val="39"/>
    <w:qFormat/>
    <w:uiPriority w:val="0"/>
    <w:rPr>
      <w:rFonts w:ascii="Times New Roman" w:hAnsi="Times New Roman" w:eastAsia="黑体"/>
      <w:sz w:val="24"/>
      <w:lang w:val="en-US" w:eastAsia="zh-CN" w:bidi="ar-SA"/>
    </w:rPr>
  </w:style>
  <w:style w:type="paragraph" w:customStyle="1" w:styleId="42">
    <w:name w:val="表格内容"/>
    <w:basedOn w:val="43"/>
    <w:next w:val="1"/>
    <w:link w:val="56"/>
    <w:qFormat/>
    <w:uiPriority w:val="0"/>
    <w:pPr>
      <w:tabs>
        <w:tab w:val="left" w:pos="1021"/>
      </w:tabs>
      <w:snapToGrid w:val="0"/>
      <w:spacing w:line="240" w:lineRule="auto"/>
      <w:ind w:left="0" w:right="0" w:firstLine="0" w:firstLineChars="0"/>
      <w:jc w:val="center"/>
    </w:pPr>
    <w:rPr>
      <w:rFonts w:ascii="Times New Roman" w:hAnsi="Times New Roman" w:eastAsia="宋体" w:cs="Times New Roman"/>
      <w:snapToGrid w:val="0"/>
      <w:color w:val="000000"/>
      <w:sz w:val="21"/>
      <w:szCs w:val="21"/>
    </w:rPr>
  </w:style>
  <w:style w:type="paragraph" w:customStyle="1" w:styleId="43">
    <w:name w:val="表格文字"/>
    <w:basedOn w:val="28"/>
    <w:next w:val="1"/>
    <w:link w:val="44"/>
    <w:qFormat/>
    <w:uiPriority w:val="0"/>
    <w:pPr>
      <w:adjustRightInd w:val="0"/>
      <w:spacing w:line="240" w:lineRule="auto"/>
      <w:ind w:right="0" w:firstLine="0" w:firstLineChars="0"/>
      <w:jc w:val="center"/>
      <w:textAlignment w:val="center"/>
    </w:pPr>
    <w:rPr>
      <w:rFonts w:ascii="Times New Roman" w:hAnsi="Times New Roman" w:eastAsia="宋体" w:cs="Times New Roman"/>
      <w:sz w:val="21"/>
      <w:szCs w:val="21"/>
    </w:rPr>
  </w:style>
  <w:style w:type="character" w:customStyle="1" w:styleId="44">
    <w:name w:val="表格文字 Char"/>
    <w:link w:val="43"/>
    <w:qFormat/>
    <w:uiPriority w:val="0"/>
    <w:rPr>
      <w:rFonts w:ascii="Times New Roman" w:hAnsi="Times New Roman" w:eastAsia="宋体"/>
      <w:sz w:val="21"/>
      <w:szCs w:val="21"/>
      <w:lang w:val="en-US" w:eastAsia="zh-CN" w:bidi="ar-SA"/>
    </w:rPr>
  </w:style>
  <w:style w:type="paragraph" w:customStyle="1" w:styleId="45">
    <w:name w:val="纯文本1"/>
    <w:basedOn w:val="1"/>
    <w:next w:val="18"/>
    <w:qFormat/>
    <w:uiPriority w:val="0"/>
    <w:pPr>
      <w:adjustRightInd w:val="0"/>
    </w:pPr>
    <w:rPr>
      <w:rFonts w:ascii="宋体" w:hAnsi="Courier New"/>
      <w:szCs w:val="20"/>
    </w:rPr>
  </w:style>
  <w:style w:type="paragraph" w:customStyle="1" w:styleId="46">
    <w:name w:val="表格报告书"/>
    <w:next w:val="38"/>
    <w:qFormat/>
    <w:uiPriority w:val="0"/>
    <w:pPr>
      <w:spacing w:before="20" w:line="240" w:lineRule="auto"/>
      <w:ind w:firstLine="0" w:firstLineChars="0"/>
      <w:jc w:val="center"/>
    </w:pPr>
    <w:rPr>
      <w:rFonts w:ascii="Times New Roman" w:hAnsi="Times New Roman" w:eastAsia="宋体" w:cs="Times New Roman"/>
      <w:kern w:val="2"/>
      <w:sz w:val="21"/>
      <w:szCs w:val="24"/>
      <w:lang w:val="en-US" w:eastAsia="zh-CN" w:bidi="ar-SA"/>
    </w:rPr>
  </w:style>
  <w:style w:type="character" w:customStyle="1" w:styleId="47">
    <w:name w:val="标题 2 Char"/>
    <w:link w:val="5"/>
    <w:qFormat/>
    <w:uiPriority w:val="0"/>
    <w:rPr>
      <w:rFonts w:ascii="宋体" w:hAnsi="宋体" w:eastAsia="宋体"/>
      <w:b/>
      <w:snapToGrid w:val="0"/>
      <w:kern w:val="2"/>
      <w:sz w:val="30"/>
    </w:rPr>
  </w:style>
  <w:style w:type="character" w:customStyle="1" w:styleId="48">
    <w:name w:val="页脚 Char"/>
    <w:basedOn w:val="32"/>
    <w:link w:val="20"/>
    <w:qFormat/>
    <w:uiPriority w:val="0"/>
    <w:rPr>
      <w:rFonts w:hint="eastAsia" w:ascii="宋体" w:hAnsi="宋体" w:eastAsia="宋体" w:cs="宋体"/>
    </w:rPr>
  </w:style>
  <w:style w:type="character" w:customStyle="1" w:styleId="49">
    <w:name w:val="页眉 Char"/>
    <w:basedOn w:val="32"/>
    <w:link w:val="21"/>
    <w:qFormat/>
    <w:uiPriority w:val="0"/>
    <w:rPr>
      <w:rFonts w:hint="eastAsia" w:ascii="宋体" w:hAnsi="宋体" w:eastAsia="宋体" w:cs="宋体"/>
    </w:rPr>
  </w:style>
  <w:style w:type="paragraph" w:customStyle="1" w:styleId="50">
    <w:name w:val="表格第一行"/>
    <w:next w:val="1"/>
    <w:link w:val="54"/>
    <w:qFormat/>
    <w:uiPriority w:val="0"/>
    <w:pPr>
      <w:widowControl/>
      <w:adjustRightInd w:val="0"/>
      <w:snapToGrid w:val="0"/>
      <w:spacing w:line="320" w:lineRule="exact"/>
      <w:jc w:val="center"/>
      <w:textAlignment w:val="baseline"/>
    </w:pPr>
    <w:rPr>
      <w:rFonts w:ascii="Times New Roman" w:hAnsi="Times New Roman" w:eastAsia="宋体" w:cs="Times New Roman"/>
      <w:b/>
      <w:kern w:val="0"/>
      <w:sz w:val="21"/>
      <w:szCs w:val="21"/>
    </w:rPr>
  </w:style>
  <w:style w:type="table" w:customStyle="1" w:styleId="51">
    <w:name w:val="Table Normal"/>
    <w:unhideWhenUsed/>
    <w:qFormat/>
    <w:uiPriority w:val="0"/>
    <w:tblPr>
      <w:tblCellMar>
        <w:top w:w="0" w:type="dxa"/>
        <w:left w:w="0" w:type="dxa"/>
        <w:bottom w:w="0" w:type="dxa"/>
        <w:right w:w="0" w:type="dxa"/>
      </w:tblCellMar>
    </w:tblPr>
  </w:style>
  <w:style w:type="table" w:customStyle="1" w:styleId="52">
    <w:name w:val="TableGrid"/>
    <w:qFormat/>
    <w:uiPriority w:val="0"/>
    <w:rPr>
      <w:rFonts w:ascii="等线" w:hAnsi="等线" w:eastAsia="等线"/>
      <w:kern w:val="2"/>
      <w:sz w:val="21"/>
      <w:szCs w:val="22"/>
      <w:lang w:val="en-US" w:eastAsia="zh-CN" w:bidi="ar-SA"/>
    </w:rPr>
    <w:tblPr>
      <w:tblCellMar>
        <w:top w:w="0" w:type="dxa"/>
        <w:left w:w="0" w:type="dxa"/>
        <w:bottom w:w="0" w:type="dxa"/>
        <w:right w:w="0" w:type="dxa"/>
      </w:tblCellMar>
    </w:tblPr>
  </w:style>
  <w:style w:type="paragraph" w:customStyle="1" w:styleId="53">
    <w:name w:val="表"/>
    <w:next w:val="1"/>
    <w:qFormat/>
    <w:uiPriority w:val="0"/>
    <w:pPr>
      <w:adjustRightInd w:val="0"/>
      <w:snapToGrid w:val="0"/>
      <w:spacing w:line="240" w:lineRule="auto"/>
      <w:jc w:val="center"/>
      <w:textAlignment w:val="auto"/>
    </w:pPr>
    <w:rPr>
      <w:rFonts w:ascii="Times New Roman" w:hAnsi="Times New Roman" w:eastAsia="宋体" w:cs="Times New Roman"/>
      <w:caps/>
      <w:kern w:val="2"/>
      <w:sz w:val="21"/>
    </w:rPr>
  </w:style>
  <w:style w:type="character" w:customStyle="1" w:styleId="54">
    <w:name w:val="表格第一行 Char"/>
    <w:link w:val="50"/>
    <w:qFormat/>
    <w:uiPriority w:val="0"/>
    <w:rPr>
      <w:rFonts w:ascii="Times New Roman" w:hAnsi="Times New Roman" w:eastAsia="宋体" w:cs="Times New Roman"/>
      <w:b/>
      <w:kern w:val="0"/>
      <w:sz w:val="21"/>
      <w:szCs w:val="21"/>
    </w:rPr>
  </w:style>
  <w:style w:type="paragraph" w:customStyle="1" w:styleId="55">
    <w:name w:val="表格正文"/>
    <w:basedOn w:val="1"/>
    <w:qFormat/>
    <w:uiPriority w:val="0"/>
    <w:pPr>
      <w:spacing w:line="360" w:lineRule="exact"/>
      <w:jc w:val="center"/>
    </w:pPr>
    <w:rPr>
      <w:rFonts w:ascii="Times New Roman" w:hAnsi="Times New Roman"/>
      <w:szCs w:val="20"/>
    </w:rPr>
  </w:style>
  <w:style w:type="character" w:customStyle="1" w:styleId="56">
    <w:name w:val="表格内容 Char"/>
    <w:link w:val="42"/>
    <w:qFormat/>
    <w:uiPriority w:val="0"/>
    <w:rPr>
      <w:rFonts w:ascii="Times New Roman" w:hAnsi="Times New Roman" w:eastAsia="宋体" w:cs="Times New Roman"/>
      <w:snapToGrid w:val="0"/>
      <w:color w:val="000000"/>
      <w:sz w:val="21"/>
      <w:szCs w:val="21"/>
    </w:rPr>
  </w:style>
  <w:style w:type="paragraph" w:customStyle="1" w:styleId="57">
    <w:name w:val="表文"/>
    <w:basedOn w:val="1"/>
    <w:qFormat/>
    <w:uiPriority w:val="0"/>
    <w:pPr>
      <w:tabs>
        <w:tab w:val="left" w:pos="1021"/>
      </w:tabs>
      <w:spacing w:line="240" w:lineRule="auto"/>
      <w:ind w:firstLine="0" w:firstLineChars="0"/>
      <w:jc w:val="center"/>
    </w:pPr>
    <w:rPr>
      <w:kern w:val="0"/>
      <w:position w:val="-24"/>
      <w:sz w:val="21"/>
      <w:szCs w:val="21"/>
    </w:rPr>
  </w:style>
  <w:style w:type="table" w:customStyle="1" w:styleId="58">
    <w:name w:val="网格型1"/>
    <w:basedOn w:val="3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9">
    <w:name w:val="Table Text"/>
    <w:basedOn w:val="1"/>
    <w:semiHidden/>
    <w:qFormat/>
    <w:uiPriority w:val="0"/>
    <w:rPr>
      <w:rFonts w:ascii="宋体" w:hAnsi="宋体" w:eastAsia="宋体" w:cs="宋体"/>
      <w:sz w:val="24"/>
      <w:szCs w:val="24"/>
      <w:lang w:val="en-US" w:eastAsia="en-US" w:bidi="ar-SA"/>
    </w:rPr>
  </w:style>
  <w:style w:type="paragraph" w:customStyle="1" w:styleId="60">
    <w:name w:val="表中文字"/>
    <w:basedOn w:val="1"/>
    <w:qFormat/>
    <w:uiPriority w:val="0"/>
    <w:pPr>
      <w:adjustRightInd w:val="0"/>
      <w:snapToGrid w:val="0"/>
      <w:jc w:val="center"/>
    </w:pPr>
    <w:rPr>
      <w:bCs/>
    </w:rPr>
  </w:style>
  <w:style w:type="paragraph" w:customStyle="1" w:styleId="61">
    <w:name w:val="表字体"/>
    <w:basedOn w:val="1"/>
    <w:next w:val="1"/>
    <w:qFormat/>
    <w:uiPriority w:val="0"/>
    <w:pPr>
      <w:jc w:val="center"/>
    </w:pPr>
    <w:rPr>
      <w:rFonts w:ascii="Times New Roman" w:hAnsi="Times New Roman" w:eastAsia="宋体"/>
    </w:rPr>
  </w:style>
  <w:style w:type="paragraph" w:customStyle="1" w:styleId="62">
    <w:name w:val="M表中字体"/>
    <w:qFormat/>
    <w:uiPriority w:val="0"/>
    <w:pPr>
      <w:adjustRightInd w:val="0"/>
      <w:snapToGrid w:val="0"/>
      <w:jc w:val="center"/>
    </w:pPr>
    <w:rPr>
      <w:rFonts w:ascii="Times New Roman" w:hAnsi="Times New Roman" w:eastAsia="宋体" w:cstheme="minorBidi"/>
      <w:kern w:val="2"/>
      <w:sz w:val="21"/>
      <w:szCs w:val="21"/>
      <w:lang w:val="en-US" w:eastAsia="zh-CN" w:bidi="ar-SA"/>
    </w:rPr>
  </w:style>
  <w:style w:type="paragraph" w:customStyle="1" w:styleId="63">
    <w:name w:val="_正文"/>
    <w:basedOn w:val="1"/>
    <w:qFormat/>
    <w:uiPriority w:val="0"/>
    <w:pPr>
      <w:autoSpaceDE/>
      <w:autoSpaceDN/>
      <w:spacing w:line="360" w:lineRule="auto"/>
      <w:ind w:firstLine="480" w:firstLineChars="200"/>
      <w:jc w:val="both"/>
    </w:pPr>
    <w:rPr>
      <w:snapToGrid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9" Type="http://schemas.microsoft.com/office/2011/relationships/people" Target="people.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32.jpe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jpeg"/><Relationship Id="rId51" Type="http://schemas.openxmlformats.org/officeDocument/2006/relationships/image" Target="media/image28.jpeg"/><Relationship Id="rId50" Type="http://schemas.openxmlformats.org/officeDocument/2006/relationships/image" Target="media/image27.jpeg"/><Relationship Id="rId5" Type="http://schemas.openxmlformats.org/officeDocument/2006/relationships/header" Target="header1.xml"/><Relationship Id="rId49" Type="http://schemas.openxmlformats.org/officeDocument/2006/relationships/image" Target="media/image26.jpeg"/><Relationship Id="rId48" Type="http://schemas.openxmlformats.org/officeDocument/2006/relationships/image" Target="media/image25.jpe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jpe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jpeg"/><Relationship Id="rId4" Type="http://schemas.openxmlformats.org/officeDocument/2006/relationships/endnotes" Target="endnotes.xml"/><Relationship Id="rId39" Type="http://schemas.openxmlformats.org/officeDocument/2006/relationships/image" Target="media/image16.emf"/><Relationship Id="rId38" Type="http://schemas.openxmlformats.org/officeDocument/2006/relationships/oleObject" Target="embeddings/oleObject6.bin"/><Relationship Id="rId37" Type="http://schemas.openxmlformats.org/officeDocument/2006/relationships/image" Target="media/image15.emf"/><Relationship Id="rId36" Type="http://schemas.openxmlformats.org/officeDocument/2006/relationships/oleObject" Target="embeddings/oleObject5.bin"/><Relationship Id="rId35" Type="http://schemas.openxmlformats.org/officeDocument/2006/relationships/image" Target="media/image14.wmf"/><Relationship Id="rId34" Type="http://schemas.openxmlformats.org/officeDocument/2006/relationships/oleObject" Target="embeddings/oleObject4.bin"/><Relationship Id="rId33" Type="http://schemas.openxmlformats.org/officeDocument/2006/relationships/image" Target="media/image13.wmf"/><Relationship Id="rId32" Type="http://schemas.openxmlformats.org/officeDocument/2006/relationships/oleObject" Target="embeddings/oleObject3.bin"/><Relationship Id="rId31" Type="http://schemas.openxmlformats.org/officeDocument/2006/relationships/image" Target="media/image12.wmf"/><Relationship Id="rId30" Type="http://schemas.openxmlformats.org/officeDocument/2006/relationships/oleObject" Target="embeddings/oleObject2.bin"/><Relationship Id="rId3" Type="http://schemas.openxmlformats.org/officeDocument/2006/relationships/footnotes" Target="footnotes.xml"/><Relationship Id="rId29" Type="http://schemas.openxmlformats.org/officeDocument/2006/relationships/image" Target="media/image11.wmf"/><Relationship Id="rId28" Type="http://schemas.openxmlformats.org/officeDocument/2006/relationships/oleObject" Target="embeddings/oleObject1.bin"/><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header" Target="header3.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Kingsoft</Company>
  <Pages>211</Pages>
  <Words>118875</Words>
  <Characters>145000</Characters>
  <Lines>1</Lines>
  <Paragraphs>1</Paragraphs>
  <TotalTime>80</TotalTime>
  <ScaleCrop>false</ScaleCrop>
  <LinksUpToDate>false</LinksUpToDate>
  <CharactersWithSpaces>147216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2020-08-12T21:39:00Z</dcterms:created>
  <dc:creator>sunny</dc:creator>
  <cp:lastModifiedBy>花裙纸</cp:lastModifiedBy>
  <cp:lastPrinted>2025-03-21T00:41:58Z</cp:lastPrinted>
  <dcterms:modified xsi:type="dcterms:W3CDTF">2025-03-21T00:51:53Z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77D406C8E8C84C71B8932DFD393D4892</vt:lpwstr>
  </property>
  <property fmtid="{D5CDD505-2E9C-101B-9397-08002B2CF9AE}" pid="4" name="woTemplateTypoMode" linkTarget="0">
    <vt:lpwstr/>
  </property>
  <property fmtid="{D5CDD505-2E9C-101B-9397-08002B2CF9AE}" pid="5" name="woTemplate" linkTarget="0">
    <vt:i4>0</vt:i4>
  </property>
  <property fmtid="{D5CDD505-2E9C-101B-9397-08002B2CF9AE}" pid="6" name="KSOTemplateDocerSaveRecord">
    <vt:lpwstr>eyJoZGlkIjoiYzIxYWM2NDhmNzdmNTlmMWZkOTc0OWE0YmU3MjY5ZWEiLCJ1c2VySWQiOiIyNTczMTgyNDUifQ==</vt:lpwstr>
  </property>
</Properties>
</file>