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老宋" w:hAnsi="创艺简老宋" w:cs="创艺简老宋"/>
          <w:bCs/>
          <w:color w:val="auto"/>
          <w:sz w:val="44"/>
          <w:szCs w:val="44"/>
        </w:rPr>
      </w:pPr>
    </w:p>
    <w:p>
      <w:pPr>
        <w:jc w:val="center"/>
        <w:rPr>
          <w:rFonts w:hint="eastAsia" w:ascii="创艺简老宋" w:hAnsi="创艺简老宋" w:cs="创艺简老宋"/>
          <w:color w:val="auto"/>
          <w:sz w:val="44"/>
          <w:szCs w:val="44"/>
        </w:rPr>
      </w:pPr>
      <w:r>
        <w:rPr>
          <w:rFonts w:hint="eastAsia" w:ascii="创艺简老宋" w:hAnsi="创艺简老宋" w:cs="创艺简老宋"/>
          <w:bCs/>
          <w:color w:val="auto"/>
          <w:sz w:val="44"/>
          <w:szCs w:val="44"/>
        </w:rPr>
        <w:t>岳阳市公路建设和养护中心</w:t>
      </w:r>
    </w:p>
    <w:p>
      <w:pPr>
        <w:spacing w:line="600" w:lineRule="exact"/>
        <w:jc w:val="center"/>
        <w:rPr>
          <w:rFonts w:hint="eastAsia" w:ascii="创艺简老宋" w:hAnsi="创艺简老宋" w:eastAsia="创艺简老宋" w:cs="创艺简老宋"/>
          <w:bCs/>
          <w:color w:val="auto"/>
          <w:sz w:val="44"/>
          <w:szCs w:val="44"/>
        </w:rPr>
      </w:pPr>
      <w:bookmarkStart w:id="0" w:name="_Hlk40867368"/>
      <w:r>
        <w:rPr>
          <w:rFonts w:hint="eastAsia" w:ascii="创艺简老宋" w:hAnsi="创艺简老宋" w:eastAsia="创艺简老宋" w:cs="创艺简老宋"/>
          <w:bCs/>
          <w:color w:val="auto"/>
          <w:sz w:val="44"/>
          <w:szCs w:val="44"/>
        </w:rPr>
        <w:t>202</w:t>
      </w:r>
      <w:r>
        <w:rPr>
          <w:rFonts w:hint="eastAsia" w:ascii="创艺简老宋" w:hAnsi="创艺简老宋" w:cs="创艺简老宋"/>
          <w:bCs/>
          <w:color w:val="auto"/>
          <w:sz w:val="44"/>
          <w:szCs w:val="44"/>
          <w:lang w:val="en-US" w:eastAsia="zh-CN"/>
        </w:rPr>
        <w:t>1</w:t>
      </w:r>
      <w:r>
        <w:rPr>
          <w:rFonts w:hint="eastAsia" w:ascii="创艺简老宋" w:hAnsi="创艺简老宋" w:eastAsia="创艺简老宋" w:cs="创艺简老宋"/>
          <w:bCs/>
          <w:color w:val="auto"/>
          <w:sz w:val="44"/>
          <w:szCs w:val="44"/>
        </w:rPr>
        <w:t>年度</w:t>
      </w:r>
      <w:bookmarkEnd w:id="0"/>
      <w:r>
        <w:rPr>
          <w:rFonts w:hint="eastAsia" w:ascii="创艺简老宋" w:hAnsi="创艺简老宋" w:eastAsia="创艺简老宋" w:cs="创艺简老宋"/>
          <w:bCs/>
          <w:color w:val="auto"/>
          <w:sz w:val="44"/>
          <w:szCs w:val="44"/>
        </w:rPr>
        <w:t xml:space="preserve">部门整体支出绩效自评报告 </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为加强财政预算资金管理，进一步规范预算资金使用，提高财政资金使用效益，根据《岳阳市财政局 岳阳市审计局关于印发&lt;2022年度岳阳市预算绩效管理工作方案&gt;的通知》（岳财发〔2022〕6号）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岳阳市财政局 岳阳市审计局关于印发&lt;岳阳市预算绩效监控管理办法&gt;的通知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(岳财发〔2022〕15号)</w:t>
      </w:r>
      <w:r>
        <w:rPr>
          <w:rFonts w:hint="eastAsia" w:ascii="仿宋_GB2312" w:hAnsi="仿宋_GB2312" w:eastAsia="仿宋_GB2312" w:cs="仿宋_GB2312"/>
          <w:color w:val="auto"/>
          <w:sz w:val="32"/>
          <w:szCs w:val="32"/>
          <w:lang w:val="en-US" w:eastAsia="zh-CN"/>
        </w:rPr>
        <w:t>的文件</w:t>
      </w:r>
      <w:r>
        <w:rPr>
          <w:rFonts w:hint="eastAsia" w:ascii="仿宋_GB2312" w:hAnsi="仿宋_GB2312" w:eastAsia="仿宋_GB2312" w:cs="仿宋_GB2312"/>
          <w:color w:val="auto"/>
          <w:sz w:val="32"/>
          <w:szCs w:val="32"/>
        </w:rPr>
        <w:t>要求，我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积极组织对20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年度本部门整体支出进行了绩效自评，自评得分9</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分，现将有关情况报告如下：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一、基本概况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编制机构情况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根据市财政局统一安排，现将我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年度预算绩效管理工作情况简要汇报如下：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一、单位基本情况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行使本辖区内国省干线公路桥梁的规划、建设、养护、汽车渡运等有关行政管理职责，负责全市境内国省干线公路建设、养护资金计划的编制和组织实施等工作。</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机构设置</w:t>
      </w:r>
      <w:r>
        <w:rPr>
          <w:rFonts w:hint="eastAsia" w:ascii="仿宋_GB2312" w:hAnsi="仿宋_GB2312" w:eastAsia="仿宋_GB2312" w:cs="仿宋_GB2312"/>
          <w:color w:val="auto"/>
          <w:sz w:val="32"/>
          <w:szCs w:val="32"/>
          <w:lang w:val="en-US" w:eastAsia="zh-CN"/>
        </w:rPr>
        <w:t>及决算单位构成。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内设机构设置。</w:t>
      </w:r>
      <w:r>
        <w:rPr>
          <w:rFonts w:hint="eastAsia" w:ascii="仿宋_GB2312" w:hAnsi="仿宋_GB2312" w:eastAsia="仿宋_GB2312" w:cs="仿宋_GB2312"/>
          <w:color w:val="auto"/>
          <w:sz w:val="32"/>
          <w:szCs w:val="32"/>
          <w:lang w:val="en-US" w:eastAsia="zh-CN"/>
        </w:rPr>
        <w:t>岳阳市公路建设和养护中心</w:t>
      </w:r>
      <w:r>
        <w:rPr>
          <w:rFonts w:hint="eastAsia" w:ascii="仿宋_GB2312" w:hAnsi="仿宋_GB2312" w:eastAsia="仿宋_GB2312" w:cs="仿宋_GB2312"/>
          <w:color w:val="auto"/>
          <w:sz w:val="32"/>
          <w:szCs w:val="32"/>
        </w:rPr>
        <w:t>内设机构包括：</w:t>
      </w:r>
      <w:r>
        <w:rPr>
          <w:rFonts w:hint="eastAsia" w:ascii="仿宋_GB2312" w:hAnsi="仿宋_GB2312" w:eastAsia="仿宋_GB2312" w:cs="仿宋_GB2312"/>
          <w:color w:val="auto"/>
          <w:sz w:val="32"/>
          <w:szCs w:val="32"/>
          <w:lang w:val="en-US" w:eastAsia="zh-CN"/>
        </w:rPr>
        <w:t>综合部，公路养护部，工程建设部，计划统计部，农村公路部，安全事务部，路产路权事务部，国有资产管理部，财务部，法规事务部，审计事务部，人事部等十二个部门。</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下</w:t>
      </w:r>
      <w:r>
        <w:rPr>
          <w:rFonts w:hint="eastAsia" w:ascii="仿宋_GB2312" w:hAnsi="仿宋_GB2312" w:eastAsia="仿宋_GB2312" w:cs="仿宋_GB2312"/>
          <w:color w:val="auto"/>
          <w:sz w:val="32"/>
          <w:szCs w:val="32"/>
          <w:lang w:val="en-US" w:eastAsia="zh-CN"/>
        </w:rPr>
        <w:t>设G</w:t>
      </w:r>
      <w:r>
        <w:rPr>
          <w:rFonts w:hint="eastAsia" w:ascii="仿宋_GB2312" w:hAnsi="仿宋_GB2312" w:eastAsia="仿宋_GB2312" w:cs="仿宋_GB2312"/>
          <w:color w:val="auto"/>
          <w:sz w:val="32"/>
          <w:szCs w:val="32"/>
        </w:rPr>
        <w:t>107国道管理处，市区、云溪、君山三个区公路</w:t>
      </w:r>
      <w:r>
        <w:rPr>
          <w:rFonts w:hint="eastAsia" w:ascii="仿宋_GB2312" w:hAnsi="仿宋_GB2312" w:eastAsia="仿宋_GB2312" w:cs="仿宋_GB2312"/>
          <w:color w:val="auto"/>
          <w:sz w:val="32"/>
          <w:szCs w:val="32"/>
          <w:lang w:val="en-US" w:eastAsia="zh-CN"/>
        </w:rPr>
        <w:t>建设和养护中心</w:t>
      </w:r>
      <w:r>
        <w:rPr>
          <w:rFonts w:hint="eastAsia" w:ascii="仿宋_GB2312" w:hAnsi="仿宋_GB2312" w:eastAsia="仿宋_GB2312" w:cs="仿宋_GB2312"/>
          <w:color w:val="auto"/>
          <w:sz w:val="32"/>
          <w:szCs w:val="32"/>
        </w:rPr>
        <w:t>，北门战备渡口所、岳兴公路管理所、公路物资供应站、公路建设质量检测中心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岳阳路桥总公司（路桥施工处）、公路建设投资管理有限公司等</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个正科级单位。20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年全</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实有人数</w:t>
      </w:r>
      <w:r>
        <w:rPr>
          <w:rFonts w:hint="eastAsia" w:ascii="仿宋_GB2312" w:hAnsi="仿宋_GB2312" w:eastAsia="仿宋_GB2312" w:cs="仿宋_GB2312"/>
          <w:color w:val="auto"/>
          <w:sz w:val="32"/>
          <w:szCs w:val="32"/>
          <w:lang w:val="en-US" w:eastAsia="zh-CN"/>
        </w:rPr>
        <w:t>534</w:t>
      </w:r>
      <w:r>
        <w:rPr>
          <w:rFonts w:hint="eastAsia" w:ascii="仿宋_GB2312" w:hAnsi="仿宋_GB2312" w:eastAsia="仿宋_GB2312" w:cs="仿宋_GB2312"/>
          <w:color w:val="auto"/>
          <w:sz w:val="32"/>
          <w:szCs w:val="32"/>
        </w:rPr>
        <w:t>人，其中在编全额拨款职工</w:t>
      </w:r>
      <w:r>
        <w:rPr>
          <w:rFonts w:hint="eastAsia" w:ascii="仿宋_GB2312" w:hAnsi="仿宋_GB2312" w:eastAsia="仿宋_GB2312" w:cs="仿宋_GB2312"/>
          <w:color w:val="auto"/>
          <w:sz w:val="32"/>
          <w:szCs w:val="32"/>
          <w:lang w:val="en-US" w:eastAsia="zh-CN"/>
        </w:rPr>
        <w:t>562</w:t>
      </w:r>
      <w:r>
        <w:rPr>
          <w:rFonts w:hint="eastAsia" w:ascii="仿宋_GB2312" w:hAnsi="仿宋_GB2312" w:eastAsia="仿宋_GB2312" w:cs="仿宋_GB2312"/>
          <w:color w:val="auto"/>
          <w:sz w:val="32"/>
          <w:szCs w:val="32"/>
        </w:rPr>
        <w:t>人。</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二、预算绩效管理工作开展情况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领导对预算绩效管理工作十分重视。市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专门成立了预算绩效管理工作领导小组，建立了绩效跟踪监控制度。</w:t>
      </w:r>
      <w:r>
        <w:rPr>
          <w:rFonts w:hint="eastAsia" w:ascii="仿宋_GB2312" w:hAnsi="仿宋_GB2312" w:eastAsia="仿宋_GB2312" w:cs="仿宋_GB2312"/>
          <w:color w:val="auto"/>
          <w:sz w:val="32"/>
          <w:szCs w:val="32"/>
          <w:lang w:val="en-US" w:eastAsia="zh-CN"/>
        </w:rPr>
        <w:t>中心主任彭旅京</w:t>
      </w:r>
      <w:r>
        <w:rPr>
          <w:rFonts w:hint="eastAsia" w:ascii="仿宋_GB2312" w:hAnsi="仿宋_GB2312" w:eastAsia="仿宋_GB2312" w:cs="仿宋_GB2312"/>
          <w:color w:val="auto"/>
          <w:sz w:val="32"/>
          <w:szCs w:val="32"/>
        </w:rPr>
        <w:t>亲任领导小组组长，分管财务和计划工作的两位副</w:t>
      </w:r>
      <w:r>
        <w:rPr>
          <w:rFonts w:hint="eastAsia" w:ascii="仿宋_GB2312" w:hAnsi="仿宋_GB2312" w:eastAsia="仿宋_GB2312" w:cs="仿宋_GB2312"/>
          <w:color w:val="auto"/>
          <w:sz w:val="32"/>
          <w:szCs w:val="32"/>
          <w:lang w:val="en-US" w:eastAsia="zh-CN"/>
        </w:rPr>
        <w:t>主任</w:t>
      </w:r>
      <w:r>
        <w:rPr>
          <w:rFonts w:hint="eastAsia" w:ascii="仿宋_GB2312" w:hAnsi="仿宋_GB2312" w:eastAsia="仿宋_GB2312" w:cs="仿宋_GB2312"/>
          <w:color w:val="auto"/>
          <w:sz w:val="32"/>
          <w:szCs w:val="32"/>
        </w:rPr>
        <w:t>任副组长，</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财务、计划、审计、养护等部门负责人任小组成员，各部门分工明确，相互协调、监督。为保持工作的连续性和有效性，领导小组还明确了专门的工作联络员。根据市财政局要求，我们及时报送了预算绩效管理目标申报表、部门预算整体绩效监控情况表、绩效目标具体了项目实施及量化指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根据现行管理体制，我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经费预算主要包括两部分：一是市财政年度部门预算安排基本支出，二是省交通厅下达养护工程计划后省市财政部门对应安排项目资金。</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基本支出预算绩效管理</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⑴预算资金来源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年市财政局以岳市财预【20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号文下达我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部门预算批复</w:t>
      </w:r>
      <w:r>
        <w:rPr>
          <w:rFonts w:hint="eastAsia" w:ascii="仿宋_GB2312" w:hAnsi="仿宋_GB2312" w:eastAsia="仿宋_GB2312" w:cs="仿宋_GB2312"/>
          <w:color w:val="auto"/>
          <w:sz w:val="32"/>
          <w:szCs w:val="32"/>
          <w:lang w:val="en-US" w:eastAsia="zh-CN"/>
        </w:rPr>
        <w:t>7250.37</w:t>
      </w:r>
      <w:r>
        <w:rPr>
          <w:rFonts w:hint="eastAsia" w:ascii="仿宋_GB2312" w:hAnsi="仿宋_GB2312" w:eastAsia="仿宋_GB2312" w:cs="仿宋_GB2312"/>
          <w:color w:val="auto"/>
          <w:sz w:val="32"/>
          <w:szCs w:val="32"/>
        </w:rPr>
        <w:t>万元，其中一般预算经费拨款</w:t>
      </w:r>
      <w:r>
        <w:rPr>
          <w:rFonts w:hint="eastAsia" w:ascii="仿宋_GB2312" w:hAnsi="仿宋_GB2312" w:eastAsia="仿宋_GB2312" w:cs="仿宋_GB2312"/>
          <w:color w:val="auto"/>
          <w:sz w:val="32"/>
          <w:szCs w:val="32"/>
          <w:lang w:val="en-US" w:eastAsia="zh-CN"/>
        </w:rPr>
        <w:t>6570.37</w:t>
      </w:r>
      <w:r>
        <w:rPr>
          <w:rFonts w:hint="eastAsia" w:ascii="仿宋_GB2312" w:hAnsi="仿宋_GB2312" w:eastAsia="仿宋_GB2312" w:cs="仿宋_GB2312"/>
          <w:color w:val="auto"/>
          <w:sz w:val="32"/>
          <w:szCs w:val="32"/>
        </w:rPr>
        <w:t>万元、纳入预算管理的非税收入拨款</w:t>
      </w:r>
      <w:r>
        <w:rPr>
          <w:rFonts w:hint="eastAsia" w:ascii="仿宋_GB2312" w:hAnsi="仿宋_GB2312" w:eastAsia="仿宋_GB2312" w:cs="仿宋_GB2312"/>
          <w:color w:val="auto"/>
          <w:sz w:val="32"/>
          <w:szCs w:val="32"/>
          <w:lang w:val="en-US" w:eastAsia="zh-CN"/>
        </w:rPr>
        <w:t>680</w:t>
      </w:r>
      <w:r>
        <w:rPr>
          <w:rFonts w:hint="eastAsia" w:ascii="仿宋_GB2312" w:hAnsi="仿宋_GB2312" w:eastAsia="仿宋_GB2312" w:cs="仿宋_GB2312"/>
          <w:color w:val="auto"/>
          <w:sz w:val="32"/>
          <w:szCs w:val="32"/>
        </w:rPr>
        <w:t>万元。具体分项为：</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工资福利支出</w:t>
      </w:r>
      <w:r>
        <w:rPr>
          <w:rFonts w:hint="eastAsia" w:ascii="仿宋_GB2312" w:hAnsi="仿宋_GB2312" w:eastAsia="仿宋_GB2312" w:cs="仿宋_GB2312"/>
          <w:color w:val="auto"/>
          <w:sz w:val="32"/>
          <w:szCs w:val="32"/>
          <w:lang w:val="en-US" w:eastAsia="zh-CN"/>
        </w:rPr>
        <w:t>5677.5</w:t>
      </w:r>
      <w:r>
        <w:rPr>
          <w:rFonts w:hint="eastAsia" w:ascii="仿宋_GB2312" w:hAnsi="仿宋_GB2312" w:eastAsia="仿宋_GB2312" w:cs="仿宋_GB2312"/>
          <w:color w:val="auto"/>
          <w:sz w:val="32"/>
          <w:szCs w:val="32"/>
        </w:rPr>
        <w:t>万元。包括：⑴基本工资</w:t>
      </w:r>
      <w:r>
        <w:rPr>
          <w:rFonts w:hint="eastAsia" w:ascii="仿宋_GB2312" w:hAnsi="仿宋_GB2312" w:eastAsia="仿宋_GB2312" w:cs="仿宋_GB2312"/>
          <w:color w:val="auto"/>
          <w:sz w:val="32"/>
          <w:szCs w:val="32"/>
          <w:lang w:val="en-US" w:eastAsia="zh-CN"/>
        </w:rPr>
        <w:t>2915.54</w:t>
      </w:r>
      <w:r>
        <w:rPr>
          <w:rFonts w:hint="eastAsia" w:ascii="仿宋_GB2312" w:hAnsi="仿宋_GB2312" w:eastAsia="仿宋_GB2312" w:cs="仿宋_GB2312"/>
          <w:color w:val="auto"/>
          <w:sz w:val="32"/>
          <w:szCs w:val="32"/>
        </w:rPr>
        <w:t>万元，⑵规范性公务员津贴补贴</w:t>
      </w:r>
      <w:r>
        <w:rPr>
          <w:rFonts w:hint="eastAsia" w:ascii="仿宋_GB2312" w:hAnsi="仿宋_GB2312" w:eastAsia="仿宋_GB2312" w:cs="仿宋_GB2312"/>
          <w:color w:val="auto"/>
          <w:sz w:val="32"/>
          <w:szCs w:val="32"/>
          <w:lang w:val="en-US" w:eastAsia="zh-CN"/>
        </w:rPr>
        <w:t>178.47</w:t>
      </w:r>
      <w:r>
        <w:rPr>
          <w:rFonts w:hint="eastAsia" w:ascii="仿宋_GB2312" w:hAnsi="仿宋_GB2312" w:eastAsia="仿宋_GB2312" w:cs="仿宋_GB2312"/>
          <w:color w:val="auto"/>
          <w:sz w:val="32"/>
          <w:szCs w:val="32"/>
        </w:rPr>
        <w:t>万元，⑶特殊岗位津贴</w:t>
      </w:r>
      <w:r>
        <w:rPr>
          <w:rFonts w:hint="eastAsia" w:ascii="仿宋_GB2312" w:hAnsi="仿宋_GB2312" w:eastAsia="仿宋_GB2312" w:cs="仿宋_GB2312"/>
          <w:color w:val="auto"/>
          <w:sz w:val="32"/>
          <w:szCs w:val="32"/>
          <w:lang w:val="en-US" w:eastAsia="zh-CN"/>
        </w:rPr>
        <w:t>11.05</w:t>
      </w:r>
      <w:r>
        <w:rPr>
          <w:rFonts w:hint="eastAsia" w:ascii="仿宋_GB2312" w:hAnsi="仿宋_GB2312" w:eastAsia="仿宋_GB2312" w:cs="仿宋_GB2312"/>
          <w:color w:val="auto"/>
          <w:sz w:val="32"/>
          <w:szCs w:val="32"/>
        </w:rPr>
        <w:t>万元，⑷</w:t>
      </w:r>
      <w:r>
        <w:rPr>
          <w:rFonts w:hint="eastAsia" w:ascii="仿宋_GB2312" w:hAnsi="仿宋_GB2312" w:eastAsia="仿宋_GB2312" w:cs="仿宋_GB2312"/>
          <w:color w:val="auto"/>
          <w:sz w:val="32"/>
          <w:szCs w:val="32"/>
          <w:lang w:val="en-US" w:eastAsia="zh-CN"/>
        </w:rPr>
        <w:t>职工基本</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val="en-US" w:eastAsia="zh-CN"/>
        </w:rPr>
        <w:t>329.35</w:t>
      </w:r>
      <w:r>
        <w:rPr>
          <w:rFonts w:hint="eastAsia" w:ascii="仿宋_GB2312" w:hAnsi="仿宋_GB2312" w:eastAsia="仿宋_GB2312" w:cs="仿宋_GB2312"/>
          <w:color w:val="auto"/>
          <w:sz w:val="32"/>
          <w:szCs w:val="32"/>
        </w:rPr>
        <w:t>万元，（5）生育保险</w:t>
      </w:r>
      <w:r>
        <w:rPr>
          <w:rFonts w:hint="eastAsia" w:ascii="仿宋_GB2312" w:hAnsi="仿宋_GB2312" w:eastAsia="仿宋_GB2312" w:cs="仿宋_GB2312"/>
          <w:color w:val="auto"/>
          <w:sz w:val="32"/>
          <w:szCs w:val="32"/>
          <w:lang w:val="en-US" w:eastAsia="zh-CN"/>
        </w:rPr>
        <w:t>19.05</w:t>
      </w:r>
      <w:r>
        <w:rPr>
          <w:rFonts w:hint="eastAsia" w:ascii="仿宋_GB2312" w:hAnsi="仿宋_GB2312" w:eastAsia="仿宋_GB2312" w:cs="仿宋_GB2312"/>
          <w:color w:val="auto"/>
          <w:sz w:val="32"/>
          <w:szCs w:val="32"/>
        </w:rPr>
        <w:t>万元，（6）工伤保险</w:t>
      </w:r>
      <w:r>
        <w:rPr>
          <w:rFonts w:hint="eastAsia" w:ascii="仿宋_GB2312" w:hAnsi="仿宋_GB2312" w:eastAsia="仿宋_GB2312" w:cs="仿宋_GB2312"/>
          <w:color w:val="auto"/>
          <w:sz w:val="32"/>
          <w:szCs w:val="32"/>
          <w:lang w:val="en-US" w:eastAsia="zh-CN"/>
        </w:rPr>
        <w:t>38.1</w:t>
      </w:r>
      <w:r>
        <w:rPr>
          <w:rFonts w:hint="eastAsia" w:ascii="仿宋_GB2312" w:hAnsi="仿宋_GB2312" w:eastAsia="仿宋_GB2312" w:cs="仿宋_GB2312"/>
          <w:color w:val="auto"/>
          <w:sz w:val="32"/>
          <w:szCs w:val="32"/>
        </w:rPr>
        <w:t>万元，（7）残疾人保障金</w:t>
      </w:r>
      <w:r>
        <w:rPr>
          <w:rFonts w:hint="eastAsia" w:ascii="仿宋_GB2312" w:hAnsi="仿宋_GB2312" w:eastAsia="仿宋_GB2312" w:cs="仿宋_GB2312"/>
          <w:color w:val="auto"/>
          <w:sz w:val="32"/>
          <w:szCs w:val="32"/>
          <w:lang w:val="en-US" w:eastAsia="zh-CN"/>
        </w:rPr>
        <w:t>70.21</w:t>
      </w:r>
      <w:r>
        <w:rPr>
          <w:rFonts w:hint="eastAsia" w:ascii="仿宋_GB2312" w:hAnsi="仿宋_GB2312" w:eastAsia="仿宋_GB2312" w:cs="仿宋_GB2312"/>
          <w:color w:val="auto"/>
          <w:sz w:val="32"/>
          <w:szCs w:val="32"/>
        </w:rPr>
        <w:t>万元，（8）绩效工资</w:t>
      </w:r>
      <w:r>
        <w:rPr>
          <w:rFonts w:hint="eastAsia" w:ascii="仿宋_GB2312" w:hAnsi="仿宋_GB2312" w:eastAsia="仿宋_GB2312" w:cs="仿宋_GB2312"/>
          <w:color w:val="auto"/>
          <w:sz w:val="32"/>
          <w:szCs w:val="32"/>
          <w:lang w:val="en-US" w:eastAsia="zh-CN"/>
        </w:rPr>
        <w:t>891.57</w:t>
      </w:r>
      <w:r>
        <w:rPr>
          <w:rFonts w:hint="eastAsia" w:ascii="仿宋_GB2312" w:hAnsi="仿宋_GB2312" w:eastAsia="仿宋_GB2312" w:cs="仿宋_GB2312"/>
          <w:color w:val="auto"/>
          <w:sz w:val="32"/>
          <w:szCs w:val="32"/>
        </w:rPr>
        <w:t>万元，（9）机关事业单位基本养老保险缴费</w:t>
      </w:r>
      <w:r>
        <w:rPr>
          <w:rFonts w:hint="eastAsia" w:ascii="仿宋_GB2312" w:hAnsi="仿宋_GB2312" w:eastAsia="仿宋_GB2312" w:cs="仿宋_GB2312"/>
          <w:color w:val="auto"/>
          <w:sz w:val="32"/>
          <w:szCs w:val="32"/>
          <w:lang w:val="en-US" w:eastAsia="zh-CN"/>
        </w:rPr>
        <w:t>639.47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公务员医疗补助缴费20.09万元，（11）住房公积金564.6万元。</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对个人和家庭的补助支出</w:t>
      </w:r>
      <w:r>
        <w:rPr>
          <w:rFonts w:hint="eastAsia" w:ascii="仿宋_GB2312" w:hAnsi="仿宋_GB2312" w:eastAsia="仿宋_GB2312" w:cs="仿宋_GB2312"/>
          <w:color w:val="auto"/>
          <w:sz w:val="32"/>
          <w:szCs w:val="32"/>
          <w:lang w:val="en-US" w:eastAsia="zh-CN"/>
        </w:rPr>
        <w:t>39.58</w:t>
      </w:r>
      <w:r>
        <w:rPr>
          <w:rFonts w:hint="eastAsia" w:ascii="仿宋_GB2312" w:hAnsi="仿宋_GB2312" w:eastAsia="仿宋_GB2312" w:cs="仿宋_GB2312"/>
          <w:color w:val="auto"/>
          <w:sz w:val="32"/>
          <w:szCs w:val="32"/>
        </w:rPr>
        <w:t>万元。包括：⑴离退休费</w:t>
      </w:r>
      <w:r>
        <w:rPr>
          <w:rFonts w:hint="eastAsia" w:ascii="仿宋_GB2312" w:hAnsi="仿宋_GB2312" w:eastAsia="仿宋_GB2312" w:cs="仿宋_GB2312"/>
          <w:color w:val="auto"/>
          <w:sz w:val="32"/>
          <w:szCs w:val="32"/>
          <w:lang w:val="en-US" w:eastAsia="zh-CN"/>
        </w:rPr>
        <w:t>7.92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3、一般商品和服务支出</w:t>
      </w:r>
      <w:r>
        <w:rPr>
          <w:rFonts w:hint="eastAsia" w:ascii="仿宋_GB2312" w:hAnsi="仿宋_GB2312" w:eastAsia="仿宋_GB2312" w:cs="仿宋_GB2312"/>
          <w:color w:val="auto"/>
          <w:sz w:val="32"/>
          <w:szCs w:val="32"/>
          <w:lang w:val="en-US" w:eastAsia="zh-CN"/>
        </w:rPr>
        <w:t>734.95</w:t>
      </w:r>
      <w:r>
        <w:rPr>
          <w:rFonts w:hint="eastAsia" w:ascii="仿宋_GB2312" w:hAnsi="仿宋_GB2312" w:eastAsia="仿宋_GB2312" w:cs="仿宋_GB2312"/>
          <w:color w:val="auto"/>
          <w:sz w:val="32"/>
          <w:szCs w:val="32"/>
        </w:rPr>
        <w:t>万元。包括：⑴办公经费</w:t>
      </w:r>
      <w:r>
        <w:rPr>
          <w:rFonts w:hint="eastAsia" w:ascii="仿宋_GB2312" w:hAnsi="仿宋_GB2312" w:eastAsia="仿宋_GB2312" w:cs="仿宋_GB2312"/>
          <w:color w:val="auto"/>
          <w:sz w:val="32"/>
          <w:szCs w:val="32"/>
          <w:lang w:val="en-US" w:eastAsia="zh-CN"/>
        </w:rPr>
        <w:t>15.49</w:t>
      </w:r>
      <w:r>
        <w:rPr>
          <w:rFonts w:hint="eastAsia" w:ascii="仿宋_GB2312" w:hAnsi="仿宋_GB2312" w:eastAsia="仿宋_GB2312" w:cs="仿宋_GB2312"/>
          <w:color w:val="auto"/>
          <w:sz w:val="32"/>
          <w:szCs w:val="32"/>
        </w:rPr>
        <w:t>万元，⑵印刷费</w:t>
      </w:r>
      <w:r>
        <w:rPr>
          <w:rFonts w:hint="eastAsia" w:ascii="仿宋_GB2312" w:hAnsi="仿宋_GB2312" w:eastAsia="仿宋_GB2312" w:cs="仿宋_GB2312"/>
          <w:color w:val="auto"/>
          <w:sz w:val="32"/>
          <w:szCs w:val="32"/>
          <w:lang w:val="en-US" w:eastAsia="zh-CN"/>
        </w:rPr>
        <w:t>10.5</w:t>
      </w:r>
      <w:r>
        <w:rPr>
          <w:rFonts w:hint="eastAsia" w:ascii="仿宋_GB2312" w:hAnsi="仿宋_GB2312" w:eastAsia="仿宋_GB2312" w:cs="仿宋_GB2312"/>
          <w:color w:val="auto"/>
          <w:sz w:val="32"/>
          <w:szCs w:val="32"/>
        </w:rPr>
        <w:t>万元，⑶水费</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万元，⑷电费</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万元，⑸邮电费</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万元，（6）物业管理费</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万元，（7）差旅费</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万元，（8）维修费</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万元，（9）培训费</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万元，（10）公务接待费</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万元，（11）工会经费</w:t>
      </w:r>
      <w:r>
        <w:rPr>
          <w:rFonts w:hint="eastAsia" w:ascii="仿宋_GB2312" w:hAnsi="仿宋_GB2312" w:eastAsia="仿宋_GB2312" w:cs="仿宋_GB2312"/>
          <w:color w:val="auto"/>
          <w:sz w:val="32"/>
          <w:szCs w:val="32"/>
          <w:lang w:val="en-US" w:eastAsia="zh-CN"/>
        </w:rPr>
        <w:t>33.77</w:t>
      </w:r>
      <w:r>
        <w:rPr>
          <w:rFonts w:hint="eastAsia" w:ascii="仿宋_GB2312" w:hAnsi="仿宋_GB2312" w:eastAsia="仿宋_GB2312" w:cs="仿宋_GB2312"/>
          <w:color w:val="auto"/>
          <w:sz w:val="32"/>
          <w:szCs w:val="32"/>
        </w:rPr>
        <w:t>万元，（12）工会经费</w:t>
      </w:r>
      <w:r>
        <w:rPr>
          <w:rFonts w:hint="eastAsia" w:ascii="仿宋_GB2312" w:hAnsi="仿宋_GB2312" w:eastAsia="仿宋_GB2312" w:cs="仿宋_GB2312"/>
          <w:color w:val="auto"/>
          <w:sz w:val="32"/>
          <w:szCs w:val="32"/>
          <w:lang w:val="en-US" w:eastAsia="zh-CN"/>
        </w:rPr>
        <w:t>50.66</w:t>
      </w:r>
      <w:r>
        <w:rPr>
          <w:rFonts w:hint="eastAsia" w:ascii="仿宋_GB2312" w:hAnsi="仿宋_GB2312" w:eastAsia="仿宋_GB2312" w:cs="仿宋_GB2312"/>
          <w:color w:val="auto"/>
          <w:sz w:val="32"/>
          <w:szCs w:val="32"/>
        </w:rPr>
        <w:t>万元，（13）福利费</w:t>
      </w:r>
      <w:r>
        <w:rPr>
          <w:rFonts w:hint="eastAsia" w:ascii="仿宋_GB2312" w:hAnsi="仿宋_GB2312" w:eastAsia="仿宋_GB2312" w:cs="仿宋_GB2312"/>
          <w:color w:val="auto"/>
          <w:sz w:val="32"/>
          <w:szCs w:val="32"/>
          <w:lang w:val="en-US" w:eastAsia="zh-CN"/>
        </w:rPr>
        <w:t>72.88</w:t>
      </w:r>
      <w:r>
        <w:rPr>
          <w:rFonts w:hint="eastAsia" w:ascii="仿宋_GB2312" w:hAnsi="仿宋_GB2312" w:eastAsia="仿宋_GB2312" w:cs="仿宋_GB2312"/>
          <w:color w:val="auto"/>
          <w:sz w:val="32"/>
          <w:szCs w:val="32"/>
        </w:rPr>
        <w:t>万元，（14）公务用车运行维护费</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万元，（15）公务交通补贴</w:t>
      </w:r>
      <w:r>
        <w:rPr>
          <w:rFonts w:hint="eastAsia" w:ascii="仿宋_GB2312" w:hAnsi="仿宋_GB2312" w:eastAsia="仿宋_GB2312" w:cs="仿宋_GB2312"/>
          <w:color w:val="auto"/>
          <w:sz w:val="32"/>
          <w:szCs w:val="32"/>
          <w:lang w:val="en-US" w:eastAsia="zh-CN"/>
        </w:rPr>
        <w:t>29.65</w:t>
      </w:r>
      <w:r>
        <w:rPr>
          <w:rFonts w:hint="eastAsia" w:ascii="仿宋_GB2312" w:hAnsi="仿宋_GB2312" w:eastAsia="仿宋_GB2312" w:cs="仿宋_GB2312"/>
          <w:color w:val="auto"/>
          <w:sz w:val="32"/>
          <w:szCs w:val="32"/>
        </w:rPr>
        <w:t>万元，（16）</w:t>
      </w:r>
      <w:r>
        <w:rPr>
          <w:rFonts w:hint="eastAsia" w:ascii="仿宋_GB2312" w:hAnsi="仿宋_GB2312" w:eastAsia="仿宋_GB2312" w:cs="仿宋_GB2312"/>
          <w:color w:val="auto"/>
          <w:sz w:val="32"/>
          <w:szCs w:val="32"/>
          <w:lang w:val="en-US" w:eastAsia="zh-CN"/>
        </w:rPr>
        <w:t>会议费20</w:t>
      </w:r>
      <w:r>
        <w:rPr>
          <w:rFonts w:hint="eastAsia" w:ascii="仿宋_GB2312" w:hAnsi="仿宋_GB2312" w:eastAsia="仿宋_GB2312" w:cs="仿宋_GB2312"/>
          <w:color w:val="auto"/>
          <w:sz w:val="32"/>
          <w:szCs w:val="32"/>
        </w:rPr>
        <w:t>万元，（17）其他商品和服务支出</w:t>
      </w:r>
      <w:r>
        <w:rPr>
          <w:rFonts w:hint="eastAsia" w:ascii="仿宋_GB2312" w:hAnsi="仿宋_GB2312" w:eastAsia="仿宋_GB2312" w:cs="仿宋_GB2312"/>
          <w:color w:val="auto"/>
          <w:sz w:val="32"/>
          <w:szCs w:val="32"/>
          <w:lang w:val="en-US" w:eastAsia="zh-CN"/>
        </w:rPr>
        <w:t>88.92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其他交通费20.08万元</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4、专项商品和服务支出</w:t>
      </w:r>
      <w:r>
        <w:rPr>
          <w:rFonts w:hint="eastAsia" w:ascii="仿宋_GB2312" w:hAnsi="仿宋_GB2312" w:eastAsia="仿宋_GB2312" w:cs="仿宋_GB2312"/>
          <w:color w:val="auto"/>
          <w:sz w:val="32"/>
          <w:szCs w:val="32"/>
          <w:lang w:val="en-US" w:eastAsia="zh-CN"/>
        </w:rPr>
        <w:t>830</w:t>
      </w:r>
      <w:r>
        <w:rPr>
          <w:rFonts w:hint="eastAsia" w:ascii="仿宋_GB2312" w:hAnsi="仿宋_GB2312" w:eastAsia="仿宋_GB2312" w:cs="仿宋_GB2312"/>
          <w:color w:val="auto"/>
          <w:sz w:val="32"/>
          <w:szCs w:val="32"/>
        </w:rPr>
        <w:t>万元。包括：⑴非税收入</w:t>
      </w:r>
      <w:r>
        <w:rPr>
          <w:rFonts w:hint="eastAsia" w:ascii="仿宋_GB2312" w:hAnsi="仿宋_GB2312" w:eastAsia="仿宋_GB2312" w:cs="仿宋_GB2312"/>
          <w:color w:val="auto"/>
          <w:sz w:val="32"/>
          <w:szCs w:val="32"/>
          <w:lang w:val="en-US" w:eastAsia="zh-CN"/>
        </w:rPr>
        <w:t>征</w:t>
      </w:r>
      <w:r>
        <w:rPr>
          <w:rFonts w:hint="eastAsia" w:ascii="仿宋_GB2312" w:hAnsi="仿宋_GB2312" w:eastAsia="仿宋_GB2312" w:cs="仿宋_GB2312"/>
          <w:color w:val="auto"/>
          <w:sz w:val="32"/>
          <w:szCs w:val="32"/>
        </w:rPr>
        <w:t>收成本</w:t>
      </w:r>
      <w:r>
        <w:rPr>
          <w:rFonts w:hint="eastAsia" w:ascii="仿宋_GB2312" w:hAnsi="仿宋_GB2312" w:eastAsia="仿宋_GB2312" w:cs="仿宋_GB2312"/>
          <w:color w:val="auto"/>
          <w:sz w:val="32"/>
          <w:szCs w:val="32"/>
          <w:lang w:val="en-US" w:eastAsia="zh-CN"/>
        </w:rPr>
        <w:t>780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湘北大道配套设施维护和道路保洁经费50万</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综上，</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年市财政预算安排我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人员经费</w:t>
      </w:r>
      <w:r>
        <w:rPr>
          <w:rFonts w:hint="eastAsia" w:ascii="仿宋_GB2312" w:hAnsi="仿宋_GB2312" w:eastAsia="仿宋_GB2312" w:cs="仿宋_GB2312"/>
          <w:color w:val="auto"/>
          <w:sz w:val="32"/>
          <w:szCs w:val="32"/>
          <w:lang w:val="en-US" w:eastAsia="zh-CN"/>
        </w:rPr>
        <w:t>5677.5</w:t>
      </w:r>
      <w:r>
        <w:rPr>
          <w:rFonts w:hint="eastAsia" w:ascii="仿宋_GB2312" w:hAnsi="仿宋_GB2312" w:eastAsia="仿宋_GB2312" w:cs="仿宋_GB2312"/>
          <w:color w:val="auto"/>
          <w:sz w:val="32"/>
          <w:szCs w:val="32"/>
        </w:rPr>
        <w:t>万元，安排办公经费（公用支出和其他商品和服务支出）</w:t>
      </w:r>
      <w:r>
        <w:rPr>
          <w:rFonts w:hint="eastAsia" w:ascii="仿宋_GB2312" w:hAnsi="仿宋_GB2312" w:eastAsia="仿宋_GB2312" w:cs="仿宋_GB2312"/>
          <w:color w:val="auto"/>
          <w:sz w:val="32"/>
          <w:szCs w:val="32"/>
          <w:lang w:val="en-US" w:eastAsia="zh-CN"/>
        </w:rPr>
        <w:t>577.64</w:t>
      </w:r>
      <w:r>
        <w:rPr>
          <w:rFonts w:hint="eastAsia" w:ascii="仿宋_GB2312" w:hAnsi="仿宋_GB2312" w:eastAsia="仿宋_GB2312" w:cs="仿宋_GB2312"/>
          <w:color w:val="auto"/>
          <w:sz w:val="32"/>
          <w:szCs w:val="32"/>
        </w:rPr>
        <w:t>万元，工会经费</w:t>
      </w:r>
      <w:r>
        <w:rPr>
          <w:rFonts w:hint="eastAsia" w:ascii="仿宋_GB2312" w:hAnsi="仿宋_GB2312" w:eastAsia="仿宋_GB2312" w:cs="仿宋_GB2312"/>
          <w:color w:val="auto"/>
          <w:sz w:val="32"/>
          <w:szCs w:val="32"/>
          <w:lang w:val="en-US" w:eastAsia="zh-CN"/>
        </w:rPr>
        <w:t>84.43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福利费72.88万元，离退休支出7.92万元，</w:t>
      </w:r>
      <w:r>
        <w:rPr>
          <w:rFonts w:hint="eastAsia" w:ascii="仿宋_GB2312" w:hAnsi="仿宋_GB2312" w:eastAsia="仿宋_GB2312" w:cs="仿宋_GB2312"/>
          <w:color w:val="auto"/>
          <w:sz w:val="32"/>
          <w:szCs w:val="32"/>
        </w:rPr>
        <w:t>安排非税收入</w:t>
      </w:r>
      <w:r>
        <w:rPr>
          <w:rFonts w:hint="eastAsia" w:ascii="仿宋_GB2312" w:hAnsi="仿宋_GB2312" w:eastAsia="仿宋_GB2312" w:cs="仿宋_GB2312"/>
          <w:color w:val="auto"/>
          <w:sz w:val="32"/>
          <w:szCs w:val="32"/>
          <w:lang w:val="en-US" w:eastAsia="zh-CN"/>
        </w:rPr>
        <w:t>征</w:t>
      </w:r>
      <w:r>
        <w:rPr>
          <w:rFonts w:hint="eastAsia" w:ascii="仿宋_GB2312" w:hAnsi="仿宋_GB2312" w:eastAsia="仿宋_GB2312" w:cs="仿宋_GB2312"/>
          <w:color w:val="auto"/>
          <w:sz w:val="32"/>
          <w:szCs w:val="32"/>
        </w:rPr>
        <w:t>收成本</w:t>
      </w:r>
      <w:r>
        <w:rPr>
          <w:rFonts w:hint="eastAsia" w:ascii="仿宋_GB2312" w:hAnsi="仿宋_GB2312" w:eastAsia="仿宋_GB2312" w:cs="仿宋_GB2312"/>
          <w:color w:val="auto"/>
          <w:sz w:val="32"/>
          <w:szCs w:val="32"/>
          <w:lang w:val="en-US" w:eastAsia="zh-CN"/>
        </w:rPr>
        <w:t>780万元（以实际补偿为准）</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因非税收入执收成本须待年末实际征收情况最终确定，因此暂不计入预算收入，也不纳入预算安排。</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据此，全局全年除非税收入</w:t>
      </w:r>
      <w:r>
        <w:rPr>
          <w:rFonts w:hint="eastAsia" w:ascii="仿宋_GB2312" w:hAnsi="仿宋_GB2312" w:eastAsia="仿宋_GB2312" w:cs="仿宋_GB2312"/>
          <w:color w:val="auto"/>
          <w:sz w:val="32"/>
          <w:szCs w:val="32"/>
          <w:lang w:val="en-US" w:eastAsia="zh-CN"/>
        </w:rPr>
        <w:t>征</w:t>
      </w:r>
      <w:r>
        <w:rPr>
          <w:rFonts w:hint="eastAsia" w:ascii="仿宋_GB2312" w:hAnsi="仿宋_GB2312" w:eastAsia="仿宋_GB2312" w:cs="仿宋_GB2312"/>
          <w:color w:val="auto"/>
          <w:sz w:val="32"/>
          <w:szCs w:val="32"/>
        </w:rPr>
        <w:t>收成本外，预计可支配预算收入</w:t>
      </w:r>
      <w:r>
        <w:rPr>
          <w:rFonts w:hint="eastAsia" w:ascii="仿宋_GB2312" w:hAnsi="仿宋_GB2312" w:eastAsia="仿宋_GB2312" w:cs="仿宋_GB2312"/>
          <w:color w:val="auto"/>
          <w:sz w:val="32"/>
          <w:szCs w:val="32"/>
          <w:lang w:val="en-US" w:eastAsia="zh-CN"/>
        </w:rPr>
        <w:t>6470.37</w:t>
      </w:r>
      <w:r>
        <w:rPr>
          <w:rFonts w:hint="eastAsia" w:ascii="仿宋_GB2312" w:hAnsi="仿宋_GB2312" w:eastAsia="仿宋_GB2312" w:cs="仿宋_GB2312"/>
          <w:color w:val="auto"/>
          <w:sz w:val="32"/>
          <w:szCs w:val="32"/>
        </w:rPr>
        <w:t>万元。</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⑵预算资金安排基本原则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①按预算收入确定支出计划。原则上资金性质和用途不变，尽可能保障人员支出，压缩公用支出。全</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val="en-US" w:eastAsia="zh-CN"/>
        </w:rPr>
        <w:t>6470.37</w:t>
      </w:r>
      <w:r>
        <w:rPr>
          <w:rFonts w:hint="eastAsia" w:ascii="仿宋_GB2312" w:hAnsi="仿宋_GB2312" w:eastAsia="仿宋_GB2312" w:cs="仿宋_GB2312"/>
          <w:color w:val="auto"/>
          <w:sz w:val="32"/>
          <w:szCs w:val="32"/>
        </w:rPr>
        <w:t>万元预算收入全部用于安排人员和公用支出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工会经费</w:t>
      </w:r>
      <w:r>
        <w:rPr>
          <w:rFonts w:hint="eastAsia" w:ascii="仿宋_GB2312" w:hAnsi="仿宋_GB2312" w:eastAsia="仿宋_GB2312" w:cs="仿宋_GB2312"/>
          <w:color w:val="auto"/>
          <w:sz w:val="32"/>
          <w:szCs w:val="32"/>
          <w:lang w:val="en-US" w:eastAsia="zh-CN"/>
        </w:rPr>
        <w:t>及离退休人员费用</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②维护预算严肃性。各预算单位要严格按照下达的文件要求执行预算，不得随意变更，因特殊情况却需要变更和调整的，须保市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批准后执行。</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③坚持厉行节约，勤俭办事原则。严格控制差旅费、公务接待费等支出，努力降低行政运行成本。</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④严格执行公务卡消费制度。积极推进公务卡消费制度，公务卡消费支出占授权支付比例的比重不得低于50%。</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⑶预算资金安排具体办法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①按照“三定”后各单位实际在编在岗人数，以市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人事科提供的报经市人事局审批后的在职职工基本工资和基础性绩效工资以及离退休职工基本离退休费和离退休补贴标准为依据，核定各单位工资总额。市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机关按参公单位标准核定工资总额。</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②</w:t>
      </w:r>
      <w:r>
        <w:rPr>
          <w:rFonts w:hint="eastAsia" w:ascii="仿宋_GB2312" w:hAnsi="仿宋_GB2312" w:eastAsia="仿宋_GB2312" w:cs="仿宋_GB2312"/>
          <w:color w:val="auto"/>
          <w:sz w:val="32"/>
          <w:szCs w:val="32"/>
        </w:rPr>
        <w:t>工会经费和福利费按市财政预算标准据实下达各相关单位，由各单位自行安排。工会经费中40%部分共</w:t>
      </w:r>
      <w:r>
        <w:rPr>
          <w:rFonts w:hint="eastAsia" w:ascii="仿宋_GB2312" w:hAnsi="仿宋_GB2312" w:eastAsia="仿宋_GB2312" w:cs="仿宋_GB2312"/>
          <w:color w:val="auto"/>
          <w:sz w:val="32"/>
          <w:szCs w:val="32"/>
          <w:lang w:val="en-US" w:eastAsia="zh-CN"/>
        </w:rPr>
        <w:t>33.77</w:t>
      </w:r>
      <w:r>
        <w:rPr>
          <w:rFonts w:hint="eastAsia" w:ascii="仿宋_GB2312" w:hAnsi="仿宋_GB2312" w:eastAsia="仿宋_GB2312" w:cs="仿宋_GB2312"/>
          <w:color w:val="auto"/>
          <w:sz w:val="32"/>
          <w:szCs w:val="32"/>
        </w:rPr>
        <w:t>万元由市财政局代扣代缴市总工会，实际下单位经费不含此项代扣代缴经费。福利费包含在公用经费支出预算中下达。</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③</w:t>
      </w:r>
      <w:r>
        <w:rPr>
          <w:rFonts w:hint="eastAsia" w:ascii="仿宋_GB2312" w:hAnsi="仿宋_GB2312" w:eastAsia="仿宋_GB2312" w:cs="仿宋_GB2312"/>
          <w:color w:val="auto"/>
          <w:sz w:val="32"/>
          <w:szCs w:val="32"/>
        </w:rPr>
        <w:t>老干费按省市相关政策规定安排。</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④</w:t>
      </w:r>
      <w:r>
        <w:rPr>
          <w:rFonts w:hint="eastAsia" w:ascii="仿宋_GB2312" w:hAnsi="仿宋_GB2312" w:eastAsia="仿宋_GB2312" w:cs="仿宋_GB2312"/>
          <w:color w:val="auto"/>
          <w:sz w:val="32"/>
          <w:szCs w:val="32"/>
        </w:rPr>
        <w:t>医疗保险、生育保险、工伤保险及住房公积金（</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险一金）按市财政局预算标准下达各相关单位，由各单位按相关规定自行缴纳。残疾人保障金由市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统一缴付。</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⑷其他事项</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①因市财政预算未安排公路日常养护经费，因此本文未列小修保养经费计划。</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②预算资金计划安排不足部分，请各单位开源节流，自求平衡，确保人员稳定，工作正常运转。</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⑸我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对下级单位预算资金分配主要是按照部门预算项目对应安排，仅安排了基本工资（未含绩效工资）、</w:t>
      </w:r>
      <w:r>
        <w:rPr>
          <w:rFonts w:hint="eastAsia" w:ascii="仿宋_GB2312" w:hAnsi="仿宋_GB2312" w:eastAsia="仿宋_GB2312" w:cs="仿宋_GB2312"/>
          <w:color w:val="auto"/>
          <w:sz w:val="32"/>
          <w:szCs w:val="32"/>
          <w:lang w:val="en-US" w:eastAsia="zh-CN"/>
        </w:rPr>
        <w:t>政府绩效奖及综治奖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险一金”、离退休费及不足额的办公经费等。但是，我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实际基本支出远大于财政预算安排。在缺口如此巨大的情况下，我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只能是寅吃卯粮，拆东墙补西墙。尽管想尽了一切办法保工资、保运转，有关开支尽管一压再压，但巧妇难为无米之炊，正常的工资仍然难以正常发放。</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因为资金缺口严重，我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对预算绩效管理尤为重视，领导对预算资金的安排使用更加严格，有时甚至苛刻到“针尖削铁”的地步。为了搞好我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预算绩效管理工作，首先，我们在全局统一了思想，晒了家底。2</w:t>
      </w:r>
      <w:r>
        <w:rPr>
          <w:rFonts w:hint="eastAsia" w:ascii="仿宋_GB2312" w:hAnsi="仿宋_GB2312" w:eastAsia="仿宋_GB2312" w:cs="仿宋_GB2312"/>
          <w:color w:val="auto"/>
          <w:sz w:val="32"/>
          <w:szCs w:val="32"/>
          <w:lang w:val="en-US" w:eastAsia="zh-CN"/>
        </w:rPr>
        <w:t>021年</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专题召开预算（计划）工作会议，</w:t>
      </w:r>
      <w:r>
        <w:rPr>
          <w:rFonts w:hint="eastAsia" w:ascii="仿宋_GB2312" w:hAnsi="仿宋_GB2312" w:eastAsia="仿宋_GB2312" w:cs="仿宋_GB2312"/>
          <w:color w:val="auto"/>
          <w:sz w:val="32"/>
          <w:szCs w:val="32"/>
          <w:lang w:val="en-US" w:eastAsia="zh-CN"/>
        </w:rPr>
        <w:t>彭旅京主任</w:t>
      </w:r>
      <w:r>
        <w:rPr>
          <w:rFonts w:hint="eastAsia" w:ascii="仿宋_GB2312" w:hAnsi="仿宋_GB2312" w:eastAsia="仿宋_GB2312" w:cs="仿宋_GB2312"/>
          <w:color w:val="auto"/>
          <w:sz w:val="32"/>
          <w:szCs w:val="32"/>
        </w:rPr>
        <w:t>向与会的各下属单位“一把手”、</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机关各科室负责人通报了</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年市财政安排我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的预算收入情况，盘算了全</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全年经费缺口，向大家亮了家底，要求各下属单位要和市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一起努力，开源节流，共渡难关。同时，</w:t>
      </w:r>
      <w:r>
        <w:rPr>
          <w:rFonts w:hint="eastAsia" w:ascii="仿宋_GB2312" w:hAnsi="仿宋_GB2312" w:eastAsia="仿宋_GB2312" w:cs="仿宋_GB2312"/>
          <w:color w:val="auto"/>
          <w:sz w:val="32"/>
          <w:szCs w:val="32"/>
          <w:lang w:val="en-US" w:eastAsia="zh-CN"/>
        </w:rPr>
        <w:t>彭旅京主任</w:t>
      </w:r>
      <w:r>
        <w:rPr>
          <w:rFonts w:hint="eastAsia" w:ascii="仿宋_GB2312" w:hAnsi="仿宋_GB2312" w:eastAsia="仿宋_GB2312" w:cs="仿宋_GB2312"/>
          <w:color w:val="auto"/>
          <w:sz w:val="32"/>
          <w:szCs w:val="32"/>
        </w:rPr>
        <w:t>还特别强调，要使预算绩效管理成为常态，要求各下属单位也要澄清家底，出台措施，开展绩效评价工作，自求资金平衡，确保单位稳定。其次，我们严格预算管理，从严控制计划，强化了预算执行跟踪监控。下达年度预算文件后，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不再没有安排其它支出计划，对于确属不可预见的必要支出，我们也一律待年末财政追加预算后再研究确定。由于市财政只给我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下达了人员和办公经费预算，我们下达给各单位的预算也主要是人员和办公经费，因此，我们重点是指导各单位自主开展绩效管理，并对各单位今年以来的工资到位情况以及办公经费使用情况进行监管，既督促按时发放工资，又防止突破规范，同时严格控制非生产性开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（三）其它支出预算绩效管理</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主要是养路支出。年初部门预算没有安排国省干线公路养路支出计划，基于此，我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今年仍然通过市</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想办法挤一点、各养护生产单位不等不靠筹一点，勉强保障了重要线路的养护投入，拼尽全力保证了公路畅通，为地方经济建设提供了力所能及的服务。全年公路养护综合好路率可达91%以上。</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三、存在的问题及建议</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（一）足额安排人员基本支出，满足生存基本要求</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我中心人员经费</w:t>
      </w:r>
      <w:r>
        <w:rPr>
          <w:rFonts w:hint="eastAsia" w:ascii="仿宋_GB2312" w:hAnsi="仿宋_GB2312" w:eastAsia="仿宋_GB2312" w:cs="仿宋_GB2312"/>
          <w:color w:val="auto"/>
          <w:sz w:val="32"/>
          <w:szCs w:val="32"/>
        </w:rPr>
        <w:t>缺口的主要原因是预算没有足额安排我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参公以外的其他事业编制和离退人员的绩效工资，因此，我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一直饱受工资刚性缺口困扰，无法确保职工工资的正常发放。建议能增补绩效工资，解决我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职工温饱问题。</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（二）公路养护工作没有预算安排，我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无法完成基本工作任务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公路</w:t>
      </w:r>
      <w:r>
        <w:rPr>
          <w:rFonts w:hint="eastAsia" w:ascii="仿宋_GB2312" w:hAnsi="仿宋_GB2312" w:eastAsia="仿宋_GB2312" w:cs="仿宋_GB2312"/>
          <w:color w:val="auto"/>
          <w:sz w:val="32"/>
          <w:szCs w:val="32"/>
          <w:lang w:val="en-US" w:eastAsia="zh-CN"/>
        </w:rPr>
        <w:t>建设和养护中心</w:t>
      </w:r>
      <w:r>
        <w:rPr>
          <w:rFonts w:hint="eastAsia" w:ascii="仿宋_GB2312" w:hAnsi="仿宋_GB2312" w:eastAsia="仿宋_GB2312" w:cs="仿宋_GB2312"/>
          <w:color w:val="auto"/>
          <w:sz w:val="32"/>
          <w:szCs w:val="32"/>
        </w:rPr>
        <w:t>的基本职能是国省干线公路的建、养、管工作。建设暂且不论，没有钱可以不建，但养护不投入，公路便不能保障畅通。2009年成品油税费改革以来，市财政一直没有安排公路养护预算经费，全靠我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人力投入和挤占、挪用其它资金来维持公路养护，保证公路勉强畅通。但现在已难以为继，我市国省干线公路养护面临全面崩溃。我们建议在编制年度预算时适当安排养护经费预算。</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（三)养护工程地方配套资金不能到位，影响省对我市公路建设投入</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至目前，市县财政一直未能安排地方配套资金，造成部分项目无法实施。如此，则不仅存在巨大安全隐患，而且还影响省对我市交通工作考核成绩。</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(四)其它基础性项目没有安排预算，影响公路事业长远发展2009年成品油税费改革后，市财政一直未安排我</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公路养护机具、设备投入，没有安排工班、站房等基础设施投入，长此以往，将影响我市公路事业的健康发展。</w:t>
      </w:r>
    </w:p>
    <w:p>
      <w:pPr>
        <w:spacing w:line="560" w:lineRule="exact"/>
        <w:ind w:firstLine="4800" w:firstLineChars="15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岳阳市公</w:t>
      </w:r>
      <w:r>
        <w:rPr>
          <w:rFonts w:hint="eastAsia" w:ascii="仿宋_GB2312" w:hAnsi="仿宋_GB2312" w:eastAsia="仿宋_GB2312" w:cs="仿宋_GB2312"/>
          <w:color w:val="auto"/>
          <w:sz w:val="32"/>
          <w:szCs w:val="32"/>
          <w:lang w:val="en-US" w:eastAsia="zh-CN"/>
        </w:rPr>
        <w:t>路建设和养护中心</w:t>
      </w:r>
    </w:p>
    <w:p>
      <w:pPr>
        <w:spacing w:line="560" w:lineRule="exact"/>
        <w:ind w:firstLine="5440" w:firstLineChars="17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10008" w:type="dxa"/>
        <w:jc w:val="center"/>
        <w:tblLayout w:type="fixed"/>
        <w:tblCellMar>
          <w:top w:w="0" w:type="dxa"/>
          <w:left w:w="108" w:type="dxa"/>
          <w:bottom w:w="0" w:type="dxa"/>
          <w:right w:w="108" w:type="dxa"/>
        </w:tblCellMar>
      </w:tblPr>
      <w:tblGrid>
        <w:gridCol w:w="976"/>
        <w:gridCol w:w="939"/>
        <w:gridCol w:w="1389"/>
        <w:gridCol w:w="4171"/>
        <w:gridCol w:w="619"/>
        <w:gridCol w:w="695"/>
        <w:gridCol w:w="1219"/>
      </w:tblGrid>
      <w:tr>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9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21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结余不超过上年结转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9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1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color w:val="FF0000"/>
                <w:kern w:val="0"/>
                <w:sz w:val="18"/>
                <w:szCs w:val="18"/>
              </w:rPr>
              <w:br w:type="textWrapping"/>
            </w:r>
            <w:r>
              <w:rPr>
                <w:rFonts w:hint="eastAsia" w:ascii="仿宋_GB2312" w:hAnsi="宋体" w:eastAsia="仿宋_GB2312" w:cs="宋体"/>
                <w:color w:val="FF0000"/>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经济效益有待进一步提高</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w:t>
            </w:r>
            <w:r>
              <w:rPr>
                <w:rFonts w:hint="eastAsia" w:ascii="仿宋" w:hAnsi="仿宋" w:eastAsia="仿宋" w:cs="宋体"/>
                <w:kern w:val="0"/>
                <w:sz w:val="18"/>
                <w:szCs w:val="18"/>
              </w:rPr>
              <w:t>＞</w:t>
            </w:r>
            <w:r>
              <w:rPr>
                <w:rFonts w:hint="eastAsia" w:ascii="仿宋_GB2312" w:hAnsi="宋体" w:eastAsia="仿宋_GB2312" w:cs="宋体"/>
                <w:kern w:val="0"/>
                <w:sz w:val="18"/>
                <w:szCs w:val="18"/>
              </w:rPr>
              <w:t>85%</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line="560" w:lineRule="exact"/>
        <w:ind w:right="119"/>
        <w:jc w:val="left"/>
        <w:rPr>
          <w:rFonts w:ascii="仿宋_GB2312" w:hAnsi="仿宋_GB2312" w:eastAsia="仿宋_GB2312" w:cs="仿宋_GB2312"/>
          <w:color w:val="auto"/>
          <w:kern w:val="0"/>
          <w:sz w:val="32"/>
          <w:szCs w:val="32"/>
        </w:rPr>
      </w:pPr>
      <w:bookmarkStart w:id="1" w:name="_GoBack"/>
      <w:bookmarkEnd w:id="1"/>
    </w:p>
    <w:sectPr>
      <w:headerReference r:id="rId3" w:type="default"/>
      <w:footerReference r:id="rId4" w:type="default"/>
      <w:pgSz w:w="11906" w:h="16838"/>
      <w:pgMar w:top="2098" w:right="1304" w:bottom="1740" w:left="1531"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老宋">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5"/>
                </w:pPr>
                <w:r>
                  <w:t>—</w:t>
                </w:r>
                <w:r>
                  <w:rPr>
                    <w:sz w:val="24"/>
                  </w:rPr>
                  <w:t xml:space="preserve"> </w:t>
                </w:r>
                <w:r>
                  <w:rPr>
                    <w:sz w:val="24"/>
                  </w:rPr>
                  <w:fldChar w:fldCharType="begin"/>
                </w:r>
                <w:r>
                  <w:rPr>
                    <w:sz w:val="24"/>
                  </w:rPr>
                  <w:instrText xml:space="preserve"> PAGE  \* MERGEFORMAT </w:instrText>
                </w:r>
                <w:r>
                  <w:rPr>
                    <w:sz w:val="24"/>
                  </w:rPr>
                  <w:fldChar w:fldCharType="separate"/>
                </w:r>
                <w:r>
                  <w:rPr>
                    <w:sz w:val="24"/>
                    <w:lang w:val="en-US" w:eastAsia="zh-CN"/>
                  </w:rPr>
                  <w:t>2</w:t>
                </w:r>
                <w:r>
                  <w:rPr>
                    <w:sz w:val="24"/>
                  </w:rPr>
                  <w:fldChar w:fldCharType="end"/>
                </w:r>
                <w:r>
                  <w:rPr>
                    <w:sz w:val="24"/>
                  </w:rPr>
                  <w:t xml:space="preserve"> </w:t>
                </w:r>
                <w:r>
                  <w:t>—</w:t>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xNGFiNmQzMjhkZWUzYjg4YjgzZGEyZGZhZGNhYWIifQ=="/>
  </w:docVars>
  <w:rsids>
    <w:rsidRoot w:val="006611DC"/>
    <w:rsid w:val="0000056A"/>
    <w:rsid w:val="000101FD"/>
    <w:rsid w:val="000301DA"/>
    <w:rsid w:val="0004370A"/>
    <w:rsid w:val="00055CF8"/>
    <w:rsid w:val="00096E31"/>
    <w:rsid w:val="000A36B5"/>
    <w:rsid w:val="000B401A"/>
    <w:rsid w:val="000F1B12"/>
    <w:rsid w:val="000F25CC"/>
    <w:rsid w:val="00124999"/>
    <w:rsid w:val="00145D72"/>
    <w:rsid w:val="00161FC4"/>
    <w:rsid w:val="001B13ED"/>
    <w:rsid w:val="001C63F6"/>
    <w:rsid w:val="00215890"/>
    <w:rsid w:val="0023128D"/>
    <w:rsid w:val="002417DE"/>
    <w:rsid w:val="00260053"/>
    <w:rsid w:val="00264500"/>
    <w:rsid w:val="002B7E1B"/>
    <w:rsid w:val="002C69E1"/>
    <w:rsid w:val="002E5E14"/>
    <w:rsid w:val="003161A4"/>
    <w:rsid w:val="00364C47"/>
    <w:rsid w:val="00376F16"/>
    <w:rsid w:val="00384D0B"/>
    <w:rsid w:val="00391B5E"/>
    <w:rsid w:val="00391C10"/>
    <w:rsid w:val="003B029D"/>
    <w:rsid w:val="003D7F31"/>
    <w:rsid w:val="003E0C3A"/>
    <w:rsid w:val="00404677"/>
    <w:rsid w:val="0040790F"/>
    <w:rsid w:val="00415655"/>
    <w:rsid w:val="00415786"/>
    <w:rsid w:val="0044306D"/>
    <w:rsid w:val="00483379"/>
    <w:rsid w:val="00493B20"/>
    <w:rsid w:val="004A7677"/>
    <w:rsid w:val="005046FD"/>
    <w:rsid w:val="00520C65"/>
    <w:rsid w:val="0052648B"/>
    <w:rsid w:val="00595C8B"/>
    <w:rsid w:val="005A2800"/>
    <w:rsid w:val="005A77E5"/>
    <w:rsid w:val="005B0E69"/>
    <w:rsid w:val="005B747D"/>
    <w:rsid w:val="006063CB"/>
    <w:rsid w:val="00613DAC"/>
    <w:rsid w:val="00640404"/>
    <w:rsid w:val="006611DC"/>
    <w:rsid w:val="00666AFA"/>
    <w:rsid w:val="00690278"/>
    <w:rsid w:val="006C707F"/>
    <w:rsid w:val="006F24E7"/>
    <w:rsid w:val="00704515"/>
    <w:rsid w:val="0073001A"/>
    <w:rsid w:val="007417E3"/>
    <w:rsid w:val="00776616"/>
    <w:rsid w:val="007C4253"/>
    <w:rsid w:val="007E23B2"/>
    <w:rsid w:val="007F1FFA"/>
    <w:rsid w:val="0084022A"/>
    <w:rsid w:val="00873EE2"/>
    <w:rsid w:val="00883777"/>
    <w:rsid w:val="008B31FC"/>
    <w:rsid w:val="008B67C2"/>
    <w:rsid w:val="008C574D"/>
    <w:rsid w:val="008D0D70"/>
    <w:rsid w:val="009225D0"/>
    <w:rsid w:val="00935508"/>
    <w:rsid w:val="009522F5"/>
    <w:rsid w:val="00963891"/>
    <w:rsid w:val="00963BF2"/>
    <w:rsid w:val="00967DC1"/>
    <w:rsid w:val="009A78C2"/>
    <w:rsid w:val="009B4392"/>
    <w:rsid w:val="009C0913"/>
    <w:rsid w:val="009E41CB"/>
    <w:rsid w:val="00A11219"/>
    <w:rsid w:val="00A37D6D"/>
    <w:rsid w:val="00A6437A"/>
    <w:rsid w:val="00AA734E"/>
    <w:rsid w:val="00AB77FA"/>
    <w:rsid w:val="00AD2289"/>
    <w:rsid w:val="00AE2E56"/>
    <w:rsid w:val="00AE2EF2"/>
    <w:rsid w:val="00AE639C"/>
    <w:rsid w:val="00AE707C"/>
    <w:rsid w:val="00B07430"/>
    <w:rsid w:val="00B127C5"/>
    <w:rsid w:val="00B1727E"/>
    <w:rsid w:val="00B20489"/>
    <w:rsid w:val="00B247B4"/>
    <w:rsid w:val="00B51C27"/>
    <w:rsid w:val="00B57704"/>
    <w:rsid w:val="00B77905"/>
    <w:rsid w:val="00B8457D"/>
    <w:rsid w:val="00B8675A"/>
    <w:rsid w:val="00BA1827"/>
    <w:rsid w:val="00BD6EA1"/>
    <w:rsid w:val="00BD724B"/>
    <w:rsid w:val="00BE5C07"/>
    <w:rsid w:val="00C063F7"/>
    <w:rsid w:val="00C5366A"/>
    <w:rsid w:val="00C542EE"/>
    <w:rsid w:val="00C61065"/>
    <w:rsid w:val="00C92EA9"/>
    <w:rsid w:val="00CE0EDD"/>
    <w:rsid w:val="00CE51A2"/>
    <w:rsid w:val="00CF5D8A"/>
    <w:rsid w:val="00D00AAA"/>
    <w:rsid w:val="00D36BAB"/>
    <w:rsid w:val="00D93FE8"/>
    <w:rsid w:val="00D9408F"/>
    <w:rsid w:val="00DC551B"/>
    <w:rsid w:val="00DE01C7"/>
    <w:rsid w:val="00DE365F"/>
    <w:rsid w:val="00E04FC3"/>
    <w:rsid w:val="00E06DF7"/>
    <w:rsid w:val="00E422D0"/>
    <w:rsid w:val="00E47075"/>
    <w:rsid w:val="00E52912"/>
    <w:rsid w:val="00E60675"/>
    <w:rsid w:val="00E82B2C"/>
    <w:rsid w:val="00E9358F"/>
    <w:rsid w:val="00EB3D0B"/>
    <w:rsid w:val="00EC6FD2"/>
    <w:rsid w:val="00ED3558"/>
    <w:rsid w:val="00EE080C"/>
    <w:rsid w:val="00EF4406"/>
    <w:rsid w:val="00F70E97"/>
    <w:rsid w:val="00FB32E1"/>
    <w:rsid w:val="00FE6F91"/>
    <w:rsid w:val="0110526B"/>
    <w:rsid w:val="01780EF9"/>
    <w:rsid w:val="01F42AEB"/>
    <w:rsid w:val="01FC3D19"/>
    <w:rsid w:val="02264514"/>
    <w:rsid w:val="022C5342"/>
    <w:rsid w:val="0245719C"/>
    <w:rsid w:val="02971350"/>
    <w:rsid w:val="02BB40D8"/>
    <w:rsid w:val="02EF4FBB"/>
    <w:rsid w:val="03111138"/>
    <w:rsid w:val="03472E49"/>
    <w:rsid w:val="035D2A95"/>
    <w:rsid w:val="0361681B"/>
    <w:rsid w:val="039E5E55"/>
    <w:rsid w:val="03AD5615"/>
    <w:rsid w:val="03AF1166"/>
    <w:rsid w:val="04261A5C"/>
    <w:rsid w:val="04F56DA7"/>
    <w:rsid w:val="050C243B"/>
    <w:rsid w:val="053E639E"/>
    <w:rsid w:val="05C97F0E"/>
    <w:rsid w:val="063062BB"/>
    <w:rsid w:val="06347C9F"/>
    <w:rsid w:val="06414F2C"/>
    <w:rsid w:val="064A215B"/>
    <w:rsid w:val="068D493F"/>
    <w:rsid w:val="06D806A4"/>
    <w:rsid w:val="06E93DB9"/>
    <w:rsid w:val="06F253F2"/>
    <w:rsid w:val="073702A9"/>
    <w:rsid w:val="073F2A6D"/>
    <w:rsid w:val="07707E35"/>
    <w:rsid w:val="078A686A"/>
    <w:rsid w:val="07944EEC"/>
    <w:rsid w:val="07B8692D"/>
    <w:rsid w:val="07BC6B4B"/>
    <w:rsid w:val="082C7933"/>
    <w:rsid w:val="098A7634"/>
    <w:rsid w:val="09C13C97"/>
    <w:rsid w:val="0AE705F4"/>
    <w:rsid w:val="0BD46F69"/>
    <w:rsid w:val="0C1C3895"/>
    <w:rsid w:val="0C2239BB"/>
    <w:rsid w:val="0C701B7E"/>
    <w:rsid w:val="0D7F4694"/>
    <w:rsid w:val="0DBC1673"/>
    <w:rsid w:val="0E355BD8"/>
    <w:rsid w:val="0E4564CA"/>
    <w:rsid w:val="0E7A0DA2"/>
    <w:rsid w:val="0E824265"/>
    <w:rsid w:val="0EAE459D"/>
    <w:rsid w:val="0F4A1D24"/>
    <w:rsid w:val="0FE60351"/>
    <w:rsid w:val="10D4666D"/>
    <w:rsid w:val="10D93D40"/>
    <w:rsid w:val="10FB74EC"/>
    <w:rsid w:val="11121AE1"/>
    <w:rsid w:val="12554A94"/>
    <w:rsid w:val="12565BB6"/>
    <w:rsid w:val="12FB2B94"/>
    <w:rsid w:val="13B82B4F"/>
    <w:rsid w:val="13E87E27"/>
    <w:rsid w:val="13FD243C"/>
    <w:rsid w:val="15180DE3"/>
    <w:rsid w:val="161D2B63"/>
    <w:rsid w:val="162368F5"/>
    <w:rsid w:val="1741461E"/>
    <w:rsid w:val="174F49CD"/>
    <w:rsid w:val="177C16C6"/>
    <w:rsid w:val="17EE20D9"/>
    <w:rsid w:val="17F77917"/>
    <w:rsid w:val="18272CB1"/>
    <w:rsid w:val="18564886"/>
    <w:rsid w:val="18576B77"/>
    <w:rsid w:val="18B9039C"/>
    <w:rsid w:val="191E5B42"/>
    <w:rsid w:val="196B4F42"/>
    <w:rsid w:val="1A4B52AF"/>
    <w:rsid w:val="1A8277AB"/>
    <w:rsid w:val="1A9078D3"/>
    <w:rsid w:val="1AA5764C"/>
    <w:rsid w:val="1AD9749D"/>
    <w:rsid w:val="1AFB3998"/>
    <w:rsid w:val="1B6B6A0B"/>
    <w:rsid w:val="1BBB7A8F"/>
    <w:rsid w:val="1C353362"/>
    <w:rsid w:val="1C5C5D79"/>
    <w:rsid w:val="1CB12449"/>
    <w:rsid w:val="1D0D3D6D"/>
    <w:rsid w:val="1D457596"/>
    <w:rsid w:val="1DB97E6D"/>
    <w:rsid w:val="1E041853"/>
    <w:rsid w:val="1E252191"/>
    <w:rsid w:val="1E3F5EB5"/>
    <w:rsid w:val="1E440AF1"/>
    <w:rsid w:val="1E6C35F6"/>
    <w:rsid w:val="1EA40894"/>
    <w:rsid w:val="1EEA5421"/>
    <w:rsid w:val="1EF13053"/>
    <w:rsid w:val="1F340FC0"/>
    <w:rsid w:val="1F516372"/>
    <w:rsid w:val="1F8836EB"/>
    <w:rsid w:val="1FA37BD9"/>
    <w:rsid w:val="1FAB7A90"/>
    <w:rsid w:val="1FF61C9D"/>
    <w:rsid w:val="20581D3A"/>
    <w:rsid w:val="21283DC7"/>
    <w:rsid w:val="21790E1F"/>
    <w:rsid w:val="221C0B0B"/>
    <w:rsid w:val="225150DA"/>
    <w:rsid w:val="226A2A58"/>
    <w:rsid w:val="238060CC"/>
    <w:rsid w:val="23ED174D"/>
    <w:rsid w:val="243E31EF"/>
    <w:rsid w:val="247D056D"/>
    <w:rsid w:val="24970DED"/>
    <w:rsid w:val="251B689A"/>
    <w:rsid w:val="25A14602"/>
    <w:rsid w:val="25C23EED"/>
    <w:rsid w:val="25E64083"/>
    <w:rsid w:val="25E72A4C"/>
    <w:rsid w:val="2648166A"/>
    <w:rsid w:val="266304D3"/>
    <w:rsid w:val="26D90F05"/>
    <w:rsid w:val="270C6367"/>
    <w:rsid w:val="275F7C95"/>
    <w:rsid w:val="277027B0"/>
    <w:rsid w:val="27A32E01"/>
    <w:rsid w:val="27DA6C34"/>
    <w:rsid w:val="27F3C2F4"/>
    <w:rsid w:val="27FF4002"/>
    <w:rsid w:val="286474F2"/>
    <w:rsid w:val="28A957FD"/>
    <w:rsid w:val="28D06438"/>
    <w:rsid w:val="295463E3"/>
    <w:rsid w:val="29747D10"/>
    <w:rsid w:val="29B7720B"/>
    <w:rsid w:val="29FE28CC"/>
    <w:rsid w:val="2A89250E"/>
    <w:rsid w:val="2AAC5FD6"/>
    <w:rsid w:val="2B1F016E"/>
    <w:rsid w:val="2B67467C"/>
    <w:rsid w:val="2B816131"/>
    <w:rsid w:val="2C143608"/>
    <w:rsid w:val="2C54175E"/>
    <w:rsid w:val="2CAD6C70"/>
    <w:rsid w:val="2CCB5214"/>
    <w:rsid w:val="2D10484E"/>
    <w:rsid w:val="2D2621A0"/>
    <w:rsid w:val="2D9C0103"/>
    <w:rsid w:val="2DB92F13"/>
    <w:rsid w:val="2DFC3388"/>
    <w:rsid w:val="2E2A4710"/>
    <w:rsid w:val="2E420279"/>
    <w:rsid w:val="2EE71287"/>
    <w:rsid w:val="302D358F"/>
    <w:rsid w:val="308D65A0"/>
    <w:rsid w:val="30C827B6"/>
    <w:rsid w:val="30F50475"/>
    <w:rsid w:val="311E57A3"/>
    <w:rsid w:val="31260631"/>
    <w:rsid w:val="313B53DA"/>
    <w:rsid w:val="314123C3"/>
    <w:rsid w:val="31F015A9"/>
    <w:rsid w:val="32320148"/>
    <w:rsid w:val="328D40B7"/>
    <w:rsid w:val="33633D72"/>
    <w:rsid w:val="33B76AB5"/>
    <w:rsid w:val="34291DA3"/>
    <w:rsid w:val="342A29CE"/>
    <w:rsid w:val="349F0833"/>
    <w:rsid w:val="34D020BC"/>
    <w:rsid w:val="3538337A"/>
    <w:rsid w:val="363F479E"/>
    <w:rsid w:val="36A91274"/>
    <w:rsid w:val="374A7B7A"/>
    <w:rsid w:val="377A5BD9"/>
    <w:rsid w:val="382B20B3"/>
    <w:rsid w:val="38774730"/>
    <w:rsid w:val="3957619D"/>
    <w:rsid w:val="399E156D"/>
    <w:rsid w:val="39F738D3"/>
    <w:rsid w:val="3D0E5E27"/>
    <w:rsid w:val="3D2734EB"/>
    <w:rsid w:val="3D3E4F88"/>
    <w:rsid w:val="3DCB7EB0"/>
    <w:rsid w:val="3DF47342"/>
    <w:rsid w:val="3DFE0E11"/>
    <w:rsid w:val="3E0B0155"/>
    <w:rsid w:val="3E8A718E"/>
    <w:rsid w:val="3ED41188"/>
    <w:rsid w:val="3FAC570C"/>
    <w:rsid w:val="3FAC5CC3"/>
    <w:rsid w:val="3FB265D8"/>
    <w:rsid w:val="3FDE143D"/>
    <w:rsid w:val="40372418"/>
    <w:rsid w:val="405B24DF"/>
    <w:rsid w:val="40BA5650"/>
    <w:rsid w:val="41170950"/>
    <w:rsid w:val="41611F92"/>
    <w:rsid w:val="41AE0A50"/>
    <w:rsid w:val="41E700FA"/>
    <w:rsid w:val="42407E8C"/>
    <w:rsid w:val="42532F55"/>
    <w:rsid w:val="42707542"/>
    <w:rsid w:val="42DA4BB5"/>
    <w:rsid w:val="432267B9"/>
    <w:rsid w:val="434A4660"/>
    <w:rsid w:val="43911EEB"/>
    <w:rsid w:val="43B3461E"/>
    <w:rsid w:val="43EB055C"/>
    <w:rsid w:val="43F90CE1"/>
    <w:rsid w:val="4416074B"/>
    <w:rsid w:val="451A7A1B"/>
    <w:rsid w:val="454D5D31"/>
    <w:rsid w:val="45C339CA"/>
    <w:rsid w:val="45E63044"/>
    <w:rsid w:val="46990EF1"/>
    <w:rsid w:val="46D74A7B"/>
    <w:rsid w:val="46FD79B2"/>
    <w:rsid w:val="473C1545"/>
    <w:rsid w:val="47593771"/>
    <w:rsid w:val="49356D1D"/>
    <w:rsid w:val="494F7DD2"/>
    <w:rsid w:val="4A4448A0"/>
    <w:rsid w:val="4A9441BE"/>
    <w:rsid w:val="4ABB406D"/>
    <w:rsid w:val="4AEE3FFB"/>
    <w:rsid w:val="4AFA2106"/>
    <w:rsid w:val="4B98155D"/>
    <w:rsid w:val="4BBB56D1"/>
    <w:rsid w:val="4C6522B7"/>
    <w:rsid w:val="4CE950BA"/>
    <w:rsid w:val="4D935553"/>
    <w:rsid w:val="4D984249"/>
    <w:rsid w:val="4DA33D7A"/>
    <w:rsid w:val="4E732C50"/>
    <w:rsid w:val="4E85035F"/>
    <w:rsid w:val="4E8D6714"/>
    <w:rsid w:val="4F4259B2"/>
    <w:rsid w:val="4F882CF2"/>
    <w:rsid w:val="4FE10391"/>
    <w:rsid w:val="50336436"/>
    <w:rsid w:val="50450220"/>
    <w:rsid w:val="50794305"/>
    <w:rsid w:val="51B840D4"/>
    <w:rsid w:val="521C7F46"/>
    <w:rsid w:val="540D053E"/>
    <w:rsid w:val="55140645"/>
    <w:rsid w:val="558652A4"/>
    <w:rsid w:val="5594084B"/>
    <w:rsid w:val="56877B88"/>
    <w:rsid w:val="56951E6C"/>
    <w:rsid w:val="56BB7A52"/>
    <w:rsid w:val="573E55A0"/>
    <w:rsid w:val="57A61015"/>
    <w:rsid w:val="57FA59E9"/>
    <w:rsid w:val="580169BA"/>
    <w:rsid w:val="590547D7"/>
    <w:rsid w:val="59193CCD"/>
    <w:rsid w:val="595911B8"/>
    <w:rsid w:val="597A1820"/>
    <w:rsid w:val="59B50E1A"/>
    <w:rsid w:val="5A2055DD"/>
    <w:rsid w:val="5A6D606C"/>
    <w:rsid w:val="5AAD49D1"/>
    <w:rsid w:val="5ACD4C58"/>
    <w:rsid w:val="5B1453C1"/>
    <w:rsid w:val="5B461B9F"/>
    <w:rsid w:val="5BD12010"/>
    <w:rsid w:val="5CA1684D"/>
    <w:rsid w:val="5CE42323"/>
    <w:rsid w:val="5D0360C5"/>
    <w:rsid w:val="5D0715FE"/>
    <w:rsid w:val="5D2353DA"/>
    <w:rsid w:val="5D826E47"/>
    <w:rsid w:val="5EBE3E15"/>
    <w:rsid w:val="5F3E0F5B"/>
    <w:rsid w:val="5FA216E6"/>
    <w:rsid w:val="60285F83"/>
    <w:rsid w:val="6043396E"/>
    <w:rsid w:val="60841A96"/>
    <w:rsid w:val="60897B5F"/>
    <w:rsid w:val="61451322"/>
    <w:rsid w:val="619C2FDC"/>
    <w:rsid w:val="61BF306B"/>
    <w:rsid w:val="624C5D6A"/>
    <w:rsid w:val="625E13B5"/>
    <w:rsid w:val="62FD3953"/>
    <w:rsid w:val="63065FC6"/>
    <w:rsid w:val="63754375"/>
    <w:rsid w:val="63765ECA"/>
    <w:rsid w:val="63EA4DF9"/>
    <w:rsid w:val="63F4709E"/>
    <w:rsid w:val="63FA4AC8"/>
    <w:rsid w:val="640C6C93"/>
    <w:rsid w:val="64A8702C"/>
    <w:rsid w:val="64E03013"/>
    <w:rsid w:val="652D5CFD"/>
    <w:rsid w:val="6533259D"/>
    <w:rsid w:val="65A115CA"/>
    <w:rsid w:val="665762C5"/>
    <w:rsid w:val="667249F3"/>
    <w:rsid w:val="66EEB938"/>
    <w:rsid w:val="67B9A6B0"/>
    <w:rsid w:val="67D81B6B"/>
    <w:rsid w:val="67DC28E9"/>
    <w:rsid w:val="67ED3176"/>
    <w:rsid w:val="682F6DDD"/>
    <w:rsid w:val="68F433BE"/>
    <w:rsid w:val="690D5890"/>
    <w:rsid w:val="693748B3"/>
    <w:rsid w:val="69D478B9"/>
    <w:rsid w:val="69FF5DFD"/>
    <w:rsid w:val="6A4C77A7"/>
    <w:rsid w:val="6BDA5416"/>
    <w:rsid w:val="6BF34473"/>
    <w:rsid w:val="6C455C07"/>
    <w:rsid w:val="6D1B3ED3"/>
    <w:rsid w:val="6D8456BD"/>
    <w:rsid w:val="6EC07914"/>
    <w:rsid w:val="6F3F4E71"/>
    <w:rsid w:val="6F8A68CE"/>
    <w:rsid w:val="6FC54E73"/>
    <w:rsid w:val="6FEB1641"/>
    <w:rsid w:val="70427A3C"/>
    <w:rsid w:val="71096791"/>
    <w:rsid w:val="7164110B"/>
    <w:rsid w:val="71C935DC"/>
    <w:rsid w:val="72467A0C"/>
    <w:rsid w:val="72693346"/>
    <w:rsid w:val="72B45561"/>
    <w:rsid w:val="72BB7AD0"/>
    <w:rsid w:val="73064093"/>
    <w:rsid w:val="73912327"/>
    <w:rsid w:val="73BD5B41"/>
    <w:rsid w:val="73D45DDA"/>
    <w:rsid w:val="748B46AE"/>
    <w:rsid w:val="74C71A1C"/>
    <w:rsid w:val="75375661"/>
    <w:rsid w:val="75733B0F"/>
    <w:rsid w:val="75FC27A0"/>
    <w:rsid w:val="775FD757"/>
    <w:rsid w:val="778E0584"/>
    <w:rsid w:val="77961077"/>
    <w:rsid w:val="77F841F0"/>
    <w:rsid w:val="783C4B1E"/>
    <w:rsid w:val="78671595"/>
    <w:rsid w:val="78D863D1"/>
    <w:rsid w:val="78E4581D"/>
    <w:rsid w:val="79672153"/>
    <w:rsid w:val="7A5F34A0"/>
    <w:rsid w:val="7A783F60"/>
    <w:rsid w:val="7AB34349"/>
    <w:rsid w:val="7B28708F"/>
    <w:rsid w:val="7B695DF9"/>
    <w:rsid w:val="7BC773A6"/>
    <w:rsid w:val="7BD634ED"/>
    <w:rsid w:val="7BEFC40F"/>
    <w:rsid w:val="7BF35576"/>
    <w:rsid w:val="7C292254"/>
    <w:rsid w:val="7C3A418E"/>
    <w:rsid w:val="7CE319E7"/>
    <w:rsid w:val="7D5D7D50"/>
    <w:rsid w:val="7D725185"/>
    <w:rsid w:val="7DA44D30"/>
    <w:rsid w:val="7DFBD559"/>
    <w:rsid w:val="7E7E09BD"/>
    <w:rsid w:val="7E7E6172"/>
    <w:rsid w:val="7F37422E"/>
    <w:rsid w:val="7F462D1A"/>
    <w:rsid w:val="7FBFFAF8"/>
    <w:rsid w:val="B7FF7338"/>
    <w:rsid w:val="BDB7452C"/>
    <w:rsid w:val="DFCF0409"/>
    <w:rsid w:val="E6F79BA7"/>
    <w:rsid w:val="E7D38E6E"/>
    <w:rsid w:val="F6BD0C26"/>
    <w:rsid w:val="F7DC5993"/>
    <w:rsid w:val="FAF68BDE"/>
    <w:rsid w:val="FCFF3A37"/>
    <w:rsid w:val="FFF9FD9D"/>
    <w:rsid w:val="FFFD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Document Map"/>
    <w:basedOn w:val="1"/>
    <w:link w:val="21"/>
    <w:qFormat/>
    <w:uiPriority w:val="0"/>
    <w:rPr>
      <w:rFonts w:ascii="宋体"/>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rPr>
      <w:rFonts w:ascii="Times New Roman" w:hAnsi="Times New Roman" w:eastAsia="宋体" w:cs="Times New Roman"/>
      <w:sz w:val="24"/>
      <w:lang w:val="en-US" w:eastAsia="zh-CN" w:bidi="ar-SA"/>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66CC"/>
      <w:u w:val="none"/>
    </w:rPr>
  </w:style>
  <w:style w:type="character" w:styleId="13">
    <w:name w:val="Emphasis"/>
    <w:basedOn w:val="9"/>
    <w:qFormat/>
    <w:uiPriority w:val="0"/>
    <w:rPr>
      <w:sz w:val="21"/>
      <w:szCs w:val="21"/>
    </w:rPr>
  </w:style>
  <w:style w:type="character" w:styleId="14">
    <w:name w:val="HTML Definition"/>
    <w:basedOn w:val="9"/>
    <w:qFormat/>
    <w:uiPriority w:val="0"/>
  </w:style>
  <w:style w:type="character" w:styleId="15">
    <w:name w:val="HTML Variable"/>
    <w:basedOn w:val="9"/>
    <w:qFormat/>
    <w:uiPriority w:val="0"/>
  </w:style>
  <w:style w:type="character" w:styleId="16">
    <w:name w:val="Hyperlink"/>
    <w:basedOn w:val="9"/>
    <w:qFormat/>
    <w:uiPriority w:val="0"/>
    <w:rPr>
      <w:color w:val="3366CC"/>
      <w:u w:val="none"/>
    </w:rPr>
  </w:style>
  <w:style w:type="character" w:styleId="17">
    <w:name w:val="HTML Code"/>
    <w:basedOn w:val="9"/>
    <w:qFormat/>
    <w:uiPriority w:val="0"/>
    <w:rPr>
      <w:rFonts w:ascii="Courier New" w:hAnsi="Courier New"/>
      <w:sz w:val="21"/>
      <w:szCs w:val="21"/>
    </w:rPr>
  </w:style>
  <w:style w:type="character" w:styleId="18">
    <w:name w:val="HTML Cite"/>
    <w:basedOn w:val="9"/>
    <w:qFormat/>
    <w:uiPriority w:val="0"/>
    <w:rPr>
      <w:sz w:val="21"/>
      <w:szCs w:val="21"/>
    </w:rPr>
  </w:style>
  <w:style w:type="character" w:styleId="19">
    <w:name w:val="HTML Keyboard"/>
    <w:basedOn w:val="9"/>
    <w:qFormat/>
    <w:uiPriority w:val="0"/>
    <w:rPr>
      <w:rFonts w:ascii="Courier New" w:hAnsi="Courier New"/>
      <w:sz w:val="20"/>
    </w:rPr>
  </w:style>
  <w:style w:type="character" w:styleId="20">
    <w:name w:val="HTML Sample"/>
    <w:basedOn w:val="9"/>
    <w:qFormat/>
    <w:uiPriority w:val="0"/>
    <w:rPr>
      <w:rFonts w:ascii="Courier New" w:hAnsi="Courier New"/>
    </w:rPr>
  </w:style>
  <w:style w:type="character" w:customStyle="1" w:styleId="21">
    <w:name w:val="文档结构图 Char"/>
    <w:basedOn w:val="9"/>
    <w:link w:val="4"/>
    <w:qFormat/>
    <w:uiPriority w:val="0"/>
    <w:rPr>
      <w:rFonts w:ascii="宋体"/>
      <w:kern w:val="2"/>
      <w:sz w:val="18"/>
      <w:szCs w:val="18"/>
    </w:rPr>
  </w:style>
  <w:style w:type="character" w:customStyle="1" w:styleId="22">
    <w:name w:val="font11"/>
    <w:basedOn w:val="9"/>
    <w:qFormat/>
    <w:uiPriority w:val="0"/>
    <w:rPr>
      <w:rFonts w:ascii="Arial" w:hAnsi="Arial" w:cs="Arial"/>
      <w:color w:val="000000"/>
      <w:sz w:val="24"/>
      <w:szCs w:val="24"/>
      <w:u w:val="none"/>
    </w:rPr>
  </w:style>
  <w:style w:type="character" w:customStyle="1" w:styleId="23">
    <w:name w:val="over"/>
    <w:basedOn w:val="9"/>
    <w:qFormat/>
    <w:uiPriority w:val="0"/>
  </w:style>
  <w:style w:type="character" w:customStyle="1" w:styleId="24">
    <w:name w:val="icon-sohu-click-b"/>
    <w:basedOn w:val="9"/>
    <w:qFormat/>
    <w:uiPriority w:val="0"/>
  </w:style>
  <w:style w:type="character" w:customStyle="1" w:styleId="25">
    <w:name w:val="user-floor-gw2"/>
    <w:basedOn w:val="9"/>
    <w:qFormat/>
    <w:uiPriority w:val="0"/>
    <w:rPr>
      <w:sz w:val="22"/>
      <w:szCs w:val="22"/>
    </w:rPr>
  </w:style>
  <w:style w:type="character" w:customStyle="1" w:styleId="26">
    <w:name w:val="icon-qzone-b1"/>
    <w:basedOn w:val="9"/>
    <w:qFormat/>
    <w:uiPriority w:val="0"/>
  </w:style>
  <w:style w:type="character" w:customStyle="1" w:styleId="27">
    <w:name w:val="icon30-qq-b"/>
    <w:basedOn w:val="9"/>
    <w:qFormat/>
    <w:uiPriority w:val="0"/>
  </w:style>
  <w:style w:type="character" w:customStyle="1" w:styleId="28">
    <w:name w:val="icon30-renren-b1"/>
    <w:basedOn w:val="9"/>
    <w:qFormat/>
    <w:uiPriority w:val="0"/>
  </w:style>
  <w:style w:type="character" w:customStyle="1" w:styleId="29">
    <w:name w:val="icon-renren-b1"/>
    <w:basedOn w:val="9"/>
    <w:qFormat/>
    <w:uiPriority w:val="0"/>
  </w:style>
  <w:style w:type="character" w:customStyle="1" w:styleId="30">
    <w:name w:val="btn-load-bf17"/>
    <w:basedOn w:val="9"/>
    <w:qFormat/>
    <w:uiPriority w:val="0"/>
  </w:style>
  <w:style w:type="character" w:customStyle="1" w:styleId="31">
    <w:name w:val="icon-sohu-cancel-b"/>
    <w:basedOn w:val="9"/>
    <w:qFormat/>
    <w:uiPriority w:val="0"/>
  </w:style>
  <w:style w:type="character" w:customStyle="1" w:styleId="32">
    <w:name w:val="icon-sina-cancel-b2"/>
    <w:basedOn w:val="9"/>
    <w:qFormat/>
    <w:uiPriority w:val="0"/>
  </w:style>
  <w:style w:type="character" w:customStyle="1" w:styleId="33">
    <w:name w:val="editor_createlink_mouseover"/>
    <w:basedOn w:val="9"/>
    <w:qFormat/>
    <w:uiPriority w:val="0"/>
  </w:style>
  <w:style w:type="character" w:customStyle="1" w:styleId="34">
    <w:name w:val="editor_quote_active"/>
    <w:basedOn w:val="9"/>
    <w:qFormat/>
    <w:uiPriority w:val="0"/>
  </w:style>
  <w:style w:type="character" w:customStyle="1" w:styleId="35">
    <w:name w:val="icon30-sina-b7"/>
    <w:basedOn w:val="9"/>
    <w:qFormat/>
    <w:uiPriority w:val="0"/>
  </w:style>
  <w:style w:type="character" w:customStyle="1" w:styleId="36">
    <w:name w:val="bds_nopic"/>
    <w:basedOn w:val="9"/>
    <w:qFormat/>
    <w:uiPriority w:val="0"/>
  </w:style>
  <w:style w:type="character" w:customStyle="1" w:styleId="37">
    <w:name w:val="btn-load-bf14"/>
    <w:basedOn w:val="9"/>
    <w:qFormat/>
    <w:uiPriority w:val="0"/>
    <w:rPr>
      <w:bdr w:val="single" w:color="CCD4D9" w:sz="12" w:space="0"/>
    </w:rPr>
  </w:style>
  <w:style w:type="character" w:customStyle="1" w:styleId="38">
    <w:name w:val="user-top-gw"/>
    <w:basedOn w:val="9"/>
    <w:qFormat/>
    <w:uiPriority w:val="0"/>
    <w:rPr>
      <w:vanish/>
    </w:rPr>
  </w:style>
  <w:style w:type="character" w:customStyle="1" w:styleId="39">
    <w:name w:val="title-name-bg"/>
    <w:basedOn w:val="9"/>
    <w:qFormat/>
    <w:uiPriority w:val="0"/>
  </w:style>
  <w:style w:type="character" w:customStyle="1" w:styleId="40">
    <w:name w:val="prompt-succeed-w"/>
    <w:basedOn w:val="9"/>
    <w:qFormat/>
    <w:uiPriority w:val="0"/>
  </w:style>
  <w:style w:type="character" w:customStyle="1" w:styleId="41">
    <w:name w:val="prompt-empty-w"/>
    <w:basedOn w:val="9"/>
    <w:qFormat/>
    <w:uiPriority w:val="0"/>
    <w:rPr>
      <w:color w:val="EE542A"/>
      <w:shd w:val="clear" w:color="auto" w:fill="FEF2E1"/>
    </w:rPr>
  </w:style>
  <w:style w:type="character" w:customStyle="1" w:styleId="42">
    <w:name w:val="icon30-qq-b2"/>
    <w:basedOn w:val="9"/>
    <w:qFormat/>
    <w:uiPriority w:val="0"/>
  </w:style>
  <w:style w:type="character" w:customStyle="1" w:styleId="43">
    <w:name w:val="user-time-gw4"/>
    <w:basedOn w:val="9"/>
    <w:qFormat/>
    <w:uiPriority w:val="0"/>
    <w:rPr>
      <w:vanish/>
    </w:rPr>
  </w:style>
  <w:style w:type="character" w:customStyle="1" w:styleId="44">
    <w:name w:val="icon30-sohu-b"/>
    <w:basedOn w:val="9"/>
    <w:qFormat/>
    <w:uiPriority w:val="0"/>
  </w:style>
  <w:style w:type="character" w:customStyle="1" w:styleId="45">
    <w:name w:val="editor_createlink_active"/>
    <w:basedOn w:val="9"/>
    <w:qFormat/>
    <w:uiPriority w:val="0"/>
  </w:style>
  <w:style w:type="character" w:customStyle="1" w:styleId="46">
    <w:name w:val="bds_more2"/>
    <w:basedOn w:val="9"/>
    <w:qFormat/>
    <w:uiPriority w:val="0"/>
    <w:rPr>
      <w:rFonts w:hint="eastAsia" w:ascii="宋体" w:hAnsi="宋体" w:eastAsia="宋体" w:cs="宋体"/>
    </w:rPr>
  </w:style>
  <w:style w:type="character" w:customStyle="1" w:styleId="47">
    <w:name w:val="icon-renren-click-b1"/>
    <w:basedOn w:val="9"/>
    <w:qFormat/>
    <w:uiPriority w:val="0"/>
  </w:style>
  <w:style w:type="character" w:customStyle="1" w:styleId="48">
    <w:name w:val="title-word-gw"/>
    <w:basedOn w:val="9"/>
    <w:qFormat/>
    <w:uiPriority w:val="0"/>
    <w:rPr>
      <w:sz w:val="18"/>
      <w:szCs w:val="18"/>
    </w:rPr>
  </w:style>
  <w:style w:type="character" w:customStyle="1" w:styleId="49">
    <w:name w:val="icon30-qq-b1"/>
    <w:basedOn w:val="9"/>
    <w:qFormat/>
    <w:uiPriority w:val="0"/>
  </w:style>
  <w:style w:type="character" w:customStyle="1" w:styleId="50">
    <w:name w:val="editor_createlink_mousedown"/>
    <w:basedOn w:val="9"/>
    <w:qFormat/>
    <w:uiPriority w:val="0"/>
  </w:style>
  <w:style w:type="character" w:customStyle="1" w:styleId="51">
    <w:name w:val="icon-qq-click-b"/>
    <w:basedOn w:val="9"/>
    <w:qFormat/>
    <w:uiPriority w:val="0"/>
  </w:style>
  <w:style w:type="character" w:customStyle="1" w:styleId="52">
    <w:name w:val="editor_createlink"/>
    <w:basedOn w:val="9"/>
    <w:qFormat/>
    <w:uiPriority w:val="0"/>
  </w:style>
  <w:style w:type="character" w:customStyle="1" w:styleId="53">
    <w:name w:val="bds_more3"/>
    <w:basedOn w:val="9"/>
    <w:qFormat/>
    <w:uiPriority w:val="0"/>
  </w:style>
  <w:style w:type="character" w:customStyle="1" w:styleId="54">
    <w:name w:val="icon30-renren-b2"/>
    <w:basedOn w:val="9"/>
    <w:qFormat/>
    <w:uiPriority w:val="0"/>
  </w:style>
  <w:style w:type="character" w:customStyle="1" w:styleId="55">
    <w:name w:val="icon-sina-b"/>
    <w:basedOn w:val="9"/>
    <w:qFormat/>
    <w:uiPriority w:val="0"/>
  </w:style>
  <w:style w:type="character" w:customStyle="1" w:styleId="56">
    <w:name w:val="title-word-bg2"/>
    <w:basedOn w:val="9"/>
    <w:qFormat/>
    <w:uiPriority w:val="0"/>
    <w:rPr>
      <w:color w:val="FFDCD3"/>
    </w:rPr>
  </w:style>
  <w:style w:type="character" w:customStyle="1" w:styleId="57">
    <w:name w:val="font01"/>
    <w:basedOn w:val="9"/>
    <w:qFormat/>
    <w:uiPriority w:val="0"/>
    <w:rPr>
      <w:rFonts w:hint="eastAsia" w:ascii="宋体" w:hAnsi="宋体" w:eastAsia="宋体" w:cs="宋体"/>
      <w:color w:val="000000"/>
      <w:sz w:val="24"/>
      <w:szCs w:val="24"/>
      <w:u w:val="none"/>
    </w:rPr>
  </w:style>
  <w:style w:type="character" w:customStyle="1" w:styleId="58">
    <w:name w:val="icon-qq-click-b2"/>
    <w:basedOn w:val="9"/>
    <w:qFormat/>
    <w:uiPriority w:val="0"/>
  </w:style>
  <w:style w:type="character" w:customStyle="1" w:styleId="59">
    <w:name w:val="icon30-sohu-b2"/>
    <w:basedOn w:val="9"/>
    <w:qFormat/>
    <w:uiPriority w:val="0"/>
  </w:style>
  <w:style w:type="character" w:customStyle="1" w:styleId="60">
    <w:name w:val="editor_quote_disabled"/>
    <w:basedOn w:val="9"/>
    <w:qFormat/>
    <w:uiPriority w:val="0"/>
  </w:style>
  <w:style w:type="character" w:customStyle="1" w:styleId="61">
    <w:name w:val="icon-renren-b"/>
    <w:basedOn w:val="9"/>
    <w:qFormat/>
    <w:uiPriority w:val="0"/>
  </w:style>
  <w:style w:type="character" w:customStyle="1" w:styleId="62">
    <w:name w:val="icon-sina-cancel-b"/>
    <w:basedOn w:val="9"/>
    <w:qFormat/>
    <w:uiPriority w:val="0"/>
  </w:style>
  <w:style w:type="character" w:customStyle="1" w:styleId="63">
    <w:name w:val="icon30-sina-b6"/>
    <w:basedOn w:val="9"/>
    <w:qFormat/>
    <w:uiPriority w:val="0"/>
  </w:style>
  <w:style w:type="character" w:customStyle="1" w:styleId="64">
    <w:name w:val="btn-fw"/>
    <w:basedOn w:val="9"/>
    <w:qFormat/>
    <w:uiPriority w:val="0"/>
  </w:style>
  <w:style w:type="character" w:customStyle="1" w:styleId="65">
    <w:name w:val="editor_createlink_disabled"/>
    <w:basedOn w:val="9"/>
    <w:qFormat/>
    <w:uiPriority w:val="0"/>
  </w:style>
  <w:style w:type="character" w:customStyle="1" w:styleId="66">
    <w:name w:val="icon-sina-b2"/>
    <w:basedOn w:val="9"/>
    <w:qFormat/>
    <w:uiPriority w:val="0"/>
  </w:style>
  <w:style w:type="character" w:customStyle="1" w:styleId="67">
    <w:name w:val="editor_quote_mouseover"/>
    <w:basedOn w:val="9"/>
    <w:qFormat/>
    <w:uiPriority w:val="0"/>
  </w:style>
  <w:style w:type="character" w:customStyle="1" w:styleId="68">
    <w:name w:val="btn-fw1"/>
    <w:basedOn w:val="9"/>
    <w:qFormat/>
    <w:uiPriority w:val="0"/>
  </w:style>
  <w:style w:type="character" w:customStyle="1" w:styleId="69">
    <w:name w:val="over1"/>
    <w:basedOn w:val="9"/>
    <w:qFormat/>
    <w:uiPriority w:val="0"/>
    <w:rPr>
      <w:color w:val="CB0003"/>
      <w:shd w:val="clear" w:color="auto" w:fill="FFFFFF"/>
    </w:rPr>
  </w:style>
  <w:style w:type="character" w:customStyle="1" w:styleId="70">
    <w:name w:val="font21"/>
    <w:basedOn w:val="9"/>
    <w:qFormat/>
    <w:uiPriority w:val="0"/>
    <w:rPr>
      <w:rFonts w:ascii="Arial" w:hAnsi="Arial" w:cs="Arial"/>
      <w:color w:val="000000"/>
      <w:sz w:val="20"/>
      <w:szCs w:val="20"/>
      <w:u w:val="none"/>
    </w:rPr>
  </w:style>
  <w:style w:type="character" w:customStyle="1" w:styleId="71">
    <w:name w:val="font41"/>
    <w:basedOn w:val="9"/>
    <w:qFormat/>
    <w:uiPriority w:val="0"/>
    <w:rPr>
      <w:rFonts w:hint="eastAsia" w:ascii="宋体" w:hAnsi="宋体" w:eastAsia="宋体" w:cs="宋体"/>
      <w:color w:val="000000"/>
      <w:sz w:val="20"/>
      <w:szCs w:val="20"/>
      <w:u w:val="none"/>
    </w:rPr>
  </w:style>
  <w:style w:type="character" w:customStyle="1" w:styleId="72">
    <w:name w:val="icon-renren-click-b2"/>
    <w:basedOn w:val="9"/>
    <w:qFormat/>
    <w:uiPriority w:val="0"/>
  </w:style>
  <w:style w:type="character" w:customStyle="1" w:styleId="73">
    <w:name w:val="icon-sina-cancel-b1"/>
    <w:basedOn w:val="9"/>
    <w:qFormat/>
    <w:uiPriority w:val="0"/>
  </w:style>
  <w:style w:type="character" w:customStyle="1" w:styleId="74">
    <w:name w:val="icon-qzone-b2"/>
    <w:basedOn w:val="9"/>
    <w:qFormat/>
    <w:uiPriority w:val="0"/>
  </w:style>
  <w:style w:type="character" w:customStyle="1" w:styleId="75">
    <w:name w:val="bds_more4"/>
    <w:basedOn w:val="9"/>
    <w:qFormat/>
    <w:uiPriority w:val="0"/>
  </w:style>
  <w:style w:type="character" w:customStyle="1" w:styleId="76">
    <w:name w:val="p0 Char"/>
    <w:basedOn w:val="9"/>
    <w:link w:val="77"/>
    <w:qFormat/>
    <w:uiPriority w:val="0"/>
    <w:rPr>
      <w:kern w:val="0"/>
      <w:szCs w:val="21"/>
    </w:rPr>
  </w:style>
  <w:style w:type="paragraph" w:customStyle="1" w:styleId="77">
    <w:name w:val="p0"/>
    <w:basedOn w:val="1"/>
    <w:link w:val="76"/>
    <w:qFormat/>
    <w:uiPriority w:val="0"/>
    <w:pPr>
      <w:widowControl/>
    </w:pPr>
    <w:rPr>
      <w:kern w:val="0"/>
      <w:szCs w:val="21"/>
    </w:rPr>
  </w:style>
  <w:style w:type="character" w:customStyle="1" w:styleId="78">
    <w:name w:val="icon-sina-click-b2"/>
    <w:basedOn w:val="9"/>
    <w:qFormat/>
    <w:uiPriority w:val="0"/>
  </w:style>
  <w:style w:type="character" w:customStyle="1" w:styleId="79">
    <w:name w:val="editor_quote"/>
    <w:basedOn w:val="9"/>
    <w:qFormat/>
    <w:uiPriority w:val="0"/>
  </w:style>
  <w:style w:type="character" w:customStyle="1" w:styleId="80">
    <w:name w:val="icon-sohu-b"/>
    <w:basedOn w:val="9"/>
    <w:qFormat/>
    <w:uiPriority w:val="0"/>
  </w:style>
  <w:style w:type="character" w:customStyle="1" w:styleId="81">
    <w:name w:val="bsharetext"/>
    <w:basedOn w:val="9"/>
    <w:qFormat/>
    <w:uiPriority w:val="0"/>
  </w:style>
  <w:style w:type="character" w:customStyle="1" w:styleId="82">
    <w:name w:val="icon-qq-cancel-b"/>
    <w:basedOn w:val="9"/>
    <w:qFormat/>
    <w:uiPriority w:val="0"/>
  </w:style>
  <w:style w:type="character" w:customStyle="1" w:styleId="83">
    <w:name w:val="bg"/>
    <w:basedOn w:val="9"/>
    <w:qFormat/>
    <w:uiPriority w:val="0"/>
  </w:style>
  <w:style w:type="character" w:customStyle="1" w:styleId="84">
    <w:name w:val="icon-qq-click-b1"/>
    <w:basedOn w:val="9"/>
    <w:qFormat/>
    <w:uiPriority w:val="0"/>
  </w:style>
  <w:style w:type="character" w:customStyle="1" w:styleId="85">
    <w:name w:val="icon-sina-b1"/>
    <w:basedOn w:val="9"/>
    <w:qFormat/>
    <w:uiPriority w:val="0"/>
  </w:style>
  <w:style w:type="character" w:customStyle="1" w:styleId="86">
    <w:name w:val="title-name-gw2"/>
    <w:basedOn w:val="9"/>
    <w:qFormat/>
    <w:uiPriority w:val="0"/>
  </w:style>
  <w:style w:type="character" w:customStyle="1" w:styleId="87">
    <w:name w:val="icon-qq-b1"/>
    <w:basedOn w:val="9"/>
    <w:qFormat/>
    <w:uiPriority w:val="0"/>
  </w:style>
  <w:style w:type="character" w:customStyle="1" w:styleId="88">
    <w:name w:val="icon-sina-click-b1"/>
    <w:basedOn w:val="9"/>
    <w:qFormat/>
    <w:uiPriority w:val="0"/>
  </w:style>
  <w:style w:type="character" w:customStyle="1" w:styleId="89">
    <w:name w:val="icon-renren-cancel-b"/>
    <w:basedOn w:val="9"/>
    <w:qFormat/>
    <w:uiPriority w:val="0"/>
  </w:style>
  <w:style w:type="character" w:customStyle="1" w:styleId="90">
    <w:name w:val="wrap-join-b"/>
    <w:basedOn w:val="9"/>
    <w:qFormat/>
    <w:uiPriority w:val="0"/>
    <w:rPr>
      <w:color w:val="333333"/>
    </w:rPr>
  </w:style>
  <w:style w:type="character" w:customStyle="1" w:styleId="91">
    <w:name w:val="out"/>
    <w:basedOn w:val="9"/>
    <w:qFormat/>
    <w:uiPriority w:val="0"/>
  </w:style>
  <w:style w:type="character" w:customStyle="1" w:styleId="92">
    <w:name w:val="editor_quote_mousedown"/>
    <w:basedOn w:val="9"/>
    <w:qFormat/>
    <w:uiPriority w:val="0"/>
  </w:style>
  <w:style w:type="character" w:customStyle="1" w:styleId="93">
    <w:name w:val="icon-qq-b"/>
    <w:basedOn w:val="9"/>
    <w:qFormat/>
    <w:uiPriority w:val="0"/>
  </w:style>
  <w:style w:type="character" w:customStyle="1" w:styleId="94">
    <w:name w:val="btn-load-bf16"/>
    <w:basedOn w:val="9"/>
    <w:qFormat/>
    <w:uiPriority w:val="0"/>
  </w:style>
  <w:style w:type="character" w:customStyle="1" w:styleId="95">
    <w:name w:val="icon30-visitor-b"/>
    <w:basedOn w:val="9"/>
    <w:qFormat/>
    <w:uiPriority w:val="0"/>
  </w:style>
  <w:style w:type="character" w:customStyle="1" w:styleId="96">
    <w:name w:val="icon-qzone-b"/>
    <w:basedOn w:val="9"/>
    <w:qFormat/>
    <w:uiPriority w:val="0"/>
  </w:style>
  <w:style w:type="character" w:customStyle="1" w:styleId="97">
    <w:name w:val="icon-qq-b2"/>
    <w:basedOn w:val="9"/>
    <w:qFormat/>
    <w:uiPriority w:val="0"/>
  </w:style>
  <w:style w:type="character" w:customStyle="1" w:styleId="98">
    <w:name w:val="btn-load-bf15"/>
    <w:basedOn w:val="9"/>
    <w:qFormat/>
    <w:uiPriority w:val="0"/>
    <w:rPr>
      <w:bdr w:val="single" w:color="CCD4D9" w:sz="12" w:space="0"/>
    </w:rPr>
  </w:style>
  <w:style w:type="character" w:customStyle="1" w:styleId="99">
    <w:name w:val="icon-renren-b2"/>
    <w:basedOn w:val="9"/>
    <w:qFormat/>
    <w:uiPriority w:val="0"/>
  </w:style>
  <w:style w:type="character" w:customStyle="1" w:styleId="100">
    <w:name w:val="icon30-sohu-b1"/>
    <w:basedOn w:val="9"/>
    <w:qFormat/>
    <w:uiPriority w:val="0"/>
  </w:style>
  <w:style w:type="character" w:customStyle="1" w:styleId="101">
    <w:name w:val="icon30-renren-b"/>
    <w:basedOn w:val="9"/>
    <w:qFormat/>
    <w:uiPriority w:val="0"/>
  </w:style>
  <w:style w:type="character" w:customStyle="1" w:styleId="102">
    <w:name w:val="icon-renren-click-b"/>
    <w:basedOn w:val="9"/>
    <w:qFormat/>
    <w:uiPriority w:val="0"/>
  </w:style>
  <w:style w:type="character" w:customStyle="1" w:styleId="103">
    <w:name w:val="icon30-sina-b8"/>
    <w:basedOn w:val="9"/>
    <w:qFormat/>
    <w:uiPriority w:val="0"/>
  </w:style>
  <w:style w:type="character" w:customStyle="1" w:styleId="104">
    <w:name w:val="icon-sina-click-b"/>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3849</Words>
  <Characters>4172</Characters>
  <Lines>23</Lines>
  <Paragraphs>6</Paragraphs>
  <TotalTime>0</TotalTime>
  <ScaleCrop>false</ScaleCrop>
  <LinksUpToDate>false</LinksUpToDate>
  <CharactersWithSpaces>4378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2022-08-20T10:19:00Z</dcterms:created>
  <dc:creator>微软用户</dc:creator>
  <cp:lastModifiedBy>lenovo</cp:lastModifiedBy>
  <cp:lastPrinted>2021-06-16T03:24:00Z</cp:lastPrinted>
  <dcterms:modified xsi:type="dcterms:W3CDTF">2022-09-21T07:22:22Z</dcterms:modified>
  <dc:title>岳阳市岳阳楼区卫生局2014年度部门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E70046373F014516B8B0A7BA1D6FF487</vt:lpwstr>
  </property>
</Properties>
</file>