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1"/>
        <w:jc w:val="center"/>
        <w:rPr>
          <w:rFonts w:ascii="方正小标宋_GBK" w:hAnsi="方正小标宋_GBK" w:eastAsia="方正小标宋_GBK" w:cs="方正小标宋_GBK"/>
          <w:sz w:val="84"/>
          <w:szCs w:val="84"/>
        </w:rPr>
      </w:pPr>
      <w:r>
        <w:rPr>
          <w:rFonts w:hint="eastAsia"/>
          <w:sz w:val="84"/>
          <w:szCs w:val="84"/>
        </w:rPr>
        <w:t xml:space="preserve">岳阳市公安局岳阳楼分局 </w:t>
      </w:r>
      <w:r>
        <w:rPr>
          <w:rFonts w:hint="eastAsia" w:ascii="方正小标宋_GBK" w:hAnsi="方正小标宋_GBK" w:eastAsia="方正小标宋_GBK" w:cs="方正小标宋_GBK"/>
          <w:sz w:val="84"/>
          <w:szCs w:val="84"/>
        </w:rPr>
        <w:t>部门决算</w:t>
      </w:r>
    </w:p>
    <w:p>
      <w:pPr>
        <w:pStyle w:val="11"/>
        <w:jc w:val="center"/>
        <w:rPr>
          <w:rFonts w:ascii="方正小标宋_GBK" w:hAnsi="方正小标宋_GBK" w:eastAsia="方正小标宋_GBK" w:cs="方正小标宋_GBK"/>
          <w:sz w:val="56"/>
          <w:szCs w:val="56"/>
        </w:rPr>
      </w:pPr>
    </w:p>
    <w:p>
      <w:pPr>
        <w:pStyle w:val="11"/>
        <w:jc w:val="center"/>
        <w:rPr>
          <w:sz w:val="56"/>
          <w:szCs w:val="56"/>
        </w:rPr>
      </w:pPr>
      <w:r>
        <w:rPr>
          <w:sz w:val="56"/>
          <w:szCs w:val="56"/>
        </w:rPr>
        <w:t xml:space="preserve"> </w:t>
      </w: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480" w:lineRule="exact"/>
        <w:rPr>
          <w:b/>
          <w:sz w:val="28"/>
          <w:szCs w:val="28"/>
        </w:rPr>
      </w:pPr>
      <w:r>
        <w:rPr>
          <w:rFonts w:hint="eastAsia"/>
          <w:b/>
          <w:sz w:val="28"/>
          <w:szCs w:val="28"/>
        </w:rPr>
        <w:t>第一部分 岳阳市公安局岳阳楼分局概况</w:t>
      </w:r>
    </w:p>
    <w:p>
      <w:pPr>
        <w:pStyle w:val="11"/>
        <w:spacing w:line="48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1"/>
        <w:spacing w:line="48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pPr>
        <w:pStyle w:val="11"/>
        <w:spacing w:line="480" w:lineRule="exact"/>
        <w:rPr>
          <w:b/>
          <w:sz w:val="28"/>
          <w:szCs w:val="28"/>
        </w:rPr>
      </w:pPr>
      <w:r>
        <w:rPr>
          <w:rFonts w:hint="eastAsia"/>
          <w:b/>
          <w:sz w:val="28"/>
          <w:szCs w:val="28"/>
        </w:rPr>
        <w:t>第二部分 部门决算表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一、收入支出决算总表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二、收入决算表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六、一般公共预算财政拨款基本支出决算明细表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七、政府性基金预算财政拨款收入支出决算表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八、国有资本经营预算财政拨款支出决算表</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九、财政拨款“三公”经费支出决算表</w:t>
      </w:r>
    </w:p>
    <w:p>
      <w:pPr>
        <w:pStyle w:val="11"/>
        <w:spacing w:line="480" w:lineRule="exact"/>
        <w:rPr>
          <w:b/>
          <w:sz w:val="28"/>
          <w:szCs w:val="28"/>
        </w:rPr>
      </w:pPr>
      <w:r>
        <w:rPr>
          <w:rFonts w:hint="eastAsia"/>
          <w:b/>
          <w:sz w:val="28"/>
          <w:szCs w:val="28"/>
        </w:rPr>
        <w:t>第三部分 部门决算情况说明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autoSpaceDE w:val="0"/>
        <w:autoSpaceDN w:val="0"/>
        <w:adjustRightInd w:val="0"/>
        <w:spacing w:line="48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国有资本经营预算财政拨款支出决算情况</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pStyle w:val="11"/>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十三、关于国有资产占用情况说明</w:t>
      </w:r>
    </w:p>
    <w:p>
      <w:pPr>
        <w:pStyle w:val="11"/>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十四、关于预算绩效情况的说明</w:t>
      </w:r>
    </w:p>
    <w:p>
      <w:pPr>
        <w:autoSpaceDE w:val="0"/>
        <w:autoSpaceDN w:val="0"/>
        <w:adjustRightInd w:val="0"/>
        <w:spacing w:line="480" w:lineRule="exact"/>
        <w:jc w:val="left"/>
        <w:rPr>
          <w:rFonts w:ascii="黑体" w:hAnsi="黑体" w:eastAsia="黑体" w:cs="黑体"/>
          <w:bCs/>
          <w:sz w:val="28"/>
          <w:szCs w:val="28"/>
        </w:rPr>
      </w:pPr>
      <w:r>
        <w:rPr>
          <w:rFonts w:hint="eastAsia" w:ascii="黑体" w:hAnsi="黑体" w:eastAsia="黑体" w:cs="黑体"/>
          <w:bCs/>
          <w:sz w:val="28"/>
          <w:szCs w:val="28"/>
        </w:rPr>
        <w:t>第四部分 名词解释</w:t>
      </w:r>
    </w:p>
    <w:p>
      <w:pPr>
        <w:autoSpaceDE w:val="0"/>
        <w:autoSpaceDN w:val="0"/>
        <w:adjustRightInd w:val="0"/>
        <w:spacing w:line="480" w:lineRule="exact"/>
        <w:jc w:val="left"/>
        <w:rPr>
          <w:rFonts w:ascii="黑体" w:hAnsi="黑体" w:eastAsia="黑体" w:cs="黑体"/>
          <w:bCs/>
          <w:sz w:val="28"/>
          <w:szCs w:val="28"/>
        </w:rPr>
      </w:pPr>
      <w:r>
        <w:rPr>
          <w:rFonts w:hint="eastAsia" w:ascii="黑体" w:hAnsi="黑体" w:eastAsia="黑体" w:cs="黑体"/>
          <w:bCs/>
          <w:sz w:val="28"/>
          <w:szCs w:val="28"/>
        </w:rPr>
        <w:t>第五部分  附件</w:t>
      </w:r>
    </w:p>
    <w:p>
      <w:pPr>
        <w:pStyle w:val="11"/>
        <w:spacing w:line="500" w:lineRule="exact"/>
        <w:rPr>
          <w:rFonts w:hAnsi="黑体"/>
          <w:bCs/>
          <w:sz w:val="28"/>
          <w:szCs w:val="28"/>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1"/>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1"/>
        <w:jc w:val="center"/>
        <w:rPr>
          <w:rFonts w:ascii="方正小标宋_GBK" w:hAnsi="方正小标宋_GBK" w:eastAsia="方正小标宋_GBK" w:cs="方正小标宋_GBK"/>
          <w:sz w:val="84"/>
          <w:szCs w:val="84"/>
        </w:rPr>
      </w:pPr>
    </w:p>
    <w:p>
      <w:pPr>
        <w:pStyle w:val="11"/>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岳阳市公安局岳阳楼分局 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rPr>
          <w:rFonts w:ascii="方正小标宋_GBK" w:hAnsi="方正小标宋_GBK" w:eastAsia="方正小标宋_GBK" w:cs="方正小标宋_GBK"/>
          <w:sz w:val="72"/>
          <w:szCs w:val="72"/>
        </w:rPr>
      </w:pPr>
    </w:p>
    <w:p>
      <w:pPr>
        <w:rPr>
          <w:sz w:val="56"/>
          <w:szCs w:val="72"/>
        </w:rPr>
      </w:pPr>
    </w:p>
    <w:p>
      <w:pPr>
        <w:rPr>
          <w:sz w:val="56"/>
          <w:szCs w:val="72"/>
        </w:rPr>
      </w:pPr>
    </w:p>
    <w:p>
      <w:pPr>
        <w:pStyle w:val="12"/>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numPr>
          <w:ilvl w:val="0"/>
          <w:numId w:val="2"/>
        </w:numPr>
        <w:spacing w:line="360" w:lineRule="auto"/>
        <w:ind w:firstLine="640"/>
        <w:rPr>
          <w:rFonts w:ascii="宋体" w:hAnsi="宋体" w:cs="宋体"/>
          <w:sz w:val="32"/>
          <w:szCs w:val="32"/>
        </w:rPr>
      </w:pPr>
      <w:r>
        <w:rPr>
          <w:rFonts w:hint="eastAsia" w:ascii="宋体" w:hAnsi="宋体" w:cs="宋体"/>
          <w:sz w:val="32"/>
          <w:szCs w:val="32"/>
        </w:rPr>
        <w:t>预防制止和侦查违法犯罪活动；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维护社会治安秩序，制止危害社会治安秩序的行为；</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组织实施消防工作，实行消防监督；</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管理枪支弹药、控制刀具和易燃易爆、剧毒、放射等危险物品；对法律、法规指定的特种行业进行管理；</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警卫国家规定的特定人员，守卫重要的场所和设施；管理集会、游行、示威活动；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管理户政、国籍、出入境事务和外国人在中国境内居留、旅行的有关事务；</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维护国边境地区的治安秩序；管理监督计算机信息系统的安全保卫工作；</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指导监督国家机关、社会团体、企业事业组织和重点建设工程的治安保卫工作，指导治安保卫委员会等群众性组织的治安防范工作；</w:t>
      </w:r>
    </w:p>
    <w:p>
      <w:pPr>
        <w:numPr>
          <w:ilvl w:val="0"/>
          <w:numId w:val="2"/>
        </w:numPr>
        <w:spacing w:line="360" w:lineRule="auto"/>
        <w:ind w:firstLine="640"/>
        <w:rPr>
          <w:rFonts w:ascii="仿宋_GB2312" w:hAnsi="宋体" w:eastAsia="仿宋_GB2312"/>
          <w:sz w:val="28"/>
          <w:szCs w:val="32"/>
        </w:rPr>
      </w:pPr>
      <w:r>
        <w:rPr>
          <w:rFonts w:hint="eastAsia" w:ascii="宋体" w:hAnsi="宋体" w:cs="宋体"/>
          <w:sz w:val="32"/>
          <w:szCs w:val="32"/>
        </w:rPr>
        <w:t>法律法规规定的其他职责。</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一）内设机构设置。本单位内设机构包括：19个公安派出所（东茅岭所、五里牌所、站前路所、枫桥湖所、金鹗山所、南湖所、洛王所、梅溪所、三眼桥所、王家河所、望岳路所、奇家岭所、岳阳楼所、吕仙亭所、湖滨所、郭镇所、城陵矶所、洞庭所、龙山所）、16个执法办案大队（巡逻大队、便衣大队、内保大队、刑侦大队、法制大队、情报大队、人境大队、禁毒大队、经侦大队、城管大队、反恐大队、科信大队、网安大队、执法办案中心）、5个机关科室（指挥中心、警务保障室、政工室、辅警办、纪委）。</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（二）决算单位构成。本单位</w:t>
      </w:r>
      <w:r>
        <w:rPr>
          <w:rFonts w:ascii="宋体" w:hAnsi="宋体"/>
          <w:bCs/>
          <w:kern w:val="0"/>
          <w:sz w:val="32"/>
          <w:szCs w:val="32"/>
        </w:rPr>
        <w:t>20</w:t>
      </w:r>
      <w:r>
        <w:rPr>
          <w:rFonts w:hint="eastAsia" w:ascii="宋体" w:hAnsi="宋体"/>
          <w:bCs/>
          <w:kern w:val="0"/>
          <w:sz w:val="32"/>
          <w:szCs w:val="32"/>
        </w:rPr>
        <w:t>2</w:t>
      </w:r>
      <w:r>
        <w:rPr>
          <w:rFonts w:ascii="宋体" w:hAnsi="宋体"/>
          <w:bCs/>
          <w:kern w:val="0"/>
          <w:sz w:val="32"/>
          <w:szCs w:val="32"/>
        </w:rPr>
        <w:t>2</w:t>
      </w:r>
      <w:r>
        <w:rPr>
          <w:rFonts w:hint="eastAsia" w:ascii="宋体" w:hAnsi="宋体"/>
          <w:bCs/>
          <w:kern w:val="0"/>
          <w:sz w:val="32"/>
          <w:szCs w:val="32"/>
        </w:rPr>
        <w:t>年部门决算汇总公开单位构成包括单位本级，无二级预算单位。</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ascii="方正小标宋_GBK" w:hAnsi="方正小标宋_GBK" w:eastAsia="方正小标宋_GBK" w:cs="方正小标宋_GBK"/>
          <w:sz w:val="84"/>
          <w:szCs w:val="84"/>
        </w:rPr>
      </w:pPr>
    </w:p>
    <w:p>
      <w:pPr>
        <w:pStyle w:val="11"/>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1"/>
        <w:jc w:val="center"/>
        <w:rPr>
          <w:rFonts w:ascii="方正小标宋_GBK" w:hAnsi="方正小标宋_GBK" w:eastAsia="方正小标宋_GBK" w:cs="方正小标宋_GBK"/>
          <w:sz w:val="84"/>
          <w:szCs w:val="84"/>
        </w:rPr>
      </w:pPr>
    </w:p>
    <w:p>
      <w:pPr>
        <w:pStyle w:val="11"/>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r>
        <w:rPr>
          <w:rFonts w:hint="eastAsia"/>
          <w:sz w:val="72"/>
          <w:szCs w:val="72"/>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both"/>
        <w:rPr>
          <w:rFonts w:ascii="方正小标宋_GBK" w:hAnsi="方正小标宋_GBK" w:eastAsia="方正小标宋_GBK" w:cs="方正小标宋_GBK"/>
          <w:sz w:val="72"/>
          <w:szCs w:val="72"/>
        </w:rPr>
      </w:pPr>
    </w:p>
    <w:p>
      <w:pPr>
        <w:pStyle w:val="11"/>
        <w:jc w:val="center"/>
        <w:rPr>
          <w:rFonts w:ascii="方正小标宋_GBK" w:hAnsi="方正小标宋_GBK" w:eastAsia="方正小标宋_GBK" w:cs="方正小标宋_GBK"/>
          <w:sz w:val="72"/>
          <w:szCs w:val="72"/>
        </w:rPr>
      </w:pPr>
    </w:p>
    <w:p>
      <w:pPr>
        <w:pStyle w:val="11"/>
        <w:jc w:val="center"/>
        <w:rPr>
          <w:rFonts w:ascii="Times New Roman" w:hAnsi="Times New Roman" w:eastAsia="仿宋_GB2312"/>
          <w:sz w:val="32"/>
          <w:szCs w:val="32"/>
        </w:rPr>
      </w:pPr>
    </w:p>
    <w:p>
      <w:pPr>
        <w:pStyle w:val="11"/>
        <w:jc w:val="center"/>
        <w:rPr>
          <w:rFonts w:ascii="方正小标宋_GBK" w:hAnsi="方正小标宋_GBK" w:eastAsia="方正小标宋_GBK" w:cs="方正小标宋_GBK"/>
          <w:sz w:val="72"/>
          <w:szCs w:val="72"/>
        </w:rPr>
      </w:pPr>
    </w:p>
    <w:p>
      <w:pPr>
        <w:pStyle w:val="11"/>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1"/>
        <w:jc w:val="center"/>
        <w:rPr>
          <w:rFonts w:ascii="方正小标宋_GBK" w:hAnsi="方正小标宋_GBK" w:eastAsia="方正小标宋_GBK" w:cs="方正小标宋_GBK"/>
          <w:sz w:val="70"/>
          <w:szCs w:val="70"/>
        </w:rPr>
      </w:pPr>
    </w:p>
    <w:p>
      <w:pPr>
        <w:pStyle w:val="11"/>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宋体" w:hAnsi="宋体"/>
          <w:sz w:val="32"/>
          <w:szCs w:val="32"/>
        </w:rPr>
      </w:pPr>
      <w:r>
        <w:rPr>
          <w:rFonts w:hint="eastAsia" w:ascii="方正小标宋_GBK" w:hAnsi="方正小标宋_GBK" w:eastAsia="方正小标宋_GBK" w:cs="方正小标宋_GBK"/>
          <w:sz w:val="70"/>
          <w:szCs w:val="70"/>
        </w:rPr>
        <w:br w:type="page"/>
      </w:r>
    </w:p>
    <w:p>
      <w:pPr>
        <w:pStyle w:val="11"/>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1"/>
        <w:ind w:firstLine="640" w:firstLineChars="200"/>
        <w:rPr>
          <w:rFonts w:ascii="Times New Roman" w:hAnsi="Times New Roman" w:eastAsia="仿宋_GB2312"/>
          <w:sz w:val="32"/>
          <w:szCs w:val="32"/>
          <w:highlight w:val="red"/>
        </w:rPr>
      </w:pPr>
      <w:r>
        <w:rPr>
          <w:rFonts w:hint="eastAsia" w:ascii="Times New Roman" w:hAnsi="Times New Roman" w:eastAsia="仿宋_GB2312"/>
          <w:sz w:val="32"/>
          <w:szCs w:val="32"/>
        </w:rPr>
        <w:t>2022年度收、支总计</w:t>
      </w:r>
      <w:r>
        <w:rPr>
          <w:rFonts w:ascii="Times New Roman" w:hAnsi="Times New Roman" w:eastAsia="仿宋_GB2312"/>
          <w:sz w:val="32"/>
          <w:szCs w:val="32"/>
        </w:rPr>
        <w:t>16691.08</w:t>
      </w:r>
      <w:r>
        <w:rPr>
          <w:rFonts w:hint="eastAsia" w:ascii="Times New Roman" w:hAnsi="Times New Roman" w:eastAsia="仿宋_GB2312"/>
          <w:sz w:val="32"/>
          <w:szCs w:val="32"/>
        </w:rPr>
        <w:t>万元。与上年相比，减少</w:t>
      </w:r>
      <w:r>
        <w:rPr>
          <w:rFonts w:ascii="Times New Roman" w:hAnsi="Times New Roman" w:eastAsia="仿宋_GB2312"/>
          <w:sz w:val="32"/>
          <w:szCs w:val="32"/>
        </w:rPr>
        <w:t>51.68</w:t>
      </w:r>
      <w:r>
        <w:rPr>
          <w:rFonts w:hint="eastAsia" w:ascii="Times New Roman" w:hAnsi="Times New Roman" w:eastAsia="仿宋_GB2312"/>
          <w:sz w:val="32"/>
          <w:szCs w:val="32"/>
        </w:rPr>
        <w:t>万元，减少</w:t>
      </w:r>
      <w:r>
        <w:rPr>
          <w:rFonts w:ascii="Times New Roman" w:hAnsi="Times New Roman" w:eastAsia="仿宋_GB2312"/>
          <w:sz w:val="32"/>
          <w:szCs w:val="32"/>
        </w:rPr>
        <w:t>3.1</w:t>
      </w:r>
      <w:r>
        <w:rPr>
          <w:rFonts w:hint="eastAsia" w:ascii="Times New Roman" w:hAnsi="Times New Roman" w:eastAsia="仿宋_GB2312"/>
          <w:sz w:val="32"/>
          <w:szCs w:val="32"/>
        </w:rPr>
        <w:t>%，主要是因为项目支出减少。</w:t>
      </w:r>
    </w:p>
    <w:p>
      <w:pPr>
        <w:pStyle w:val="11"/>
        <w:spacing w:line="600" w:lineRule="exact"/>
        <w:ind w:firstLine="640" w:firstLineChars="200"/>
        <w:rPr>
          <w:rFonts w:hAnsi="黑体"/>
          <w:bCs/>
          <w:sz w:val="32"/>
          <w:szCs w:val="32"/>
        </w:rPr>
      </w:pPr>
      <w:r>
        <w:rPr>
          <w:rFonts w:hint="eastAsia" w:hAnsi="黑体"/>
          <w:bCs/>
          <w:sz w:val="32"/>
          <w:szCs w:val="32"/>
        </w:rPr>
        <w:t>二、收入决算情况说明</w:t>
      </w:r>
    </w:p>
    <w:p>
      <w:pPr>
        <w:pStyle w:val="11"/>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2022年度收入合计16454.28万元，其中：财政拨款收入13275.84万元，占80.68%；上级补助收入0万元，占0%；事业收入0万元，占0%；经营收入0万元，占0%；附属单位上缴收入0万元，占0%；其他收入</w:t>
      </w:r>
      <w:r>
        <w:rPr>
          <w:rFonts w:ascii="Times New Roman" w:hAnsi="Times New Roman" w:eastAsia="仿宋_GB2312"/>
          <w:sz w:val="32"/>
          <w:szCs w:val="32"/>
        </w:rPr>
        <w:t>3178.44</w:t>
      </w:r>
      <w:r>
        <w:rPr>
          <w:rFonts w:hint="eastAsia" w:ascii="Times New Roman" w:hAnsi="Times New Roman" w:eastAsia="仿宋_GB2312"/>
          <w:sz w:val="32"/>
          <w:szCs w:val="32"/>
        </w:rPr>
        <w:t>万元，占19.32%。</w:t>
      </w:r>
    </w:p>
    <w:p>
      <w:pPr>
        <w:pStyle w:val="11"/>
        <w:spacing w:line="600" w:lineRule="exact"/>
        <w:ind w:firstLine="640" w:firstLineChars="200"/>
        <w:rPr>
          <w:rFonts w:hAnsi="黑体"/>
          <w:bCs/>
          <w:sz w:val="32"/>
          <w:szCs w:val="32"/>
        </w:rPr>
      </w:pPr>
      <w:r>
        <w:rPr>
          <w:rFonts w:hint="eastAsia" w:hAnsi="黑体"/>
          <w:bCs/>
          <w:sz w:val="32"/>
          <w:szCs w:val="32"/>
        </w:rPr>
        <w:t>三、支出决算情况说明</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w:t>
      </w:r>
      <w:r>
        <w:rPr>
          <w:rFonts w:ascii="Times New Roman" w:hAnsi="Times New Roman" w:eastAsia="仿宋_GB2312"/>
          <w:sz w:val="32"/>
          <w:szCs w:val="32"/>
        </w:rPr>
        <w:t>16671.29</w:t>
      </w:r>
      <w:r>
        <w:rPr>
          <w:rFonts w:hint="eastAsia" w:ascii="Times New Roman" w:hAnsi="Times New Roman" w:eastAsia="仿宋_GB2312"/>
          <w:sz w:val="32"/>
          <w:szCs w:val="32"/>
        </w:rPr>
        <w:t>万元，其中：基本支出</w:t>
      </w:r>
      <w:r>
        <w:rPr>
          <w:rFonts w:ascii="Times New Roman" w:hAnsi="Times New Roman" w:eastAsia="仿宋_GB2312"/>
          <w:sz w:val="32"/>
          <w:szCs w:val="32"/>
        </w:rPr>
        <w:t>13918.68</w:t>
      </w:r>
      <w:r>
        <w:rPr>
          <w:rFonts w:hint="eastAsia" w:ascii="Times New Roman" w:hAnsi="Times New Roman" w:eastAsia="仿宋_GB2312"/>
          <w:sz w:val="32"/>
          <w:szCs w:val="32"/>
        </w:rPr>
        <w:t>万元，占83.49%；项目支出</w:t>
      </w:r>
      <w:r>
        <w:rPr>
          <w:rFonts w:ascii="Times New Roman" w:hAnsi="Times New Roman" w:eastAsia="仿宋_GB2312"/>
          <w:sz w:val="32"/>
          <w:szCs w:val="32"/>
        </w:rPr>
        <w:t>2752.61</w:t>
      </w:r>
      <w:r>
        <w:rPr>
          <w:rFonts w:hint="eastAsia" w:ascii="Times New Roman" w:hAnsi="Times New Roman" w:eastAsia="仿宋_GB2312"/>
          <w:sz w:val="32"/>
          <w:szCs w:val="32"/>
        </w:rPr>
        <w:t>万元，占16.51%；上缴上级支出0万元，占0%；经营支出0万元，占0%；对附属单位补助支出0万元，占0%。</w:t>
      </w:r>
    </w:p>
    <w:p>
      <w:pPr>
        <w:pStyle w:val="11"/>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1"/>
        <w:spacing w:line="600" w:lineRule="exact"/>
        <w:rPr>
          <w:rFonts w:ascii="Times New Roman" w:hAnsi="Times New Roman" w:eastAsia="仿宋_GB2312"/>
          <w:sz w:val="32"/>
          <w:szCs w:val="32"/>
          <w:highlight w:val="red"/>
        </w:rPr>
      </w:pPr>
      <w:r>
        <w:rPr>
          <w:rFonts w:hint="eastAsia" w:ascii="Times New Roman" w:hAnsi="Times New Roman" w:eastAsia="仿宋_GB2312"/>
          <w:sz w:val="32"/>
          <w:szCs w:val="32"/>
        </w:rPr>
        <w:t xml:space="preserve">    2022年度财政拨款收、支总计</w:t>
      </w:r>
      <w:r>
        <w:rPr>
          <w:rFonts w:ascii="Times New Roman" w:hAnsi="Times New Roman" w:eastAsia="仿宋_GB2312"/>
          <w:sz w:val="32"/>
          <w:szCs w:val="32"/>
        </w:rPr>
        <w:t>13275.84</w:t>
      </w:r>
      <w:r>
        <w:rPr>
          <w:rFonts w:hint="eastAsia" w:ascii="Times New Roman" w:hAnsi="Times New Roman" w:eastAsia="仿宋_GB2312"/>
          <w:sz w:val="32"/>
          <w:szCs w:val="32"/>
        </w:rPr>
        <w:t>万元，与上年相比，增加1237.77万元，增长10.28%，</w:t>
      </w:r>
      <w:r>
        <w:rPr>
          <w:rFonts w:hint="eastAsia" w:ascii="Times New Roman" w:hAnsi="Times New Roman" w:eastAsia="仿宋_GB2312"/>
          <w:color w:val="auto"/>
          <w:sz w:val="32"/>
          <w:szCs w:val="32"/>
        </w:rPr>
        <w:t>主要是因为非税收入超收安排比上年增加。</w:t>
      </w:r>
    </w:p>
    <w:p>
      <w:pPr>
        <w:pStyle w:val="11"/>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（一）财政拨款支出决算总体情况</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w:t>
      </w:r>
      <w:r>
        <w:rPr>
          <w:rFonts w:ascii="Times New Roman" w:hAnsi="Times New Roman" w:eastAsia="仿宋_GB2312"/>
          <w:sz w:val="32"/>
          <w:szCs w:val="32"/>
        </w:rPr>
        <w:t>13275.84</w:t>
      </w:r>
      <w:r>
        <w:rPr>
          <w:rFonts w:hint="eastAsia" w:ascii="Times New Roman" w:hAnsi="Times New Roman" w:eastAsia="仿宋_GB2312"/>
          <w:sz w:val="32"/>
          <w:szCs w:val="32"/>
        </w:rPr>
        <w:t>万元，占本年支出合计的79.63%，与上年相比，财政拨款支出增加1237.77万元，增长10.28%，主要是因为非税收入超收安排比上年增加所致。</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（二）财政拨款支出决算结构情况</w:t>
      </w:r>
    </w:p>
    <w:p>
      <w:pPr>
        <w:pStyle w:val="11"/>
        <w:ind w:firstLine="640" w:firstLineChars="200"/>
        <w:rPr>
          <w:rFonts w:ascii="楷体" w:hAnsi="楷体" w:eastAsia="楷体" w:cs="楷体"/>
          <w:sz w:val="32"/>
          <w:szCs w:val="32"/>
        </w:rPr>
      </w:pPr>
      <w:r>
        <w:rPr>
          <w:rFonts w:hint="eastAsia" w:ascii="Times New Roman" w:hAnsi="Times New Roman" w:eastAsia="仿宋_GB2312"/>
          <w:sz w:val="32"/>
          <w:szCs w:val="32"/>
        </w:rPr>
        <w:t>2022年度财政拨款支出</w:t>
      </w:r>
      <w:r>
        <w:rPr>
          <w:rFonts w:ascii="Times New Roman" w:hAnsi="Times New Roman" w:eastAsia="仿宋_GB2312"/>
          <w:sz w:val="32"/>
          <w:szCs w:val="32"/>
        </w:rPr>
        <w:t>13275.84</w:t>
      </w:r>
      <w:r>
        <w:rPr>
          <w:rFonts w:hint="eastAsia" w:ascii="Times New Roman" w:hAnsi="Times New Roman" w:eastAsia="仿宋_GB2312"/>
          <w:sz w:val="32"/>
          <w:szCs w:val="32"/>
        </w:rPr>
        <w:t>万元，主要用于以下方面：</w:t>
      </w:r>
      <w:r>
        <w:rPr>
          <w:rFonts w:hint="eastAsia" w:ascii="Times New Roman" w:hAnsi="Times New Roman" w:eastAsia="仿宋_GB2312"/>
          <w:sz w:val="32"/>
          <w:szCs w:val="32"/>
          <w:lang w:val="en-US" w:eastAsia="zh-CN"/>
        </w:rPr>
        <w:t>公共安全（类）支出12291.21万元</w:t>
      </w:r>
      <w:r>
        <w:rPr>
          <w:rFonts w:hint="eastAsia" w:ascii="Times New Roman" w:hAnsi="Times New Roman" w:eastAsia="仿宋_GB2312"/>
          <w:sz w:val="32"/>
          <w:szCs w:val="32"/>
        </w:rPr>
        <w:t>，占92.58%；教育（类）支出0万元，占0%；社会保障和就业类支出</w:t>
      </w:r>
      <w:r>
        <w:rPr>
          <w:rFonts w:ascii="Times New Roman" w:hAnsi="Times New Roman" w:eastAsia="仿宋_GB2312"/>
          <w:sz w:val="32"/>
          <w:szCs w:val="32"/>
        </w:rPr>
        <w:t>713.06</w:t>
      </w:r>
      <w:r>
        <w:rPr>
          <w:rFonts w:hint="eastAsia" w:ascii="Times New Roman" w:hAnsi="Times New Roman" w:eastAsia="仿宋_GB2312"/>
          <w:sz w:val="32"/>
          <w:szCs w:val="32"/>
        </w:rPr>
        <w:t>万元，占5.37%；卫生健康类支出</w:t>
      </w:r>
      <w:r>
        <w:rPr>
          <w:rFonts w:ascii="Times New Roman" w:hAnsi="Times New Roman" w:eastAsia="仿宋_GB2312"/>
          <w:sz w:val="32"/>
          <w:szCs w:val="32"/>
        </w:rPr>
        <w:t>271.57</w:t>
      </w:r>
      <w:r>
        <w:rPr>
          <w:rFonts w:hint="eastAsia" w:ascii="Times New Roman" w:hAnsi="Times New Roman" w:eastAsia="仿宋_GB2312"/>
          <w:sz w:val="32"/>
          <w:szCs w:val="32"/>
        </w:rPr>
        <w:t>万元，占2.05%。</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（三）财政拨款支出决算具体情况</w:t>
      </w:r>
    </w:p>
    <w:p>
      <w:pPr>
        <w:pStyle w:val="11"/>
        <w:spacing w:line="600" w:lineRule="exact"/>
        <w:ind w:firstLine="800" w:firstLineChars="250"/>
        <w:rPr>
          <w:rFonts w:ascii="楷体" w:hAnsi="楷体" w:eastAsia="楷体" w:cs="楷体"/>
          <w:sz w:val="32"/>
          <w:szCs w:val="32"/>
        </w:rPr>
      </w:pPr>
      <w:r>
        <w:rPr>
          <w:rFonts w:hint="eastAsia" w:ascii="Times New Roman" w:hAnsi="Times New Roman" w:eastAsia="仿宋_GB2312"/>
          <w:sz w:val="32"/>
          <w:szCs w:val="32"/>
        </w:rPr>
        <w:t>2022年度财政拨款支出年初预算数为10281.21万元，支出决算数为13275.83万元，完成年初预算的129.13%，其中：</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1、公共安全支出（类）公安（款）行政运行（项）。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年初预算为8010.53万元，支出决算为8457.15万元，完成年初预算的105.59%，决算数大于年初预算数的主要原因是人员工资调标及财政追加、年终先进单位奖金。</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2、公共安全支出（类）公安（款）一般行政管理事务（项）。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年初预算为55万元，支出决算为2347.31万元，完成年初预算的4267.84%，决算数大于年初预算数的主要原因是财政追加退休人员年终先进单位奖金、转移支付公安办案经费的投入以及非税收入超收安排。</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 xml:space="preserve">3、公共安全支出（类）公安（款）执法办案（项）。 </w:t>
      </w:r>
    </w:p>
    <w:p>
      <w:pPr>
        <w:pStyle w:val="11"/>
        <w:spacing w:line="600" w:lineRule="exact"/>
        <w:ind w:firstLine="800" w:firstLineChars="250"/>
        <w:rPr>
          <w:rFonts w:ascii="Times New Roman" w:hAnsi="Times New Roman" w:eastAsia="仿宋_GB2312"/>
          <w:sz w:val="32"/>
          <w:szCs w:val="32"/>
          <w:highlight w:val="red"/>
        </w:rPr>
      </w:pPr>
      <w:r>
        <w:rPr>
          <w:rFonts w:hint="eastAsia" w:ascii="Times New Roman" w:hAnsi="Times New Roman" w:eastAsia="仿宋_GB2312"/>
          <w:sz w:val="32"/>
          <w:szCs w:val="32"/>
        </w:rPr>
        <w:t>年初预算为637.7万元，支出决算为694万元，完成预算108.83%，决算数大于年初预算数的主要原因是财政追加公安工作经费。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4、公共安全支出（类）公安（款）其他公安支出（项）。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年初预算为0万元，支出决算为772.75万元，决算数大于年初预算数的主要原因是转移支付公安装备的投入以及非同级财政的拨款收入。</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 xml:space="preserve">5、公共安全支出（类）其他公共安全支出（款）其他公共安全支出（项）。 </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年初预算为0万元，支出决算为20万元，决算数大于年初预算数的主要原因省财政厅拨付公安经费。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6、社会保障和就业支出（类）行政事业单位养老支出（款）机关事业单位养老保险缴费支出（项）。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年初预算为620.73万元，支出决算为620.73万元，完成预算100%，决算数等于年初预算数的主要原因是财政拨付机关事业单位养老保险缴费。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7、社会保障和就业支出（类）抚恤（款）其他优抚支出（项）。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年初预算为0元，支出决算为42.1万元，由于预算数为0，无法计算百分比，决算数大于年初预算数的主要原因是财政追加抚恤金支出。</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8、社会保障和就业支出（类）残疾人事业（款）其他残疾人事业支出（项）。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年初预算为50.22万元，支出决算为50.22万元，</w:t>
      </w:r>
      <w:r>
        <w:rPr>
          <w:rFonts w:hint="eastAsia" w:ascii="Times New Roman" w:hAnsi="Times New Roman" w:eastAsia="仿宋_GB2312"/>
          <w:sz w:val="32"/>
          <w:szCs w:val="32"/>
          <w:lang w:val="en-US" w:eastAsia="zh-CN"/>
        </w:rPr>
        <w:t xml:space="preserve"> 完成预算100%，</w:t>
      </w:r>
      <w:r>
        <w:rPr>
          <w:rFonts w:hint="eastAsia" w:ascii="Times New Roman" w:hAnsi="Times New Roman" w:eastAsia="仿宋_GB2312"/>
          <w:sz w:val="32"/>
          <w:szCs w:val="32"/>
        </w:rPr>
        <w:t>决算数等于年初预算数的主要原因是拨残联残疾人就业保障金。</w:t>
      </w:r>
    </w:p>
    <w:p>
      <w:pPr>
        <w:pStyle w:val="11"/>
        <w:spacing w:line="600" w:lineRule="exact"/>
        <w:ind w:left="159" w:leftChars="76"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9、社会保障和就业支出（类）残疾人事业（款）住房公积金（项）。年初预算为465.55万元，支出决算为0元，完成预算0%，决算数小于年初预算数的主要原因是拨住房公积金单位缴交款。</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10、卫生健康支出（类）行政事业单位医疗（款）行政单位医疗（项）。年初预算为286.3万元，支出决算为271.57万元，完成预算94.86%，决算数小于年初预算数的主要原因是人员异动及工资调标。</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11、卫生健康支出（类）行政事业单位医疗（款）公务员医疗补助（行政事业单位医疗）（项）</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年初预算为155.18万元，支出决算为0万元，完成预算0%，决算数小于年初预算数的主要原因是拨公务员医疗补助经费。</w:t>
      </w:r>
    </w:p>
    <w:p>
      <w:pPr>
        <w:pStyle w:val="11"/>
        <w:spacing w:line="600" w:lineRule="exact"/>
        <w:ind w:left="630"/>
        <w:rPr>
          <w:rFonts w:hAnsi="黑体"/>
          <w:bCs/>
          <w:sz w:val="32"/>
          <w:szCs w:val="32"/>
        </w:rPr>
      </w:pPr>
      <w:r>
        <w:rPr>
          <w:rFonts w:hint="eastAsia" w:hAnsi="黑体"/>
          <w:bCs/>
          <w:sz w:val="32"/>
          <w:szCs w:val="32"/>
        </w:rPr>
        <w:t>六、一般公共预算财政拨款基本支出决算情况说明</w:t>
      </w:r>
    </w:p>
    <w:p>
      <w:pPr>
        <w:pStyle w:val="11"/>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2022年度财政拨款基本支出11019.05万元，其中：人员经费9691.27万元，占基本支出的87.95%，主要包括主要包括基本工资、津贴补贴、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imes New Roman" w:hAnsi="Times New Roman" w:eastAsia="仿宋_GB2312"/>
          <w:sz w:val="32"/>
          <w:szCs w:val="32"/>
        </w:rPr>
        <w:t>公用经费1327.78万元，占基本支出的12.05%，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1"/>
        <w:spacing w:line="600" w:lineRule="exact"/>
        <w:ind w:firstLine="640" w:firstLineChars="200"/>
        <w:rPr>
          <w:rFonts w:hAnsi="黑体"/>
          <w:bCs/>
          <w:sz w:val="32"/>
          <w:szCs w:val="32"/>
        </w:rPr>
      </w:pPr>
      <w:r>
        <w:rPr>
          <w:rFonts w:hint="eastAsia" w:hAnsi="黑体"/>
          <w:bCs/>
          <w:sz w:val="32"/>
          <w:szCs w:val="32"/>
        </w:rPr>
        <w:t>七、政府性基金预算收入支出决算情况</w:t>
      </w:r>
    </w:p>
    <w:p>
      <w:pPr>
        <w:pStyle w:val="11"/>
        <w:ind w:firstLine="800" w:firstLineChars="250"/>
        <w:rPr>
          <w:rFonts w:ascii="楷体" w:hAnsi="楷体" w:eastAsia="楷体" w:cs="楷体"/>
          <w:sz w:val="32"/>
          <w:szCs w:val="32"/>
        </w:rPr>
      </w:pPr>
      <w:r>
        <w:rPr>
          <w:rFonts w:hint="eastAsia" w:ascii="Times New Roman" w:hAnsi="Times New Roman" w:eastAsia="仿宋_GB2312"/>
          <w:sz w:val="32"/>
          <w:szCs w:val="32"/>
        </w:rPr>
        <w:t>2022年度政府性基金预算财政拨款收入0万元；年初结转和结余0万元；支出0万元，其中基本支出0万元，项目支出0万元；年末结转和结余0万元。</w:t>
      </w:r>
    </w:p>
    <w:p>
      <w:pPr>
        <w:pStyle w:val="11"/>
        <w:spacing w:line="600" w:lineRule="exact"/>
        <w:ind w:firstLine="640" w:firstLineChars="200"/>
        <w:rPr>
          <w:rFonts w:hAnsi="黑体"/>
          <w:bCs/>
          <w:sz w:val="32"/>
          <w:szCs w:val="32"/>
        </w:rPr>
      </w:pPr>
      <w:r>
        <w:rPr>
          <w:rFonts w:hint="eastAsia" w:hAnsi="黑体"/>
          <w:bCs/>
          <w:sz w:val="32"/>
          <w:szCs w:val="32"/>
        </w:rPr>
        <w:t>八、国有资本经营预算财政拨款支出决算情况</w:t>
      </w:r>
    </w:p>
    <w:p>
      <w:pPr>
        <w:pStyle w:val="11"/>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2022年度国有资本经营预算财政拨款支出0万元；基本支出0万元，项目支出0万元。</w:t>
      </w:r>
    </w:p>
    <w:p>
      <w:pPr>
        <w:pStyle w:val="11"/>
        <w:numPr>
          <w:ilvl w:val="0"/>
          <w:numId w:val="3"/>
        </w:numPr>
        <w:spacing w:line="600" w:lineRule="exact"/>
        <w:rPr>
          <w:rFonts w:hAnsi="黑体"/>
          <w:bCs/>
          <w:sz w:val="32"/>
          <w:szCs w:val="32"/>
        </w:rPr>
      </w:pPr>
      <w:r>
        <w:rPr>
          <w:rFonts w:hint="eastAsia" w:hAnsi="黑体"/>
          <w:bCs/>
          <w:sz w:val="32"/>
          <w:szCs w:val="32"/>
        </w:rPr>
        <w:t>财政拨款三公经费支出决算情况说明</w:t>
      </w:r>
    </w:p>
    <w:p>
      <w:pPr>
        <w:pStyle w:val="11"/>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 xml:space="preserve"> “三公”经费财政拨款支出预算为673万元，支出决算为397.28万元，完成预算的59.03%，其中：</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因公出国（境）费支出预算为0万元，支出决算为0万元，决算数等于预算数，主要原因是未发生因公出国（境）支出；</w:t>
      </w:r>
      <w:r>
        <w:rPr>
          <w:rFonts w:hint="eastAsia" w:ascii="Times New Roman" w:hAnsi="Times New Roman" w:eastAsia="仿宋_GB2312"/>
          <w:bCs/>
          <w:sz w:val="32"/>
          <w:szCs w:val="32"/>
        </w:rPr>
        <w:t>与上年一致，无增减变动，</w:t>
      </w:r>
      <w:r>
        <w:rPr>
          <w:rFonts w:hint="eastAsia" w:ascii="Times New Roman" w:hAnsi="Times New Roman" w:eastAsia="仿宋_GB2312"/>
          <w:sz w:val="32"/>
          <w:szCs w:val="32"/>
        </w:rPr>
        <w:t>主要原因是均未发生因公出国（境）支出。</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公务接待费支出预算为3万元，支出决算为0.85万元，完成预算的28.33%，决算数小于预算数的主要原因是厉行节约严控费用；与上年相比增加0.57万元，增加203.57%，增加的主要原因公安工作交流比上年增多。</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公务用车购置费支出预算为280万元，支出决算为139.94万元，完成预算的49.98%，决算数小于预算数的主要原因是根据省厅要求当年只支付购车费用的百分之五十；与上年相比增加139.94万，增长54.3%，增加的主要原因是发生公务用车购置费支出。</w:t>
      </w:r>
    </w:p>
    <w:p>
      <w:pPr>
        <w:pStyle w:val="11"/>
        <w:spacing w:line="600" w:lineRule="exact"/>
        <w:ind w:firstLine="800" w:firstLineChars="250"/>
        <w:rPr>
          <w:rFonts w:ascii="宋体" w:hAnsi="宋体" w:eastAsia="宋体"/>
          <w:sz w:val="32"/>
          <w:szCs w:val="32"/>
        </w:rPr>
      </w:pPr>
      <w:r>
        <w:rPr>
          <w:rFonts w:hint="eastAsia" w:ascii="Times New Roman" w:hAnsi="Times New Roman" w:eastAsia="仿宋_GB2312"/>
          <w:sz w:val="32"/>
          <w:szCs w:val="32"/>
        </w:rPr>
        <w:t>公务用车运行维护费支出预算为390万元，支出决算为256.49万元，完成预算的65.77%，决算数小于预算数的主要原因是加强公车管理严控费用；与上年相比减少1.01万元，减少0.39%，减少的主要原因是厉行节约、严控经费。</w:t>
      </w:r>
    </w:p>
    <w:p>
      <w:pPr>
        <w:pStyle w:val="11"/>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2022年度“三公”经费财政拨款支出决算中，公务接待费支出决算0.85万元，占0.21%，因公出国（境）费支出决算0万元，占0%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公务用车购置费及运行维护费支出决算396.43万元，占99.79%。其中：</w:t>
      </w:r>
    </w:p>
    <w:p>
      <w:pPr>
        <w:pStyle w:val="11"/>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sz w:val="32"/>
          <w:szCs w:val="32"/>
        </w:rPr>
        <w:t>1、因公出国（境）费支出决算为0万元，全年安排因公出国（境）团组0个，累计0人次，无开支内容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我单位2022年度无因公出国（境）费支出</w:t>
      </w:r>
      <w:r>
        <w:rPr>
          <w:rFonts w:hint="eastAsia" w:ascii="Times New Roman" w:hAnsi="Times New Roman" w:eastAsia="仿宋_GB2312"/>
          <w:sz w:val="32"/>
          <w:szCs w:val="32"/>
        </w:rPr>
        <w:t>。</w:t>
      </w:r>
    </w:p>
    <w:p>
      <w:pPr>
        <w:pStyle w:val="11"/>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2、公务接待费支出决算为0.85万元，全年共接待来访团组3个、来宾61人次，主要是公安兄弟单位学习交流发生的接待支出。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3、公务用车购置费及运行维护费支出决算为396.43万元，其中：公务用车购置费139.94万元，本单位更新公务用车增加19辆，报废3辆</w:t>
      </w:r>
      <w:r>
        <w:rPr>
          <w:rFonts w:hint="eastAsia" w:ascii="Times New Roman" w:hAnsi="Times New Roman" w:eastAsia="仿宋_GB2312"/>
          <w:color w:val="000000"/>
          <w:sz w:val="32"/>
          <w:szCs w:val="32"/>
        </w:rPr>
        <w:t>。</w:t>
      </w:r>
      <w:r>
        <w:rPr>
          <w:rFonts w:hint="eastAsia" w:ascii="Times New Roman" w:hAnsi="Times New Roman" w:eastAsia="仿宋_GB2312"/>
          <w:sz w:val="32"/>
          <w:szCs w:val="32"/>
        </w:rPr>
        <w:t>公务用车运行维护费256.49万元，主要是公务用车油料、修理、保险等支出，截止2022年12月31日，我单位开支财政拨款的公务用车保有量为83辆。</w:t>
      </w:r>
    </w:p>
    <w:p>
      <w:pPr>
        <w:pStyle w:val="11"/>
        <w:spacing w:line="600" w:lineRule="exact"/>
        <w:ind w:firstLine="640" w:firstLineChars="200"/>
        <w:rPr>
          <w:rFonts w:hAnsi="黑体"/>
          <w:bCs/>
          <w:sz w:val="32"/>
          <w:szCs w:val="32"/>
        </w:rPr>
      </w:pPr>
      <w:r>
        <w:rPr>
          <w:rFonts w:hint="eastAsia" w:hAnsi="黑体"/>
          <w:bCs/>
          <w:sz w:val="32"/>
          <w:szCs w:val="32"/>
        </w:rPr>
        <w:t>十、关于机关运行经费支出说明</w:t>
      </w:r>
    </w:p>
    <w:p>
      <w:pPr>
        <w:pStyle w:val="11"/>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本部门2022年度机关运行经费支出1327.78万元，比年初预算数减少70.46万元，降低5%。主要原因是响应党中央厉行节约严控费用。</w:t>
      </w:r>
    </w:p>
    <w:p>
      <w:pPr>
        <w:pStyle w:val="11"/>
        <w:spacing w:line="600" w:lineRule="exact"/>
        <w:ind w:firstLine="640" w:firstLineChars="200"/>
        <w:rPr>
          <w:rFonts w:hAnsi="黑体"/>
          <w:bCs/>
          <w:sz w:val="32"/>
          <w:szCs w:val="32"/>
        </w:rPr>
      </w:pPr>
      <w:r>
        <w:rPr>
          <w:rFonts w:hint="eastAsia" w:hAnsi="黑体"/>
          <w:bCs/>
          <w:sz w:val="32"/>
          <w:szCs w:val="32"/>
        </w:rPr>
        <w:t>十一、一般性支出情况说明</w:t>
      </w:r>
    </w:p>
    <w:p>
      <w:pPr>
        <w:pStyle w:val="11"/>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2022年本部门开支会议费支出预算为</w:t>
      </w:r>
      <w:r>
        <w:rPr>
          <w:rFonts w:hint="eastAsia" w:ascii="Times New Roman" w:hAnsi="Times New Roman" w:eastAsia="仿宋_GB2312"/>
          <w:sz w:val="32"/>
          <w:szCs w:val="32"/>
          <w:lang w:val="en-US" w:eastAsia="zh-CN"/>
        </w:rPr>
        <w:t>0.6</w:t>
      </w:r>
      <w:r>
        <w:rPr>
          <w:rFonts w:hint="eastAsia" w:ascii="Times New Roman" w:hAnsi="Times New Roman" w:eastAsia="仿宋_GB2312"/>
          <w:sz w:val="32"/>
          <w:szCs w:val="32"/>
        </w:rPr>
        <w:t>万元，支出决算为0万元，完成预算的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%；开支培训费支出预算为</w:t>
      </w:r>
      <w:r>
        <w:rPr>
          <w:rFonts w:hint="eastAsia" w:ascii="Times New Roman" w:hAnsi="Times New Roman" w:eastAsia="仿宋_GB2312"/>
          <w:sz w:val="32"/>
          <w:szCs w:val="32"/>
          <w:lang w:val="en-US" w:eastAsia="zh-CN"/>
        </w:rPr>
        <w:t>19.68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12.70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用于开展新警培训，内容为新入职民辅警入职培训及民警岗位轮训；</w:t>
      </w:r>
      <w:r>
        <w:rPr>
          <w:rFonts w:hint="eastAsia" w:ascii="Times New Roman" w:hAnsi="Times New Roman" w:eastAsia="仿宋_GB2312"/>
          <w:sz w:val="32"/>
          <w:szCs w:val="32"/>
          <w:lang w:val="en-US" w:eastAsia="zh-CN"/>
        </w:rPr>
        <w:t>我单位无</w:t>
      </w: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val="en-US" w:eastAsia="zh-CN"/>
        </w:rPr>
        <w:t>的支出预算和支出决算数</w:t>
      </w:r>
      <w:r>
        <w:rPr>
          <w:rFonts w:hint="eastAsia" w:ascii="Times New Roman" w:hAnsi="Times New Roman" w:eastAsia="仿宋_GB2312"/>
          <w:sz w:val="32"/>
          <w:szCs w:val="32"/>
        </w:rPr>
        <w:t>。</w:t>
      </w:r>
    </w:p>
    <w:p>
      <w:pPr>
        <w:pStyle w:val="11"/>
        <w:spacing w:line="600" w:lineRule="exact"/>
        <w:ind w:firstLine="640" w:firstLineChars="200"/>
        <w:rPr>
          <w:rFonts w:hAnsi="黑体"/>
          <w:bCs/>
          <w:sz w:val="32"/>
          <w:szCs w:val="32"/>
        </w:rPr>
      </w:pPr>
      <w:r>
        <w:rPr>
          <w:rFonts w:hint="eastAsia" w:hAnsi="黑体"/>
          <w:bCs/>
          <w:sz w:val="32"/>
          <w:szCs w:val="32"/>
        </w:rPr>
        <w:t>十二、关于政府</w:t>
      </w:r>
      <w:bookmarkStart w:id="0" w:name="_GoBack"/>
      <w:bookmarkEnd w:id="0"/>
      <w:r>
        <w:rPr>
          <w:rFonts w:hint="eastAsia" w:hAnsi="黑体"/>
          <w:bCs/>
          <w:sz w:val="32"/>
          <w:szCs w:val="32"/>
        </w:rPr>
        <w:t>采购支出说明</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政府采购支出总额1035.8万元，其中：政府采购货物支出358.27万元、政府采购工程支出368.53万元、政府采购服务支出309万元。授予中小企业合同金额916.8万元，占政府采购支出总额的88.51%，其中：授予小微企业合同金额916.8万元，占授予中小企业合同金额的100%。货物采购授予中小企业合同金额占货物支出金额的41.57%，工程采购授予中小企业合同金额占工程支出金额的54.55%，服务采购授予中小企业合同金额占服务支出金额的12.98%。</w:t>
      </w:r>
    </w:p>
    <w:p>
      <w:pPr>
        <w:pStyle w:val="11"/>
        <w:spacing w:line="600" w:lineRule="exact"/>
        <w:ind w:firstLine="640" w:firstLineChars="200"/>
        <w:rPr>
          <w:rFonts w:hAnsi="黑体"/>
          <w:bCs/>
          <w:sz w:val="32"/>
          <w:szCs w:val="32"/>
        </w:rPr>
      </w:pPr>
      <w:r>
        <w:rPr>
          <w:rFonts w:hint="eastAsia" w:hAnsi="黑体"/>
          <w:bCs/>
          <w:sz w:val="32"/>
          <w:szCs w:val="32"/>
        </w:rPr>
        <w:t>十三、关于国有资产占用情况说明</w:t>
      </w:r>
    </w:p>
    <w:p>
      <w:pPr>
        <w:pStyle w:val="11"/>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83辆，其中，主要领导干部用车0辆，机要通信用车4辆、应急保障用车0辆、执法执勤用车79辆、特种专业技术用车0辆、其他用车0辆；单位价值50万元以上通用设备0台（套）；单位价值100万元以上专用设备0台（套）。</w:t>
      </w:r>
    </w:p>
    <w:p>
      <w:pPr>
        <w:pStyle w:val="11"/>
        <w:spacing w:line="600" w:lineRule="exact"/>
        <w:ind w:firstLine="640" w:firstLineChars="200"/>
        <w:rPr>
          <w:rFonts w:hAnsi="黑体"/>
          <w:bCs/>
          <w:sz w:val="32"/>
          <w:szCs w:val="32"/>
        </w:rPr>
      </w:pPr>
      <w:r>
        <w:rPr>
          <w:rFonts w:hint="eastAsia" w:hAnsi="黑体"/>
          <w:bCs/>
          <w:sz w:val="32"/>
          <w:szCs w:val="32"/>
        </w:rPr>
        <w:t>十四、关于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1"/>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ind w:firstLine="800" w:firstLineChars="250"/>
        <w:rPr>
          <w:rFonts w:ascii="Times New Roman" w:hAnsi="Times New Roman" w:eastAsia="仿宋_GB2312" w:cs="黑体"/>
          <w:color w:val="000000"/>
          <w:kern w:val="0"/>
          <w:sz w:val="32"/>
          <w:szCs w:val="32"/>
        </w:rPr>
      </w:pPr>
      <w:r>
        <w:rPr>
          <w:rFonts w:ascii="Times New Roman" w:hAnsi="Times New Roman" w:eastAsia="仿宋_GB2312" w:cs="黑体"/>
          <w:color w:val="000000"/>
          <w:kern w:val="0"/>
          <w:sz w:val="32"/>
          <w:szCs w:val="32"/>
        </w:rPr>
        <w:t>2022</w:t>
      </w:r>
      <w:r>
        <w:rPr>
          <w:rFonts w:hint="eastAsia" w:ascii="Times New Roman" w:hAnsi="Times New Roman" w:eastAsia="仿宋_GB2312" w:cs="黑体"/>
          <w:color w:val="000000"/>
          <w:kern w:val="0"/>
          <w:sz w:val="32"/>
          <w:szCs w:val="32"/>
        </w:rPr>
        <w:t>年度市财政下达我局部门整体支付预算资金金额及绩效目标情况具体如下：部门整体支出预算资金</w:t>
      </w:r>
      <w:r>
        <w:rPr>
          <w:rFonts w:ascii="Times New Roman" w:hAnsi="Times New Roman" w:eastAsia="仿宋_GB2312" w:cs="黑体"/>
          <w:color w:val="000000"/>
          <w:kern w:val="0"/>
          <w:sz w:val="32"/>
          <w:szCs w:val="32"/>
        </w:rPr>
        <w:t>10281.22</w:t>
      </w:r>
      <w:r>
        <w:rPr>
          <w:rFonts w:hint="eastAsia" w:ascii="Times New Roman" w:hAnsi="Times New Roman" w:eastAsia="仿宋_GB2312" w:cs="黑体"/>
          <w:color w:val="000000"/>
          <w:kern w:val="0"/>
          <w:sz w:val="32"/>
          <w:szCs w:val="32"/>
        </w:rPr>
        <w:t>万元，</w:t>
      </w:r>
      <w:r>
        <w:rPr>
          <w:rFonts w:ascii="Times New Roman" w:hAnsi="Times New Roman" w:eastAsia="仿宋_GB2312" w:cs="黑体"/>
          <w:color w:val="000000"/>
          <w:kern w:val="0"/>
          <w:sz w:val="32"/>
          <w:szCs w:val="32"/>
        </w:rPr>
        <w:t>1-7</w:t>
      </w:r>
      <w:r>
        <w:rPr>
          <w:rFonts w:hint="eastAsia" w:ascii="Times New Roman" w:hAnsi="Times New Roman" w:eastAsia="仿宋_GB2312" w:cs="黑体"/>
          <w:color w:val="000000"/>
          <w:kern w:val="0"/>
          <w:sz w:val="32"/>
          <w:szCs w:val="32"/>
        </w:rPr>
        <w:t>月执行</w:t>
      </w:r>
      <w:r>
        <w:rPr>
          <w:rFonts w:ascii="Times New Roman" w:hAnsi="Times New Roman" w:eastAsia="仿宋_GB2312" w:cs="黑体"/>
          <w:color w:val="000000"/>
          <w:kern w:val="0"/>
          <w:sz w:val="32"/>
          <w:szCs w:val="32"/>
        </w:rPr>
        <w:t>7012.4</w:t>
      </w:r>
      <w:r>
        <w:rPr>
          <w:rFonts w:hint="eastAsia" w:ascii="Times New Roman" w:hAnsi="Times New Roman" w:eastAsia="仿宋_GB2312" w:cs="黑体"/>
          <w:color w:val="000000"/>
          <w:kern w:val="0"/>
          <w:sz w:val="32"/>
          <w:szCs w:val="32"/>
        </w:rPr>
        <w:t>万元。全年圆满完成绩效目标任务，完成率</w:t>
      </w:r>
      <w:r>
        <w:rPr>
          <w:rFonts w:ascii="Times New Roman" w:hAnsi="Times New Roman" w:eastAsia="仿宋_GB2312" w:cs="黑体"/>
          <w:color w:val="000000"/>
          <w:kern w:val="0"/>
          <w:sz w:val="32"/>
          <w:szCs w:val="32"/>
        </w:rPr>
        <w:t>100%</w:t>
      </w:r>
      <w:r>
        <w:rPr>
          <w:rFonts w:hint="eastAsia" w:ascii="Times New Roman" w:hAnsi="Times New Roman" w:eastAsia="仿宋_GB2312" w:cs="黑体"/>
          <w:color w:val="000000"/>
          <w:kern w:val="0"/>
          <w:sz w:val="32"/>
          <w:szCs w:val="32"/>
        </w:rPr>
        <w:t>。从数量指标看，刑事案件发案数同比</w:t>
      </w:r>
      <w:r>
        <w:rPr>
          <w:rFonts w:ascii="Times New Roman" w:hAnsi="Times New Roman" w:eastAsia="仿宋_GB2312" w:cs="黑体"/>
          <w:color w:val="000000"/>
          <w:kern w:val="0"/>
          <w:sz w:val="32"/>
          <w:szCs w:val="32"/>
        </w:rPr>
        <w:t>2020</w:t>
      </w:r>
      <w:r>
        <w:rPr>
          <w:rFonts w:hint="eastAsia" w:ascii="Times New Roman" w:hAnsi="Times New Roman" w:eastAsia="仿宋_GB2312" w:cs="黑体"/>
          <w:color w:val="000000"/>
          <w:kern w:val="0"/>
          <w:sz w:val="32"/>
          <w:szCs w:val="32"/>
        </w:rPr>
        <w:t>年下降</w:t>
      </w:r>
      <w:r>
        <w:rPr>
          <w:rFonts w:ascii="Times New Roman" w:hAnsi="Times New Roman" w:eastAsia="仿宋_GB2312" w:cs="黑体"/>
          <w:color w:val="000000"/>
          <w:kern w:val="0"/>
          <w:sz w:val="32"/>
          <w:szCs w:val="32"/>
        </w:rPr>
        <w:t>3%</w:t>
      </w:r>
      <w:r>
        <w:rPr>
          <w:rFonts w:hint="eastAsia" w:ascii="Times New Roman" w:hAnsi="Times New Roman" w:eastAsia="仿宋_GB2312" w:cs="黑体"/>
          <w:color w:val="000000"/>
          <w:kern w:val="0"/>
          <w:sz w:val="32"/>
          <w:szCs w:val="32"/>
        </w:rPr>
        <w:t>以上；破案率本地百名民警数之比达到前</w:t>
      </w:r>
      <w:r>
        <w:rPr>
          <w:rFonts w:ascii="Times New Roman" w:hAnsi="Times New Roman" w:eastAsia="仿宋_GB2312" w:cs="黑体"/>
          <w:color w:val="000000"/>
          <w:kern w:val="0"/>
          <w:sz w:val="32"/>
          <w:szCs w:val="32"/>
        </w:rPr>
        <w:t>3</w:t>
      </w:r>
      <w:r>
        <w:rPr>
          <w:rFonts w:hint="eastAsia" w:ascii="Times New Roman" w:hAnsi="Times New Roman" w:eastAsia="仿宋_GB2312" w:cs="黑体"/>
          <w:color w:val="000000"/>
          <w:kern w:val="0"/>
          <w:sz w:val="32"/>
          <w:szCs w:val="32"/>
        </w:rPr>
        <w:t>年全省或全市平均值；快捷有效的办理了二代证及出入境证；</w:t>
      </w:r>
      <w:r>
        <w:rPr>
          <w:rFonts w:ascii="Times New Roman" w:hAnsi="Times New Roman" w:eastAsia="仿宋_GB2312" w:cs="黑体"/>
          <w:color w:val="000000"/>
          <w:kern w:val="0"/>
          <w:sz w:val="32"/>
          <w:szCs w:val="32"/>
        </w:rPr>
        <w:t>"</w:t>
      </w:r>
      <w:r>
        <w:rPr>
          <w:rFonts w:hint="eastAsia" w:ascii="Times New Roman" w:hAnsi="Times New Roman" w:eastAsia="仿宋_GB2312" w:cs="黑体"/>
          <w:color w:val="000000"/>
          <w:kern w:val="0"/>
          <w:sz w:val="32"/>
          <w:szCs w:val="32"/>
        </w:rPr>
        <w:t>三实信息</w:t>
      </w:r>
      <w:r>
        <w:rPr>
          <w:rFonts w:ascii="Times New Roman" w:hAnsi="Times New Roman" w:eastAsia="仿宋_GB2312" w:cs="黑体"/>
          <w:color w:val="000000"/>
          <w:kern w:val="0"/>
          <w:sz w:val="32"/>
          <w:szCs w:val="32"/>
        </w:rPr>
        <w:t>"</w:t>
      </w:r>
      <w:r>
        <w:rPr>
          <w:rFonts w:hint="eastAsia" w:ascii="Times New Roman" w:hAnsi="Times New Roman" w:eastAsia="仿宋_GB2312" w:cs="黑体"/>
          <w:color w:val="000000"/>
          <w:kern w:val="0"/>
          <w:sz w:val="32"/>
          <w:szCs w:val="32"/>
        </w:rPr>
        <w:t>采集率</w:t>
      </w:r>
      <w:r>
        <w:rPr>
          <w:rFonts w:ascii="Times New Roman" w:hAnsi="Times New Roman" w:eastAsia="仿宋_GB2312" w:cs="黑体"/>
          <w:color w:val="000000"/>
          <w:kern w:val="0"/>
          <w:sz w:val="32"/>
          <w:szCs w:val="32"/>
        </w:rPr>
        <w:t>95%</w:t>
      </w:r>
      <w:r>
        <w:rPr>
          <w:rFonts w:hint="eastAsia" w:ascii="Times New Roman" w:hAnsi="Times New Roman" w:eastAsia="仿宋_GB2312" w:cs="黑体"/>
          <w:color w:val="000000"/>
          <w:kern w:val="0"/>
          <w:sz w:val="32"/>
          <w:szCs w:val="32"/>
        </w:rPr>
        <w:t>，群众满意度高。从质量指标看，辖区社会治安稳定和公众安全感</w:t>
      </w:r>
      <w:r>
        <w:rPr>
          <w:rFonts w:ascii="Times New Roman" w:hAnsi="Times New Roman" w:eastAsia="仿宋_GB2312" w:cs="黑体"/>
          <w:color w:val="000000"/>
          <w:kern w:val="0"/>
          <w:sz w:val="32"/>
          <w:szCs w:val="32"/>
        </w:rPr>
        <w:t xml:space="preserve"> </w:t>
      </w:r>
      <w:r>
        <w:rPr>
          <w:rFonts w:hint="eastAsia" w:ascii="Times New Roman" w:hAnsi="Times New Roman" w:eastAsia="仿宋_GB2312" w:cs="黑体"/>
          <w:color w:val="000000"/>
          <w:kern w:val="0"/>
          <w:sz w:val="32"/>
          <w:szCs w:val="32"/>
        </w:rPr>
        <w:t>；公众对公安机关提供服务的满意度。</w:t>
      </w:r>
    </w:p>
    <w:p>
      <w:pPr>
        <w:pStyle w:val="11"/>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ind w:firstLine="800" w:firstLineChars="250"/>
        <w:rPr>
          <w:rFonts w:hint="eastAsia" w:ascii="Times New Roman" w:hAnsi="Times New Roman" w:eastAsia="仿宋_GB2312" w:cs="黑体"/>
          <w:color w:val="000000"/>
          <w:kern w:val="0"/>
          <w:sz w:val="32"/>
          <w:szCs w:val="32"/>
        </w:rPr>
      </w:pPr>
      <w:r>
        <w:rPr>
          <w:rFonts w:ascii="Times New Roman" w:hAnsi="Times New Roman" w:eastAsia="仿宋_GB2312" w:cs="黑体"/>
          <w:color w:val="000000"/>
          <w:kern w:val="0"/>
          <w:sz w:val="32"/>
          <w:szCs w:val="32"/>
        </w:rPr>
        <w:t>2022</w:t>
      </w:r>
      <w:r>
        <w:rPr>
          <w:rFonts w:hint="eastAsia" w:ascii="Times New Roman" w:hAnsi="Times New Roman" w:eastAsia="仿宋_GB2312" w:cs="黑体"/>
          <w:color w:val="000000"/>
          <w:kern w:val="0"/>
          <w:sz w:val="32"/>
          <w:szCs w:val="32"/>
        </w:rPr>
        <w:t>年度我局部门整体预算绩效目标基本未发生偏离，但是还存在着部分不足，如派出所基础建设。下一步将推进《派出所基础建设》工作，加强落实县域警务差异化警务保障制。</w:t>
      </w:r>
    </w:p>
    <w:p>
      <w:pPr>
        <w:rPr>
          <w:rFonts w:hint="eastAsia" w:ascii="Times New Roman" w:hAnsi="Times New Roman" w:eastAsia="仿宋_GB2312" w:cs="黑体"/>
          <w:color w:val="000000"/>
          <w:kern w:val="0"/>
          <w:sz w:val="32"/>
          <w:szCs w:val="32"/>
          <w:lang w:eastAsia="zh-CN"/>
        </w:rPr>
      </w:pPr>
      <w:r>
        <w:rPr>
          <w:rFonts w:hint="eastAsia" w:ascii="Times New Roman" w:hAnsi="Times New Roman" w:eastAsia="仿宋_GB2312" w:cs="黑体"/>
          <w:color w:val="000000"/>
          <w:kern w:val="0"/>
          <w:sz w:val="32"/>
          <w:szCs w:val="32"/>
        </w:rPr>
        <w:t>详见附件</w:t>
      </w:r>
      <w:r>
        <w:rPr>
          <w:rFonts w:hint="eastAsia" w:ascii="Times New Roman" w:hAnsi="Times New Roman" w:eastAsia="仿宋_GB2312" w:cs="黑体"/>
          <w:color w:val="000000"/>
          <w:kern w:val="0"/>
          <w:sz w:val="32"/>
          <w:szCs w:val="32"/>
          <w:lang w:eastAsia="zh-CN"/>
        </w:rPr>
        <w:t>。</w:t>
      </w:r>
    </w:p>
    <w:p>
      <w:pPr>
        <w:ind w:firstLine="800" w:firstLineChars="250"/>
        <w:rPr>
          <w:rFonts w:ascii="Times New Roman" w:hAnsi="Times New Roman" w:eastAsia="仿宋_GB2312" w:cs="黑体"/>
          <w:color w:val="000000"/>
          <w:kern w:val="0"/>
          <w:sz w:val="32"/>
          <w:szCs w:val="32"/>
        </w:rPr>
      </w:pPr>
    </w:p>
    <w:p>
      <w:pPr>
        <w:pStyle w:val="11"/>
        <w:jc w:val="both"/>
        <w:rPr>
          <w:rFonts w:ascii="方正小标宋_GBK" w:hAnsi="方正小标宋_GBK" w:eastAsia="方正小标宋_GBK" w:cs="方正小标宋_GBK"/>
          <w:sz w:val="72"/>
          <w:szCs w:val="72"/>
        </w:rPr>
      </w:pPr>
    </w:p>
    <w:p>
      <w:pPr>
        <w:pStyle w:val="11"/>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ascii="宋体" w:hAnsi="宋体" w:cs="黑体"/>
          <w:color w:val="000000"/>
          <w:kern w:val="0"/>
          <w:sz w:val="32"/>
          <w:szCs w:val="32"/>
        </w:rPr>
      </w:pP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三、基本支出：指为保障机构正常运转、完成日常工作任务而发生的各项支出，包括人员支出和公用支出。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四、项目支出：指在基本支出以外为完成相关行政任务和事业发展目标所发生的各项支出。</w:t>
      </w:r>
    </w:p>
    <w:p>
      <w:pPr>
        <w:pStyle w:val="11"/>
        <w:rPr>
          <w:rFonts w:ascii="Times New Roman" w:hAnsi="Times New Roman" w:eastAsia="仿宋_GB2312"/>
          <w:sz w:val="32"/>
          <w:szCs w:val="32"/>
        </w:rPr>
      </w:pPr>
    </w:p>
    <w:p>
      <w:pPr>
        <w:pStyle w:val="11"/>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pStyle w:val="11"/>
        <w:jc w:val="center"/>
        <w:rPr>
          <w:sz w:val="72"/>
          <w:szCs w:val="72"/>
        </w:rPr>
      </w:pPr>
      <w:r>
        <w:rPr>
          <w:rFonts w:hint="eastAsia"/>
          <w:sz w:val="70"/>
          <w:szCs w:val="70"/>
        </w:rPr>
        <w:t>附件</w:t>
      </w:r>
    </w:p>
    <w:p>
      <w:pPr>
        <w:ind w:firstLine="640" w:firstLineChars="200"/>
        <w:jc w:val="left"/>
        <w:rPr>
          <w:rFonts w:ascii="宋体" w:hAnsi="宋体" w:cs="黑体"/>
          <w:b/>
          <w:color w:val="000000"/>
          <w:kern w:val="0"/>
          <w:sz w:val="32"/>
          <w:szCs w:val="32"/>
        </w:rPr>
      </w:pPr>
    </w:p>
    <w:p>
      <w:pPr>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1、2022年部门决算公开表格</w:t>
      </w:r>
    </w:p>
    <w:p>
      <w:pPr>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2、2022年度部门整体支出绩效评价报告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87E68E0"/>
    <w:multiLevelType w:val="multilevel"/>
    <w:tmpl w:val="387E68E0"/>
    <w:lvl w:ilvl="0" w:tentative="0">
      <w:start w:val="9"/>
      <w:numFmt w:val="japaneseCounting"/>
      <w:lvlText w:val="%1、"/>
      <w:lvlJc w:val="left"/>
      <w:pPr>
        <w:ind w:left="1430" w:hanging="720"/>
      </w:pPr>
      <w:rPr>
        <w:rFonts w:hint="default"/>
      </w:rPr>
    </w:lvl>
    <w:lvl w:ilvl="1" w:tentative="0">
      <w:start w:val="1"/>
      <w:numFmt w:val="lowerLetter"/>
      <w:lvlText w:val="%2)"/>
      <w:lvlJc w:val="left"/>
      <w:pPr>
        <w:ind w:left="1550" w:hanging="420"/>
      </w:pPr>
    </w:lvl>
    <w:lvl w:ilvl="2" w:tentative="0">
      <w:start w:val="1"/>
      <w:numFmt w:val="lowerRoman"/>
      <w:lvlText w:val="%3."/>
      <w:lvlJc w:val="right"/>
      <w:pPr>
        <w:ind w:left="1970" w:hanging="420"/>
      </w:pPr>
    </w:lvl>
    <w:lvl w:ilvl="3" w:tentative="0">
      <w:start w:val="1"/>
      <w:numFmt w:val="decimal"/>
      <w:lvlText w:val="%4."/>
      <w:lvlJc w:val="left"/>
      <w:pPr>
        <w:ind w:left="2390" w:hanging="420"/>
      </w:pPr>
    </w:lvl>
    <w:lvl w:ilvl="4" w:tentative="0">
      <w:start w:val="1"/>
      <w:numFmt w:val="lowerLetter"/>
      <w:lvlText w:val="%5)"/>
      <w:lvlJc w:val="left"/>
      <w:pPr>
        <w:ind w:left="2810" w:hanging="420"/>
      </w:pPr>
    </w:lvl>
    <w:lvl w:ilvl="5" w:tentative="0">
      <w:start w:val="1"/>
      <w:numFmt w:val="lowerRoman"/>
      <w:lvlText w:val="%6."/>
      <w:lvlJc w:val="right"/>
      <w:pPr>
        <w:ind w:left="3230" w:hanging="420"/>
      </w:pPr>
    </w:lvl>
    <w:lvl w:ilvl="6" w:tentative="0">
      <w:start w:val="1"/>
      <w:numFmt w:val="decimal"/>
      <w:lvlText w:val="%7."/>
      <w:lvlJc w:val="left"/>
      <w:pPr>
        <w:ind w:left="3650" w:hanging="420"/>
      </w:pPr>
    </w:lvl>
    <w:lvl w:ilvl="7" w:tentative="0">
      <w:start w:val="1"/>
      <w:numFmt w:val="lowerLetter"/>
      <w:lvlText w:val="%8)"/>
      <w:lvlJc w:val="left"/>
      <w:pPr>
        <w:ind w:left="4070" w:hanging="420"/>
      </w:pPr>
    </w:lvl>
    <w:lvl w:ilvl="8" w:tentative="0">
      <w:start w:val="1"/>
      <w:numFmt w:val="lowerRoman"/>
      <w:lvlText w:val="%9."/>
      <w:lvlJc w:val="right"/>
      <w:pPr>
        <w:ind w:left="4490" w:hanging="420"/>
      </w:pPr>
    </w:lvl>
  </w:abstractNum>
  <w:abstractNum w:abstractNumId="2">
    <w:nsid w:val="4866049D"/>
    <w:multiLevelType w:val="singleLevel"/>
    <w:tmpl w:val="4866049D"/>
    <w:lvl w:ilvl="0" w:tentative="0">
      <w:start w:val="1"/>
      <w:numFmt w:val="chineseCounting"/>
      <w:suff w:val="nothing"/>
      <w:lvlText w:val="（%1）"/>
      <w:lvlJc w:val="left"/>
      <w:pPr>
        <w:ind w:left="-10"/>
      </w:pPr>
      <w:rPr>
        <w:rFonts w:hint="eastAsia"/>
        <w:sz w:val="32"/>
        <w:szCs w:val="32"/>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ZWM1MTJhNTVlMWIxNDBkYzlmOTEwZjgzMmRmNTIifQ=="/>
    <w:docVar w:name="KSO_WPS_MARK_KEY" w:val="831eda1e-ca06-4d49-867a-bde65fdddafb"/>
  </w:docVars>
  <w:rsids>
    <w:rsidRoot w:val="004506F9"/>
    <w:rsid w:val="000013E0"/>
    <w:rsid w:val="0002229B"/>
    <w:rsid w:val="000273BD"/>
    <w:rsid w:val="00040CBC"/>
    <w:rsid w:val="000415B7"/>
    <w:rsid w:val="00041E3F"/>
    <w:rsid w:val="00055DAA"/>
    <w:rsid w:val="00061F7B"/>
    <w:rsid w:val="00063765"/>
    <w:rsid w:val="000658A3"/>
    <w:rsid w:val="00074155"/>
    <w:rsid w:val="00091543"/>
    <w:rsid w:val="000A3F69"/>
    <w:rsid w:val="000D2939"/>
    <w:rsid w:val="000D3172"/>
    <w:rsid w:val="000E41EF"/>
    <w:rsid w:val="00103957"/>
    <w:rsid w:val="001107F5"/>
    <w:rsid w:val="00135BDB"/>
    <w:rsid w:val="0015295D"/>
    <w:rsid w:val="00152C6D"/>
    <w:rsid w:val="00162D39"/>
    <w:rsid w:val="00163EC8"/>
    <w:rsid w:val="001669BC"/>
    <w:rsid w:val="001678BD"/>
    <w:rsid w:val="00182373"/>
    <w:rsid w:val="001844AF"/>
    <w:rsid w:val="001A1BD3"/>
    <w:rsid w:val="001A67DB"/>
    <w:rsid w:val="001C3C29"/>
    <w:rsid w:val="001D51E5"/>
    <w:rsid w:val="001E080D"/>
    <w:rsid w:val="001E2069"/>
    <w:rsid w:val="001E53D0"/>
    <w:rsid w:val="001F0C3B"/>
    <w:rsid w:val="00202C82"/>
    <w:rsid w:val="00211E44"/>
    <w:rsid w:val="00214427"/>
    <w:rsid w:val="00226CB7"/>
    <w:rsid w:val="002330C2"/>
    <w:rsid w:val="00245AEE"/>
    <w:rsid w:val="002627A5"/>
    <w:rsid w:val="00264552"/>
    <w:rsid w:val="00264EF9"/>
    <w:rsid w:val="00265724"/>
    <w:rsid w:val="0027426B"/>
    <w:rsid w:val="00295E3D"/>
    <w:rsid w:val="002D57F0"/>
    <w:rsid w:val="002E0A30"/>
    <w:rsid w:val="002E397F"/>
    <w:rsid w:val="002E512F"/>
    <w:rsid w:val="003130C4"/>
    <w:rsid w:val="00316C4B"/>
    <w:rsid w:val="0032192B"/>
    <w:rsid w:val="00323531"/>
    <w:rsid w:val="00324AD2"/>
    <w:rsid w:val="00333232"/>
    <w:rsid w:val="003435AA"/>
    <w:rsid w:val="003479BD"/>
    <w:rsid w:val="0037197D"/>
    <w:rsid w:val="003768D5"/>
    <w:rsid w:val="00385E02"/>
    <w:rsid w:val="003901A6"/>
    <w:rsid w:val="003926B9"/>
    <w:rsid w:val="003A6A42"/>
    <w:rsid w:val="003C47E6"/>
    <w:rsid w:val="003C4FC2"/>
    <w:rsid w:val="003F4AFA"/>
    <w:rsid w:val="00416E61"/>
    <w:rsid w:val="00425447"/>
    <w:rsid w:val="0042790C"/>
    <w:rsid w:val="004506F9"/>
    <w:rsid w:val="00462B6F"/>
    <w:rsid w:val="004717A2"/>
    <w:rsid w:val="00471B78"/>
    <w:rsid w:val="004724DA"/>
    <w:rsid w:val="00473DF3"/>
    <w:rsid w:val="00487911"/>
    <w:rsid w:val="0049154E"/>
    <w:rsid w:val="00491741"/>
    <w:rsid w:val="004A48C3"/>
    <w:rsid w:val="004A7837"/>
    <w:rsid w:val="004B0CEE"/>
    <w:rsid w:val="004D5D68"/>
    <w:rsid w:val="004F760D"/>
    <w:rsid w:val="00500E5F"/>
    <w:rsid w:val="00501B7F"/>
    <w:rsid w:val="005122EF"/>
    <w:rsid w:val="0051441A"/>
    <w:rsid w:val="00517C33"/>
    <w:rsid w:val="00517D5F"/>
    <w:rsid w:val="00523644"/>
    <w:rsid w:val="0054069E"/>
    <w:rsid w:val="00544866"/>
    <w:rsid w:val="00550248"/>
    <w:rsid w:val="005767CC"/>
    <w:rsid w:val="00590D9F"/>
    <w:rsid w:val="00595D26"/>
    <w:rsid w:val="005A42D3"/>
    <w:rsid w:val="005A74E6"/>
    <w:rsid w:val="005B404E"/>
    <w:rsid w:val="005D4D55"/>
    <w:rsid w:val="005E2CFB"/>
    <w:rsid w:val="005F2103"/>
    <w:rsid w:val="005F3D1C"/>
    <w:rsid w:val="0062378F"/>
    <w:rsid w:val="00641842"/>
    <w:rsid w:val="006432AC"/>
    <w:rsid w:val="00647AAA"/>
    <w:rsid w:val="00651EEC"/>
    <w:rsid w:val="00670F75"/>
    <w:rsid w:val="00686673"/>
    <w:rsid w:val="00691E8C"/>
    <w:rsid w:val="006A22C4"/>
    <w:rsid w:val="006A351B"/>
    <w:rsid w:val="006B0422"/>
    <w:rsid w:val="006C1B53"/>
    <w:rsid w:val="006C1FE8"/>
    <w:rsid w:val="006C794D"/>
    <w:rsid w:val="006D7730"/>
    <w:rsid w:val="006E5284"/>
    <w:rsid w:val="006E5A2D"/>
    <w:rsid w:val="006F3EB5"/>
    <w:rsid w:val="00702E34"/>
    <w:rsid w:val="00704395"/>
    <w:rsid w:val="00710FE7"/>
    <w:rsid w:val="00717621"/>
    <w:rsid w:val="00720FF1"/>
    <w:rsid w:val="00723F8F"/>
    <w:rsid w:val="00727A53"/>
    <w:rsid w:val="00745F82"/>
    <w:rsid w:val="00755526"/>
    <w:rsid w:val="007657B0"/>
    <w:rsid w:val="007664C2"/>
    <w:rsid w:val="007860F5"/>
    <w:rsid w:val="00787B42"/>
    <w:rsid w:val="007C4539"/>
    <w:rsid w:val="007C4701"/>
    <w:rsid w:val="007C5CFB"/>
    <w:rsid w:val="007F3657"/>
    <w:rsid w:val="00812ED5"/>
    <w:rsid w:val="008277D9"/>
    <w:rsid w:val="00833D26"/>
    <w:rsid w:val="0084478C"/>
    <w:rsid w:val="0084590F"/>
    <w:rsid w:val="0086638C"/>
    <w:rsid w:val="008A3E8D"/>
    <w:rsid w:val="008B2E3E"/>
    <w:rsid w:val="008D7050"/>
    <w:rsid w:val="008F1E82"/>
    <w:rsid w:val="008F272D"/>
    <w:rsid w:val="009237C4"/>
    <w:rsid w:val="00944C48"/>
    <w:rsid w:val="00950252"/>
    <w:rsid w:val="00967F5D"/>
    <w:rsid w:val="0098399D"/>
    <w:rsid w:val="009A0F95"/>
    <w:rsid w:val="009B3ADF"/>
    <w:rsid w:val="009B3F8F"/>
    <w:rsid w:val="009C3B52"/>
    <w:rsid w:val="009C6E3D"/>
    <w:rsid w:val="009E6817"/>
    <w:rsid w:val="009E6E9A"/>
    <w:rsid w:val="00A01D2B"/>
    <w:rsid w:val="00A07A1E"/>
    <w:rsid w:val="00A42218"/>
    <w:rsid w:val="00A613F4"/>
    <w:rsid w:val="00A64C64"/>
    <w:rsid w:val="00A70249"/>
    <w:rsid w:val="00A70B02"/>
    <w:rsid w:val="00A71D9F"/>
    <w:rsid w:val="00A92E9F"/>
    <w:rsid w:val="00AB18FF"/>
    <w:rsid w:val="00AC0A68"/>
    <w:rsid w:val="00B33BEA"/>
    <w:rsid w:val="00B34289"/>
    <w:rsid w:val="00B3698C"/>
    <w:rsid w:val="00B57C9F"/>
    <w:rsid w:val="00B63572"/>
    <w:rsid w:val="00B73878"/>
    <w:rsid w:val="00B75631"/>
    <w:rsid w:val="00B845B3"/>
    <w:rsid w:val="00B85D8B"/>
    <w:rsid w:val="00BA7AB4"/>
    <w:rsid w:val="00BB4A40"/>
    <w:rsid w:val="00BC0BC6"/>
    <w:rsid w:val="00BD6C3E"/>
    <w:rsid w:val="00BE3674"/>
    <w:rsid w:val="00C10681"/>
    <w:rsid w:val="00C3049A"/>
    <w:rsid w:val="00C31B1E"/>
    <w:rsid w:val="00C77645"/>
    <w:rsid w:val="00C82B2F"/>
    <w:rsid w:val="00CA7AE4"/>
    <w:rsid w:val="00CB7094"/>
    <w:rsid w:val="00CD03D7"/>
    <w:rsid w:val="00CE04C3"/>
    <w:rsid w:val="00CE1A62"/>
    <w:rsid w:val="00CE76A0"/>
    <w:rsid w:val="00D148C6"/>
    <w:rsid w:val="00D17A8A"/>
    <w:rsid w:val="00D415BA"/>
    <w:rsid w:val="00D63780"/>
    <w:rsid w:val="00D644EE"/>
    <w:rsid w:val="00D64529"/>
    <w:rsid w:val="00D677BA"/>
    <w:rsid w:val="00D9353A"/>
    <w:rsid w:val="00D96A57"/>
    <w:rsid w:val="00DA42D6"/>
    <w:rsid w:val="00DA681B"/>
    <w:rsid w:val="00DA6B5D"/>
    <w:rsid w:val="00DD06FF"/>
    <w:rsid w:val="00DD5FE9"/>
    <w:rsid w:val="00DF11DA"/>
    <w:rsid w:val="00E00C7A"/>
    <w:rsid w:val="00E37D6C"/>
    <w:rsid w:val="00E51050"/>
    <w:rsid w:val="00E55B68"/>
    <w:rsid w:val="00E561AE"/>
    <w:rsid w:val="00E67BE6"/>
    <w:rsid w:val="00E863FC"/>
    <w:rsid w:val="00E8683C"/>
    <w:rsid w:val="00E93377"/>
    <w:rsid w:val="00E963BC"/>
    <w:rsid w:val="00EA2B72"/>
    <w:rsid w:val="00F348F1"/>
    <w:rsid w:val="00F4329B"/>
    <w:rsid w:val="00F74360"/>
    <w:rsid w:val="00F90C2F"/>
    <w:rsid w:val="00FB26A1"/>
    <w:rsid w:val="00FB462F"/>
    <w:rsid w:val="00FC70E0"/>
    <w:rsid w:val="00FE16FA"/>
    <w:rsid w:val="00FE328A"/>
    <w:rsid w:val="00FE6269"/>
    <w:rsid w:val="00FF26CB"/>
    <w:rsid w:val="00FF5CD6"/>
    <w:rsid w:val="05573D2D"/>
    <w:rsid w:val="0E4A283C"/>
    <w:rsid w:val="11A63AC3"/>
    <w:rsid w:val="151165D0"/>
    <w:rsid w:val="15986B0A"/>
    <w:rsid w:val="1614099F"/>
    <w:rsid w:val="17D85E72"/>
    <w:rsid w:val="1E2C30A5"/>
    <w:rsid w:val="1FBD9B75"/>
    <w:rsid w:val="295A7A52"/>
    <w:rsid w:val="2F026361"/>
    <w:rsid w:val="306F0E15"/>
    <w:rsid w:val="3F5A0851"/>
    <w:rsid w:val="3FCF0074"/>
    <w:rsid w:val="42EB422D"/>
    <w:rsid w:val="42EF447A"/>
    <w:rsid w:val="45972FA9"/>
    <w:rsid w:val="49EC478D"/>
    <w:rsid w:val="55C63EE6"/>
    <w:rsid w:val="5777D4F5"/>
    <w:rsid w:val="5A6B7089"/>
    <w:rsid w:val="5B4F3FC2"/>
    <w:rsid w:val="5FC6BB1E"/>
    <w:rsid w:val="5FF720F1"/>
    <w:rsid w:val="60877B31"/>
    <w:rsid w:val="617858AB"/>
    <w:rsid w:val="63930AB7"/>
    <w:rsid w:val="6CEA364B"/>
    <w:rsid w:val="6D1D2BA3"/>
    <w:rsid w:val="6EB5794B"/>
    <w:rsid w:val="6F4AE96E"/>
    <w:rsid w:val="737D59BA"/>
    <w:rsid w:val="73B13E91"/>
    <w:rsid w:val="76D812DE"/>
    <w:rsid w:val="776B5ABC"/>
    <w:rsid w:val="77C37683"/>
    <w:rsid w:val="79FF515B"/>
    <w:rsid w:val="7ACC2F08"/>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批注框文本 Char"/>
    <w:basedOn w:val="7"/>
    <w:link w:val="2"/>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5182</Words>
  <Characters>5784</Characters>
  <Lines>42</Lines>
  <Paragraphs>11</Paragraphs>
  <TotalTime>0</TotalTime>
  <ScaleCrop>false</ScaleCrop>
  <LinksUpToDate>false</LinksUpToDate>
  <CharactersWithSpaces>5803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2023-10-16T07:15:00Z</dcterms:created>
  <dc:creator>李航 null</dc:creator>
  <cp:lastModifiedBy>Ｏ(≧▽≦)Ｏ</cp:lastModifiedBy>
  <cp:lastPrinted>2023-08-16T01:28:00Z</cp:lastPrinted>
  <dcterms:modified xsi:type="dcterms:W3CDTF">2024-09-11T07:15:26Z</dcterms:modified>
  <dc:title>2022年度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9ABE7AA0243D4BB5B2759FE9FCC6BF55_13</vt:lpwstr>
  </property>
</Properties>
</file>