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rPr>
          <w:rFonts w:hint="eastAsia" w:ascii="仿宋_GB2312" w:eastAsia="仿宋_GB2312"/>
          <w:sz w:val="32"/>
          <w:szCs w:val="32"/>
        </w:rPr>
      </w:pPr>
    </w:p>
    <w:p>
      <w:pPr>
        <w:jc w:val="center"/>
        <w:rPr>
          <w:rFonts w:hint="eastAsia" w:ascii="方正大标宋简体" w:hAnsi="华文中宋" w:eastAsia="方正大标宋简体"/>
          <w:bCs/>
          <w:color w:val="FF0000"/>
          <w:spacing w:val="60"/>
          <w:w w:val="80"/>
          <w:sz w:val="120"/>
          <w:szCs w:val="120"/>
        </w:rPr>
      </w:pPr>
      <w:r>
        <w:rPr>
          <w:rFonts w:hint="eastAsia" w:ascii="方正大标宋简体" w:hAnsi="华文中宋" w:eastAsia="方正大标宋简体"/>
          <w:bCs/>
          <w:color w:val="FF0000"/>
          <w:spacing w:val="60"/>
          <w:w w:val="80"/>
          <w:sz w:val="120"/>
          <w:szCs w:val="120"/>
        </w:rPr>
        <w:t>岳阳市财政局文</w:t>
      </w:r>
      <w:r>
        <w:rPr>
          <w:rFonts w:hint="eastAsia" w:ascii="方正大标宋简体" w:hAnsi="华文中宋" w:eastAsia="方正大标宋简体"/>
          <w:bCs/>
          <w:color w:val="FF0000"/>
          <w:w w:val="80"/>
          <w:sz w:val="120"/>
          <w:szCs w:val="120"/>
        </w:rPr>
        <w:t>件</w:t>
      </w:r>
    </w:p>
    <w:p>
      <w:pPr>
        <w:spacing w:line="320" w:lineRule="exact"/>
        <w:rPr>
          <w:rFonts w:hint="eastAsia"/>
        </w:rPr>
      </w:pPr>
    </w:p>
    <w:p>
      <w:pPr>
        <w:spacing w:line="320" w:lineRule="exact"/>
        <w:rPr>
          <w:rFonts w:hint="eastAsia"/>
        </w:rPr>
      </w:pPr>
    </w:p>
    <w:p>
      <w:pPr>
        <w:spacing w:line="600" w:lineRule="exact"/>
        <w:jc w:val="center"/>
        <w:rPr>
          <w:rFonts w:eastAsia="仿宋_GB2312"/>
          <w:sz w:val="32"/>
          <w:szCs w:val="32"/>
        </w:rPr>
      </w:pPr>
      <w:r>
        <w:rPr>
          <w:rFonts w:eastAsia="仿宋_GB2312"/>
          <w:sz w:val="32"/>
          <w:szCs w:val="32"/>
        </w:rPr>
        <w:t>岳财办〔2018〕16号</w:t>
      </w:r>
    </w:p>
    <w:p>
      <w:pPr>
        <w:spacing w:line="560" w:lineRule="exact"/>
      </w:pPr>
      <w: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74295</wp:posOffset>
                </wp:positionV>
                <wp:extent cx="561657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6575"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5.85pt;height:0pt;width:442.25pt;z-index:251658240;mso-width-relative:page;mso-height-relative:page;" filled="f" stroked="t" coordsize="21600,21600" o:gfxdata="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NfbJE1AAAAAYBAAAPAAAAAAAA&#10;AAEAIAAAACIAAABkcnMvZG93bnJldi54bWxQSwECFAAUAAAACACHTuJA9WLTP90BAACXAwAADgAA&#10;AAAAAAABACAAAAAjAQAAZHJzL2Uyb0RvYy54bWxQSwUGAAAAAAYABgBZAQAAcgUAAAAA&#10;">
                <v:fill on="f" focussize="0,0"/>
                <v:stroke weight="2pt" color="#FF0000" joinstyle="round"/>
                <v:imagedata o:title=""/>
                <o:lock v:ext="edit" aspectratio="f"/>
              </v:line>
            </w:pict>
          </mc:Fallback>
        </mc:AlternateContent>
      </w:r>
    </w:p>
    <w:p>
      <w:pPr>
        <w:spacing w:line="560" w:lineRule="exact"/>
        <w:rPr>
          <w:rFonts w:eastAsia="方正大标宋简体"/>
          <w:bCs/>
          <w:color w:val="000000"/>
          <w:sz w:val="44"/>
          <w:szCs w:val="44"/>
        </w:rPr>
      </w:pPr>
    </w:p>
    <w:p>
      <w:pPr>
        <w:spacing w:line="600" w:lineRule="exact"/>
        <w:jc w:val="center"/>
        <w:rPr>
          <w:rFonts w:hint="eastAsia" w:ascii="方正小标宋简体" w:eastAsia="方正小标宋简体"/>
          <w:bCs/>
          <w:color w:val="auto"/>
          <w:sz w:val="44"/>
          <w:szCs w:val="44"/>
        </w:rPr>
      </w:pPr>
      <w:r>
        <w:rPr>
          <w:rFonts w:hint="eastAsia" w:ascii="方正小标宋简体" w:eastAsia="方正小标宋简体"/>
          <w:bCs/>
          <w:color w:val="auto"/>
          <w:sz w:val="44"/>
          <w:szCs w:val="44"/>
        </w:rPr>
        <w:t>岳阳市财政局</w:t>
      </w:r>
    </w:p>
    <w:p>
      <w:pPr>
        <w:widowControl/>
        <w:spacing w:line="600" w:lineRule="exact"/>
        <w:jc w:val="center"/>
        <w:rPr>
          <w:rFonts w:hint="eastAsia" w:ascii="方正小标宋简体" w:eastAsia="方正小标宋简体"/>
          <w:color w:val="auto"/>
          <w:kern w:val="0"/>
          <w:sz w:val="44"/>
          <w:szCs w:val="44"/>
        </w:rPr>
      </w:pPr>
      <w:r>
        <w:rPr>
          <w:rFonts w:hint="eastAsia" w:ascii="方正小标宋简体" w:eastAsia="方正小标宋简体"/>
          <w:color w:val="auto"/>
          <w:kern w:val="0"/>
          <w:sz w:val="44"/>
          <w:szCs w:val="44"/>
        </w:rPr>
        <w:t>关于印发《财政投资评审项目委托中介机构</w:t>
      </w:r>
    </w:p>
    <w:p>
      <w:pPr>
        <w:widowControl/>
        <w:spacing w:line="600" w:lineRule="exact"/>
        <w:jc w:val="center"/>
        <w:rPr>
          <w:rFonts w:hint="eastAsia" w:ascii="方正小标宋简体" w:eastAsia="方正小标宋简体"/>
          <w:color w:val="auto"/>
          <w:kern w:val="0"/>
          <w:szCs w:val="21"/>
        </w:rPr>
      </w:pPr>
      <w:r>
        <w:rPr>
          <w:rFonts w:hint="eastAsia" w:ascii="方正小标宋简体" w:eastAsia="方正小标宋简体"/>
          <w:color w:val="auto"/>
          <w:kern w:val="0"/>
          <w:sz w:val="44"/>
          <w:szCs w:val="44"/>
        </w:rPr>
        <w:t>评审管理办法（试行）》的通知</w:t>
      </w:r>
    </w:p>
    <w:p>
      <w:pPr>
        <w:spacing w:line="600" w:lineRule="exact"/>
        <w:rPr>
          <w:rFonts w:eastAsia="仿宋_GB2312"/>
          <w:color w:val="auto"/>
          <w:sz w:val="32"/>
          <w:szCs w:val="32"/>
        </w:rPr>
      </w:pPr>
    </w:p>
    <w:p>
      <w:pPr>
        <w:widowControl/>
        <w:spacing w:line="600" w:lineRule="exact"/>
        <w:jc w:val="left"/>
        <w:rPr>
          <w:rFonts w:eastAsia="微软雅黑"/>
          <w:color w:val="auto"/>
          <w:kern w:val="0"/>
          <w:szCs w:val="21"/>
        </w:rPr>
      </w:pPr>
      <w:r>
        <w:rPr>
          <w:rFonts w:eastAsia="仿宋_GB2312"/>
          <w:color w:val="auto"/>
          <w:kern w:val="0"/>
          <w:sz w:val="32"/>
          <w:szCs w:val="32"/>
        </w:rPr>
        <w:t>局机关各科室、局属各单位，各财政投资评审中介机构：</w:t>
      </w:r>
    </w:p>
    <w:p>
      <w:pPr>
        <w:widowControl/>
        <w:spacing w:line="600" w:lineRule="exact"/>
        <w:ind w:firstLine="640" w:firstLineChars="200"/>
        <w:jc w:val="left"/>
        <w:rPr>
          <w:rFonts w:eastAsia="仿宋_GB2312"/>
          <w:color w:val="auto"/>
          <w:kern w:val="0"/>
          <w:sz w:val="32"/>
          <w:szCs w:val="32"/>
        </w:rPr>
      </w:pPr>
      <w:r>
        <w:rPr>
          <w:rFonts w:eastAsia="仿宋_GB2312"/>
          <w:color w:val="auto"/>
          <w:kern w:val="0"/>
          <w:sz w:val="32"/>
          <w:szCs w:val="32"/>
        </w:rPr>
        <w:t>为进一步规范财政投资评审业务委托管理，提高评审效能和管理水平，根据</w:t>
      </w:r>
      <w:r>
        <w:rPr>
          <w:rFonts w:eastAsia="仿宋_GB2312"/>
          <w:sz w:val="32"/>
          <w:szCs w:val="32"/>
        </w:rPr>
        <w:t>《岳阳市市本级政府公益建设项目全过程投资管控办法》</w:t>
      </w:r>
      <w:r>
        <w:rPr>
          <w:rFonts w:hint="eastAsia" w:eastAsia="仿宋_GB2312"/>
          <w:sz w:val="32"/>
          <w:szCs w:val="32"/>
        </w:rPr>
        <w:t>（</w:t>
      </w:r>
      <w:r>
        <w:rPr>
          <w:rFonts w:eastAsia="仿宋_GB2312"/>
          <w:sz w:val="32"/>
          <w:szCs w:val="32"/>
        </w:rPr>
        <w:t>岳政办发〔2018〕14号</w:t>
      </w:r>
      <w:r>
        <w:rPr>
          <w:rFonts w:hint="eastAsia" w:eastAsia="仿宋_GB2312"/>
          <w:sz w:val="32"/>
          <w:szCs w:val="32"/>
        </w:rPr>
        <w:t>）</w:t>
      </w:r>
      <w:r>
        <w:rPr>
          <w:rFonts w:eastAsia="仿宋_GB2312"/>
          <w:color w:val="auto"/>
          <w:kern w:val="0"/>
          <w:sz w:val="32"/>
          <w:szCs w:val="32"/>
        </w:rPr>
        <w:t>，制定了《岳阳市财政局财政投资评审项目委托中介机构评审管理办法（试行）》，现予印发，请遵照执行。</w:t>
      </w:r>
    </w:p>
    <w:p>
      <w:pPr>
        <w:widowControl/>
        <w:spacing w:line="600" w:lineRule="exact"/>
        <w:ind w:right="640"/>
        <w:jc w:val="right"/>
        <w:rPr>
          <w:rFonts w:eastAsia="仿宋_GB2312"/>
          <w:color w:val="auto"/>
          <w:kern w:val="0"/>
          <w:sz w:val="32"/>
          <w:szCs w:val="32"/>
        </w:rPr>
      </w:pPr>
    </w:p>
    <w:p>
      <w:pPr>
        <w:widowControl/>
        <w:spacing w:line="600" w:lineRule="exact"/>
        <w:ind w:right="1281" w:firstLine="5216" w:firstLineChars="1630"/>
        <w:rPr>
          <w:rFonts w:eastAsia="微软雅黑"/>
          <w:color w:val="auto"/>
          <w:kern w:val="0"/>
          <w:szCs w:val="21"/>
        </w:rPr>
      </w:pPr>
      <w:r>
        <w:rPr>
          <w:rFonts w:eastAsia="仿宋_GB2312"/>
          <w:color w:val="auto"/>
          <w:kern w:val="0"/>
          <w:sz w:val="32"/>
          <w:szCs w:val="32"/>
        </w:rPr>
        <w:t>岳阳市财政局</w:t>
      </w:r>
    </w:p>
    <w:p>
      <w:pPr>
        <w:widowControl/>
        <w:wordWrap w:val="0"/>
        <w:spacing w:line="600" w:lineRule="exact"/>
        <w:jc w:val="right"/>
        <w:rPr>
          <w:rFonts w:hint="eastAsia" w:eastAsia="仿宋_GB2312"/>
          <w:color w:val="auto"/>
          <w:kern w:val="0"/>
          <w:sz w:val="32"/>
          <w:szCs w:val="32"/>
        </w:rPr>
      </w:pPr>
      <w:r>
        <w:rPr>
          <w:rFonts w:eastAsia="仿宋_GB2312"/>
          <w:color w:val="auto"/>
          <w:kern w:val="0"/>
          <w:sz w:val="32"/>
          <w:szCs w:val="32"/>
        </w:rPr>
        <w:t xml:space="preserve">                               2018年9月12日        </w:t>
      </w:r>
    </w:p>
    <w:p>
      <w:pPr>
        <w:spacing w:line="590" w:lineRule="exact"/>
        <w:jc w:val="center"/>
        <w:rPr>
          <w:rFonts w:eastAsia="方正小标宋简体"/>
          <w:color w:val="auto"/>
          <w:kern w:val="0"/>
          <w:sz w:val="44"/>
          <w:szCs w:val="44"/>
        </w:rPr>
      </w:pPr>
      <w:r>
        <w:rPr>
          <w:rFonts w:eastAsia="方正小标宋简体"/>
          <w:color w:val="auto"/>
          <w:kern w:val="0"/>
          <w:sz w:val="44"/>
          <w:szCs w:val="44"/>
        </w:rPr>
        <w:br w:type="page"/>
      </w:r>
      <w:r>
        <w:rPr>
          <w:rFonts w:eastAsia="方正小标宋简体"/>
          <w:color w:val="auto"/>
          <w:kern w:val="0"/>
          <w:sz w:val="44"/>
          <w:szCs w:val="44"/>
        </w:rPr>
        <w:t>财政投资评审项目委托中介机构评审</w:t>
      </w:r>
    </w:p>
    <w:p>
      <w:pPr>
        <w:spacing w:line="590" w:lineRule="exact"/>
        <w:jc w:val="center"/>
        <w:rPr>
          <w:rFonts w:eastAsia="方正小标宋简体"/>
          <w:color w:val="auto"/>
          <w:kern w:val="0"/>
          <w:sz w:val="44"/>
          <w:szCs w:val="44"/>
        </w:rPr>
      </w:pPr>
      <w:r>
        <w:rPr>
          <w:rFonts w:eastAsia="方正小标宋简体"/>
          <w:color w:val="auto"/>
          <w:kern w:val="0"/>
          <w:sz w:val="44"/>
          <w:szCs w:val="44"/>
        </w:rPr>
        <w:t>管理办法（试行）</w:t>
      </w:r>
    </w:p>
    <w:p>
      <w:pPr>
        <w:spacing w:line="590" w:lineRule="exact"/>
        <w:ind w:firstLine="601"/>
        <w:jc w:val="center"/>
        <w:rPr>
          <w:rFonts w:eastAsia="黑体"/>
          <w:color w:val="auto"/>
          <w:kern w:val="0"/>
          <w:sz w:val="32"/>
          <w:szCs w:val="32"/>
        </w:rPr>
      </w:pPr>
    </w:p>
    <w:p>
      <w:pPr>
        <w:spacing w:line="590" w:lineRule="exact"/>
        <w:ind w:firstLine="601"/>
        <w:jc w:val="center"/>
        <w:rPr>
          <w:rFonts w:eastAsia="微软雅黑"/>
          <w:color w:val="auto"/>
          <w:kern w:val="0"/>
          <w:szCs w:val="21"/>
        </w:rPr>
      </w:pPr>
      <w:r>
        <w:rPr>
          <w:rFonts w:eastAsia="黑体"/>
          <w:color w:val="auto"/>
          <w:kern w:val="0"/>
          <w:sz w:val="32"/>
          <w:szCs w:val="32"/>
        </w:rPr>
        <w:t>第一章 总则</w:t>
      </w:r>
    </w:p>
    <w:p>
      <w:pPr>
        <w:spacing w:line="590" w:lineRule="exact"/>
        <w:ind w:firstLine="640" w:firstLineChars="200"/>
        <w:jc w:val="left"/>
        <w:rPr>
          <w:rFonts w:eastAsia="微软雅黑"/>
          <w:color w:val="auto"/>
          <w:kern w:val="0"/>
          <w:szCs w:val="21"/>
        </w:rPr>
      </w:pPr>
      <w:r>
        <w:rPr>
          <w:rFonts w:eastAsia="黑体"/>
          <w:color w:val="auto"/>
          <w:kern w:val="0"/>
          <w:sz w:val="32"/>
          <w:szCs w:val="32"/>
        </w:rPr>
        <w:t>第一条</w:t>
      </w:r>
      <w:r>
        <w:rPr>
          <w:rFonts w:eastAsia="仿宋_GB2312"/>
          <w:color w:val="auto"/>
          <w:kern w:val="0"/>
          <w:sz w:val="32"/>
          <w:szCs w:val="32"/>
        </w:rPr>
        <w:t xml:space="preserve"> 为保证财政投资评审工作质量，提高评审效率，规范中介机构参与财政投资评审业务的行为，结合我市财政投资评审工作实际，制定本办法。</w:t>
      </w:r>
    </w:p>
    <w:p>
      <w:pPr>
        <w:spacing w:line="590" w:lineRule="exact"/>
        <w:ind w:firstLine="640" w:firstLineChars="200"/>
        <w:jc w:val="left"/>
        <w:rPr>
          <w:rFonts w:eastAsia="微软雅黑"/>
          <w:color w:val="auto"/>
          <w:kern w:val="0"/>
          <w:szCs w:val="21"/>
        </w:rPr>
      </w:pPr>
      <w:r>
        <w:rPr>
          <w:rFonts w:eastAsia="黑体"/>
          <w:color w:val="auto"/>
          <w:kern w:val="0"/>
          <w:sz w:val="32"/>
          <w:szCs w:val="32"/>
        </w:rPr>
        <w:t>第二条</w:t>
      </w:r>
      <w:r>
        <w:rPr>
          <w:rFonts w:eastAsia="仿宋_GB2312"/>
          <w:color w:val="auto"/>
          <w:kern w:val="0"/>
          <w:sz w:val="32"/>
          <w:szCs w:val="32"/>
        </w:rPr>
        <w:t xml:space="preserve"> 本办法所称中介机构库，是指按照《政府采购法》的有关规定，通过政府采购公开招标组建，具有相关资质要</w:t>
      </w:r>
      <w:r>
        <w:rPr>
          <w:rFonts w:eastAsia="仿宋_GB2312"/>
          <w:color w:val="auto"/>
          <w:spacing w:val="-6"/>
          <w:kern w:val="0"/>
          <w:sz w:val="32"/>
          <w:szCs w:val="32"/>
        </w:rPr>
        <w:t>求，</w:t>
      </w:r>
      <w:r>
        <w:rPr>
          <w:rFonts w:eastAsia="仿宋_GB2312"/>
          <w:color w:val="auto"/>
          <w:spacing w:val="-8"/>
          <w:kern w:val="0"/>
          <w:sz w:val="32"/>
          <w:szCs w:val="32"/>
        </w:rPr>
        <w:t>为市本级财政投资评审工作提供协作评审咨询服务的中介机构库。</w:t>
      </w:r>
    </w:p>
    <w:p>
      <w:pPr>
        <w:spacing w:line="590" w:lineRule="exact"/>
        <w:ind w:firstLine="640" w:firstLineChars="200"/>
        <w:jc w:val="left"/>
        <w:rPr>
          <w:rFonts w:eastAsia="微软雅黑"/>
          <w:color w:val="auto"/>
          <w:kern w:val="0"/>
          <w:szCs w:val="21"/>
        </w:rPr>
      </w:pPr>
      <w:r>
        <w:rPr>
          <w:rFonts w:eastAsia="黑体"/>
          <w:color w:val="auto"/>
          <w:kern w:val="0"/>
          <w:sz w:val="32"/>
          <w:szCs w:val="32"/>
        </w:rPr>
        <w:t xml:space="preserve">第三条 </w:t>
      </w:r>
      <w:r>
        <w:rPr>
          <w:rFonts w:eastAsia="仿宋_GB2312"/>
          <w:color w:val="auto"/>
          <w:kern w:val="0"/>
          <w:sz w:val="32"/>
          <w:szCs w:val="32"/>
        </w:rPr>
        <w:t>市财政局财政投资评审机构负责市本级财政投资评审中介机构库的组建与管理,对中介机构库实行“择优进库、公平竞争、定期考核、动态调整”的原则。</w:t>
      </w:r>
    </w:p>
    <w:p>
      <w:pPr>
        <w:spacing w:line="590" w:lineRule="exact"/>
        <w:ind w:firstLine="640" w:firstLineChars="200"/>
        <w:jc w:val="center"/>
        <w:rPr>
          <w:rFonts w:eastAsia="黑体"/>
          <w:color w:val="auto"/>
          <w:kern w:val="0"/>
          <w:sz w:val="32"/>
          <w:szCs w:val="32"/>
        </w:rPr>
      </w:pPr>
    </w:p>
    <w:p>
      <w:pPr>
        <w:spacing w:line="590" w:lineRule="exact"/>
        <w:ind w:firstLine="601"/>
        <w:jc w:val="center"/>
        <w:rPr>
          <w:rFonts w:eastAsia="微软雅黑"/>
          <w:color w:val="auto"/>
          <w:kern w:val="0"/>
          <w:szCs w:val="21"/>
        </w:rPr>
      </w:pPr>
      <w:r>
        <w:rPr>
          <w:rFonts w:eastAsia="黑体"/>
          <w:color w:val="auto"/>
          <w:kern w:val="0"/>
          <w:sz w:val="32"/>
          <w:szCs w:val="32"/>
        </w:rPr>
        <w:t>第二章 中介机构库的建立</w:t>
      </w:r>
    </w:p>
    <w:p>
      <w:pPr>
        <w:spacing w:line="590" w:lineRule="exact"/>
        <w:ind w:firstLine="640" w:firstLineChars="200"/>
        <w:jc w:val="left"/>
        <w:rPr>
          <w:rFonts w:eastAsia="仿宋_GB2312"/>
          <w:color w:val="auto"/>
          <w:kern w:val="0"/>
          <w:sz w:val="32"/>
          <w:szCs w:val="32"/>
        </w:rPr>
      </w:pPr>
      <w:r>
        <w:rPr>
          <w:rFonts w:eastAsia="黑体"/>
          <w:color w:val="auto"/>
          <w:kern w:val="0"/>
          <w:sz w:val="32"/>
          <w:szCs w:val="32"/>
        </w:rPr>
        <w:t xml:space="preserve">第四条 </w:t>
      </w:r>
      <w:r>
        <w:rPr>
          <w:rFonts w:eastAsia="仿宋_GB2312"/>
          <w:color w:val="auto"/>
          <w:kern w:val="0"/>
          <w:sz w:val="32"/>
          <w:szCs w:val="32"/>
        </w:rPr>
        <w:t>中介机构准入应具备的基本条件：</w:t>
      </w:r>
    </w:p>
    <w:p>
      <w:pPr>
        <w:spacing w:line="590" w:lineRule="exact"/>
        <w:ind w:firstLine="640" w:firstLineChars="200"/>
        <w:jc w:val="left"/>
        <w:rPr>
          <w:rFonts w:eastAsia="仿宋_GB2312"/>
          <w:color w:val="auto"/>
          <w:kern w:val="0"/>
          <w:sz w:val="32"/>
          <w:szCs w:val="32"/>
        </w:rPr>
      </w:pPr>
      <w:r>
        <w:rPr>
          <w:rFonts w:eastAsia="仿宋_GB2312"/>
          <w:color w:val="auto"/>
          <w:kern w:val="0"/>
          <w:sz w:val="32"/>
          <w:szCs w:val="32"/>
        </w:rPr>
        <w:t>（一）独立的法人资格；</w:t>
      </w:r>
    </w:p>
    <w:p>
      <w:pPr>
        <w:spacing w:line="590" w:lineRule="exact"/>
        <w:ind w:firstLine="640" w:firstLineChars="200"/>
        <w:jc w:val="left"/>
        <w:rPr>
          <w:rFonts w:eastAsia="仿宋_GB2312"/>
          <w:color w:val="auto"/>
          <w:kern w:val="0"/>
          <w:sz w:val="32"/>
          <w:szCs w:val="32"/>
        </w:rPr>
      </w:pPr>
      <w:r>
        <w:rPr>
          <w:rFonts w:eastAsia="仿宋_GB2312"/>
          <w:color w:val="auto"/>
          <w:kern w:val="0"/>
          <w:sz w:val="32"/>
          <w:szCs w:val="32"/>
        </w:rPr>
        <w:t>（二）严格遵守国家有关法律、法规及执业规范，具有良好的商业信誉、健全的内部管理制度、良好的职业道德和工作业绩；</w:t>
      </w:r>
    </w:p>
    <w:p>
      <w:pPr>
        <w:spacing w:line="590" w:lineRule="exact"/>
        <w:ind w:firstLine="640" w:firstLineChars="200"/>
        <w:jc w:val="left"/>
        <w:rPr>
          <w:rFonts w:eastAsia="仿宋_GB2312"/>
          <w:color w:val="auto"/>
          <w:kern w:val="0"/>
          <w:sz w:val="32"/>
          <w:szCs w:val="32"/>
        </w:rPr>
      </w:pPr>
      <w:r>
        <w:rPr>
          <w:rFonts w:eastAsia="仿宋_GB2312"/>
          <w:color w:val="auto"/>
          <w:kern w:val="0"/>
          <w:sz w:val="32"/>
          <w:szCs w:val="32"/>
        </w:rPr>
        <w:t>（三）具有履行评审业务所必需的专业技术力量和必要的设备、软件；</w:t>
      </w:r>
    </w:p>
    <w:p>
      <w:pPr>
        <w:spacing w:line="590" w:lineRule="exact"/>
        <w:ind w:firstLine="640" w:firstLineChars="200"/>
        <w:jc w:val="left"/>
        <w:rPr>
          <w:rFonts w:eastAsia="仿宋_GB2312"/>
          <w:color w:val="auto"/>
          <w:kern w:val="0"/>
          <w:sz w:val="32"/>
          <w:szCs w:val="32"/>
        </w:rPr>
      </w:pPr>
      <w:r>
        <w:rPr>
          <w:rFonts w:eastAsia="仿宋_GB2312"/>
          <w:color w:val="auto"/>
          <w:kern w:val="0"/>
          <w:sz w:val="32"/>
          <w:szCs w:val="32"/>
        </w:rPr>
        <w:t>（四）依法缴纳税款和社会保障资金的良好纪录；</w:t>
      </w:r>
    </w:p>
    <w:p>
      <w:pPr>
        <w:spacing w:line="590" w:lineRule="exact"/>
        <w:ind w:firstLine="640" w:firstLineChars="200"/>
        <w:jc w:val="left"/>
        <w:rPr>
          <w:rFonts w:eastAsia="仿宋_GB2312"/>
          <w:color w:val="auto"/>
          <w:kern w:val="0"/>
          <w:sz w:val="32"/>
          <w:szCs w:val="32"/>
        </w:rPr>
      </w:pPr>
      <w:r>
        <w:rPr>
          <w:rFonts w:eastAsia="仿宋_GB2312"/>
          <w:color w:val="auto"/>
          <w:kern w:val="0"/>
          <w:sz w:val="32"/>
          <w:szCs w:val="32"/>
        </w:rPr>
        <w:t>（五）近三年内经营活动中没有违法记录；</w:t>
      </w:r>
    </w:p>
    <w:p>
      <w:pPr>
        <w:spacing w:line="590" w:lineRule="exact"/>
        <w:ind w:firstLine="640" w:firstLineChars="200"/>
        <w:jc w:val="left"/>
        <w:rPr>
          <w:rFonts w:eastAsia="仿宋_GB2312"/>
          <w:color w:val="auto"/>
          <w:kern w:val="0"/>
          <w:sz w:val="32"/>
          <w:szCs w:val="32"/>
        </w:rPr>
      </w:pPr>
      <w:r>
        <w:rPr>
          <w:rFonts w:eastAsia="仿宋_GB2312"/>
          <w:color w:val="auto"/>
          <w:kern w:val="0"/>
          <w:sz w:val="32"/>
          <w:szCs w:val="32"/>
        </w:rPr>
        <w:t>（六）每年编审三个以上大、中型工程预（结）算（每个2000万元以上）的业绩；</w:t>
      </w:r>
    </w:p>
    <w:p>
      <w:pPr>
        <w:spacing w:line="590" w:lineRule="exact"/>
        <w:ind w:firstLine="640" w:firstLineChars="200"/>
        <w:jc w:val="left"/>
        <w:rPr>
          <w:rFonts w:eastAsia="仿宋_GB2312"/>
          <w:color w:val="auto"/>
          <w:kern w:val="0"/>
          <w:sz w:val="32"/>
          <w:szCs w:val="32"/>
        </w:rPr>
      </w:pPr>
      <w:r>
        <w:rPr>
          <w:rFonts w:eastAsia="仿宋_GB2312"/>
          <w:color w:val="auto"/>
          <w:kern w:val="0"/>
          <w:sz w:val="32"/>
          <w:szCs w:val="32"/>
        </w:rPr>
        <w:t>（七）具有国家有关部门颁发的工程造价咨询企业乙级以上（含）资质证书或财务审计业务资质。</w:t>
      </w:r>
    </w:p>
    <w:p>
      <w:pPr>
        <w:spacing w:line="590" w:lineRule="exact"/>
        <w:ind w:firstLine="640" w:firstLineChars="200"/>
        <w:jc w:val="left"/>
        <w:rPr>
          <w:rFonts w:eastAsia="微软雅黑"/>
          <w:color w:val="auto"/>
          <w:kern w:val="0"/>
          <w:szCs w:val="21"/>
        </w:rPr>
      </w:pPr>
      <w:r>
        <w:rPr>
          <w:rFonts w:eastAsia="黑体"/>
          <w:color w:val="auto"/>
          <w:kern w:val="0"/>
          <w:sz w:val="32"/>
          <w:szCs w:val="32"/>
        </w:rPr>
        <w:t>第五条</w:t>
      </w:r>
      <w:r>
        <w:rPr>
          <w:rFonts w:eastAsia="仿宋_GB2312"/>
          <w:color w:val="auto"/>
          <w:kern w:val="0"/>
          <w:sz w:val="32"/>
          <w:szCs w:val="32"/>
        </w:rPr>
        <w:t xml:space="preserve"> 市财政投资评审机构按照“公开、公平、公正”的原则，通过政府采购公开招标的方式择优选取一批中介机构组建市本级财政投资评审中介机构库。</w:t>
      </w:r>
    </w:p>
    <w:p>
      <w:pPr>
        <w:spacing w:line="590" w:lineRule="exact"/>
        <w:ind w:firstLine="640" w:firstLineChars="200"/>
        <w:jc w:val="left"/>
        <w:rPr>
          <w:rFonts w:eastAsia="微软雅黑"/>
          <w:color w:val="auto"/>
          <w:kern w:val="0"/>
          <w:szCs w:val="21"/>
        </w:rPr>
      </w:pPr>
      <w:r>
        <w:rPr>
          <w:rFonts w:eastAsia="仿宋_GB2312"/>
          <w:color w:val="auto"/>
          <w:kern w:val="0"/>
          <w:sz w:val="32"/>
          <w:szCs w:val="32"/>
        </w:rPr>
        <w:t>一般每2年重新组织1次政府采购，如入库中介机构个数不足原始数量的2/3，可以提前启动政府采购程序。</w:t>
      </w:r>
    </w:p>
    <w:p>
      <w:pPr>
        <w:spacing w:line="590" w:lineRule="exact"/>
        <w:ind w:firstLine="640" w:firstLineChars="200"/>
        <w:jc w:val="left"/>
        <w:rPr>
          <w:rFonts w:eastAsia="仿宋_GB2312"/>
          <w:color w:val="auto"/>
          <w:kern w:val="0"/>
          <w:sz w:val="32"/>
          <w:szCs w:val="32"/>
        </w:rPr>
      </w:pPr>
      <w:r>
        <w:rPr>
          <w:rFonts w:eastAsia="黑体"/>
          <w:color w:val="auto"/>
          <w:kern w:val="0"/>
          <w:sz w:val="32"/>
          <w:szCs w:val="32"/>
        </w:rPr>
        <w:t>第六条</w:t>
      </w:r>
      <w:r>
        <w:rPr>
          <w:rFonts w:eastAsia="仿宋_GB2312"/>
          <w:color w:val="auto"/>
          <w:kern w:val="0"/>
          <w:sz w:val="32"/>
          <w:szCs w:val="32"/>
        </w:rPr>
        <w:t xml:space="preserve"> 实行准入备案制。按照政府采购公开招标结果，经市财政投资评审机构组织考察、培训后，办理入围单位及其工作人员准入备案登记，并签订财政投资评审中介机构定点入库合同，合同期一般为2年。未经准入备案登记的中介机构及其工作人员，不得参与财政评审业务。</w:t>
      </w:r>
    </w:p>
    <w:p>
      <w:pPr>
        <w:spacing w:line="590" w:lineRule="exact"/>
        <w:ind w:left="601"/>
        <w:jc w:val="center"/>
        <w:rPr>
          <w:rFonts w:eastAsia="黑体"/>
          <w:color w:val="auto"/>
          <w:kern w:val="0"/>
          <w:sz w:val="32"/>
          <w:szCs w:val="32"/>
        </w:rPr>
      </w:pPr>
    </w:p>
    <w:p>
      <w:pPr>
        <w:spacing w:line="590" w:lineRule="exact"/>
        <w:ind w:left="601"/>
        <w:jc w:val="center"/>
        <w:rPr>
          <w:rFonts w:eastAsia="微软雅黑"/>
          <w:color w:val="auto"/>
          <w:kern w:val="0"/>
          <w:szCs w:val="21"/>
        </w:rPr>
      </w:pPr>
      <w:r>
        <w:rPr>
          <w:rFonts w:eastAsia="黑体"/>
          <w:color w:val="auto"/>
          <w:kern w:val="0"/>
          <w:sz w:val="32"/>
          <w:szCs w:val="32"/>
        </w:rPr>
        <w:t>第三章 中介机构库的使用与管理</w:t>
      </w:r>
    </w:p>
    <w:p>
      <w:pPr>
        <w:spacing w:line="590" w:lineRule="exact"/>
        <w:ind w:firstLine="640" w:firstLineChars="200"/>
        <w:jc w:val="left"/>
        <w:rPr>
          <w:rFonts w:eastAsia="微软雅黑"/>
          <w:color w:val="auto"/>
          <w:kern w:val="0"/>
          <w:szCs w:val="21"/>
        </w:rPr>
      </w:pPr>
      <w:r>
        <w:rPr>
          <w:rFonts w:eastAsia="黑体"/>
          <w:color w:val="auto"/>
          <w:kern w:val="0"/>
          <w:sz w:val="32"/>
          <w:szCs w:val="32"/>
        </w:rPr>
        <w:t>第七条</w:t>
      </w:r>
      <w:r>
        <w:rPr>
          <w:rFonts w:eastAsia="仿宋_GB2312"/>
          <w:color w:val="auto"/>
          <w:kern w:val="0"/>
          <w:sz w:val="32"/>
          <w:szCs w:val="32"/>
        </w:rPr>
        <w:t xml:space="preserve"> 市财政投资评审机构根据评审计划和评审项目申报情况，结合自身工作实际，提出委托中介机构进行协作评审的项目任务单或任务包。</w:t>
      </w:r>
    </w:p>
    <w:p>
      <w:pPr>
        <w:spacing w:line="590" w:lineRule="exact"/>
        <w:ind w:firstLine="640" w:firstLineChars="200"/>
        <w:jc w:val="left"/>
        <w:rPr>
          <w:rFonts w:eastAsia="微软雅黑"/>
          <w:color w:val="auto"/>
          <w:kern w:val="0"/>
          <w:szCs w:val="21"/>
        </w:rPr>
      </w:pPr>
      <w:r>
        <w:rPr>
          <w:rFonts w:eastAsia="黑体"/>
          <w:color w:val="auto"/>
          <w:kern w:val="0"/>
          <w:sz w:val="32"/>
          <w:szCs w:val="32"/>
        </w:rPr>
        <w:t>第八条</w:t>
      </w:r>
      <w:r>
        <w:rPr>
          <w:rFonts w:eastAsia="仿宋_GB2312"/>
          <w:color w:val="auto"/>
          <w:kern w:val="0"/>
          <w:sz w:val="32"/>
          <w:szCs w:val="32"/>
        </w:rPr>
        <w:t xml:space="preserve"> 协作评审业务委托方式。市财政投资评审机构按照国家法律法规有关规定和政府购买服务有关中介机构管理要求确定协作评审业务委托方式。</w:t>
      </w:r>
    </w:p>
    <w:p>
      <w:pPr>
        <w:spacing w:line="590" w:lineRule="exact"/>
        <w:ind w:firstLine="640" w:firstLineChars="200"/>
        <w:jc w:val="left"/>
        <w:rPr>
          <w:rFonts w:eastAsia="仿宋_GB2312"/>
          <w:color w:val="auto"/>
          <w:kern w:val="0"/>
          <w:sz w:val="32"/>
          <w:szCs w:val="32"/>
        </w:rPr>
      </w:pPr>
      <w:r>
        <w:rPr>
          <w:rFonts w:eastAsia="仿宋_GB2312"/>
          <w:color w:val="auto"/>
          <w:kern w:val="0"/>
          <w:sz w:val="32"/>
          <w:szCs w:val="32"/>
        </w:rPr>
        <w:t>（一）公开招标委托。评审服务费预算达到公开招标规定限额范围的项目，实行公开招标委托。</w:t>
      </w:r>
    </w:p>
    <w:p>
      <w:pPr>
        <w:spacing w:line="590" w:lineRule="exact"/>
        <w:ind w:firstLine="640" w:firstLineChars="200"/>
        <w:jc w:val="left"/>
        <w:rPr>
          <w:rFonts w:eastAsia="仿宋_GB2312"/>
          <w:color w:val="auto"/>
          <w:kern w:val="0"/>
          <w:sz w:val="32"/>
          <w:szCs w:val="32"/>
        </w:rPr>
      </w:pPr>
      <w:r>
        <w:rPr>
          <w:rFonts w:eastAsia="仿宋_GB2312"/>
          <w:color w:val="auto"/>
          <w:kern w:val="0"/>
          <w:sz w:val="32"/>
          <w:szCs w:val="32"/>
        </w:rPr>
        <w:t>（二）抽签委托。</w:t>
      </w:r>
      <w:r>
        <w:rPr>
          <w:rFonts w:eastAsia="仿宋_GB2312"/>
          <w:kern w:val="0"/>
          <w:sz w:val="32"/>
          <w:szCs w:val="32"/>
        </w:rPr>
        <w:t>评审服务费预算未达到公开招标规定限额的项目，原则上实行抽签委托。</w:t>
      </w:r>
    </w:p>
    <w:p>
      <w:pPr>
        <w:spacing w:line="590" w:lineRule="exact"/>
        <w:ind w:firstLine="640" w:firstLineChars="200"/>
        <w:jc w:val="left"/>
        <w:rPr>
          <w:rFonts w:eastAsia="仿宋_GB2312"/>
          <w:color w:val="auto"/>
          <w:kern w:val="0"/>
          <w:sz w:val="32"/>
          <w:szCs w:val="32"/>
        </w:rPr>
      </w:pPr>
      <w:r>
        <w:rPr>
          <w:rFonts w:eastAsia="仿宋_GB2312"/>
          <w:color w:val="auto"/>
          <w:kern w:val="0"/>
          <w:sz w:val="32"/>
          <w:szCs w:val="32"/>
        </w:rPr>
        <w:t>（三）特殊委托。包括择优评审、专家评审、限价评审、跟踪评审、打捆评审、奖励评审等方式的评审业务委托。</w:t>
      </w:r>
    </w:p>
    <w:p>
      <w:pPr>
        <w:spacing w:line="590" w:lineRule="exact"/>
        <w:ind w:firstLine="640" w:firstLineChars="200"/>
        <w:jc w:val="left"/>
        <w:rPr>
          <w:rFonts w:eastAsia="仿宋_GB2312"/>
          <w:color w:val="auto"/>
          <w:kern w:val="0"/>
          <w:sz w:val="32"/>
          <w:szCs w:val="32"/>
        </w:rPr>
      </w:pPr>
      <w:r>
        <w:rPr>
          <w:rFonts w:eastAsia="仿宋_GB2312"/>
          <w:color w:val="auto"/>
          <w:kern w:val="0"/>
          <w:sz w:val="32"/>
          <w:szCs w:val="32"/>
        </w:rPr>
        <w:t>（1）评审服务费预算在1万元以下的项目，由财政评审机构在中介机构库里自行选定，安排委托评审。</w:t>
      </w:r>
    </w:p>
    <w:p>
      <w:pPr>
        <w:spacing w:line="590" w:lineRule="exact"/>
        <w:ind w:firstLine="640" w:firstLineChars="200"/>
        <w:jc w:val="left"/>
        <w:rPr>
          <w:rFonts w:eastAsia="仿宋_GB2312"/>
          <w:color w:val="auto"/>
          <w:kern w:val="0"/>
          <w:sz w:val="32"/>
          <w:szCs w:val="32"/>
        </w:rPr>
      </w:pPr>
      <w:r>
        <w:rPr>
          <w:rFonts w:eastAsia="仿宋_GB2312"/>
          <w:color w:val="auto"/>
          <w:kern w:val="0"/>
          <w:sz w:val="32"/>
          <w:szCs w:val="32"/>
        </w:rPr>
        <w:t>（2）除建筑安装、市政园林项目外，涉及交通、水利、电力、通信等特殊行业的项目，从中介机构库中已备案具有该特殊专业造价师（员）的单位中抽签委托评审。具备条件的单位在2家（含）以下的，由财政评审机构直接安排委托评审。</w:t>
      </w:r>
    </w:p>
    <w:p>
      <w:pPr>
        <w:spacing w:line="590" w:lineRule="exact"/>
        <w:ind w:firstLine="640" w:firstLineChars="200"/>
        <w:jc w:val="left"/>
        <w:rPr>
          <w:rFonts w:eastAsia="仿宋_GB2312"/>
          <w:color w:val="auto"/>
          <w:kern w:val="0"/>
          <w:sz w:val="32"/>
          <w:szCs w:val="32"/>
        </w:rPr>
      </w:pPr>
      <w:r>
        <w:rPr>
          <w:rFonts w:eastAsia="仿宋_GB2312"/>
          <w:color w:val="auto"/>
          <w:kern w:val="0"/>
          <w:sz w:val="32"/>
          <w:szCs w:val="32"/>
        </w:rPr>
        <w:t>（3）没有评审依据、未执行政府指导价的项目</w:t>
      </w:r>
      <w:r>
        <w:rPr>
          <w:rFonts w:eastAsia="仿宋_GB2312"/>
          <w:kern w:val="0"/>
          <w:sz w:val="32"/>
          <w:szCs w:val="32"/>
        </w:rPr>
        <w:t>，如文化、艺术、创意、广告、信息化等服务类项目，委托相应行</w:t>
      </w:r>
      <w:r>
        <w:rPr>
          <w:rFonts w:eastAsia="仿宋_GB2312"/>
          <w:color w:val="auto"/>
          <w:kern w:val="0"/>
          <w:sz w:val="32"/>
          <w:szCs w:val="32"/>
        </w:rPr>
        <w:t>业的专家评审。</w:t>
      </w:r>
    </w:p>
    <w:p>
      <w:pPr>
        <w:spacing w:line="590" w:lineRule="exact"/>
        <w:ind w:firstLine="640" w:firstLineChars="200"/>
        <w:jc w:val="left"/>
        <w:rPr>
          <w:rFonts w:eastAsia="仿宋_GB2312"/>
          <w:color w:val="auto"/>
          <w:kern w:val="0"/>
          <w:sz w:val="32"/>
          <w:szCs w:val="32"/>
        </w:rPr>
      </w:pPr>
      <w:r>
        <w:rPr>
          <w:rFonts w:eastAsia="仿宋_GB2312"/>
          <w:color w:val="auto"/>
          <w:kern w:val="0"/>
          <w:sz w:val="32"/>
          <w:szCs w:val="32"/>
        </w:rPr>
        <w:t>（4）定价透明且工程量比较明确、变化小的项目，可实行限价评审委托，如已通过政府采购的竣工结算项目、已通过预算评审的固定单价合同与工程服务类项目等。</w:t>
      </w:r>
    </w:p>
    <w:p>
      <w:pPr>
        <w:spacing w:line="590" w:lineRule="exact"/>
        <w:ind w:firstLine="640" w:firstLineChars="200"/>
        <w:jc w:val="left"/>
        <w:rPr>
          <w:rFonts w:eastAsia="仿宋_GB2312"/>
          <w:color w:val="auto"/>
          <w:kern w:val="0"/>
          <w:sz w:val="32"/>
          <w:szCs w:val="32"/>
        </w:rPr>
      </w:pPr>
      <w:r>
        <w:rPr>
          <w:rFonts w:eastAsia="仿宋_GB2312"/>
          <w:color w:val="auto"/>
          <w:kern w:val="0"/>
          <w:sz w:val="32"/>
          <w:szCs w:val="32"/>
        </w:rPr>
        <w:t>（5）关联性整体性强的项目，或同一项目的后续工程、变更增加工程、分期实施、暂估定价等项目，实行跟踪评审委托。</w:t>
      </w:r>
    </w:p>
    <w:p>
      <w:pPr>
        <w:spacing w:line="590" w:lineRule="exact"/>
        <w:ind w:firstLine="640" w:firstLineChars="200"/>
        <w:jc w:val="left"/>
        <w:rPr>
          <w:rFonts w:eastAsia="仿宋_GB2312"/>
          <w:color w:val="auto"/>
          <w:kern w:val="0"/>
          <w:sz w:val="32"/>
          <w:szCs w:val="32"/>
        </w:rPr>
      </w:pPr>
      <w:r>
        <w:rPr>
          <w:rFonts w:eastAsia="仿宋_GB2312"/>
          <w:color w:val="auto"/>
          <w:kern w:val="0"/>
          <w:sz w:val="32"/>
          <w:szCs w:val="32"/>
        </w:rPr>
        <w:t>（6）中介机构库中评审质量高、绩效明显、表现突出的单位，根据考核情况，实施奖励评审委托。</w:t>
      </w:r>
    </w:p>
    <w:p>
      <w:pPr>
        <w:spacing w:line="590" w:lineRule="exact"/>
        <w:ind w:firstLine="640" w:firstLineChars="200"/>
        <w:jc w:val="left"/>
        <w:rPr>
          <w:rFonts w:eastAsia="微软雅黑"/>
          <w:color w:val="auto"/>
          <w:kern w:val="0"/>
          <w:szCs w:val="21"/>
        </w:rPr>
      </w:pPr>
      <w:r>
        <w:rPr>
          <w:rFonts w:eastAsia="仿宋_GB2312"/>
          <w:color w:val="auto"/>
          <w:kern w:val="0"/>
          <w:sz w:val="32"/>
          <w:szCs w:val="32"/>
        </w:rPr>
        <w:t>（7）对于时间要求紧、评审内容特殊、专业性强、大型和技术复杂的重点工程项目，市财政评审机构可根据建设单位的要求，采取择优抽签或择优安排的方式委托评审。</w:t>
      </w:r>
    </w:p>
    <w:p>
      <w:pPr>
        <w:spacing w:line="590" w:lineRule="exact"/>
        <w:ind w:firstLine="640" w:firstLineChars="200"/>
        <w:jc w:val="left"/>
        <w:rPr>
          <w:rFonts w:eastAsia="仿宋_GB2312"/>
          <w:color w:val="auto"/>
          <w:kern w:val="0"/>
          <w:sz w:val="32"/>
          <w:szCs w:val="32"/>
        </w:rPr>
      </w:pPr>
      <w:r>
        <w:rPr>
          <w:rFonts w:eastAsia="黑体"/>
          <w:color w:val="auto"/>
          <w:kern w:val="0"/>
          <w:sz w:val="32"/>
          <w:szCs w:val="32"/>
        </w:rPr>
        <w:t>第九条</w:t>
      </w:r>
      <w:r>
        <w:rPr>
          <w:rFonts w:eastAsia="仿宋_GB2312"/>
          <w:color w:val="auto"/>
          <w:kern w:val="0"/>
          <w:sz w:val="32"/>
          <w:szCs w:val="32"/>
        </w:rPr>
        <w:t xml:space="preserve"> 抽签办法。委托任务的分配方法一般采用抽签方式，由财政投资评审机构及中介机构代表参与，实行现场监督。具体抽签办法由市财政投资评审机构根据廉洁从政要求，按照“公开、公平、公正”的原则另行适时制定并组织实施。</w:t>
      </w:r>
    </w:p>
    <w:p>
      <w:pPr>
        <w:spacing w:line="590" w:lineRule="exact"/>
        <w:ind w:firstLine="640" w:firstLineChars="200"/>
        <w:jc w:val="left"/>
        <w:rPr>
          <w:rFonts w:eastAsia="微软雅黑"/>
          <w:color w:val="auto"/>
          <w:kern w:val="0"/>
          <w:szCs w:val="21"/>
        </w:rPr>
      </w:pPr>
      <w:r>
        <w:rPr>
          <w:rFonts w:eastAsia="仿宋_GB2312"/>
          <w:color w:val="auto"/>
          <w:kern w:val="0"/>
          <w:sz w:val="32"/>
          <w:szCs w:val="32"/>
        </w:rPr>
        <w:t>（一）不能连续两次抽签委托同一中介机构协作评审服务。</w:t>
      </w:r>
    </w:p>
    <w:p>
      <w:pPr>
        <w:spacing w:line="590" w:lineRule="exact"/>
        <w:ind w:firstLine="640" w:firstLineChars="200"/>
        <w:jc w:val="left"/>
        <w:rPr>
          <w:rFonts w:eastAsia="微软雅黑"/>
          <w:color w:val="auto"/>
          <w:kern w:val="0"/>
          <w:szCs w:val="21"/>
        </w:rPr>
      </w:pPr>
      <w:r>
        <w:rPr>
          <w:rFonts w:eastAsia="仿宋_GB2312"/>
          <w:color w:val="auto"/>
          <w:kern w:val="0"/>
          <w:sz w:val="32"/>
          <w:szCs w:val="32"/>
        </w:rPr>
        <w:t>（二）有两个以上（含两个）抽签项目尚未提交评审结论的中介机构一般不得列入抽签范围。</w:t>
      </w:r>
    </w:p>
    <w:p>
      <w:pPr>
        <w:spacing w:line="590" w:lineRule="exact"/>
        <w:ind w:firstLine="640" w:firstLineChars="200"/>
        <w:jc w:val="left"/>
        <w:rPr>
          <w:rFonts w:eastAsia="微软雅黑"/>
          <w:color w:val="auto"/>
          <w:kern w:val="0"/>
          <w:szCs w:val="21"/>
        </w:rPr>
      </w:pPr>
      <w:r>
        <w:rPr>
          <w:rFonts w:eastAsia="仿宋_GB2312"/>
          <w:color w:val="auto"/>
          <w:kern w:val="0"/>
          <w:sz w:val="32"/>
          <w:szCs w:val="32"/>
        </w:rPr>
        <w:t>（三）若无特殊原因，中介机构不得拒绝或推托评审中心委托的项目。如确实无法承担该业务，应在接收工程资料前提交书面说明，由评审中心另行分派。对拒绝接受任务的中介机构给予警告并暂停分配任务一次。合同期内拒绝接受分配任务两次以上（含两次）的，市财政投资评审机构取消其入库资格。</w:t>
      </w:r>
    </w:p>
    <w:p>
      <w:pPr>
        <w:spacing w:line="590" w:lineRule="exact"/>
        <w:ind w:firstLine="640" w:firstLineChars="200"/>
        <w:jc w:val="left"/>
        <w:rPr>
          <w:rFonts w:eastAsia="微软雅黑"/>
          <w:color w:val="auto"/>
          <w:kern w:val="0"/>
          <w:szCs w:val="21"/>
        </w:rPr>
      </w:pPr>
      <w:r>
        <w:rPr>
          <w:rFonts w:eastAsia="黑体"/>
          <w:color w:val="auto"/>
          <w:kern w:val="0"/>
          <w:sz w:val="32"/>
          <w:szCs w:val="32"/>
        </w:rPr>
        <w:t xml:space="preserve">第十条 </w:t>
      </w:r>
      <w:r>
        <w:rPr>
          <w:rFonts w:eastAsia="仿宋_GB2312"/>
          <w:color w:val="auto"/>
          <w:kern w:val="0"/>
          <w:sz w:val="32"/>
          <w:szCs w:val="32"/>
        </w:rPr>
        <w:t>委托任务分配后，签订财政投资评审项目委托书（单），具体明确评审项目的服务时间、服务要求和服务计费等事项。</w:t>
      </w:r>
    </w:p>
    <w:p>
      <w:pPr>
        <w:spacing w:line="590" w:lineRule="exact"/>
        <w:ind w:firstLine="640" w:firstLineChars="200"/>
        <w:jc w:val="left"/>
        <w:rPr>
          <w:rFonts w:eastAsia="微软雅黑"/>
          <w:color w:val="auto"/>
          <w:kern w:val="0"/>
          <w:szCs w:val="21"/>
        </w:rPr>
      </w:pPr>
      <w:r>
        <w:rPr>
          <w:rFonts w:eastAsia="黑体"/>
          <w:color w:val="auto"/>
          <w:kern w:val="0"/>
          <w:sz w:val="32"/>
          <w:szCs w:val="32"/>
        </w:rPr>
        <w:t>第十一条</w:t>
      </w:r>
      <w:r>
        <w:rPr>
          <w:rFonts w:eastAsia="仿宋_GB2312"/>
          <w:color w:val="auto"/>
          <w:kern w:val="0"/>
          <w:sz w:val="32"/>
          <w:szCs w:val="32"/>
        </w:rPr>
        <w:t xml:space="preserve"> 评审资料实行登记备案制，具体的评审资料送审程序为：</w:t>
      </w:r>
    </w:p>
    <w:p>
      <w:pPr>
        <w:spacing w:line="590" w:lineRule="exact"/>
        <w:ind w:firstLine="640" w:firstLineChars="200"/>
        <w:jc w:val="left"/>
        <w:rPr>
          <w:rFonts w:eastAsia="微软雅黑"/>
          <w:color w:val="auto"/>
          <w:kern w:val="0"/>
          <w:szCs w:val="21"/>
        </w:rPr>
      </w:pPr>
      <w:r>
        <w:rPr>
          <w:rFonts w:eastAsia="仿宋_GB2312"/>
          <w:color w:val="auto"/>
          <w:kern w:val="0"/>
          <w:sz w:val="32"/>
          <w:szCs w:val="32"/>
        </w:rPr>
        <w:t>（一）建设单位申报项目评审资料。</w:t>
      </w:r>
    </w:p>
    <w:p>
      <w:pPr>
        <w:spacing w:line="590" w:lineRule="exact"/>
        <w:ind w:firstLine="640" w:firstLineChars="200"/>
        <w:jc w:val="left"/>
        <w:rPr>
          <w:rFonts w:eastAsia="微软雅黑"/>
          <w:color w:val="auto"/>
          <w:kern w:val="0"/>
          <w:szCs w:val="21"/>
        </w:rPr>
      </w:pPr>
      <w:r>
        <w:rPr>
          <w:rFonts w:eastAsia="仿宋_GB2312"/>
          <w:color w:val="auto"/>
          <w:kern w:val="0"/>
          <w:sz w:val="32"/>
          <w:szCs w:val="32"/>
        </w:rPr>
        <w:t>（二）市财政投资评审机构按规定初步审查其合法性、真实性、完整性，接收项目评审资料并登记备案。</w:t>
      </w:r>
    </w:p>
    <w:p>
      <w:pPr>
        <w:spacing w:line="590" w:lineRule="exact"/>
        <w:ind w:firstLine="640" w:firstLineChars="200"/>
        <w:jc w:val="left"/>
        <w:rPr>
          <w:rFonts w:eastAsia="仿宋_GB2312"/>
          <w:color w:val="auto"/>
          <w:kern w:val="0"/>
          <w:sz w:val="32"/>
          <w:szCs w:val="32"/>
        </w:rPr>
      </w:pPr>
      <w:r>
        <w:rPr>
          <w:rFonts w:eastAsia="仿宋_GB2312"/>
          <w:color w:val="auto"/>
          <w:kern w:val="0"/>
          <w:sz w:val="32"/>
          <w:szCs w:val="32"/>
        </w:rPr>
        <w:t>（三）市财政投资评审机构按规定分配任务后，将资料移交相关中介机构，中介机构签收。</w:t>
      </w:r>
    </w:p>
    <w:p>
      <w:pPr>
        <w:spacing w:line="590" w:lineRule="exact"/>
        <w:ind w:firstLine="640" w:firstLineChars="200"/>
        <w:jc w:val="left"/>
        <w:rPr>
          <w:rFonts w:eastAsia="仿宋_GB2312"/>
          <w:bCs/>
          <w:color w:val="auto"/>
          <w:kern w:val="0"/>
          <w:sz w:val="32"/>
          <w:szCs w:val="32"/>
        </w:rPr>
      </w:pPr>
      <w:r>
        <w:rPr>
          <w:rFonts w:eastAsia="仿宋_GB2312"/>
          <w:bCs/>
          <w:color w:val="auto"/>
          <w:kern w:val="0"/>
          <w:sz w:val="32"/>
          <w:szCs w:val="32"/>
        </w:rPr>
        <w:t>（四）落实“最多跑一次”，在评审过程中，对申请资料进行真实性、完整性、合规性审查，对申请材料不齐全或者不符合法定形式，需要补正有关材料的，应一次性告知申请人，限期补正。</w:t>
      </w:r>
    </w:p>
    <w:p>
      <w:pPr>
        <w:spacing w:line="590" w:lineRule="exact"/>
        <w:ind w:firstLine="640" w:firstLineChars="200"/>
        <w:jc w:val="left"/>
        <w:rPr>
          <w:rFonts w:eastAsia="仿宋_GB2312"/>
          <w:bCs/>
          <w:color w:val="auto"/>
          <w:kern w:val="0"/>
          <w:sz w:val="32"/>
          <w:szCs w:val="32"/>
        </w:rPr>
      </w:pPr>
      <w:r>
        <w:rPr>
          <w:rFonts w:eastAsia="仿宋_GB2312"/>
          <w:bCs/>
          <w:color w:val="auto"/>
          <w:kern w:val="0"/>
          <w:sz w:val="32"/>
          <w:szCs w:val="32"/>
        </w:rPr>
        <w:t>（五）中介机构在限期内完成评审工作</w:t>
      </w:r>
      <w:r>
        <w:rPr>
          <w:rFonts w:eastAsia="仿宋_GB2312"/>
          <w:bCs/>
          <w:sz w:val="32"/>
          <w:szCs w:val="32"/>
        </w:rPr>
        <w:t>形成初稿，报送我</w:t>
      </w:r>
      <w:r>
        <w:rPr>
          <w:rFonts w:eastAsia="仿宋_GB2312"/>
          <w:bCs/>
          <w:spacing w:val="-6"/>
          <w:sz w:val="32"/>
          <w:szCs w:val="32"/>
        </w:rPr>
        <w:t>中心造价师复核后，再根据意见对报告进行修改完善，出具正稿。</w:t>
      </w:r>
    </w:p>
    <w:p>
      <w:pPr>
        <w:spacing w:line="590" w:lineRule="exact"/>
        <w:ind w:firstLine="640" w:firstLineChars="200"/>
        <w:jc w:val="left"/>
        <w:rPr>
          <w:rFonts w:eastAsia="微软雅黑"/>
          <w:color w:val="auto"/>
          <w:kern w:val="0"/>
          <w:szCs w:val="21"/>
        </w:rPr>
      </w:pPr>
      <w:r>
        <w:rPr>
          <w:rFonts w:eastAsia="仿宋_GB2312"/>
          <w:color w:val="auto"/>
          <w:kern w:val="0"/>
          <w:sz w:val="32"/>
          <w:szCs w:val="32"/>
        </w:rPr>
        <w:t>（六）中介机构完成评审任务后将资料移交市财政投资评审机构，并办理注销登记。</w:t>
      </w:r>
    </w:p>
    <w:p>
      <w:pPr>
        <w:spacing w:line="590" w:lineRule="exact"/>
        <w:ind w:firstLine="640" w:firstLineChars="200"/>
        <w:jc w:val="left"/>
        <w:rPr>
          <w:rFonts w:eastAsia="仿宋_GB2312"/>
          <w:color w:val="auto"/>
          <w:kern w:val="0"/>
          <w:sz w:val="32"/>
          <w:szCs w:val="32"/>
        </w:rPr>
      </w:pPr>
      <w:r>
        <w:rPr>
          <w:rFonts w:eastAsia="黑体"/>
          <w:color w:val="auto"/>
          <w:kern w:val="0"/>
          <w:sz w:val="32"/>
          <w:szCs w:val="32"/>
        </w:rPr>
        <w:t xml:space="preserve">第十二条 </w:t>
      </w:r>
      <w:r>
        <w:rPr>
          <w:rFonts w:eastAsia="仿宋_GB2312"/>
          <w:color w:val="auto"/>
          <w:kern w:val="0"/>
          <w:sz w:val="32"/>
          <w:szCs w:val="32"/>
        </w:rPr>
        <w:t>评审业务的进度管理。</w:t>
      </w:r>
    </w:p>
    <w:p>
      <w:pPr>
        <w:spacing w:line="590" w:lineRule="exact"/>
        <w:ind w:firstLine="640" w:firstLineChars="200"/>
        <w:jc w:val="left"/>
        <w:rPr>
          <w:rFonts w:eastAsia="仿宋_GB2312"/>
          <w:color w:val="auto"/>
          <w:kern w:val="0"/>
          <w:sz w:val="32"/>
          <w:szCs w:val="32"/>
        </w:rPr>
      </w:pPr>
      <w:r>
        <w:rPr>
          <w:rFonts w:eastAsia="仿宋_GB2312"/>
          <w:color w:val="auto"/>
          <w:kern w:val="0"/>
          <w:sz w:val="32"/>
          <w:szCs w:val="32"/>
        </w:rPr>
        <w:t>（一）中介机构完成的初稿应以书面形式报送至市财政投资评审机构，未经财评审机构项目负责人初审，不得与施工单位、建设单位核对。</w:t>
      </w:r>
    </w:p>
    <w:p>
      <w:pPr>
        <w:spacing w:line="590" w:lineRule="exact"/>
        <w:ind w:firstLine="640" w:firstLineChars="200"/>
        <w:jc w:val="left"/>
        <w:rPr>
          <w:rFonts w:eastAsia="仿宋_GB2312"/>
          <w:color w:val="auto"/>
          <w:kern w:val="0"/>
          <w:sz w:val="32"/>
          <w:szCs w:val="32"/>
        </w:rPr>
      </w:pPr>
      <w:r>
        <w:rPr>
          <w:rFonts w:eastAsia="仿宋_GB2312"/>
          <w:color w:val="auto"/>
          <w:kern w:val="0"/>
          <w:sz w:val="32"/>
          <w:szCs w:val="32"/>
        </w:rPr>
        <w:t>（二）中介机构应就项目评审情况、进度等及时与财评机构项目负责人进行反馈、沟通，并于每月5日前，将所有在审项目的进度情况书面报送至财评机构。</w:t>
      </w:r>
    </w:p>
    <w:p>
      <w:pPr>
        <w:spacing w:line="590" w:lineRule="exact"/>
        <w:ind w:firstLine="640" w:firstLineChars="200"/>
        <w:jc w:val="left"/>
        <w:rPr>
          <w:rFonts w:eastAsia="仿宋_GB2312"/>
          <w:color w:val="auto"/>
          <w:kern w:val="0"/>
          <w:sz w:val="32"/>
          <w:szCs w:val="32"/>
        </w:rPr>
      </w:pPr>
      <w:r>
        <w:rPr>
          <w:rFonts w:eastAsia="仿宋_GB2312"/>
          <w:color w:val="auto"/>
          <w:kern w:val="0"/>
          <w:sz w:val="32"/>
          <w:szCs w:val="32"/>
        </w:rPr>
        <w:t>（三）中介机构出具的财政评审项目的评审成果，不得擅自提供给施工单位、建设单位或其他单位。否则，市财政投资评审机构有权单方面终止委托合同。</w:t>
      </w:r>
    </w:p>
    <w:p>
      <w:pPr>
        <w:spacing w:line="590" w:lineRule="exact"/>
        <w:ind w:firstLine="640" w:firstLineChars="200"/>
        <w:jc w:val="left"/>
        <w:rPr>
          <w:rFonts w:eastAsia="仿宋_GB2312"/>
          <w:color w:val="auto"/>
          <w:kern w:val="0"/>
          <w:sz w:val="32"/>
          <w:szCs w:val="32"/>
        </w:rPr>
      </w:pPr>
      <w:r>
        <w:rPr>
          <w:rFonts w:eastAsia="仿宋_GB2312"/>
          <w:color w:val="auto"/>
          <w:kern w:val="0"/>
          <w:sz w:val="32"/>
          <w:szCs w:val="32"/>
        </w:rPr>
        <w:t>（四）中介机构因自身原因中止审核项目的，应协助完成该项目的后续工作。否则，市财政投资评审机构将扣除该项目的评审服务费，情节严重的，取消承接评审业务的资格。</w:t>
      </w:r>
    </w:p>
    <w:p>
      <w:pPr>
        <w:spacing w:line="590" w:lineRule="exact"/>
        <w:ind w:firstLine="640" w:firstLineChars="200"/>
        <w:jc w:val="left"/>
        <w:rPr>
          <w:rFonts w:eastAsia="仿宋_GB2312"/>
          <w:color w:val="auto"/>
          <w:kern w:val="0"/>
          <w:sz w:val="32"/>
          <w:szCs w:val="32"/>
        </w:rPr>
      </w:pPr>
      <w:r>
        <w:rPr>
          <w:rFonts w:eastAsia="黑体"/>
          <w:color w:val="auto"/>
          <w:kern w:val="0"/>
          <w:sz w:val="32"/>
          <w:szCs w:val="32"/>
        </w:rPr>
        <w:t xml:space="preserve">第十三条 </w:t>
      </w:r>
      <w:r>
        <w:rPr>
          <w:rFonts w:eastAsia="仿宋_GB2312"/>
          <w:color w:val="auto"/>
          <w:kern w:val="0"/>
          <w:sz w:val="32"/>
          <w:szCs w:val="32"/>
        </w:rPr>
        <w:t>评审业务的时限管理。</w:t>
      </w:r>
    </w:p>
    <w:p>
      <w:pPr>
        <w:spacing w:line="590" w:lineRule="exact"/>
        <w:ind w:firstLine="640" w:firstLineChars="200"/>
        <w:jc w:val="left"/>
        <w:rPr>
          <w:rFonts w:eastAsia="仿宋_GB2312"/>
          <w:color w:val="auto"/>
          <w:kern w:val="0"/>
          <w:sz w:val="32"/>
          <w:szCs w:val="32"/>
        </w:rPr>
      </w:pPr>
      <w:r>
        <w:rPr>
          <w:rFonts w:eastAsia="仿宋_GB2312"/>
          <w:color w:val="auto"/>
          <w:kern w:val="0"/>
          <w:sz w:val="32"/>
          <w:szCs w:val="32"/>
        </w:rPr>
        <w:t>（一）实行限时办结制。中介机构应在规定的时限内如期如质完成项目评审任务，其项目评审时效纳入考核内容并按相关规定奖惩。</w:t>
      </w:r>
    </w:p>
    <w:p>
      <w:pPr>
        <w:spacing w:line="590" w:lineRule="exact"/>
        <w:ind w:firstLine="640" w:firstLineChars="200"/>
        <w:jc w:val="left"/>
        <w:rPr>
          <w:rFonts w:eastAsia="仿宋_GB2312"/>
          <w:color w:val="auto"/>
          <w:kern w:val="0"/>
          <w:sz w:val="32"/>
          <w:szCs w:val="32"/>
        </w:rPr>
      </w:pPr>
      <w:r>
        <w:rPr>
          <w:rFonts w:eastAsia="仿宋_GB2312"/>
          <w:color w:val="auto"/>
          <w:kern w:val="0"/>
          <w:sz w:val="32"/>
          <w:szCs w:val="32"/>
        </w:rPr>
        <w:t>（二）项目评审时限由市财评机构在项目评审委托时具体约定，参照标准详见附件一《</w:t>
      </w:r>
      <w:r>
        <w:rPr>
          <w:rFonts w:eastAsia="仿宋_GB2312"/>
          <w:bCs/>
          <w:color w:val="auto"/>
          <w:kern w:val="0"/>
          <w:sz w:val="32"/>
          <w:szCs w:val="32"/>
        </w:rPr>
        <w:t>岳阳市财政投资项目评审时限参照标准</w:t>
      </w:r>
      <w:r>
        <w:rPr>
          <w:rFonts w:eastAsia="仿宋_GB2312"/>
          <w:color w:val="auto"/>
          <w:kern w:val="0"/>
          <w:sz w:val="32"/>
          <w:szCs w:val="32"/>
        </w:rPr>
        <w:t>》。</w:t>
      </w:r>
    </w:p>
    <w:p>
      <w:pPr>
        <w:spacing w:line="590" w:lineRule="exact"/>
        <w:ind w:firstLine="640" w:firstLineChars="200"/>
        <w:jc w:val="left"/>
        <w:rPr>
          <w:rFonts w:eastAsia="仿宋_GB2312"/>
          <w:color w:val="auto"/>
          <w:kern w:val="0"/>
          <w:sz w:val="32"/>
          <w:szCs w:val="32"/>
        </w:rPr>
      </w:pPr>
      <w:r>
        <w:rPr>
          <w:rFonts w:eastAsia="仿宋_GB2312"/>
          <w:color w:val="auto"/>
          <w:kern w:val="0"/>
          <w:sz w:val="32"/>
          <w:szCs w:val="32"/>
        </w:rPr>
        <w:t>（三）市财评机构可根据实际情况调整参照标准，并通知执行。</w:t>
      </w:r>
    </w:p>
    <w:p>
      <w:pPr>
        <w:spacing w:line="590" w:lineRule="exact"/>
        <w:ind w:firstLine="640" w:firstLineChars="200"/>
        <w:jc w:val="left"/>
        <w:rPr>
          <w:rFonts w:eastAsia="微软雅黑"/>
          <w:color w:val="auto"/>
          <w:kern w:val="0"/>
          <w:szCs w:val="21"/>
        </w:rPr>
      </w:pPr>
      <w:r>
        <w:rPr>
          <w:rFonts w:eastAsia="仿宋_GB2312"/>
          <w:color w:val="auto"/>
          <w:kern w:val="0"/>
          <w:sz w:val="32"/>
          <w:szCs w:val="32"/>
        </w:rPr>
        <w:t>（四）中介机构如不能在规定期间内完成评审任务，应及时向市财评机构书面报告并说明原因，填写《岳阳市财政投资评审中心项目评审延期审批表》，市财评机构将酌情作出答复和处理。</w:t>
      </w:r>
      <w:r>
        <w:rPr>
          <w:rFonts w:eastAsia="仿宋_GB2312"/>
          <w:bCs/>
          <w:color w:val="auto"/>
          <w:kern w:val="0"/>
          <w:sz w:val="32"/>
          <w:szCs w:val="32"/>
        </w:rPr>
        <w:t>无故未按时完成工作任务的，出现一次扣减当次评审服务费，出现两次扣减当次服务费并暂停抽签一轮，出现三次取消评审资格。</w:t>
      </w:r>
    </w:p>
    <w:p>
      <w:pPr>
        <w:spacing w:line="590" w:lineRule="exact"/>
        <w:ind w:firstLine="640" w:firstLineChars="200"/>
        <w:jc w:val="left"/>
        <w:rPr>
          <w:rFonts w:eastAsia="仿宋_GB2312"/>
          <w:color w:val="auto"/>
          <w:kern w:val="0"/>
          <w:sz w:val="32"/>
          <w:szCs w:val="32"/>
        </w:rPr>
      </w:pPr>
      <w:r>
        <w:rPr>
          <w:rFonts w:eastAsia="黑体"/>
          <w:color w:val="auto"/>
          <w:kern w:val="0"/>
          <w:sz w:val="32"/>
          <w:szCs w:val="32"/>
        </w:rPr>
        <w:t xml:space="preserve">第十四条 </w:t>
      </w:r>
      <w:r>
        <w:rPr>
          <w:rFonts w:eastAsia="仿宋_GB2312"/>
          <w:color w:val="auto"/>
          <w:kern w:val="0"/>
          <w:sz w:val="32"/>
          <w:szCs w:val="32"/>
        </w:rPr>
        <w:t>实行回避制度。存在以下情形的，中介机构应当事前申报，按要求回避。</w:t>
      </w:r>
    </w:p>
    <w:p>
      <w:pPr>
        <w:spacing w:line="590" w:lineRule="exact"/>
        <w:ind w:firstLine="640" w:firstLineChars="200"/>
        <w:jc w:val="left"/>
        <w:rPr>
          <w:rFonts w:eastAsia="仿宋_GB2312"/>
          <w:color w:val="auto"/>
          <w:kern w:val="0"/>
          <w:sz w:val="32"/>
          <w:szCs w:val="32"/>
        </w:rPr>
      </w:pPr>
      <w:r>
        <w:rPr>
          <w:rFonts w:eastAsia="仿宋_GB2312"/>
          <w:color w:val="auto"/>
          <w:kern w:val="0"/>
          <w:sz w:val="32"/>
          <w:szCs w:val="32"/>
        </w:rPr>
        <w:t>（一）评审项目系该中介机构或其工作人员编制的；</w:t>
      </w:r>
    </w:p>
    <w:p>
      <w:pPr>
        <w:spacing w:line="590" w:lineRule="exact"/>
        <w:ind w:firstLine="640" w:firstLineChars="200"/>
        <w:jc w:val="left"/>
        <w:rPr>
          <w:rFonts w:eastAsia="仿宋_GB2312"/>
          <w:color w:val="auto"/>
          <w:kern w:val="0"/>
          <w:sz w:val="32"/>
          <w:szCs w:val="32"/>
        </w:rPr>
      </w:pPr>
      <w:r>
        <w:rPr>
          <w:rFonts w:eastAsia="仿宋_GB2312"/>
          <w:color w:val="auto"/>
          <w:kern w:val="0"/>
          <w:sz w:val="32"/>
          <w:szCs w:val="32"/>
        </w:rPr>
        <w:t>（二）中介机构与被审核单位存在关联关系的；</w:t>
      </w:r>
    </w:p>
    <w:p>
      <w:pPr>
        <w:spacing w:line="590" w:lineRule="exact"/>
        <w:ind w:firstLine="640" w:firstLineChars="200"/>
        <w:jc w:val="left"/>
        <w:rPr>
          <w:rFonts w:eastAsia="仿宋_GB2312"/>
          <w:color w:val="auto"/>
          <w:kern w:val="0"/>
          <w:sz w:val="32"/>
          <w:szCs w:val="32"/>
        </w:rPr>
      </w:pPr>
      <w:r>
        <w:rPr>
          <w:rFonts w:eastAsia="仿宋_GB2312"/>
          <w:color w:val="auto"/>
          <w:kern w:val="0"/>
          <w:sz w:val="32"/>
          <w:szCs w:val="32"/>
        </w:rPr>
        <w:t>（三）中介机构审核人员曾在被审核单位工作，离开后不满3年的；</w:t>
      </w:r>
    </w:p>
    <w:p>
      <w:pPr>
        <w:spacing w:line="590" w:lineRule="exact"/>
        <w:ind w:firstLine="640" w:firstLineChars="200"/>
        <w:jc w:val="left"/>
        <w:rPr>
          <w:rFonts w:eastAsia="仿宋_GB2312"/>
          <w:color w:val="auto"/>
          <w:kern w:val="0"/>
          <w:sz w:val="32"/>
          <w:szCs w:val="32"/>
        </w:rPr>
      </w:pPr>
      <w:r>
        <w:rPr>
          <w:rFonts w:eastAsia="仿宋_GB2312"/>
          <w:color w:val="auto"/>
          <w:kern w:val="0"/>
          <w:sz w:val="32"/>
          <w:szCs w:val="32"/>
        </w:rPr>
        <w:t>（四）中介机构审核人员与被审单位及项目主要负责人存在亲属关系的；</w:t>
      </w:r>
    </w:p>
    <w:p>
      <w:pPr>
        <w:spacing w:line="590" w:lineRule="exact"/>
        <w:ind w:firstLine="640" w:firstLineChars="200"/>
        <w:jc w:val="left"/>
        <w:rPr>
          <w:rFonts w:eastAsia="仿宋_GB2312"/>
          <w:color w:val="auto"/>
          <w:kern w:val="0"/>
          <w:sz w:val="32"/>
          <w:szCs w:val="32"/>
        </w:rPr>
      </w:pPr>
      <w:r>
        <w:rPr>
          <w:rFonts w:eastAsia="仿宋_GB2312"/>
          <w:color w:val="auto"/>
          <w:kern w:val="0"/>
          <w:sz w:val="32"/>
          <w:szCs w:val="32"/>
        </w:rPr>
        <w:t>（五）法律规定需要回避的其他情形。</w:t>
      </w:r>
    </w:p>
    <w:p>
      <w:pPr>
        <w:spacing w:line="590" w:lineRule="exact"/>
        <w:ind w:firstLine="640" w:firstLineChars="200"/>
        <w:jc w:val="left"/>
        <w:rPr>
          <w:rFonts w:eastAsia="微软雅黑"/>
          <w:color w:val="auto"/>
          <w:kern w:val="0"/>
          <w:sz w:val="32"/>
          <w:szCs w:val="32"/>
        </w:rPr>
      </w:pPr>
      <w:r>
        <w:rPr>
          <w:rFonts w:eastAsia="黑体"/>
          <w:color w:val="auto"/>
          <w:kern w:val="0"/>
          <w:sz w:val="32"/>
          <w:szCs w:val="32"/>
        </w:rPr>
        <w:t>第十五条</w:t>
      </w:r>
      <w:r>
        <w:rPr>
          <w:rFonts w:eastAsia="仿宋_GB2312"/>
          <w:color w:val="auto"/>
          <w:kern w:val="0"/>
          <w:sz w:val="32"/>
          <w:szCs w:val="32"/>
        </w:rPr>
        <w:t xml:space="preserve"> 评审质量管理与风险控制。中介机构开展评审工作应遵守以下规定:</w:t>
      </w:r>
    </w:p>
    <w:p>
      <w:pPr>
        <w:spacing w:line="590" w:lineRule="exact"/>
        <w:ind w:firstLine="640" w:firstLineChars="200"/>
        <w:jc w:val="left"/>
        <w:rPr>
          <w:rFonts w:eastAsia="微软雅黑"/>
          <w:color w:val="auto"/>
          <w:kern w:val="0"/>
          <w:sz w:val="32"/>
          <w:szCs w:val="32"/>
        </w:rPr>
      </w:pPr>
      <w:r>
        <w:rPr>
          <w:rFonts w:eastAsia="仿宋_GB2312"/>
          <w:color w:val="auto"/>
          <w:kern w:val="0"/>
          <w:sz w:val="32"/>
          <w:szCs w:val="32"/>
        </w:rPr>
        <w:t>（一）中介机构评审人员在市财政投资评审机构备案。按投标文件备案的评审人员应保持相对稳定，人员变更应由中介机构向市财评机构提供证明资料，办理变更登记后才能参与项目评审。每次项目委托后，中介机构应在1个工作日内配置项目人员，并报告市财评机构备案。在委托评审业务中，如发现乙方的专业人员属于挂靠、无备案或冒名顶替的，市财评机构给予中介机构暂停任务分配3个月的处理。</w:t>
      </w:r>
    </w:p>
    <w:p>
      <w:pPr>
        <w:spacing w:line="590" w:lineRule="exact"/>
        <w:ind w:firstLine="640" w:firstLineChars="200"/>
        <w:jc w:val="left"/>
        <w:rPr>
          <w:rFonts w:eastAsia="微软雅黑"/>
          <w:color w:val="auto"/>
          <w:kern w:val="0"/>
          <w:sz w:val="32"/>
          <w:szCs w:val="32"/>
        </w:rPr>
      </w:pPr>
      <w:r>
        <w:rPr>
          <w:rFonts w:eastAsia="仿宋_GB2312"/>
          <w:color w:val="auto"/>
          <w:kern w:val="0"/>
          <w:sz w:val="32"/>
          <w:szCs w:val="32"/>
        </w:rPr>
        <w:t>（二）中介机构应建立健全评审资料管理制度，不得擅自从建设单位或施工单位获取评审资料，不得遗失、篡改、编造评审资料。</w:t>
      </w:r>
    </w:p>
    <w:p>
      <w:pPr>
        <w:spacing w:line="590" w:lineRule="exact"/>
        <w:ind w:firstLine="640" w:firstLineChars="200"/>
        <w:jc w:val="left"/>
        <w:rPr>
          <w:rFonts w:eastAsia="微软雅黑"/>
          <w:color w:val="auto"/>
          <w:kern w:val="0"/>
          <w:sz w:val="32"/>
          <w:szCs w:val="32"/>
        </w:rPr>
      </w:pPr>
      <w:r>
        <w:rPr>
          <w:rFonts w:eastAsia="仿宋_GB2312"/>
          <w:color w:val="auto"/>
          <w:kern w:val="0"/>
          <w:sz w:val="32"/>
          <w:szCs w:val="32"/>
        </w:rPr>
        <w:t>（三）同一项目中介机构只能接受一方的业务委托，不得接受同一项目不同委托人的咨询服务委托，即就同一项目不得既接受市财评机构的委托，又接受建设单位、投标人、承包单位等相对利益关系人的委托，从事造价咨询业务和招标投标业务；同一项目不得既接受编制业务委托，又接受审核业务的委托。若出现此类情况的，中介机构必须主动向委托人提出回避。</w:t>
      </w:r>
    </w:p>
    <w:p>
      <w:pPr>
        <w:spacing w:line="590" w:lineRule="exact"/>
        <w:ind w:firstLine="640" w:firstLineChars="200"/>
        <w:jc w:val="left"/>
        <w:rPr>
          <w:rFonts w:eastAsia="仿宋_GB2312"/>
          <w:color w:val="auto"/>
          <w:kern w:val="0"/>
          <w:sz w:val="32"/>
          <w:szCs w:val="32"/>
        </w:rPr>
      </w:pPr>
      <w:r>
        <w:rPr>
          <w:rFonts w:eastAsia="仿宋_GB2312"/>
          <w:color w:val="auto"/>
          <w:kern w:val="0"/>
          <w:sz w:val="32"/>
          <w:szCs w:val="32"/>
        </w:rPr>
        <w:t>（四）中介机构应严格遵守财政投资评审有关规章制度，按照</w:t>
      </w:r>
      <w:r>
        <w:rPr>
          <w:rFonts w:eastAsia="仿宋_GB2312"/>
          <w:sz w:val="32"/>
          <w:szCs w:val="32"/>
        </w:rPr>
        <w:t>《岳阳市财政投资评审管理办法》</w:t>
      </w:r>
      <w:r>
        <w:rPr>
          <w:rFonts w:eastAsia="仿宋_GB2312"/>
          <w:color w:val="auto"/>
          <w:kern w:val="0"/>
          <w:sz w:val="32"/>
          <w:szCs w:val="32"/>
        </w:rPr>
        <w:t>《岳阳市财政投资项目评审操作规程》《湖南省财政投资评审管理实施办法》及市财评机构有关制度要求建立健全内部质量控制体系，严格按相关规定、标准开展评审工作。</w:t>
      </w:r>
    </w:p>
    <w:p>
      <w:pPr>
        <w:spacing w:line="590" w:lineRule="exact"/>
        <w:ind w:firstLine="640" w:firstLineChars="200"/>
        <w:jc w:val="left"/>
        <w:rPr>
          <w:rFonts w:eastAsia="仿宋_GB2312"/>
          <w:bCs/>
          <w:color w:val="auto"/>
          <w:kern w:val="0"/>
          <w:sz w:val="32"/>
          <w:szCs w:val="32"/>
        </w:rPr>
      </w:pPr>
      <w:r>
        <w:rPr>
          <w:rFonts w:eastAsia="仿宋_GB2312"/>
          <w:color w:val="auto"/>
          <w:kern w:val="0"/>
          <w:sz w:val="32"/>
          <w:szCs w:val="32"/>
        </w:rPr>
        <w:t>（五）中介机构应建立三级复核质量控制制度。参加评审的中介机构人员应当具有满足项目评审的专业能力和执业资格，其中：项目负责人应同时具有类似工作经验及全国注册执业资格。</w:t>
      </w:r>
      <w:r>
        <w:rPr>
          <w:rFonts w:eastAsia="仿宋_GB2312"/>
          <w:bCs/>
          <w:color w:val="auto"/>
          <w:kern w:val="0"/>
          <w:sz w:val="32"/>
          <w:szCs w:val="32"/>
        </w:rPr>
        <w:t>指定造价人员初审后分条列出增减明细，再由主审造价师复核后出具复核结果并在三级复核记录表签字才能形成初稿，在</w:t>
      </w:r>
      <w:r>
        <w:rPr>
          <w:rFonts w:eastAsia="仿宋_GB2312"/>
          <w:color w:val="auto"/>
          <w:kern w:val="0"/>
          <w:sz w:val="32"/>
          <w:szCs w:val="32"/>
        </w:rPr>
        <w:t>市财政投资评审中心</w:t>
      </w:r>
      <w:r>
        <w:rPr>
          <w:rFonts w:eastAsia="仿宋_GB2312"/>
          <w:bCs/>
          <w:color w:val="auto"/>
          <w:kern w:val="0"/>
          <w:sz w:val="32"/>
          <w:szCs w:val="32"/>
        </w:rPr>
        <w:t>出具复核意见后，再根据意见对报告进行修改完善，并由技术负责人确认后在复核记录表上签字。所有委托评审项目要按照三级复审制度要求执行，并认真填写三级复核记录表备案。</w:t>
      </w:r>
    </w:p>
    <w:p>
      <w:pPr>
        <w:spacing w:line="590" w:lineRule="exact"/>
        <w:ind w:firstLine="640" w:firstLineChars="200"/>
        <w:jc w:val="left"/>
        <w:rPr>
          <w:rFonts w:eastAsia="仿宋_GB2312"/>
          <w:color w:val="auto"/>
          <w:kern w:val="0"/>
          <w:sz w:val="32"/>
          <w:szCs w:val="32"/>
        </w:rPr>
      </w:pPr>
      <w:r>
        <w:rPr>
          <w:rFonts w:eastAsia="仿宋_GB2312"/>
          <w:color w:val="auto"/>
          <w:kern w:val="0"/>
          <w:sz w:val="32"/>
          <w:szCs w:val="32"/>
        </w:rPr>
        <w:t>（六）中介机构应针对项目特点，制定合理的评审方案，并及时核实重点、难点和疑点问题，进行书面取证和拍照备查。</w:t>
      </w:r>
    </w:p>
    <w:p>
      <w:pPr>
        <w:spacing w:line="590" w:lineRule="exact"/>
        <w:ind w:firstLine="640" w:firstLineChars="200"/>
        <w:jc w:val="left"/>
        <w:rPr>
          <w:rFonts w:eastAsia="仿宋_GB2312"/>
          <w:color w:val="auto"/>
          <w:kern w:val="0"/>
          <w:sz w:val="32"/>
          <w:szCs w:val="32"/>
        </w:rPr>
      </w:pPr>
      <w:r>
        <w:rPr>
          <w:rFonts w:eastAsia="仿宋_GB2312"/>
          <w:color w:val="auto"/>
          <w:kern w:val="0"/>
          <w:sz w:val="32"/>
          <w:szCs w:val="32"/>
        </w:rPr>
        <w:t>中介机构应当建立完整、规范的工作底稿制度，真实、完整、准确记录每一项评审情况。</w:t>
      </w:r>
    </w:p>
    <w:p>
      <w:pPr>
        <w:spacing w:line="590" w:lineRule="exact"/>
        <w:ind w:firstLine="640" w:firstLineChars="200"/>
        <w:jc w:val="left"/>
        <w:rPr>
          <w:rFonts w:eastAsia="仿宋_GB2312"/>
          <w:color w:val="auto"/>
          <w:kern w:val="0"/>
          <w:sz w:val="32"/>
          <w:szCs w:val="32"/>
        </w:rPr>
      </w:pPr>
      <w:r>
        <w:rPr>
          <w:rFonts w:eastAsia="仿宋_GB2312"/>
          <w:color w:val="auto"/>
          <w:kern w:val="0"/>
          <w:sz w:val="32"/>
          <w:szCs w:val="32"/>
        </w:rPr>
        <w:t>（七）市财评机构对评审关键环节进行现场监督管理。中介机构现场勘查时应通知财评机构项目负责人，对评审结果有重要影响的环节，如：现场勘察、召开多方协调会等，相关中介机构均需事前报告市财评机构。</w:t>
      </w:r>
    </w:p>
    <w:p>
      <w:pPr>
        <w:spacing w:line="590" w:lineRule="exact"/>
        <w:ind w:firstLine="640" w:firstLineChars="200"/>
        <w:jc w:val="left"/>
        <w:rPr>
          <w:rFonts w:eastAsia="微软雅黑"/>
          <w:color w:val="auto"/>
          <w:kern w:val="0"/>
          <w:sz w:val="32"/>
          <w:szCs w:val="32"/>
        </w:rPr>
      </w:pPr>
      <w:r>
        <w:rPr>
          <w:rFonts w:eastAsia="仿宋_GB2312"/>
          <w:color w:val="auto"/>
          <w:kern w:val="0"/>
          <w:sz w:val="32"/>
          <w:szCs w:val="32"/>
        </w:rPr>
        <w:t>（八）遵守重大事项报告制度，评审过程中中介机构应对重大不确定事项和重大争议事项进行详尽调查并及时向市财评机构报告。</w:t>
      </w:r>
    </w:p>
    <w:p>
      <w:pPr>
        <w:spacing w:line="590" w:lineRule="exact"/>
        <w:ind w:firstLine="640" w:firstLineChars="200"/>
        <w:jc w:val="left"/>
        <w:rPr>
          <w:rFonts w:eastAsia="仿宋_GB2312"/>
          <w:color w:val="auto"/>
          <w:kern w:val="0"/>
          <w:sz w:val="32"/>
          <w:szCs w:val="32"/>
        </w:rPr>
      </w:pPr>
      <w:r>
        <w:rPr>
          <w:rFonts w:eastAsia="仿宋_GB2312"/>
          <w:color w:val="auto"/>
          <w:kern w:val="0"/>
          <w:sz w:val="32"/>
          <w:szCs w:val="32"/>
        </w:rPr>
        <w:t>（九）严格遵守国家有关保密规定，不得泄露审核时知悉的国家机密和商业秘密，不得将审核中取得的材料用于审核报告以外的事项。</w:t>
      </w:r>
    </w:p>
    <w:p>
      <w:pPr>
        <w:spacing w:line="590" w:lineRule="exact"/>
        <w:ind w:firstLine="640" w:firstLineChars="200"/>
        <w:jc w:val="left"/>
        <w:rPr>
          <w:rFonts w:eastAsia="微软雅黑"/>
          <w:color w:val="auto"/>
          <w:kern w:val="0"/>
          <w:sz w:val="32"/>
          <w:szCs w:val="32"/>
        </w:rPr>
      </w:pPr>
      <w:r>
        <w:rPr>
          <w:rFonts w:eastAsia="仿宋_GB2312"/>
          <w:color w:val="auto"/>
          <w:kern w:val="0"/>
          <w:sz w:val="32"/>
          <w:szCs w:val="32"/>
        </w:rPr>
        <w:t>（十）中介机构应确保出具书面报告的真实性、准确性、完整性，配合市财评机构对审或提供相关咨询。</w:t>
      </w:r>
    </w:p>
    <w:p>
      <w:pPr>
        <w:spacing w:line="590" w:lineRule="exact"/>
        <w:ind w:firstLine="640" w:firstLineChars="200"/>
        <w:jc w:val="left"/>
        <w:rPr>
          <w:rFonts w:eastAsia="仿宋_GB2312"/>
          <w:color w:val="auto"/>
          <w:kern w:val="0"/>
          <w:sz w:val="32"/>
          <w:szCs w:val="32"/>
        </w:rPr>
      </w:pPr>
      <w:r>
        <w:rPr>
          <w:rFonts w:eastAsia="仿宋_GB2312"/>
          <w:color w:val="auto"/>
          <w:kern w:val="0"/>
          <w:sz w:val="32"/>
          <w:szCs w:val="32"/>
        </w:rPr>
        <w:t>（十一）市财评机构对中介机构的结论实行复核制度。中介机构应按市财评机构的复核意见修改完善后出具正式报告。</w:t>
      </w:r>
    </w:p>
    <w:p>
      <w:pPr>
        <w:spacing w:line="590" w:lineRule="exact"/>
        <w:ind w:firstLine="640" w:firstLineChars="200"/>
        <w:jc w:val="left"/>
        <w:rPr>
          <w:rFonts w:eastAsia="仿宋_GB2312"/>
          <w:color w:val="auto"/>
          <w:kern w:val="0"/>
          <w:sz w:val="32"/>
          <w:szCs w:val="32"/>
        </w:rPr>
      </w:pPr>
      <w:r>
        <w:rPr>
          <w:rFonts w:eastAsia="仿宋_GB2312"/>
          <w:color w:val="auto"/>
          <w:kern w:val="0"/>
          <w:sz w:val="32"/>
          <w:szCs w:val="32"/>
        </w:rPr>
        <w:t>（十二）中介机构须定期对其承担财政投资评审业务的专业人员进行培训。</w:t>
      </w:r>
    </w:p>
    <w:p>
      <w:pPr>
        <w:spacing w:line="590" w:lineRule="exact"/>
        <w:ind w:firstLine="640" w:firstLineChars="200"/>
        <w:jc w:val="left"/>
        <w:rPr>
          <w:rFonts w:eastAsia="微软雅黑"/>
          <w:color w:val="auto"/>
          <w:kern w:val="0"/>
          <w:szCs w:val="21"/>
        </w:rPr>
      </w:pPr>
      <w:r>
        <w:rPr>
          <w:rFonts w:eastAsia="黑体"/>
          <w:color w:val="auto"/>
          <w:kern w:val="0"/>
          <w:sz w:val="32"/>
          <w:szCs w:val="32"/>
        </w:rPr>
        <w:t>第十六条</w:t>
      </w:r>
      <w:r>
        <w:rPr>
          <w:rFonts w:eastAsia="仿宋_GB2312"/>
          <w:color w:val="auto"/>
          <w:kern w:val="0"/>
          <w:sz w:val="32"/>
          <w:szCs w:val="32"/>
        </w:rPr>
        <w:t xml:space="preserve"> 实施“黑名单”制度。中介机构有下列情形之一的，</w:t>
      </w:r>
      <w:r>
        <w:rPr>
          <w:rFonts w:eastAsia="仿宋_GB2312"/>
          <w:color w:val="auto"/>
          <w:spacing w:val="0"/>
          <w:kern w:val="0"/>
          <w:sz w:val="32"/>
          <w:szCs w:val="32"/>
        </w:rPr>
        <w:t>列入“黑名单”，5年内不得参与市本级财政投资评审的相关业务。</w:t>
      </w:r>
    </w:p>
    <w:p>
      <w:pPr>
        <w:spacing w:line="590" w:lineRule="exact"/>
        <w:ind w:firstLine="640" w:firstLineChars="200"/>
        <w:jc w:val="left"/>
        <w:rPr>
          <w:rFonts w:eastAsia="微软雅黑"/>
          <w:kern w:val="0"/>
          <w:szCs w:val="21"/>
        </w:rPr>
      </w:pPr>
      <w:r>
        <w:rPr>
          <w:rFonts w:eastAsia="仿宋_GB2312"/>
          <w:kern w:val="0"/>
          <w:sz w:val="32"/>
          <w:szCs w:val="32"/>
        </w:rPr>
        <w:t>（一）在企业资质、业绩、奖惩情况、执业人员等方面弄虚作假、提供不真实信息资料的。</w:t>
      </w:r>
    </w:p>
    <w:p>
      <w:pPr>
        <w:spacing w:line="590" w:lineRule="exact"/>
        <w:ind w:firstLine="640" w:firstLineChars="200"/>
        <w:jc w:val="left"/>
        <w:rPr>
          <w:rFonts w:eastAsia="微软雅黑"/>
          <w:kern w:val="0"/>
          <w:szCs w:val="21"/>
        </w:rPr>
      </w:pPr>
      <w:r>
        <w:rPr>
          <w:rFonts w:eastAsia="仿宋_GB2312"/>
          <w:kern w:val="0"/>
          <w:sz w:val="32"/>
          <w:szCs w:val="32"/>
        </w:rPr>
        <w:t>（二）违反有关法律、法规，被司法机关、行政监督部门或行业自律组织处罚或处理的。</w:t>
      </w:r>
    </w:p>
    <w:p>
      <w:pPr>
        <w:spacing w:line="590" w:lineRule="exact"/>
        <w:ind w:firstLine="640" w:firstLineChars="200"/>
        <w:jc w:val="left"/>
        <w:rPr>
          <w:rFonts w:eastAsia="微软雅黑"/>
          <w:kern w:val="0"/>
          <w:szCs w:val="21"/>
        </w:rPr>
      </w:pPr>
      <w:r>
        <w:rPr>
          <w:rFonts w:eastAsia="仿宋_GB2312"/>
          <w:kern w:val="0"/>
          <w:sz w:val="32"/>
          <w:szCs w:val="32"/>
        </w:rPr>
        <w:t>（三）工作失误造成较大损失的，出具的报告严重失实，误差率在±10%以上的。</w:t>
      </w:r>
    </w:p>
    <w:p>
      <w:pPr>
        <w:spacing w:line="590" w:lineRule="exact"/>
        <w:ind w:firstLine="640" w:firstLineChars="200"/>
        <w:jc w:val="left"/>
        <w:rPr>
          <w:rFonts w:eastAsia="仿宋_GB2312"/>
          <w:bCs/>
          <w:kern w:val="0"/>
          <w:sz w:val="32"/>
          <w:szCs w:val="32"/>
        </w:rPr>
      </w:pPr>
      <w:r>
        <w:rPr>
          <w:rFonts w:eastAsia="仿宋_GB2312"/>
          <w:bCs/>
          <w:kern w:val="0"/>
          <w:sz w:val="32"/>
          <w:szCs w:val="32"/>
        </w:rPr>
        <w:t>（四）违反廉政纪律或保密纪律规定，利用评审工作获取不正当利益的。</w:t>
      </w:r>
    </w:p>
    <w:p>
      <w:pPr>
        <w:spacing w:line="590" w:lineRule="exact"/>
        <w:ind w:firstLine="640" w:firstLineChars="200"/>
        <w:jc w:val="left"/>
        <w:rPr>
          <w:rFonts w:eastAsia="微软雅黑"/>
          <w:kern w:val="0"/>
          <w:szCs w:val="21"/>
        </w:rPr>
      </w:pPr>
      <w:r>
        <w:rPr>
          <w:rFonts w:eastAsia="仿宋_GB2312"/>
          <w:kern w:val="0"/>
          <w:sz w:val="32"/>
          <w:szCs w:val="32"/>
        </w:rPr>
        <w:t>（五）项目评审中隐瞒问题、弄虚作假、串通舞弊的。　</w:t>
      </w:r>
    </w:p>
    <w:p>
      <w:pPr>
        <w:spacing w:line="590" w:lineRule="exact"/>
        <w:ind w:firstLine="640" w:firstLineChars="200"/>
        <w:jc w:val="left"/>
        <w:rPr>
          <w:rFonts w:eastAsia="微软雅黑"/>
          <w:kern w:val="0"/>
          <w:szCs w:val="21"/>
        </w:rPr>
      </w:pPr>
      <w:r>
        <w:rPr>
          <w:rFonts w:eastAsia="仿宋_GB2312"/>
          <w:kern w:val="0"/>
          <w:sz w:val="32"/>
          <w:szCs w:val="32"/>
        </w:rPr>
        <w:t>（六）拒绝或转让其应履行的合同义务的。</w:t>
      </w:r>
    </w:p>
    <w:p>
      <w:pPr>
        <w:spacing w:line="590" w:lineRule="exact"/>
        <w:ind w:firstLine="640" w:firstLineChars="200"/>
        <w:jc w:val="left"/>
        <w:rPr>
          <w:rFonts w:eastAsia="微软雅黑"/>
          <w:kern w:val="0"/>
          <w:szCs w:val="21"/>
        </w:rPr>
      </w:pPr>
      <w:r>
        <w:rPr>
          <w:rFonts w:eastAsia="仿宋_GB2312"/>
          <w:kern w:val="0"/>
          <w:sz w:val="32"/>
          <w:szCs w:val="32"/>
        </w:rPr>
        <w:t>（七）违反投标承诺，没有严格执行相关质量、服务和收费标准的。</w:t>
      </w:r>
    </w:p>
    <w:p>
      <w:pPr>
        <w:spacing w:line="590" w:lineRule="exact"/>
        <w:ind w:firstLine="640" w:firstLineChars="200"/>
        <w:jc w:val="left"/>
        <w:rPr>
          <w:rFonts w:eastAsia="仿宋_GB2312"/>
          <w:color w:val="auto"/>
          <w:kern w:val="0"/>
          <w:sz w:val="32"/>
          <w:szCs w:val="32"/>
        </w:rPr>
      </w:pPr>
      <w:r>
        <w:rPr>
          <w:rFonts w:eastAsia="仿宋_GB2312"/>
          <w:kern w:val="0"/>
          <w:sz w:val="32"/>
          <w:szCs w:val="32"/>
        </w:rPr>
        <w:t>（八）有其他违法违规行为。</w:t>
      </w:r>
    </w:p>
    <w:p>
      <w:pPr>
        <w:spacing w:line="590" w:lineRule="exact"/>
        <w:ind w:firstLine="640" w:firstLineChars="200"/>
        <w:jc w:val="left"/>
        <w:rPr>
          <w:rFonts w:eastAsia="微软雅黑"/>
          <w:color w:val="auto"/>
          <w:kern w:val="0"/>
          <w:szCs w:val="21"/>
        </w:rPr>
      </w:pPr>
      <w:r>
        <w:rPr>
          <w:rFonts w:eastAsia="黑体"/>
          <w:color w:val="auto"/>
          <w:kern w:val="0"/>
          <w:sz w:val="32"/>
          <w:szCs w:val="32"/>
        </w:rPr>
        <w:t>第十七条</w:t>
      </w:r>
      <w:r>
        <w:rPr>
          <w:rFonts w:eastAsia="仿宋_GB2312"/>
          <w:color w:val="auto"/>
          <w:kern w:val="0"/>
          <w:sz w:val="32"/>
          <w:szCs w:val="32"/>
        </w:rPr>
        <w:t xml:space="preserve"> 对评审过程中的违规问题，市财评机构根据情节严重程度，按相关制度规定给予警告、通报批评、暂停项目委托、取消入库资格、扣减评审服务费，情节严重的、涉嫌违法的，移送司法机关处理。</w:t>
      </w:r>
    </w:p>
    <w:p>
      <w:pPr>
        <w:spacing w:line="590" w:lineRule="exact"/>
        <w:ind w:firstLine="640" w:firstLineChars="200"/>
        <w:jc w:val="left"/>
        <w:rPr>
          <w:rFonts w:eastAsia="仿宋_GB2312"/>
          <w:color w:val="auto"/>
          <w:kern w:val="0"/>
          <w:sz w:val="32"/>
          <w:szCs w:val="32"/>
        </w:rPr>
      </w:pPr>
      <w:r>
        <w:rPr>
          <w:rFonts w:eastAsia="黑体"/>
          <w:color w:val="auto"/>
          <w:kern w:val="0"/>
          <w:sz w:val="32"/>
          <w:szCs w:val="32"/>
        </w:rPr>
        <w:t>第十八条</w:t>
      </w:r>
      <w:r>
        <w:rPr>
          <w:rFonts w:eastAsia="仿宋_GB2312"/>
          <w:color w:val="auto"/>
          <w:kern w:val="0"/>
          <w:sz w:val="32"/>
          <w:szCs w:val="32"/>
        </w:rPr>
        <w:t xml:space="preserve"> 市财评机构在每一年度末对入库中介机构资质进行审查，如发现资质不符合本办法规定的，限期整改，未及时整改到位的，无条件取消入库资格。</w:t>
      </w:r>
    </w:p>
    <w:p>
      <w:pPr>
        <w:spacing w:line="590" w:lineRule="exact"/>
        <w:ind w:firstLine="640" w:firstLineChars="200"/>
        <w:jc w:val="left"/>
        <w:rPr>
          <w:rFonts w:eastAsia="微软雅黑"/>
          <w:kern w:val="0"/>
          <w:szCs w:val="21"/>
        </w:rPr>
      </w:pPr>
      <w:r>
        <w:rPr>
          <w:rFonts w:eastAsia="黑体"/>
          <w:color w:val="auto"/>
          <w:kern w:val="0"/>
          <w:sz w:val="32"/>
          <w:szCs w:val="32"/>
        </w:rPr>
        <w:t xml:space="preserve">第十九条 </w:t>
      </w:r>
      <w:r>
        <w:rPr>
          <w:rFonts w:eastAsia="仿宋_GB2312"/>
          <w:color w:val="auto"/>
          <w:kern w:val="0"/>
          <w:sz w:val="32"/>
          <w:szCs w:val="32"/>
        </w:rPr>
        <w:t>市财评机构对入库中介机构的评审纪律、评审程序、评审质量、评审效率进行监督管理，</w:t>
      </w:r>
      <w:r>
        <w:rPr>
          <w:rFonts w:eastAsia="仿宋_GB2312"/>
          <w:kern w:val="0"/>
          <w:sz w:val="32"/>
          <w:szCs w:val="32"/>
        </w:rPr>
        <w:t>对违纪、违法情况按照有关规定处理。</w:t>
      </w:r>
    </w:p>
    <w:p>
      <w:pPr>
        <w:spacing w:line="590" w:lineRule="exact"/>
        <w:ind w:left="601"/>
        <w:jc w:val="center"/>
        <w:rPr>
          <w:rFonts w:eastAsia="黑体"/>
          <w:color w:val="auto"/>
          <w:kern w:val="0"/>
          <w:sz w:val="32"/>
          <w:szCs w:val="32"/>
        </w:rPr>
      </w:pPr>
    </w:p>
    <w:p>
      <w:pPr>
        <w:spacing w:line="590" w:lineRule="exact"/>
        <w:ind w:left="601"/>
        <w:jc w:val="center"/>
        <w:rPr>
          <w:rFonts w:eastAsia="微软雅黑"/>
          <w:color w:val="auto"/>
          <w:kern w:val="0"/>
          <w:szCs w:val="21"/>
        </w:rPr>
      </w:pPr>
      <w:r>
        <w:rPr>
          <w:rFonts w:eastAsia="黑体"/>
          <w:color w:val="auto"/>
          <w:kern w:val="0"/>
          <w:sz w:val="32"/>
          <w:szCs w:val="32"/>
        </w:rPr>
        <w:t>第四章 中介机构的考核</w:t>
      </w:r>
    </w:p>
    <w:p>
      <w:pPr>
        <w:spacing w:line="590" w:lineRule="exact"/>
        <w:ind w:firstLine="640" w:firstLineChars="200"/>
        <w:jc w:val="left"/>
        <w:rPr>
          <w:rFonts w:eastAsia="微软雅黑"/>
          <w:color w:val="auto"/>
          <w:kern w:val="0"/>
          <w:szCs w:val="21"/>
        </w:rPr>
      </w:pPr>
      <w:r>
        <w:rPr>
          <w:rFonts w:eastAsia="黑体"/>
          <w:color w:val="auto"/>
          <w:kern w:val="0"/>
          <w:sz w:val="32"/>
          <w:szCs w:val="32"/>
        </w:rPr>
        <w:t>第二十条</w:t>
      </w:r>
      <w:r>
        <w:rPr>
          <w:rFonts w:eastAsia="仿宋_GB2312"/>
          <w:color w:val="auto"/>
          <w:kern w:val="0"/>
          <w:sz w:val="32"/>
          <w:szCs w:val="32"/>
        </w:rPr>
        <w:t xml:space="preserve"> 考核坚持“客观公正、实事求是、注重质量、促进管理”的原则。</w:t>
      </w:r>
    </w:p>
    <w:p>
      <w:pPr>
        <w:spacing w:line="590" w:lineRule="exact"/>
        <w:ind w:firstLine="640" w:firstLineChars="200"/>
        <w:jc w:val="left"/>
        <w:rPr>
          <w:rFonts w:eastAsia="仿宋_GB2312"/>
          <w:color w:val="auto"/>
          <w:kern w:val="0"/>
          <w:sz w:val="32"/>
          <w:szCs w:val="32"/>
        </w:rPr>
      </w:pPr>
      <w:r>
        <w:rPr>
          <w:rFonts w:eastAsia="黑体"/>
          <w:color w:val="auto"/>
          <w:kern w:val="0"/>
          <w:sz w:val="32"/>
          <w:szCs w:val="32"/>
        </w:rPr>
        <w:t>第二十一条</w:t>
      </w:r>
      <w:r>
        <w:rPr>
          <w:rFonts w:eastAsia="仿宋_GB2312"/>
          <w:color w:val="auto"/>
          <w:kern w:val="0"/>
          <w:sz w:val="32"/>
          <w:szCs w:val="32"/>
        </w:rPr>
        <w:t xml:space="preserve"> 考核方式及时间。实行日常项目考核、定期稽核、年度综合考核相结合。</w:t>
      </w:r>
    </w:p>
    <w:p>
      <w:pPr>
        <w:spacing w:line="590" w:lineRule="exact"/>
        <w:ind w:firstLine="640" w:firstLineChars="200"/>
        <w:jc w:val="left"/>
        <w:rPr>
          <w:rFonts w:eastAsia="仿宋_GB2312"/>
          <w:color w:val="auto"/>
          <w:kern w:val="0"/>
          <w:sz w:val="32"/>
          <w:szCs w:val="32"/>
        </w:rPr>
      </w:pPr>
      <w:r>
        <w:rPr>
          <w:rFonts w:eastAsia="仿宋_GB2312"/>
          <w:color w:val="auto"/>
          <w:kern w:val="0"/>
          <w:sz w:val="32"/>
          <w:szCs w:val="32"/>
        </w:rPr>
        <w:t>（一）日常项目考核。为单个项目的考核，于出具评审结论时进行打分，每季度汇总一次。</w:t>
      </w:r>
    </w:p>
    <w:p>
      <w:pPr>
        <w:spacing w:line="590" w:lineRule="exact"/>
        <w:ind w:firstLine="640" w:firstLineChars="200"/>
        <w:jc w:val="left"/>
        <w:rPr>
          <w:rFonts w:eastAsia="仿宋_GB2312"/>
          <w:color w:val="auto"/>
          <w:kern w:val="0"/>
          <w:sz w:val="32"/>
          <w:szCs w:val="32"/>
        </w:rPr>
      </w:pPr>
      <w:r>
        <w:rPr>
          <w:rFonts w:eastAsia="仿宋_GB2312"/>
          <w:color w:val="auto"/>
          <w:kern w:val="0"/>
          <w:sz w:val="32"/>
          <w:szCs w:val="32"/>
        </w:rPr>
        <w:t>（二）定期质量稽核。为阶段性评审业务质量稽核，每年不少于二次。</w:t>
      </w:r>
    </w:p>
    <w:p>
      <w:pPr>
        <w:spacing w:line="590" w:lineRule="exact"/>
        <w:ind w:firstLine="640" w:firstLineChars="200"/>
        <w:jc w:val="left"/>
        <w:rPr>
          <w:rFonts w:eastAsia="仿宋_GB2312"/>
          <w:color w:val="auto"/>
          <w:kern w:val="0"/>
          <w:sz w:val="32"/>
          <w:szCs w:val="32"/>
        </w:rPr>
      </w:pPr>
      <w:r>
        <w:rPr>
          <w:rFonts w:eastAsia="仿宋_GB2312"/>
          <w:color w:val="auto"/>
          <w:kern w:val="0"/>
          <w:sz w:val="32"/>
          <w:szCs w:val="32"/>
        </w:rPr>
        <w:t>（三）年度综合考核。为每年综合性考核，一年一次，根据年度综合考核情况评比出优秀、合格和不合格三个等次。</w:t>
      </w:r>
    </w:p>
    <w:p>
      <w:pPr>
        <w:spacing w:line="590" w:lineRule="exact"/>
        <w:ind w:firstLine="640" w:firstLineChars="200"/>
        <w:jc w:val="left"/>
        <w:rPr>
          <w:rFonts w:eastAsia="仿宋_GB2312"/>
          <w:color w:val="auto"/>
          <w:kern w:val="0"/>
          <w:sz w:val="32"/>
          <w:szCs w:val="32"/>
        </w:rPr>
      </w:pPr>
      <w:r>
        <w:rPr>
          <w:rFonts w:eastAsia="黑体"/>
          <w:color w:val="auto"/>
          <w:kern w:val="0"/>
          <w:sz w:val="32"/>
          <w:szCs w:val="32"/>
        </w:rPr>
        <w:t>第二十二条</w:t>
      </w:r>
      <w:r>
        <w:rPr>
          <w:rFonts w:eastAsia="仿宋_GB2312"/>
          <w:color w:val="auto"/>
          <w:kern w:val="0"/>
          <w:sz w:val="32"/>
          <w:szCs w:val="32"/>
        </w:rPr>
        <w:t xml:space="preserve"> 考核组织。</w:t>
      </w:r>
    </w:p>
    <w:p>
      <w:pPr>
        <w:spacing w:line="590" w:lineRule="exact"/>
        <w:ind w:firstLine="640" w:firstLineChars="200"/>
        <w:jc w:val="left"/>
        <w:rPr>
          <w:rFonts w:eastAsia="仿宋_GB2312"/>
          <w:color w:val="auto"/>
          <w:kern w:val="0"/>
          <w:sz w:val="32"/>
          <w:szCs w:val="32"/>
        </w:rPr>
      </w:pPr>
      <w:r>
        <w:rPr>
          <w:rFonts w:eastAsia="仿宋_GB2312"/>
          <w:color w:val="auto"/>
          <w:kern w:val="0"/>
          <w:sz w:val="32"/>
          <w:szCs w:val="32"/>
        </w:rPr>
        <w:t>（一）日常项目考核和定期质量稽核由市财评机构组织实施。年度综合考核由市财评机构、财政纪检监察机构及有关专家组成的考评小组组织实施。</w:t>
      </w:r>
    </w:p>
    <w:p>
      <w:pPr>
        <w:spacing w:line="590" w:lineRule="exact"/>
        <w:ind w:firstLine="640" w:firstLineChars="200"/>
        <w:jc w:val="left"/>
        <w:rPr>
          <w:rFonts w:eastAsia="仿宋_GB2312"/>
          <w:color w:val="auto"/>
          <w:kern w:val="0"/>
          <w:sz w:val="32"/>
          <w:szCs w:val="32"/>
        </w:rPr>
      </w:pPr>
      <w:r>
        <w:rPr>
          <w:rFonts w:eastAsia="仿宋_GB2312"/>
          <w:color w:val="auto"/>
          <w:kern w:val="0"/>
          <w:sz w:val="32"/>
          <w:szCs w:val="32"/>
        </w:rPr>
        <w:t>（二）中介机构应于收到财评机构定期质量稽核通知之日起七个工作日内将稽核所要资料提交市财评机构。</w:t>
      </w:r>
    </w:p>
    <w:p>
      <w:pPr>
        <w:spacing w:line="590" w:lineRule="exact"/>
        <w:ind w:firstLine="640" w:firstLineChars="200"/>
        <w:jc w:val="left"/>
        <w:rPr>
          <w:rFonts w:eastAsia="仿宋_GB2312"/>
          <w:color w:val="auto"/>
          <w:kern w:val="0"/>
          <w:sz w:val="32"/>
          <w:szCs w:val="32"/>
        </w:rPr>
      </w:pPr>
      <w:r>
        <w:rPr>
          <w:rFonts w:eastAsia="黑体"/>
          <w:color w:val="auto"/>
          <w:kern w:val="0"/>
          <w:sz w:val="32"/>
          <w:szCs w:val="32"/>
        </w:rPr>
        <w:t>第二十三条</w:t>
      </w:r>
      <w:r>
        <w:rPr>
          <w:rFonts w:eastAsia="仿宋_GB2312"/>
          <w:color w:val="auto"/>
          <w:kern w:val="0"/>
          <w:sz w:val="32"/>
          <w:szCs w:val="32"/>
        </w:rPr>
        <w:t xml:space="preserve"> 日常项目考核内容和程序。</w:t>
      </w:r>
    </w:p>
    <w:p>
      <w:pPr>
        <w:spacing w:line="590" w:lineRule="exact"/>
        <w:ind w:firstLine="640" w:firstLineChars="200"/>
        <w:jc w:val="left"/>
        <w:rPr>
          <w:rFonts w:eastAsia="仿宋_GB2312"/>
          <w:color w:val="auto"/>
          <w:kern w:val="0"/>
          <w:sz w:val="32"/>
          <w:szCs w:val="32"/>
        </w:rPr>
      </w:pPr>
      <w:r>
        <w:rPr>
          <w:rFonts w:eastAsia="仿宋_GB2312"/>
          <w:color w:val="auto"/>
          <w:kern w:val="0"/>
          <w:sz w:val="32"/>
          <w:szCs w:val="32"/>
        </w:rPr>
        <w:t>（一）日常项目考核是对单个委托项目的考核，考核内容及具体办法详见附件二。</w:t>
      </w:r>
    </w:p>
    <w:p>
      <w:pPr>
        <w:spacing w:line="590" w:lineRule="exact"/>
        <w:ind w:firstLine="640" w:firstLineChars="200"/>
        <w:jc w:val="left"/>
        <w:rPr>
          <w:rFonts w:eastAsia="仿宋_GB2312"/>
          <w:color w:val="auto"/>
          <w:kern w:val="0"/>
          <w:sz w:val="32"/>
          <w:szCs w:val="32"/>
        </w:rPr>
      </w:pPr>
      <w:r>
        <w:rPr>
          <w:rFonts w:eastAsia="仿宋_GB2312"/>
          <w:color w:val="auto"/>
          <w:kern w:val="0"/>
          <w:sz w:val="32"/>
          <w:szCs w:val="32"/>
        </w:rPr>
        <w:t>（二）中介机构出具的评审结论经市财评机构复审后，由项目复审责任人打分，经财评机构负责人审核后，报市财政局领导审批。</w:t>
      </w:r>
    </w:p>
    <w:p>
      <w:pPr>
        <w:spacing w:line="590" w:lineRule="exact"/>
        <w:ind w:firstLine="640" w:firstLineChars="200"/>
        <w:jc w:val="left"/>
        <w:rPr>
          <w:rFonts w:eastAsia="仿宋_GB2312"/>
          <w:color w:val="auto"/>
          <w:kern w:val="0"/>
          <w:sz w:val="32"/>
          <w:szCs w:val="32"/>
        </w:rPr>
      </w:pPr>
      <w:r>
        <w:rPr>
          <w:rFonts w:eastAsia="仿宋_GB2312"/>
          <w:color w:val="auto"/>
          <w:kern w:val="0"/>
          <w:sz w:val="32"/>
          <w:szCs w:val="32"/>
        </w:rPr>
        <w:t>（三）对单个项目得分按季度进行汇总和排序，于下季度第一个月公布。</w:t>
      </w:r>
    </w:p>
    <w:p>
      <w:pPr>
        <w:spacing w:line="590" w:lineRule="exact"/>
        <w:ind w:firstLine="640" w:firstLineChars="200"/>
        <w:jc w:val="left"/>
        <w:rPr>
          <w:rFonts w:eastAsia="仿宋_GB2312"/>
          <w:color w:val="auto"/>
          <w:kern w:val="0"/>
          <w:sz w:val="32"/>
          <w:szCs w:val="32"/>
        </w:rPr>
      </w:pPr>
      <w:r>
        <w:rPr>
          <w:rFonts w:eastAsia="仿宋_GB2312"/>
          <w:color w:val="auto"/>
          <w:kern w:val="0"/>
          <w:sz w:val="32"/>
          <w:szCs w:val="32"/>
        </w:rPr>
        <w:t>季度考核得分＝Σ单个项目得分/考核项目个数。</w:t>
      </w:r>
    </w:p>
    <w:p>
      <w:pPr>
        <w:spacing w:line="590" w:lineRule="exact"/>
        <w:ind w:firstLine="640" w:firstLineChars="200"/>
        <w:jc w:val="left"/>
        <w:rPr>
          <w:rFonts w:eastAsia="仿宋_GB2312"/>
          <w:color w:val="auto"/>
          <w:kern w:val="0"/>
          <w:sz w:val="32"/>
          <w:szCs w:val="32"/>
        </w:rPr>
      </w:pPr>
      <w:r>
        <w:rPr>
          <w:rFonts w:eastAsia="黑体"/>
          <w:color w:val="auto"/>
          <w:kern w:val="0"/>
          <w:sz w:val="32"/>
          <w:szCs w:val="32"/>
        </w:rPr>
        <w:t xml:space="preserve">第二十四条 </w:t>
      </w:r>
      <w:r>
        <w:rPr>
          <w:rFonts w:eastAsia="仿宋_GB2312"/>
          <w:color w:val="auto"/>
          <w:kern w:val="0"/>
          <w:sz w:val="32"/>
          <w:szCs w:val="32"/>
        </w:rPr>
        <w:t>定期稽核内容和程序。</w:t>
      </w:r>
    </w:p>
    <w:p>
      <w:pPr>
        <w:spacing w:line="590" w:lineRule="exact"/>
        <w:ind w:firstLine="640" w:firstLineChars="200"/>
        <w:jc w:val="left"/>
        <w:rPr>
          <w:rFonts w:eastAsia="仿宋_GB2312"/>
          <w:color w:val="auto"/>
          <w:kern w:val="0"/>
          <w:sz w:val="32"/>
          <w:szCs w:val="32"/>
        </w:rPr>
      </w:pPr>
      <w:r>
        <w:rPr>
          <w:rFonts w:eastAsia="仿宋_GB2312"/>
          <w:color w:val="auto"/>
          <w:kern w:val="0"/>
          <w:sz w:val="32"/>
          <w:szCs w:val="32"/>
        </w:rPr>
        <w:t>（一）对一个阶段内的委托评审项目及中介机构执行情况进行抽查，由财评机构或委托第三方进行质量稽核。</w:t>
      </w:r>
    </w:p>
    <w:p>
      <w:pPr>
        <w:spacing w:line="590" w:lineRule="exact"/>
        <w:ind w:firstLine="640" w:firstLineChars="200"/>
        <w:jc w:val="left"/>
        <w:rPr>
          <w:rFonts w:eastAsia="仿宋_GB2312"/>
          <w:color w:val="auto"/>
          <w:kern w:val="0"/>
          <w:sz w:val="32"/>
          <w:szCs w:val="32"/>
        </w:rPr>
      </w:pPr>
      <w:r>
        <w:rPr>
          <w:rFonts w:eastAsia="仿宋_GB2312"/>
          <w:color w:val="auto"/>
          <w:kern w:val="0"/>
          <w:sz w:val="32"/>
          <w:szCs w:val="32"/>
        </w:rPr>
        <w:t>（二）定期质量稽核内容及具体办法详见附件三。</w:t>
      </w:r>
    </w:p>
    <w:p>
      <w:pPr>
        <w:spacing w:line="590" w:lineRule="exact"/>
        <w:ind w:firstLine="640" w:firstLineChars="200"/>
        <w:jc w:val="left"/>
        <w:rPr>
          <w:rFonts w:eastAsia="仿宋_GB2312"/>
          <w:color w:val="auto"/>
          <w:kern w:val="0"/>
          <w:sz w:val="32"/>
          <w:szCs w:val="32"/>
        </w:rPr>
      </w:pPr>
      <w:r>
        <w:rPr>
          <w:rFonts w:eastAsia="黑体"/>
          <w:color w:val="auto"/>
          <w:kern w:val="0"/>
          <w:sz w:val="32"/>
          <w:szCs w:val="32"/>
        </w:rPr>
        <w:t>第二十五条</w:t>
      </w:r>
      <w:r>
        <w:rPr>
          <w:rFonts w:eastAsia="仿宋_GB2312"/>
          <w:color w:val="auto"/>
          <w:kern w:val="0"/>
          <w:sz w:val="32"/>
          <w:szCs w:val="32"/>
        </w:rPr>
        <w:t xml:space="preserve"> 年度综合考核。</w:t>
      </w:r>
    </w:p>
    <w:p>
      <w:pPr>
        <w:spacing w:line="590" w:lineRule="exact"/>
        <w:ind w:firstLine="640" w:firstLineChars="200"/>
        <w:jc w:val="left"/>
        <w:rPr>
          <w:rFonts w:eastAsia="仿宋_GB2312"/>
          <w:color w:val="auto"/>
          <w:kern w:val="0"/>
          <w:sz w:val="32"/>
          <w:szCs w:val="32"/>
        </w:rPr>
      </w:pPr>
      <w:r>
        <w:rPr>
          <w:rFonts w:eastAsia="仿宋_GB2312"/>
          <w:color w:val="auto"/>
          <w:kern w:val="0"/>
          <w:sz w:val="32"/>
          <w:szCs w:val="32"/>
        </w:rPr>
        <w:t>（一）年度综合考核实行百分制。</w:t>
      </w:r>
    </w:p>
    <w:p>
      <w:pPr>
        <w:spacing w:line="590" w:lineRule="exact"/>
        <w:ind w:firstLine="640" w:firstLineChars="200"/>
        <w:jc w:val="left"/>
        <w:rPr>
          <w:rFonts w:eastAsia="仿宋_GB2312"/>
          <w:color w:val="auto"/>
          <w:kern w:val="0"/>
          <w:sz w:val="32"/>
          <w:szCs w:val="32"/>
        </w:rPr>
      </w:pPr>
      <w:r>
        <w:rPr>
          <w:rFonts w:eastAsia="仿宋_GB2312"/>
          <w:color w:val="auto"/>
          <w:kern w:val="0"/>
          <w:sz w:val="32"/>
          <w:szCs w:val="32"/>
        </w:rPr>
        <w:t>年度综合考核得分=Σ年度内日常项目考核得分算术平均分值*40%－单项考核不合格项目扣分+Σ年度内定期质量稽核得分算术平均分值*30%计算+年度综合性考评部分得分。</w:t>
      </w:r>
    </w:p>
    <w:p>
      <w:pPr>
        <w:spacing w:line="590" w:lineRule="exact"/>
        <w:ind w:firstLine="640" w:firstLineChars="200"/>
        <w:jc w:val="left"/>
        <w:rPr>
          <w:rFonts w:eastAsia="仿宋_GB2312"/>
          <w:color w:val="auto"/>
          <w:kern w:val="0"/>
          <w:sz w:val="32"/>
          <w:szCs w:val="32"/>
        </w:rPr>
      </w:pPr>
      <w:r>
        <w:rPr>
          <w:rFonts w:eastAsia="仿宋_GB2312"/>
          <w:color w:val="auto"/>
          <w:kern w:val="0"/>
          <w:sz w:val="32"/>
          <w:szCs w:val="32"/>
        </w:rPr>
        <w:t>（二）单项考核不合格项目扣减分：单项考核得分低于70分的为不合格，每个不合格项目另扣2分，单项考核得0分的不合格项目，每个另扣5分（两项不重复扣减）。</w:t>
      </w:r>
    </w:p>
    <w:p>
      <w:pPr>
        <w:spacing w:line="590" w:lineRule="exact"/>
        <w:ind w:firstLine="640" w:firstLineChars="200"/>
        <w:jc w:val="left"/>
        <w:rPr>
          <w:rFonts w:eastAsia="仿宋_GB2312"/>
          <w:color w:val="auto"/>
          <w:kern w:val="0"/>
          <w:sz w:val="32"/>
          <w:szCs w:val="32"/>
        </w:rPr>
      </w:pPr>
      <w:r>
        <w:rPr>
          <w:rFonts w:eastAsia="仿宋_GB2312"/>
          <w:color w:val="auto"/>
          <w:kern w:val="0"/>
          <w:sz w:val="32"/>
          <w:szCs w:val="32"/>
        </w:rPr>
        <w:t>（二）年度综合考核内容及具体办法详见附件四。</w:t>
      </w:r>
    </w:p>
    <w:p>
      <w:pPr>
        <w:spacing w:line="590" w:lineRule="exact"/>
        <w:ind w:firstLine="640" w:firstLineChars="200"/>
        <w:jc w:val="left"/>
        <w:rPr>
          <w:rFonts w:eastAsia="仿宋_GB2312"/>
          <w:color w:val="auto"/>
          <w:kern w:val="0"/>
          <w:sz w:val="32"/>
          <w:szCs w:val="32"/>
        </w:rPr>
      </w:pPr>
      <w:r>
        <w:rPr>
          <w:rFonts w:eastAsia="仿宋_GB2312"/>
          <w:color w:val="auto"/>
          <w:kern w:val="0"/>
          <w:sz w:val="32"/>
          <w:szCs w:val="32"/>
        </w:rPr>
        <w:t>（二）年度综合考核结果分为“优秀”、“合格”、“不合格”三个等次。得分90分（含）以上的为优秀，90分以下70分（含）以上为合格，70分以下为不合格。</w:t>
      </w:r>
    </w:p>
    <w:p>
      <w:pPr>
        <w:spacing w:line="590" w:lineRule="exact"/>
        <w:ind w:firstLine="640" w:firstLineChars="200"/>
        <w:jc w:val="left"/>
        <w:rPr>
          <w:rFonts w:eastAsia="仿宋_GB2312"/>
          <w:color w:val="auto"/>
          <w:kern w:val="0"/>
          <w:sz w:val="32"/>
          <w:szCs w:val="32"/>
        </w:rPr>
      </w:pPr>
      <w:r>
        <w:rPr>
          <w:rFonts w:eastAsia="黑体"/>
          <w:color w:val="auto"/>
          <w:kern w:val="0"/>
          <w:sz w:val="32"/>
          <w:szCs w:val="32"/>
        </w:rPr>
        <w:t>第二十六条</w:t>
      </w:r>
      <w:r>
        <w:rPr>
          <w:rFonts w:eastAsia="仿宋_GB2312"/>
          <w:color w:val="auto"/>
          <w:kern w:val="0"/>
          <w:sz w:val="32"/>
          <w:szCs w:val="32"/>
        </w:rPr>
        <w:t xml:space="preserve"> 考核奖惩。</w:t>
      </w:r>
    </w:p>
    <w:p>
      <w:pPr>
        <w:spacing w:line="590" w:lineRule="exact"/>
        <w:ind w:firstLine="640" w:firstLineChars="200"/>
        <w:jc w:val="left"/>
        <w:rPr>
          <w:rFonts w:eastAsia="仿宋_GB2312"/>
          <w:color w:val="auto"/>
          <w:kern w:val="0"/>
          <w:sz w:val="32"/>
          <w:szCs w:val="32"/>
        </w:rPr>
      </w:pPr>
      <w:r>
        <w:rPr>
          <w:rFonts w:eastAsia="仿宋_GB2312"/>
          <w:color w:val="auto"/>
          <w:kern w:val="0"/>
          <w:sz w:val="32"/>
          <w:szCs w:val="32"/>
        </w:rPr>
        <w:t>（一）实行考核淘汰制。对登记备案的定点入库机构及其工作人员，考核中发生下列情形的，按照制度规定取消该中介机构剩余合同期内参加财评项目委托评审资格。</w:t>
      </w:r>
    </w:p>
    <w:p>
      <w:pPr>
        <w:spacing w:line="590" w:lineRule="exact"/>
        <w:ind w:left="0" w:firstLine="640" w:firstLineChars="200"/>
        <w:jc w:val="left"/>
        <w:rPr>
          <w:rFonts w:eastAsia="仿宋_GB2312"/>
          <w:color w:val="auto"/>
          <w:kern w:val="0"/>
          <w:sz w:val="32"/>
          <w:szCs w:val="32"/>
        </w:rPr>
      </w:pPr>
      <w:r>
        <w:rPr>
          <w:rFonts w:eastAsia="仿宋_GB2312"/>
          <w:color w:val="auto"/>
          <w:kern w:val="0"/>
          <w:sz w:val="32"/>
          <w:szCs w:val="32"/>
        </w:rPr>
        <w:t>（1）日常项目考核一年中2个（含）以上项目考核结果为70分以下的。</w:t>
      </w:r>
    </w:p>
    <w:p>
      <w:pPr>
        <w:spacing w:line="590" w:lineRule="exact"/>
        <w:ind w:left="0" w:firstLine="640" w:firstLineChars="200"/>
        <w:jc w:val="left"/>
        <w:rPr>
          <w:rFonts w:eastAsia="仿宋_GB2312"/>
          <w:color w:val="auto"/>
          <w:kern w:val="0"/>
          <w:sz w:val="32"/>
          <w:szCs w:val="32"/>
        </w:rPr>
      </w:pPr>
      <w:r>
        <w:rPr>
          <w:rFonts w:eastAsia="仿宋_GB2312"/>
          <w:color w:val="auto"/>
          <w:kern w:val="0"/>
          <w:sz w:val="32"/>
          <w:szCs w:val="32"/>
        </w:rPr>
        <w:t>（2）定期质量稽核结果为70分以下的。</w:t>
      </w:r>
    </w:p>
    <w:p>
      <w:pPr>
        <w:spacing w:line="590" w:lineRule="exact"/>
        <w:ind w:left="0" w:firstLine="640" w:firstLineChars="200"/>
        <w:jc w:val="left"/>
        <w:rPr>
          <w:rFonts w:eastAsia="仿宋_GB2312"/>
          <w:color w:val="auto"/>
          <w:kern w:val="0"/>
          <w:sz w:val="32"/>
          <w:szCs w:val="32"/>
        </w:rPr>
      </w:pPr>
      <w:r>
        <w:rPr>
          <w:rFonts w:eastAsia="仿宋_GB2312"/>
          <w:color w:val="auto"/>
          <w:kern w:val="0"/>
          <w:sz w:val="32"/>
          <w:szCs w:val="32"/>
        </w:rPr>
        <w:t>（3）年度综合考核结果为不合格的，或连续两年年度综合考核排名处于末位的。</w:t>
      </w:r>
    </w:p>
    <w:p>
      <w:pPr>
        <w:spacing w:line="590" w:lineRule="exact"/>
        <w:ind w:left="0" w:firstLine="640" w:firstLineChars="200"/>
        <w:jc w:val="left"/>
        <w:rPr>
          <w:rFonts w:eastAsia="仿宋_GB2312"/>
          <w:color w:val="auto"/>
          <w:kern w:val="0"/>
          <w:sz w:val="32"/>
          <w:szCs w:val="32"/>
        </w:rPr>
      </w:pPr>
      <w:r>
        <w:rPr>
          <w:rFonts w:eastAsia="仿宋_GB2312"/>
          <w:color w:val="auto"/>
          <w:kern w:val="0"/>
          <w:sz w:val="32"/>
          <w:szCs w:val="32"/>
        </w:rPr>
        <w:t>（4）其他规章制度规定的情形。</w:t>
      </w:r>
    </w:p>
    <w:p>
      <w:pPr>
        <w:spacing w:line="590" w:lineRule="exact"/>
        <w:ind w:firstLine="640" w:firstLineChars="200"/>
        <w:jc w:val="left"/>
        <w:rPr>
          <w:rFonts w:eastAsia="仿宋_GB2312"/>
          <w:color w:val="auto"/>
          <w:kern w:val="0"/>
          <w:sz w:val="32"/>
          <w:szCs w:val="32"/>
        </w:rPr>
      </w:pPr>
      <w:r>
        <w:rPr>
          <w:rFonts w:eastAsia="仿宋_GB2312"/>
          <w:color w:val="auto"/>
          <w:kern w:val="0"/>
          <w:sz w:val="32"/>
          <w:szCs w:val="32"/>
        </w:rPr>
        <w:t>（二）经过质量稽核，误差在±3%以上的，按以下比例扣减委托费：误差在±3-5%（含5%）的，扣除委托费的50%；误差在±5%-10%（含10%）的，扣除委托费的70%；误差在±10%以上的，扣除全部委托费，并没收其履约保证金及终止合同。</w:t>
      </w:r>
      <w:r>
        <w:rPr>
          <w:rFonts w:eastAsia="仿宋_GB2312"/>
          <w:color w:val="auto"/>
          <w:spacing w:val="-6"/>
          <w:kern w:val="0"/>
          <w:sz w:val="32"/>
          <w:szCs w:val="32"/>
        </w:rPr>
        <w:t>情况严重的，取消其以后财政投资项目评审业务的投标资格。</w:t>
      </w:r>
    </w:p>
    <w:p>
      <w:pPr>
        <w:spacing w:line="590" w:lineRule="exact"/>
        <w:ind w:firstLine="640" w:firstLineChars="200"/>
        <w:jc w:val="left"/>
        <w:rPr>
          <w:rFonts w:eastAsia="仿宋_GB2312"/>
          <w:color w:val="auto"/>
          <w:kern w:val="0"/>
          <w:sz w:val="32"/>
          <w:szCs w:val="32"/>
        </w:rPr>
      </w:pPr>
      <w:r>
        <w:rPr>
          <w:rFonts w:eastAsia="仿宋_GB2312"/>
          <w:color w:val="auto"/>
          <w:kern w:val="0"/>
          <w:sz w:val="32"/>
          <w:szCs w:val="32"/>
        </w:rPr>
        <w:t>（三）日常项目考核按季度汇总得分、定期质量稽核、年度综合考核排名前二名的中介机构奖励优先安排项目一次。</w:t>
      </w:r>
    </w:p>
    <w:p>
      <w:pPr>
        <w:spacing w:line="590" w:lineRule="exact"/>
        <w:ind w:firstLine="640" w:firstLineChars="200"/>
        <w:jc w:val="left"/>
        <w:rPr>
          <w:rFonts w:eastAsia="仿宋_GB2312"/>
          <w:color w:val="auto"/>
          <w:kern w:val="0"/>
          <w:sz w:val="32"/>
          <w:szCs w:val="32"/>
        </w:rPr>
      </w:pPr>
      <w:r>
        <w:rPr>
          <w:rFonts w:eastAsia="仿宋_GB2312"/>
          <w:color w:val="auto"/>
          <w:kern w:val="0"/>
          <w:sz w:val="32"/>
          <w:szCs w:val="32"/>
        </w:rPr>
        <w:t>（四）合同期内连续年度综合考核为优秀的，在参加下一轮招标采购时依法依规给予加分。</w:t>
      </w:r>
    </w:p>
    <w:p>
      <w:pPr>
        <w:spacing w:line="590" w:lineRule="exact"/>
        <w:jc w:val="center"/>
        <w:rPr>
          <w:rFonts w:eastAsia="黑体"/>
          <w:color w:val="auto"/>
          <w:kern w:val="0"/>
          <w:sz w:val="32"/>
          <w:szCs w:val="32"/>
        </w:rPr>
      </w:pPr>
    </w:p>
    <w:p>
      <w:pPr>
        <w:spacing w:line="590" w:lineRule="exact"/>
        <w:jc w:val="center"/>
        <w:rPr>
          <w:rFonts w:eastAsia="微软雅黑"/>
          <w:color w:val="auto"/>
          <w:kern w:val="0"/>
          <w:szCs w:val="21"/>
        </w:rPr>
      </w:pPr>
      <w:r>
        <w:rPr>
          <w:rFonts w:eastAsia="黑体"/>
          <w:color w:val="auto"/>
          <w:kern w:val="0"/>
          <w:sz w:val="32"/>
          <w:szCs w:val="32"/>
        </w:rPr>
        <w:t>第五章 附则</w:t>
      </w:r>
    </w:p>
    <w:p>
      <w:pPr>
        <w:spacing w:line="590" w:lineRule="exact"/>
        <w:ind w:firstLine="640" w:firstLineChars="200"/>
        <w:jc w:val="left"/>
        <w:rPr>
          <w:rFonts w:eastAsia="微软雅黑"/>
          <w:color w:val="auto"/>
          <w:kern w:val="0"/>
          <w:szCs w:val="21"/>
        </w:rPr>
      </w:pPr>
      <w:r>
        <w:rPr>
          <w:rFonts w:eastAsia="黑体"/>
          <w:color w:val="auto"/>
          <w:kern w:val="0"/>
          <w:sz w:val="32"/>
          <w:szCs w:val="32"/>
        </w:rPr>
        <w:t>第二十七条</w:t>
      </w:r>
      <w:r>
        <w:rPr>
          <w:rFonts w:eastAsia="仿宋_GB2312"/>
          <w:color w:val="auto"/>
          <w:kern w:val="0"/>
          <w:sz w:val="32"/>
          <w:szCs w:val="32"/>
        </w:rPr>
        <w:t xml:space="preserve"> 本办法公布前有关财政投资项目评审制度规定与本办法规定不同的，应遵照本办法执行。</w:t>
      </w:r>
    </w:p>
    <w:p>
      <w:pPr>
        <w:spacing w:line="590" w:lineRule="exact"/>
        <w:ind w:firstLine="640" w:firstLineChars="200"/>
        <w:jc w:val="left"/>
        <w:rPr>
          <w:rFonts w:eastAsia="微软雅黑"/>
          <w:color w:val="auto"/>
          <w:kern w:val="0"/>
          <w:szCs w:val="21"/>
        </w:rPr>
      </w:pPr>
      <w:r>
        <w:rPr>
          <w:rFonts w:eastAsia="黑体"/>
          <w:color w:val="auto"/>
          <w:kern w:val="0"/>
          <w:sz w:val="32"/>
          <w:szCs w:val="32"/>
        </w:rPr>
        <w:t xml:space="preserve">第二十八条 </w:t>
      </w:r>
      <w:r>
        <w:rPr>
          <w:rFonts w:eastAsia="仿宋_GB2312"/>
          <w:color w:val="auto"/>
          <w:kern w:val="0"/>
          <w:sz w:val="32"/>
          <w:szCs w:val="32"/>
        </w:rPr>
        <w:t>本办法自发布之日起正式实施。</w:t>
      </w:r>
    </w:p>
    <w:p>
      <w:pPr>
        <w:spacing w:line="590" w:lineRule="exact"/>
        <w:ind w:firstLine="627" w:firstLineChars="196"/>
        <w:rPr>
          <w:rFonts w:eastAsia="仿宋_GB2312"/>
          <w:color w:val="auto"/>
          <w:sz w:val="32"/>
        </w:rPr>
      </w:pPr>
    </w:p>
    <w:p>
      <w:pPr>
        <w:spacing w:line="590" w:lineRule="exact"/>
        <w:ind w:firstLine="601"/>
        <w:jc w:val="left"/>
        <w:rPr>
          <w:rFonts w:eastAsia="仿宋_GB2312"/>
          <w:color w:val="auto"/>
          <w:kern w:val="0"/>
          <w:sz w:val="32"/>
          <w:szCs w:val="32"/>
        </w:rPr>
      </w:pPr>
      <w:r>
        <w:rPr>
          <w:rFonts w:eastAsia="仿宋_GB2312"/>
          <w:color w:val="auto"/>
          <w:sz w:val="32"/>
        </w:rPr>
        <w:t>附件：</w:t>
      </w:r>
      <w:r>
        <w:rPr>
          <w:rFonts w:eastAsia="仿宋_GB2312"/>
          <w:color w:val="auto"/>
          <w:kern w:val="0"/>
          <w:sz w:val="32"/>
          <w:szCs w:val="32"/>
        </w:rPr>
        <w:t>1</w:t>
      </w:r>
      <w:r>
        <w:rPr>
          <w:rFonts w:eastAsia="仿宋_GB2312"/>
          <w:color w:val="auto"/>
          <w:sz w:val="32"/>
        </w:rPr>
        <w:t>.</w:t>
      </w:r>
      <w:r>
        <w:rPr>
          <w:rFonts w:hint="eastAsia" w:ascii="Times New Roman" w:hAnsi="Times New Roman" w:eastAsia="仿宋_GB2312" w:cs="Times New Roman"/>
          <w:bCs w:val="0"/>
          <w:kern w:val="0"/>
          <w:sz w:val="32"/>
          <w:szCs w:val="32"/>
          <w:lang w:bidi="ar-SA"/>
        </w:rPr>
        <w:t>岳阳市财政投资评审中心评审时限公开承诺</w:t>
      </w:r>
    </w:p>
    <w:p>
      <w:pPr>
        <w:spacing w:line="590" w:lineRule="exact"/>
        <w:ind w:firstLine="601"/>
        <w:jc w:val="left"/>
        <w:rPr>
          <w:rFonts w:eastAsia="仿宋_GB2312"/>
          <w:color w:val="auto"/>
          <w:kern w:val="0"/>
          <w:sz w:val="32"/>
          <w:szCs w:val="32"/>
        </w:rPr>
      </w:pPr>
      <w:r>
        <w:rPr>
          <w:rFonts w:eastAsia="仿宋_GB2312"/>
          <w:color w:val="auto"/>
          <w:kern w:val="0"/>
          <w:sz w:val="32"/>
          <w:szCs w:val="32"/>
        </w:rPr>
        <w:t xml:space="preserve">      2</w:t>
      </w:r>
      <w:r>
        <w:rPr>
          <w:rFonts w:eastAsia="仿宋_GB2312"/>
          <w:color w:val="auto"/>
          <w:sz w:val="32"/>
        </w:rPr>
        <w:t>.</w:t>
      </w:r>
      <w:r>
        <w:rPr>
          <w:rFonts w:eastAsia="仿宋_GB2312"/>
          <w:color w:val="auto"/>
          <w:kern w:val="0"/>
          <w:sz w:val="32"/>
          <w:szCs w:val="32"/>
        </w:rPr>
        <w:t>岳阳市财政</w:t>
      </w:r>
      <w:r>
        <w:rPr>
          <w:rFonts w:eastAsia="仿宋_GB2312"/>
          <w:bCs/>
          <w:color w:val="auto"/>
          <w:kern w:val="0"/>
          <w:sz w:val="32"/>
          <w:szCs w:val="32"/>
        </w:rPr>
        <w:t>投资评审</w:t>
      </w:r>
      <w:r>
        <w:rPr>
          <w:rFonts w:eastAsia="仿宋_GB2312"/>
          <w:color w:val="auto"/>
          <w:kern w:val="0"/>
          <w:sz w:val="32"/>
          <w:szCs w:val="32"/>
        </w:rPr>
        <w:t>单项业务考核表</w:t>
      </w:r>
    </w:p>
    <w:p>
      <w:pPr>
        <w:spacing w:line="590" w:lineRule="exact"/>
        <w:ind w:firstLine="1536" w:firstLineChars="480"/>
        <w:rPr>
          <w:color w:val="auto"/>
          <w:kern w:val="0"/>
          <w:sz w:val="24"/>
        </w:rPr>
      </w:pPr>
      <w:r>
        <w:rPr>
          <w:rFonts w:eastAsia="仿宋_GB2312"/>
          <w:color w:val="auto"/>
          <w:kern w:val="0"/>
          <w:sz w:val="32"/>
          <w:szCs w:val="32"/>
        </w:rPr>
        <w:t>3</w:t>
      </w:r>
      <w:r>
        <w:rPr>
          <w:rFonts w:eastAsia="仿宋_GB2312"/>
          <w:color w:val="auto"/>
          <w:sz w:val="32"/>
        </w:rPr>
        <w:t>.</w:t>
      </w:r>
      <w:r>
        <w:rPr>
          <w:rFonts w:eastAsia="仿宋_GB2312"/>
          <w:color w:val="auto"/>
          <w:kern w:val="0"/>
          <w:sz w:val="32"/>
          <w:szCs w:val="32"/>
        </w:rPr>
        <w:t>岳阳市财政投资评审定期质量稽核考评表</w:t>
      </w:r>
    </w:p>
    <w:p>
      <w:pPr>
        <w:spacing w:line="590" w:lineRule="exact"/>
        <w:ind w:firstLine="601"/>
        <w:jc w:val="left"/>
        <w:rPr>
          <w:rFonts w:eastAsia="仿宋_GB2312"/>
          <w:color w:val="auto"/>
          <w:kern w:val="0"/>
          <w:sz w:val="32"/>
          <w:szCs w:val="32"/>
        </w:rPr>
      </w:pPr>
      <w:r>
        <w:rPr>
          <w:rFonts w:eastAsia="仿宋_GB2312"/>
          <w:color w:val="auto"/>
          <w:kern w:val="0"/>
          <w:sz w:val="32"/>
          <w:szCs w:val="32"/>
        </w:rPr>
        <w:t xml:space="preserve">      4</w:t>
      </w:r>
      <w:r>
        <w:rPr>
          <w:rFonts w:eastAsia="仿宋_GB2312"/>
          <w:color w:val="auto"/>
          <w:sz w:val="32"/>
        </w:rPr>
        <w:t>.</w:t>
      </w:r>
      <w:r>
        <w:rPr>
          <w:rFonts w:eastAsia="仿宋_GB2312"/>
          <w:color w:val="auto"/>
          <w:kern w:val="0"/>
          <w:sz w:val="32"/>
          <w:szCs w:val="32"/>
        </w:rPr>
        <w:t>岳阳市财政</w:t>
      </w:r>
      <w:r>
        <w:rPr>
          <w:rFonts w:eastAsia="仿宋_GB2312"/>
          <w:bCs/>
          <w:color w:val="auto"/>
          <w:kern w:val="0"/>
          <w:sz w:val="32"/>
          <w:szCs w:val="32"/>
        </w:rPr>
        <w:t>投资评审年度综合考核表</w:t>
      </w:r>
    </w:p>
    <w:p>
      <w:pPr>
        <w:spacing w:line="590" w:lineRule="exact"/>
        <w:ind w:firstLine="601"/>
        <w:jc w:val="left"/>
        <w:rPr>
          <w:rFonts w:eastAsia="仿宋_GB2312"/>
          <w:color w:val="auto"/>
          <w:kern w:val="0"/>
          <w:sz w:val="32"/>
          <w:szCs w:val="32"/>
        </w:rPr>
      </w:pPr>
      <w:r>
        <w:rPr>
          <w:rFonts w:eastAsia="仿宋_GB2312"/>
          <w:color w:val="auto"/>
          <w:kern w:val="0"/>
          <w:sz w:val="32"/>
          <w:szCs w:val="32"/>
        </w:rPr>
        <w:t xml:space="preserve">      5</w:t>
      </w:r>
      <w:r>
        <w:rPr>
          <w:rFonts w:eastAsia="仿宋_GB2312"/>
          <w:color w:val="auto"/>
          <w:sz w:val="32"/>
        </w:rPr>
        <w:t>.</w:t>
      </w:r>
      <w:r>
        <w:rPr>
          <w:rFonts w:eastAsia="仿宋_GB2312"/>
          <w:color w:val="auto"/>
          <w:kern w:val="0"/>
          <w:sz w:val="32"/>
          <w:szCs w:val="32"/>
        </w:rPr>
        <w:t>岳阳市财政投资评审中心项目评审延期审批表</w:t>
      </w:r>
    </w:p>
    <w:p>
      <w:pPr>
        <w:spacing w:line="640" w:lineRule="exact"/>
        <w:ind w:firstLine="627" w:firstLineChars="196"/>
        <w:rPr>
          <w:rFonts w:hint="eastAsia" w:ascii="仿宋_GB2312" w:eastAsia="仿宋_GB2312"/>
          <w:color w:val="000000"/>
          <w:sz w:val="32"/>
        </w:rPr>
      </w:pPr>
    </w:p>
    <w:p>
      <w:pPr>
        <w:spacing w:line="640" w:lineRule="exact"/>
        <w:ind w:firstLine="627" w:firstLineChars="196"/>
        <w:rPr>
          <w:rFonts w:hint="eastAsia" w:ascii="仿宋_GB2312" w:eastAsia="仿宋_GB2312"/>
          <w:color w:val="000000"/>
          <w:sz w:val="32"/>
        </w:rPr>
      </w:pPr>
    </w:p>
    <w:p>
      <w:pPr>
        <w:spacing w:line="640" w:lineRule="exact"/>
        <w:ind w:firstLine="627" w:firstLineChars="196"/>
        <w:rPr>
          <w:rFonts w:hint="eastAsia" w:ascii="仿宋_GB2312" w:eastAsia="仿宋_GB2312"/>
          <w:color w:val="000000"/>
          <w:sz w:val="32"/>
        </w:rPr>
      </w:pPr>
    </w:p>
    <w:p>
      <w:pPr>
        <w:spacing w:line="640" w:lineRule="exact"/>
        <w:ind w:firstLine="627" w:firstLineChars="196"/>
        <w:rPr>
          <w:rFonts w:hint="eastAsia" w:ascii="仿宋_GB2312" w:eastAsia="仿宋_GB2312"/>
          <w:color w:val="000000"/>
          <w:sz w:val="32"/>
        </w:rPr>
      </w:pPr>
    </w:p>
    <w:p>
      <w:pPr>
        <w:spacing w:line="640" w:lineRule="exact"/>
        <w:ind w:firstLine="627" w:firstLineChars="196"/>
        <w:rPr>
          <w:rFonts w:hint="eastAsia" w:ascii="仿宋_GB2312" w:eastAsia="仿宋_GB2312"/>
          <w:color w:val="000000"/>
          <w:sz w:val="32"/>
        </w:rPr>
      </w:pPr>
    </w:p>
    <w:p>
      <w:pPr>
        <w:spacing w:line="640" w:lineRule="exact"/>
        <w:ind w:firstLine="627" w:firstLineChars="196"/>
        <w:rPr>
          <w:rFonts w:hint="eastAsia" w:ascii="仿宋_GB2312" w:eastAsia="仿宋_GB2312"/>
          <w:color w:val="000000"/>
          <w:sz w:val="32"/>
        </w:rPr>
      </w:pPr>
    </w:p>
    <w:p>
      <w:pPr>
        <w:spacing w:line="640" w:lineRule="exact"/>
        <w:ind w:firstLine="627" w:firstLineChars="196"/>
        <w:rPr>
          <w:rFonts w:hint="eastAsia" w:ascii="仿宋_GB2312" w:eastAsia="仿宋_GB2312"/>
          <w:color w:val="000000"/>
          <w:sz w:val="32"/>
        </w:rPr>
      </w:pPr>
    </w:p>
    <w:p>
      <w:pPr>
        <w:spacing w:line="640" w:lineRule="exact"/>
        <w:ind w:firstLine="627" w:firstLineChars="196"/>
        <w:rPr>
          <w:rFonts w:hint="eastAsia" w:ascii="仿宋_GB2312" w:eastAsia="仿宋_GB2312"/>
          <w:color w:val="000000"/>
          <w:sz w:val="32"/>
        </w:rPr>
      </w:pPr>
    </w:p>
    <w:p>
      <w:pPr>
        <w:spacing w:line="640" w:lineRule="exact"/>
        <w:ind w:firstLine="627" w:firstLineChars="196"/>
        <w:rPr>
          <w:rFonts w:hint="eastAsia" w:ascii="仿宋_GB2312" w:eastAsia="仿宋_GB2312"/>
          <w:color w:val="000000"/>
          <w:sz w:val="32"/>
        </w:rPr>
      </w:pPr>
    </w:p>
    <w:p>
      <w:pPr>
        <w:widowControl/>
        <w:rPr>
          <w:rFonts w:ascii="黑体" w:hAnsi="宋体" w:eastAsia="黑体" w:cs="宋体"/>
          <w:bCs/>
          <w:kern w:val="0"/>
          <w:sz w:val="32"/>
          <w:szCs w:val="32"/>
        </w:rPr>
      </w:pPr>
      <w:r>
        <w:rPr>
          <w:rFonts w:hint="eastAsia" w:ascii="黑体" w:hAnsi="宋体" w:eastAsia="黑体" w:cs="宋体"/>
          <w:bCs/>
          <w:kern w:val="0"/>
          <w:sz w:val="32"/>
          <w:szCs w:val="32"/>
        </w:rPr>
        <w:t>附件1</w:t>
      </w:r>
    </w:p>
    <w:p>
      <w:pPr>
        <w:spacing w:before="156" w:beforeLines="50" w:after="156" w:afterLines="50" w:line="560" w:lineRule="exact"/>
        <w:jc w:val="center"/>
        <w:rPr>
          <w:rFonts w:hint="eastAsia" w:ascii="方正小标宋简体" w:hAnsi="宋体" w:eastAsia="方正小标宋简体" w:cs="宋体"/>
          <w:bCs/>
          <w:kern w:val="0"/>
          <w:sz w:val="40"/>
          <w:szCs w:val="40"/>
          <w:lang w:bidi="ar"/>
        </w:rPr>
      </w:pPr>
      <w:r>
        <w:rPr>
          <w:rFonts w:hint="eastAsia" w:ascii="方正小标宋简体" w:hAnsi="宋体" w:eastAsia="方正小标宋简体" w:cs="宋体"/>
          <w:bCs/>
          <w:kern w:val="0"/>
          <w:sz w:val="40"/>
          <w:szCs w:val="40"/>
          <w:lang w:bidi="ar"/>
        </w:rPr>
        <w:t>岳阳市财政投资评审中心评审时限公开承诺</w:t>
      </w:r>
    </w:p>
    <w:p>
      <w:pPr>
        <w:spacing w:line="560" w:lineRule="exact"/>
        <w:jc w:val="center"/>
        <w:rPr>
          <w:rFonts w:hint="eastAsia" w:ascii="宋体" w:hAnsi="宋体" w:cs="宋体"/>
          <w:b/>
          <w:bCs/>
          <w:kern w:val="0"/>
          <w:sz w:val="44"/>
          <w:szCs w:val="44"/>
          <w:lang w:bidi="ar"/>
        </w:rPr>
      </w:pPr>
    </w:p>
    <w:tbl>
      <w:tblPr>
        <w:tblStyle w:val="5"/>
        <w:tblW w:w="9000" w:type="dxa"/>
        <w:tblInd w:w="-72" w:type="dxa"/>
        <w:tblLayout w:type="fixed"/>
        <w:tblCellMar>
          <w:top w:w="0" w:type="dxa"/>
          <w:left w:w="108" w:type="dxa"/>
          <w:bottom w:w="0" w:type="dxa"/>
          <w:right w:w="108" w:type="dxa"/>
        </w:tblCellMar>
      </w:tblPr>
      <w:tblGrid>
        <w:gridCol w:w="3421"/>
        <w:gridCol w:w="2879"/>
        <w:gridCol w:w="2700"/>
      </w:tblGrid>
      <w:tr>
        <w:tblPrEx>
          <w:tblLayout w:type="fixed"/>
          <w:tblCellMar>
            <w:top w:w="0" w:type="dxa"/>
            <w:left w:w="108" w:type="dxa"/>
            <w:bottom w:w="0" w:type="dxa"/>
            <w:right w:w="108" w:type="dxa"/>
          </w:tblCellMar>
        </w:tblPrEx>
        <w:trPr>
          <w:trHeight w:val="740" w:hRule="atLeast"/>
        </w:trPr>
        <w:tc>
          <w:tcPr>
            <w:tcW w:w="3421" w:type="dxa"/>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center"/>
              <w:rPr>
                <w:rFonts w:hint="eastAsia" w:ascii="仿宋_GB2312" w:hAnsi="宋体" w:eastAsia="仿宋_GB2312" w:cs="宋体"/>
                <w:b/>
                <w:kern w:val="0"/>
                <w:sz w:val="24"/>
              </w:rPr>
            </w:pPr>
            <w:r>
              <w:rPr>
                <w:rFonts w:hint="eastAsia" w:ascii="仿宋_GB2312" w:hAnsi="宋体" w:eastAsia="仿宋_GB2312" w:cs="宋体"/>
                <w:b/>
                <w:kern w:val="0"/>
                <w:sz w:val="24"/>
              </w:rPr>
              <w:t>单项工程投资送审金额</w:t>
            </w:r>
          </w:p>
        </w:tc>
        <w:tc>
          <w:tcPr>
            <w:tcW w:w="2879" w:type="dxa"/>
            <w:tcBorders>
              <w:top w:val="single" w:color="auto" w:sz="4" w:space="0"/>
              <w:left w:val="nil"/>
              <w:bottom w:val="single" w:color="auto" w:sz="4" w:space="0"/>
              <w:right w:val="single" w:color="auto" w:sz="4" w:space="0"/>
            </w:tcBorders>
            <w:vAlign w:val="center"/>
          </w:tcPr>
          <w:p>
            <w:pPr>
              <w:snapToGrid w:val="0"/>
              <w:spacing w:line="264" w:lineRule="auto"/>
              <w:jc w:val="center"/>
              <w:rPr>
                <w:rFonts w:hint="eastAsia" w:ascii="仿宋_GB2312" w:hAnsi="宋体" w:eastAsia="仿宋_GB2312" w:cs="宋体"/>
                <w:b/>
                <w:kern w:val="0"/>
                <w:sz w:val="24"/>
              </w:rPr>
            </w:pPr>
            <w:r>
              <w:rPr>
                <w:rFonts w:hint="eastAsia" w:ascii="仿宋_GB2312" w:hAnsi="宋体" w:eastAsia="仿宋_GB2312" w:cs="宋体"/>
                <w:b/>
                <w:kern w:val="0"/>
                <w:sz w:val="24"/>
              </w:rPr>
              <w:t>完成初稿通知核对时间</w:t>
            </w:r>
          </w:p>
        </w:tc>
        <w:tc>
          <w:tcPr>
            <w:tcW w:w="2700" w:type="dxa"/>
            <w:tcBorders>
              <w:top w:val="single" w:color="auto" w:sz="4" w:space="0"/>
              <w:left w:val="nil"/>
              <w:bottom w:val="single" w:color="auto" w:sz="4" w:space="0"/>
              <w:right w:val="single" w:color="auto" w:sz="4" w:space="0"/>
            </w:tcBorders>
            <w:vAlign w:val="center"/>
          </w:tcPr>
          <w:p>
            <w:pPr>
              <w:snapToGrid w:val="0"/>
              <w:spacing w:line="264" w:lineRule="auto"/>
              <w:jc w:val="center"/>
              <w:rPr>
                <w:rFonts w:hint="eastAsia" w:ascii="仿宋_GB2312" w:hAnsi="宋体" w:eastAsia="仿宋_GB2312" w:cs="宋体"/>
                <w:b/>
                <w:kern w:val="0"/>
                <w:sz w:val="24"/>
              </w:rPr>
            </w:pPr>
            <w:r>
              <w:rPr>
                <w:rFonts w:hint="eastAsia" w:ascii="仿宋_GB2312" w:hAnsi="宋体" w:eastAsia="仿宋_GB2312" w:cs="宋体"/>
                <w:b/>
                <w:kern w:val="0"/>
                <w:sz w:val="24"/>
              </w:rPr>
              <w:t>完成正稿通知核对</w:t>
            </w:r>
          </w:p>
          <w:p>
            <w:pPr>
              <w:snapToGrid w:val="0"/>
              <w:spacing w:line="264" w:lineRule="auto"/>
              <w:jc w:val="center"/>
              <w:rPr>
                <w:rFonts w:hint="eastAsia" w:ascii="仿宋_GB2312" w:hAnsi="宋体" w:eastAsia="仿宋_GB2312" w:cs="宋体"/>
                <w:b/>
                <w:kern w:val="0"/>
                <w:sz w:val="24"/>
              </w:rPr>
            </w:pPr>
            <w:r>
              <w:rPr>
                <w:rFonts w:hint="eastAsia" w:ascii="仿宋_GB2312" w:hAnsi="宋体" w:eastAsia="仿宋_GB2312" w:cs="宋体"/>
                <w:b/>
                <w:kern w:val="0"/>
                <w:sz w:val="24"/>
              </w:rPr>
              <w:t>确认时间</w:t>
            </w:r>
          </w:p>
        </w:tc>
      </w:tr>
      <w:tr>
        <w:tblPrEx>
          <w:tblLayout w:type="fixed"/>
          <w:tblCellMar>
            <w:top w:w="0" w:type="dxa"/>
            <w:left w:w="108" w:type="dxa"/>
            <w:bottom w:w="0" w:type="dxa"/>
            <w:right w:w="108" w:type="dxa"/>
          </w:tblCellMar>
        </w:tblPrEx>
        <w:trPr>
          <w:trHeight w:val="510" w:hRule="atLeast"/>
        </w:trPr>
        <w:tc>
          <w:tcPr>
            <w:tcW w:w="9000" w:type="dxa"/>
            <w:gridSpan w:val="3"/>
            <w:tcBorders>
              <w:top w:val="nil"/>
              <w:left w:val="single" w:color="auto" w:sz="4" w:space="0"/>
              <w:bottom w:val="single" w:color="auto" w:sz="4" w:space="0"/>
              <w:right w:val="single" w:color="auto" w:sz="4" w:space="0"/>
            </w:tcBorders>
            <w:vAlign w:val="center"/>
          </w:tcPr>
          <w:p>
            <w:pPr>
              <w:snapToGrid w:val="0"/>
              <w:spacing w:line="264" w:lineRule="auto"/>
              <w:jc w:val="left"/>
              <w:rPr>
                <w:rFonts w:hint="eastAsia" w:ascii="仿宋_GB2312" w:hAnsi="宋体" w:eastAsia="仿宋_GB2312" w:cs="宋体"/>
                <w:bCs/>
                <w:kern w:val="0"/>
                <w:sz w:val="24"/>
              </w:rPr>
            </w:pPr>
            <w:r>
              <w:rPr>
                <w:rFonts w:hint="eastAsia" w:ascii="仿宋_GB2312" w:hAnsi="宋体" w:eastAsia="仿宋_GB2312" w:cs="宋体"/>
                <w:bCs/>
                <w:kern w:val="0"/>
                <w:sz w:val="24"/>
              </w:rPr>
              <w:t>一、工程概算或预算项目</w:t>
            </w:r>
          </w:p>
        </w:tc>
      </w:tr>
      <w:tr>
        <w:tblPrEx>
          <w:tblLayout w:type="fixed"/>
          <w:tblCellMar>
            <w:top w:w="0" w:type="dxa"/>
            <w:left w:w="108" w:type="dxa"/>
            <w:bottom w:w="0" w:type="dxa"/>
            <w:right w:w="108" w:type="dxa"/>
          </w:tblCellMar>
        </w:tblPrEx>
        <w:trPr>
          <w:trHeight w:val="567" w:hRule="atLeast"/>
        </w:trPr>
        <w:tc>
          <w:tcPr>
            <w:tcW w:w="3421" w:type="dxa"/>
            <w:tcBorders>
              <w:top w:val="nil"/>
              <w:left w:val="single" w:color="auto" w:sz="4" w:space="0"/>
              <w:bottom w:val="single" w:color="auto" w:sz="4" w:space="0"/>
              <w:right w:val="single" w:color="auto" w:sz="4" w:space="0"/>
            </w:tcBorders>
            <w:vAlign w:val="center"/>
          </w:tcPr>
          <w:p>
            <w:pPr>
              <w:snapToGrid w:val="0"/>
              <w:spacing w:line="264" w:lineRule="auto"/>
              <w:rPr>
                <w:rFonts w:hint="eastAsia" w:ascii="仿宋_GB2312" w:hAnsi="宋体" w:eastAsia="仿宋_GB2312"/>
                <w:kern w:val="0"/>
                <w:sz w:val="24"/>
              </w:rPr>
            </w:pPr>
            <w:r>
              <w:rPr>
                <w:rFonts w:hint="eastAsia" w:ascii="仿宋_GB2312" w:hAnsi="宋体" w:eastAsia="仿宋_GB2312"/>
                <w:kern w:val="0"/>
                <w:sz w:val="24"/>
              </w:rPr>
              <w:t>1、投资2000万元以内</w:t>
            </w:r>
          </w:p>
        </w:tc>
        <w:tc>
          <w:tcPr>
            <w:tcW w:w="2879" w:type="dxa"/>
            <w:tcBorders>
              <w:top w:val="nil"/>
              <w:left w:val="nil"/>
              <w:bottom w:val="single" w:color="auto" w:sz="4" w:space="0"/>
              <w:right w:val="single" w:color="auto" w:sz="4" w:space="0"/>
            </w:tcBorders>
            <w:vAlign w:val="center"/>
          </w:tcPr>
          <w:p>
            <w:pPr>
              <w:snapToGrid w:val="0"/>
              <w:spacing w:line="264" w:lineRule="auto"/>
              <w:jc w:val="left"/>
              <w:rPr>
                <w:rFonts w:hint="eastAsia" w:ascii="仿宋_GB2312" w:hAnsi="宋体" w:eastAsia="仿宋_GB2312"/>
                <w:kern w:val="0"/>
                <w:sz w:val="24"/>
              </w:rPr>
            </w:pPr>
            <w:r>
              <w:rPr>
                <w:rFonts w:hint="eastAsia" w:ascii="仿宋_GB2312" w:hAnsi="宋体" w:eastAsia="仿宋_GB2312"/>
                <w:kern w:val="0"/>
                <w:sz w:val="24"/>
              </w:rPr>
              <w:t>11个工作日</w:t>
            </w:r>
          </w:p>
        </w:tc>
        <w:tc>
          <w:tcPr>
            <w:tcW w:w="2700" w:type="dxa"/>
            <w:tcBorders>
              <w:top w:val="nil"/>
              <w:left w:val="nil"/>
              <w:bottom w:val="single" w:color="auto" w:sz="4" w:space="0"/>
              <w:right w:val="single" w:color="auto" w:sz="4" w:space="0"/>
            </w:tcBorders>
            <w:vAlign w:val="center"/>
          </w:tcPr>
          <w:p>
            <w:pPr>
              <w:snapToGrid w:val="0"/>
              <w:spacing w:line="264" w:lineRule="auto"/>
              <w:jc w:val="left"/>
              <w:rPr>
                <w:rFonts w:hint="eastAsia" w:ascii="仿宋_GB2312" w:hAnsi="宋体" w:eastAsia="仿宋_GB2312"/>
                <w:kern w:val="0"/>
                <w:sz w:val="24"/>
              </w:rPr>
            </w:pPr>
            <w:r>
              <w:rPr>
                <w:rFonts w:hint="eastAsia" w:ascii="仿宋_GB2312" w:hAnsi="宋体" w:eastAsia="仿宋_GB2312"/>
                <w:kern w:val="0"/>
                <w:sz w:val="24"/>
              </w:rPr>
              <w:t>19个工作日</w:t>
            </w:r>
          </w:p>
        </w:tc>
      </w:tr>
      <w:tr>
        <w:tblPrEx>
          <w:tblLayout w:type="fixed"/>
          <w:tblCellMar>
            <w:top w:w="0" w:type="dxa"/>
            <w:left w:w="108" w:type="dxa"/>
            <w:bottom w:w="0" w:type="dxa"/>
            <w:right w:w="108" w:type="dxa"/>
          </w:tblCellMar>
        </w:tblPrEx>
        <w:trPr>
          <w:trHeight w:val="567" w:hRule="atLeast"/>
        </w:trPr>
        <w:tc>
          <w:tcPr>
            <w:tcW w:w="3421" w:type="dxa"/>
            <w:tcBorders>
              <w:top w:val="nil"/>
              <w:left w:val="single" w:color="auto" w:sz="4" w:space="0"/>
              <w:bottom w:val="single" w:color="auto" w:sz="4" w:space="0"/>
              <w:right w:val="single" w:color="auto" w:sz="4" w:space="0"/>
            </w:tcBorders>
            <w:vAlign w:val="center"/>
          </w:tcPr>
          <w:p>
            <w:pPr>
              <w:snapToGrid w:val="0"/>
              <w:spacing w:line="264" w:lineRule="auto"/>
              <w:rPr>
                <w:rFonts w:hint="eastAsia" w:ascii="仿宋_GB2312" w:hAnsi="宋体" w:eastAsia="仿宋_GB2312"/>
                <w:kern w:val="0"/>
                <w:sz w:val="24"/>
              </w:rPr>
            </w:pPr>
            <w:r>
              <w:rPr>
                <w:rFonts w:hint="eastAsia" w:ascii="仿宋_GB2312" w:hAnsi="宋体" w:eastAsia="仿宋_GB2312"/>
                <w:kern w:val="0"/>
                <w:sz w:val="24"/>
              </w:rPr>
              <w:t>2、投资2000-5000万元</w:t>
            </w:r>
          </w:p>
        </w:tc>
        <w:tc>
          <w:tcPr>
            <w:tcW w:w="2879" w:type="dxa"/>
            <w:tcBorders>
              <w:top w:val="nil"/>
              <w:left w:val="nil"/>
              <w:bottom w:val="single" w:color="auto" w:sz="4" w:space="0"/>
              <w:right w:val="single" w:color="auto" w:sz="4" w:space="0"/>
            </w:tcBorders>
            <w:vAlign w:val="center"/>
          </w:tcPr>
          <w:p>
            <w:pPr>
              <w:snapToGrid w:val="0"/>
              <w:spacing w:line="264" w:lineRule="auto"/>
              <w:jc w:val="left"/>
              <w:rPr>
                <w:rFonts w:hint="eastAsia" w:ascii="仿宋_GB2312" w:hAnsi="宋体" w:eastAsia="仿宋_GB2312"/>
                <w:kern w:val="0"/>
                <w:sz w:val="24"/>
              </w:rPr>
            </w:pPr>
            <w:r>
              <w:rPr>
                <w:rFonts w:hint="eastAsia" w:ascii="仿宋_GB2312" w:hAnsi="宋体" w:eastAsia="仿宋_GB2312"/>
                <w:kern w:val="0"/>
                <w:sz w:val="24"/>
              </w:rPr>
              <w:t>15个工作日</w:t>
            </w:r>
          </w:p>
        </w:tc>
        <w:tc>
          <w:tcPr>
            <w:tcW w:w="2700" w:type="dxa"/>
            <w:tcBorders>
              <w:top w:val="nil"/>
              <w:left w:val="nil"/>
              <w:bottom w:val="single" w:color="auto" w:sz="4" w:space="0"/>
              <w:right w:val="single" w:color="auto" w:sz="4" w:space="0"/>
            </w:tcBorders>
            <w:vAlign w:val="center"/>
          </w:tcPr>
          <w:p>
            <w:pPr>
              <w:snapToGrid w:val="0"/>
              <w:spacing w:line="264" w:lineRule="auto"/>
              <w:jc w:val="left"/>
              <w:rPr>
                <w:rFonts w:hint="eastAsia" w:ascii="仿宋_GB2312" w:hAnsi="宋体" w:eastAsia="仿宋_GB2312"/>
                <w:kern w:val="0"/>
                <w:sz w:val="24"/>
              </w:rPr>
            </w:pPr>
            <w:r>
              <w:rPr>
                <w:rFonts w:hint="eastAsia" w:ascii="仿宋_GB2312" w:hAnsi="宋体" w:eastAsia="仿宋_GB2312"/>
                <w:kern w:val="0"/>
                <w:sz w:val="24"/>
              </w:rPr>
              <w:t>24个工作日</w:t>
            </w:r>
          </w:p>
        </w:tc>
      </w:tr>
      <w:tr>
        <w:tblPrEx>
          <w:tblLayout w:type="fixed"/>
          <w:tblCellMar>
            <w:top w:w="0" w:type="dxa"/>
            <w:left w:w="108" w:type="dxa"/>
            <w:bottom w:w="0" w:type="dxa"/>
            <w:right w:w="108" w:type="dxa"/>
          </w:tblCellMar>
        </w:tblPrEx>
        <w:trPr>
          <w:trHeight w:val="567" w:hRule="atLeast"/>
        </w:trPr>
        <w:tc>
          <w:tcPr>
            <w:tcW w:w="3421" w:type="dxa"/>
            <w:tcBorders>
              <w:top w:val="nil"/>
              <w:left w:val="single" w:color="auto" w:sz="4" w:space="0"/>
              <w:bottom w:val="single" w:color="auto" w:sz="4" w:space="0"/>
              <w:right w:val="single" w:color="auto" w:sz="4" w:space="0"/>
            </w:tcBorders>
            <w:vAlign w:val="center"/>
          </w:tcPr>
          <w:p>
            <w:pPr>
              <w:snapToGrid w:val="0"/>
              <w:spacing w:line="264" w:lineRule="auto"/>
              <w:rPr>
                <w:rFonts w:hint="eastAsia" w:ascii="仿宋_GB2312" w:hAnsi="宋体" w:eastAsia="仿宋_GB2312"/>
                <w:kern w:val="0"/>
                <w:sz w:val="24"/>
              </w:rPr>
            </w:pPr>
            <w:r>
              <w:rPr>
                <w:rFonts w:hint="eastAsia" w:ascii="仿宋_GB2312" w:hAnsi="宋体" w:eastAsia="仿宋_GB2312"/>
                <w:kern w:val="0"/>
                <w:sz w:val="24"/>
              </w:rPr>
              <w:t>3、投资5000-10000万元</w:t>
            </w:r>
          </w:p>
        </w:tc>
        <w:tc>
          <w:tcPr>
            <w:tcW w:w="2879" w:type="dxa"/>
            <w:tcBorders>
              <w:top w:val="nil"/>
              <w:left w:val="nil"/>
              <w:bottom w:val="single" w:color="auto" w:sz="4" w:space="0"/>
              <w:right w:val="single" w:color="auto" w:sz="4" w:space="0"/>
            </w:tcBorders>
            <w:vAlign w:val="center"/>
          </w:tcPr>
          <w:p>
            <w:pPr>
              <w:snapToGrid w:val="0"/>
              <w:spacing w:line="264" w:lineRule="auto"/>
              <w:jc w:val="left"/>
              <w:rPr>
                <w:rFonts w:hint="eastAsia" w:ascii="仿宋_GB2312" w:hAnsi="宋体" w:eastAsia="仿宋_GB2312"/>
                <w:kern w:val="0"/>
                <w:sz w:val="24"/>
              </w:rPr>
            </w:pPr>
            <w:r>
              <w:rPr>
                <w:rFonts w:hint="eastAsia" w:ascii="仿宋_GB2312" w:hAnsi="宋体" w:eastAsia="仿宋_GB2312"/>
                <w:kern w:val="0"/>
                <w:sz w:val="24"/>
              </w:rPr>
              <w:t>20个工作日</w:t>
            </w:r>
          </w:p>
        </w:tc>
        <w:tc>
          <w:tcPr>
            <w:tcW w:w="2700" w:type="dxa"/>
            <w:tcBorders>
              <w:top w:val="nil"/>
              <w:left w:val="nil"/>
              <w:bottom w:val="single" w:color="auto" w:sz="4" w:space="0"/>
              <w:right w:val="single" w:color="auto" w:sz="4" w:space="0"/>
            </w:tcBorders>
            <w:vAlign w:val="center"/>
          </w:tcPr>
          <w:p>
            <w:pPr>
              <w:snapToGrid w:val="0"/>
              <w:spacing w:line="264" w:lineRule="auto"/>
              <w:jc w:val="left"/>
              <w:rPr>
                <w:rFonts w:hint="eastAsia" w:ascii="仿宋_GB2312" w:hAnsi="宋体" w:eastAsia="仿宋_GB2312"/>
                <w:kern w:val="0"/>
                <w:sz w:val="24"/>
              </w:rPr>
            </w:pPr>
            <w:r>
              <w:rPr>
                <w:rFonts w:hint="eastAsia" w:ascii="仿宋_GB2312" w:hAnsi="宋体" w:eastAsia="仿宋_GB2312"/>
                <w:kern w:val="0"/>
                <w:sz w:val="24"/>
              </w:rPr>
              <w:t>31个工作日</w:t>
            </w:r>
          </w:p>
        </w:tc>
      </w:tr>
      <w:tr>
        <w:tblPrEx>
          <w:tblLayout w:type="fixed"/>
          <w:tblCellMar>
            <w:top w:w="0" w:type="dxa"/>
            <w:left w:w="108" w:type="dxa"/>
            <w:bottom w:w="0" w:type="dxa"/>
            <w:right w:w="108" w:type="dxa"/>
          </w:tblCellMar>
        </w:tblPrEx>
        <w:trPr>
          <w:trHeight w:val="567" w:hRule="atLeast"/>
        </w:trPr>
        <w:tc>
          <w:tcPr>
            <w:tcW w:w="3421" w:type="dxa"/>
            <w:tcBorders>
              <w:top w:val="nil"/>
              <w:left w:val="single" w:color="auto" w:sz="4" w:space="0"/>
              <w:bottom w:val="single" w:color="auto" w:sz="4" w:space="0"/>
              <w:right w:val="single" w:color="auto" w:sz="4" w:space="0"/>
            </w:tcBorders>
            <w:vAlign w:val="center"/>
          </w:tcPr>
          <w:p>
            <w:pPr>
              <w:snapToGrid w:val="0"/>
              <w:spacing w:line="264" w:lineRule="auto"/>
              <w:rPr>
                <w:rFonts w:hint="eastAsia" w:ascii="仿宋_GB2312" w:hAnsi="宋体" w:eastAsia="仿宋_GB2312"/>
                <w:kern w:val="0"/>
                <w:sz w:val="24"/>
              </w:rPr>
            </w:pPr>
            <w:r>
              <w:rPr>
                <w:rFonts w:hint="eastAsia" w:ascii="仿宋_GB2312" w:hAnsi="宋体" w:eastAsia="仿宋_GB2312"/>
                <w:kern w:val="0"/>
                <w:sz w:val="24"/>
              </w:rPr>
              <w:t>4、投资金额1亿元以上</w:t>
            </w:r>
          </w:p>
        </w:tc>
        <w:tc>
          <w:tcPr>
            <w:tcW w:w="2879" w:type="dxa"/>
            <w:tcBorders>
              <w:top w:val="nil"/>
              <w:left w:val="nil"/>
              <w:bottom w:val="single" w:color="auto" w:sz="4" w:space="0"/>
              <w:right w:val="single" w:color="auto" w:sz="4" w:space="0"/>
            </w:tcBorders>
            <w:vAlign w:val="center"/>
          </w:tcPr>
          <w:p>
            <w:pPr>
              <w:snapToGrid w:val="0"/>
              <w:spacing w:line="264" w:lineRule="auto"/>
              <w:jc w:val="left"/>
              <w:rPr>
                <w:rFonts w:hint="eastAsia" w:ascii="仿宋_GB2312" w:hAnsi="宋体" w:eastAsia="仿宋_GB2312"/>
                <w:kern w:val="0"/>
                <w:sz w:val="24"/>
              </w:rPr>
            </w:pPr>
            <w:r>
              <w:rPr>
                <w:rFonts w:hint="eastAsia" w:ascii="仿宋_GB2312" w:hAnsi="宋体" w:eastAsia="仿宋_GB2312"/>
                <w:kern w:val="0"/>
                <w:sz w:val="24"/>
              </w:rPr>
              <w:t>30个工作日</w:t>
            </w:r>
          </w:p>
        </w:tc>
        <w:tc>
          <w:tcPr>
            <w:tcW w:w="2700" w:type="dxa"/>
            <w:tcBorders>
              <w:top w:val="nil"/>
              <w:left w:val="nil"/>
              <w:bottom w:val="single" w:color="auto" w:sz="4" w:space="0"/>
              <w:right w:val="single" w:color="auto" w:sz="4" w:space="0"/>
            </w:tcBorders>
            <w:vAlign w:val="center"/>
          </w:tcPr>
          <w:p>
            <w:pPr>
              <w:snapToGrid w:val="0"/>
              <w:spacing w:line="264" w:lineRule="auto"/>
              <w:jc w:val="left"/>
              <w:rPr>
                <w:rFonts w:hint="eastAsia" w:ascii="仿宋_GB2312" w:hAnsi="宋体" w:eastAsia="仿宋_GB2312"/>
                <w:kern w:val="0"/>
                <w:sz w:val="24"/>
              </w:rPr>
            </w:pPr>
            <w:r>
              <w:rPr>
                <w:rFonts w:hint="eastAsia" w:ascii="仿宋_GB2312" w:hAnsi="宋体" w:eastAsia="仿宋_GB2312"/>
                <w:kern w:val="0"/>
                <w:sz w:val="24"/>
              </w:rPr>
              <w:t>46个工作日</w:t>
            </w:r>
          </w:p>
        </w:tc>
      </w:tr>
      <w:tr>
        <w:tblPrEx>
          <w:tblLayout w:type="fixed"/>
          <w:tblCellMar>
            <w:top w:w="0" w:type="dxa"/>
            <w:left w:w="108" w:type="dxa"/>
            <w:bottom w:w="0" w:type="dxa"/>
            <w:right w:w="108" w:type="dxa"/>
          </w:tblCellMar>
        </w:tblPrEx>
        <w:trPr>
          <w:trHeight w:val="690" w:hRule="atLeast"/>
        </w:trPr>
        <w:tc>
          <w:tcPr>
            <w:tcW w:w="9000" w:type="dxa"/>
            <w:gridSpan w:val="3"/>
            <w:tcBorders>
              <w:top w:val="nil"/>
              <w:left w:val="single" w:color="auto" w:sz="4" w:space="0"/>
              <w:bottom w:val="single" w:color="auto" w:sz="4" w:space="0"/>
              <w:right w:val="single" w:color="auto" w:sz="4" w:space="0"/>
            </w:tcBorders>
            <w:vAlign w:val="center"/>
          </w:tcPr>
          <w:p>
            <w:pPr>
              <w:snapToGrid w:val="0"/>
              <w:spacing w:line="264" w:lineRule="auto"/>
              <w:jc w:val="left"/>
              <w:rPr>
                <w:rFonts w:hint="eastAsia" w:ascii="仿宋_GB2312" w:hAnsi="宋体" w:eastAsia="仿宋_GB2312" w:cs="宋体"/>
                <w:bCs/>
                <w:kern w:val="0"/>
                <w:sz w:val="24"/>
              </w:rPr>
            </w:pPr>
            <w:r>
              <w:rPr>
                <w:rFonts w:hint="eastAsia" w:ascii="仿宋_GB2312" w:hAnsi="宋体" w:eastAsia="仿宋_GB2312" w:cs="宋体"/>
                <w:bCs/>
                <w:kern w:val="0"/>
                <w:sz w:val="24"/>
              </w:rPr>
              <w:t>二、工程结算项目</w:t>
            </w:r>
          </w:p>
        </w:tc>
      </w:tr>
      <w:tr>
        <w:tblPrEx>
          <w:tblLayout w:type="fixed"/>
          <w:tblCellMar>
            <w:top w:w="0" w:type="dxa"/>
            <w:left w:w="108" w:type="dxa"/>
            <w:bottom w:w="0" w:type="dxa"/>
            <w:right w:w="108" w:type="dxa"/>
          </w:tblCellMar>
        </w:tblPrEx>
        <w:trPr>
          <w:trHeight w:val="567" w:hRule="atLeast"/>
        </w:trPr>
        <w:tc>
          <w:tcPr>
            <w:tcW w:w="3421" w:type="dxa"/>
            <w:tcBorders>
              <w:top w:val="nil"/>
              <w:left w:val="single" w:color="auto" w:sz="4" w:space="0"/>
              <w:bottom w:val="single" w:color="auto" w:sz="4" w:space="0"/>
              <w:right w:val="single" w:color="auto" w:sz="4" w:space="0"/>
            </w:tcBorders>
            <w:vAlign w:val="center"/>
          </w:tcPr>
          <w:p>
            <w:pPr>
              <w:snapToGrid w:val="0"/>
              <w:spacing w:line="264" w:lineRule="auto"/>
              <w:rPr>
                <w:rFonts w:hint="eastAsia" w:ascii="仿宋_GB2312" w:hAnsi="宋体" w:eastAsia="仿宋_GB2312"/>
                <w:kern w:val="0"/>
                <w:sz w:val="24"/>
              </w:rPr>
            </w:pPr>
            <w:r>
              <w:rPr>
                <w:rFonts w:hint="eastAsia" w:ascii="仿宋_GB2312" w:hAnsi="宋体" w:eastAsia="仿宋_GB2312"/>
                <w:kern w:val="0"/>
                <w:sz w:val="24"/>
                <w:lang w:val="en-US" w:eastAsia="zh-CN"/>
              </w:rPr>
              <w:t>1</w:t>
            </w:r>
            <w:bookmarkStart w:id="0" w:name="_GoBack"/>
            <w:bookmarkEnd w:id="0"/>
            <w:r>
              <w:rPr>
                <w:rFonts w:hint="eastAsia" w:ascii="仿宋_GB2312" w:hAnsi="宋体" w:eastAsia="仿宋_GB2312"/>
                <w:kern w:val="0"/>
                <w:sz w:val="24"/>
              </w:rPr>
              <w:t>、投资2000万元以下</w:t>
            </w:r>
          </w:p>
        </w:tc>
        <w:tc>
          <w:tcPr>
            <w:tcW w:w="2879" w:type="dxa"/>
            <w:tcBorders>
              <w:top w:val="nil"/>
              <w:left w:val="nil"/>
              <w:bottom w:val="single" w:color="auto" w:sz="4" w:space="0"/>
              <w:right w:val="single" w:color="auto" w:sz="4" w:space="0"/>
            </w:tcBorders>
            <w:vAlign w:val="center"/>
          </w:tcPr>
          <w:p>
            <w:pPr>
              <w:snapToGrid w:val="0"/>
              <w:spacing w:line="264" w:lineRule="auto"/>
              <w:jc w:val="left"/>
              <w:rPr>
                <w:rFonts w:hint="eastAsia" w:ascii="仿宋_GB2312" w:hAnsi="宋体" w:eastAsia="仿宋_GB2312"/>
                <w:kern w:val="0"/>
                <w:sz w:val="24"/>
              </w:rPr>
            </w:pPr>
            <w:r>
              <w:rPr>
                <w:rFonts w:hint="eastAsia" w:ascii="仿宋_GB2312" w:hAnsi="宋体" w:eastAsia="仿宋_GB2312"/>
                <w:kern w:val="0"/>
                <w:sz w:val="24"/>
              </w:rPr>
              <w:t>20个工作日</w:t>
            </w:r>
          </w:p>
        </w:tc>
        <w:tc>
          <w:tcPr>
            <w:tcW w:w="2700" w:type="dxa"/>
            <w:tcBorders>
              <w:top w:val="nil"/>
              <w:left w:val="nil"/>
              <w:bottom w:val="single" w:color="auto" w:sz="4" w:space="0"/>
              <w:right w:val="single" w:color="auto" w:sz="4" w:space="0"/>
            </w:tcBorders>
            <w:vAlign w:val="center"/>
          </w:tcPr>
          <w:p>
            <w:pPr>
              <w:snapToGrid w:val="0"/>
              <w:spacing w:line="264" w:lineRule="auto"/>
              <w:jc w:val="left"/>
              <w:rPr>
                <w:rFonts w:hint="eastAsia" w:ascii="仿宋_GB2312" w:hAnsi="宋体" w:eastAsia="仿宋_GB2312"/>
                <w:kern w:val="0"/>
                <w:sz w:val="24"/>
              </w:rPr>
            </w:pPr>
            <w:r>
              <w:rPr>
                <w:rFonts w:hint="eastAsia" w:ascii="仿宋_GB2312" w:hAnsi="宋体" w:eastAsia="仿宋_GB2312"/>
                <w:kern w:val="0"/>
                <w:sz w:val="24"/>
              </w:rPr>
              <w:t>32个工作日</w:t>
            </w:r>
          </w:p>
        </w:tc>
      </w:tr>
      <w:tr>
        <w:tblPrEx>
          <w:tblLayout w:type="fixed"/>
          <w:tblCellMar>
            <w:top w:w="0" w:type="dxa"/>
            <w:left w:w="108" w:type="dxa"/>
            <w:bottom w:w="0" w:type="dxa"/>
            <w:right w:w="108" w:type="dxa"/>
          </w:tblCellMar>
        </w:tblPrEx>
        <w:trPr>
          <w:trHeight w:val="567" w:hRule="atLeast"/>
        </w:trPr>
        <w:tc>
          <w:tcPr>
            <w:tcW w:w="3421" w:type="dxa"/>
            <w:tcBorders>
              <w:top w:val="nil"/>
              <w:left w:val="single" w:color="auto" w:sz="4" w:space="0"/>
              <w:bottom w:val="single" w:color="auto" w:sz="4" w:space="0"/>
              <w:right w:val="single" w:color="auto" w:sz="4" w:space="0"/>
            </w:tcBorders>
            <w:vAlign w:val="center"/>
          </w:tcPr>
          <w:p>
            <w:pPr>
              <w:snapToGrid w:val="0"/>
              <w:spacing w:line="264" w:lineRule="auto"/>
              <w:rPr>
                <w:rFonts w:hint="eastAsia" w:ascii="仿宋_GB2312" w:hAnsi="宋体" w:eastAsia="仿宋_GB2312"/>
                <w:kern w:val="0"/>
                <w:sz w:val="24"/>
              </w:rPr>
            </w:pPr>
            <w:r>
              <w:rPr>
                <w:rFonts w:hint="eastAsia" w:ascii="仿宋_GB2312" w:hAnsi="宋体" w:eastAsia="仿宋_GB2312"/>
                <w:kern w:val="0"/>
                <w:sz w:val="24"/>
              </w:rPr>
              <w:t>2、投资2000-5000万元</w:t>
            </w:r>
          </w:p>
        </w:tc>
        <w:tc>
          <w:tcPr>
            <w:tcW w:w="2879" w:type="dxa"/>
            <w:tcBorders>
              <w:top w:val="nil"/>
              <w:left w:val="nil"/>
              <w:bottom w:val="single" w:color="auto" w:sz="4" w:space="0"/>
              <w:right w:val="single" w:color="auto" w:sz="4" w:space="0"/>
            </w:tcBorders>
            <w:vAlign w:val="center"/>
          </w:tcPr>
          <w:p>
            <w:pPr>
              <w:snapToGrid w:val="0"/>
              <w:spacing w:line="264" w:lineRule="auto"/>
              <w:jc w:val="left"/>
              <w:rPr>
                <w:rFonts w:hint="eastAsia" w:ascii="仿宋_GB2312" w:hAnsi="宋体" w:eastAsia="仿宋_GB2312"/>
                <w:kern w:val="0"/>
                <w:sz w:val="24"/>
              </w:rPr>
            </w:pPr>
            <w:r>
              <w:rPr>
                <w:rFonts w:hint="eastAsia" w:ascii="仿宋_GB2312" w:hAnsi="宋体" w:eastAsia="仿宋_GB2312"/>
                <w:kern w:val="0"/>
                <w:sz w:val="24"/>
              </w:rPr>
              <w:t>30个工作日</w:t>
            </w:r>
          </w:p>
        </w:tc>
        <w:tc>
          <w:tcPr>
            <w:tcW w:w="2700" w:type="dxa"/>
            <w:tcBorders>
              <w:top w:val="nil"/>
              <w:left w:val="nil"/>
              <w:bottom w:val="single" w:color="auto" w:sz="4" w:space="0"/>
              <w:right w:val="single" w:color="auto" w:sz="4" w:space="0"/>
            </w:tcBorders>
            <w:vAlign w:val="center"/>
          </w:tcPr>
          <w:p>
            <w:pPr>
              <w:snapToGrid w:val="0"/>
              <w:spacing w:line="264" w:lineRule="auto"/>
              <w:jc w:val="left"/>
              <w:rPr>
                <w:rFonts w:hint="eastAsia" w:ascii="仿宋_GB2312" w:hAnsi="宋体" w:eastAsia="仿宋_GB2312"/>
                <w:kern w:val="0"/>
                <w:sz w:val="24"/>
              </w:rPr>
            </w:pPr>
            <w:r>
              <w:rPr>
                <w:rFonts w:hint="eastAsia" w:ascii="仿宋_GB2312" w:hAnsi="宋体" w:eastAsia="仿宋_GB2312"/>
                <w:kern w:val="0"/>
                <w:sz w:val="24"/>
              </w:rPr>
              <w:t>49个工作日</w:t>
            </w:r>
          </w:p>
        </w:tc>
      </w:tr>
      <w:tr>
        <w:tblPrEx>
          <w:tblLayout w:type="fixed"/>
          <w:tblCellMar>
            <w:top w:w="0" w:type="dxa"/>
            <w:left w:w="108" w:type="dxa"/>
            <w:bottom w:w="0" w:type="dxa"/>
            <w:right w:w="108" w:type="dxa"/>
          </w:tblCellMar>
        </w:tblPrEx>
        <w:trPr>
          <w:trHeight w:val="567" w:hRule="atLeast"/>
        </w:trPr>
        <w:tc>
          <w:tcPr>
            <w:tcW w:w="3421" w:type="dxa"/>
            <w:tcBorders>
              <w:top w:val="nil"/>
              <w:left w:val="single" w:color="auto" w:sz="4" w:space="0"/>
              <w:bottom w:val="single" w:color="auto" w:sz="4" w:space="0"/>
              <w:right w:val="single" w:color="auto" w:sz="4" w:space="0"/>
            </w:tcBorders>
            <w:vAlign w:val="center"/>
          </w:tcPr>
          <w:p>
            <w:pPr>
              <w:snapToGrid w:val="0"/>
              <w:spacing w:line="264" w:lineRule="auto"/>
              <w:rPr>
                <w:rFonts w:hint="eastAsia" w:ascii="仿宋_GB2312" w:hAnsi="宋体" w:eastAsia="仿宋_GB2312"/>
                <w:kern w:val="0"/>
                <w:sz w:val="24"/>
              </w:rPr>
            </w:pPr>
            <w:r>
              <w:rPr>
                <w:rFonts w:hint="eastAsia" w:ascii="仿宋_GB2312" w:hAnsi="宋体" w:eastAsia="仿宋_GB2312"/>
                <w:kern w:val="0"/>
                <w:sz w:val="24"/>
              </w:rPr>
              <w:t>3、投资5000-10000万元</w:t>
            </w:r>
          </w:p>
        </w:tc>
        <w:tc>
          <w:tcPr>
            <w:tcW w:w="2879" w:type="dxa"/>
            <w:tcBorders>
              <w:top w:val="nil"/>
              <w:left w:val="nil"/>
              <w:bottom w:val="single" w:color="auto" w:sz="4" w:space="0"/>
              <w:right w:val="single" w:color="auto" w:sz="4" w:space="0"/>
            </w:tcBorders>
            <w:vAlign w:val="center"/>
          </w:tcPr>
          <w:p>
            <w:pPr>
              <w:snapToGrid w:val="0"/>
              <w:spacing w:line="264" w:lineRule="auto"/>
              <w:jc w:val="left"/>
              <w:rPr>
                <w:rFonts w:hint="eastAsia" w:ascii="仿宋_GB2312" w:hAnsi="宋体" w:eastAsia="仿宋_GB2312"/>
                <w:kern w:val="0"/>
                <w:sz w:val="24"/>
              </w:rPr>
            </w:pPr>
            <w:r>
              <w:rPr>
                <w:rFonts w:hint="eastAsia" w:ascii="仿宋_GB2312" w:hAnsi="宋体" w:eastAsia="仿宋_GB2312"/>
                <w:kern w:val="0"/>
                <w:sz w:val="24"/>
              </w:rPr>
              <w:t>40个工作日</w:t>
            </w:r>
          </w:p>
        </w:tc>
        <w:tc>
          <w:tcPr>
            <w:tcW w:w="2700" w:type="dxa"/>
            <w:tcBorders>
              <w:top w:val="nil"/>
              <w:left w:val="nil"/>
              <w:bottom w:val="single" w:color="auto" w:sz="4" w:space="0"/>
              <w:right w:val="single" w:color="auto" w:sz="4" w:space="0"/>
            </w:tcBorders>
            <w:vAlign w:val="center"/>
          </w:tcPr>
          <w:p>
            <w:pPr>
              <w:snapToGrid w:val="0"/>
              <w:spacing w:line="264" w:lineRule="auto"/>
              <w:jc w:val="left"/>
              <w:rPr>
                <w:rFonts w:hint="eastAsia" w:ascii="仿宋_GB2312" w:hAnsi="宋体" w:eastAsia="仿宋_GB2312"/>
                <w:kern w:val="0"/>
                <w:sz w:val="24"/>
              </w:rPr>
            </w:pPr>
            <w:r>
              <w:rPr>
                <w:rFonts w:hint="eastAsia" w:ascii="仿宋_GB2312" w:hAnsi="宋体" w:eastAsia="仿宋_GB2312"/>
                <w:kern w:val="0"/>
                <w:sz w:val="24"/>
              </w:rPr>
              <w:t>63个工作日</w:t>
            </w:r>
          </w:p>
        </w:tc>
      </w:tr>
      <w:tr>
        <w:tblPrEx>
          <w:tblLayout w:type="fixed"/>
          <w:tblCellMar>
            <w:top w:w="0" w:type="dxa"/>
            <w:left w:w="108" w:type="dxa"/>
            <w:bottom w:w="0" w:type="dxa"/>
            <w:right w:w="108" w:type="dxa"/>
          </w:tblCellMar>
        </w:tblPrEx>
        <w:trPr>
          <w:trHeight w:val="567" w:hRule="atLeast"/>
        </w:trPr>
        <w:tc>
          <w:tcPr>
            <w:tcW w:w="3421" w:type="dxa"/>
            <w:tcBorders>
              <w:top w:val="nil"/>
              <w:left w:val="single" w:color="auto" w:sz="4" w:space="0"/>
              <w:bottom w:val="single" w:color="auto" w:sz="4" w:space="0"/>
              <w:right w:val="single" w:color="auto" w:sz="4" w:space="0"/>
            </w:tcBorders>
            <w:vAlign w:val="center"/>
          </w:tcPr>
          <w:p>
            <w:pPr>
              <w:snapToGrid w:val="0"/>
              <w:spacing w:line="264" w:lineRule="auto"/>
              <w:rPr>
                <w:rFonts w:hint="eastAsia" w:ascii="仿宋_GB2312" w:hAnsi="宋体" w:eastAsia="仿宋_GB2312"/>
                <w:kern w:val="0"/>
                <w:sz w:val="24"/>
              </w:rPr>
            </w:pPr>
            <w:r>
              <w:rPr>
                <w:rFonts w:hint="eastAsia" w:ascii="仿宋_GB2312" w:hAnsi="宋体" w:eastAsia="仿宋_GB2312"/>
                <w:kern w:val="0"/>
                <w:sz w:val="24"/>
              </w:rPr>
              <w:t>4、投资1亿元以上</w:t>
            </w:r>
          </w:p>
        </w:tc>
        <w:tc>
          <w:tcPr>
            <w:tcW w:w="2879" w:type="dxa"/>
            <w:tcBorders>
              <w:top w:val="nil"/>
              <w:left w:val="nil"/>
              <w:bottom w:val="single" w:color="auto" w:sz="4" w:space="0"/>
              <w:right w:val="single" w:color="auto" w:sz="4" w:space="0"/>
            </w:tcBorders>
            <w:vAlign w:val="center"/>
          </w:tcPr>
          <w:p>
            <w:pPr>
              <w:snapToGrid w:val="0"/>
              <w:spacing w:line="264" w:lineRule="auto"/>
              <w:jc w:val="left"/>
              <w:rPr>
                <w:rFonts w:hint="eastAsia" w:ascii="仿宋_GB2312" w:hAnsi="宋体" w:eastAsia="仿宋_GB2312"/>
                <w:kern w:val="0"/>
                <w:sz w:val="24"/>
              </w:rPr>
            </w:pPr>
            <w:r>
              <w:rPr>
                <w:rFonts w:hint="eastAsia" w:ascii="仿宋_GB2312" w:hAnsi="宋体" w:eastAsia="仿宋_GB2312"/>
                <w:kern w:val="0"/>
                <w:sz w:val="24"/>
              </w:rPr>
              <w:t>65个工作日</w:t>
            </w:r>
          </w:p>
        </w:tc>
        <w:tc>
          <w:tcPr>
            <w:tcW w:w="2700" w:type="dxa"/>
            <w:tcBorders>
              <w:top w:val="nil"/>
              <w:left w:val="nil"/>
              <w:bottom w:val="single" w:color="auto" w:sz="4" w:space="0"/>
              <w:right w:val="single" w:color="auto" w:sz="4" w:space="0"/>
            </w:tcBorders>
            <w:vAlign w:val="center"/>
          </w:tcPr>
          <w:p>
            <w:pPr>
              <w:snapToGrid w:val="0"/>
              <w:spacing w:line="264" w:lineRule="auto"/>
              <w:jc w:val="left"/>
              <w:rPr>
                <w:rFonts w:hint="eastAsia" w:ascii="仿宋_GB2312" w:hAnsi="宋体" w:eastAsia="仿宋_GB2312"/>
                <w:kern w:val="0"/>
                <w:sz w:val="24"/>
              </w:rPr>
            </w:pPr>
            <w:r>
              <w:rPr>
                <w:rFonts w:hint="eastAsia" w:ascii="仿宋_GB2312" w:hAnsi="宋体" w:eastAsia="仿宋_GB2312"/>
                <w:kern w:val="0"/>
                <w:sz w:val="24"/>
              </w:rPr>
              <w:t>95个工作日</w:t>
            </w:r>
          </w:p>
        </w:tc>
      </w:tr>
      <w:tr>
        <w:tblPrEx>
          <w:tblLayout w:type="fixed"/>
          <w:tblCellMar>
            <w:top w:w="0" w:type="dxa"/>
            <w:left w:w="108" w:type="dxa"/>
            <w:bottom w:w="0" w:type="dxa"/>
            <w:right w:w="108" w:type="dxa"/>
          </w:tblCellMar>
        </w:tblPrEx>
        <w:trPr>
          <w:trHeight w:val="990" w:hRule="atLeast"/>
        </w:trPr>
        <w:tc>
          <w:tcPr>
            <w:tcW w:w="900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64" w:lineRule="auto"/>
              <w:jc w:val="left"/>
              <w:rPr>
                <w:rFonts w:hint="eastAsia" w:ascii="仿宋_GB2312" w:hAnsi="宋体" w:eastAsia="仿宋_GB2312" w:cs="宋体"/>
                <w:kern w:val="0"/>
                <w:sz w:val="24"/>
              </w:rPr>
            </w:pPr>
            <w:r>
              <w:rPr>
                <w:rFonts w:hint="eastAsia" w:ascii="仿宋_GB2312" w:hAnsi="宋体" w:eastAsia="仿宋_GB2312" w:cs="宋体"/>
                <w:kern w:val="0"/>
                <w:sz w:val="24"/>
              </w:rPr>
              <w:t>三、申报有特殊事由的概预(结)算评审业务，可根据实际情况(经评审办备案并通知被审方)适当延长评审时间。</w:t>
            </w:r>
          </w:p>
        </w:tc>
      </w:tr>
    </w:tbl>
    <w:p>
      <w:pPr>
        <w:ind w:firstLine="210" w:firstLineChars="100"/>
        <w:rPr>
          <w:rFonts w:hint="eastAsia"/>
        </w:rPr>
      </w:pPr>
    </w:p>
    <w:p>
      <w:pPr>
        <w:spacing w:line="660" w:lineRule="exact"/>
        <w:ind w:firstLine="627" w:firstLineChars="196"/>
        <w:jc w:val="center"/>
        <w:rPr>
          <w:rFonts w:hint="eastAsia" w:ascii="仿宋_GB2312" w:eastAsia="仿宋_GB2312"/>
          <w:sz w:val="32"/>
          <w:szCs w:val="32"/>
        </w:rPr>
      </w:pPr>
    </w:p>
    <w:p>
      <w:pPr>
        <w:spacing w:line="660" w:lineRule="exact"/>
        <w:ind w:firstLine="627" w:firstLineChars="196"/>
        <w:jc w:val="center"/>
        <w:rPr>
          <w:rFonts w:hint="eastAsia" w:ascii="仿宋_GB2312" w:eastAsia="仿宋_GB2312"/>
          <w:sz w:val="32"/>
          <w:szCs w:val="32"/>
        </w:rPr>
      </w:pPr>
    </w:p>
    <w:p>
      <w:pPr>
        <w:spacing w:line="660" w:lineRule="exact"/>
        <w:ind w:firstLine="627" w:firstLineChars="196"/>
        <w:jc w:val="center"/>
        <w:rPr>
          <w:rFonts w:hint="eastAsia" w:ascii="仿宋_GB2312" w:eastAsia="仿宋_GB2312"/>
          <w:sz w:val="32"/>
          <w:szCs w:val="32"/>
        </w:rPr>
      </w:pPr>
    </w:p>
    <w:p>
      <w:pPr>
        <w:spacing w:line="660" w:lineRule="exact"/>
        <w:ind w:firstLine="627" w:firstLineChars="196"/>
        <w:jc w:val="center"/>
        <w:rPr>
          <w:rFonts w:hint="eastAsia" w:ascii="仿宋_GB2312" w:eastAsia="仿宋_GB2312"/>
          <w:sz w:val="32"/>
          <w:szCs w:val="32"/>
        </w:rPr>
      </w:pPr>
    </w:p>
    <w:p>
      <w:pPr>
        <w:rPr>
          <w:rFonts w:ascii="黑体" w:eastAsia="黑体"/>
          <w:sz w:val="32"/>
          <w:szCs w:val="32"/>
        </w:rPr>
        <w:sectPr>
          <w:footerReference r:id="rId3" w:type="default"/>
          <w:footerReference r:id="rId4" w:type="even"/>
          <w:pgSz w:w="11906" w:h="16838"/>
          <w:pgMar w:top="1588" w:right="1588" w:bottom="1588" w:left="1588" w:header="851" w:footer="992" w:gutter="0"/>
          <w:pgNumType w:start="1"/>
          <w:cols w:space="720" w:num="1"/>
          <w:docGrid w:type="lines" w:linePitch="312" w:charSpace="0"/>
        </w:sectPr>
      </w:pPr>
    </w:p>
    <w:p>
      <w:pPr>
        <w:spacing w:line="480" w:lineRule="exact"/>
        <w:rPr>
          <w:rFonts w:hint="eastAsia" w:ascii="黑体" w:eastAsia="黑体"/>
          <w:sz w:val="32"/>
          <w:szCs w:val="32"/>
        </w:rPr>
      </w:pPr>
      <w:r>
        <w:rPr>
          <w:rFonts w:hint="eastAsia" w:ascii="黑体" w:eastAsia="黑体"/>
          <w:sz w:val="32"/>
          <w:szCs w:val="32"/>
        </w:rPr>
        <w:t>附件2</w:t>
      </w:r>
    </w:p>
    <w:p>
      <w:pPr>
        <w:spacing w:line="480" w:lineRule="exact"/>
        <w:jc w:val="center"/>
        <w:rPr>
          <w:rFonts w:hint="eastAsia" w:ascii="方正小标宋简体" w:eastAsia="方正小标宋简体"/>
          <w:sz w:val="40"/>
          <w:szCs w:val="40"/>
        </w:rPr>
      </w:pPr>
      <w:r>
        <w:rPr>
          <w:rFonts w:hint="eastAsia" w:ascii="方正小标宋简体" w:eastAsia="方正小标宋简体"/>
          <w:sz w:val="40"/>
          <w:szCs w:val="40"/>
        </w:rPr>
        <w:t>岳阳市财政投资项目评审单项业务考核表</w:t>
      </w:r>
    </w:p>
    <w:p>
      <w:pPr>
        <w:spacing w:line="200" w:lineRule="exact"/>
        <w:rPr>
          <w:rFonts w:hint="eastAsia" w:ascii="仿宋_GB2312" w:eastAsia="仿宋_GB2312"/>
          <w:sz w:val="32"/>
          <w:szCs w:val="32"/>
        </w:rPr>
      </w:pPr>
    </w:p>
    <w:tbl>
      <w:tblPr>
        <w:tblStyle w:val="5"/>
        <w:tblW w:w="9735" w:type="dxa"/>
        <w:tblInd w:w="93" w:type="dxa"/>
        <w:tblLayout w:type="fixed"/>
        <w:tblCellMar>
          <w:top w:w="0" w:type="dxa"/>
          <w:left w:w="108" w:type="dxa"/>
          <w:bottom w:w="0" w:type="dxa"/>
          <w:right w:w="108" w:type="dxa"/>
        </w:tblCellMar>
      </w:tblPr>
      <w:tblGrid>
        <w:gridCol w:w="520"/>
        <w:gridCol w:w="1240"/>
        <w:gridCol w:w="480"/>
        <w:gridCol w:w="460"/>
        <w:gridCol w:w="1480"/>
        <w:gridCol w:w="1235"/>
        <w:gridCol w:w="1080"/>
        <w:gridCol w:w="900"/>
        <w:gridCol w:w="900"/>
        <w:gridCol w:w="720"/>
        <w:gridCol w:w="720"/>
      </w:tblGrid>
      <w:tr>
        <w:tblPrEx>
          <w:tblLayout w:type="fixed"/>
          <w:tblCellMar>
            <w:top w:w="0" w:type="dxa"/>
            <w:left w:w="108" w:type="dxa"/>
            <w:bottom w:w="0" w:type="dxa"/>
            <w:right w:w="108" w:type="dxa"/>
          </w:tblCellMar>
        </w:tblPrEx>
        <w:trPr>
          <w:trHeight w:val="495" w:hRule="atLeast"/>
        </w:trPr>
        <w:tc>
          <w:tcPr>
            <w:tcW w:w="2700" w:type="dxa"/>
            <w:gridSpan w:val="4"/>
            <w:tcBorders>
              <w:top w:val="single" w:color="auto" w:sz="4" w:space="0"/>
              <w:left w:val="single" w:color="auto" w:sz="4" w:space="0"/>
              <w:bottom w:val="single" w:color="auto" w:sz="4" w:space="0"/>
              <w:right w:val="single" w:color="000000" w:sz="4" w:space="0"/>
            </w:tcBorders>
            <w:vAlign w:val="center"/>
          </w:tcPr>
          <w:p>
            <w:pPr>
              <w:widowControl/>
              <w:spacing w:line="260" w:lineRule="exact"/>
              <w:jc w:val="center"/>
              <w:rPr>
                <w:rFonts w:ascii="仿宋_GB2312" w:hAnsi="宋体" w:eastAsia="仿宋_GB2312" w:cs="宋体"/>
                <w:bCs/>
                <w:kern w:val="0"/>
                <w:sz w:val="24"/>
              </w:rPr>
            </w:pPr>
            <w:r>
              <w:rPr>
                <w:rFonts w:hint="eastAsia" w:ascii="仿宋_GB2312" w:hAnsi="宋体" w:eastAsia="仿宋_GB2312" w:cs="宋体"/>
                <w:bCs/>
                <w:kern w:val="0"/>
                <w:sz w:val="24"/>
              </w:rPr>
              <w:t>项目名称</w:t>
            </w:r>
          </w:p>
        </w:tc>
        <w:tc>
          <w:tcPr>
            <w:tcW w:w="2715" w:type="dxa"/>
            <w:gridSpan w:val="2"/>
            <w:tcBorders>
              <w:top w:val="single" w:color="auto" w:sz="4" w:space="0"/>
              <w:left w:val="nil"/>
              <w:bottom w:val="single" w:color="auto" w:sz="4" w:space="0"/>
              <w:right w:val="single" w:color="000000" w:sz="4" w:space="0"/>
            </w:tcBorders>
            <w:vAlign w:val="center"/>
          </w:tcPr>
          <w:p>
            <w:pPr>
              <w:widowControl/>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980" w:type="dxa"/>
            <w:gridSpan w:val="2"/>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bCs/>
                <w:kern w:val="0"/>
                <w:sz w:val="24"/>
              </w:rPr>
            </w:pPr>
            <w:r>
              <w:rPr>
                <w:rFonts w:hint="eastAsia" w:ascii="仿宋_GB2312" w:hAnsi="宋体" w:eastAsia="仿宋_GB2312" w:cs="宋体"/>
                <w:bCs/>
                <w:kern w:val="0"/>
                <w:sz w:val="24"/>
              </w:rPr>
              <w:t>考核日期</w:t>
            </w:r>
          </w:p>
        </w:tc>
        <w:tc>
          <w:tcPr>
            <w:tcW w:w="2340" w:type="dxa"/>
            <w:gridSpan w:val="3"/>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495" w:hRule="atLeast"/>
        </w:trPr>
        <w:tc>
          <w:tcPr>
            <w:tcW w:w="2700" w:type="dxa"/>
            <w:gridSpan w:val="4"/>
            <w:tcBorders>
              <w:top w:val="single" w:color="auto" w:sz="4" w:space="0"/>
              <w:left w:val="single" w:color="auto" w:sz="4" w:space="0"/>
              <w:bottom w:val="single" w:color="auto" w:sz="4" w:space="0"/>
              <w:right w:val="single" w:color="000000" w:sz="4" w:space="0"/>
            </w:tcBorders>
            <w:vAlign w:val="center"/>
          </w:tcPr>
          <w:p>
            <w:pPr>
              <w:widowControl/>
              <w:spacing w:line="260" w:lineRule="exact"/>
              <w:jc w:val="center"/>
              <w:rPr>
                <w:rFonts w:ascii="仿宋_GB2312" w:hAnsi="宋体" w:eastAsia="仿宋_GB2312" w:cs="宋体"/>
                <w:bCs/>
                <w:kern w:val="0"/>
                <w:sz w:val="24"/>
              </w:rPr>
            </w:pPr>
            <w:r>
              <w:rPr>
                <w:rFonts w:hint="eastAsia" w:ascii="仿宋_GB2312" w:hAnsi="宋体" w:eastAsia="仿宋_GB2312" w:cs="宋体"/>
                <w:bCs/>
                <w:kern w:val="0"/>
                <w:sz w:val="24"/>
              </w:rPr>
              <w:t>被考核单位</w:t>
            </w:r>
          </w:p>
        </w:tc>
        <w:tc>
          <w:tcPr>
            <w:tcW w:w="2715" w:type="dxa"/>
            <w:gridSpan w:val="2"/>
            <w:tcBorders>
              <w:top w:val="single" w:color="auto" w:sz="4" w:space="0"/>
              <w:left w:val="nil"/>
              <w:bottom w:val="single" w:color="auto" w:sz="4" w:space="0"/>
              <w:right w:val="single" w:color="000000" w:sz="4" w:space="0"/>
            </w:tcBorders>
            <w:vAlign w:val="center"/>
          </w:tcPr>
          <w:p>
            <w:pPr>
              <w:widowControl/>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980" w:type="dxa"/>
            <w:gridSpan w:val="2"/>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bCs/>
                <w:kern w:val="0"/>
                <w:sz w:val="24"/>
              </w:rPr>
            </w:pPr>
            <w:r>
              <w:rPr>
                <w:rFonts w:hint="eastAsia" w:ascii="仿宋_GB2312" w:hAnsi="宋体" w:eastAsia="仿宋_GB2312" w:cs="宋体"/>
                <w:bCs/>
                <w:kern w:val="0"/>
                <w:sz w:val="24"/>
              </w:rPr>
              <w:t>评审报告编号</w:t>
            </w:r>
          </w:p>
        </w:tc>
        <w:tc>
          <w:tcPr>
            <w:tcW w:w="2340" w:type="dxa"/>
            <w:gridSpan w:val="3"/>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469" w:hRule="atLeast"/>
        </w:trPr>
        <w:tc>
          <w:tcPr>
            <w:tcW w:w="2700" w:type="dxa"/>
            <w:gridSpan w:val="4"/>
            <w:tcBorders>
              <w:top w:val="single" w:color="auto" w:sz="4" w:space="0"/>
              <w:left w:val="single" w:color="auto" w:sz="4" w:space="0"/>
              <w:bottom w:val="single" w:color="auto" w:sz="4" w:space="0"/>
              <w:right w:val="single" w:color="000000" w:sz="4" w:space="0"/>
            </w:tcBorders>
            <w:vAlign w:val="center"/>
          </w:tcPr>
          <w:p>
            <w:pPr>
              <w:widowControl/>
              <w:spacing w:line="260" w:lineRule="exact"/>
              <w:jc w:val="center"/>
              <w:rPr>
                <w:rFonts w:ascii="仿宋_GB2312" w:hAnsi="宋体" w:eastAsia="仿宋_GB2312" w:cs="宋体"/>
                <w:bCs/>
                <w:kern w:val="0"/>
                <w:sz w:val="24"/>
              </w:rPr>
            </w:pPr>
            <w:r>
              <w:rPr>
                <w:rFonts w:hint="eastAsia" w:ascii="仿宋_GB2312" w:hAnsi="宋体" w:eastAsia="仿宋_GB2312" w:cs="宋体"/>
                <w:bCs/>
                <w:kern w:val="0"/>
                <w:sz w:val="24"/>
              </w:rPr>
              <w:t>送审金额</w:t>
            </w:r>
          </w:p>
        </w:tc>
        <w:tc>
          <w:tcPr>
            <w:tcW w:w="1480" w:type="dxa"/>
            <w:tcBorders>
              <w:top w:val="single" w:color="auto" w:sz="4" w:space="0"/>
              <w:left w:val="nil"/>
              <w:bottom w:val="single" w:color="auto" w:sz="4" w:space="0"/>
              <w:right w:val="single" w:color="000000" w:sz="4" w:space="0"/>
            </w:tcBorders>
            <w:vAlign w:val="center"/>
          </w:tcPr>
          <w:p>
            <w:pPr>
              <w:widowControl/>
              <w:spacing w:line="260" w:lineRule="exact"/>
              <w:jc w:val="center"/>
              <w:rPr>
                <w:rFonts w:ascii="仿宋_GB2312" w:hAnsi="宋体" w:eastAsia="仿宋_GB2312" w:cs="宋体"/>
                <w:bCs/>
                <w:kern w:val="0"/>
                <w:sz w:val="24"/>
              </w:rPr>
            </w:pPr>
            <w:r>
              <w:rPr>
                <w:rFonts w:hint="eastAsia" w:ascii="仿宋_GB2312" w:hAnsi="宋体" w:eastAsia="仿宋_GB2312" w:cs="宋体"/>
                <w:bCs/>
                <w:kern w:val="0"/>
                <w:sz w:val="24"/>
              </w:rPr>
              <w:t>　</w:t>
            </w:r>
          </w:p>
        </w:tc>
        <w:tc>
          <w:tcPr>
            <w:tcW w:w="1235" w:type="dxa"/>
            <w:tcBorders>
              <w:top w:val="nil"/>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bCs/>
                <w:kern w:val="0"/>
                <w:sz w:val="24"/>
              </w:rPr>
            </w:pPr>
            <w:r>
              <w:rPr>
                <w:rFonts w:hint="eastAsia" w:ascii="仿宋_GB2312" w:hAnsi="宋体" w:eastAsia="仿宋_GB2312" w:cs="宋体"/>
                <w:bCs/>
                <w:kern w:val="0"/>
                <w:sz w:val="24"/>
              </w:rPr>
              <w:t>审定金额</w:t>
            </w:r>
          </w:p>
        </w:tc>
        <w:tc>
          <w:tcPr>
            <w:tcW w:w="1080" w:type="dxa"/>
            <w:tcBorders>
              <w:top w:val="single" w:color="auto" w:sz="4" w:space="0"/>
              <w:left w:val="nil"/>
              <w:bottom w:val="single" w:color="auto" w:sz="4" w:space="0"/>
              <w:right w:val="nil"/>
            </w:tcBorders>
            <w:vAlign w:val="center"/>
          </w:tcPr>
          <w:p>
            <w:pPr>
              <w:widowControl/>
              <w:spacing w:line="260" w:lineRule="exact"/>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宋体" w:eastAsia="仿宋_GB2312" w:cs="宋体"/>
                <w:bCs/>
                <w:kern w:val="0"/>
                <w:sz w:val="24"/>
              </w:rPr>
            </w:pPr>
            <w:r>
              <w:rPr>
                <w:rFonts w:hint="eastAsia" w:ascii="仿宋_GB2312" w:hAnsi="宋体" w:eastAsia="仿宋_GB2312" w:cs="宋体"/>
                <w:bCs/>
                <w:kern w:val="0"/>
                <w:sz w:val="24"/>
              </w:rPr>
              <w:t>核减（增）金额</w:t>
            </w:r>
          </w:p>
        </w:tc>
        <w:tc>
          <w:tcPr>
            <w:tcW w:w="1440" w:type="dxa"/>
            <w:gridSpan w:val="2"/>
            <w:tcBorders>
              <w:top w:val="nil"/>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bCs/>
                <w:kern w:val="0"/>
                <w:sz w:val="24"/>
              </w:rPr>
            </w:pPr>
            <w:r>
              <w:rPr>
                <w:rFonts w:hint="eastAsia" w:ascii="仿宋_GB2312" w:hAnsi="宋体" w:eastAsia="仿宋_GB2312" w:cs="宋体"/>
                <w:bCs/>
                <w:kern w:val="0"/>
                <w:sz w:val="24"/>
              </w:rPr>
              <w:t>　</w:t>
            </w:r>
          </w:p>
        </w:tc>
      </w:tr>
      <w:tr>
        <w:tblPrEx>
          <w:tblLayout w:type="fixed"/>
          <w:tblCellMar>
            <w:top w:w="0" w:type="dxa"/>
            <w:left w:w="108" w:type="dxa"/>
            <w:bottom w:w="0" w:type="dxa"/>
            <w:right w:w="108" w:type="dxa"/>
          </w:tblCellMar>
        </w:tblPrEx>
        <w:trPr>
          <w:trHeight w:val="405" w:hRule="atLeast"/>
        </w:trPr>
        <w:tc>
          <w:tcPr>
            <w:tcW w:w="2700" w:type="dxa"/>
            <w:gridSpan w:val="4"/>
            <w:tcBorders>
              <w:top w:val="single" w:color="auto" w:sz="4" w:space="0"/>
              <w:left w:val="single" w:color="auto" w:sz="4" w:space="0"/>
              <w:bottom w:val="single" w:color="auto" w:sz="4" w:space="0"/>
              <w:right w:val="single" w:color="000000" w:sz="4" w:space="0"/>
            </w:tcBorders>
            <w:vAlign w:val="center"/>
          </w:tcPr>
          <w:p>
            <w:pPr>
              <w:widowControl/>
              <w:spacing w:line="260" w:lineRule="exact"/>
              <w:jc w:val="center"/>
              <w:rPr>
                <w:rFonts w:ascii="仿宋_GB2312" w:hAnsi="宋体" w:eastAsia="仿宋_GB2312" w:cs="宋体"/>
                <w:bCs/>
                <w:kern w:val="0"/>
                <w:sz w:val="24"/>
              </w:rPr>
            </w:pPr>
            <w:r>
              <w:rPr>
                <w:rFonts w:hint="eastAsia" w:ascii="仿宋_GB2312" w:hAnsi="宋体" w:eastAsia="仿宋_GB2312" w:cs="宋体"/>
                <w:bCs/>
                <w:kern w:val="0"/>
                <w:sz w:val="24"/>
              </w:rPr>
              <w:t>约定评审时限</w:t>
            </w:r>
          </w:p>
        </w:tc>
        <w:tc>
          <w:tcPr>
            <w:tcW w:w="1480" w:type="dxa"/>
            <w:tcBorders>
              <w:top w:val="nil"/>
              <w:left w:val="nil"/>
              <w:bottom w:val="single" w:color="auto" w:sz="4" w:space="0"/>
              <w:right w:val="nil"/>
            </w:tcBorders>
            <w:vAlign w:val="center"/>
          </w:tcPr>
          <w:p>
            <w:pPr>
              <w:widowControl/>
              <w:spacing w:line="260" w:lineRule="exact"/>
              <w:jc w:val="left"/>
              <w:rPr>
                <w:rFonts w:ascii="仿宋_GB2312" w:hAnsi="宋体" w:eastAsia="仿宋_GB2312" w:cs="宋体"/>
                <w:bCs/>
                <w:kern w:val="0"/>
                <w:sz w:val="24"/>
              </w:rPr>
            </w:pPr>
            <w:r>
              <w:rPr>
                <w:rFonts w:hint="eastAsia" w:ascii="仿宋_GB2312" w:hAnsi="宋体" w:eastAsia="仿宋_GB2312" w:cs="宋体"/>
                <w:bCs/>
                <w:kern w:val="0"/>
                <w:sz w:val="24"/>
              </w:rPr>
              <w:t>　</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宋体" w:eastAsia="仿宋_GB2312" w:cs="宋体"/>
                <w:bCs/>
                <w:kern w:val="0"/>
                <w:sz w:val="24"/>
              </w:rPr>
            </w:pPr>
            <w:r>
              <w:rPr>
                <w:rFonts w:hint="eastAsia" w:ascii="仿宋_GB2312" w:hAnsi="宋体" w:eastAsia="仿宋_GB2312" w:cs="宋体"/>
                <w:bCs/>
                <w:kern w:val="0"/>
                <w:sz w:val="24"/>
              </w:rPr>
              <w:t>延长时限</w:t>
            </w:r>
          </w:p>
        </w:tc>
        <w:tc>
          <w:tcPr>
            <w:tcW w:w="1080" w:type="dxa"/>
            <w:tcBorders>
              <w:top w:val="nil"/>
              <w:left w:val="nil"/>
              <w:bottom w:val="single" w:color="auto" w:sz="4" w:space="0"/>
              <w:right w:val="single" w:color="auto" w:sz="4" w:space="0"/>
            </w:tcBorders>
            <w:vAlign w:val="center"/>
          </w:tcPr>
          <w:p>
            <w:pPr>
              <w:widowControl/>
              <w:spacing w:line="260" w:lineRule="exact"/>
              <w:jc w:val="left"/>
              <w:rPr>
                <w:rFonts w:ascii="仿宋_GB2312" w:hAnsi="宋体" w:eastAsia="仿宋_GB2312" w:cs="宋体"/>
                <w:bCs/>
                <w:kern w:val="0"/>
                <w:sz w:val="24"/>
              </w:rPr>
            </w:pPr>
            <w:r>
              <w:rPr>
                <w:rFonts w:hint="eastAsia" w:ascii="仿宋_GB2312" w:hAnsi="宋体" w:eastAsia="仿宋_GB2312" w:cs="宋体"/>
                <w:bCs/>
                <w:kern w:val="0"/>
                <w:sz w:val="24"/>
              </w:rPr>
              <w:t>　</w:t>
            </w:r>
          </w:p>
        </w:tc>
        <w:tc>
          <w:tcPr>
            <w:tcW w:w="1800" w:type="dxa"/>
            <w:gridSpan w:val="2"/>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bCs/>
                <w:kern w:val="0"/>
                <w:sz w:val="24"/>
              </w:rPr>
            </w:pPr>
            <w:r>
              <w:rPr>
                <w:rFonts w:hint="eastAsia" w:ascii="仿宋_GB2312" w:hAnsi="宋体" w:eastAsia="仿宋_GB2312" w:cs="宋体"/>
                <w:bCs/>
                <w:kern w:val="0"/>
                <w:sz w:val="24"/>
              </w:rPr>
              <w:t>实际完成时间</w:t>
            </w:r>
          </w:p>
        </w:tc>
        <w:tc>
          <w:tcPr>
            <w:tcW w:w="1440" w:type="dxa"/>
            <w:gridSpan w:val="2"/>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bCs/>
                <w:kern w:val="0"/>
                <w:sz w:val="24"/>
              </w:rPr>
            </w:pPr>
            <w:r>
              <w:rPr>
                <w:rFonts w:hint="eastAsia" w:ascii="仿宋_GB2312" w:hAnsi="宋体" w:eastAsia="仿宋_GB2312" w:cs="宋体"/>
                <w:bCs/>
                <w:kern w:val="0"/>
                <w:sz w:val="24"/>
              </w:rPr>
              <w:t>　</w:t>
            </w:r>
          </w:p>
        </w:tc>
      </w:tr>
      <w:tr>
        <w:tblPrEx>
          <w:tblLayout w:type="fixed"/>
          <w:tblCellMar>
            <w:top w:w="0" w:type="dxa"/>
            <w:left w:w="108" w:type="dxa"/>
            <w:bottom w:w="0" w:type="dxa"/>
            <w:right w:w="108" w:type="dxa"/>
          </w:tblCellMar>
        </w:tblPrEx>
        <w:trPr>
          <w:trHeight w:val="375" w:hRule="atLeast"/>
        </w:trPr>
        <w:tc>
          <w:tcPr>
            <w:tcW w:w="9735" w:type="dxa"/>
            <w:gridSpan w:val="11"/>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宋体" w:eastAsia="仿宋_GB2312" w:cs="宋体"/>
                <w:bCs/>
                <w:kern w:val="0"/>
                <w:sz w:val="24"/>
              </w:rPr>
            </w:pPr>
            <w:r>
              <w:rPr>
                <w:rFonts w:hint="eastAsia" w:ascii="仿宋_GB2312" w:hAnsi="宋体" w:eastAsia="仿宋_GB2312" w:cs="宋体"/>
                <w:bCs/>
                <w:kern w:val="0"/>
                <w:sz w:val="24"/>
              </w:rPr>
              <w:t>考</w:t>
            </w:r>
            <w:r>
              <w:rPr>
                <w:rFonts w:hint="eastAsia" w:ascii="宋体" w:hAnsi="宋体" w:cs="宋体"/>
                <w:bCs/>
                <w:kern w:val="0"/>
                <w:sz w:val="24"/>
              </w:rPr>
              <w:t xml:space="preserve">        </w:t>
            </w:r>
            <w:r>
              <w:rPr>
                <w:rFonts w:hint="eastAsia" w:ascii="仿宋_GB2312" w:hAnsi="宋体" w:eastAsia="仿宋_GB2312" w:cs="宋体"/>
                <w:bCs/>
                <w:kern w:val="0"/>
                <w:sz w:val="24"/>
              </w:rPr>
              <w:t>核</w:t>
            </w:r>
            <w:r>
              <w:rPr>
                <w:rFonts w:hint="eastAsia" w:ascii="宋体" w:hAnsi="宋体" w:cs="宋体"/>
                <w:bCs/>
                <w:kern w:val="0"/>
                <w:sz w:val="24"/>
              </w:rPr>
              <w:t xml:space="preserve">        </w:t>
            </w:r>
            <w:r>
              <w:rPr>
                <w:rFonts w:hint="eastAsia" w:ascii="仿宋_GB2312" w:hAnsi="宋体" w:eastAsia="仿宋_GB2312" w:cs="宋体"/>
                <w:bCs/>
                <w:kern w:val="0"/>
                <w:sz w:val="24"/>
              </w:rPr>
              <w:t>情</w:t>
            </w:r>
            <w:r>
              <w:rPr>
                <w:rFonts w:hint="eastAsia" w:ascii="宋体" w:hAnsi="宋体" w:cs="宋体"/>
                <w:bCs/>
                <w:kern w:val="0"/>
                <w:sz w:val="24"/>
              </w:rPr>
              <w:t xml:space="preserve">        </w:t>
            </w:r>
            <w:r>
              <w:rPr>
                <w:rFonts w:hint="eastAsia" w:ascii="仿宋_GB2312" w:hAnsi="宋体" w:eastAsia="仿宋_GB2312" w:cs="宋体"/>
                <w:bCs/>
                <w:kern w:val="0"/>
                <w:sz w:val="24"/>
              </w:rPr>
              <w:t>况</w:t>
            </w:r>
          </w:p>
        </w:tc>
      </w:tr>
      <w:tr>
        <w:tblPrEx>
          <w:tblLayout w:type="fixed"/>
          <w:tblCellMar>
            <w:top w:w="0" w:type="dxa"/>
            <w:left w:w="108" w:type="dxa"/>
            <w:bottom w:w="0" w:type="dxa"/>
            <w:right w:w="108" w:type="dxa"/>
          </w:tblCellMar>
        </w:tblPrEx>
        <w:trPr>
          <w:trHeight w:val="575" w:hRule="atLeast"/>
        </w:trPr>
        <w:tc>
          <w:tcPr>
            <w:tcW w:w="1760" w:type="dxa"/>
            <w:gridSpan w:val="2"/>
            <w:tcBorders>
              <w:top w:val="single" w:color="auto" w:sz="4" w:space="0"/>
              <w:left w:val="single" w:color="auto" w:sz="4" w:space="0"/>
              <w:bottom w:val="single" w:color="000000" w:sz="4" w:space="0"/>
              <w:right w:val="single" w:color="000000" w:sz="4" w:space="0"/>
            </w:tcBorders>
            <w:vAlign w:val="center"/>
          </w:tcPr>
          <w:p>
            <w:pPr>
              <w:widowControl/>
              <w:spacing w:line="260" w:lineRule="exact"/>
              <w:jc w:val="center"/>
              <w:rPr>
                <w:rFonts w:hint="eastAsia" w:ascii="仿宋_GB2312" w:hAnsi="宋体" w:eastAsia="仿宋_GB2312" w:cs="宋体"/>
                <w:bCs/>
                <w:kern w:val="0"/>
                <w:sz w:val="24"/>
              </w:rPr>
            </w:pPr>
            <w:r>
              <w:rPr>
                <w:rFonts w:hint="eastAsia" w:ascii="仿宋_GB2312" w:hAnsi="宋体" w:eastAsia="仿宋_GB2312" w:cs="宋体"/>
                <w:bCs/>
                <w:kern w:val="0"/>
                <w:sz w:val="24"/>
              </w:rPr>
              <w:t>考核项目</w:t>
            </w:r>
          </w:p>
        </w:tc>
        <w:tc>
          <w:tcPr>
            <w:tcW w:w="940" w:type="dxa"/>
            <w:gridSpan w:val="2"/>
            <w:tcBorders>
              <w:top w:val="single" w:color="auto" w:sz="4" w:space="0"/>
              <w:left w:val="single" w:color="auto" w:sz="4" w:space="0"/>
              <w:bottom w:val="single" w:color="000000" w:sz="4" w:space="0"/>
              <w:right w:val="single" w:color="000000" w:sz="4" w:space="0"/>
            </w:tcBorders>
            <w:vAlign w:val="center"/>
          </w:tcPr>
          <w:p>
            <w:pPr>
              <w:widowControl/>
              <w:spacing w:line="260" w:lineRule="exact"/>
              <w:jc w:val="center"/>
              <w:rPr>
                <w:rFonts w:hint="eastAsia" w:ascii="仿宋_GB2312" w:hAnsi="宋体" w:eastAsia="仿宋_GB2312" w:cs="宋体"/>
                <w:bCs/>
                <w:kern w:val="0"/>
                <w:sz w:val="24"/>
              </w:rPr>
            </w:pPr>
            <w:r>
              <w:rPr>
                <w:rFonts w:hint="eastAsia" w:ascii="仿宋_GB2312" w:hAnsi="宋体" w:eastAsia="仿宋_GB2312" w:cs="宋体"/>
                <w:bCs/>
                <w:kern w:val="0"/>
                <w:sz w:val="24"/>
              </w:rPr>
              <w:t>分值</w:t>
            </w:r>
          </w:p>
        </w:tc>
        <w:tc>
          <w:tcPr>
            <w:tcW w:w="5595" w:type="dxa"/>
            <w:gridSpan w:val="5"/>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仿宋_GB2312" w:hAnsi="宋体" w:eastAsia="仿宋_GB2312" w:cs="宋体"/>
                <w:bCs/>
                <w:kern w:val="0"/>
                <w:sz w:val="24"/>
              </w:rPr>
            </w:pPr>
            <w:r>
              <w:rPr>
                <w:rFonts w:hint="eastAsia" w:ascii="仿宋_GB2312" w:hAnsi="宋体" w:eastAsia="仿宋_GB2312" w:cs="宋体"/>
                <w:bCs/>
                <w:kern w:val="0"/>
                <w:sz w:val="24"/>
              </w:rPr>
              <w:t>考核内容</w:t>
            </w:r>
          </w:p>
        </w:tc>
        <w:tc>
          <w:tcPr>
            <w:tcW w:w="720" w:type="dxa"/>
            <w:tcBorders>
              <w:top w:val="nil"/>
              <w:left w:val="single" w:color="auto" w:sz="4" w:space="0"/>
              <w:bottom w:val="single" w:color="000000" w:sz="4" w:space="0"/>
              <w:right w:val="nil"/>
            </w:tcBorders>
            <w:vAlign w:val="center"/>
          </w:tcPr>
          <w:p>
            <w:pPr>
              <w:widowControl/>
              <w:spacing w:line="260" w:lineRule="exact"/>
              <w:jc w:val="center"/>
              <w:rPr>
                <w:rFonts w:hint="eastAsia" w:ascii="仿宋_GB2312" w:hAnsi="宋体" w:eastAsia="仿宋_GB2312" w:cs="宋体"/>
                <w:bCs/>
                <w:kern w:val="0"/>
                <w:sz w:val="24"/>
              </w:rPr>
            </w:pPr>
            <w:r>
              <w:rPr>
                <w:rFonts w:hint="eastAsia" w:ascii="仿宋_GB2312" w:hAnsi="宋体" w:eastAsia="仿宋_GB2312" w:cs="宋体"/>
                <w:bCs/>
                <w:kern w:val="0"/>
                <w:sz w:val="24"/>
              </w:rPr>
              <w:t>得分</w:t>
            </w:r>
          </w:p>
        </w:tc>
        <w:tc>
          <w:tcPr>
            <w:tcW w:w="720"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hint="eastAsia" w:ascii="仿宋_GB2312" w:hAnsi="宋体" w:eastAsia="仿宋_GB2312" w:cs="宋体"/>
                <w:bCs/>
                <w:kern w:val="0"/>
                <w:sz w:val="24"/>
              </w:rPr>
            </w:pPr>
            <w:r>
              <w:rPr>
                <w:rFonts w:hint="eastAsia" w:ascii="仿宋_GB2312" w:hAnsi="宋体" w:eastAsia="仿宋_GB2312" w:cs="宋体"/>
                <w:bCs/>
                <w:kern w:val="0"/>
                <w:sz w:val="24"/>
              </w:rPr>
              <w:t>备注</w:t>
            </w:r>
          </w:p>
        </w:tc>
      </w:tr>
      <w:tr>
        <w:tblPrEx>
          <w:tblLayout w:type="fixed"/>
          <w:tblCellMar>
            <w:top w:w="0" w:type="dxa"/>
            <w:left w:w="108" w:type="dxa"/>
            <w:bottom w:w="0" w:type="dxa"/>
            <w:right w:w="108" w:type="dxa"/>
          </w:tblCellMar>
        </w:tblPrEx>
        <w:trPr>
          <w:trHeight w:val="1050" w:hRule="atLeast"/>
        </w:trPr>
        <w:tc>
          <w:tcPr>
            <w:tcW w:w="520" w:type="dxa"/>
            <w:vMerge w:val="restart"/>
            <w:tcBorders>
              <w:top w:val="nil"/>
              <w:left w:val="single" w:color="auto" w:sz="4" w:space="0"/>
              <w:bottom w:val="single" w:color="auto" w:sz="4" w:space="0"/>
              <w:right w:val="single" w:color="auto" w:sz="4" w:space="0"/>
            </w:tcBorders>
            <w:vAlign w:val="center"/>
          </w:tcPr>
          <w:p>
            <w:pPr>
              <w:widowControl/>
              <w:spacing w:line="260" w:lineRule="exact"/>
              <w:jc w:val="center"/>
              <w:rPr>
                <w:rFonts w:ascii="仿宋_GB2312" w:hAnsi="宋体" w:eastAsia="仿宋_GB2312" w:cs="宋体"/>
                <w:bCs/>
                <w:kern w:val="0"/>
                <w:sz w:val="24"/>
              </w:rPr>
            </w:pPr>
            <w:r>
              <w:rPr>
                <w:rFonts w:hint="eastAsia" w:ascii="仿宋_GB2312" w:hAnsi="宋体" w:eastAsia="仿宋_GB2312" w:cs="宋体"/>
                <w:bCs/>
                <w:kern w:val="0"/>
                <w:sz w:val="24"/>
              </w:rPr>
              <w:t>评审效率</w:t>
            </w:r>
          </w:p>
        </w:tc>
        <w:tc>
          <w:tcPr>
            <w:tcW w:w="1240" w:type="dxa"/>
            <w:tcBorders>
              <w:top w:val="nil"/>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bCs/>
                <w:kern w:val="0"/>
                <w:sz w:val="24"/>
              </w:rPr>
            </w:pPr>
            <w:r>
              <w:rPr>
                <w:rFonts w:hint="eastAsia" w:ascii="仿宋_GB2312" w:hAnsi="宋体" w:eastAsia="仿宋_GB2312" w:cs="宋体"/>
                <w:bCs/>
                <w:kern w:val="0"/>
                <w:sz w:val="24"/>
              </w:rPr>
              <w:t>评审时限</w:t>
            </w:r>
          </w:p>
        </w:tc>
        <w:tc>
          <w:tcPr>
            <w:tcW w:w="480" w:type="dxa"/>
            <w:vMerge w:val="restart"/>
            <w:tcBorders>
              <w:top w:val="nil"/>
              <w:left w:val="single" w:color="auto" w:sz="4" w:space="0"/>
              <w:bottom w:val="single" w:color="000000" w:sz="4" w:space="0"/>
              <w:right w:val="single" w:color="auto" w:sz="4" w:space="0"/>
            </w:tcBorders>
            <w:vAlign w:val="center"/>
          </w:tcPr>
          <w:p>
            <w:pPr>
              <w:widowControl/>
              <w:spacing w:line="260" w:lineRule="exact"/>
              <w:jc w:val="center"/>
              <w:rPr>
                <w:rFonts w:ascii="宋体" w:hAnsi="宋体" w:cs="宋体"/>
                <w:bCs/>
                <w:kern w:val="0"/>
                <w:sz w:val="20"/>
                <w:szCs w:val="20"/>
              </w:rPr>
            </w:pPr>
            <w:r>
              <w:rPr>
                <w:rFonts w:hint="eastAsia" w:ascii="宋体" w:hAnsi="宋体" w:cs="宋体"/>
                <w:bCs/>
                <w:kern w:val="0"/>
                <w:sz w:val="20"/>
                <w:szCs w:val="20"/>
              </w:rPr>
              <w:t>20</w:t>
            </w:r>
          </w:p>
        </w:tc>
        <w:tc>
          <w:tcPr>
            <w:tcW w:w="460" w:type="dxa"/>
            <w:tcBorders>
              <w:top w:val="nil"/>
              <w:left w:val="nil"/>
              <w:bottom w:val="single" w:color="auto" w:sz="4" w:space="0"/>
              <w:right w:val="single" w:color="auto" w:sz="4" w:space="0"/>
            </w:tcBorders>
            <w:vAlign w:val="center"/>
          </w:tcPr>
          <w:p>
            <w:pPr>
              <w:widowControl/>
              <w:spacing w:line="260" w:lineRule="exact"/>
              <w:jc w:val="right"/>
              <w:rPr>
                <w:rFonts w:ascii="宋体" w:hAnsi="宋体" w:cs="宋体"/>
                <w:bCs/>
                <w:kern w:val="0"/>
                <w:sz w:val="20"/>
                <w:szCs w:val="20"/>
              </w:rPr>
            </w:pPr>
            <w:r>
              <w:rPr>
                <w:rFonts w:hint="eastAsia" w:ascii="宋体" w:hAnsi="宋体" w:cs="宋体"/>
                <w:bCs/>
                <w:kern w:val="0"/>
                <w:sz w:val="20"/>
                <w:szCs w:val="20"/>
              </w:rPr>
              <w:t>15</w:t>
            </w:r>
          </w:p>
        </w:tc>
        <w:tc>
          <w:tcPr>
            <w:tcW w:w="5595" w:type="dxa"/>
            <w:gridSpan w:val="5"/>
            <w:tcBorders>
              <w:top w:val="single" w:color="auto" w:sz="4" w:space="0"/>
              <w:left w:val="nil"/>
              <w:bottom w:val="single" w:color="auto" w:sz="4" w:space="0"/>
              <w:right w:val="single" w:color="000000" w:sz="4" w:space="0"/>
            </w:tcBorders>
            <w:vAlign w:val="center"/>
          </w:tcPr>
          <w:p>
            <w:pPr>
              <w:widowControl/>
              <w:spacing w:line="22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未在评审时限（含经审批同意延长）内完成任务的，按每延长</w:t>
            </w:r>
            <w:r>
              <w:rPr>
                <w:rFonts w:hint="eastAsia" w:ascii="宋体" w:hAnsi="宋体" w:cs="宋体"/>
                <w:kern w:val="0"/>
                <w:sz w:val="20"/>
                <w:szCs w:val="20"/>
              </w:rPr>
              <w:t>1</w:t>
            </w:r>
            <w:r>
              <w:rPr>
                <w:rFonts w:hint="eastAsia" w:ascii="仿宋_GB2312" w:hAnsi="宋体" w:eastAsia="仿宋_GB2312" w:cs="宋体"/>
                <w:kern w:val="0"/>
                <w:sz w:val="20"/>
                <w:szCs w:val="20"/>
              </w:rPr>
              <w:t>天扣</w:t>
            </w:r>
            <w:r>
              <w:rPr>
                <w:rFonts w:hint="eastAsia" w:ascii="宋体" w:hAnsi="宋体" w:cs="宋体"/>
                <w:kern w:val="0"/>
                <w:sz w:val="20"/>
                <w:szCs w:val="20"/>
              </w:rPr>
              <w:t>2</w:t>
            </w:r>
            <w:r>
              <w:rPr>
                <w:rFonts w:hint="eastAsia" w:ascii="仿宋_GB2312" w:hAnsi="宋体" w:eastAsia="仿宋_GB2312" w:cs="宋体"/>
                <w:kern w:val="0"/>
                <w:sz w:val="20"/>
                <w:szCs w:val="20"/>
              </w:rPr>
              <w:t>分，扣完为止。</w:t>
            </w:r>
            <w:r>
              <w:rPr>
                <w:rFonts w:hint="eastAsia" w:ascii="宋体" w:hAnsi="宋体" w:cs="宋体"/>
                <w:kern w:val="0"/>
                <w:sz w:val="20"/>
                <w:szCs w:val="20"/>
              </w:rPr>
              <w:t xml:space="preserve">( </w:t>
            </w:r>
            <w:r>
              <w:rPr>
                <w:rFonts w:hint="eastAsia" w:ascii="仿宋_GB2312" w:hAnsi="宋体" w:eastAsia="仿宋_GB2312" w:cs="宋体"/>
                <w:kern w:val="0"/>
                <w:sz w:val="20"/>
                <w:szCs w:val="20"/>
              </w:rPr>
              <w:t>评审时限按评审联系单约定时限为准，非评审单位原因延误可申请延长评审时限；接到资料</w:t>
            </w:r>
            <w:r>
              <w:rPr>
                <w:rFonts w:hint="eastAsia" w:ascii="宋体" w:hAnsi="宋体" w:cs="宋体"/>
                <w:kern w:val="0"/>
                <w:sz w:val="20"/>
                <w:szCs w:val="20"/>
              </w:rPr>
              <w:t>2</w:t>
            </w:r>
            <w:r>
              <w:rPr>
                <w:rFonts w:hint="eastAsia" w:ascii="仿宋_GB2312" w:hAnsi="宋体" w:eastAsia="仿宋_GB2312" w:cs="宋体"/>
                <w:kern w:val="0"/>
                <w:sz w:val="20"/>
                <w:szCs w:val="20"/>
              </w:rPr>
              <w:t>天后书面确定资料是否完全，事后因资料不全致使评审工作无法进行，评审时间不延迟。）</w:t>
            </w:r>
            <w:r>
              <w:rPr>
                <w:rFonts w:hint="eastAsia" w:ascii="宋体" w:hAnsi="宋体" w:cs="宋体"/>
                <w:kern w:val="0"/>
                <w:sz w:val="20"/>
                <w:szCs w:val="20"/>
              </w:rPr>
              <w:t xml:space="preserve"> </w:t>
            </w:r>
          </w:p>
        </w:tc>
        <w:tc>
          <w:tcPr>
            <w:tcW w:w="720" w:type="dxa"/>
            <w:tcBorders>
              <w:top w:val="nil"/>
              <w:left w:val="nil"/>
              <w:bottom w:val="single" w:color="auto" w:sz="4" w:space="0"/>
              <w:right w:val="single" w:color="auto" w:sz="4" w:space="0"/>
            </w:tcBorders>
            <w:vAlign w:val="top"/>
          </w:tcPr>
          <w:p>
            <w:pPr>
              <w:widowControl/>
              <w:spacing w:line="220" w:lineRule="exact"/>
              <w:jc w:val="left"/>
              <w:rPr>
                <w:rFonts w:ascii="宋体" w:hAnsi="宋体" w:cs="宋体"/>
                <w:kern w:val="0"/>
                <w:sz w:val="24"/>
              </w:rPr>
            </w:pPr>
            <w:r>
              <w:rPr>
                <w:rFonts w:hint="eastAsia" w:ascii="宋体" w:hAnsi="宋体" w:cs="宋体"/>
                <w:kern w:val="0"/>
                <w:sz w:val="24"/>
              </w:rPr>
              <w:t>　</w:t>
            </w:r>
          </w:p>
        </w:tc>
        <w:tc>
          <w:tcPr>
            <w:tcW w:w="720" w:type="dxa"/>
            <w:tcBorders>
              <w:top w:val="nil"/>
              <w:left w:val="nil"/>
              <w:bottom w:val="single" w:color="auto" w:sz="4" w:space="0"/>
              <w:right w:val="single" w:color="auto" w:sz="4" w:space="0"/>
            </w:tcBorders>
            <w:vAlign w:val="top"/>
          </w:tcPr>
          <w:p>
            <w:pPr>
              <w:widowControl/>
              <w:spacing w:line="220" w:lineRule="exact"/>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40" w:hRule="atLeast"/>
        </w:trPr>
        <w:tc>
          <w:tcPr>
            <w:tcW w:w="520"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仿宋_GB2312" w:hAnsi="宋体" w:eastAsia="仿宋_GB2312" w:cs="宋体"/>
                <w:bCs/>
                <w:kern w:val="0"/>
                <w:sz w:val="24"/>
              </w:rPr>
            </w:pPr>
          </w:p>
        </w:tc>
        <w:tc>
          <w:tcPr>
            <w:tcW w:w="1240" w:type="dxa"/>
            <w:tcBorders>
              <w:top w:val="nil"/>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bCs/>
                <w:kern w:val="0"/>
                <w:sz w:val="24"/>
              </w:rPr>
            </w:pPr>
            <w:r>
              <w:rPr>
                <w:rFonts w:hint="eastAsia" w:ascii="仿宋_GB2312" w:hAnsi="宋体" w:eastAsia="仿宋_GB2312" w:cs="宋体"/>
                <w:bCs/>
                <w:kern w:val="0"/>
                <w:sz w:val="24"/>
              </w:rPr>
              <w:t>奖励加分</w:t>
            </w:r>
          </w:p>
        </w:tc>
        <w:tc>
          <w:tcPr>
            <w:tcW w:w="4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bCs/>
                <w:kern w:val="0"/>
                <w:sz w:val="20"/>
                <w:szCs w:val="20"/>
              </w:rPr>
            </w:pPr>
          </w:p>
        </w:tc>
        <w:tc>
          <w:tcPr>
            <w:tcW w:w="460" w:type="dxa"/>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bCs/>
                <w:kern w:val="0"/>
                <w:sz w:val="20"/>
                <w:szCs w:val="20"/>
              </w:rPr>
            </w:pPr>
            <w:r>
              <w:rPr>
                <w:rFonts w:hint="eastAsia" w:ascii="宋体" w:hAnsi="宋体" w:cs="宋体"/>
                <w:bCs/>
                <w:kern w:val="0"/>
                <w:sz w:val="20"/>
                <w:szCs w:val="20"/>
              </w:rPr>
              <w:t>5</w:t>
            </w:r>
          </w:p>
        </w:tc>
        <w:tc>
          <w:tcPr>
            <w:tcW w:w="5595" w:type="dxa"/>
            <w:gridSpan w:val="5"/>
            <w:tcBorders>
              <w:top w:val="single" w:color="auto" w:sz="4" w:space="0"/>
              <w:left w:val="nil"/>
              <w:bottom w:val="single" w:color="auto" w:sz="4" w:space="0"/>
              <w:right w:val="single" w:color="auto" w:sz="4" w:space="0"/>
            </w:tcBorders>
            <w:vAlign w:val="center"/>
          </w:tcPr>
          <w:p>
            <w:pPr>
              <w:widowControl/>
              <w:spacing w:line="22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特殊项目临时要求提前提交成果，且在更改的规定时间内完成任务的，比原约定评审时取每提前一天加1分，最高加5分。</w:t>
            </w:r>
          </w:p>
        </w:tc>
        <w:tc>
          <w:tcPr>
            <w:tcW w:w="720" w:type="dxa"/>
            <w:tcBorders>
              <w:top w:val="nil"/>
              <w:left w:val="nil"/>
              <w:bottom w:val="single" w:color="auto" w:sz="4" w:space="0"/>
              <w:right w:val="single" w:color="auto" w:sz="4" w:space="0"/>
            </w:tcBorders>
            <w:vAlign w:val="top"/>
          </w:tcPr>
          <w:p>
            <w:pPr>
              <w:widowControl/>
              <w:spacing w:line="220" w:lineRule="exact"/>
              <w:jc w:val="left"/>
              <w:rPr>
                <w:rFonts w:ascii="宋体" w:hAnsi="宋体" w:cs="宋体"/>
                <w:kern w:val="0"/>
                <w:sz w:val="24"/>
              </w:rPr>
            </w:pPr>
            <w:r>
              <w:rPr>
                <w:rFonts w:hint="eastAsia" w:ascii="宋体" w:hAnsi="宋体" w:cs="宋体"/>
                <w:kern w:val="0"/>
                <w:sz w:val="24"/>
              </w:rPr>
              <w:t>　</w:t>
            </w:r>
          </w:p>
        </w:tc>
        <w:tc>
          <w:tcPr>
            <w:tcW w:w="720" w:type="dxa"/>
            <w:tcBorders>
              <w:top w:val="nil"/>
              <w:left w:val="nil"/>
              <w:bottom w:val="single" w:color="auto" w:sz="4" w:space="0"/>
              <w:right w:val="single" w:color="auto" w:sz="4" w:space="0"/>
            </w:tcBorders>
            <w:vAlign w:val="top"/>
          </w:tcPr>
          <w:p>
            <w:pPr>
              <w:widowControl/>
              <w:spacing w:line="220" w:lineRule="exact"/>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765" w:hRule="atLeast"/>
        </w:trPr>
        <w:tc>
          <w:tcPr>
            <w:tcW w:w="520" w:type="dxa"/>
            <w:vMerge w:val="restart"/>
            <w:tcBorders>
              <w:top w:val="nil"/>
              <w:left w:val="single" w:color="auto" w:sz="4" w:space="0"/>
              <w:bottom w:val="single" w:color="000000" w:sz="4" w:space="0"/>
              <w:right w:val="single" w:color="auto" w:sz="4" w:space="0"/>
            </w:tcBorders>
            <w:vAlign w:val="center"/>
          </w:tcPr>
          <w:p>
            <w:pPr>
              <w:widowControl/>
              <w:spacing w:line="260" w:lineRule="exact"/>
              <w:jc w:val="center"/>
              <w:rPr>
                <w:rFonts w:ascii="仿宋_GB2312" w:hAnsi="宋体" w:eastAsia="仿宋_GB2312" w:cs="宋体"/>
                <w:bCs/>
                <w:kern w:val="0"/>
                <w:sz w:val="24"/>
              </w:rPr>
            </w:pPr>
            <w:r>
              <w:rPr>
                <w:rFonts w:hint="eastAsia" w:ascii="仿宋_GB2312" w:hAnsi="宋体" w:eastAsia="仿宋_GB2312" w:cs="宋体"/>
                <w:bCs/>
                <w:kern w:val="0"/>
                <w:sz w:val="24"/>
              </w:rPr>
              <w:t>评审质量</w:t>
            </w:r>
          </w:p>
        </w:tc>
        <w:tc>
          <w:tcPr>
            <w:tcW w:w="1240" w:type="dxa"/>
            <w:tcBorders>
              <w:top w:val="nil"/>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bCs/>
                <w:kern w:val="0"/>
                <w:sz w:val="24"/>
              </w:rPr>
            </w:pPr>
            <w:r>
              <w:rPr>
                <w:rFonts w:hint="eastAsia" w:ascii="仿宋_GB2312" w:hAnsi="宋体" w:eastAsia="仿宋_GB2312" w:cs="宋体"/>
                <w:bCs/>
                <w:kern w:val="0"/>
                <w:sz w:val="24"/>
              </w:rPr>
              <w:t>评审专业力量</w:t>
            </w:r>
          </w:p>
        </w:tc>
        <w:tc>
          <w:tcPr>
            <w:tcW w:w="480" w:type="dxa"/>
            <w:vMerge w:val="restart"/>
            <w:tcBorders>
              <w:top w:val="nil"/>
              <w:left w:val="single" w:color="auto" w:sz="4" w:space="0"/>
              <w:bottom w:val="single" w:color="000000" w:sz="4" w:space="0"/>
              <w:right w:val="single" w:color="auto" w:sz="4" w:space="0"/>
            </w:tcBorders>
            <w:vAlign w:val="center"/>
          </w:tcPr>
          <w:p>
            <w:pPr>
              <w:widowControl/>
              <w:spacing w:line="260" w:lineRule="exact"/>
              <w:jc w:val="center"/>
              <w:rPr>
                <w:rFonts w:ascii="宋体" w:hAnsi="宋体" w:cs="宋体"/>
                <w:bCs/>
                <w:kern w:val="0"/>
                <w:sz w:val="24"/>
              </w:rPr>
            </w:pPr>
            <w:r>
              <w:rPr>
                <w:rFonts w:hint="eastAsia" w:ascii="宋体" w:hAnsi="宋体" w:cs="宋体"/>
                <w:bCs/>
                <w:kern w:val="0"/>
                <w:sz w:val="24"/>
              </w:rPr>
              <w:t>60</w:t>
            </w:r>
          </w:p>
        </w:tc>
        <w:tc>
          <w:tcPr>
            <w:tcW w:w="460" w:type="dxa"/>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bCs/>
                <w:kern w:val="0"/>
                <w:sz w:val="20"/>
                <w:szCs w:val="20"/>
              </w:rPr>
            </w:pPr>
            <w:r>
              <w:rPr>
                <w:rFonts w:hint="eastAsia" w:ascii="宋体" w:hAnsi="宋体" w:cs="宋体"/>
                <w:bCs/>
                <w:kern w:val="0"/>
                <w:sz w:val="20"/>
                <w:szCs w:val="20"/>
              </w:rPr>
              <w:t>5</w:t>
            </w:r>
          </w:p>
        </w:tc>
        <w:tc>
          <w:tcPr>
            <w:tcW w:w="5595" w:type="dxa"/>
            <w:gridSpan w:val="5"/>
            <w:tcBorders>
              <w:top w:val="single" w:color="auto" w:sz="4" w:space="0"/>
              <w:left w:val="nil"/>
              <w:bottom w:val="single" w:color="auto" w:sz="4" w:space="0"/>
              <w:right w:val="single" w:color="000000" w:sz="4" w:space="0"/>
            </w:tcBorders>
            <w:vAlign w:val="center"/>
          </w:tcPr>
          <w:p>
            <w:pPr>
              <w:widowControl/>
              <w:spacing w:line="22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编制、审核、复核人员应按备案登记且专业匹配要求进行配置。未按标准配置的计0分，未经委托人同意更换评审人员的，更换项目负责人的扣2分，更换其他评审人员的，每个扣1分。</w:t>
            </w:r>
          </w:p>
        </w:tc>
        <w:tc>
          <w:tcPr>
            <w:tcW w:w="720" w:type="dxa"/>
            <w:tcBorders>
              <w:top w:val="nil"/>
              <w:left w:val="nil"/>
              <w:bottom w:val="single" w:color="auto" w:sz="4" w:space="0"/>
              <w:right w:val="single" w:color="auto" w:sz="4" w:space="0"/>
            </w:tcBorders>
            <w:vAlign w:val="top"/>
          </w:tcPr>
          <w:p>
            <w:pPr>
              <w:widowControl/>
              <w:spacing w:line="220" w:lineRule="exact"/>
              <w:jc w:val="left"/>
              <w:rPr>
                <w:rFonts w:ascii="宋体" w:hAnsi="宋体" w:cs="宋体"/>
                <w:kern w:val="0"/>
                <w:sz w:val="24"/>
              </w:rPr>
            </w:pPr>
            <w:r>
              <w:rPr>
                <w:rFonts w:hint="eastAsia" w:ascii="宋体" w:hAnsi="宋体" w:cs="宋体"/>
                <w:kern w:val="0"/>
                <w:sz w:val="24"/>
              </w:rPr>
              <w:t>　</w:t>
            </w:r>
          </w:p>
        </w:tc>
        <w:tc>
          <w:tcPr>
            <w:tcW w:w="720" w:type="dxa"/>
            <w:tcBorders>
              <w:top w:val="nil"/>
              <w:left w:val="nil"/>
              <w:bottom w:val="single" w:color="auto" w:sz="4" w:space="0"/>
              <w:right w:val="single" w:color="auto" w:sz="4" w:space="0"/>
            </w:tcBorders>
            <w:vAlign w:val="top"/>
          </w:tcPr>
          <w:p>
            <w:pPr>
              <w:widowControl/>
              <w:spacing w:line="220" w:lineRule="exact"/>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765" w:hRule="atLeast"/>
        </w:trPr>
        <w:tc>
          <w:tcPr>
            <w:tcW w:w="52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宋体" w:eastAsia="仿宋_GB2312" w:cs="宋体"/>
                <w:bCs/>
                <w:kern w:val="0"/>
                <w:sz w:val="24"/>
              </w:rPr>
            </w:pPr>
          </w:p>
        </w:tc>
        <w:tc>
          <w:tcPr>
            <w:tcW w:w="1240" w:type="dxa"/>
            <w:vMerge w:val="restart"/>
            <w:tcBorders>
              <w:top w:val="nil"/>
              <w:left w:val="single" w:color="auto" w:sz="4" w:space="0"/>
              <w:bottom w:val="single" w:color="000000" w:sz="4" w:space="0"/>
              <w:right w:val="single" w:color="auto" w:sz="4" w:space="0"/>
            </w:tcBorders>
            <w:vAlign w:val="center"/>
          </w:tcPr>
          <w:p>
            <w:pPr>
              <w:widowControl/>
              <w:spacing w:line="260" w:lineRule="exact"/>
              <w:jc w:val="center"/>
              <w:rPr>
                <w:rFonts w:ascii="仿宋_GB2312" w:hAnsi="宋体" w:eastAsia="仿宋_GB2312" w:cs="宋体"/>
                <w:bCs/>
                <w:kern w:val="0"/>
                <w:sz w:val="24"/>
              </w:rPr>
            </w:pPr>
            <w:r>
              <w:rPr>
                <w:rFonts w:hint="eastAsia" w:ascii="仿宋_GB2312" w:hAnsi="宋体" w:eastAsia="仿宋_GB2312" w:cs="宋体"/>
                <w:bCs/>
                <w:kern w:val="0"/>
                <w:sz w:val="24"/>
              </w:rPr>
              <w:t>评审报告质量</w:t>
            </w:r>
          </w:p>
        </w:tc>
        <w:tc>
          <w:tcPr>
            <w:tcW w:w="4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bCs/>
                <w:kern w:val="0"/>
                <w:sz w:val="24"/>
              </w:rPr>
            </w:pPr>
          </w:p>
        </w:tc>
        <w:tc>
          <w:tcPr>
            <w:tcW w:w="460" w:type="dxa"/>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bCs/>
                <w:kern w:val="0"/>
                <w:sz w:val="20"/>
                <w:szCs w:val="20"/>
              </w:rPr>
            </w:pPr>
            <w:r>
              <w:rPr>
                <w:rFonts w:hint="eastAsia" w:ascii="宋体" w:hAnsi="宋体" w:cs="宋体"/>
                <w:bCs/>
                <w:kern w:val="0"/>
                <w:sz w:val="20"/>
                <w:szCs w:val="20"/>
              </w:rPr>
              <w:t>6</w:t>
            </w:r>
          </w:p>
        </w:tc>
        <w:tc>
          <w:tcPr>
            <w:tcW w:w="5595" w:type="dxa"/>
            <w:gridSpan w:val="5"/>
            <w:tcBorders>
              <w:top w:val="single" w:color="auto" w:sz="4" w:space="0"/>
              <w:left w:val="nil"/>
              <w:bottom w:val="single" w:color="auto" w:sz="4" w:space="0"/>
              <w:right w:val="single" w:color="000000" w:sz="4" w:space="0"/>
            </w:tcBorders>
            <w:vAlign w:val="center"/>
          </w:tcPr>
          <w:p>
            <w:pPr>
              <w:widowControl/>
              <w:spacing w:line="22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正式报告出具之前必须向评审办提供初稿及校正稿，</w:t>
            </w:r>
            <w:r>
              <w:rPr>
                <w:rFonts w:hint="eastAsia" w:ascii="仿宋_GB2312" w:hAnsi="宋体" w:eastAsia="仿宋_GB2312" w:cs="宋体"/>
                <w:spacing w:val="-4"/>
                <w:kern w:val="0"/>
                <w:sz w:val="20"/>
                <w:szCs w:val="20"/>
              </w:rPr>
              <w:t>未按规定提供计0分。初稿不规范、审计底稿不详细、审核复核内控管理不完善、现场勘测不到位，校正稿未按要求修正的每项扣1分。</w:t>
            </w:r>
          </w:p>
        </w:tc>
        <w:tc>
          <w:tcPr>
            <w:tcW w:w="720" w:type="dxa"/>
            <w:tcBorders>
              <w:top w:val="nil"/>
              <w:left w:val="nil"/>
              <w:bottom w:val="single" w:color="auto" w:sz="4" w:space="0"/>
              <w:right w:val="single" w:color="auto" w:sz="4" w:space="0"/>
            </w:tcBorders>
            <w:vAlign w:val="top"/>
          </w:tcPr>
          <w:p>
            <w:pPr>
              <w:widowControl/>
              <w:spacing w:line="220" w:lineRule="exact"/>
              <w:jc w:val="left"/>
              <w:rPr>
                <w:rFonts w:ascii="宋体" w:hAnsi="宋体" w:cs="宋体"/>
                <w:kern w:val="0"/>
                <w:sz w:val="24"/>
              </w:rPr>
            </w:pPr>
            <w:r>
              <w:rPr>
                <w:rFonts w:hint="eastAsia" w:ascii="宋体" w:hAnsi="宋体" w:cs="宋体"/>
                <w:kern w:val="0"/>
                <w:sz w:val="24"/>
              </w:rPr>
              <w:t>　</w:t>
            </w:r>
          </w:p>
        </w:tc>
        <w:tc>
          <w:tcPr>
            <w:tcW w:w="720" w:type="dxa"/>
            <w:tcBorders>
              <w:top w:val="nil"/>
              <w:left w:val="nil"/>
              <w:bottom w:val="single" w:color="auto" w:sz="4" w:space="0"/>
              <w:right w:val="single" w:color="auto" w:sz="4" w:space="0"/>
            </w:tcBorders>
            <w:vAlign w:val="top"/>
          </w:tcPr>
          <w:p>
            <w:pPr>
              <w:widowControl/>
              <w:spacing w:line="220" w:lineRule="exact"/>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748" w:hRule="atLeast"/>
        </w:trPr>
        <w:tc>
          <w:tcPr>
            <w:tcW w:w="52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宋体" w:eastAsia="仿宋_GB2312" w:cs="宋体"/>
                <w:bCs/>
                <w:kern w:val="0"/>
                <w:sz w:val="24"/>
              </w:rPr>
            </w:pPr>
          </w:p>
        </w:tc>
        <w:tc>
          <w:tcPr>
            <w:tcW w:w="124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宋体" w:eastAsia="仿宋_GB2312" w:cs="宋体"/>
                <w:bCs/>
                <w:kern w:val="0"/>
                <w:sz w:val="24"/>
              </w:rPr>
            </w:pPr>
          </w:p>
        </w:tc>
        <w:tc>
          <w:tcPr>
            <w:tcW w:w="4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bCs/>
                <w:kern w:val="0"/>
                <w:sz w:val="24"/>
              </w:rPr>
            </w:pPr>
          </w:p>
        </w:tc>
        <w:tc>
          <w:tcPr>
            <w:tcW w:w="460" w:type="dxa"/>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bCs/>
                <w:kern w:val="0"/>
                <w:sz w:val="20"/>
                <w:szCs w:val="20"/>
              </w:rPr>
            </w:pPr>
            <w:r>
              <w:rPr>
                <w:rFonts w:hint="eastAsia" w:ascii="宋体" w:hAnsi="宋体" w:cs="宋体"/>
                <w:bCs/>
                <w:kern w:val="0"/>
                <w:sz w:val="20"/>
                <w:szCs w:val="20"/>
              </w:rPr>
              <w:t>6</w:t>
            </w:r>
          </w:p>
        </w:tc>
        <w:tc>
          <w:tcPr>
            <w:tcW w:w="5595" w:type="dxa"/>
            <w:gridSpan w:val="5"/>
            <w:tcBorders>
              <w:top w:val="single" w:color="auto" w:sz="4" w:space="0"/>
              <w:left w:val="nil"/>
              <w:bottom w:val="single" w:color="auto" w:sz="4" w:space="0"/>
              <w:right w:val="single" w:color="auto" w:sz="4" w:space="0"/>
            </w:tcBorders>
            <w:vAlign w:val="center"/>
          </w:tcPr>
          <w:p>
            <w:pPr>
              <w:widowControl/>
              <w:spacing w:line="22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初稿中工程量少算、漏算、多算误差明显，定额套用或计价标准使用错误，材料设备未进行调查或价格偏差大，重大问题未反映的每项扣2分。</w:t>
            </w:r>
          </w:p>
        </w:tc>
        <w:tc>
          <w:tcPr>
            <w:tcW w:w="720" w:type="dxa"/>
            <w:tcBorders>
              <w:top w:val="nil"/>
              <w:left w:val="nil"/>
              <w:bottom w:val="single" w:color="auto" w:sz="4" w:space="0"/>
              <w:right w:val="single" w:color="auto" w:sz="4" w:space="0"/>
            </w:tcBorders>
            <w:vAlign w:val="top"/>
          </w:tcPr>
          <w:p>
            <w:pPr>
              <w:widowControl/>
              <w:spacing w:line="220" w:lineRule="exact"/>
              <w:jc w:val="left"/>
              <w:rPr>
                <w:rFonts w:ascii="宋体" w:hAnsi="宋体" w:cs="宋体"/>
                <w:kern w:val="0"/>
                <w:sz w:val="24"/>
              </w:rPr>
            </w:pPr>
            <w:r>
              <w:rPr>
                <w:rFonts w:hint="eastAsia" w:ascii="宋体" w:hAnsi="宋体" w:cs="宋体"/>
                <w:kern w:val="0"/>
                <w:sz w:val="24"/>
              </w:rPr>
              <w:t>　</w:t>
            </w:r>
          </w:p>
        </w:tc>
        <w:tc>
          <w:tcPr>
            <w:tcW w:w="720" w:type="dxa"/>
            <w:tcBorders>
              <w:top w:val="nil"/>
              <w:left w:val="nil"/>
              <w:bottom w:val="single" w:color="auto" w:sz="4" w:space="0"/>
              <w:right w:val="single" w:color="auto" w:sz="4" w:space="0"/>
            </w:tcBorders>
            <w:vAlign w:val="top"/>
          </w:tcPr>
          <w:p>
            <w:pPr>
              <w:widowControl/>
              <w:spacing w:line="220" w:lineRule="exact"/>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765" w:hRule="atLeast"/>
        </w:trPr>
        <w:tc>
          <w:tcPr>
            <w:tcW w:w="52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宋体" w:eastAsia="仿宋_GB2312" w:cs="宋体"/>
                <w:bCs/>
                <w:kern w:val="0"/>
                <w:sz w:val="24"/>
              </w:rPr>
            </w:pPr>
          </w:p>
        </w:tc>
        <w:tc>
          <w:tcPr>
            <w:tcW w:w="124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宋体" w:eastAsia="仿宋_GB2312" w:cs="宋体"/>
                <w:bCs/>
                <w:kern w:val="0"/>
                <w:sz w:val="24"/>
              </w:rPr>
            </w:pPr>
          </w:p>
        </w:tc>
        <w:tc>
          <w:tcPr>
            <w:tcW w:w="4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bCs/>
                <w:kern w:val="0"/>
                <w:sz w:val="24"/>
              </w:rPr>
            </w:pPr>
          </w:p>
        </w:tc>
        <w:tc>
          <w:tcPr>
            <w:tcW w:w="460" w:type="dxa"/>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bCs/>
                <w:kern w:val="0"/>
                <w:sz w:val="20"/>
                <w:szCs w:val="20"/>
              </w:rPr>
            </w:pPr>
            <w:r>
              <w:rPr>
                <w:rFonts w:hint="eastAsia" w:ascii="宋体" w:hAnsi="宋体" w:cs="宋体"/>
                <w:bCs/>
                <w:kern w:val="0"/>
                <w:sz w:val="20"/>
                <w:szCs w:val="20"/>
              </w:rPr>
              <w:t>6</w:t>
            </w:r>
          </w:p>
        </w:tc>
        <w:tc>
          <w:tcPr>
            <w:tcW w:w="5595" w:type="dxa"/>
            <w:gridSpan w:val="5"/>
            <w:tcBorders>
              <w:top w:val="single" w:color="auto" w:sz="4" w:space="0"/>
              <w:left w:val="nil"/>
              <w:bottom w:val="single" w:color="auto" w:sz="4" w:space="0"/>
              <w:right w:val="single" w:color="auto" w:sz="4" w:space="0"/>
            </w:tcBorders>
            <w:vAlign w:val="center"/>
          </w:tcPr>
          <w:p>
            <w:pPr>
              <w:widowControl/>
              <w:spacing w:line="22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正式评审报告格式不规范、项目背景表述不全，审核依据论述不充分，审核说明不详尽、主要审减原因未明确、评审数据不准确、人员签章不符合要求的每项扣2分。</w:t>
            </w:r>
          </w:p>
        </w:tc>
        <w:tc>
          <w:tcPr>
            <w:tcW w:w="720" w:type="dxa"/>
            <w:tcBorders>
              <w:top w:val="nil"/>
              <w:left w:val="nil"/>
              <w:bottom w:val="single" w:color="auto" w:sz="4" w:space="0"/>
              <w:right w:val="single" w:color="auto" w:sz="4" w:space="0"/>
            </w:tcBorders>
            <w:vAlign w:val="top"/>
          </w:tcPr>
          <w:p>
            <w:pPr>
              <w:widowControl/>
              <w:spacing w:line="220" w:lineRule="exact"/>
              <w:jc w:val="left"/>
              <w:rPr>
                <w:rFonts w:ascii="宋体" w:hAnsi="宋体" w:cs="宋体"/>
                <w:kern w:val="0"/>
                <w:sz w:val="24"/>
              </w:rPr>
            </w:pPr>
            <w:r>
              <w:rPr>
                <w:rFonts w:hint="eastAsia" w:ascii="宋体" w:hAnsi="宋体" w:cs="宋体"/>
                <w:kern w:val="0"/>
                <w:sz w:val="24"/>
              </w:rPr>
              <w:t>　</w:t>
            </w:r>
          </w:p>
        </w:tc>
        <w:tc>
          <w:tcPr>
            <w:tcW w:w="720" w:type="dxa"/>
            <w:tcBorders>
              <w:top w:val="nil"/>
              <w:left w:val="nil"/>
              <w:bottom w:val="single" w:color="auto" w:sz="4" w:space="0"/>
              <w:right w:val="single" w:color="auto" w:sz="4" w:space="0"/>
            </w:tcBorders>
            <w:vAlign w:val="top"/>
          </w:tcPr>
          <w:p>
            <w:pPr>
              <w:widowControl/>
              <w:spacing w:line="220" w:lineRule="exact"/>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10" w:hRule="atLeast"/>
        </w:trPr>
        <w:tc>
          <w:tcPr>
            <w:tcW w:w="52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宋体" w:eastAsia="仿宋_GB2312" w:cs="宋体"/>
                <w:bCs/>
                <w:kern w:val="0"/>
                <w:sz w:val="24"/>
              </w:rPr>
            </w:pPr>
          </w:p>
        </w:tc>
        <w:tc>
          <w:tcPr>
            <w:tcW w:w="124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宋体" w:eastAsia="仿宋_GB2312" w:cs="宋体"/>
                <w:bCs/>
                <w:kern w:val="0"/>
                <w:sz w:val="24"/>
              </w:rPr>
            </w:pPr>
          </w:p>
        </w:tc>
        <w:tc>
          <w:tcPr>
            <w:tcW w:w="4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bCs/>
                <w:kern w:val="0"/>
                <w:sz w:val="24"/>
              </w:rPr>
            </w:pPr>
          </w:p>
        </w:tc>
        <w:tc>
          <w:tcPr>
            <w:tcW w:w="460" w:type="dxa"/>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bCs/>
                <w:kern w:val="0"/>
                <w:sz w:val="20"/>
                <w:szCs w:val="20"/>
              </w:rPr>
            </w:pPr>
            <w:r>
              <w:rPr>
                <w:rFonts w:hint="eastAsia" w:ascii="宋体" w:hAnsi="宋体" w:cs="宋体"/>
                <w:bCs/>
                <w:kern w:val="0"/>
                <w:sz w:val="20"/>
                <w:szCs w:val="20"/>
              </w:rPr>
              <w:t>6</w:t>
            </w:r>
          </w:p>
        </w:tc>
        <w:tc>
          <w:tcPr>
            <w:tcW w:w="5595" w:type="dxa"/>
            <w:gridSpan w:val="5"/>
            <w:tcBorders>
              <w:top w:val="single" w:color="auto" w:sz="4" w:space="0"/>
              <w:left w:val="nil"/>
              <w:bottom w:val="single" w:color="auto" w:sz="4" w:space="0"/>
              <w:right w:val="single" w:color="000000" w:sz="4" w:space="0"/>
            </w:tcBorders>
            <w:vAlign w:val="center"/>
          </w:tcPr>
          <w:p>
            <w:pPr>
              <w:widowControl/>
              <w:spacing w:line="22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评审报告必要附件缺失、整理混乱、取证资料不严谨的每项扣1分，评审资料遗失的扣3分。</w:t>
            </w:r>
          </w:p>
        </w:tc>
        <w:tc>
          <w:tcPr>
            <w:tcW w:w="720" w:type="dxa"/>
            <w:tcBorders>
              <w:top w:val="nil"/>
              <w:left w:val="nil"/>
              <w:bottom w:val="single" w:color="auto" w:sz="4" w:space="0"/>
              <w:right w:val="single" w:color="auto" w:sz="4" w:space="0"/>
            </w:tcBorders>
            <w:vAlign w:val="top"/>
          </w:tcPr>
          <w:p>
            <w:pPr>
              <w:widowControl/>
              <w:spacing w:line="220" w:lineRule="exact"/>
              <w:jc w:val="left"/>
              <w:rPr>
                <w:rFonts w:ascii="宋体" w:hAnsi="宋体" w:cs="宋体"/>
                <w:kern w:val="0"/>
                <w:sz w:val="24"/>
              </w:rPr>
            </w:pPr>
            <w:r>
              <w:rPr>
                <w:rFonts w:hint="eastAsia" w:ascii="宋体" w:hAnsi="宋体" w:cs="宋体"/>
                <w:kern w:val="0"/>
                <w:sz w:val="24"/>
              </w:rPr>
              <w:t>　</w:t>
            </w:r>
          </w:p>
        </w:tc>
        <w:tc>
          <w:tcPr>
            <w:tcW w:w="720" w:type="dxa"/>
            <w:tcBorders>
              <w:top w:val="nil"/>
              <w:left w:val="nil"/>
              <w:bottom w:val="single" w:color="auto" w:sz="4" w:space="0"/>
              <w:right w:val="single" w:color="auto" w:sz="4" w:space="0"/>
            </w:tcBorders>
            <w:vAlign w:val="top"/>
          </w:tcPr>
          <w:p>
            <w:pPr>
              <w:widowControl/>
              <w:spacing w:line="220" w:lineRule="exact"/>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817" w:hRule="atLeast"/>
        </w:trPr>
        <w:tc>
          <w:tcPr>
            <w:tcW w:w="52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宋体" w:eastAsia="仿宋_GB2312" w:cs="宋体"/>
                <w:bCs/>
                <w:kern w:val="0"/>
                <w:sz w:val="24"/>
              </w:rPr>
            </w:pPr>
          </w:p>
        </w:tc>
        <w:tc>
          <w:tcPr>
            <w:tcW w:w="124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宋体" w:eastAsia="仿宋_GB2312" w:cs="宋体"/>
                <w:bCs/>
                <w:kern w:val="0"/>
                <w:sz w:val="24"/>
              </w:rPr>
            </w:pPr>
          </w:p>
        </w:tc>
        <w:tc>
          <w:tcPr>
            <w:tcW w:w="4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bCs/>
                <w:kern w:val="0"/>
                <w:sz w:val="24"/>
              </w:rPr>
            </w:pPr>
          </w:p>
        </w:tc>
        <w:tc>
          <w:tcPr>
            <w:tcW w:w="460" w:type="dxa"/>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bCs/>
                <w:kern w:val="0"/>
                <w:sz w:val="20"/>
                <w:szCs w:val="20"/>
              </w:rPr>
            </w:pPr>
            <w:r>
              <w:rPr>
                <w:rFonts w:hint="eastAsia" w:ascii="宋体" w:hAnsi="宋体" w:cs="宋体"/>
                <w:bCs/>
                <w:kern w:val="0"/>
                <w:sz w:val="20"/>
                <w:szCs w:val="20"/>
              </w:rPr>
              <w:t>12</w:t>
            </w:r>
          </w:p>
        </w:tc>
        <w:tc>
          <w:tcPr>
            <w:tcW w:w="5595" w:type="dxa"/>
            <w:gridSpan w:val="5"/>
            <w:tcBorders>
              <w:top w:val="single" w:color="auto" w:sz="4" w:space="0"/>
              <w:left w:val="nil"/>
              <w:bottom w:val="single" w:color="auto" w:sz="4" w:space="0"/>
              <w:right w:val="single" w:color="000000" w:sz="4" w:space="0"/>
            </w:tcBorders>
            <w:vAlign w:val="center"/>
          </w:tcPr>
          <w:p>
            <w:pPr>
              <w:widowControl/>
              <w:spacing w:line="22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评审结论经评审办或第三方复核误差率超过±3%的，第超过±1%的扣3分，最多扣12分。误差率超过±10%的，项目总考核为0分。</w:t>
            </w:r>
          </w:p>
        </w:tc>
        <w:tc>
          <w:tcPr>
            <w:tcW w:w="720" w:type="dxa"/>
            <w:tcBorders>
              <w:top w:val="nil"/>
              <w:left w:val="nil"/>
              <w:bottom w:val="single" w:color="auto" w:sz="4" w:space="0"/>
              <w:right w:val="single" w:color="auto" w:sz="4" w:space="0"/>
            </w:tcBorders>
            <w:vAlign w:val="top"/>
          </w:tcPr>
          <w:p>
            <w:pPr>
              <w:widowControl/>
              <w:spacing w:line="220" w:lineRule="exact"/>
              <w:jc w:val="left"/>
              <w:rPr>
                <w:rFonts w:ascii="宋体" w:hAnsi="宋体" w:cs="宋体"/>
                <w:kern w:val="0"/>
                <w:sz w:val="24"/>
              </w:rPr>
            </w:pPr>
            <w:r>
              <w:rPr>
                <w:rFonts w:hint="eastAsia" w:ascii="宋体" w:hAnsi="宋体" w:cs="宋体"/>
                <w:kern w:val="0"/>
                <w:sz w:val="24"/>
              </w:rPr>
              <w:t>　</w:t>
            </w:r>
          </w:p>
        </w:tc>
        <w:tc>
          <w:tcPr>
            <w:tcW w:w="720" w:type="dxa"/>
            <w:tcBorders>
              <w:top w:val="nil"/>
              <w:left w:val="nil"/>
              <w:bottom w:val="single" w:color="auto" w:sz="4" w:space="0"/>
              <w:right w:val="single" w:color="auto" w:sz="4" w:space="0"/>
            </w:tcBorders>
            <w:vAlign w:val="top"/>
          </w:tcPr>
          <w:p>
            <w:pPr>
              <w:widowControl/>
              <w:spacing w:line="220" w:lineRule="exact"/>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10" w:hRule="atLeast"/>
        </w:trPr>
        <w:tc>
          <w:tcPr>
            <w:tcW w:w="52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宋体" w:eastAsia="仿宋_GB2312" w:cs="宋体"/>
                <w:bCs/>
                <w:kern w:val="0"/>
                <w:sz w:val="24"/>
              </w:rPr>
            </w:pPr>
          </w:p>
        </w:tc>
        <w:tc>
          <w:tcPr>
            <w:tcW w:w="1240" w:type="dxa"/>
            <w:vMerge w:val="restart"/>
            <w:tcBorders>
              <w:top w:val="nil"/>
              <w:left w:val="single" w:color="auto" w:sz="4" w:space="0"/>
              <w:bottom w:val="single" w:color="000000" w:sz="4" w:space="0"/>
              <w:right w:val="single" w:color="auto" w:sz="4" w:space="0"/>
            </w:tcBorders>
            <w:vAlign w:val="center"/>
          </w:tcPr>
          <w:p>
            <w:pPr>
              <w:widowControl/>
              <w:spacing w:line="260" w:lineRule="exact"/>
              <w:jc w:val="center"/>
              <w:rPr>
                <w:rFonts w:ascii="仿宋_GB2312" w:hAnsi="宋体" w:eastAsia="仿宋_GB2312" w:cs="宋体"/>
                <w:bCs/>
                <w:kern w:val="0"/>
                <w:sz w:val="24"/>
              </w:rPr>
            </w:pPr>
            <w:r>
              <w:rPr>
                <w:rFonts w:hint="eastAsia" w:ascii="仿宋_GB2312" w:hAnsi="宋体" w:eastAsia="仿宋_GB2312" w:cs="宋体"/>
                <w:bCs/>
                <w:kern w:val="0"/>
                <w:sz w:val="24"/>
              </w:rPr>
              <w:t>评审质量管理及风险控制</w:t>
            </w:r>
          </w:p>
        </w:tc>
        <w:tc>
          <w:tcPr>
            <w:tcW w:w="4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bCs/>
                <w:kern w:val="0"/>
                <w:sz w:val="24"/>
              </w:rPr>
            </w:pPr>
          </w:p>
        </w:tc>
        <w:tc>
          <w:tcPr>
            <w:tcW w:w="460" w:type="dxa"/>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bCs/>
                <w:kern w:val="0"/>
                <w:sz w:val="20"/>
                <w:szCs w:val="20"/>
              </w:rPr>
            </w:pPr>
            <w:r>
              <w:rPr>
                <w:rFonts w:hint="eastAsia" w:ascii="宋体" w:hAnsi="宋体" w:cs="宋体"/>
                <w:bCs/>
                <w:kern w:val="0"/>
                <w:sz w:val="20"/>
                <w:szCs w:val="20"/>
              </w:rPr>
              <w:t>10</w:t>
            </w:r>
          </w:p>
        </w:tc>
        <w:tc>
          <w:tcPr>
            <w:tcW w:w="5595" w:type="dxa"/>
            <w:gridSpan w:val="5"/>
            <w:tcBorders>
              <w:top w:val="single" w:color="auto" w:sz="4" w:space="0"/>
              <w:left w:val="nil"/>
              <w:bottom w:val="single" w:color="auto" w:sz="4" w:space="0"/>
              <w:right w:val="single" w:color="000000" w:sz="4" w:space="0"/>
            </w:tcBorders>
            <w:vAlign w:val="center"/>
          </w:tcPr>
          <w:p>
            <w:pPr>
              <w:widowControl/>
              <w:spacing w:line="22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项目评审中违反财政评审制度有关进度、质量管理及风险控制等规定的，每项扣2分。</w:t>
            </w:r>
          </w:p>
        </w:tc>
        <w:tc>
          <w:tcPr>
            <w:tcW w:w="720" w:type="dxa"/>
            <w:tcBorders>
              <w:top w:val="nil"/>
              <w:left w:val="nil"/>
              <w:bottom w:val="single" w:color="auto" w:sz="4" w:space="0"/>
              <w:right w:val="single" w:color="auto" w:sz="4" w:space="0"/>
            </w:tcBorders>
            <w:vAlign w:val="top"/>
          </w:tcPr>
          <w:p>
            <w:pPr>
              <w:widowControl/>
              <w:spacing w:line="220" w:lineRule="exact"/>
              <w:jc w:val="left"/>
              <w:rPr>
                <w:rFonts w:ascii="宋体" w:hAnsi="宋体" w:cs="宋体"/>
                <w:kern w:val="0"/>
                <w:sz w:val="24"/>
              </w:rPr>
            </w:pPr>
            <w:r>
              <w:rPr>
                <w:rFonts w:hint="eastAsia" w:ascii="宋体" w:hAnsi="宋体" w:cs="宋体"/>
                <w:kern w:val="0"/>
                <w:sz w:val="24"/>
              </w:rPr>
              <w:t>　</w:t>
            </w:r>
          </w:p>
        </w:tc>
        <w:tc>
          <w:tcPr>
            <w:tcW w:w="720" w:type="dxa"/>
            <w:tcBorders>
              <w:top w:val="nil"/>
              <w:left w:val="nil"/>
              <w:bottom w:val="single" w:color="auto" w:sz="4" w:space="0"/>
              <w:right w:val="single" w:color="auto" w:sz="4" w:space="0"/>
            </w:tcBorders>
            <w:vAlign w:val="top"/>
          </w:tcPr>
          <w:p>
            <w:pPr>
              <w:widowControl/>
              <w:spacing w:line="220" w:lineRule="exact"/>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10" w:hRule="atLeast"/>
        </w:trPr>
        <w:tc>
          <w:tcPr>
            <w:tcW w:w="52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宋体" w:eastAsia="仿宋_GB2312" w:cs="宋体"/>
                <w:bCs/>
                <w:kern w:val="0"/>
                <w:sz w:val="24"/>
              </w:rPr>
            </w:pPr>
          </w:p>
        </w:tc>
        <w:tc>
          <w:tcPr>
            <w:tcW w:w="124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宋体" w:eastAsia="仿宋_GB2312" w:cs="宋体"/>
                <w:bCs/>
                <w:kern w:val="0"/>
                <w:sz w:val="24"/>
              </w:rPr>
            </w:pPr>
          </w:p>
        </w:tc>
        <w:tc>
          <w:tcPr>
            <w:tcW w:w="4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bCs/>
                <w:kern w:val="0"/>
                <w:sz w:val="24"/>
              </w:rPr>
            </w:pPr>
          </w:p>
        </w:tc>
        <w:tc>
          <w:tcPr>
            <w:tcW w:w="460" w:type="dxa"/>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bCs/>
                <w:kern w:val="0"/>
                <w:sz w:val="20"/>
                <w:szCs w:val="20"/>
              </w:rPr>
            </w:pPr>
            <w:r>
              <w:rPr>
                <w:rFonts w:hint="eastAsia" w:ascii="宋体" w:hAnsi="宋体" w:cs="宋体"/>
                <w:bCs/>
                <w:kern w:val="0"/>
                <w:sz w:val="20"/>
                <w:szCs w:val="20"/>
              </w:rPr>
              <w:t>4</w:t>
            </w:r>
          </w:p>
        </w:tc>
        <w:tc>
          <w:tcPr>
            <w:tcW w:w="5595" w:type="dxa"/>
            <w:gridSpan w:val="5"/>
            <w:tcBorders>
              <w:top w:val="single" w:color="auto" w:sz="4" w:space="0"/>
              <w:left w:val="nil"/>
              <w:bottom w:val="single" w:color="auto" w:sz="4" w:space="0"/>
              <w:right w:val="single" w:color="000000" w:sz="4" w:space="0"/>
            </w:tcBorders>
            <w:vAlign w:val="center"/>
          </w:tcPr>
          <w:p>
            <w:pPr>
              <w:widowControl/>
              <w:spacing w:line="22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因评审质量问题招投诉经核定属实的扣4 分。</w:t>
            </w:r>
          </w:p>
        </w:tc>
        <w:tc>
          <w:tcPr>
            <w:tcW w:w="720" w:type="dxa"/>
            <w:tcBorders>
              <w:top w:val="nil"/>
              <w:left w:val="nil"/>
              <w:bottom w:val="single" w:color="auto" w:sz="4" w:space="0"/>
              <w:right w:val="single" w:color="auto" w:sz="4" w:space="0"/>
            </w:tcBorders>
            <w:vAlign w:val="top"/>
          </w:tcPr>
          <w:p>
            <w:pPr>
              <w:widowControl/>
              <w:spacing w:line="220" w:lineRule="exact"/>
              <w:jc w:val="left"/>
              <w:rPr>
                <w:rFonts w:ascii="宋体" w:hAnsi="宋体" w:cs="宋体"/>
                <w:kern w:val="0"/>
                <w:sz w:val="24"/>
              </w:rPr>
            </w:pPr>
            <w:r>
              <w:rPr>
                <w:rFonts w:hint="eastAsia" w:ascii="宋体" w:hAnsi="宋体" w:cs="宋体"/>
                <w:kern w:val="0"/>
                <w:sz w:val="24"/>
              </w:rPr>
              <w:t>　</w:t>
            </w:r>
          </w:p>
        </w:tc>
        <w:tc>
          <w:tcPr>
            <w:tcW w:w="720" w:type="dxa"/>
            <w:tcBorders>
              <w:top w:val="nil"/>
              <w:left w:val="nil"/>
              <w:bottom w:val="single" w:color="auto" w:sz="4" w:space="0"/>
              <w:right w:val="single" w:color="auto" w:sz="4" w:space="0"/>
            </w:tcBorders>
            <w:vAlign w:val="top"/>
          </w:tcPr>
          <w:p>
            <w:pPr>
              <w:widowControl/>
              <w:spacing w:line="220" w:lineRule="exact"/>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10" w:hRule="atLeast"/>
        </w:trPr>
        <w:tc>
          <w:tcPr>
            <w:tcW w:w="52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仿宋_GB2312" w:hAnsi="宋体" w:eastAsia="仿宋_GB2312" w:cs="宋体"/>
                <w:bCs/>
                <w:kern w:val="0"/>
                <w:sz w:val="24"/>
              </w:rPr>
            </w:pPr>
          </w:p>
        </w:tc>
        <w:tc>
          <w:tcPr>
            <w:tcW w:w="1240" w:type="dxa"/>
            <w:tcBorders>
              <w:top w:val="nil"/>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bCs/>
                <w:kern w:val="0"/>
                <w:sz w:val="24"/>
              </w:rPr>
            </w:pPr>
            <w:r>
              <w:rPr>
                <w:rFonts w:hint="eastAsia" w:ascii="仿宋_GB2312" w:hAnsi="宋体" w:eastAsia="仿宋_GB2312" w:cs="宋体"/>
                <w:bCs/>
                <w:kern w:val="0"/>
                <w:sz w:val="24"/>
              </w:rPr>
              <w:t>奖励加分</w:t>
            </w:r>
          </w:p>
        </w:tc>
        <w:tc>
          <w:tcPr>
            <w:tcW w:w="4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bCs/>
                <w:kern w:val="0"/>
                <w:sz w:val="24"/>
              </w:rPr>
            </w:pPr>
          </w:p>
        </w:tc>
        <w:tc>
          <w:tcPr>
            <w:tcW w:w="460" w:type="dxa"/>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bCs/>
                <w:kern w:val="0"/>
                <w:sz w:val="24"/>
              </w:rPr>
            </w:pPr>
            <w:r>
              <w:rPr>
                <w:rFonts w:hint="eastAsia" w:ascii="宋体" w:hAnsi="宋体" w:cs="宋体"/>
                <w:bCs/>
                <w:kern w:val="0"/>
                <w:sz w:val="24"/>
              </w:rPr>
              <w:t>5</w:t>
            </w:r>
          </w:p>
        </w:tc>
        <w:tc>
          <w:tcPr>
            <w:tcW w:w="5595" w:type="dxa"/>
            <w:gridSpan w:val="5"/>
            <w:tcBorders>
              <w:top w:val="single" w:color="auto" w:sz="4" w:space="0"/>
              <w:left w:val="nil"/>
              <w:bottom w:val="single" w:color="auto" w:sz="4" w:space="0"/>
              <w:right w:val="single" w:color="000000" w:sz="4" w:space="0"/>
            </w:tcBorders>
            <w:vAlign w:val="center"/>
          </w:tcPr>
          <w:p>
            <w:pPr>
              <w:widowControl/>
              <w:spacing w:line="220" w:lineRule="exact"/>
              <w:rPr>
                <w:rFonts w:ascii="仿宋_GB2312" w:hAnsi="宋体" w:eastAsia="仿宋_GB2312" w:cs="宋体"/>
                <w:spacing w:val="-6"/>
                <w:kern w:val="0"/>
                <w:sz w:val="20"/>
                <w:szCs w:val="20"/>
              </w:rPr>
            </w:pPr>
            <w:r>
              <w:rPr>
                <w:rFonts w:hint="eastAsia" w:ascii="仿宋_GB2312" w:hAnsi="宋体" w:eastAsia="仿宋_GB2312" w:cs="宋体"/>
                <w:spacing w:val="-6"/>
                <w:kern w:val="0"/>
                <w:sz w:val="20"/>
                <w:szCs w:val="20"/>
              </w:rPr>
              <w:t>评审中发现重大问题、提出优化方案、合理化建议等并被采纳的。</w:t>
            </w:r>
          </w:p>
        </w:tc>
        <w:tc>
          <w:tcPr>
            <w:tcW w:w="720" w:type="dxa"/>
            <w:tcBorders>
              <w:top w:val="nil"/>
              <w:left w:val="nil"/>
              <w:bottom w:val="single" w:color="auto" w:sz="4" w:space="0"/>
              <w:right w:val="single" w:color="auto" w:sz="4" w:space="0"/>
            </w:tcBorders>
            <w:vAlign w:val="top"/>
          </w:tcPr>
          <w:p>
            <w:pPr>
              <w:widowControl/>
              <w:spacing w:line="220" w:lineRule="exact"/>
              <w:jc w:val="left"/>
              <w:rPr>
                <w:rFonts w:ascii="宋体" w:hAnsi="宋体" w:cs="宋体"/>
                <w:kern w:val="0"/>
                <w:sz w:val="24"/>
              </w:rPr>
            </w:pPr>
            <w:r>
              <w:rPr>
                <w:rFonts w:hint="eastAsia" w:ascii="宋体" w:hAnsi="宋体" w:cs="宋体"/>
                <w:kern w:val="0"/>
                <w:sz w:val="24"/>
              </w:rPr>
              <w:t>　</w:t>
            </w:r>
          </w:p>
        </w:tc>
        <w:tc>
          <w:tcPr>
            <w:tcW w:w="720" w:type="dxa"/>
            <w:tcBorders>
              <w:top w:val="nil"/>
              <w:left w:val="nil"/>
              <w:bottom w:val="single" w:color="auto" w:sz="4" w:space="0"/>
              <w:right w:val="single" w:color="auto" w:sz="4" w:space="0"/>
            </w:tcBorders>
            <w:vAlign w:val="top"/>
          </w:tcPr>
          <w:p>
            <w:pPr>
              <w:widowControl/>
              <w:spacing w:line="220" w:lineRule="exact"/>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10" w:hRule="atLeast"/>
        </w:trPr>
        <w:tc>
          <w:tcPr>
            <w:tcW w:w="520" w:type="dxa"/>
            <w:vMerge w:val="restart"/>
            <w:tcBorders>
              <w:top w:val="nil"/>
              <w:left w:val="single" w:color="auto" w:sz="4" w:space="0"/>
              <w:bottom w:val="single" w:color="auto" w:sz="4" w:space="0"/>
              <w:right w:val="single" w:color="auto" w:sz="4" w:space="0"/>
            </w:tcBorders>
            <w:vAlign w:val="center"/>
          </w:tcPr>
          <w:p>
            <w:pPr>
              <w:widowControl/>
              <w:spacing w:line="260" w:lineRule="exact"/>
              <w:jc w:val="center"/>
              <w:rPr>
                <w:rFonts w:ascii="仿宋_GB2312" w:hAnsi="宋体" w:eastAsia="仿宋_GB2312" w:cs="宋体"/>
                <w:bCs/>
                <w:kern w:val="0"/>
                <w:sz w:val="24"/>
              </w:rPr>
            </w:pPr>
            <w:r>
              <w:rPr>
                <w:rFonts w:hint="eastAsia" w:ascii="仿宋_GB2312" w:hAnsi="宋体" w:eastAsia="仿宋_GB2312" w:cs="宋体"/>
                <w:bCs/>
                <w:kern w:val="0"/>
                <w:sz w:val="24"/>
              </w:rPr>
              <w:t>执业规范</w:t>
            </w:r>
          </w:p>
        </w:tc>
        <w:tc>
          <w:tcPr>
            <w:tcW w:w="1240" w:type="dxa"/>
            <w:tcBorders>
              <w:top w:val="nil"/>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bCs/>
                <w:kern w:val="0"/>
                <w:sz w:val="24"/>
              </w:rPr>
            </w:pPr>
            <w:r>
              <w:rPr>
                <w:rFonts w:hint="eastAsia" w:ascii="仿宋_GB2312" w:hAnsi="宋体" w:eastAsia="仿宋_GB2312" w:cs="宋体"/>
                <w:bCs/>
                <w:kern w:val="0"/>
                <w:sz w:val="24"/>
              </w:rPr>
              <w:t>执业回避</w:t>
            </w:r>
          </w:p>
        </w:tc>
        <w:tc>
          <w:tcPr>
            <w:tcW w:w="480" w:type="dxa"/>
            <w:vMerge w:val="restart"/>
            <w:tcBorders>
              <w:top w:val="nil"/>
              <w:left w:val="single" w:color="auto" w:sz="4" w:space="0"/>
              <w:bottom w:val="single" w:color="000000" w:sz="4" w:space="0"/>
              <w:right w:val="single" w:color="auto" w:sz="4" w:space="0"/>
            </w:tcBorders>
            <w:vAlign w:val="center"/>
          </w:tcPr>
          <w:p>
            <w:pPr>
              <w:widowControl/>
              <w:spacing w:line="260" w:lineRule="exact"/>
              <w:jc w:val="center"/>
              <w:rPr>
                <w:rFonts w:ascii="宋体" w:hAnsi="宋体" w:cs="宋体"/>
                <w:bCs/>
                <w:kern w:val="0"/>
                <w:sz w:val="24"/>
              </w:rPr>
            </w:pPr>
            <w:r>
              <w:rPr>
                <w:rFonts w:hint="eastAsia" w:ascii="宋体" w:hAnsi="宋体" w:cs="宋体"/>
                <w:bCs/>
                <w:kern w:val="0"/>
                <w:sz w:val="24"/>
              </w:rPr>
              <w:t>20</w:t>
            </w:r>
          </w:p>
        </w:tc>
        <w:tc>
          <w:tcPr>
            <w:tcW w:w="460" w:type="dxa"/>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bCs/>
                <w:kern w:val="0"/>
                <w:sz w:val="20"/>
                <w:szCs w:val="20"/>
              </w:rPr>
            </w:pPr>
            <w:r>
              <w:rPr>
                <w:rFonts w:hint="eastAsia" w:ascii="宋体" w:hAnsi="宋体" w:cs="宋体"/>
                <w:bCs/>
                <w:kern w:val="0"/>
                <w:sz w:val="20"/>
                <w:szCs w:val="20"/>
              </w:rPr>
              <w:t>5</w:t>
            </w:r>
          </w:p>
        </w:tc>
        <w:tc>
          <w:tcPr>
            <w:tcW w:w="5595" w:type="dxa"/>
            <w:gridSpan w:val="5"/>
            <w:tcBorders>
              <w:top w:val="single" w:color="auto" w:sz="4" w:space="0"/>
              <w:left w:val="nil"/>
              <w:bottom w:val="single" w:color="auto" w:sz="4" w:space="0"/>
              <w:right w:val="single" w:color="auto" w:sz="4" w:space="0"/>
            </w:tcBorders>
            <w:vAlign w:val="center"/>
          </w:tcPr>
          <w:p>
            <w:pPr>
              <w:widowControl/>
              <w:spacing w:line="220" w:lineRule="exact"/>
              <w:rPr>
                <w:rFonts w:ascii="仿宋_GB2312" w:hAnsi="宋体" w:eastAsia="仿宋_GB2312" w:cs="宋体"/>
                <w:spacing w:val="-6"/>
                <w:kern w:val="0"/>
                <w:sz w:val="20"/>
                <w:szCs w:val="20"/>
              </w:rPr>
            </w:pPr>
            <w:r>
              <w:rPr>
                <w:rFonts w:hint="eastAsia" w:ascii="仿宋_GB2312" w:hAnsi="宋体" w:eastAsia="仿宋_GB2312" w:cs="宋体"/>
                <w:spacing w:val="-6"/>
                <w:kern w:val="0"/>
                <w:sz w:val="20"/>
                <w:szCs w:val="20"/>
              </w:rPr>
              <w:t>项目评审中未执行回避制度，承接同一项目的工程结算编制与评审业务，或与被审项目的相关单位和个人有利害关系的，扣5分。</w:t>
            </w:r>
          </w:p>
        </w:tc>
        <w:tc>
          <w:tcPr>
            <w:tcW w:w="720" w:type="dxa"/>
            <w:tcBorders>
              <w:top w:val="nil"/>
              <w:left w:val="nil"/>
              <w:bottom w:val="single" w:color="auto" w:sz="4" w:space="0"/>
              <w:right w:val="single" w:color="auto" w:sz="4" w:space="0"/>
            </w:tcBorders>
            <w:vAlign w:val="top"/>
          </w:tcPr>
          <w:p>
            <w:pPr>
              <w:widowControl/>
              <w:spacing w:line="220" w:lineRule="exact"/>
              <w:jc w:val="left"/>
              <w:rPr>
                <w:rFonts w:ascii="宋体" w:hAnsi="宋体" w:cs="宋体"/>
                <w:kern w:val="0"/>
                <w:sz w:val="24"/>
              </w:rPr>
            </w:pPr>
            <w:r>
              <w:rPr>
                <w:rFonts w:hint="eastAsia" w:ascii="宋体" w:hAnsi="宋体" w:cs="宋体"/>
                <w:kern w:val="0"/>
                <w:sz w:val="24"/>
              </w:rPr>
              <w:t>　</w:t>
            </w:r>
          </w:p>
        </w:tc>
        <w:tc>
          <w:tcPr>
            <w:tcW w:w="720" w:type="dxa"/>
            <w:tcBorders>
              <w:top w:val="nil"/>
              <w:left w:val="nil"/>
              <w:bottom w:val="single" w:color="auto" w:sz="4" w:space="0"/>
              <w:right w:val="single" w:color="auto" w:sz="4" w:space="0"/>
            </w:tcBorders>
            <w:vAlign w:val="top"/>
          </w:tcPr>
          <w:p>
            <w:pPr>
              <w:widowControl/>
              <w:spacing w:line="220" w:lineRule="exact"/>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711" w:hRule="atLeast"/>
        </w:trPr>
        <w:tc>
          <w:tcPr>
            <w:tcW w:w="520"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仿宋_GB2312" w:hAnsi="宋体" w:eastAsia="仿宋_GB2312" w:cs="宋体"/>
                <w:bCs/>
                <w:kern w:val="0"/>
                <w:sz w:val="24"/>
              </w:rPr>
            </w:pPr>
          </w:p>
        </w:tc>
        <w:tc>
          <w:tcPr>
            <w:tcW w:w="1240" w:type="dxa"/>
            <w:tcBorders>
              <w:top w:val="nil"/>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bCs/>
                <w:kern w:val="0"/>
                <w:sz w:val="24"/>
              </w:rPr>
            </w:pPr>
            <w:r>
              <w:rPr>
                <w:rFonts w:hint="eastAsia" w:ascii="仿宋_GB2312" w:hAnsi="宋体" w:eastAsia="仿宋_GB2312" w:cs="宋体"/>
                <w:bCs/>
                <w:kern w:val="0"/>
                <w:sz w:val="24"/>
              </w:rPr>
              <w:t>廉洁自律</w:t>
            </w:r>
          </w:p>
        </w:tc>
        <w:tc>
          <w:tcPr>
            <w:tcW w:w="4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bCs/>
                <w:kern w:val="0"/>
                <w:sz w:val="24"/>
              </w:rPr>
            </w:pPr>
          </w:p>
        </w:tc>
        <w:tc>
          <w:tcPr>
            <w:tcW w:w="460" w:type="dxa"/>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bCs/>
                <w:kern w:val="0"/>
                <w:sz w:val="20"/>
                <w:szCs w:val="20"/>
              </w:rPr>
            </w:pPr>
            <w:r>
              <w:rPr>
                <w:rFonts w:hint="eastAsia" w:ascii="宋体" w:hAnsi="宋体" w:cs="宋体"/>
                <w:bCs/>
                <w:kern w:val="0"/>
                <w:sz w:val="20"/>
                <w:szCs w:val="20"/>
              </w:rPr>
              <w:t>10</w:t>
            </w:r>
          </w:p>
        </w:tc>
        <w:tc>
          <w:tcPr>
            <w:tcW w:w="5595" w:type="dxa"/>
            <w:gridSpan w:val="5"/>
            <w:tcBorders>
              <w:top w:val="single" w:color="auto" w:sz="4" w:space="0"/>
              <w:left w:val="nil"/>
              <w:bottom w:val="single" w:color="auto" w:sz="4" w:space="0"/>
              <w:right w:val="single" w:color="auto" w:sz="4" w:space="0"/>
            </w:tcBorders>
            <w:vAlign w:val="center"/>
          </w:tcPr>
          <w:p>
            <w:pPr>
              <w:widowControl/>
              <w:spacing w:line="22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项目评审中违反廉政纪律和保密纪律规定，受到举报投诉并核查属实的，或未经同意擅自将非正式结论泄露给评审对象的，扣10分。</w:t>
            </w:r>
          </w:p>
        </w:tc>
        <w:tc>
          <w:tcPr>
            <w:tcW w:w="720" w:type="dxa"/>
            <w:tcBorders>
              <w:top w:val="nil"/>
              <w:left w:val="nil"/>
              <w:bottom w:val="single" w:color="auto" w:sz="4" w:space="0"/>
              <w:right w:val="single" w:color="auto" w:sz="4" w:space="0"/>
            </w:tcBorders>
            <w:vAlign w:val="top"/>
          </w:tcPr>
          <w:p>
            <w:pPr>
              <w:widowControl/>
              <w:spacing w:line="220" w:lineRule="exact"/>
              <w:jc w:val="left"/>
              <w:rPr>
                <w:rFonts w:ascii="宋体" w:hAnsi="宋体" w:cs="宋体"/>
                <w:kern w:val="0"/>
                <w:sz w:val="24"/>
              </w:rPr>
            </w:pPr>
            <w:r>
              <w:rPr>
                <w:rFonts w:hint="eastAsia" w:ascii="宋体" w:hAnsi="宋体" w:cs="宋体"/>
                <w:kern w:val="0"/>
                <w:sz w:val="24"/>
              </w:rPr>
              <w:t>　</w:t>
            </w:r>
          </w:p>
        </w:tc>
        <w:tc>
          <w:tcPr>
            <w:tcW w:w="720" w:type="dxa"/>
            <w:tcBorders>
              <w:top w:val="nil"/>
              <w:left w:val="nil"/>
              <w:bottom w:val="single" w:color="auto" w:sz="4" w:space="0"/>
              <w:right w:val="single" w:color="auto" w:sz="4" w:space="0"/>
            </w:tcBorders>
            <w:vAlign w:val="top"/>
          </w:tcPr>
          <w:p>
            <w:pPr>
              <w:widowControl/>
              <w:spacing w:line="220" w:lineRule="exact"/>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25" w:hRule="atLeast"/>
        </w:trPr>
        <w:tc>
          <w:tcPr>
            <w:tcW w:w="520"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仿宋_GB2312" w:hAnsi="宋体" w:eastAsia="仿宋_GB2312" w:cs="宋体"/>
                <w:bCs/>
                <w:kern w:val="0"/>
                <w:sz w:val="24"/>
              </w:rPr>
            </w:pPr>
          </w:p>
        </w:tc>
        <w:tc>
          <w:tcPr>
            <w:tcW w:w="1240" w:type="dxa"/>
            <w:tcBorders>
              <w:top w:val="nil"/>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bCs/>
                <w:kern w:val="0"/>
                <w:sz w:val="24"/>
              </w:rPr>
            </w:pPr>
            <w:r>
              <w:rPr>
                <w:rFonts w:hint="eastAsia" w:ascii="仿宋_GB2312" w:hAnsi="宋体" w:eastAsia="仿宋_GB2312" w:cs="宋体"/>
                <w:bCs/>
                <w:kern w:val="0"/>
                <w:sz w:val="24"/>
              </w:rPr>
              <w:t>遵纪守法</w:t>
            </w:r>
          </w:p>
        </w:tc>
        <w:tc>
          <w:tcPr>
            <w:tcW w:w="480"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left"/>
              <w:rPr>
                <w:rFonts w:ascii="宋体" w:hAnsi="宋体" w:cs="宋体"/>
                <w:bCs/>
                <w:kern w:val="0"/>
                <w:sz w:val="24"/>
              </w:rPr>
            </w:pPr>
          </w:p>
        </w:tc>
        <w:tc>
          <w:tcPr>
            <w:tcW w:w="460" w:type="dxa"/>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bCs/>
                <w:kern w:val="0"/>
                <w:sz w:val="20"/>
                <w:szCs w:val="20"/>
              </w:rPr>
            </w:pPr>
            <w:r>
              <w:rPr>
                <w:rFonts w:hint="eastAsia" w:ascii="宋体" w:hAnsi="宋体" w:cs="宋体"/>
                <w:bCs/>
                <w:kern w:val="0"/>
                <w:sz w:val="20"/>
                <w:szCs w:val="20"/>
              </w:rPr>
              <w:t>5</w:t>
            </w:r>
          </w:p>
        </w:tc>
        <w:tc>
          <w:tcPr>
            <w:tcW w:w="5595" w:type="dxa"/>
            <w:gridSpan w:val="5"/>
            <w:tcBorders>
              <w:top w:val="single" w:color="auto" w:sz="4" w:space="0"/>
              <w:left w:val="nil"/>
              <w:bottom w:val="single" w:color="auto" w:sz="4" w:space="0"/>
              <w:right w:val="single" w:color="auto" w:sz="4" w:space="0"/>
            </w:tcBorders>
            <w:vAlign w:val="center"/>
          </w:tcPr>
          <w:p>
            <w:pPr>
              <w:widowControl/>
              <w:spacing w:line="22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项目评审中自觉维护国家利益，做到诚信、客观、公平、公正，无违法违规行为、无投诉举报的，计5分，否则计0分。</w:t>
            </w:r>
          </w:p>
        </w:tc>
        <w:tc>
          <w:tcPr>
            <w:tcW w:w="720" w:type="dxa"/>
            <w:tcBorders>
              <w:top w:val="nil"/>
              <w:left w:val="nil"/>
              <w:bottom w:val="single" w:color="auto" w:sz="4" w:space="0"/>
              <w:right w:val="single" w:color="auto" w:sz="4" w:space="0"/>
            </w:tcBorders>
            <w:vAlign w:val="top"/>
          </w:tcPr>
          <w:p>
            <w:pPr>
              <w:widowControl/>
              <w:spacing w:line="220" w:lineRule="exact"/>
              <w:jc w:val="left"/>
              <w:rPr>
                <w:rFonts w:ascii="宋体" w:hAnsi="宋体" w:cs="宋体"/>
                <w:kern w:val="0"/>
                <w:sz w:val="24"/>
              </w:rPr>
            </w:pPr>
            <w:r>
              <w:rPr>
                <w:rFonts w:hint="eastAsia" w:ascii="宋体" w:hAnsi="宋体" w:cs="宋体"/>
                <w:kern w:val="0"/>
                <w:sz w:val="24"/>
              </w:rPr>
              <w:t>　</w:t>
            </w:r>
          </w:p>
        </w:tc>
        <w:tc>
          <w:tcPr>
            <w:tcW w:w="720" w:type="dxa"/>
            <w:tcBorders>
              <w:top w:val="nil"/>
              <w:left w:val="nil"/>
              <w:bottom w:val="single" w:color="auto" w:sz="4" w:space="0"/>
              <w:right w:val="single" w:color="auto" w:sz="4" w:space="0"/>
            </w:tcBorders>
            <w:vAlign w:val="top"/>
          </w:tcPr>
          <w:p>
            <w:pPr>
              <w:widowControl/>
              <w:spacing w:line="220" w:lineRule="exact"/>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57" w:hRule="atLeast"/>
        </w:trPr>
        <w:tc>
          <w:tcPr>
            <w:tcW w:w="2700" w:type="dxa"/>
            <w:gridSpan w:val="4"/>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宋体" w:eastAsia="仿宋_GB2312" w:cs="宋体"/>
                <w:bCs/>
                <w:kern w:val="0"/>
                <w:sz w:val="24"/>
              </w:rPr>
            </w:pPr>
            <w:r>
              <w:rPr>
                <w:rFonts w:hint="eastAsia" w:ascii="仿宋_GB2312" w:hAnsi="宋体" w:eastAsia="仿宋_GB2312" w:cs="宋体"/>
                <w:bCs/>
                <w:kern w:val="0"/>
                <w:sz w:val="24"/>
              </w:rPr>
              <w:t>否定项</w:t>
            </w:r>
          </w:p>
        </w:tc>
        <w:tc>
          <w:tcPr>
            <w:tcW w:w="5595" w:type="dxa"/>
            <w:gridSpan w:val="5"/>
            <w:tcBorders>
              <w:top w:val="single" w:color="auto" w:sz="4" w:space="0"/>
              <w:left w:val="nil"/>
              <w:bottom w:val="single" w:color="auto" w:sz="4" w:space="0"/>
              <w:right w:val="single" w:color="auto" w:sz="4" w:space="0"/>
            </w:tcBorders>
            <w:vAlign w:val="center"/>
          </w:tcPr>
          <w:p>
            <w:pPr>
              <w:widowControl/>
              <w:spacing w:line="22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审工作中发生制度规定“一票否决”情形的，日常项目考核得0分。</w:t>
            </w:r>
          </w:p>
        </w:tc>
        <w:tc>
          <w:tcPr>
            <w:tcW w:w="720" w:type="dxa"/>
            <w:tcBorders>
              <w:top w:val="nil"/>
              <w:left w:val="nil"/>
              <w:bottom w:val="single" w:color="auto" w:sz="4" w:space="0"/>
              <w:right w:val="single" w:color="auto" w:sz="4" w:space="0"/>
            </w:tcBorders>
            <w:vAlign w:val="top"/>
          </w:tcPr>
          <w:p>
            <w:pPr>
              <w:widowControl/>
              <w:spacing w:line="220" w:lineRule="exact"/>
              <w:jc w:val="left"/>
              <w:rPr>
                <w:rFonts w:ascii="宋体" w:hAnsi="宋体" w:cs="宋体"/>
                <w:kern w:val="0"/>
                <w:sz w:val="24"/>
              </w:rPr>
            </w:pPr>
            <w:r>
              <w:rPr>
                <w:rFonts w:hint="eastAsia" w:ascii="宋体" w:hAnsi="宋体" w:cs="宋体"/>
                <w:kern w:val="0"/>
                <w:sz w:val="24"/>
              </w:rPr>
              <w:t>　</w:t>
            </w:r>
          </w:p>
        </w:tc>
        <w:tc>
          <w:tcPr>
            <w:tcW w:w="720" w:type="dxa"/>
            <w:tcBorders>
              <w:top w:val="nil"/>
              <w:left w:val="nil"/>
              <w:bottom w:val="single" w:color="auto" w:sz="4" w:space="0"/>
              <w:right w:val="single" w:color="auto" w:sz="4" w:space="0"/>
            </w:tcBorders>
            <w:vAlign w:val="top"/>
          </w:tcPr>
          <w:p>
            <w:pPr>
              <w:widowControl/>
              <w:spacing w:line="220" w:lineRule="exact"/>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375" w:hRule="atLeast"/>
        </w:trPr>
        <w:tc>
          <w:tcPr>
            <w:tcW w:w="8295" w:type="dxa"/>
            <w:gridSpan w:val="9"/>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仿宋_GB2312" w:hAnsi="宋体" w:eastAsia="仿宋_GB2312" w:cs="宋体"/>
                <w:bCs/>
                <w:kern w:val="0"/>
                <w:sz w:val="24"/>
              </w:rPr>
            </w:pPr>
            <w:r>
              <w:rPr>
                <w:rFonts w:hint="eastAsia" w:ascii="仿宋_GB2312" w:hAnsi="宋体" w:eastAsia="仿宋_GB2312" w:cs="宋体"/>
                <w:bCs/>
                <w:kern w:val="0"/>
                <w:sz w:val="24"/>
              </w:rPr>
              <w:t>总</w:t>
            </w:r>
            <w:r>
              <w:rPr>
                <w:rFonts w:hint="eastAsia" w:ascii="宋体" w:hAnsi="宋体" w:cs="宋体"/>
                <w:bCs/>
                <w:kern w:val="0"/>
                <w:sz w:val="24"/>
              </w:rPr>
              <w:t xml:space="preserve">     </w:t>
            </w:r>
            <w:r>
              <w:rPr>
                <w:rFonts w:hint="eastAsia" w:ascii="仿宋_GB2312" w:hAnsi="宋体" w:eastAsia="仿宋_GB2312" w:cs="宋体"/>
                <w:bCs/>
                <w:kern w:val="0"/>
                <w:sz w:val="24"/>
              </w:rPr>
              <w:t>计</w:t>
            </w:r>
          </w:p>
        </w:tc>
        <w:tc>
          <w:tcPr>
            <w:tcW w:w="1440" w:type="dxa"/>
            <w:gridSpan w:val="2"/>
            <w:tcBorders>
              <w:top w:val="single" w:color="auto" w:sz="4" w:space="0"/>
              <w:left w:val="nil"/>
              <w:bottom w:val="single" w:color="auto" w:sz="4" w:space="0"/>
              <w:right w:val="single" w:color="auto" w:sz="4" w:space="0"/>
            </w:tcBorders>
            <w:vAlign w:val="top"/>
          </w:tcPr>
          <w:p>
            <w:pPr>
              <w:widowControl/>
              <w:spacing w:line="220" w:lineRule="exact"/>
              <w:jc w:val="left"/>
              <w:rPr>
                <w:rFonts w:ascii="宋体" w:hAnsi="宋体" w:cs="宋体"/>
                <w:kern w:val="0"/>
                <w:sz w:val="28"/>
                <w:szCs w:val="28"/>
              </w:rPr>
            </w:pPr>
            <w:r>
              <w:rPr>
                <w:rFonts w:hint="eastAsia" w:ascii="宋体" w:hAnsi="宋体" w:cs="宋体"/>
                <w:kern w:val="0"/>
                <w:sz w:val="28"/>
                <w:szCs w:val="28"/>
              </w:rPr>
              <w:t>　</w:t>
            </w:r>
          </w:p>
        </w:tc>
      </w:tr>
    </w:tbl>
    <w:p>
      <w:pPr>
        <w:spacing w:line="480" w:lineRule="exact"/>
        <w:rPr>
          <w:rFonts w:hint="eastAsia" w:ascii="黑体" w:eastAsia="黑体"/>
          <w:sz w:val="32"/>
          <w:szCs w:val="32"/>
        </w:rPr>
      </w:pPr>
      <w:r>
        <w:rPr>
          <w:rFonts w:hint="eastAsia" w:ascii="黑体" w:eastAsia="黑体"/>
          <w:sz w:val="32"/>
          <w:szCs w:val="32"/>
        </w:rPr>
        <w:t>附件3</w:t>
      </w:r>
    </w:p>
    <w:p>
      <w:pPr>
        <w:widowControl/>
        <w:spacing w:before="156" w:beforeLines="50" w:after="156" w:afterLines="50" w:line="600" w:lineRule="atLeast"/>
        <w:jc w:val="center"/>
        <w:rPr>
          <w:rFonts w:hint="eastAsia" w:ascii="方正小标宋简体" w:hAnsi="宋体" w:eastAsia="方正小标宋简体" w:cs="宋体"/>
          <w:color w:val="000000"/>
          <w:kern w:val="0"/>
          <w:sz w:val="40"/>
          <w:szCs w:val="40"/>
        </w:rPr>
      </w:pPr>
      <w:r>
        <w:rPr>
          <w:rFonts w:hint="eastAsia" w:ascii="方正小标宋简体" w:hAnsi="宋体" w:eastAsia="方正小标宋简体" w:cs="宋体"/>
          <w:color w:val="000000"/>
          <w:kern w:val="0"/>
          <w:sz w:val="40"/>
          <w:szCs w:val="40"/>
        </w:rPr>
        <w:t>岳阳市财政投资评审定期质量稽核考评表</w:t>
      </w:r>
    </w:p>
    <w:p>
      <w:pPr>
        <w:widowControl/>
        <w:spacing w:line="480" w:lineRule="atLeast"/>
        <w:jc w:val="center"/>
        <w:rPr>
          <w:rFonts w:ascii="宋体" w:hAnsi="宋体" w:cs="宋体"/>
          <w:color w:val="000000"/>
          <w:kern w:val="0"/>
          <w:sz w:val="24"/>
        </w:rPr>
      </w:pPr>
      <w:r>
        <w:rPr>
          <w:rFonts w:hint="eastAsia" w:ascii="楷体_GB2312" w:hAnsi="宋体" w:eastAsia="楷体_GB2312" w:cs="宋体"/>
          <w:color w:val="000000"/>
          <w:kern w:val="0"/>
          <w:sz w:val="28"/>
          <w:szCs w:val="28"/>
        </w:rPr>
        <w:t>（     年    月）</w:t>
      </w:r>
    </w:p>
    <w:tbl>
      <w:tblPr>
        <w:tblStyle w:val="5"/>
        <w:tblW w:w="9551" w:type="dxa"/>
        <w:jc w:val="center"/>
        <w:tblInd w:w="0" w:type="dxa"/>
        <w:tblLayout w:type="fixed"/>
        <w:tblCellMar>
          <w:top w:w="0" w:type="dxa"/>
          <w:left w:w="0" w:type="dxa"/>
          <w:bottom w:w="0" w:type="dxa"/>
          <w:right w:w="0" w:type="dxa"/>
        </w:tblCellMar>
      </w:tblPr>
      <w:tblGrid>
        <w:gridCol w:w="7337"/>
        <w:gridCol w:w="1260"/>
        <w:gridCol w:w="954"/>
      </w:tblGrid>
      <w:tr>
        <w:tblPrEx>
          <w:tblLayout w:type="fixed"/>
          <w:tblCellMar>
            <w:top w:w="0" w:type="dxa"/>
            <w:left w:w="0" w:type="dxa"/>
            <w:bottom w:w="0" w:type="dxa"/>
            <w:right w:w="0" w:type="dxa"/>
          </w:tblCellMar>
        </w:tblPrEx>
        <w:trPr>
          <w:trHeight w:val="741" w:hRule="atLeast"/>
          <w:jc w:val="center"/>
        </w:trPr>
        <w:tc>
          <w:tcPr>
            <w:tcW w:w="9551" w:type="dxa"/>
            <w:gridSpan w:val="3"/>
            <w:tcBorders>
              <w:top w:val="single" w:color="auto" w:sz="8" w:space="0"/>
              <w:left w:val="single" w:color="auto" w:sz="8" w:space="0"/>
              <w:bottom w:val="single" w:color="auto" w:sz="8" w:space="0"/>
              <w:right w:val="single" w:color="000000" w:sz="8" w:space="0"/>
            </w:tcBorders>
            <w:tcMar>
              <w:top w:w="0" w:type="dxa"/>
              <w:left w:w="108" w:type="dxa"/>
              <w:bottom w:w="0" w:type="dxa"/>
              <w:right w:w="108" w:type="dxa"/>
            </w:tcMar>
            <w:vAlign w:val="center"/>
          </w:tcPr>
          <w:p>
            <w:pPr>
              <w:widowControl/>
              <w:jc w:val="left"/>
              <w:rPr>
                <w:rFonts w:ascii="宋体" w:hAnsi="宋体" w:cs="宋体"/>
                <w:color w:val="000000"/>
                <w:kern w:val="0"/>
                <w:sz w:val="24"/>
              </w:rPr>
            </w:pPr>
            <w:r>
              <w:rPr>
                <w:rFonts w:hint="eastAsia" w:ascii="仿宋_GB2312" w:hAnsi="宋体" w:eastAsia="仿宋_GB2312" w:cs="宋体"/>
                <w:color w:val="000000"/>
                <w:kern w:val="0"/>
                <w:sz w:val="24"/>
              </w:rPr>
              <w:t>中介机构名称：</w:t>
            </w:r>
          </w:p>
        </w:tc>
      </w:tr>
      <w:tr>
        <w:tblPrEx>
          <w:tblLayout w:type="fixed"/>
          <w:tblCellMar>
            <w:top w:w="0" w:type="dxa"/>
            <w:left w:w="0" w:type="dxa"/>
            <w:bottom w:w="0" w:type="dxa"/>
            <w:right w:w="0" w:type="dxa"/>
          </w:tblCellMar>
        </w:tblPrEx>
        <w:trPr>
          <w:trHeight w:val="675" w:hRule="atLeast"/>
          <w:jc w:val="center"/>
        </w:trPr>
        <w:tc>
          <w:tcPr>
            <w:tcW w:w="9551" w:type="dxa"/>
            <w:gridSpan w:val="3"/>
            <w:tcBorders>
              <w:top w:val="nil"/>
              <w:left w:val="single" w:color="auto" w:sz="8" w:space="0"/>
              <w:bottom w:val="single" w:color="auto" w:sz="8" w:space="0"/>
              <w:right w:val="single" w:color="000000" w:sz="8" w:space="0"/>
            </w:tcBorders>
            <w:tcMar>
              <w:top w:w="0" w:type="dxa"/>
              <w:left w:w="108" w:type="dxa"/>
              <w:bottom w:w="0" w:type="dxa"/>
              <w:right w:w="108" w:type="dxa"/>
            </w:tcMar>
            <w:vAlign w:val="center"/>
          </w:tcPr>
          <w:p>
            <w:pPr>
              <w:widowControl/>
              <w:jc w:val="left"/>
              <w:rPr>
                <w:rFonts w:ascii="宋体" w:hAnsi="宋体" w:cs="宋体"/>
                <w:color w:val="000000"/>
                <w:kern w:val="0"/>
                <w:sz w:val="24"/>
              </w:rPr>
            </w:pPr>
            <w:r>
              <w:rPr>
                <w:rFonts w:hint="eastAsia" w:ascii="仿宋_GB2312" w:hAnsi="宋体" w:eastAsia="仿宋_GB2312" w:cs="宋体"/>
                <w:color w:val="000000"/>
                <w:kern w:val="0"/>
                <w:sz w:val="24"/>
              </w:rPr>
              <w:t>项目名称：</w:t>
            </w:r>
          </w:p>
        </w:tc>
      </w:tr>
      <w:tr>
        <w:tblPrEx>
          <w:tblLayout w:type="fixed"/>
          <w:tblCellMar>
            <w:top w:w="0" w:type="dxa"/>
            <w:left w:w="0" w:type="dxa"/>
            <w:bottom w:w="0" w:type="dxa"/>
            <w:right w:w="0" w:type="dxa"/>
          </w:tblCellMar>
        </w:tblPrEx>
        <w:trPr>
          <w:trHeight w:val="866" w:hRule="atLeast"/>
          <w:jc w:val="center"/>
        </w:trPr>
        <w:tc>
          <w:tcPr>
            <w:tcW w:w="9551" w:type="dxa"/>
            <w:gridSpan w:val="3"/>
            <w:tcBorders>
              <w:top w:val="nil"/>
              <w:left w:val="single" w:color="auto" w:sz="8" w:space="0"/>
              <w:bottom w:val="single" w:color="auto" w:sz="8" w:space="0"/>
              <w:right w:val="single" w:color="000000" w:sz="8" w:space="0"/>
            </w:tcBorders>
            <w:tcMar>
              <w:top w:w="0" w:type="dxa"/>
              <w:left w:w="108" w:type="dxa"/>
              <w:bottom w:w="0" w:type="dxa"/>
              <w:right w:w="108" w:type="dxa"/>
            </w:tcMar>
            <w:vAlign w:val="top"/>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稽核项目情况说明：</w:t>
            </w:r>
          </w:p>
          <w:p>
            <w:pPr>
              <w:widowControl/>
              <w:jc w:val="left"/>
              <w:rPr>
                <w:rFonts w:hint="eastAsia" w:ascii="仿宋_GB2312" w:hAnsi="宋体" w:eastAsia="仿宋_GB2312" w:cs="宋体"/>
                <w:color w:val="000000"/>
                <w:kern w:val="0"/>
                <w:sz w:val="24"/>
              </w:rPr>
            </w:pPr>
          </w:p>
          <w:p>
            <w:pPr>
              <w:widowControl/>
              <w:jc w:val="left"/>
              <w:rPr>
                <w:rFonts w:ascii="宋体" w:hAnsi="宋体" w:cs="宋体"/>
                <w:color w:val="000000"/>
                <w:kern w:val="0"/>
                <w:sz w:val="24"/>
              </w:rPr>
            </w:pPr>
          </w:p>
        </w:tc>
      </w:tr>
      <w:tr>
        <w:tblPrEx>
          <w:tblLayout w:type="fixed"/>
          <w:tblCellMar>
            <w:top w:w="0" w:type="dxa"/>
            <w:left w:w="0" w:type="dxa"/>
            <w:bottom w:w="0" w:type="dxa"/>
            <w:right w:w="0" w:type="dxa"/>
          </w:tblCellMar>
        </w:tblPrEx>
        <w:trPr>
          <w:trHeight w:val="819" w:hRule="atLeast"/>
          <w:jc w:val="center"/>
        </w:trPr>
        <w:tc>
          <w:tcPr>
            <w:tcW w:w="9551" w:type="dxa"/>
            <w:gridSpan w:val="3"/>
            <w:tcBorders>
              <w:top w:val="nil"/>
              <w:left w:val="single" w:color="auto" w:sz="8" w:space="0"/>
              <w:bottom w:val="single" w:color="auto" w:sz="8" w:space="0"/>
              <w:right w:val="single" w:color="000000" w:sz="8" w:space="0"/>
            </w:tcBorders>
            <w:tcMar>
              <w:top w:w="0" w:type="dxa"/>
              <w:left w:w="108" w:type="dxa"/>
              <w:bottom w:w="0" w:type="dxa"/>
              <w:right w:w="108" w:type="dxa"/>
            </w:tcMar>
            <w:vAlign w:val="center"/>
          </w:tcPr>
          <w:p>
            <w:pPr>
              <w:widowControl/>
              <w:jc w:val="left"/>
              <w:rPr>
                <w:rFonts w:ascii="宋体" w:hAnsi="宋体" w:cs="宋体"/>
                <w:color w:val="000000"/>
                <w:kern w:val="0"/>
                <w:sz w:val="24"/>
              </w:rPr>
            </w:pPr>
            <w:r>
              <w:rPr>
                <w:rFonts w:hint="eastAsia" w:ascii="仿宋_GB2312" w:hAnsi="宋体" w:eastAsia="仿宋_GB2312" w:cs="宋体"/>
                <w:color w:val="000000"/>
                <w:kern w:val="0"/>
                <w:sz w:val="24"/>
              </w:rPr>
              <w:t>打分部分（总分100分）</w:t>
            </w:r>
          </w:p>
        </w:tc>
      </w:tr>
      <w:tr>
        <w:tblPrEx>
          <w:tblLayout w:type="fixed"/>
          <w:tblCellMar>
            <w:top w:w="0" w:type="dxa"/>
            <w:left w:w="0" w:type="dxa"/>
            <w:bottom w:w="0" w:type="dxa"/>
            <w:right w:w="0" w:type="dxa"/>
          </w:tblCellMar>
        </w:tblPrEx>
        <w:trPr>
          <w:trHeight w:val="582" w:hRule="atLeast"/>
          <w:jc w:val="center"/>
        </w:trPr>
        <w:tc>
          <w:tcPr>
            <w:tcW w:w="733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kern w:val="0"/>
                <w:sz w:val="24"/>
              </w:rPr>
            </w:pPr>
            <w:r>
              <w:rPr>
                <w:rFonts w:hint="eastAsia" w:ascii="仿宋_GB2312" w:hAnsi="宋体" w:eastAsia="仿宋_GB2312" w:cs="宋体"/>
                <w:color w:val="000000"/>
                <w:kern w:val="0"/>
                <w:sz w:val="24"/>
              </w:rPr>
              <w:t>稽核内容</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kern w:val="0"/>
                <w:sz w:val="24"/>
              </w:rPr>
            </w:pPr>
            <w:r>
              <w:rPr>
                <w:rFonts w:hint="eastAsia" w:ascii="仿宋_GB2312" w:hAnsi="宋体" w:eastAsia="仿宋_GB2312" w:cs="宋体"/>
                <w:color w:val="000000"/>
                <w:kern w:val="0"/>
                <w:sz w:val="24"/>
              </w:rPr>
              <w:t>标准分值</w:t>
            </w:r>
          </w:p>
        </w:tc>
        <w:tc>
          <w:tcPr>
            <w:tcW w:w="95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kern w:val="0"/>
                <w:sz w:val="24"/>
              </w:rPr>
            </w:pPr>
            <w:r>
              <w:rPr>
                <w:rFonts w:hint="eastAsia" w:ascii="仿宋_GB2312" w:hAnsi="宋体" w:eastAsia="仿宋_GB2312" w:cs="宋体"/>
                <w:color w:val="000000"/>
                <w:kern w:val="0"/>
                <w:sz w:val="24"/>
              </w:rPr>
              <w:t>得分</w:t>
            </w:r>
          </w:p>
        </w:tc>
      </w:tr>
      <w:tr>
        <w:tblPrEx>
          <w:tblLayout w:type="fixed"/>
          <w:tblCellMar>
            <w:top w:w="0" w:type="dxa"/>
            <w:left w:w="0" w:type="dxa"/>
            <w:bottom w:w="0" w:type="dxa"/>
            <w:right w:w="0" w:type="dxa"/>
          </w:tblCellMar>
        </w:tblPrEx>
        <w:trPr>
          <w:trHeight w:val="794" w:hRule="atLeast"/>
          <w:jc w:val="center"/>
        </w:trPr>
        <w:tc>
          <w:tcPr>
            <w:tcW w:w="733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40" w:lineRule="atLeast"/>
              <w:jc w:val="left"/>
              <w:rPr>
                <w:rFonts w:ascii="宋体" w:hAnsi="宋体" w:cs="宋体"/>
                <w:color w:val="000000"/>
                <w:kern w:val="0"/>
                <w:sz w:val="24"/>
              </w:rPr>
            </w:pPr>
            <w:r>
              <w:rPr>
                <w:rFonts w:hint="eastAsia" w:ascii="仿宋_GB2312" w:hAnsi="宋体" w:eastAsia="仿宋_GB2312" w:cs="宋体"/>
                <w:color w:val="000000"/>
                <w:kern w:val="0"/>
                <w:sz w:val="24"/>
              </w:rPr>
              <w:t>1、评审力量：评审人员具有造价执业资格，终审人员具有注册造价师资格，符合三级审核程序。</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kern w:val="0"/>
                <w:sz w:val="24"/>
              </w:rPr>
            </w:pPr>
            <w:r>
              <w:rPr>
                <w:rFonts w:hint="eastAsia" w:ascii="仿宋_GB2312" w:hAnsi="宋体" w:eastAsia="仿宋_GB2312" w:cs="宋体"/>
                <w:color w:val="000000"/>
                <w:kern w:val="0"/>
                <w:sz w:val="24"/>
              </w:rPr>
              <w:t>10</w:t>
            </w:r>
          </w:p>
        </w:tc>
        <w:tc>
          <w:tcPr>
            <w:tcW w:w="95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0" w:type="dxa"/>
            <w:bottom w:w="0" w:type="dxa"/>
            <w:right w:w="0" w:type="dxa"/>
          </w:tblCellMar>
        </w:tblPrEx>
        <w:trPr>
          <w:trHeight w:val="1050" w:hRule="atLeast"/>
          <w:jc w:val="center"/>
        </w:trPr>
        <w:tc>
          <w:tcPr>
            <w:tcW w:w="733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40" w:lineRule="atLeast"/>
              <w:jc w:val="left"/>
              <w:rPr>
                <w:rFonts w:ascii="宋体" w:hAnsi="宋体" w:cs="宋体"/>
                <w:color w:val="000000"/>
                <w:kern w:val="0"/>
                <w:sz w:val="24"/>
              </w:rPr>
            </w:pPr>
            <w:r>
              <w:rPr>
                <w:rFonts w:hint="eastAsia" w:ascii="仿宋_GB2312" w:hAnsi="宋体" w:eastAsia="仿宋_GB2312" w:cs="宋体"/>
                <w:color w:val="000000"/>
                <w:kern w:val="0"/>
                <w:sz w:val="24"/>
              </w:rPr>
              <w:t>2、评审结论：中介机构评审结论与稽核结论误差在±3％以内计25分。误差在±3至±5%扣10分；超过±5%至±10%者，扣20分；超过±10%以上者，扣至0分。</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kern w:val="0"/>
                <w:sz w:val="24"/>
              </w:rPr>
            </w:pPr>
            <w:r>
              <w:rPr>
                <w:rFonts w:hint="eastAsia" w:ascii="仿宋_GB2312" w:hAnsi="宋体" w:eastAsia="仿宋_GB2312" w:cs="宋体"/>
                <w:color w:val="000000"/>
                <w:kern w:val="0"/>
                <w:sz w:val="24"/>
              </w:rPr>
              <w:t>25</w:t>
            </w:r>
          </w:p>
        </w:tc>
        <w:tc>
          <w:tcPr>
            <w:tcW w:w="95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0" w:type="dxa"/>
            <w:bottom w:w="0" w:type="dxa"/>
            <w:right w:w="0" w:type="dxa"/>
          </w:tblCellMar>
        </w:tblPrEx>
        <w:trPr>
          <w:trHeight w:val="794" w:hRule="atLeast"/>
          <w:jc w:val="center"/>
        </w:trPr>
        <w:tc>
          <w:tcPr>
            <w:tcW w:w="733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40" w:lineRule="atLeast"/>
              <w:jc w:val="left"/>
              <w:rPr>
                <w:rFonts w:ascii="宋体" w:hAnsi="宋体" w:cs="宋体"/>
                <w:color w:val="000000"/>
                <w:kern w:val="0"/>
                <w:sz w:val="24"/>
              </w:rPr>
            </w:pPr>
            <w:r>
              <w:rPr>
                <w:rFonts w:hint="eastAsia" w:ascii="仿宋_GB2312" w:hAnsi="宋体" w:eastAsia="仿宋_GB2312" w:cs="宋体"/>
                <w:color w:val="000000"/>
                <w:kern w:val="0"/>
                <w:sz w:val="24"/>
              </w:rPr>
              <w:t>3、工程量：工程量±3％以内得15分，超过±3％以上扣1分/项，直至0分。</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kern w:val="0"/>
                <w:sz w:val="24"/>
              </w:rPr>
            </w:pPr>
            <w:r>
              <w:rPr>
                <w:rFonts w:hint="eastAsia" w:ascii="仿宋_GB2312" w:hAnsi="宋体" w:eastAsia="仿宋_GB2312" w:cs="宋体"/>
                <w:color w:val="000000"/>
                <w:kern w:val="0"/>
                <w:sz w:val="24"/>
              </w:rPr>
              <w:t>15</w:t>
            </w:r>
          </w:p>
        </w:tc>
        <w:tc>
          <w:tcPr>
            <w:tcW w:w="95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0" w:type="dxa"/>
            <w:bottom w:w="0" w:type="dxa"/>
            <w:right w:w="0" w:type="dxa"/>
          </w:tblCellMar>
        </w:tblPrEx>
        <w:trPr>
          <w:trHeight w:val="675" w:hRule="atLeast"/>
          <w:jc w:val="center"/>
        </w:trPr>
        <w:tc>
          <w:tcPr>
            <w:tcW w:w="733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40" w:lineRule="atLeast"/>
              <w:jc w:val="left"/>
              <w:rPr>
                <w:rFonts w:ascii="宋体" w:hAnsi="宋体" w:cs="宋体"/>
                <w:color w:val="000000"/>
                <w:kern w:val="0"/>
                <w:sz w:val="24"/>
              </w:rPr>
            </w:pPr>
            <w:r>
              <w:rPr>
                <w:rFonts w:hint="eastAsia" w:ascii="仿宋_GB2312" w:hAnsi="宋体" w:eastAsia="仿宋_GB2312" w:cs="宋体"/>
                <w:color w:val="000000"/>
                <w:kern w:val="0"/>
                <w:sz w:val="24"/>
              </w:rPr>
              <w:t>4、套用子目：子目合理、正确计15分。错一处扣2分，直至0分。</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kern w:val="0"/>
                <w:sz w:val="24"/>
              </w:rPr>
            </w:pPr>
            <w:r>
              <w:rPr>
                <w:rFonts w:hint="eastAsia" w:ascii="仿宋_GB2312" w:hAnsi="宋体" w:eastAsia="仿宋_GB2312" w:cs="宋体"/>
                <w:color w:val="000000"/>
                <w:kern w:val="0"/>
                <w:sz w:val="24"/>
              </w:rPr>
              <w:t>15</w:t>
            </w:r>
          </w:p>
        </w:tc>
        <w:tc>
          <w:tcPr>
            <w:tcW w:w="95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0" w:type="dxa"/>
            <w:bottom w:w="0" w:type="dxa"/>
            <w:right w:w="0" w:type="dxa"/>
          </w:tblCellMar>
        </w:tblPrEx>
        <w:trPr>
          <w:trHeight w:val="794" w:hRule="atLeast"/>
          <w:jc w:val="center"/>
        </w:trPr>
        <w:tc>
          <w:tcPr>
            <w:tcW w:w="733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40" w:lineRule="atLeast"/>
              <w:jc w:val="left"/>
              <w:rPr>
                <w:rFonts w:ascii="宋体" w:hAnsi="宋体" w:cs="宋体"/>
                <w:color w:val="000000"/>
                <w:kern w:val="0"/>
                <w:sz w:val="24"/>
              </w:rPr>
            </w:pPr>
            <w:r>
              <w:rPr>
                <w:rFonts w:hint="eastAsia" w:ascii="仿宋_GB2312" w:hAnsi="宋体" w:eastAsia="仿宋_GB2312" w:cs="宋体"/>
                <w:color w:val="000000"/>
                <w:kern w:val="0"/>
                <w:sz w:val="24"/>
              </w:rPr>
              <w:t>5、材料单价：结合市场询价、指导价确定合理低价10分，单价偏差超过±5％以上扣2分/1%。</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kern w:val="0"/>
                <w:sz w:val="24"/>
              </w:rPr>
            </w:pPr>
            <w:r>
              <w:rPr>
                <w:rFonts w:hint="eastAsia" w:ascii="仿宋_GB2312" w:hAnsi="宋体" w:eastAsia="仿宋_GB2312" w:cs="宋体"/>
                <w:color w:val="000000"/>
                <w:kern w:val="0"/>
                <w:sz w:val="24"/>
              </w:rPr>
              <w:t>10</w:t>
            </w:r>
          </w:p>
        </w:tc>
        <w:tc>
          <w:tcPr>
            <w:tcW w:w="95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0" w:type="dxa"/>
            <w:bottom w:w="0" w:type="dxa"/>
            <w:right w:w="0" w:type="dxa"/>
          </w:tblCellMar>
        </w:tblPrEx>
        <w:trPr>
          <w:trHeight w:val="569" w:hRule="atLeast"/>
          <w:jc w:val="center"/>
        </w:trPr>
        <w:tc>
          <w:tcPr>
            <w:tcW w:w="733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40" w:lineRule="atLeast"/>
              <w:jc w:val="left"/>
              <w:rPr>
                <w:rFonts w:ascii="宋体" w:hAnsi="宋体" w:cs="宋体"/>
                <w:color w:val="000000"/>
                <w:kern w:val="0"/>
                <w:sz w:val="24"/>
              </w:rPr>
            </w:pPr>
            <w:r>
              <w:rPr>
                <w:rFonts w:hint="eastAsia" w:ascii="仿宋_GB2312" w:hAnsi="宋体" w:eastAsia="仿宋_GB2312" w:cs="宋体"/>
                <w:color w:val="000000"/>
                <w:kern w:val="0"/>
                <w:sz w:val="24"/>
              </w:rPr>
              <w:t>6、评审依据：评审依据符合有关规定计10分。缺乏依据每处扣2分。</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kern w:val="0"/>
                <w:sz w:val="24"/>
              </w:rPr>
            </w:pPr>
            <w:r>
              <w:rPr>
                <w:rFonts w:hint="eastAsia" w:ascii="仿宋_GB2312" w:hAnsi="宋体" w:eastAsia="仿宋_GB2312" w:cs="宋体"/>
                <w:color w:val="000000"/>
                <w:kern w:val="0"/>
                <w:sz w:val="24"/>
              </w:rPr>
              <w:t>10</w:t>
            </w:r>
          </w:p>
        </w:tc>
        <w:tc>
          <w:tcPr>
            <w:tcW w:w="95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0" w:type="dxa"/>
            <w:bottom w:w="0" w:type="dxa"/>
            <w:right w:w="0" w:type="dxa"/>
          </w:tblCellMar>
        </w:tblPrEx>
        <w:trPr>
          <w:trHeight w:val="794" w:hRule="atLeast"/>
          <w:jc w:val="center"/>
        </w:trPr>
        <w:tc>
          <w:tcPr>
            <w:tcW w:w="733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40" w:lineRule="atLeast"/>
              <w:jc w:val="left"/>
              <w:rPr>
                <w:rFonts w:ascii="宋体" w:hAnsi="宋体" w:cs="宋体"/>
                <w:color w:val="000000"/>
                <w:kern w:val="0"/>
                <w:sz w:val="24"/>
              </w:rPr>
            </w:pPr>
            <w:r>
              <w:rPr>
                <w:rFonts w:hint="eastAsia" w:ascii="仿宋_GB2312" w:hAnsi="宋体" w:eastAsia="仿宋_GB2312" w:cs="宋体"/>
                <w:color w:val="000000"/>
                <w:kern w:val="0"/>
                <w:sz w:val="24"/>
              </w:rPr>
              <w:t>7、评审报告：评审报告、审定表等正确、完整，无错误描述、数据错误、文字错误得5分。错一处扣1分。</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kern w:val="0"/>
                <w:sz w:val="24"/>
              </w:rPr>
            </w:pPr>
            <w:r>
              <w:rPr>
                <w:rFonts w:hint="eastAsia" w:ascii="仿宋_GB2312" w:hAnsi="宋体" w:eastAsia="仿宋_GB2312" w:cs="宋体"/>
                <w:color w:val="000000"/>
                <w:kern w:val="0"/>
                <w:sz w:val="24"/>
              </w:rPr>
              <w:t>5</w:t>
            </w:r>
          </w:p>
        </w:tc>
        <w:tc>
          <w:tcPr>
            <w:tcW w:w="95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0" w:type="dxa"/>
            <w:bottom w:w="0" w:type="dxa"/>
            <w:right w:w="0" w:type="dxa"/>
          </w:tblCellMar>
        </w:tblPrEx>
        <w:trPr>
          <w:trHeight w:val="794" w:hRule="atLeast"/>
          <w:jc w:val="center"/>
        </w:trPr>
        <w:tc>
          <w:tcPr>
            <w:tcW w:w="733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40" w:lineRule="atLeast"/>
              <w:jc w:val="left"/>
              <w:rPr>
                <w:rFonts w:ascii="宋体" w:hAnsi="宋体" w:cs="宋体"/>
                <w:color w:val="000000"/>
                <w:kern w:val="0"/>
                <w:sz w:val="24"/>
              </w:rPr>
            </w:pPr>
            <w:r>
              <w:rPr>
                <w:rFonts w:hint="eastAsia" w:ascii="仿宋_GB2312" w:hAnsi="宋体" w:eastAsia="仿宋_GB2312" w:cs="宋体"/>
                <w:color w:val="000000"/>
                <w:kern w:val="0"/>
                <w:sz w:val="24"/>
              </w:rPr>
              <w:t>8、工作底稿：工作底稿完整得5分，不完整得3分。无工作底稿不得分。</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kern w:val="0"/>
                <w:sz w:val="24"/>
              </w:rPr>
            </w:pPr>
            <w:r>
              <w:rPr>
                <w:rFonts w:hint="eastAsia" w:ascii="仿宋_GB2312" w:hAnsi="宋体" w:eastAsia="仿宋_GB2312" w:cs="宋体"/>
                <w:color w:val="000000"/>
                <w:kern w:val="0"/>
                <w:sz w:val="24"/>
              </w:rPr>
              <w:t>5</w:t>
            </w:r>
          </w:p>
        </w:tc>
        <w:tc>
          <w:tcPr>
            <w:tcW w:w="95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0" w:type="dxa"/>
            <w:bottom w:w="0" w:type="dxa"/>
            <w:right w:w="0" w:type="dxa"/>
          </w:tblCellMar>
        </w:tblPrEx>
        <w:trPr>
          <w:trHeight w:val="794" w:hRule="atLeast"/>
          <w:jc w:val="center"/>
        </w:trPr>
        <w:tc>
          <w:tcPr>
            <w:tcW w:w="7337" w:type="dxa"/>
            <w:tcBorders>
              <w:top w:val="nil"/>
              <w:left w:val="single" w:color="auto" w:sz="8" w:space="0"/>
              <w:bottom w:val="nil"/>
              <w:right w:val="single" w:color="auto" w:sz="8" w:space="0"/>
            </w:tcBorders>
            <w:tcMar>
              <w:top w:w="0" w:type="dxa"/>
              <w:left w:w="108" w:type="dxa"/>
              <w:bottom w:w="0" w:type="dxa"/>
              <w:right w:w="108" w:type="dxa"/>
            </w:tcMar>
            <w:vAlign w:val="center"/>
          </w:tcPr>
          <w:p>
            <w:pPr>
              <w:widowControl/>
              <w:spacing w:line="340" w:lineRule="atLeast"/>
              <w:jc w:val="left"/>
              <w:rPr>
                <w:rFonts w:ascii="宋体" w:hAnsi="宋体" w:cs="宋体"/>
                <w:color w:val="000000"/>
                <w:kern w:val="0"/>
                <w:sz w:val="24"/>
              </w:rPr>
            </w:pPr>
            <w:r>
              <w:rPr>
                <w:rFonts w:hint="eastAsia" w:ascii="仿宋_GB2312" w:hAnsi="宋体" w:eastAsia="仿宋_GB2312" w:cs="宋体"/>
                <w:color w:val="000000"/>
                <w:kern w:val="0"/>
                <w:sz w:val="24"/>
              </w:rPr>
              <w:t>9、评审资料管理：资料整理按照《档案管理办法》规定执行，缺失一项资料扣3分。</w:t>
            </w:r>
          </w:p>
        </w:tc>
        <w:tc>
          <w:tcPr>
            <w:tcW w:w="1260" w:type="dxa"/>
            <w:tcBorders>
              <w:top w:val="nil"/>
              <w:left w:val="nil"/>
              <w:bottom w:val="nil"/>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kern w:val="0"/>
                <w:sz w:val="24"/>
              </w:rPr>
            </w:pPr>
            <w:r>
              <w:rPr>
                <w:rFonts w:hint="eastAsia" w:ascii="仿宋_GB2312" w:hAnsi="宋体" w:eastAsia="仿宋_GB2312" w:cs="宋体"/>
                <w:color w:val="000000"/>
                <w:kern w:val="0"/>
                <w:sz w:val="24"/>
              </w:rPr>
              <w:t>5</w:t>
            </w:r>
          </w:p>
        </w:tc>
        <w:tc>
          <w:tcPr>
            <w:tcW w:w="954" w:type="dxa"/>
            <w:tcBorders>
              <w:top w:val="nil"/>
              <w:left w:val="nil"/>
              <w:bottom w:val="nil"/>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0" w:type="dxa"/>
            <w:bottom w:w="0" w:type="dxa"/>
            <w:right w:w="0" w:type="dxa"/>
          </w:tblCellMar>
        </w:tblPrEx>
        <w:trPr>
          <w:trHeight w:val="659" w:hRule="atLeast"/>
          <w:jc w:val="center"/>
        </w:trPr>
        <w:tc>
          <w:tcPr>
            <w:tcW w:w="733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40" w:lineRule="atLeast"/>
              <w:jc w:val="left"/>
              <w:rPr>
                <w:rFonts w:ascii="宋体" w:hAnsi="宋体" w:cs="宋体"/>
                <w:color w:val="000000"/>
                <w:kern w:val="0"/>
                <w:sz w:val="24"/>
              </w:rPr>
            </w:pPr>
            <w:r>
              <w:rPr>
                <w:rFonts w:hint="eastAsia" w:ascii="仿宋_GB2312" w:hAnsi="宋体" w:eastAsia="仿宋_GB2312" w:cs="宋体"/>
                <w:color w:val="000000"/>
                <w:kern w:val="0"/>
                <w:sz w:val="24"/>
              </w:rPr>
              <w:t>合计</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kern w:val="0"/>
                <w:sz w:val="24"/>
              </w:rPr>
            </w:pPr>
            <w:r>
              <w:rPr>
                <w:rFonts w:hint="eastAsia" w:ascii="仿宋_GB2312" w:hAnsi="宋体" w:eastAsia="仿宋_GB2312" w:cs="宋体"/>
                <w:color w:val="000000"/>
                <w:kern w:val="0"/>
                <w:sz w:val="24"/>
              </w:rPr>
              <w:t>100</w:t>
            </w:r>
          </w:p>
        </w:tc>
        <w:tc>
          <w:tcPr>
            <w:tcW w:w="95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kern w:val="0"/>
                <w:sz w:val="24"/>
              </w:rPr>
            </w:pPr>
            <w:r>
              <w:rPr>
                <w:rFonts w:hint="eastAsia" w:ascii="仿宋_GB2312" w:hAnsi="宋体" w:eastAsia="仿宋_GB2312" w:cs="宋体"/>
                <w:color w:val="000000"/>
                <w:kern w:val="0"/>
                <w:sz w:val="24"/>
              </w:rPr>
              <w:t>　</w:t>
            </w:r>
          </w:p>
        </w:tc>
      </w:tr>
    </w:tbl>
    <w:p>
      <w:pPr>
        <w:widowControl/>
        <w:spacing w:line="360" w:lineRule="atLeast"/>
        <w:jc w:val="left"/>
        <w:rPr>
          <w:rFonts w:hint="eastAsia"/>
        </w:rPr>
      </w:pPr>
    </w:p>
    <w:p>
      <w:pPr>
        <w:spacing w:line="480" w:lineRule="exact"/>
        <w:rPr>
          <w:rFonts w:hint="eastAsia" w:ascii="黑体" w:eastAsia="黑体"/>
          <w:sz w:val="32"/>
          <w:szCs w:val="32"/>
        </w:rPr>
      </w:pPr>
      <w:r>
        <w:rPr>
          <w:rFonts w:hint="eastAsia" w:ascii="黑体" w:eastAsia="黑体"/>
          <w:sz w:val="32"/>
          <w:szCs w:val="32"/>
        </w:rPr>
        <w:t>附件4</w:t>
      </w:r>
    </w:p>
    <w:p>
      <w:pPr>
        <w:spacing w:line="200" w:lineRule="exact"/>
        <w:rPr>
          <w:rFonts w:hint="eastAsia" w:ascii="仿宋_GB2312" w:eastAsia="仿宋_GB2312"/>
          <w:sz w:val="32"/>
          <w:szCs w:val="32"/>
        </w:rPr>
      </w:pPr>
    </w:p>
    <w:p>
      <w:pPr>
        <w:spacing w:line="480" w:lineRule="exact"/>
        <w:jc w:val="center"/>
        <w:rPr>
          <w:rFonts w:hint="eastAsia" w:ascii="方正小标宋简体" w:eastAsia="方正小标宋简体"/>
          <w:sz w:val="40"/>
          <w:szCs w:val="40"/>
        </w:rPr>
      </w:pPr>
      <w:r>
        <w:rPr>
          <w:rFonts w:hint="eastAsia" w:ascii="方正小标宋简体" w:eastAsia="方正小标宋简体"/>
          <w:sz w:val="40"/>
          <w:szCs w:val="40"/>
        </w:rPr>
        <w:t>岳阳市财政投资评审年度综合考核表</w:t>
      </w:r>
    </w:p>
    <w:p>
      <w:pPr>
        <w:spacing w:line="200" w:lineRule="exact"/>
        <w:rPr>
          <w:rFonts w:hint="eastAsia" w:ascii="仿宋_GB2312" w:eastAsia="仿宋_GB2312"/>
          <w:sz w:val="32"/>
          <w:szCs w:val="32"/>
        </w:rPr>
      </w:pPr>
    </w:p>
    <w:p>
      <w:pPr>
        <w:spacing w:line="480" w:lineRule="exact"/>
        <w:ind w:firstLine="7560" w:firstLineChars="3150"/>
        <w:rPr>
          <w:rFonts w:hint="eastAsia" w:ascii="仿宋_GB2312" w:eastAsia="仿宋_GB2312"/>
          <w:sz w:val="24"/>
        </w:rPr>
      </w:pPr>
      <w:r>
        <w:rPr>
          <w:rFonts w:hint="eastAsia" w:ascii="仿宋_GB2312" w:eastAsia="仿宋_GB2312"/>
          <w:sz w:val="24"/>
        </w:rPr>
        <w:t>年度：</w:t>
      </w:r>
    </w:p>
    <w:tbl>
      <w:tblPr>
        <w:tblStyle w:val="5"/>
        <w:tblW w:w="9540" w:type="dxa"/>
        <w:jc w:val="center"/>
        <w:tblInd w:w="0" w:type="dxa"/>
        <w:tblLayout w:type="fixed"/>
        <w:tblCellMar>
          <w:top w:w="0" w:type="dxa"/>
          <w:left w:w="108" w:type="dxa"/>
          <w:bottom w:w="0" w:type="dxa"/>
          <w:right w:w="108" w:type="dxa"/>
        </w:tblCellMar>
      </w:tblPr>
      <w:tblGrid>
        <w:gridCol w:w="919"/>
        <w:gridCol w:w="1372"/>
        <w:gridCol w:w="720"/>
        <w:gridCol w:w="461"/>
        <w:gridCol w:w="1441"/>
        <w:gridCol w:w="2418"/>
        <w:gridCol w:w="1260"/>
        <w:gridCol w:w="949"/>
      </w:tblGrid>
      <w:tr>
        <w:tblPrEx>
          <w:tblLayout w:type="fixed"/>
          <w:tblCellMar>
            <w:top w:w="0" w:type="dxa"/>
            <w:left w:w="108" w:type="dxa"/>
            <w:bottom w:w="0" w:type="dxa"/>
            <w:right w:w="108" w:type="dxa"/>
          </w:tblCellMar>
        </w:tblPrEx>
        <w:trPr>
          <w:trHeight w:val="567" w:hRule="atLeast"/>
          <w:jc w:val="center"/>
        </w:trPr>
        <w:tc>
          <w:tcPr>
            <w:tcW w:w="2291"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被考核单位</w:t>
            </w:r>
          </w:p>
        </w:tc>
        <w:tc>
          <w:tcPr>
            <w:tcW w:w="2622" w:type="dxa"/>
            <w:gridSpan w:val="3"/>
            <w:tcBorders>
              <w:top w:val="single" w:color="auto" w:sz="4" w:space="0"/>
              <w:left w:val="nil"/>
              <w:bottom w:val="single" w:color="auto" w:sz="4" w:space="0"/>
              <w:right w:val="single" w:color="auto" w:sz="4" w:space="0"/>
            </w:tcBorders>
            <w:vAlign w:val="center"/>
          </w:tcPr>
          <w:p>
            <w:pPr>
              <w:widowControl/>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241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本年综合考核排名</w:t>
            </w:r>
          </w:p>
        </w:tc>
        <w:tc>
          <w:tcPr>
            <w:tcW w:w="2209" w:type="dxa"/>
            <w:gridSpan w:val="2"/>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67" w:hRule="atLeast"/>
          <w:jc w:val="center"/>
        </w:trPr>
        <w:tc>
          <w:tcPr>
            <w:tcW w:w="2291"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中介机构负责人</w:t>
            </w:r>
          </w:p>
        </w:tc>
        <w:tc>
          <w:tcPr>
            <w:tcW w:w="2622" w:type="dxa"/>
            <w:gridSpan w:val="3"/>
            <w:tcBorders>
              <w:top w:val="single" w:color="auto" w:sz="4" w:space="0"/>
              <w:left w:val="nil"/>
              <w:bottom w:val="single" w:color="auto" w:sz="4" w:space="0"/>
              <w:right w:val="single" w:color="auto" w:sz="4" w:space="0"/>
            </w:tcBorders>
            <w:vAlign w:val="center"/>
          </w:tcPr>
          <w:p>
            <w:pPr>
              <w:widowControl/>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241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本年评审项目总数</w:t>
            </w:r>
          </w:p>
        </w:tc>
        <w:tc>
          <w:tcPr>
            <w:tcW w:w="2209" w:type="dxa"/>
            <w:gridSpan w:val="2"/>
            <w:tcBorders>
              <w:top w:val="single" w:color="auto" w:sz="4" w:space="0"/>
              <w:left w:val="nil"/>
              <w:bottom w:val="single" w:color="auto" w:sz="4" w:space="0"/>
              <w:right w:val="single" w:color="auto" w:sz="4" w:space="0"/>
            </w:tcBorders>
            <w:vAlign w:val="center"/>
          </w:tcPr>
          <w:p>
            <w:pPr>
              <w:widowControl/>
              <w:spacing w:line="320" w:lineRule="exact"/>
              <w:jc w:val="right"/>
              <w:rPr>
                <w:rFonts w:ascii="仿宋_GB2312" w:hAnsi="宋体" w:eastAsia="仿宋_GB2312" w:cs="宋体"/>
                <w:kern w:val="0"/>
                <w:sz w:val="24"/>
              </w:rPr>
            </w:pPr>
            <w:r>
              <w:rPr>
                <w:rFonts w:hint="eastAsia" w:ascii="仿宋_GB2312" w:hAnsi="宋体" w:eastAsia="仿宋_GB2312" w:cs="宋体"/>
                <w:kern w:val="0"/>
                <w:sz w:val="24"/>
              </w:rPr>
              <w:t xml:space="preserve"> </w:t>
            </w:r>
          </w:p>
        </w:tc>
      </w:tr>
      <w:tr>
        <w:tblPrEx>
          <w:tblLayout w:type="fixed"/>
          <w:tblCellMar>
            <w:top w:w="0" w:type="dxa"/>
            <w:left w:w="108" w:type="dxa"/>
            <w:bottom w:w="0" w:type="dxa"/>
            <w:right w:w="108" w:type="dxa"/>
          </w:tblCellMar>
        </w:tblPrEx>
        <w:trPr>
          <w:trHeight w:val="567" w:hRule="atLeast"/>
          <w:jc w:val="center"/>
        </w:trPr>
        <w:tc>
          <w:tcPr>
            <w:tcW w:w="2291" w:type="dxa"/>
            <w:gridSpan w:val="2"/>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评审项目总送审额</w:t>
            </w:r>
          </w:p>
        </w:tc>
        <w:tc>
          <w:tcPr>
            <w:tcW w:w="2622" w:type="dxa"/>
            <w:gridSpan w:val="3"/>
            <w:tcBorders>
              <w:top w:val="single" w:color="auto" w:sz="4" w:space="0"/>
              <w:left w:val="nil"/>
              <w:bottom w:val="single" w:color="auto" w:sz="4" w:space="0"/>
              <w:right w:val="single" w:color="auto" w:sz="4" w:space="0"/>
            </w:tcBorders>
            <w:vAlign w:val="center"/>
          </w:tcPr>
          <w:p>
            <w:pPr>
              <w:widowControl/>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 xml:space="preserve"> </w:t>
            </w:r>
          </w:p>
        </w:tc>
        <w:tc>
          <w:tcPr>
            <w:tcW w:w="2418"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评审项目总审定额</w:t>
            </w:r>
          </w:p>
        </w:tc>
        <w:tc>
          <w:tcPr>
            <w:tcW w:w="2209" w:type="dxa"/>
            <w:gridSpan w:val="2"/>
            <w:tcBorders>
              <w:top w:val="single" w:color="auto" w:sz="4" w:space="0"/>
              <w:left w:val="nil"/>
              <w:bottom w:val="single" w:color="auto" w:sz="4" w:space="0"/>
              <w:right w:val="single" w:color="auto" w:sz="4" w:space="0"/>
            </w:tcBorders>
            <w:vAlign w:val="center"/>
          </w:tcPr>
          <w:p>
            <w:pPr>
              <w:widowControl/>
              <w:spacing w:line="320" w:lineRule="exact"/>
              <w:jc w:val="right"/>
              <w:rPr>
                <w:rFonts w:ascii="仿宋_GB2312" w:hAnsi="宋体" w:eastAsia="仿宋_GB2312" w:cs="宋体"/>
                <w:kern w:val="0"/>
                <w:sz w:val="24"/>
              </w:rPr>
            </w:pPr>
            <w:r>
              <w:rPr>
                <w:rFonts w:hint="eastAsia" w:ascii="仿宋_GB2312" w:hAnsi="宋体" w:eastAsia="仿宋_GB2312" w:cs="宋体"/>
                <w:kern w:val="0"/>
                <w:sz w:val="24"/>
              </w:rPr>
              <w:t xml:space="preserve"> </w:t>
            </w:r>
          </w:p>
        </w:tc>
      </w:tr>
      <w:tr>
        <w:tblPrEx>
          <w:tblLayout w:type="fixed"/>
          <w:tblCellMar>
            <w:top w:w="0" w:type="dxa"/>
            <w:left w:w="108" w:type="dxa"/>
            <w:bottom w:w="0" w:type="dxa"/>
            <w:right w:w="108" w:type="dxa"/>
          </w:tblCellMar>
        </w:tblPrEx>
        <w:trPr>
          <w:trHeight w:val="567" w:hRule="atLeast"/>
          <w:jc w:val="center"/>
        </w:trPr>
        <w:tc>
          <w:tcPr>
            <w:tcW w:w="3011" w:type="dxa"/>
            <w:gridSpan w:val="3"/>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考核项目</w:t>
            </w:r>
          </w:p>
        </w:tc>
        <w:tc>
          <w:tcPr>
            <w:tcW w:w="4320" w:type="dxa"/>
            <w:gridSpan w:val="3"/>
            <w:tcBorders>
              <w:top w:val="single" w:color="auto" w:sz="4" w:space="0"/>
              <w:left w:val="nil"/>
              <w:bottom w:val="single" w:color="auto" w:sz="4" w:space="0"/>
              <w:right w:val="single" w:color="auto" w:sz="4" w:space="0"/>
            </w:tcBorders>
            <w:vAlign w:val="center"/>
          </w:tcPr>
          <w:p>
            <w:pPr>
              <w:widowControl/>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考核标准</w:t>
            </w:r>
          </w:p>
        </w:tc>
        <w:tc>
          <w:tcPr>
            <w:tcW w:w="1260" w:type="dxa"/>
            <w:tcBorders>
              <w:top w:val="nil"/>
              <w:left w:val="nil"/>
              <w:bottom w:val="single" w:color="auto" w:sz="4" w:space="0"/>
              <w:right w:val="single" w:color="auto" w:sz="4" w:space="0"/>
            </w:tcBorders>
            <w:vAlign w:val="center"/>
          </w:tcPr>
          <w:p>
            <w:pPr>
              <w:widowControl/>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考核得分</w:t>
            </w:r>
          </w:p>
        </w:tc>
        <w:tc>
          <w:tcPr>
            <w:tcW w:w="949" w:type="dxa"/>
            <w:tcBorders>
              <w:top w:val="nil"/>
              <w:left w:val="nil"/>
              <w:bottom w:val="single" w:color="auto" w:sz="4" w:space="0"/>
              <w:right w:val="single" w:color="auto" w:sz="4" w:space="0"/>
            </w:tcBorders>
            <w:vAlign w:val="center"/>
          </w:tcPr>
          <w:p>
            <w:pPr>
              <w:widowControl/>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备注</w:t>
            </w:r>
          </w:p>
        </w:tc>
      </w:tr>
      <w:tr>
        <w:tblPrEx>
          <w:tblLayout w:type="fixed"/>
          <w:tblCellMar>
            <w:top w:w="0" w:type="dxa"/>
            <w:left w:w="108" w:type="dxa"/>
            <w:bottom w:w="0" w:type="dxa"/>
            <w:right w:w="108" w:type="dxa"/>
          </w:tblCellMar>
        </w:tblPrEx>
        <w:trPr>
          <w:trHeight w:val="975" w:hRule="atLeast"/>
          <w:jc w:val="center"/>
        </w:trPr>
        <w:tc>
          <w:tcPr>
            <w:tcW w:w="919" w:type="dxa"/>
            <w:tcBorders>
              <w:top w:val="nil"/>
              <w:left w:val="single" w:color="auto" w:sz="4" w:space="0"/>
              <w:bottom w:val="nil"/>
              <w:right w:val="single" w:color="auto" w:sz="4" w:space="0"/>
            </w:tcBorders>
            <w:vAlign w:val="center"/>
          </w:tcPr>
          <w:p>
            <w:pPr>
              <w:widowControl/>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一</w:t>
            </w:r>
          </w:p>
        </w:tc>
        <w:tc>
          <w:tcPr>
            <w:tcW w:w="1372" w:type="dxa"/>
            <w:tcBorders>
              <w:top w:val="nil"/>
              <w:left w:val="nil"/>
              <w:bottom w:val="nil"/>
              <w:right w:val="nil"/>
            </w:tcBorders>
            <w:vAlign w:val="center"/>
          </w:tcPr>
          <w:p>
            <w:pPr>
              <w:widowControl/>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日常单项考核平均得分</w:t>
            </w:r>
          </w:p>
        </w:tc>
        <w:tc>
          <w:tcPr>
            <w:tcW w:w="720"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40</w:t>
            </w:r>
          </w:p>
        </w:tc>
        <w:tc>
          <w:tcPr>
            <w:tcW w:w="4320" w:type="dxa"/>
            <w:gridSpan w:val="3"/>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rPr>
            </w:pPr>
            <w:r>
              <w:rPr>
                <w:rFonts w:hint="eastAsia" w:ascii="仿宋_GB2312" w:hAnsi="宋体" w:eastAsia="仿宋_GB2312" w:cs="宋体"/>
                <w:kern w:val="0"/>
                <w:sz w:val="24"/>
              </w:rPr>
              <w:t>Σ年度内日常项目考核得分算术平均分值*40%－单项考核不合格项目扣分</w:t>
            </w:r>
          </w:p>
        </w:tc>
        <w:tc>
          <w:tcPr>
            <w:tcW w:w="1260" w:type="dxa"/>
            <w:tcBorders>
              <w:top w:val="nil"/>
              <w:left w:val="nil"/>
              <w:bottom w:val="nil"/>
              <w:right w:val="single" w:color="auto" w:sz="4" w:space="0"/>
            </w:tcBorders>
            <w:vAlign w:val="center"/>
          </w:tcPr>
          <w:p>
            <w:pPr>
              <w:widowControl/>
              <w:spacing w:line="320" w:lineRule="exact"/>
              <w:jc w:val="center"/>
              <w:rPr>
                <w:rFonts w:ascii="宋体" w:hAnsi="宋体" w:cs="宋体"/>
                <w:kern w:val="0"/>
                <w:sz w:val="24"/>
              </w:rPr>
            </w:pPr>
            <w:r>
              <w:rPr>
                <w:rFonts w:hint="eastAsia" w:ascii="宋体" w:hAnsi="宋体" w:cs="宋体"/>
                <w:kern w:val="0"/>
                <w:sz w:val="24"/>
              </w:rPr>
              <w:t>　</w:t>
            </w:r>
          </w:p>
        </w:tc>
        <w:tc>
          <w:tcPr>
            <w:tcW w:w="949" w:type="dxa"/>
            <w:tcBorders>
              <w:top w:val="nil"/>
              <w:left w:val="nil"/>
              <w:bottom w:val="nil"/>
              <w:right w:val="single" w:color="auto" w:sz="4" w:space="0"/>
            </w:tcBorders>
            <w:vAlign w:val="center"/>
          </w:tcPr>
          <w:p>
            <w:pPr>
              <w:widowControl/>
              <w:spacing w:line="320" w:lineRule="exact"/>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1050" w:hRule="atLeast"/>
          <w:jc w:val="center"/>
        </w:trPr>
        <w:tc>
          <w:tcPr>
            <w:tcW w:w="919"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二</w:t>
            </w:r>
          </w:p>
        </w:tc>
        <w:tc>
          <w:tcPr>
            <w:tcW w:w="1372" w:type="dxa"/>
            <w:tcBorders>
              <w:top w:val="nil"/>
              <w:left w:val="nil"/>
              <w:bottom w:val="single" w:color="auto" w:sz="4" w:space="0"/>
              <w:right w:val="nil"/>
            </w:tcBorders>
            <w:vAlign w:val="center"/>
          </w:tcPr>
          <w:p>
            <w:pPr>
              <w:widowControl/>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定期质量稽核平均等分</w:t>
            </w:r>
          </w:p>
        </w:tc>
        <w:tc>
          <w:tcPr>
            <w:tcW w:w="720"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30</w:t>
            </w:r>
          </w:p>
        </w:tc>
        <w:tc>
          <w:tcPr>
            <w:tcW w:w="4320" w:type="dxa"/>
            <w:gridSpan w:val="3"/>
            <w:tcBorders>
              <w:top w:val="single" w:color="auto" w:sz="4" w:space="0"/>
              <w:left w:val="nil"/>
              <w:bottom w:val="single" w:color="auto" w:sz="4" w:space="0"/>
              <w:right w:val="single" w:color="000000" w:sz="4" w:space="0"/>
            </w:tcBorders>
            <w:vAlign w:val="center"/>
          </w:tcPr>
          <w:p>
            <w:pPr>
              <w:widowControl/>
              <w:spacing w:line="320" w:lineRule="exact"/>
              <w:jc w:val="left"/>
              <w:rPr>
                <w:rFonts w:ascii="仿宋_GB2312" w:hAnsi="宋体" w:eastAsia="仿宋_GB2312" w:cs="宋体"/>
                <w:kern w:val="0"/>
                <w:sz w:val="24"/>
              </w:rPr>
            </w:pPr>
            <w:r>
              <w:rPr>
                <w:rFonts w:hint="eastAsia" w:ascii="仿宋_GB2312" w:hAnsi="宋体" w:eastAsia="仿宋_GB2312" w:cs="宋体"/>
                <w:kern w:val="0"/>
                <w:sz w:val="24"/>
              </w:rPr>
              <w:t>Σ年度内定期质量稽核得分算术平均分值*30%</w:t>
            </w:r>
          </w:p>
        </w:tc>
        <w:tc>
          <w:tcPr>
            <w:tcW w:w="1260" w:type="dxa"/>
            <w:tcBorders>
              <w:top w:val="nil"/>
              <w:left w:val="nil"/>
              <w:bottom w:val="single" w:color="auto" w:sz="4" w:space="0"/>
              <w:right w:val="single" w:color="auto" w:sz="4" w:space="0"/>
            </w:tcBorders>
            <w:vAlign w:val="center"/>
          </w:tcPr>
          <w:p>
            <w:pPr>
              <w:widowControl/>
              <w:spacing w:line="320" w:lineRule="exact"/>
              <w:jc w:val="center"/>
              <w:rPr>
                <w:rFonts w:ascii="宋体" w:hAnsi="宋体" w:cs="宋体"/>
                <w:kern w:val="0"/>
                <w:sz w:val="24"/>
              </w:rPr>
            </w:pPr>
            <w:r>
              <w:rPr>
                <w:rFonts w:hint="eastAsia" w:ascii="宋体" w:hAnsi="宋体" w:cs="宋体"/>
                <w:kern w:val="0"/>
                <w:sz w:val="24"/>
              </w:rPr>
              <w:t>　</w:t>
            </w:r>
          </w:p>
        </w:tc>
        <w:tc>
          <w:tcPr>
            <w:tcW w:w="949" w:type="dxa"/>
            <w:tcBorders>
              <w:top w:val="nil"/>
              <w:left w:val="nil"/>
              <w:bottom w:val="single" w:color="auto" w:sz="4" w:space="0"/>
              <w:right w:val="single" w:color="auto" w:sz="4" w:space="0"/>
            </w:tcBorders>
            <w:vAlign w:val="center"/>
          </w:tcPr>
          <w:p>
            <w:pPr>
              <w:widowControl/>
              <w:spacing w:line="320" w:lineRule="exact"/>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67" w:hRule="atLeast"/>
          <w:jc w:val="center"/>
        </w:trPr>
        <w:tc>
          <w:tcPr>
            <w:tcW w:w="919"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三</w:t>
            </w:r>
          </w:p>
        </w:tc>
        <w:tc>
          <w:tcPr>
            <w:tcW w:w="2092" w:type="dxa"/>
            <w:gridSpan w:val="2"/>
            <w:tcBorders>
              <w:top w:val="single" w:color="auto" w:sz="4" w:space="0"/>
              <w:left w:val="nil"/>
              <w:bottom w:val="single" w:color="auto" w:sz="4" w:space="0"/>
              <w:right w:val="single" w:color="auto" w:sz="4" w:space="0"/>
            </w:tcBorders>
            <w:vAlign w:val="center"/>
          </w:tcPr>
          <w:p>
            <w:pPr>
              <w:widowControl/>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综合性考评</w:t>
            </w:r>
          </w:p>
        </w:tc>
        <w:tc>
          <w:tcPr>
            <w:tcW w:w="4320" w:type="dxa"/>
            <w:gridSpan w:val="3"/>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rPr>
            </w:pPr>
            <w:r>
              <w:rPr>
                <w:rFonts w:hint="eastAsia" w:ascii="仿宋_GB2312" w:hAnsi="宋体" w:eastAsia="仿宋_GB2312" w:cs="宋体"/>
                <w:kern w:val="0"/>
                <w:sz w:val="24"/>
              </w:rPr>
              <w:t>考核组根据综合性考核决定</w:t>
            </w:r>
          </w:p>
        </w:tc>
        <w:tc>
          <w:tcPr>
            <w:tcW w:w="1260" w:type="dxa"/>
            <w:tcBorders>
              <w:top w:val="nil"/>
              <w:left w:val="nil"/>
              <w:bottom w:val="single" w:color="auto" w:sz="4" w:space="0"/>
              <w:right w:val="single" w:color="auto" w:sz="4" w:space="0"/>
            </w:tcBorders>
            <w:vAlign w:val="top"/>
          </w:tcPr>
          <w:p>
            <w:pPr>
              <w:widowControl/>
              <w:spacing w:line="320" w:lineRule="exact"/>
              <w:jc w:val="left"/>
              <w:rPr>
                <w:rFonts w:ascii="宋体" w:hAnsi="宋体" w:cs="宋体"/>
                <w:kern w:val="0"/>
                <w:sz w:val="24"/>
              </w:rPr>
            </w:pPr>
            <w:r>
              <w:rPr>
                <w:rFonts w:hint="eastAsia" w:ascii="宋体" w:hAnsi="宋体" w:cs="宋体"/>
                <w:kern w:val="0"/>
                <w:sz w:val="24"/>
              </w:rPr>
              <w:t>　</w:t>
            </w:r>
          </w:p>
        </w:tc>
        <w:tc>
          <w:tcPr>
            <w:tcW w:w="949" w:type="dxa"/>
            <w:tcBorders>
              <w:top w:val="nil"/>
              <w:left w:val="nil"/>
              <w:bottom w:val="single" w:color="auto" w:sz="4" w:space="0"/>
              <w:right w:val="single" w:color="auto" w:sz="4" w:space="0"/>
            </w:tcBorders>
            <w:vAlign w:val="top"/>
          </w:tcPr>
          <w:p>
            <w:pPr>
              <w:widowControl/>
              <w:spacing w:line="320" w:lineRule="exact"/>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10" w:hRule="atLeast"/>
          <w:jc w:val="center"/>
        </w:trPr>
        <w:tc>
          <w:tcPr>
            <w:tcW w:w="919"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kern w:val="0"/>
                <w:sz w:val="24"/>
              </w:rPr>
            </w:pPr>
            <w:r>
              <w:rPr>
                <w:rFonts w:hint="eastAsia" w:ascii="宋体" w:hAnsi="宋体" w:cs="宋体"/>
                <w:kern w:val="0"/>
                <w:sz w:val="24"/>
              </w:rPr>
              <w:t>1</w:t>
            </w:r>
          </w:p>
        </w:tc>
        <w:tc>
          <w:tcPr>
            <w:tcW w:w="1372"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单位情况</w:t>
            </w:r>
          </w:p>
        </w:tc>
        <w:tc>
          <w:tcPr>
            <w:tcW w:w="720"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kern w:val="0"/>
                <w:sz w:val="24"/>
              </w:rPr>
            </w:pPr>
            <w:r>
              <w:rPr>
                <w:rFonts w:hint="eastAsia" w:ascii="宋体" w:hAnsi="宋体" w:cs="宋体"/>
                <w:kern w:val="0"/>
                <w:sz w:val="24"/>
              </w:rPr>
              <w:t>7</w:t>
            </w:r>
          </w:p>
        </w:tc>
        <w:tc>
          <w:tcPr>
            <w:tcW w:w="4320" w:type="dxa"/>
            <w:gridSpan w:val="3"/>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rPr>
            </w:pPr>
            <w:r>
              <w:rPr>
                <w:rFonts w:hint="eastAsia" w:ascii="仿宋_GB2312" w:hAnsi="宋体" w:eastAsia="仿宋_GB2312" w:cs="宋体"/>
                <w:kern w:val="0"/>
                <w:sz w:val="24"/>
              </w:rPr>
              <w:t>无违法、违纪、违规行为；无超资质承接业务；无不良行为被相关管理部门查处的，得</w:t>
            </w:r>
            <w:r>
              <w:rPr>
                <w:rFonts w:hint="eastAsia" w:ascii="宋体" w:hAnsi="宋体" w:cs="宋体"/>
                <w:kern w:val="0"/>
                <w:sz w:val="24"/>
              </w:rPr>
              <w:t>5</w:t>
            </w:r>
            <w:r>
              <w:rPr>
                <w:rFonts w:hint="eastAsia" w:ascii="仿宋_GB2312" w:hAnsi="宋体" w:eastAsia="仿宋_GB2312" w:cs="宋体"/>
                <w:kern w:val="0"/>
                <w:sz w:val="24"/>
              </w:rPr>
              <w:t>分。</w:t>
            </w:r>
          </w:p>
        </w:tc>
        <w:tc>
          <w:tcPr>
            <w:tcW w:w="1260" w:type="dxa"/>
            <w:tcBorders>
              <w:top w:val="nil"/>
              <w:left w:val="nil"/>
              <w:bottom w:val="single" w:color="auto" w:sz="4" w:space="0"/>
              <w:right w:val="single" w:color="auto" w:sz="4" w:space="0"/>
            </w:tcBorders>
            <w:vAlign w:val="top"/>
          </w:tcPr>
          <w:p>
            <w:pPr>
              <w:widowControl/>
              <w:spacing w:line="320" w:lineRule="exact"/>
              <w:jc w:val="left"/>
              <w:rPr>
                <w:rFonts w:ascii="宋体" w:hAnsi="宋体" w:cs="宋体"/>
                <w:kern w:val="0"/>
                <w:sz w:val="24"/>
              </w:rPr>
            </w:pPr>
            <w:r>
              <w:rPr>
                <w:rFonts w:hint="eastAsia" w:ascii="宋体" w:hAnsi="宋体" w:cs="宋体"/>
                <w:kern w:val="0"/>
                <w:sz w:val="24"/>
              </w:rPr>
              <w:t>　</w:t>
            </w:r>
          </w:p>
        </w:tc>
        <w:tc>
          <w:tcPr>
            <w:tcW w:w="949" w:type="dxa"/>
            <w:tcBorders>
              <w:top w:val="nil"/>
              <w:left w:val="nil"/>
              <w:bottom w:val="single" w:color="auto" w:sz="4" w:space="0"/>
              <w:right w:val="single" w:color="auto" w:sz="4" w:space="0"/>
            </w:tcBorders>
            <w:vAlign w:val="top"/>
          </w:tcPr>
          <w:p>
            <w:pPr>
              <w:widowControl/>
              <w:spacing w:line="320" w:lineRule="exact"/>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779" w:hRule="atLeast"/>
          <w:jc w:val="center"/>
        </w:trPr>
        <w:tc>
          <w:tcPr>
            <w:tcW w:w="919"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cs="宋体"/>
                <w:kern w:val="0"/>
                <w:sz w:val="24"/>
              </w:rPr>
            </w:pPr>
          </w:p>
        </w:tc>
        <w:tc>
          <w:tcPr>
            <w:tcW w:w="1372"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rPr>
            </w:pPr>
          </w:p>
        </w:tc>
        <w:tc>
          <w:tcPr>
            <w:tcW w:w="720"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cs="宋体"/>
                <w:kern w:val="0"/>
                <w:sz w:val="24"/>
              </w:rPr>
            </w:pPr>
          </w:p>
        </w:tc>
        <w:tc>
          <w:tcPr>
            <w:tcW w:w="4320" w:type="dxa"/>
            <w:gridSpan w:val="3"/>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rPr>
            </w:pPr>
            <w:r>
              <w:rPr>
                <w:rFonts w:hint="eastAsia" w:ascii="仿宋_GB2312" w:hAnsi="宋体" w:eastAsia="仿宋_GB2312" w:cs="宋体"/>
                <w:kern w:val="0"/>
                <w:sz w:val="24"/>
              </w:rPr>
              <w:t>办公面积、环境和所配硬件设备符合要求，按实际情况，分别得</w:t>
            </w:r>
            <w:r>
              <w:rPr>
                <w:rFonts w:hint="eastAsia" w:ascii="宋体" w:hAnsi="宋体" w:cs="宋体"/>
                <w:kern w:val="0"/>
                <w:sz w:val="24"/>
              </w:rPr>
              <w:t>1-2</w:t>
            </w:r>
            <w:r>
              <w:rPr>
                <w:rFonts w:hint="eastAsia" w:ascii="仿宋_GB2312" w:hAnsi="宋体" w:eastAsia="仿宋_GB2312" w:cs="宋体"/>
                <w:kern w:val="0"/>
                <w:sz w:val="24"/>
              </w:rPr>
              <w:t>分。</w:t>
            </w:r>
          </w:p>
        </w:tc>
        <w:tc>
          <w:tcPr>
            <w:tcW w:w="1260" w:type="dxa"/>
            <w:tcBorders>
              <w:top w:val="nil"/>
              <w:left w:val="nil"/>
              <w:bottom w:val="single" w:color="auto" w:sz="4" w:space="0"/>
              <w:right w:val="single" w:color="auto" w:sz="4" w:space="0"/>
            </w:tcBorders>
            <w:vAlign w:val="top"/>
          </w:tcPr>
          <w:p>
            <w:pPr>
              <w:widowControl/>
              <w:spacing w:line="320" w:lineRule="exact"/>
              <w:jc w:val="left"/>
              <w:rPr>
                <w:rFonts w:ascii="宋体" w:hAnsi="宋体" w:cs="宋体"/>
                <w:kern w:val="0"/>
                <w:sz w:val="24"/>
              </w:rPr>
            </w:pPr>
            <w:r>
              <w:rPr>
                <w:rFonts w:hint="eastAsia" w:ascii="宋体" w:hAnsi="宋体" w:cs="宋体"/>
                <w:kern w:val="0"/>
                <w:sz w:val="24"/>
              </w:rPr>
              <w:t>　</w:t>
            </w:r>
          </w:p>
        </w:tc>
        <w:tc>
          <w:tcPr>
            <w:tcW w:w="949" w:type="dxa"/>
            <w:tcBorders>
              <w:top w:val="nil"/>
              <w:left w:val="nil"/>
              <w:bottom w:val="single" w:color="auto" w:sz="4" w:space="0"/>
              <w:right w:val="single" w:color="auto" w:sz="4" w:space="0"/>
            </w:tcBorders>
            <w:vAlign w:val="top"/>
          </w:tcPr>
          <w:p>
            <w:pPr>
              <w:widowControl/>
              <w:spacing w:line="320" w:lineRule="exact"/>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1070" w:hRule="atLeast"/>
          <w:jc w:val="center"/>
        </w:trPr>
        <w:tc>
          <w:tcPr>
            <w:tcW w:w="919"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kern w:val="0"/>
                <w:sz w:val="24"/>
              </w:rPr>
            </w:pPr>
            <w:r>
              <w:rPr>
                <w:rFonts w:hint="eastAsia" w:ascii="宋体" w:hAnsi="宋体" w:cs="宋体"/>
                <w:kern w:val="0"/>
                <w:sz w:val="24"/>
              </w:rPr>
              <w:t>2</w:t>
            </w:r>
          </w:p>
        </w:tc>
        <w:tc>
          <w:tcPr>
            <w:tcW w:w="1372"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综合实力</w:t>
            </w:r>
          </w:p>
        </w:tc>
        <w:tc>
          <w:tcPr>
            <w:tcW w:w="720"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kern w:val="0"/>
                <w:sz w:val="24"/>
              </w:rPr>
            </w:pPr>
            <w:r>
              <w:rPr>
                <w:rFonts w:hint="eastAsia" w:ascii="宋体" w:hAnsi="宋体" w:cs="宋体"/>
                <w:kern w:val="0"/>
                <w:sz w:val="24"/>
              </w:rPr>
              <w:t>13</w:t>
            </w:r>
          </w:p>
        </w:tc>
        <w:tc>
          <w:tcPr>
            <w:tcW w:w="4320" w:type="dxa"/>
            <w:gridSpan w:val="3"/>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rPr>
            </w:pPr>
            <w:r>
              <w:rPr>
                <w:rFonts w:hint="eastAsia" w:ascii="仿宋_GB2312" w:hAnsi="宋体" w:eastAsia="仿宋_GB2312" w:cs="宋体"/>
                <w:kern w:val="0"/>
                <w:sz w:val="24"/>
              </w:rPr>
              <w:t>制度管理规范，建立质量控制、财务管理、廉洁自律及档案管理等制度，并落实到位。根据情况得</w:t>
            </w:r>
            <w:r>
              <w:rPr>
                <w:rFonts w:hint="eastAsia" w:ascii="宋体" w:hAnsi="宋体" w:cs="宋体"/>
                <w:kern w:val="0"/>
                <w:sz w:val="24"/>
              </w:rPr>
              <w:t>5</w:t>
            </w:r>
            <w:r>
              <w:rPr>
                <w:rFonts w:hint="eastAsia" w:ascii="仿宋_GB2312" w:hAnsi="宋体" w:eastAsia="仿宋_GB2312" w:cs="宋体"/>
                <w:kern w:val="0"/>
                <w:sz w:val="24"/>
              </w:rPr>
              <w:t>—</w:t>
            </w:r>
            <w:r>
              <w:rPr>
                <w:rFonts w:hint="eastAsia" w:ascii="宋体" w:hAnsi="宋体" w:cs="宋体"/>
                <w:kern w:val="0"/>
                <w:sz w:val="24"/>
              </w:rPr>
              <w:t>10</w:t>
            </w:r>
            <w:r>
              <w:rPr>
                <w:rFonts w:hint="eastAsia" w:ascii="仿宋_GB2312" w:hAnsi="宋体" w:eastAsia="仿宋_GB2312" w:cs="宋体"/>
                <w:kern w:val="0"/>
                <w:sz w:val="24"/>
              </w:rPr>
              <w:t>分。</w:t>
            </w:r>
          </w:p>
        </w:tc>
        <w:tc>
          <w:tcPr>
            <w:tcW w:w="1260" w:type="dxa"/>
            <w:tcBorders>
              <w:top w:val="nil"/>
              <w:left w:val="nil"/>
              <w:bottom w:val="single" w:color="auto" w:sz="4" w:space="0"/>
              <w:right w:val="single" w:color="auto" w:sz="4" w:space="0"/>
            </w:tcBorders>
            <w:vAlign w:val="top"/>
          </w:tcPr>
          <w:p>
            <w:pPr>
              <w:widowControl/>
              <w:spacing w:line="320" w:lineRule="exact"/>
              <w:jc w:val="left"/>
              <w:rPr>
                <w:rFonts w:ascii="宋体" w:hAnsi="宋体" w:cs="宋体"/>
                <w:kern w:val="0"/>
                <w:sz w:val="24"/>
              </w:rPr>
            </w:pPr>
            <w:r>
              <w:rPr>
                <w:rFonts w:hint="eastAsia" w:ascii="宋体" w:hAnsi="宋体" w:cs="宋体"/>
                <w:kern w:val="0"/>
                <w:sz w:val="24"/>
              </w:rPr>
              <w:t>　</w:t>
            </w:r>
          </w:p>
        </w:tc>
        <w:tc>
          <w:tcPr>
            <w:tcW w:w="949" w:type="dxa"/>
            <w:tcBorders>
              <w:top w:val="nil"/>
              <w:left w:val="nil"/>
              <w:bottom w:val="single" w:color="auto" w:sz="4" w:space="0"/>
              <w:right w:val="single" w:color="auto" w:sz="4" w:space="0"/>
            </w:tcBorders>
            <w:vAlign w:val="top"/>
          </w:tcPr>
          <w:p>
            <w:pPr>
              <w:widowControl/>
              <w:spacing w:line="320" w:lineRule="exact"/>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773" w:hRule="atLeast"/>
          <w:jc w:val="center"/>
        </w:trPr>
        <w:tc>
          <w:tcPr>
            <w:tcW w:w="919"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cs="宋体"/>
                <w:kern w:val="0"/>
                <w:sz w:val="24"/>
              </w:rPr>
            </w:pPr>
          </w:p>
        </w:tc>
        <w:tc>
          <w:tcPr>
            <w:tcW w:w="1372"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rPr>
            </w:pPr>
          </w:p>
        </w:tc>
        <w:tc>
          <w:tcPr>
            <w:tcW w:w="720"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cs="宋体"/>
                <w:kern w:val="0"/>
                <w:sz w:val="24"/>
              </w:rPr>
            </w:pPr>
          </w:p>
        </w:tc>
        <w:tc>
          <w:tcPr>
            <w:tcW w:w="4320" w:type="dxa"/>
            <w:gridSpan w:val="3"/>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rPr>
            </w:pPr>
            <w:r>
              <w:rPr>
                <w:rFonts w:hint="eastAsia" w:ascii="仿宋_GB2312" w:hAnsi="宋体" w:eastAsia="仿宋_GB2312" w:cs="宋体"/>
                <w:kern w:val="0"/>
                <w:sz w:val="24"/>
              </w:rPr>
              <w:t>当年度受行业协会评优、得奖的，省级及以上，得</w:t>
            </w:r>
            <w:r>
              <w:rPr>
                <w:rFonts w:hint="eastAsia" w:ascii="宋体" w:hAnsi="宋体" w:cs="宋体"/>
                <w:kern w:val="0"/>
                <w:sz w:val="24"/>
              </w:rPr>
              <w:t>2</w:t>
            </w:r>
            <w:r>
              <w:rPr>
                <w:rFonts w:hint="eastAsia" w:ascii="仿宋_GB2312" w:hAnsi="宋体" w:eastAsia="仿宋_GB2312" w:cs="宋体"/>
                <w:kern w:val="0"/>
                <w:sz w:val="24"/>
              </w:rPr>
              <w:t>分，市、县级的得</w:t>
            </w:r>
            <w:r>
              <w:rPr>
                <w:rFonts w:hint="eastAsia" w:ascii="宋体" w:hAnsi="宋体" w:cs="宋体"/>
                <w:kern w:val="0"/>
                <w:sz w:val="24"/>
              </w:rPr>
              <w:t>1</w:t>
            </w:r>
            <w:r>
              <w:rPr>
                <w:rFonts w:hint="eastAsia" w:ascii="仿宋_GB2312" w:hAnsi="宋体" w:eastAsia="仿宋_GB2312" w:cs="宋体"/>
                <w:kern w:val="0"/>
                <w:sz w:val="24"/>
              </w:rPr>
              <w:t>分。</w:t>
            </w:r>
          </w:p>
        </w:tc>
        <w:tc>
          <w:tcPr>
            <w:tcW w:w="1260" w:type="dxa"/>
            <w:tcBorders>
              <w:top w:val="nil"/>
              <w:left w:val="nil"/>
              <w:bottom w:val="single" w:color="auto" w:sz="4" w:space="0"/>
              <w:right w:val="single" w:color="auto" w:sz="4" w:space="0"/>
            </w:tcBorders>
            <w:vAlign w:val="top"/>
          </w:tcPr>
          <w:p>
            <w:pPr>
              <w:widowControl/>
              <w:spacing w:line="320" w:lineRule="exact"/>
              <w:jc w:val="left"/>
              <w:rPr>
                <w:rFonts w:ascii="宋体" w:hAnsi="宋体" w:cs="宋体"/>
                <w:kern w:val="0"/>
                <w:sz w:val="24"/>
              </w:rPr>
            </w:pPr>
            <w:r>
              <w:rPr>
                <w:rFonts w:hint="eastAsia" w:ascii="宋体" w:hAnsi="宋体" w:cs="宋体"/>
                <w:kern w:val="0"/>
                <w:sz w:val="24"/>
              </w:rPr>
              <w:t>　</w:t>
            </w:r>
          </w:p>
        </w:tc>
        <w:tc>
          <w:tcPr>
            <w:tcW w:w="949" w:type="dxa"/>
            <w:tcBorders>
              <w:top w:val="nil"/>
              <w:left w:val="nil"/>
              <w:bottom w:val="single" w:color="auto" w:sz="4" w:space="0"/>
              <w:right w:val="single" w:color="auto" w:sz="4" w:space="0"/>
            </w:tcBorders>
            <w:vAlign w:val="top"/>
          </w:tcPr>
          <w:p>
            <w:pPr>
              <w:widowControl/>
              <w:spacing w:line="320" w:lineRule="exact"/>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10" w:hRule="atLeast"/>
          <w:jc w:val="center"/>
        </w:trPr>
        <w:tc>
          <w:tcPr>
            <w:tcW w:w="919"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kern w:val="0"/>
                <w:sz w:val="24"/>
              </w:rPr>
            </w:pPr>
            <w:r>
              <w:rPr>
                <w:rFonts w:hint="eastAsia" w:ascii="宋体" w:hAnsi="宋体" w:cs="宋体"/>
                <w:kern w:val="0"/>
                <w:sz w:val="24"/>
              </w:rPr>
              <w:t>3</w:t>
            </w:r>
          </w:p>
        </w:tc>
        <w:tc>
          <w:tcPr>
            <w:tcW w:w="1372"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优化与创新能力</w:t>
            </w:r>
          </w:p>
        </w:tc>
        <w:tc>
          <w:tcPr>
            <w:tcW w:w="720" w:type="dxa"/>
            <w:vMerge w:val="restart"/>
            <w:tcBorders>
              <w:top w:val="nil"/>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kern w:val="0"/>
                <w:sz w:val="24"/>
              </w:rPr>
            </w:pPr>
            <w:r>
              <w:rPr>
                <w:rFonts w:hint="eastAsia" w:ascii="宋体" w:hAnsi="宋体" w:cs="宋体"/>
                <w:kern w:val="0"/>
                <w:sz w:val="24"/>
              </w:rPr>
              <w:t>10</w:t>
            </w:r>
          </w:p>
        </w:tc>
        <w:tc>
          <w:tcPr>
            <w:tcW w:w="4320"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rPr>
            </w:pPr>
            <w:r>
              <w:rPr>
                <w:rFonts w:hint="eastAsia" w:ascii="仿宋_GB2312" w:hAnsi="宋体" w:eastAsia="仿宋_GB2312" w:cs="宋体"/>
                <w:kern w:val="0"/>
                <w:sz w:val="24"/>
              </w:rPr>
              <w:t>积极参与财政投资项目工作研讨，有关方案优化等建议和创新优化项目得到政府有关部门认可与发挥效益，参与有关标准、政策制定的，提供优秀的项目绩效评价文章等。</w:t>
            </w:r>
          </w:p>
        </w:tc>
        <w:tc>
          <w:tcPr>
            <w:tcW w:w="1260" w:type="dxa"/>
            <w:tcBorders>
              <w:top w:val="nil"/>
              <w:left w:val="nil"/>
              <w:bottom w:val="single" w:color="auto" w:sz="4" w:space="0"/>
              <w:right w:val="single" w:color="auto" w:sz="4" w:space="0"/>
            </w:tcBorders>
            <w:vAlign w:val="top"/>
          </w:tcPr>
          <w:p>
            <w:pPr>
              <w:widowControl/>
              <w:spacing w:line="320" w:lineRule="exact"/>
              <w:jc w:val="left"/>
              <w:rPr>
                <w:rFonts w:ascii="宋体" w:hAnsi="宋体" w:cs="宋体"/>
                <w:kern w:val="0"/>
                <w:sz w:val="24"/>
              </w:rPr>
            </w:pPr>
            <w:r>
              <w:rPr>
                <w:rFonts w:hint="eastAsia" w:ascii="宋体" w:hAnsi="宋体" w:cs="宋体"/>
                <w:kern w:val="0"/>
                <w:sz w:val="24"/>
              </w:rPr>
              <w:t>　</w:t>
            </w:r>
          </w:p>
        </w:tc>
        <w:tc>
          <w:tcPr>
            <w:tcW w:w="949" w:type="dxa"/>
            <w:tcBorders>
              <w:top w:val="nil"/>
              <w:left w:val="nil"/>
              <w:bottom w:val="single" w:color="auto" w:sz="4" w:space="0"/>
              <w:right w:val="single" w:color="auto" w:sz="4" w:space="0"/>
            </w:tcBorders>
            <w:vAlign w:val="top"/>
          </w:tcPr>
          <w:p>
            <w:pPr>
              <w:widowControl/>
              <w:spacing w:line="320" w:lineRule="exact"/>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957" w:hRule="atLeast"/>
          <w:jc w:val="center"/>
        </w:trPr>
        <w:tc>
          <w:tcPr>
            <w:tcW w:w="919"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cs="宋体"/>
                <w:kern w:val="0"/>
                <w:sz w:val="24"/>
              </w:rPr>
            </w:pPr>
          </w:p>
        </w:tc>
        <w:tc>
          <w:tcPr>
            <w:tcW w:w="1372"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rPr>
            </w:pPr>
          </w:p>
        </w:tc>
        <w:tc>
          <w:tcPr>
            <w:tcW w:w="720"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宋体" w:hAnsi="宋体" w:cs="宋体"/>
                <w:kern w:val="0"/>
                <w:sz w:val="24"/>
              </w:rPr>
            </w:pPr>
          </w:p>
        </w:tc>
        <w:tc>
          <w:tcPr>
            <w:tcW w:w="432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rPr>
            </w:pPr>
          </w:p>
        </w:tc>
        <w:tc>
          <w:tcPr>
            <w:tcW w:w="1260" w:type="dxa"/>
            <w:tcBorders>
              <w:top w:val="nil"/>
              <w:left w:val="nil"/>
              <w:bottom w:val="single" w:color="auto" w:sz="4" w:space="0"/>
              <w:right w:val="single" w:color="auto" w:sz="4" w:space="0"/>
            </w:tcBorders>
            <w:vAlign w:val="top"/>
          </w:tcPr>
          <w:p>
            <w:pPr>
              <w:widowControl/>
              <w:spacing w:line="320" w:lineRule="exact"/>
              <w:jc w:val="left"/>
              <w:rPr>
                <w:rFonts w:ascii="宋体" w:hAnsi="宋体" w:cs="宋体"/>
                <w:kern w:val="0"/>
                <w:sz w:val="24"/>
              </w:rPr>
            </w:pPr>
            <w:r>
              <w:rPr>
                <w:rFonts w:hint="eastAsia" w:ascii="宋体" w:hAnsi="宋体" w:cs="宋体"/>
                <w:kern w:val="0"/>
                <w:sz w:val="24"/>
              </w:rPr>
              <w:t>　</w:t>
            </w:r>
          </w:p>
        </w:tc>
        <w:tc>
          <w:tcPr>
            <w:tcW w:w="949" w:type="dxa"/>
            <w:tcBorders>
              <w:top w:val="nil"/>
              <w:left w:val="nil"/>
              <w:bottom w:val="single" w:color="auto" w:sz="4" w:space="0"/>
              <w:right w:val="single" w:color="auto" w:sz="4" w:space="0"/>
            </w:tcBorders>
            <w:vAlign w:val="top"/>
          </w:tcPr>
          <w:p>
            <w:pPr>
              <w:widowControl/>
              <w:spacing w:line="320" w:lineRule="exact"/>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67" w:hRule="atLeast"/>
          <w:jc w:val="center"/>
        </w:trPr>
        <w:tc>
          <w:tcPr>
            <w:tcW w:w="7331" w:type="dxa"/>
            <w:gridSpan w:val="6"/>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总</w:t>
            </w:r>
            <w:r>
              <w:rPr>
                <w:rFonts w:hint="eastAsia" w:ascii="宋体" w:hAnsi="宋体" w:cs="宋体"/>
                <w:kern w:val="0"/>
                <w:sz w:val="24"/>
              </w:rPr>
              <w:t xml:space="preserve">     </w:t>
            </w:r>
            <w:r>
              <w:rPr>
                <w:rFonts w:hint="eastAsia" w:ascii="仿宋_GB2312" w:hAnsi="宋体" w:eastAsia="仿宋_GB2312" w:cs="宋体"/>
                <w:kern w:val="0"/>
                <w:sz w:val="24"/>
              </w:rPr>
              <w:t>分</w:t>
            </w:r>
          </w:p>
        </w:tc>
        <w:tc>
          <w:tcPr>
            <w:tcW w:w="2209" w:type="dxa"/>
            <w:gridSpan w:val="2"/>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67" w:hRule="atLeast"/>
          <w:jc w:val="center"/>
        </w:trPr>
        <w:tc>
          <w:tcPr>
            <w:tcW w:w="3472" w:type="dxa"/>
            <w:gridSpan w:val="4"/>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考核组成员</w:t>
            </w:r>
          </w:p>
        </w:tc>
        <w:tc>
          <w:tcPr>
            <w:tcW w:w="6068" w:type="dxa"/>
            <w:gridSpan w:val="4"/>
            <w:tcBorders>
              <w:top w:val="single" w:color="auto" w:sz="4" w:space="0"/>
              <w:left w:val="nil"/>
              <w:bottom w:val="single" w:color="auto" w:sz="4" w:space="0"/>
              <w:right w:val="single" w:color="auto" w:sz="4" w:space="0"/>
            </w:tcBorders>
            <w:vAlign w:val="center"/>
          </w:tcPr>
          <w:p>
            <w:pPr>
              <w:widowControl/>
              <w:spacing w:line="320" w:lineRule="exact"/>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567" w:hRule="atLeast"/>
          <w:jc w:val="center"/>
        </w:trPr>
        <w:tc>
          <w:tcPr>
            <w:tcW w:w="3472" w:type="dxa"/>
            <w:gridSpan w:val="4"/>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eastAsia="仿宋_GB2312" w:cs="宋体"/>
                <w:kern w:val="0"/>
                <w:sz w:val="24"/>
              </w:rPr>
            </w:pPr>
            <w:r>
              <w:rPr>
                <w:rFonts w:hint="eastAsia" w:ascii="仿宋_GB2312" w:hAnsi="宋体" w:eastAsia="仿宋_GB2312" w:cs="宋体"/>
                <w:kern w:val="0"/>
                <w:sz w:val="24"/>
              </w:rPr>
              <w:t>考核时间</w:t>
            </w:r>
          </w:p>
        </w:tc>
        <w:tc>
          <w:tcPr>
            <w:tcW w:w="6068" w:type="dxa"/>
            <w:gridSpan w:val="4"/>
            <w:tcBorders>
              <w:top w:val="single" w:color="auto" w:sz="4" w:space="0"/>
              <w:left w:val="nil"/>
              <w:bottom w:val="single" w:color="auto" w:sz="4" w:space="0"/>
              <w:right w:val="single" w:color="auto" w:sz="4" w:space="0"/>
            </w:tcBorders>
            <w:vAlign w:val="center"/>
          </w:tcPr>
          <w:p>
            <w:pPr>
              <w:widowControl/>
              <w:spacing w:line="320" w:lineRule="exact"/>
              <w:jc w:val="center"/>
              <w:rPr>
                <w:rFonts w:ascii="宋体" w:hAnsi="宋体" w:cs="宋体"/>
                <w:kern w:val="0"/>
                <w:sz w:val="24"/>
              </w:rPr>
            </w:pPr>
            <w:r>
              <w:rPr>
                <w:rFonts w:hint="eastAsia" w:ascii="宋体" w:hAnsi="宋体" w:cs="宋体"/>
                <w:kern w:val="0"/>
                <w:sz w:val="24"/>
              </w:rPr>
              <w:t>　</w:t>
            </w:r>
          </w:p>
        </w:tc>
      </w:tr>
    </w:tbl>
    <w:p>
      <w:pPr>
        <w:spacing w:line="200" w:lineRule="exact"/>
        <w:rPr>
          <w:rFonts w:hint="eastAsia" w:ascii="仿宋_GB2312" w:eastAsia="仿宋_GB2312"/>
          <w:sz w:val="32"/>
          <w:szCs w:val="32"/>
        </w:rPr>
      </w:pPr>
    </w:p>
    <w:p>
      <w:pPr>
        <w:rPr>
          <w:rFonts w:eastAsia="仿宋_GB2312"/>
          <w:sz w:val="32"/>
        </w:rPr>
        <w:sectPr>
          <w:pgSz w:w="11906" w:h="16838"/>
          <w:pgMar w:top="1134" w:right="1134" w:bottom="1134" w:left="1134" w:header="851" w:footer="992" w:gutter="0"/>
          <w:cols w:space="720" w:num="1"/>
          <w:docGrid w:type="linesAndChars" w:linePitch="312" w:charSpace="0"/>
        </w:sectPr>
      </w:pPr>
    </w:p>
    <w:p>
      <w:pPr>
        <w:spacing w:line="480" w:lineRule="exact"/>
        <w:rPr>
          <w:rFonts w:hint="eastAsia" w:ascii="黑体" w:eastAsia="黑体"/>
          <w:sz w:val="32"/>
        </w:rPr>
      </w:pPr>
      <w:r>
        <w:rPr>
          <w:rFonts w:hint="eastAsia" w:ascii="黑体" w:eastAsia="黑体"/>
          <w:sz w:val="32"/>
        </w:rPr>
        <w:t>附件5</w:t>
      </w:r>
    </w:p>
    <w:p>
      <w:pPr>
        <w:spacing w:before="156" w:beforeLines="50" w:after="156" w:afterLines="50" w:line="480" w:lineRule="exact"/>
        <w:jc w:val="center"/>
        <w:rPr>
          <w:rFonts w:hint="eastAsia" w:ascii="方正小标宋简体" w:eastAsia="方正小标宋简体"/>
          <w:sz w:val="40"/>
          <w:szCs w:val="40"/>
        </w:rPr>
      </w:pPr>
      <w:r>
        <w:rPr>
          <w:rFonts w:hint="eastAsia" w:ascii="方正小标宋简体" w:eastAsia="方正小标宋简体"/>
          <w:sz w:val="40"/>
          <w:szCs w:val="40"/>
        </w:rPr>
        <w:t>岳阳市财政投资评审中心项目评审延期审批表</w:t>
      </w:r>
    </w:p>
    <w:p>
      <w:pPr>
        <w:wordWrap w:val="0"/>
        <w:spacing w:line="480" w:lineRule="exact"/>
        <w:jc w:val="right"/>
        <w:rPr>
          <w:rFonts w:hint="eastAsia" w:ascii="仿宋_GB2312" w:eastAsia="仿宋_GB2312"/>
          <w:sz w:val="24"/>
        </w:rPr>
      </w:pPr>
      <w:r>
        <w:rPr>
          <w:rFonts w:hint="eastAsia" w:ascii="仿宋_GB2312" w:eastAsia="仿宋_GB2312"/>
          <w:sz w:val="24"/>
        </w:rPr>
        <w:t xml:space="preserve">年    月    日   </w:t>
      </w:r>
    </w:p>
    <w:tbl>
      <w:tblPr>
        <w:tblStyle w:val="5"/>
        <w:tblW w:w="13525" w:type="dxa"/>
        <w:jc w:val="center"/>
        <w:tblInd w:w="0" w:type="dxa"/>
        <w:tblLayout w:type="fixed"/>
        <w:tblCellMar>
          <w:top w:w="0" w:type="dxa"/>
          <w:left w:w="108" w:type="dxa"/>
          <w:bottom w:w="0" w:type="dxa"/>
          <w:right w:w="108" w:type="dxa"/>
        </w:tblCellMar>
      </w:tblPr>
      <w:tblGrid>
        <w:gridCol w:w="2666"/>
        <w:gridCol w:w="1260"/>
        <w:gridCol w:w="1260"/>
        <w:gridCol w:w="1260"/>
        <w:gridCol w:w="1260"/>
        <w:gridCol w:w="1440"/>
        <w:gridCol w:w="1260"/>
        <w:gridCol w:w="1620"/>
        <w:gridCol w:w="1499"/>
      </w:tblGrid>
      <w:tr>
        <w:tblPrEx>
          <w:tblLayout w:type="fixed"/>
          <w:tblCellMar>
            <w:top w:w="0" w:type="dxa"/>
            <w:left w:w="108" w:type="dxa"/>
            <w:bottom w:w="0" w:type="dxa"/>
            <w:right w:w="108" w:type="dxa"/>
          </w:tblCellMar>
        </w:tblPrEx>
        <w:trPr>
          <w:trHeight w:val="794" w:hRule="atLeast"/>
          <w:jc w:val="center"/>
        </w:trPr>
        <w:tc>
          <w:tcPr>
            <w:tcW w:w="518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kern w:val="0"/>
                <w:sz w:val="24"/>
              </w:rPr>
            </w:pPr>
            <w:r>
              <w:rPr>
                <w:rFonts w:hint="eastAsia" w:ascii="仿宋_GB2312" w:hAnsi="宋体" w:eastAsia="仿宋_GB2312" w:cs="宋体"/>
                <w:b/>
                <w:kern w:val="0"/>
                <w:sz w:val="24"/>
              </w:rPr>
              <w:t>项目单位</w:t>
            </w:r>
          </w:p>
        </w:tc>
        <w:tc>
          <w:tcPr>
            <w:tcW w:w="5220"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kern w:val="0"/>
                <w:sz w:val="24"/>
              </w:rPr>
            </w:pPr>
            <w:r>
              <w:rPr>
                <w:rFonts w:hint="eastAsia" w:ascii="仿宋_GB2312" w:hAnsi="宋体" w:eastAsia="仿宋_GB2312" w:cs="宋体"/>
                <w:b/>
                <w:kern w:val="0"/>
                <w:sz w:val="24"/>
              </w:rPr>
              <w:t>项目名称</w:t>
            </w:r>
          </w:p>
        </w:tc>
        <w:tc>
          <w:tcPr>
            <w:tcW w:w="1620"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kern w:val="0"/>
                <w:sz w:val="24"/>
              </w:rPr>
            </w:pPr>
            <w:r>
              <w:rPr>
                <w:rFonts w:hint="eastAsia" w:ascii="仿宋_GB2312" w:hAnsi="宋体" w:eastAsia="仿宋_GB2312" w:cs="宋体"/>
                <w:b/>
                <w:kern w:val="0"/>
                <w:sz w:val="24"/>
              </w:rPr>
              <w:t>评审类别</w:t>
            </w:r>
          </w:p>
        </w:tc>
        <w:tc>
          <w:tcPr>
            <w:tcW w:w="1499"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b/>
                <w:kern w:val="0"/>
                <w:sz w:val="24"/>
              </w:rPr>
            </w:pPr>
            <w:r>
              <w:rPr>
                <w:rFonts w:hint="eastAsia" w:ascii="仿宋_GB2312" w:hAnsi="宋体" w:eastAsia="仿宋_GB2312" w:cs="宋体"/>
                <w:b/>
                <w:kern w:val="0"/>
                <w:sz w:val="24"/>
              </w:rPr>
              <w:t>送审金额（万元）</w:t>
            </w:r>
          </w:p>
        </w:tc>
      </w:tr>
      <w:tr>
        <w:tblPrEx>
          <w:tblLayout w:type="fixed"/>
          <w:tblCellMar>
            <w:top w:w="0" w:type="dxa"/>
            <w:left w:w="108" w:type="dxa"/>
            <w:bottom w:w="0" w:type="dxa"/>
            <w:right w:w="108" w:type="dxa"/>
          </w:tblCellMar>
        </w:tblPrEx>
        <w:trPr>
          <w:trHeight w:val="794" w:hRule="atLeast"/>
          <w:jc w:val="center"/>
        </w:trPr>
        <w:tc>
          <w:tcPr>
            <w:tcW w:w="518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5220"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6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499"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794" w:hRule="atLeast"/>
          <w:jc w:val="center"/>
        </w:trPr>
        <w:tc>
          <w:tcPr>
            <w:tcW w:w="266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受托评审中介机构</w:t>
            </w:r>
          </w:p>
        </w:tc>
        <w:tc>
          <w:tcPr>
            <w:tcW w:w="126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委托方式</w:t>
            </w:r>
          </w:p>
        </w:tc>
        <w:tc>
          <w:tcPr>
            <w:tcW w:w="126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受理时间</w:t>
            </w:r>
          </w:p>
        </w:tc>
        <w:tc>
          <w:tcPr>
            <w:tcW w:w="126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计划工作</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时限</w:t>
            </w:r>
          </w:p>
        </w:tc>
        <w:tc>
          <w:tcPr>
            <w:tcW w:w="126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完成工作</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时间</w:t>
            </w:r>
          </w:p>
        </w:tc>
        <w:tc>
          <w:tcPr>
            <w:tcW w:w="144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审批延期</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天数</w:t>
            </w:r>
          </w:p>
        </w:tc>
        <w:tc>
          <w:tcPr>
            <w:tcW w:w="126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延期完成</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工作时间</w:t>
            </w:r>
          </w:p>
        </w:tc>
        <w:tc>
          <w:tcPr>
            <w:tcW w:w="16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中介机构</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负责人签字</w:t>
            </w:r>
          </w:p>
        </w:tc>
        <w:tc>
          <w:tcPr>
            <w:tcW w:w="1499"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建设单位</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负责人签字</w:t>
            </w:r>
          </w:p>
        </w:tc>
      </w:tr>
      <w:tr>
        <w:tblPrEx>
          <w:tblLayout w:type="fixed"/>
          <w:tblCellMar>
            <w:top w:w="0" w:type="dxa"/>
            <w:left w:w="108" w:type="dxa"/>
            <w:bottom w:w="0" w:type="dxa"/>
            <w:right w:w="108" w:type="dxa"/>
          </w:tblCellMar>
        </w:tblPrEx>
        <w:trPr>
          <w:trHeight w:val="794" w:hRule="atLeast"/>
          <w:jc w:val="center"/>
        </w:trPr>
        <w:tc>
          <w:tcPr>
            <w:tcW w:w="266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26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26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26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26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44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26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620"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499"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1077" w:hRule="atLeast"/>
          <w:jc w:val="center"/>
        </w:trPr>
        <w:tc>
          <w:tcPr>
            <w:tcW w:w="266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延期原因</w:t>
            </w:r>
          </w:p>
        </w:tc>
        <w:tc>
          <w:tcPr>
            <w:tcW w:w="10859" w:type="dxa"/>
            <w:gridSpan w:val="8"/>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1077" w:hRule="atLeast"/>
          <w:jc w:val="center"/>
        </w:trPr>
        <w:tc>
          <w:tcPr>
            <w:tcW w:w="2666"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相关事项</w:t>
            </w:r>
          </w:p>
        </w:tc>
        <w:tc>
          <w:tcPr>
            <w:tcW w:w="10859" w:type="dxa"/>
            <w:gridSpan w:val="8"/>
            <w:tcBorders>
              <w:top w:val="single" w:color="auto" w:sz="4" w:space="0"/>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1077" w:hRule="atLeast"/>
          <w:jc w:val="center"/>
        </w:trPr>
        <w:tc>
          <w:tcPr>
            <w:tcW w:w="6446" w:type="dxa"/>
            <w:gridSpan w:val="4"/>
            <w:tcBorders>
              <w:top w:val="single" w:color="auto" w:sz="4" w:space="0"/>
              <w:left w:val="single" w:color="auto" w:sz="4" w:space="0"/>
              <w:bottom w:val="single" w:color="auto" w:sz="4" w:space="0"/>
              <w:right w:val="single" w:color="auto" w:sz="4" w:space="0"/>
            </w:tcBorders>
            <w:vAlign w:val="top"/>
          </w:tcPr>
          <w:p>
            <w:pPr>
              <w:widowControl/>
              <w:spacing w:line="100" w:lineRule="exact"/>
              <w:jc w:val="left"/>
              <w:rPr>
                <w:rFonts w:hint="eastAsia" w:ascii="仿宋_GB2312" w:hAnsi="宋体" w:eastAsia="仿宋_GB2312" w:cs="宋体"/>
                <w:kern w:val="0"/>
                <w:sz w:val="24"/>
              </w:rPr>
            </w:pPr>
          </w:p>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xml:space="preserve">分管副主任意见：                           </w:t>
            </w:r>
          </w:p>
        </w:tc>
        <w:tc>
          <w:tcPr>
            <w:tcW w:w="7079" w:type="dxa"/>
            <w:gridSpan w:val="5"/>
            <w:tcBorders>
              <w:top w:val="single" w:color="auto" w:sz="4" w:space="0"/>
              <w:left w:val="nil"/>
              <w:bottom w:val="single" w:color="auto" w:sz="4" w:space="0"/>
              <w:right w:val="single" w:color="auto" w:sz="4" w:space="0"/>
            </w:tcBorders>
            <w:vAlign w:val="top"/>
          </w:tcPr>
          <w:p>
            <w:pPr>
              <w:widowControl/>
              <w:spacing w:line="100" w:lineRule="exact"/>
              <w:jc w:val="left"/>
              <w:rPr>
                <w:rFonts w:hint="eastAsia" w:ascii="仿宋_GB2312" w:hAnsi="宋体" w:eastAsia="仿宋_GB2312" w:cs="宋体"/>
                <w:kern w:val="0"/>
                <w:sz w:val="24"/>
              </w:rPr>
            </w:pPr>
          </w:p>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单位负责人意见：</w:t>
            </w:r>
          </w:p>
        </w:tc>
      </w:tr>
    </w:tbl>
    <w:p>
      <w:pPr>
        <w:rPr>
          <w:rFonts w:eastAsia="仿宋_GB2312"/>
          <w:sz w:val="32"/>
        </w:rPr>
        <w:sectPr>
          <w:pgSz w:w="16838" w:h="11906" w:orient="landscape"/>
          <w:pgMar w:top="1588" w:right="1588" w:bottom="1588" w:left="1588" w:header="851" w:footer="992" w:gutter="0"/>
          <w:cols w:space="720" w:num="1"/>
          <w:docGrid w:type="lines" w:linePitch="312" w:charSpace="0"/>
        </w:sectPr>
      </w:pPr>
    </w:p>
    <w:p>
      <w:pPr>
        <w:spacing w:line="200" w:lineRule="exact"/>
        <w:rPr>
          <w:rFonts w:hint="eastAsia" w:eastAsia="仿宋_GB2312"/>
          <w:sz w:val="32"/>
        </w:rPr>
      </w:pPr>
    </w:p>
    <w:p>
      <w:pPr>
        <w:spacing w:line="200" w:lineRule="exact"/>
        <w:rPr>
          <w:rFonts w:hint="eastAsia" w:eastAsia="仿宋_GB2312"/>
          <w:sz w:val="32"/>
        </w:rPr>
      </w:pPr>
    </w:p>
    <w:p>
      <w:pPr>
        <w:spacing w:line="200" w:lineRule="exact"/>
        <w:rPr>
          <w:rFonts w:hint="eastAsia" w:eastAsia="仿宋_GB2312"/>
          <w:sz w:val="32"/>
        </w:rPr>
      </w:pPr>
    </w:p>
    <w:p>
      <w:pPr>
        <w:spacing w:line="200" w:lineRule="exact"/>
        <w:rPr>
          <w:rFonts w:hint="eastAsia" w:eastAsia="仿宋_GB2312"/>
          <w:sz w:val="32"/>
        </w:rPr>
      </w:pPr>
    </w:p>
    <w:p>
      <w:pPr>
        <w:spacing w:line="200" w:lineRule="exact"/>
        <w:rPr>
          <w:rFonts w:hint="eastAsia" w:eastAsia="仿宋_GB2312"/>
          <w:sz w:val="32"/>
        </w:rPr>
      </w:pPr>
    </w:p>
    <w:p>
      <w:pPr>
        <w:spacing w:line="200" w:lineRule="exact"/>
        <w:rPr>
          <w:rFonts w:hint="eastAsia" w:eastAsia="仿宋_GB2312"/>
          <w:sz w:val="32"/>
        </w:rPr>
      </w:pPr>
    </w:p>
    <w:p>
      <w:pPr>
        <w:spacing w:line="200" w:lineRule="exact"/>
        <w:rPr>
          <w:rFonts w:hint="eastAsia" w:eastAsia="仿宋_GB2312"/>
          <w:sz w:val="32"/>
        </w:rPr>
      </w:pPr>
    </w:p>
    <w:p>
      <w:pPr>
        <w:spacing w:line="200" w:lineRule="exact"/>
        <w:rPr>
          <w:rFonts w:hint="eastAsia" w:eastAsia="仿宋_GB2312"/>
          <w:sz w:val="32"/>
        </w:rPr>
      </w:pPr>
    </w:p>
    <w:p>
      <w:pPr>
        <w:spacing w:line="200" w:lineRule="exact"/>
        <w:rPr>
          <w:rFonts w:hint="eastAsia" w:eastAsia="仿宋_GB2312"/>
          <w:sz w:val="32"/>
        </w:rPr>
      </w:pPr>
    </w:p>
    <w:p>
      <w:pPr>
        <w:spacing w:line="200" w:lineRule="exact"/>
        <w:rPr>
          <w:rFonts w:hint="eastAsia" w:eastAsia="仿宋_GB2312"/>
          <w:sz w:val="32"/>
        </w:rPr>
      </w:pPr>
    </w:p>
    <w:p>
      <w:pPr>
        <w:spacing w:line="200" w:lineRule="exact"/>
        <w:rPr>
          <w:rFonts w:hint="eastAsia" w:eastAsia="仿宋_GB2312"/>
          <w:sz w:val="32"/>
        </w:rPr>
      </w:pPr>
    </w:p>
    <w:p>
      <w:pPr>
        <w:spacing w:line="200" w:lineRule="exact"/>
        <w:rPr>
          <w:rFonts w:hint="eastAsia" w:eastAsia="仿宋_GB2312"/>
          <w:sz w:val="32"/>
        </w:rPr>
      </w:pPr>
    </w:p>
    <w:p>
      <w:pPr>
        <w:spacing w:line="200" w:lineRule="exact"/>
        <w:rPr>
          <w:rFonts w:hint="eastAsia" w:eastAsia="仿宋_GB2312"/>
          <w:sz w:val="32"/>
        </w:rPr>
      </w:pPr>
    </w:p>
    <w:p>
      <w:pPr>
        <w:spacing w:line="200" w:lineRule="exact"/>
        <w:rPr>
          <w:rFonts w:hint="eastAsia" w:eastAsia="仿宋_GB2312"/>
          <w:sz w:val="32"/>
        </w:rPr>
      </w:pPr>
    </w:p>
    <w:p>
      <w:pPr>
        <w:spacing w:line="200" w:lineRule="exact"/>
        <w:rPr>
          <w:rFonts w:hint="eastAsia" w:eastAsia="仿宋_GB2312"/>
          <w:sz w:val="32"/>
        </w:rPr>
      </w:pPr>
    </w:p>
    <w:p>
      <w:pPr>
        <w:spacing w:line="200" w:lineRule="exact"/>
        <w:rPr>
          <w:rFonts w:hint="eastAsia" w:eastAsia="仿宋_GB2312"/>
          <w:sz w:val="32"/>
        </w:rPr>
      </w:pPr>
    </w:p>
    <w:p>
      <w:pPr>
        <w:spacing w:line="200" w:lineRule="exact"/>
        <w:rPr>
          <w:rFonts w:hint="eastAsia" w:eastAsia="仿宋_GB2312"/>
          <w:sz w:val="32"/>
        </w:rPr>
      </w:pPr>
    </w:p>
    <w:p>
      <w:pPr>
        <w:spacing w:line="200" w:lineRule="exact"/>
        <w:rPr>
          <w:rFonts w:hint="eastAsia" w:eastAsia="仿宋_GB2312"/>
          <w:sz w:val="32"/>
        </w:rPr>
      </w:pPr>
    </w:p>
    <w:p>
      <w:pPr>
        <w:spacing w:line="200" w:lineRule="exact"/>
        <w:rPr>
          <w:rFonts w:hint="eastAsia" w:eastAsia="仿宋_GB2312"/>
          <w:sz w:val="32"/>
        </w:rPr>
      </w:pPr>
    </w:p>
    <w:p>
      <w:pPr>
        <w:spacing w:line="200" w:lineRule="exact"/>
        <w:rPr>
          <w:rFonts w:hint="eastAsia" w:eastAsia="仿宋_GB2312"/>
          <w:sz w:val="32"/>
        </w:rPr>
      </w:pPr>
    </w:p>
    <w:p>
      <w:pPr>
        <w:spacing w:line="200" w:lineRule="exact"/>
        <w:rPr>
          <w:rFonts w:hint="eastAsia" w:eastAsia="仿宋_GB2312"/>
          <w:sz w:val="32"/>
        </w:rPr>
      </w:pPr>
    </w:p>
    <w:p>
      <w:pPr>
        <w:spacing w:line="200" w:lineRule="exact"/>
        <w:rPr>
          <w:rFonts w:hint="eastAsia" w:eastAsia="仿宋_GB2312"/>
          <w:sz w:val="32"/>
        </w:rPr>
      </w:pPr>
    </w:p>
    <w:p>
      <w:pPr>
        <w:spacing w:line="200" w:lineRule="exact"/>
        <w:rPr>
          <w:rFonts w:hint="eastAsia" w:eastAsia="仿宋_GB2312"/>
          <w:sz w:val="32"/>
        </w:rPr>
      </w:pPr>
    </w:p>
    <w:p>
      <w:pPr>
        <w:spacing w:line="200" w:lineRule="exact"/>
        <w:rPr>
          <w:rFonts w:hint="eastAsia" w:eastAsia="仿宋_GB2312"/>
          <w:sz w:val="32"/>
        </w:rPr>
      </w:pPr>
    </w:p>
    <w:p>
      <w:pPr>
        <w:spacing w:line="200" w:lineRule="exact"/>
        <w:rPr>
          <w:rFonts w:hint="eastAsia" w:eastAsia="仿宋_GB2312"/>
          <w:sz w:val="32"/>
        </w:rPr>
      </w:pPr>
    </w:p>
    <w:p>
      <w:pPr>
        <w:spacing w:line="200" w:lineRule="exact"/>
        <w:rPr>
          <w:rFonts w:hint="eastAsia" w:eastAsia="仿宋_GB2312"/>
          <w:sz w:val="32"/>
        </w:rPr>
      </w:pPr>
    </w:p>
    <w:p>
      <w:pPr>
        <w:spacing w:line="200" w:lineRule="exact"/>
        <w:rPr>
          <w:rFonts w:hint="eastAsia" w:eastAsia="仿宋_GB2312"/>
          <w:sz w:val="32"/>
        </w:rPr>
      </w:pPr>
    </w:p>
    <w:p>
      <w:pPr>
        <w:spacing w:line="200" w:lineRule="exact"/>
        <w:rPr>
          <w:rFonts w:hint="eastAsia" w:eastAsia="仿宋_GB2312"/>
          <w:sz w:val="32"/>
        </w:rPr>
      </w:pPr>
    </w:p>
    <w:p>
      <w:pPr>
        <w:spacing w:line="200" w:lineRule="exact"/>
        <w:rPr>
          <w:rFonts w:hint="eastAsia" w:eastAsia="仿宋_GB2312"/>
          <w:sz w:val="32"/>
        </w:rPr>
      </w:pPr>
    </w:p>
    <w:p>
      <w:pPr>
        <w:spacing w:line="200" w:lineRule="exact"/>
        <w:rPr>
          <w:rFonts w:hint="eastAsia" w:eastAsia="仿宋_GB2312"/>
          <w:sz w:val="32"/>
        </w:rPr>
      </w:pPr>
    </w:p>
    <w:p>
      <w:pPr>
        <w:spacing w:line="200" w:lineRule="exact"/>
        <w:rPr>
          <w:rFonts w:hint="eastAsia" w:eastAsia="仿宋_GB2312"/>
          <w:sz w:val="32"/>
        </w:rPr>
      </w:pPr>
    </w:p>
    <w:p>
      <w:pPr>
        <w:spacing w:line="200" w:lineRule="exact"/>
        <w:rPr>
          <w:rFonts w:hint="eastAsia" w:eastAsia="仿宋_GB2312"/>
          <w:sz w:val="32"/>
        </w:rPr>
      </w:pPr>
    </w:p>
    <w:p>
      <w:pPr>
        <w:spacing w:line="200" w:lineRule="exact"/>
        <w:rPr>
          <w:rFonts w:hint="eastAsia" w:eastAsia="仿宋_GB2312"/>
          <w:sz w:val="32"/>
        </w:rPr>
      </w:pPr>
    </w:p>
    <w:p>
      <w:pPr>
        <w:spacing w:line="200" w:lineRule="exact"/>
        <w:rPr>
          <w:rFonts w:hint="eastAsia" w:eastAsia="仿宋_GB2312"/>
          <w:sz w:val="32"/>
        </w:rPr>
      </w:pPr>
    </w:p>
    <w:p>
      <w:pPr>
        <w:spacing w:line="200" w:lineRule="exact"/>
        <w:rPr>
          <w:rFonts w:hint="eastAsia" w:eastAsia="仿宋_GB2312"/>
          <w:sz w:val="32"/>
        </w:rPr>
      </w:pPr>
    </w:p>
    <w:p>
      <w:pPr>
        <w:spacing w:line="200" w:lineRule="exact"/>
        <w:rPr>
          <w:rFonts w:hint="eastAsia" w:eastAsia="仿宋_GB2312"/>
          <w:sz w:val="32"/>
        </w:rPr>
      </w:pPr>
    </w:p>
    <w:p>
      <w:pPr>
        <w:spacing w:line="200" w:lineRule="exact"/>
        <w:rPr>
          <w:rFonts w:hint="eastAsia" w:eastAsia="仿宋_GB2312"/>
          <w:sz w:val="32"/>
        </w:rPr>
      </w:pPr>
    </w:p>
    <w:p>
      <w:pPr>
        <w:spacing w:line="200" w:lineRule="exact"/>
        <w:rPr>
          <w:rFonts w:hint="eastAsia" w:eastAsia="仿宋_GB2312"/>
          <w:sz w:val="32"/>
        </w:rPr>
      </w:pPr>
    </w:p>
    <w:p>
      <w:pPr>
        <w:spacing w:line="200" w:lineRule="exact"/>
        <w:rPr>
          <w:rFonts w:hint="eastAsia" w:eastAsia="仿宋_GB2312"/>
          <w:sz w:val="32"/>
        </w:rPr>
      </w:pPr>
    </w:p>
    <w:p>
      <w:pPr>
        <w:spacing w:line="200" w:lineRule="exact"/>
        <w:rPr>
          <w:rFonts w:hint="eastAsia" w:eastAsia="仿宋_GB2312"/>
          <w:sz w:val="32"/>
        </w:rPr>
      </w:pPr>
    </w:p>
    <w:p>
      <w:pPr>
        <w:spacing w:line="200" w:lineRule="exact"/>
        <w:rPr>
          <w:rFonts w:hint="eastAsia" w:eastAsia="仿宋_GB2312"/>
          <w:sz w:val="32"/>
        </w:rPr>
      </w:pPr>
    </w:p>
    <w:p>
      <w:pPr>
        <w:spacing w:line="200" w:lineRule="exact"/>
        <w:rPr>
          <w:rFonts w:hint="eastAsia" w:eastAsia="仿宋_GB2312"/>
          <w:sz w:val="32"/>
        </w:rPr>
      </w:pPr>
    </w:p>
    <w:p>
      <w:pPr>
        <w:spacing w:line="200" w:lineRule="exact"/>
        <w:rPr>
          <w:rFonts w:hint="eastAsia" w:eastAsia="仿宋_GB2312"/>
          <w:sz w:val="32"/>
        </w:rPr>
      </w:pPr>
    </w:p>
    <w:p>
      <w:pPr>
        <w:spacing w:line="200" w:lineRule="exact"/>
        <w:rPr>
          <w:rFonts w:hint="eastAsia" w:eastAsia="仿宋_GB2312"/>
          <w:sz w:val="32"/>
        </w:rPr>
      </w:pPr>
    </w:p>
    <w:p>
      <w:pPr>
        <w:spacing w:line="200" w:lineRule="exact"/>
        <w:rPr>
          <w:rFonts w:hint="eastAsia" w:eastAsia="仿宋_GB2312"/>
          <w:sz w:val="32"/>
        </w:rPr>
      </w:pPr>
    </w:p>
    <w:p>
      <w:pPr>
        <w:spacing w:line="200" w:lineRule="exact"/>
        <w:rPr>
          <w:rFonts w:hint="eastAsia" w:eastAsia="仿宋_GB2312"/>
          <w:sz w:val="32"/>
        </w:rPr>
      </w:pPr>
    </w:p>
    <w:p>
      <w:pPr>
        <w:spacing w:line="200" w:lineRule="exact"/>
        <w:rPr>
          <w:rFonts w:hint="eastAsia" w:eastAsia="仿宋_GB2312"/>
          <w:sz w:val="32"/>
        </w:rPr>
      </w:pPr>
    </w:p>
    <w:p>
      <w:pPr>
        <w:spacing w:line="200" w:lineRule="exact"/>
        <w:rPr>
          <w:rFonts w:hint="eastAsia" w:eastAsia="仿宋_GB2312"/>
          <w:sz w:val="32"/>
        </w:rPr>
      </w:pPr>
    </w:p>
    <w:p>
      <w:pPr>
        <w:spacing w:line="200" w:lineRule="exact"/>
        <w:rPr>
          <w:rFonts w:hint="eastAsia" w:eastAsia="仿宋_GB2312"/>
          <w:sz w:val="32"/>
        </w:rPr>
      </w:pPr>
    </w:p>
    <w:p>
      <w:pPr>
        <w:spacing w:line="200" w:lineRule="exact"/>
        <w:rPr>
          <w:rFonts w:hint="eastAsia" w:eastAsia="仿宋_GB2312"/>
          <w:sz w:val="32"/>
        </w:rPr>
      </w:pPr>
    </w:p>
    <w:p>
      <w:pPr>
        <w:spacing w:line="200" w:lineRule="exact"/>
        <w:rPr>
          <w:rFonts w:hint="eastAsia" w:eastAsia="仿宋_GB2312"/>
          <w:sz w:val="32"/>
        </w:rPr>
      </w:pPr>
    </w:p>
    <w:p>
      <w:pPr>
        <w:spacing w:line="200" w:lineRule="exact"/>
        <w:rPr>
          <w:rFonts w:hint="eastAsia" w:eastAsia="仿宋_GB2312"/>
          <w:sz w:val="32"/>
        </w:rPr>
      </w:pPr>
    </w:p>
    <w:p>
      <w:pPr>
        <w:spacing w:line="200" w:lineRule="exact"/>
        <w:rPr>
          <w:rFonts w:hint="eastAsia" w:eastAsia="仿宋_GB2312"/>
          <w:sz w:val="32"/>
        </w:rPr>
      </w:pPr>
    </w:p>
    <w:p>
      <w:pPr>
        <w:spacing w:line="200" w:lineRule="exact"/>
        <w:rPr>
          <w:rFonts w:hint="eastAsia" w:eastAsia="仿宋_GB2312"/>
          <w:sz w:val="32"/>
        </w:rPr>
      </w:pPr>
    </w:p>
    <w:p>
      <w:pPr>
        <w:spacing w:line="200" w:lineRule="exact"/>
        <w:rPr>
          <w:rFonts w:hint="eastAsia" w:eastAsia="仿宋_GB2312"/>
          <w:sz w:val="32"/>
        </w:rPr>
      </w:pPr>
    </w:p>
    <w:p>
      <w:pPr>
        <w:spacing w:line="200" w:lineRule="exact"/>
        <w:rPr>
          <w:rFonts w:hint="eastAsia" w:eastAsia="仿宋_GB2312"/>
          <w:sz w:val="32"/>
        </w:rPr>
      </w:pPr>
    </w:p>
    <w:p>
      <w:pPr>
        <w:spacing w:line="200" w:lineRule="exact"/>
        <w:rPr>
          <w:rFonts w:hint="eastAsia" w:eastAsia="仿宋_GB2312"/>
          <w:sz w:val="32"/>
        </w:rPr>
      </w:pPr>
    </w:p>
    <w:p>
      <w:pPr>
        <w:spacing w:line="200" w:lineRule="exact"/>
        <w:rPr>
          <w:rFonts w:hint="eastAsia" w:eastAsia="仿宋_GB2312"/>
          <w:sz w:val="32"/>
        </w:rPr>
      </w:pPr>
    </w:p>
    <w:p>
      <w:pPr>
        <w:spacing w:line="200" w:lineRule="exact"/>
        <w:rPr>
          <w:rFonts w:hint="eastAsia" w:eastAsia="仿宋_GB2312"/>
          <w:sz w:val="32"/>
        </w:rPr>
      </w:pPr>
    </w:p>
    <w:p>
      <w:pPr>
        <w:spacing w:line="200" w:lineRule="exact"/>
        <w:rPr>
          <w:rFonts w:hint="eastAsia" w:eastAsia="仿宋_GB2312"/>
          <w:sz w:val="32"/>
        </w:rPr>
      </w:pPr>
    </w:p>
    <w:p>
      <w:pPr>
        <w:spacing w:line="200" w:lineRule="exact"/>
        <w:rPr>
          <w:rFonts w:hint="eastAsia" w:eastAsia="仿宋_GB2312"/>
          <w:sz w:val="32"/>
        </w:rPr>
      </w:pPr>
    </w:p>
    <w:p>
      <w:pPr>
        <w:spacing w:line="200" w:lineRule="exact"/>
        <w:rPr>
          <w:rFonts w:hint="eastAsia" w:eastAsia="仿宋_GB2312"/>
          <w:sz w:val="32"/>
        </w:rPr>
      </w:pPr>
    </w:p>
    <w:p>
      <w:pPr>
        <w:spacing w:line="200" w:lineRule="exact"/>
        <w:rPr>
          <w:rFonts w:hint="eastAsia" w:eastAsia="仿宋_GB2312"/>
          <w:sz w:val="32"/>
        </w:rPr>
      </w:pPr>
    </w:p>
    <w:p>
      <w:pPr>
        <w:spacing w:line="200" w:lineRule="exact"/>
        <w:jc w:val="right"/>
        <w:rPr>
          <w:rFonts w:hint="eastAsia" w:eastAsia="仿宋_GB2312"/>
          <w:sz w:val="32"/>
        </w:rPr>
      </w:pPr>
    </w:p>
    <w:p>
      <w:pPr>
        <w:pBdr>
          <w:top w:val="single" w:color="auto" w:sz="6" w:space="2"/>
          <w:bottom w:val="single" w:color="auto" w:sz="6" w:space="1"/>
        </w:pBdr>
        <w:spacing w:line="60" w:lineRule="exact"/>
        <w:rPr>
          <w:rFonts w:hint="eastAsia" w:eastAsia="仿宋_GB2312"/>
          <w:sz w:val="28"/>
          <w:szCs w:val="28"/>
        </w:rPr>
      </w:pPr>
      <w:r>
        <w:rPr>
          <w:rFonts w:eastAsia="仿宋_GB2312"/>
          <w:sz w:val="28"/>
          <w:szCs w:val="28"/>
        </w:rPr>
        <w:t xml:space="preserve">  </w:t>
      </w:r>
    </w:p>
    <w:p>
      <w:pPr>
        <w:pBdr>
          <w:top w:val="single" w:color="auto" w:sz="6" w:space="2"/>
          <w:bottom w:val="single" w:color="auto" w:sz="6" w:space="1"/>
        </w:pBdr>
        <w:spacing w:line="440" w:lineRule="exact"/>
        <w:ind w:firstLine="280" w:firstLineChars="100"/>
      </w:pPr>
      <w:r>
        <w:rPr>
          <w:rFonts w:eastAsia="仿宋_GB2312"/>
          <w:sz w:val="28"/>
          <w:szCs w:val="28"/>
        </w:rPr>
        <w:t xml:space="preserve">岳阳市财政局办公室                     2018年9月13日印发  </w:t>
      </w:r>
    </w:p>
    <w:sectPr>
      <w:pgSz w:w="11906" w:h="16838"/>
      <w:pgMar w:top="1588" w:right="1588" w:bottom="1588" w:left="158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大标宋简体">
    <w:altName w:val="Arial Unicode MS"/>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sz w:val="24"/>
        <w:szCs w:val="24"/>
      </w:rPr>
    </w:pPr>
    <w:r>
      <w:rPr>
        <w:rStyle w:val="4"/>
        <w:rFonts w:hint="eastAsia"/>
        <w:sz w:val="24"/>
        <w:szCs w:val="24"/>
      </w:rPr>
      <w:t xml:space="preserve">— </w:t>
    </w:r>
    <w:r>
      <w:rPr>
        <w:sz w:val="24"/>
        <w:szCs w:val="24"/>
      </w:rPr>
      <w:fldChar w:fldCharType="begin"/>
    </w:r>
    <w:r>
      <w:rPr>
        <w:rStyle w:val="4"/>
        <w:sz w:val="24"/>
        <w:szCs w:val="24"/>
      </w:rPr>
      <w:instrText xml:space="preserve">PAGE  </w:instrText>
    </w:r>
    <w:r>
      <w:rPr>
        <w:sz w:val="24"/>
        <w:szCs w:val="24"/>
      </w:rPr>
      <w:fldChar w:fldCharType="separate"/>
    </w:r>
    <w:r>
      <w:rPr>
        <w:rStyle w:val="4"/>
        <w:sz w:val="24"/>
        <w:szCs w:val="24"/>
      </w:rPr>
      <w:t>2</w:t>
    </w:r>
    <w:r>
      <w:rPr>
        <w:sz w:val="24"/>
        <w:szCs w:val="24"/>
      </w:rPr>
      <w:fldChar w:fldCharType="end"/>
    </w:r>
    <w:r>
      <w:rPr>
        <w:rStyle w:val="4"/>
        <w:rFonts w:hint="eastAsia"/>
        <w:sz w:val="24"/>
        <w:szCs w:val="24"/>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Pr>
    </w:pPr>
    <w:r>
      <w:fldChar w:fldCharType="begin"/>
    </w:r>
    <w:r>
      <w:rPr>
        <w:rStyle w:val="4"/>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7846F9"/>
    <w:rsid w:val="6D535020"/>
    <w:rsid w:val="757846F9"/>
    <w:rsid w:val="7F3F6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0"/>
      <w:sz w:val="18"/>
      <w:szCs w:val="18"/>
    </w:rPr>
  </w:style>
  <w:style w:type="character" w:styleId="4">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2018-09-13T11:49:00Z</dcterms:created>
  <dc:creator>QQ</dc:creator>
  <cp:lastModifiedBy>QQ</cp:lastModifiedBy>
  <dcterms:modified xsi:type="dcterms:W3CDTF">2018-09-14T11:33:24Z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