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6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6"/>
        <w:ind w:left="0" w:right="0" w:firstLine="1080" w:firstLineChars="300"/>
        <w:jc w:val="both"/>
        <w:textAlignment w:val="auto"/>
        <w:rPr>
          <w:rFonts w:ascii="Times New Roman" w:hAnsi="Times New Roman" w:cs="Times New Roma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岳阳市海绵城市建设示范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绩效目标表（202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年）</w:t>
      </w:r>
    </w:p>
    <w:tbl>
      <w:tblPr>
        <w:tblStyle w:val="5"/>
        <w:tblW w:w="100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017"/>
        <w:gridCol w:w="82"/>
        <w:gridCol w:w="1467"/>
        <w:gridCol w:w="1906"/>
        <w:gridCol w:w="1679"/>
        <w:gridCol w:w="731"/>
        <w:gridCol w:w="2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18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专项名称</w:t>
            </w:r>
          </w:p>
        </w:tc>
        <w:tc>
          <w:tcPr>
            <w:tcW w:w="8141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城市管网及污水处理补助资金（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岳阳市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海绵城市建设示范）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18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中央主管部门</w:t>
            </w:r>
          </w:p>
        </w:tc>
        <w:tc>
          <w:tcPr>
            <w:tcW w:w="8141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财政部、住房和城乡建设部、水利部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8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省级财政部门</w:t>
            </w:r>
          </w:p>
        </w:tc>
        <w:tc>
          <w:tcPr>
            <w:tcW w:w="345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湖南省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财政厅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省级主管部门</w:t>
            </w:r>
          </w:p>
        </w:tc>
        <w:tc>
          <w:tcPr>
            <w:tcW w:w="300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湖南省住房和城乡建设厅、水利厅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187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（万元）</w:t>
            </w:r>
          </w:p>
        </w:tc>
        <w:tc>
          <w:tcPr>
            <w:tcW w:w="345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 xml:space="preserve">  年度金额：</w:t>
            </w:r>
          </w:p>
        </w:tc>
        <w:tc>
          <w:tcPr>
            <w:tcW w:w="468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18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345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 xml:space="preserve">        其中：中央补助</w:t>
            </w:r>
          </w:p>
        </w:tc>
        <w:tc>
          <w:tcPr>
            <w:tcW w:w="468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18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345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 xml:space="preserve">              地方资金</w:t>
            </w:r>
          </w:p>
        </w:tc>
        <w:tc>
          <w:tcPr>
            <w:tcW w:w="468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年度总体目标</w:t>
            </w:r>
          </w:p>
        </w:tc>
        <w:tc>
          <w:tcPr>
            <w:tcW w:w="915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系统化全域推进海绵城市建设理念得到全面、系统落实，法律制度建设稳步推进，城市防洪排涝能力、地下空间利用水平显著提升，城市水安全、水环境、水资源明显改善，群众满意度明显提升。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绩效指标</w:t>
            </w: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一级指标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二级指标</w:t>
            </w: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三级指标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产出指标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数量指标</w:t>
            </w: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拟完成的立法数量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1项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拟建立的长效机制数量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0项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雨水资源化利用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106万吨/年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质量指标</w:t>
            </w: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内涝积水区段消除比例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内涝防治标准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30年一遇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内涝防治标准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224.3mm/24h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城市防洪标准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100年一遇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黑臭水体消除比例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地表水体水质达标率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93.6%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地下水埋深变化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再生水利用率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天然水域面积比例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12.7%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可透水地面面积比例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45%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效益指标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经济效益</w:t>
            </w:r>
          </w:p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指标</w:t>
            </w: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完成投资（万元）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137555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社会效益</w:t>
            </w:r>
          </w:p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指标</w:t>
            </w: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海绵城市建设理念是否落实在规划建设管理全过程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确保中央资金使用</w:t>
            </w:r>
          </w:p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规范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工作谋划的整体性系统性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全面落实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示范城市建设以来，新建项目全面落实海绵城市建设理念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全面落实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海绵城市建设是否与城市更新、防洪排涝设施建设、地下空间建设、老旧小区改造等工作充分结合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项目谋划和实施的系统性整体性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感知度</w:t>
            </w:r>
          </w:p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指标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服务对象</w:t>
            </w:r>
          </w:p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感知度指标</w:t>
            </w: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bidi="ar-SA"/>
              </w:rPr>
              <w:t>人民群众满意度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sectPr>
      <w:headerReference r:id="rId3" w:type="default"/>
      <w:footerReference r:id="rId4" w:type="default"/>
      <w:type w:val="continuous"/>
      <w:pgSz w:w="11910" w:h="16840"/>
      <w:pgMar w:top="1134" w:right="1134" w:bottom="1134" w:left="1134" w:header="720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4"/>
      <w:cols w:space="0" w:num="1"/>
      <w:rtlGutter w:val="0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 w:val="0"/>
                  <w:autoSpaceDN w:val="0"/>
                  <w:bidi w:val="0"/>
                  <w:adjustRightInd/>
                  <w:snapToGrid w:val="0"/>
                  <w:ind w:left="220" w:leftChars="100" w:right="220" w:rightChars="100"/>
                  <w:textAlignment w:val="auto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2D6B85"/>
    <w:rsid w:val="001077BD"/>
    <w:rsid w:val="00187546"/>
    <w:rsid w:val="00247B35"/>
    <w:rsid w:val="00264A9D"/>
    <w:rsid w:val="002D6B85"/>
    <w:rsid w:val="003D28F3"/>
    <w:rsid w:val="004019B3"/>
    <w:rsid w:val="004672E6"/>
    <w:rsid w:val="00475225"/>
    <w:rsid w:val="00484A9A"/>
    <w:rsid w:val="004F5119"/>
    <w:rsid w:val="00541660"/>
    <w:rsid w:val="00727293"/>
    <w:rsid w:val="00754ECE"/>
    <w:rsid w:val="00763848"/>
    <w:rsid w:val="007954CB"/>
    <w:rsid w:val="007B6C5B"/>
    <w:rsid w:val="007F3A65"/>
    <w:rsid w:val="00804CA9"/>
    <w:rsid w:val="008259E4"/>
    <w:rsid w:val="00857247"/>
    <w:rsid w:val="008618C4"/>
    <w:rsid w:val="008829B3"/>
    <w:rsid w:val="008D471C"/>
    <w:rsid w:val="008E192D"/>
    <w:rsid w:val="0090018F"/>
    <w:rsid w:val="009452D8"/>
    <w:rsid w:val="009D7C02"/>
    <w:rsid w:val="00A14F55"/>
    <w:rsid w:val="00A701A9"/>
    <w:rsid w:val="00AD5F63"/>
    <w:rsid w:val="00BA6F56"/>
    <w:rsid w:val="00BB1789"/>
    <w:rsid w:val="00C301EF"/>
    <w:rsid w:val="00C34BE7"/>
    <w:rsid w:val="00C60E21"/>
    <w:rsid w:val="00CC07BB"/>
    <w:rsid w:val="00CC49D7"/>
    <w:rsid w:val="00D14D51"/>
    <w:rsid w:val="00D92B3A"/>
    <w:rsid w:val="00DD4DCE"/>
    <w:rsid w:val="00EA2A0A"/>
    <w:rsid w:val="00EB115F"/>
    <w:rsid w:val="00F51616"/>
    <w:rsid w:val="00FF74EA"/>
    <w:rsid w:val="13D968D2"/>
    <w:rsid w:val="243E4681"/>
    <w:rsid w:val="2FDF0A79"/>
    <w:rsid w:val="5560721D"/>
    <w:rsid w:val="77B2DEA4"/>
    <w:rsid w:val="7BCF7A91"/>
    <w:rsid w:val="FC7F88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"/>
    </w:pPr>
    <w:rPr>
      <w:b/>
      <w:bCs/>
      <w:sz w:val="29"/>
      <w:szCs w:val="29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1016</Characters>
  <Lines>8</Lines>
  <Paragraphs>2</Paragraphs>
  <TotalTime>14</TotalTime>
  <ScaleCrop>false</ScaleCrop>
  <LinksUpToDate>false</LinksUpToDate>
  <CharactersWithSpaces>1192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2022-10-19T08:56:00Z</dcterms:created>
  <dc:creator>孙宏扬</dc:creator>
  <cp:lastModifiedBy>文印员2 null</cp:lastModifiedBy>
  <dcterms:modified xsi:type="dcterms:W3CDTF">2024-04-29T06:07:22Z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9C599297418347CFAFDB852487321011</vt:lpwstr>
  </property>
</Properties>
</file>