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bidi="ar-SA"/>
        </w:rPr>
        <w:t>附件</w:t>
      </w: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6"/>
        <w:ind w:left="0" w:right="0"/>
        <w:jc w:val="center"/>
        <w:textAlignment w:val="auto"/>
        <w:rPr>
          <w:rFonts w:ascii="Times New Roman" w:hAnsi="Times New Roman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岳阳市海绵城市建设示范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绩效目标表（2023年）</w:t>
      </w:r>
    </w:p>
    <w:tbl>
      <w:tblPr>
        <w:tblStyle w:val="5"/>
        <w:tblW w:w="99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017"/>
        <w:gridCol w:w="82"/>
        <w:gridCol w:w="1467"/>
        <w:gridCol w:w="1906"/>
        <w:gridCol w:w="1679"/>
        <w:gridCol w:w="731"/>
        <w:gridCol w:w="21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0" w:hRule="atLeast"/>
          <w:jc w:val="center"/>
        </w:trPr>
        <w:tc>
          <w:tcPr>
            <w:tcW w:w="18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专项名称</w:t>
            </w:r>
          </w:p>
        </w:tc>
        <w:tc>
          <w:tcPr>
            <w:tcW w:w="8043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城市管网及污水处理补助资金（海绵城市建设示范）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0" w:hRule="atLeast"/>
          <w:jc w:val="center"/>
        </w:trPr>
        <w:tc>
          <w:tcPr>
            <w:tcW w:w="18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中央主管部门</w:t>
            </w:r>
          </w:p>
        </w:tc>
        <w:tc>
          <w:tcPr>
            <w:tcW w:w="8043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财政部、住房和城乡建设部、水利部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  <w:jc w:val="center"/>
        </w:trPr>
        <w:tc>
          <w:tcPr>
            <w:tcW w:w="18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省级财政部门</w:t>
            </w:r>
          </w:p>
        </w:tc>
        <w:tc>
          <w:tcPr>
            <w:tcW w:w="345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湖南省财政厅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省级主管部门</w:t>
            </w:r>
          </w:p>
        </w:tc>
        <w:tc>
          <w:tcPr>
            <w:tcW w:w="29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湖南省住房和城乡建设厅、</w:t>
            </w:r>
          </w:p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水利厅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5" w:hRule="atLeast"/>
          <w:jc w:val="center"/>
        </w:trPr>
        <w:tc>
          <w:tcPr>
            <w:tcW w:w="187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（万元）</w:t>
            </w:r>
          </w:p>
        </w:tc>
        <w:tc>
          <w:tcPr>
            <w:tcW w:w="345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 xml:space="preserve">  年度金额：</w:t>
            </w:r>
          </w:p>
        </w:tc>
        <w:tc>
          <w:tcPr>
            <w:tcW w:w="458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229000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5" w:hRule="atLeast"/>
          <w:jc w:val="center"/>
        </w:trPr>
        <w:tc>
          <w:tcPr>
            <w:tcW w:w="18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345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 xml:space="preserve">        其中：中央补助</w:t>
            </w:r>
          </w:p>
        </w:tc>
        <w:tc>
          <w:tcPr>
            <w:tcW w:w="458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5" w:hRule="atLeast"/>
          <w:jc w:val="center"/>
        </w:trPr>
        <w:tc>
          <w:tcPr>
            <w:tcW w:w="18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345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 xml:space="preserve">              地方资金</w:t>
            </w:r>
          </w:p>
        </w:tc>
        <w:tc>
          <w:tcPr>
            <w:tcW w:w="458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200000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年度总体目标</w:t>
            </w:r>
          </w:p>
        </w:tc>
        <w:tc>
          <w:tcPr>
            <w:tcW w:w="9060" w:type="dxa"/>
            <w:gridSpan w:val="7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系统化全域推进海绵城市建设理念得到全面、系统落实，法律制度建设稳步推进，城市防洪排涝能力、地下空间利用水平显著提升，城市水安全、水环境、水资源明显改善，群众满意度明显提升。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6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绩效指标</w:t>
            </w: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指标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二级指标</w:t>
            </w: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三级指标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产出指标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数量指标</w:t>
            </w: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拟完成的立法数量（含新制定或修订，无立法权的城市无需填写）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拟建立的长效机制数量（以出台的制度文件或规章数量计）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雨水资源化利用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106（万吨/年）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质量指标</w:t>
            </w: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内涝积水区段消除比例（在国家标准以内的暴雨情况下，与示范城市建设前相比，内涝积水区段消除的比例）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内涝防治标准（重现期，年）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30年一遇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内涝防治标准（对应降雨量，mm/24h）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224.3mm/24h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城市防洪标准（重现期，年）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100年一遇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黑臭水体消除比例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地表水体水质达标率（城市区域监测水质断面达标个数与监测断面总数之比，且水质不得劣于上游来水和示范城市建设前）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93.6%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地下水埋深变化（地下水（潜水）平均埋深变化）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再生水利用率（污水再生后用于工业企业、市政杂用、灌溉、景观、河道生态补水的总量占污水处理厂污水处理量的比例）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天然水域面积比例（海绵城市建设前后，天然水域面积不宜减少，或应达到相关规划的蓝线绿线等管控要求）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12.7%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可透水地面面积比例（城市建成区范围内，砂石、绿地等自然地面和可透水铺装的地面面积占建成区面积比例）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45%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效益指标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经济效益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指标</w:t>
            </w: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完成投资（万元）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229000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社会效益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指标</w:t>
            </w: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海绵城市建设理念是否落实在规划建设管理全过程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全面落实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工作谋划的整体性系统性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（流域区域、城市、社区、设施等各个层面、各层面之间充分衔接，具有系统考虑和安排）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全面落实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示范城市建设以来，新建项目全面落实海绵城市建设理念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海绵城市建设是否与城市更新、防洪排涝设施建设、地下空间建设、老旧小区改造等工作充分结合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项目谋划和实施的系统性整体性（防洪与排涝统筹、地上与地下统筹、蓝绿融合、绿灰结合、排涝和治污统筹等）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感知度</w:t>
            </w:r>
          </w:p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指标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服务对象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感知度指标</w:t>
            </w:r>
          </w:p>
        </w:tc>
        <w:tc>
          <w:tcPr>
            <w:tcW w:w="43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人民群众满意度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bidi="ar-SA"/>
              </w:rPr>
              <w:t>人民群众对海绵城市的认知度、参与度、满意度显著提升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headerReference r:id="rId3" w:type="default"/>
      <w:type w:val="continuous"/>
      <w:pgSz w:w="11910" w:h="16840"/>
      <w:pgMar w:top="1134" w:right="1134" w:bottom="1134" w:left="1134" w:header="720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4"/>
      <w:cols w:space="0" w:num="1"/>
      <w:rtlGutter w:val="0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2D6B85"/>
    <w:rsid w:val="001077BD"/>
    <w:rsid w:val="00187546"/>
    <w:rsid w:val="00247B35"/>
    <w:rsid w:val="00264A9D"/>
    <w:rsid w:val="002D6B85"/>
    <w:rsid w:val="003D28F3"/>
    <w:rsid w:val="004019B3"/>
    <w:rsid w:val="004672E6"/>
    <w:rsid w:val="00475225"/>
    <w:rsid w:val="00484A9A"/>
    <w:rsid w:val="004F5119"/>
    <w:rsid w:val="00541660"/>
    <w:rsid w:val="00727293"/>
    <w:rsid w:val="00754ECE"/>
    <w:rsid w:val="00763848"/>
    <w:rsid w:val="007954CB"/>
    <w:rsid w:val="007B6C5B"/>
    <w:rsid w:val="007F3A65"/>
    <w:rsid w:val="00804CA9"/>
    <w:rsid w:val="008259E4"/>
    <w:rsid w:val="00857247"/>
    <w:rsid w:val="008618C4"/>
    <w:rsid w:val="008829B3"/>
    <w:rsid w:val="008D471C"/>
    <w:rsid w:val="008E192D"/>
    <w:rsid w:val="0090018F"/>
    <w:rsid w:val="009452D8"/>
    <w:rsid w:val="009D7C02"/>
    <w:rsid w:val="00A14F55"/>
    <w:rsid w:val="00A701A9"/>
    <w:rsid w:val="00AD5F63"/>
    <w:rsid w:val="00BA6F56"/>
    <w:rsid w:val="00BB1789"/>
    <w:rsid w:val="00C301EF"/>
    <w:rsid w:val="00C34BE7"/>
    <w:rsid w:val="00C60E21"/>
    <w:rsid w:val="00CC07BB"/>
    <w:rsid w:val="00CC49D7"/>
    <w:rsid w:val="00D14D51"/>
    <w:rsid w:val="00D92B3A"/>
    <w:rsid w:val="00DD4DCE"/>
    <w:rsid w:val="00EA2A0A"/>
    <w:rsid w:val="00EB115F"/>
    <w:rsid w:val="00F51616"/>
    <w:rsid w:val="00FF74EA"/>
    <w:rsid w:val="22B859C1"/>
    <w:rsid w:val="2B1C10B5"/>
    <w:rsid w:val="2FDF0A79"/>
    <w:rsid w:val="5560721D"/>
    <w:rsid w:val="FC7F88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"/>
    </w:pPr>
    <w:rPr>
      <w:b/>
      <w:bCs/>
      <w:sz w:val="29"/>
      <w:szCs w:val="29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1016</Characters>
  <Lines>8</Lines>
  <Paragraphs>2</Paragraphs>
  <TotalTime>75</TotalTime>
  <ScaleCrop>false</ScaleCrop>
  <LinksUpToDate>false</LinksUpToDate>
  <CharactersWithSpaces>1192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2022-10-19T00:56:00Z</dcterms:created>
  <dc:creator>孙宏扬</dc:creator>
  <cp:lastModifiedBy>李敏</cp:lastModifiedBy>
  <dcterms:modified xsi:type="dcterms:W3CDTF">2024-01-05T02:58:29Z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9C599297418347CFAFDB852487321011</vt:lpwstr>
  </property>
</Properties>
</file>