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276" w:lineRule="auto"/>
        <w:jc w:val="left"/>
        <w:rPr>
          <w:rFonts w:eastAsia="仿宋_GB2312"/>
          <w:color w:val="auto"/>
          <w:sz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spacing w:beforeLines="0" w:after="157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省创新创业技术投资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项目绩效评价表</w:t>
      </w:r>
    </w:p>
    <w:tbl>
      <w:tblPr>
        <w:tblStyle w:val="3"/>
        <w:tblpPr w:leftFromText="180" w:rightFromText="180" w:vertAnchor="text" w:tblpXSpec="center" w:tblpY="1"/>
        <w:tblOverlap w:val="never"/>
        <w:tblW w:w="9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7"/>
        <w:gridCol w:w="708"/>
        <w:gridCol w:w="567"/>
        <w:gridCol w:w="964"/>
        <w:gridCol w:w="611"/>
        <w:gridCol w:w="2131"/>
        <w:gridCol w:w="203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项目名称</w:t>
            </w:r>
          </w:p>
        </w:tc>
        <w:tc>
          <w:tcPr>
            <w:tcW w:w="8033" w:type="dxa"/>
            <w:gridSpan w:val="7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执行处室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项目编号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牵头实施单位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项目负责人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  <w:jc w:val="center"/>
        </w:trPr>
        <w:tc>
          <w:tcPr>
            <w:tcW w:w="710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指标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项目管理情况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内控制度建设与执行情况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1、单位建立科研管理、项目实施、科研资金管理等制度，得4分；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2、执行期内牵头承担单位组织召开项目进度协调或推进会（1-3次），得3分；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3、单位开展了科研诚信教育和宣传报道，得3分。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项目研发状态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有国家认定的研发机构，得5分；</w:t>
            </w:r>
          </w:p>
          <w:p>
            <w:pPr>
              <w:topLinePunct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有省级认定的研发机构，得4分；</w:t>
            </w:r>
          </w:p>
          <w:p>
            <w:pPr>
              <w:topLinePunct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有市级认定的研发机构，得3分；</w:t>
            </w:r>
          </w:p>
          <w:p>
            <w:pPr>
              <w:topLinePunct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单位内部设立的研发机构，得2分；</w:t>
            </w:r>
          </w:p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内部无研发机构的，得0分。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单位具有3年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相对稳定的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专业研发团队，得4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单位研发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人员较少或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无固定研发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团队，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记0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-3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重大事项履行报批手续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1、执行期内重大事项变更履行报批手续或无重大事项发生的，得5分；</w:t>
            </w:r>
          </w:p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2、执行期内重大事项变更未履行报批手续，得0分。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立项目标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项目技术方案、工艺路线合理且先进可行，计5分；如技术有独创性，多计3分；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ind w:firstLine="240" w:firstLineChars="1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项目对产业及地方发展具有引领作用，计5分；</w:t>
            </w:r>
          </w:p>
        </w:tc>
        <w:tc>
          <w:tcPr>
            <w:tcW w:w="1015" w:type="dxa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ind w:firstLine="240" w:firstLineChars="1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拥有与申报项目相关的专利、论文，计2分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5" w:type="dxa"/>
            <w:vAlign w:val="center"/>
          </w:tcPr>
          <w:p>
            <w:pPr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任务内容完成状态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topLinePunct/>
              <w:spacing w:line="276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投资进度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1、在立项前已达到3000万投资额，且立项后持续加大投资额的，得15分；</w:t>
            </w:r>
          </w:p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2、立项前年度12月31日之前已达到2000万投资额，且立项后一年内投资额达到3000万的，得10分；</w:t>
            </w:r>
          </w:p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3、立项前年度12月31日前已达到2000万投资额，且立项后一年内投资额达到2500万的，得8分；</w:t>
            </w:r>
          </w:p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4、立项前年度12月31日前已达到2000万投资额，且立项后一年内投资额无变化的，记0分；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社会效益</w:t>
            </w:r>
          </w:p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（经济效益）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项目产业的社会、经济效益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1、产品具有良好的市场前景或取得良好的公益评价的，计5分；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2、立项后解决了当地一定就业的，计3分；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3、为相关产业（产品）联盟主体企业，项目实施有利于推动联盟加快发展的，计2分；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财务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资金使用率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使用率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1、资金使用率在60%-80%，得10分。</w:t>
            </w:r>
          </w:p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2、资金使用率在50%-60%，得8分。</w:t>
            </w:r>
          </w:p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3、资金使用率在40%-50%，得6分。</w:t>
            </w:r>
          </w:p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4、资金使用率在30%-40%，得4分。</w:t>
            </w:r>
          </w:p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5、资金使用率低于30%，得0分。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以上指标不重复计分。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财务执行情况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专项单独核算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1、项目实现单独核算，计10分。</w:t>
            </w:r>
          </w:p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2、项目未实现单独核算，计0分。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以上指标不重复计分。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资金使用合规性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资金总体使用符合财政资金管理办法的规定，计5分；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资金的使用有完整的审批程序和手续，依据充分，计5分；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现金管理符合政策规定，计2分；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不存在截留、挤占、挪用、虚列支出等情况，计3分。如存在截留、挤占、挪用、虚列支出等情况，财务评价总分计0分。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27" w:type="dxa"/>
            <w:gridSpan w:val="6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widowControl/>
              <w:topLinePunct/>
              <w:spacing w:line="276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310" w:type="dxa"/>
            <w:gridSpan w:val="9"/>
            <w:vAlign w:val="center"/>
          </w:tcPr>
          <w:p>
            <w:pPr>
              <w:widowControl/>
              <w:topLinePunct/>
              <w:spacing w:line="276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绩效评价意见：（简要指出企业的成长性和项目发展的可持续性，说明优点和不足等）</w:t>
            </w:r>
          </w:p>
          <w:p>
            <w:pPr>
              <w:widowControl/>
              <w:topLinePunct/>
              <w:spacing w:line="276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9310" w:type="dxa"/>
            <w:gridSpan w:val="9"/>
            <w:vAlign w:val="center"/>
          </w:tcPr>
          <w:p>
            <w:pPr>
              <w:widowControl/>
              <w:topLinePunct/>
              <w:spacing w:line="276" w:lineRule="auto"/>
              <w:ind w:firstLine="0" w:firstLineChars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专家签字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topLinePunct/>
              <w:spacing w:line="276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opLinePunct/>
              <w:spacing w:line="276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 w:ascii="仿宋_GB2312" w:eastAsia="仿宋_GB2312"/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ED7F"/>
    <w:multiLevelType w:val="singleLevel"/>
    <w:tmpl w:val="5B8CED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22536"/>
    <w:rsid w:val="08CD0A9F"/>
    <w:rsid w:val="0CBF096F"/>
    <w:rsid w:val="0D6A56C5"/>
    <w:rsid w:val="0F7A2EF7"/>
    <w:rsid w:val="1E7D7BE1"/>
    <w:rsid w:val="2B33341D"/>
    <w:rsid w:val="347858CC"/>
    <w:rsid w:val="381F6CA5"/>
    <w:rsid w:val="3BD30EA3"/>
    <w:rsid w:val="4A522536"/>
    <w:rsid w:val="4E786BDB"/>
    <w:rsid w:val="585530F8"/>
    <w:rsid w:val="792D2EDC"/>
    <w:rsid w:val="7A2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2019-10-14T09:05:00Z</dcterms:created>
  <dc:creator>曾霖霏</dc:creator>
  <cp:lastModifiedBy>幻想的人</cp:lastModifiedBy>
  <dcterms:modified xsi:type="dcterms:W3CDTF">2019-10-22T07:57:53Z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