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eastAsia="黑体"/>
          <w:kern w:val="0"/>
          <w:sz w:val="32"/>
          <w:szCs w:val="32"/>
        </w:rPr>
      </w:pPr>
      <w:r>
        <w:rPr>
          <w:rFonts w:hAnsi="黑体"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3</w:t>
      </w:r>
    </w:p>
    <w:p>
      <w:pPr>
        <w:widowControl/>
        <w:spacing w:beforeLines="50"/>
        <w:jc w:val="center"/>
        <w:rPr>
          <w:rFonts w:eastAsia="黑体"/>
          <w:bCs/>
          <w:kern w:val="0"/>
          <w:sz w:val="32"/>
          <w:szCs w:val="32"/>
        </w:rPr>
      </w:pPr>
      <w:r>
        <w:rPr>
          <w:rFonts w:eastAsia="方正小标宋简体"/>
          <w:kern w:val="0"/>
          <w:sz w:val="40"/>
          <w:szCs w:val="40"/>
        </w:rPr>
        <w:t>项目支出预算绩效目标申报表</w:t>
      </w:r>
    </w:p>
    <w:p>
      <w:pPr>
        <w:widowControl/>
        <w:jc w:val="center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（20</w:t>
      </w:r>
      <w:r>
        <w:rPr>
          <w:rFonts w:hint="eastAsia" w:eastAsia="仿宋_GB2312"/>
          <w:b/>
          <w:bCs/>
          <w:kern w:val="0"/>
          <w:sz w:val="32"/>
          <w:szCs w:val="32"/>
        </w:rPr>
        <w:t xml:space="preserve"> </w:t>
      </w:r>
      <w:r>
        <w:rPr>
          <w:rFonts w:eastAsia="仿宋_GB2312"/>
          <w:b/>
          <w:bCs/>
          <w:kern w:val="0"/>
          <w:sz w:val="32"/>
          <w:szCs w:val="32"/>
        </w:rPr>
        <w:t>2</w:t>
      </w:r>
      <w:r>
        <w:rPr>
          <w:rFonts w:hint="eastAsia" w:eastAsia="仿宋_GB2312"/>
          <w:b/>
          <w:bCs/>
          <w:kern w:val="0"/>
          <w:sz w:val="32"/>
          <w:szCs w:val="32"/>
        </w:rPr>
        <w:t>2</w:t>
      </w:r>
      <w:r>
        <w:rPr>
          <w:rFonts w:eastAsia="仿宋_GB2312"/>
          <w:b/>
          <w:bCs/>
          <w:kern w:val="0"/>
          <w:sz w:val="32"/>
          <w:szCs w:val="32"/>
        </w:rPr>
        <w:t xml:space="preserve"> 年度）</w:t>
      </w:r>
    </w:p>
    <w:p>
      <w:pPr>
        <w:widowControl/>
        <w:rPr>
          <w:rFonts w:eastAsia="仿宋_GB2312"/>
          <w:kern w:val="0"/>
          <w:sz w:val="24"/>
        </w:rPr>
      </w:pPr>
    </w:p>
    <w:p>
      <w:pPr>
        <w:widowControl/>
        <w:rPr>
          <w:rFonts w:hint="eastAsia" w:eastAsia="仿宋_GB2312"/>
          <w:bCs/>
          <w:kern w:val="0"/>
          <w:sz w:val="32"/>
          <w:szCs w:val="32"/>
          <w:lang w:eastAsia="zh-CN"/>
        </w:rPr>
      </w:pPr>
      <w:r>
        <w:rPr>
          <w:rFonts w:eastAsia="仿宋_GB2312"/>
          <w:kern w:val="0"/>
          <w:sz w:val="24"/>
        </w:rPr>
        <w:t>填报单位（盖章）：</w:t>
      </w:r>
      <w:r>
        <w:rPr>
          <w:rFonts w:hint="eastAsia" w:eastAsia="仿宋_GB2312"/>
          <w:kern w:val="0"/>
          <w:sz w:val="24"/>
          <w:lang w:val="en-US" w:eastAsia="zh-CN"/>
        </w:rPr>
        <w:t>岳阳市住房公积金管理中心</w:t>
      </w:r>
      <w:r>
        <w:rPr>
          <w:rFonts w:eastAsia="仿宋_GB2312"/>
          <w:kern w:val="0"/>
          <w:sz w:val="24"/>
        </w:rPr>
        <w:t xml:space="preserve">         单位负责人：</w:t>
      </w:r>
      <w:r>
        <w:rPr>
          <w:rFonts w:hint="eastAsia" w:eastAsia="仿宋_GB2312"/>
          <w:kern w:val="0"/>
          <w:sz w:val="24"/>
          <w:lang w:eastAsia="zh-CN"/>
        </w:rPr>
        <w:t>谢志辉</w:t>
      </w:r>
    </w:p>
    <w:tbl>
      <w:tblPr>
        <w:tblStyle w:val="2"/>
        <w:tblW w:w="10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620"/>
        <w:gridCol w:w="725"/>
        <w:gridCol w:w="525"/>
        <w:gridCol w:w="995"/>
        <w:gridCol w:w="205"/>
        <w:gridCol w:w="255"/>
        <w:gridCol w:w="1648"/>
        <w:gridCol w:w="700"/>
        <w:gridCol w:w="800"/>
        <w:gridCol w:w="855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项目基本情况</w:t>
            </w: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815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运转经费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项目属性</w:t>
            </w:r>
          </w:p>
        </w:tc>
        <w:tc>
          <w:tcPr>
            <w:tcW w:w="7815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新增项目</w:t>
            </w:r>
            <w:r>
              <w:rPr>
                <w:rFonts w:eastAsia="仿宋_GB2312"/>
                <w:kern w:val="0"/>
                <w:sz w:val="24"/>
              </w:rPr>
              <w:sym w:font="Wingdings 2" w:char="0052"/>
            </w:r>
            <w:r>
              <w:rPr>
                <w:rFonts w:eastAsia="仿宋_GB2312"/>
                <w:kern w:val="0"/>
                <w:sz w:val="24"/>
              </w:rPr>
              <w:t xml:space="preserve">                       延续项目□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财务部</w:t>
            </w:r>
          </w:p>
        </w:tc>
        <w:tc>
          <w:tcPr>
            <w:tcW w:w="23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项目起止时间</w:t>
            </w:r>
          </w:p>
        </w:tc>
        <w:tc>
          <w:tcPr>
            <w:tcW w:w="348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2022.01.01-2022.12.31</w:t>
            </w: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pacing w:val="-10"/>
                <w:kern w:val="0"/>
                <w:sz w:val="24"/>
              </w:rPr>
            </w:pPr>
            <w:r>
              <w:rPr>
                <w:rFonts w:eastAsia="仿宋_GB2312"/>
                <w:spacing w:val="-10"/>
                <w:kern w:val="0"/>
                <w:sz w:val="24"/>
              </w:rPr>
              <w:t>项目负责人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黄佳钰</w:t>
            </w: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23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联系电话</w:t>
            </w:r>
          </w:p>
        </w:tc>
        <w:tc>
          <w:tcPr>
            <w:tcW w:w="348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15907308388</w:t>
            </w: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绩效管理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联络员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黄佳钰</w:t>
            </w: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23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联系电话</w:t>
            </w:r>
          </w:p>
        </w:tc>
        <w:tc>
          <w:tcPr>
            <w:tcW w:w="348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15907308388</w:t>
            </w: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项目类型</w:t>
            </w:r>
          </w:p>
        </w:tc>
        <w:tc>
          <w:tcPr>
            <w:tcW w:w="7815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1.基本建设类 □    其中：新建  □    扩建  □    改建  □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 xml:space="preserve">2.行政事业类 □    其中: 采购类□    修缮类□    奖励类□ 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 xml:space="preserve">3.其他专项类 </w:t>
            </w:r>
            <w:r>
              <w:rPr>
                <w:rFonts w:eastAsia="仿宋_GB2312"/>
                <w:kern w:val="0"/>
                <w:sz w:val="24"/>
              </w:rPr>
              <w:sym w:font="Wingdings 2" w:char="0052"/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项目概况</w:t>
            </w:r>
          </w:p>
        </w:tc>
        <w:tc>
          <w:tcPr>
            <w:tcW w:w="7815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24"/>
                <w:lang w:val="en-US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贯彻执行国家、省、市住房公积金管理法律法规和政策，拟定全市住房公积金管理的具体措施，并组织实施；编制、执行住房公积金的归集、使用计划，并编制住房公积金归集、使用计划执行情况报告；负责记载职工住房公积金的缴存、提取、使用等情况；负责住房公积金的核算、保值和归还；审批住房公积金的提取、使用；按照《住房公积金管理条例》赋予的权限实施行政执法，承办市委、市政府和市住房公积金管理委员会决定的其他事项，而产生的日常运转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项目立项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依据</w:t>
            </w:r>
          </w:p>
        </w:tc>
        <w:tc>
          <w:tcPr>
            <w:tcW w:w="7815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岳编办发【2021】76号</w:t>
            </w: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项目资金情况</w:t>
            </w:r>
          </w:p>
        </w:tc>
        <w:tc>
          <w:tcPr>
            <w:tcW w:w="134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pacing w:val="-10"/>
                <w:kern w:val="0"/>
                <w:sz w:val="24"/>
              </w:rPr>
            </w:pPr>
            <w:r>
              <w:rPr>
                <w:rFonts w:eastAsia="仿宋_GB2312"/>
                <w:spacing w:val="-10"/>
                <w:kern w:val="0"/>
                <w:sz w:val="24"/>
              </w:rPr>
              <w:t>项目资金申请（万元）</w:t>
            </w: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 目</w:t>
            </w:r>
          </w:p>
        </w:tc>
        <w:tc>
          <w:tcPr>
            <w:tcW w:w="280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上年度安排资金</w:t>
            </w:r>
          </w:p>
        </w:tc>
        <w:tc>
          <w:tcPr>
            <w:tcW w:w="348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本年度申请资金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合 计</w:t>
            </w:r>
          </w:p>
        </w:tc>
        <w:tc>
          <w:tcPr>
            <w:tcW w:w="280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48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4937.49</w:t>
            </w: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市级资金</w:t>
            </w:r>
          </w:p>
        </w:tc>
        <w:tc>
          <w:tcPr>
            <w:tcW w:w="280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48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省级资金</w:t>
            </w:r>
          </w:p>
        </w:tc>
        <w:tc>
          <w:tcPr>
            <w:tcW w:w="280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48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中央资金</w:t>
            </w:r>
          </w:p>
        </w:tc>
        <w:tc>
          <w:tcPr>
            <w:tcW w:w="280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48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自有资金</w:t>
            </w:r>
          </w:p>
        </w:tc>
        <w:tc>
          <w:tcPr>
            <w:tcW w:w="280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48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4937.49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pacing w:val="-10"/>
                <w:kern w:val="0"/>
                <w:sz w:val="24"/>
              </w:rPr>
              <w:t>支出明细预算（万元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 目</w:t>
            </w:r>
          </w:p>
        </w:tc>
        <w:tc>
          <w:tcPr>
            <w:tcW w:w="21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上年度安排资金</w:t>
            </w: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本年度申请资金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测算依据及说明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合 计</w:t>
            </w:r>
          </w:p>
        </w:tc>
        <w:tc>
          <w:tcPr>
            <w:tcW w:w="21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4937.49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参照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2021年预算及2022年工作计划调整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、基本支出</w:t>
            </w:r>
          </w:p>
        </w:tc>
        <w:tc>
          <w:tcPr>
            <w:tcW w:w="210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2697.49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参照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2021年人员工资及“五金”缴纳基数调整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、商品和服务支出</w:t>
            </w:r>
          </w:p>
        </w:tc>
        <w:tc>
          <w:tcPr>
            <w:tcW w:w="210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1529.00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参照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2021年预算及2022年工作计划调整</w:t>
            </w: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其他资本性支出</w:t>
            </w:r>
          </w:p>
        </w:tc>
        <w:tc>
          <w:tcPr>
            <w:tcW w:w="21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711</w:t>
            </w:r>
            <w:bookmarkStart w:id="0" w:name="_GoBack"/>
            <w:bookmarkEnd w:id="0"/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.00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jc w:val="both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参照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2021年预算及2022年工作计划调整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……</w:t>
            </w:r>
          </w:p>
        </w:tc>
        <w:tc>
          <w:tcPr>
            <w:tcW w:w="210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220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单位已有的（或拟订的）保障项目实施的制度、措施</w:t>
            </w:r>
          </w:p>
        </w:tc>
        <w:tc>
          <w:tcPr>
            <w:tcW w:w="7815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《岳阳市住房公积金管理中心管理经费使用和报销管理制度（修订）》（岳市公积）【2017】116号</w:t>
            </w:r>
            <w:r>
              <w:rPr>
                <w:rFonts w:eastAsia="仿宋_GB2312"/>
                <w:kern w:val="0"/>
                <w:sz w:val="24"/>
              </w:rPr>
              <w:t>　　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《关于进一步明确管理经费使用与报销审核审批流程的规定》（岳市公积）【2021】16号</w:t>
            </w: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8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项目年度实施进度计划</w:t>
            </w:r>
          </w:p>
        </w:tc>
        <w:tc>
          <w:tcPr>
            <w:tcW w:w="245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项目实施内容</w:t>
            </w:r>
          </w:p>
        </w:tc>
        <w:tc>
          <w:tcPr>
            <w:tcW w:w="340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开始时间</w:t>
            </w:r>
          </w:p>
        </w:tc>
        <w:tc>
          <w:tcPr>
            <w:tcW w:w="268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8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50" w:type="dxa"/>
            <w:gridSpan w:val="4"/>
            <w:noWrap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按计划和进度开展运营工作</w:t>
            </w:r>
          </w:p>
        </w:tc>
        <w:tc>
          <w:tcPr>
            <w:tcW w:w="340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2022.01.01</w:t>
            </w:r>
          </w:p>
        </w:tc>
        <w:tc>
          <w:tcPr>
            <w:tcW w:w="268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2022.12.31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860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项目年度绩效目标情况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长期绩效目标</w:t>
            </w:r>
          </w:p>
        </w:tc>
        <w:tc>
          <w:tcPr>
            <w:tcW w:w="85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1.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实现公积金保值增值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2.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降低缴存职工购房压力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本年度绩效目标</w:t>
            </w:r>
          </w:p>
        </w:tc>
        <w:tc>
          <w:tcPr>
            <w:tcW w:w="8540" w:type="dxa"/>
            <w:gridSpan w:val="10"/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完成省监管办下达的年度各项任务指标，全力推进归集扩面、加大归集建制，切实加强贷后管理、管控个贷风险。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项目年度绩效指标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425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20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4258" w:type="dxa"/>
            <w:gridSpan w:val="5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eastAsia="仿宋_GB2312"/>
                <w:kern w:val="0"/>
                <w:sz w:val="24"/>
              </w:rPr>
              <w:t>归集住房公积金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46</w:t>
            </w:r>
            <w:r>
              <w:rPr>
                <w:rFonts w:hint="eastAsia" w:eastAsia="仿宋_GB2312"/>
                <w:kern w:val="0"/>
                <w:sz w:val="24"/>
              </w:rPr>
              <w:t>亿元</w:t>
            </w: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258" w:type="dxa"/>
            <w:gridSpan w:val="5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2.</w:t>
            </w:r>
            <w:r>
              <w:rPr>
                <w:rFonts w:hint="eastAsia" w:eastAsia="仿宋_GB2312"/>
                <w:kern w:val="0"/>
                <w:sz w:val="24"/>
              </w:rPr>
              <w:t>发放住房公积金贷款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16.50</w:t>
            </w:r>
            <w:r>
              <w:rPr>
                <w:rFonts w:hint="eastAsia" w:eastAsia="仿宋_GB2312"/>
                <w:kern w:val="0"/>
                <w:sz w:val="24"/>
              </w:rPr>
              <w:t>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258" w:type="dxa"/>
            <w:gridSpan w:val="5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3.</w:t>
            </w:r>
            <w:r>
              <w:rPr>
                <w:rFonts w:hint="eastAsia" w:eastAsia="仿宋_GB2312"/>
                <w:kern w:val="0"/>
                <w:sz w:val="24"/>
              </w:rPr>
              <w:t>办理住房公积金提取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eastAsia="仿宋_GB2312"/>
                <w:kern w:val="0"/>
                <w:sz w:val="24"/>
              </w:rPr>
              <w:t>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258" w:type="dxa"/>
            <w:gridSpan w:val="5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4.</w:t>
            </w:r>
            <w:r>
              <w:rPr>
                <w:rFonts w:hint="eastAsia" w:eastAsia="仿宋_GB2312"/>
                <w:kern w:val="0"/>
                <w:sz w:val="24"/>
              </w:rPr>
              <w:t>实现住房公积金增值收益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3.3</w:t>
            </w:r>
            <w:r>
              <w:rPr>
                <w:rFonts w:hint="eastAsia" w:eastAsia="仿宋_GB2312"/>
                <w:kern w:val="0"/>
                <w:sz w:val="24"/>
              </w:rPr>
              <w:t>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4258" w:type="dxa"/>
            <w:gridSpan w:val="5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>1.</w:t>
            </w:r>
            <w:r>
              <w:rPr>
                <w:rFonts w:hint="eastAsia" w:eastAsia="仿宋_GB2312"/>
                <w:kern w:val="0"/>
                <w:sz w:val="24"/>
              </w:rPr>
              <w:t>年度个人住房贷款逾期率控制在0.0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eastAsia="仿宋_GB2312"/>
                <w:kern w:val="0"/>
                <w:sz w:val="24"/>
              </w:rPr>
              <w:t>%以下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  <w:r>
              <w:rPr>
                <w:rFonts w:hint="eastAsia" w:eastAsia="仿宋_GB2312"/>
                <w:kern w:val="0"/>
                <w:sz w:val="24"/>
              </w:rPr>
              <w:t>控制在0.0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eastAsia="仿宋_GB2312"/>
                <w:kern w:val="0"/>
                <w:sz w:val="24"/>
              </w:rPr>
              <w:t>%以下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258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2.</w:t>
            </w:r>
            <w:r>
              <w:rPr>
                <w:rFonts w:hint="eastAsia" w:eastAsia="仿宋_GB2312"/>
                <w:kern w:val="0"/>
                <w:sz w:val="24"/>
              </w:rPr>
              <w:t>住房公积金个贷率控制在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eastAsia="仿宋_GB2312"/>
                <w:kern w:val="0"/>
                <w:sz w:val="24"/>
              </w:rPr>
              <w:t>5%到8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eastAsia="仿宋_GB2312"/>
                <w:kern w:val="0"/>
                <w:sz w:val="24"/>
              </w:rPr>
              <w:t>%的区间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控制在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eastAsia="仿宋_GB2312"/>
                <w:kern w:val="0"/>
                <w:sz w:val="24"/>
              </w:rPr>
              <w:t>5%到8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eastAsia="仿宋_GB2312"/>
                <w:kern w:val="0"/>
                <w:sz w:val="24"/>
              </w:rPr>
              <w:t>%的区间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4258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.</w:t>
            </w:r>
            <w:r>
              <w:rPr>
                <w:rFonts w:hint="eastAsia" w:eastAsia="仿宋_GB2312"/>
                <w:kern w:val="0"/>
                <w:sz w:val="24"/>
              </w:rPr>
              <w:t>在岳阳市范围内购房的，自受理申请之日起3个工作日内作出准予提取或者不准提取的决定，并告知提取申请人，手续齐全的，即时办理。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即时办理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258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.</w:t>
            </w:r>
            <w:r>
              <w:rPr>
                <w:rFonts w:hint="eastAsia" w:eastAsia="仿宋_GB2312"/>
                <w:kern w:val="0"/>
                <w:sz w:val="24"/>
              </w:rPr>
              <w:t>在岳阳市以外湖南省内其它城市购房的，作出准予提取或者不准提取的决定，并告知提取申请人。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自受理申请之日起20个工作日内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258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3.</w:t>
            </w:r>
            <w:r>
              <w:rPr>
                <w:rFonts w:hint="eastAsia" w:eastAsia="仿宋_GB2312"/>
                <w:kern w:val="0"/>
                <w:sz w:val="24"/>
              </w:rPr>
              <w:t>作出准予贷款或不准予贷款的决定，并通知借款申请人。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自受理贷款申请日起10个工作日内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258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4.</w:t>
            </w:r>
            <w:r>
              <w:rPr>
                <w:rFonts w:hint="eastAsia" w:eastAsia="仿宋_GB2312"/>
                <w:kern w:val="0"/>
                <w:sz w:val="24"/>
              </w:rPr>
              <w:t>自不动产登记机构办结不动产抵押登记手续，出具《不动产登记证明》之日起，5个工作日内办理放款手续。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5个工作日内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4258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成本控制在预算内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425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经济效益</w:t>
            </w:r>
          </w:p>
        </w:tc>
        <w:tc>
          <w:tcPr>
            <w:tcW w:w="4258" w:type="dxa"/>
            <w:gridSpan w:val="5"/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实现公积金保值增值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有效</w:t>
            </w: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</w:tc>
        <w:tc>
          <w:tcPr>
            <w:tcW w:w="4258" w:type="dxa"/>
            <w:gridSpan w:val="5"/>
            <w:noWrap w:val="0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在完成各项业务指标的基础上，最大程度发挥住房公积金的住房保障作用。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环境效益</w:t>
            </w:r>
          </w:p>
        </w:tc>
        <w:tc>
          <w:tcPr>
            <w:tcW w:w="4258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不适用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不适用</w:t>
            </w: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可持续影响</w:t>
            </w:r>
          </w:p>
        </w:tc>
        <w:tc>
          <w:tcPr>
            <w:tcW w:w="4258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1.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实现公积金保值增值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有效实现</w:t>
            </w: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258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2.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降低缴存职工购房压力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有效降低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</w:t>
            </w:r>
          </w:p>
        </w:tc>
        <w:tc>
          <w:tcPr>
            <w:tcW w:w="4258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住房公积金窗口服务</w:t>
            </w:r>
            <w:r>
              <w:rPr>
                <w:rFonts w:eastAsia="仿宋_GB2312"/>
                <w:kern w:val="0"/>
                <w:sz w:val="24"/>
              </w:rPr>
              <w:t>满意度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ascii="Arial" w:hAnsi="Arial" w:eastAsia="仿宋_GB2312" w:cs="Arial"/>
                <w:kern w:val="0"/>
                <w:sz w:val="24"/>
                <w:lang w:val="en-US"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90%</w:t>
            </w: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0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其他说明的问题</w:t>
            </w:r>
          </w:p>
        </w:tc>
        <w:tc>
          <w:tcPr>
            <w:tcW w:w="7815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具体数据指标暂未正式核准，有调整可能性。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220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财政部门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审核意见</w:t>
            </w:r>
          </w:p>
        </w:tc>
        <w:tc>
          <w:tcPr>
            <w:tcW w:w="7815" w:type="dxa"/>
            <w:gridSpan w:val="9"/>
            <w:noWrap w:val="0"/>
            <w:vAlign w:val="bottom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       （盖章）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 xml:space="preserve">                                           年    月    日    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84DFC"/>
    <w:rsid w:val="0C8F3C90"/>
    <w:rsid w:val="14796426"/>
    <w:rsid w:val="14AD6CB7"/>
    <w:rsid w:val="2006281D"/>
    <w:rsid w:val="2D0E6CDE"/>
    <w:rsid w:val="2E4D7F07"/>
    <w:rsid w:val="2F066DBB"/>
    <w:rsid w:val="31164E8C"/>
    <w:rsid w:val="37406AC6"/>
    <w:rsid w:val="39872924"/>
    <w:rsid w:val="42795449"/>
    <w:rsid w:val="50A66D64"/>
    <w:rsid w:val="51997F10"/>
    <w:rsid w:val="63B23E4B"/>
    <w:rsid w:val="64B77C9B"/>
    <w:rsid w:val="7AF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2021-10-28T08:13:00Z</dcterms:created>
  <dc:creator>zsy</dc:creator>
  <cp:lastModifiedBy>Administrator</cp:lastModifiedBy>
  <cp:lastPrinted>2021-11-09T06:17:29Z</cp:lastPrinted>
  <dcterms:modified xsi:type="dcterms:W3CDTF">2021-11-09T09:24:49Z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8F2E0ABD45B547909D5157A8F308A01A</vt:lpwstr>
  </property>
</Properties>
</file>