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岳阳市美术馆2022年度单位预算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仿宋_GB2312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仿宋_GB2312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23、一般支出预算基本支出表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  <w:t>一、单位基本概况</w:t>
            </w:r>
          </w:p>
          <w:p>
            <w:pPr>
              <w:widowControl/>
              <w:jc w:val="left"/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  <w:t>创作研究艺术、促进艺术繁荣。开展书法、美术、摄影创作、展览、教育以及艺术品收藏研究。</w:t>
            </w:r>
          </w:p>
          <w:p>
            <w:pPr>
              <w:widowControl/>
              <w:jc w:val="left"/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  <w:t>岳阳市美术馆内设机构包括七部一室：展览策划部、学术研究部、典藏部、宣传推广部、公共教育部、信息技术部、办公室。馆内1-3层为展厅，并设置公共教育室、会议室、体验室、临摹室、图书资料室、休闲区等多种配套服务设施。</w:t>
            </w:r>
          </w:p>
          <w:p>
            <w:pPr>
              <w:widowControl/>
              <w:jc w:val="left"/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  <w:t>二、单位预算单位购成</w:t>
            </w:r>
          </w:p>
          <w:p>
            <w:pPr>
              <w:widowControl/>
              <w:jc w:val="left"/>
              <w:rPr>
                <w:rFonts w:ascii="仿宋_GB2312" w:hAnsi="仿宋_GB2312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  <w:t>本单位预算仅含本级预算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单位收入预算151.49万元，其中，一般公共预算拨款151.49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  <w:t>收入较去年增加57.87万元，主要是因为当年有新增人员，并且多了工会经费补助，物业服务补贴，综合绩效奖和平安岳阳建设奖和伙食补助。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宋体" w:cs="宋体"/>
                <w:kern w:val="0"/>
                <w:sz w:val="28"/>
                <w:szCs w:val="28"/>
              </w:rPr>
              <w:t>2022年本单位支出预算151.49万元，其中，文化旅游体育与传媒支出151.49万元，占比100.00%。</w:t>
            </w: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  <w:t>支出较去年增加57.87万元，其中基本支出增加20.28万元，项目支出增加37.59万元。其中基本支出较上年增加主要是因为当年有新增人员，增加了部分人员经费，项目支出增加主要是因为工会经费补助，物业服务补贴，综合绩效奖和平安岳阳建设奖和伙食补助</w:t>
            </w: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ind w:firstLine="560"/>
              <w:jc w:val="left"/>
              <w:rPr>
                <w:rFonts w:hint="eastAsia" w:ascii="仿宋_GB2312" w:hAnsi="仿宋_GB2312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 xml:space="preserve">    2022年本单位一般公共预算拨款支出预算151.49万元，其中，文化旅游体育与传媒支出151.49万元，占比100.00%。具体安排情况如下：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117.83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eastAsia="宋体" w:cs="宋体"/>
                <w:color w:val="auto"/>
                <w:kern w:val="0"/>
                <w:sz w:val="28"/>
                <w:szCs w:val="28"/>
              </w:rPr>
              <w:t>（二）项目支出：2022年项目支出年初预算数为33.66万元（数据来源见表20），是指单位为完成特定行政工作任务或事业发展目标而发生的支出，包括有关业务工作经费、运行维护经费等。其中：</w:t>
            </w:r>
            <w:r>
              <w:rPr>
                <w:rFonts w:hint="eastAsia" w:ascii="仿宋_GB2312" w:hAnsi="仿宋_GB2312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按项目管理的工资福利支出26.4万元，主要用于伙食补助4.4万元及预安排综合绩效奖和平安岳阳建设奖22万元；按项目管理的商品和服务支出7.26万元，主要用于工会经费补助3.3万元及物业服务补贴3.96万元等方面。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 xml:space="preserve">    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  <w:t>本单位2022年机关运行经费当年一般公共预算拨款10.64万元，比上一年增加2.5万元，增加30.71%。主要原因是有新增人员，对应的运行经费增加一点。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  <w:t>本单位2022年“三公”经费预算数0万元，其中，公务接待费0万元，因公出国（境）费0万元，公务用车购置及运行费0万元，其中公务用车购置费0万元，公务用车运行费0万元。跟上一年持平，主要原因是厉行节约，不增加三公经费开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  <w:t>本单位2022年会议费预算0万元，拟召开0次会议，人数0人，内容为无；培训费预算0万元，2022年度本单位未计划安排会议，未计划举办节庆、晚会、论坛、赛事活动。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  <w:t>2022年度本单位未安排政府采购预算。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  <w:t>截至上一年12月底，本单位共有车辆0辆，其中领导干部用车0辆，一般公务用车0辆，其他用车0辆。单位价值50万元以上通用设备0台，单位价值100万元以上专用设备0台。</w:t>
            </w:r>
          </w:p>
          <w:p>
            <w:pPr>
              <w:widowControl/>
              <w:jc w:val="left"/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  <w:t>2022年拟报废处置公务用车0辆，拟新增配置车辆0辆，其中领导干部用车0辆，一般公务用车0辆，其他用车0辆。</w:t>
            </w:r>
          </w:p>
          <w:p>
            <w:pPr>
              <w:widowControl/>
              <w:jc w:val="left"/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  <w:t>2022年拟新增配备单位价值50万元以上通用设备0台，单位价值100万元以上专用设备0台。</w:t>
            </w:r>
          </w:p>
          <w:p>
            <w:pPr>
              <w:widowControl/>
              <w:jc w:val="left"/>
              <w:rPr>
                <w:rFonts w:ascii="仿宋_GB2312" w:hAnsi="仿宋_GB2312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宋体" w:cs="宋体"/>
                <w:kern w:val="0"/>
                <w:sz w:val="28"/>
                <w:szCs w:val="28"/>
              </w:rPr>
              <w:t>2022年度本单位未计划处置或新增车辆、设备等。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 xml:space="preserve">    本单位所有支出实行绩效目标管理。纳入2022年部门整体支出绩效目标的金额为151.49万元，其中，基本支出117.83万元，项目支出33.66万元，详见文尾附表中单位预算公开表格的表21-22。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仿宋_GB2312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仿宋_GB2312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23、一般支出预算基本支出表</w:t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宋体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63B25"/>
    <w:multiLevelType w:val="singleLevel"/>
    <w:tmpl w:val="A3263B2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DEE0FA"/>
    <w:multiLevelType w:val="singleLevel"/>
    <w:tmpl w:val="FBDEE0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mQzMzY3MWU0ZjkwNjE0ZTcwMzYzOGVmOWE5YTYifQ=="/>
  </w:docVars>
  <w:rsids>
    <w:rsidRoot w:val="00B82069"/>
    <w:rsid w:val="0023252A"/>
    <w:rsid w:val="00B82069"/>
    <w:rsid w:val="122052E5"/>
    <w:rsid w:val="23C81026"/>
    <w:rsid w:val="63E40CCE"/>
    <w:rsid w:val="68F23F7B"/>
    <w:rsid w:val="6BDC15C4"/>
    <w:rsid w:val="73B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2993</Words>
  <Characters>3211</Characters>
  <Lines>23</Lines>
  <Paragraphs>6</Paragraphs>
  <TotalTime>0</TotalTime>
  <ScaleCrop>false</ScaleCrop>
  <LinksUpToDate>false</LinksUpToDate>
  <CharactersWithSpaces>3263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2023-06-04T07:25:00Z</dcterms:created>
  <dc:creator>PC</dc:creator>
  <cp:lastModifiedBy>彬彬华圣酒店海外购</cp:lastModifiedBy>
  <dcterms:modified xsi:type="dcterms:W3CDTF">2023-09-23T07:23:11Z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31AB2BAF0CCE464C990CDBC098C1B2C0_12</vt:lpwstr>
  </property>
</Properties>
</file>