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岳阳市美术馆部门决算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rFonts w:hint="eastAsia"/>
          <w:b/>
          <w:sz w:val="32"/>
          <w:szCs w:val="32"/>
        </w:rPr>
      </w:pPr>
    </w:p>
    <w:p>
      <w:pPr>
        <w:pStyle w:val="9"/>
        <w:jc w:val="center"/>
        <w:rPr>
          <w:rFonts w:hint="eastAsia"/>
          <w:b/>
          <w:sz w:val="32"/>
          <w:szCs w:val="32"/>
        </w:rPr>
      </w:pPr>
    </w:p>
    <w:p>
      <w:pPr>
        <w:pStyle w:val="9"/>
        <w:jc w:val="center"/>
        <w:rPr>
          <w:b/>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第一部分岳阳市美术馆概况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岳阳市美术馆概况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岳阳市美术馆（岳阳市书画院）隶属于岳阳市文化旅游广电局，是从事展览策划、学术研究、典藏保护、公共教育、艺术创作、对外交流等功能于一体的公益一类文化事业机构。</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岳阳市美术馆单位内设机构包括：办公室、展览策划部、学术研究部、典藏部、宣传推广部、公共教育部、信息技术部。</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lang w:val="en-US" w:eastAsia="zh-CN"/>
        </w:rPr>
        <w:t>（二）决算单位构成。</w:t>
      </w:r>
      <w:r>
        <w:rPr>
          <w:rFonts w:hint="eastAsia" w:asciiTheme="minorEastAsia" w:hAnsiTheme="minorEastAsia"/>
          <w:bCs/>
          <w:kern w:val="0"/>
          <w:sz w:val="32"/>
          <w:szCs w:val="32"/>
        </w:rPr>
        <w:t>岳阳市美术馆</w:t>
      </w:r>
      <w:r>
        <w:rPr>
          <w:rFonts w:hint="eastAsia" w:asciiTheme="minorEastAsia" w:hAnsiTheme="minorEastAsia"/>
          <w:bCs/>
          <w:kern w:val="0"/>
          <w:sz w:val="32"/>
          <w:szCs w:val="32"/>
          <w:lang w:val="en-US" w:eastAsia="zh-CN"/>
        </w:rPr>
        <w:t>2020年部门决算汇总公开单位构成包括：岳阳市美术馆本级</w:t>
      </w:r>
      <w:r>
        <w:rPr>
          <w:rFonts w:hint="eastAsia" w:asciiTheme="minorEastAsia" w:hAnsiTheme="minorEastAsia"/>
          <w:bCs/>
          <w:kern w:val="0"/>
          <w:sz w:val="32"/>
          <w:szCs w:val="32"/>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部门：美术馆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163.62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213.67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42.00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6.65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九、卫生健康支出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kern w:val="0"/>
                <w:sz w:val="22"/>
              </w:rPr>
              <w:t>3.20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205.62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223.52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39.70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rPr>
              <w:t>245.32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245.32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700" w:type="dxa"/>
        <w:tblInd w:w="0" w:type="dxa"/>
        <w:tblLayout w:type="fixed"/>
        <w:tblCellMar>
          <w:top w:w="0" w:type="dxa"/>
          <w:left w:w="0" w:type="dxa"/>
          <w:bottom w:w="0" w:type="dxa"/>
          <w:right w:w="0" w:type="dxa"/>
        </w:tblCellMar>
      </w:tblPr>
      <w:tblGrid>
        <w:gridCol w:w="465"/>
        <w:gridCol w:w="405"/>
        <w:gridCol w:w="3390"/>
        <w:gridCol w:w="1640"/>
        <w:gridCol w:w="1640"/>
        <w:gridCol w:w="1505"/>
        <w:gridCol w:w="1413"/>
        <w:gridCol w:w="1335"/>
        <w:gridCol w:w="1267"/>
        <w:gridCol w:w="1640"/>
      </w:tblGrid>
      <w:tr>
        <w:tblPrEx>
          <w:tblCellMar>
            <w:top w:w="0" w:type="dxa"/>
            <w:left w:w="0" w:type="dxa"/>
            <w:bottom w:w="0" w:type="dxa"/>
            <w:right w:w="0" w:type="dxa"/>
          </w:tblCellMar>
        </w:tblPrEx>
        <w:trPr>
          <w:trHeight w:val="435" w:hRule="atLeast"/>
        </w:trPr>
        <w:tc>
          <w:tcPr>
            <w:tcW w:w="147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4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0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3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87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390"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rPr>
              <w:t>美术馆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5"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1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26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1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3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6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87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39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87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39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260"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0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41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3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2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6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4260"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205.62</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sz w:val="24"/>
                <w:szCs w:val="24"/>
              </w:rPr>
              <w:t>163.62</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sz w:val="24"/>
                <w:szCs w:val="24"/>
              </w:rPr>
              <w:t>42.00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207　</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ascii="宋体" w:hAnsi="宋体" w:cs="宋体"/>
                <w:sz w:val="24"/>
                <w:szCs w:val="24"/>
              </w:rPr>
              <w:t>文化旅游体育与传媒支出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195.77</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153.77</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42.00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20701</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文化和旅游</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rPr>
              <w:t>195.77</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153.77</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42.00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2070102</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一般行政管理事务</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1.80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1.80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2070105</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文化展示及纪念机构</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53.97</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53.97</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2070109</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cs="宋体"/>
                <w:sz w:val="24"/>
                <w:szCs w:val="24"/>
              </w:rPr>
            </w:pPr>
            <w:r>
              <w:rPr>
                <w:rFonts w:hint="eastAsia"/>
              </w:rPr>
              <w:t>　群众文化</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50.00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50.00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2070111</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文化创作与保护</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5.00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5.00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2070199</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其他文化和旅游支出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85.00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43.00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42.00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208</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社会保障和就业支出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6.65</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6.65</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20805</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行政事业单位养老支出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6.24</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6.24</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2080505</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机关事业单位基本养老保险缴费支出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6.24</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6.24</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20811</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残疾人事业</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0.41</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0.41</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2081199</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其他残疾人事业支出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0.41</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0.41</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210</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卫生健康支出</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3.20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3.20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21011</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行政事业单位医疗</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3.20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3.20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0.00</w:t>
            </w:r>
          </w:p>
        </w:tc>
      </w:tr>
      <w:tr>
        <w:tblPrEx>
          <w:tblCellMar>
            <w:top w:w="0" w:type="dxa"/>
            <w:left w:w="0" w:type="dxa"/>
            <w:bottom w:w="0" w:type="dxa"/>
            <w:right w:w="0" w:type="dxa"/>
          </w:tblCellMar>
        </w:tblPrEx>
        <w:trPr>
          <w:trHeight w:val="450" w:hRule="atLeast"/>
        </w:trPr>
        <w:tc>
          <w:tcPr>
            <w:tcW w:w="8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2101102</w:t>
            </w:r>
          </w:p>
        </w:tc>
        <w:tc>
          <w:tcPr>
            <w:tcW w:w="33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宋体" w:hAnsi="宋体" w:eastAsia="宋体" w:cs="宋体"/>
                <w:sz w:val="24"/>
                <w:szCs w:val="24"/>
              </w:rPr>
              <w:t>事业单位医疗</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3.20</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3.20</w:t>
            </w:r>
          </w:p>
        </w:tc>
        <w:tc>
          <w:tcPr>
            <w:tcW w:w="15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41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3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2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16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r>
      <w:tr>
        <w:tblPrEx>
          <w:tblCellMar>
            <w:top w:w="0" w:type="dxa"/>
            <w:left w:w="0" w:type="dxa"/>
            <w:bottom w:w="0" w:type="dxa"/>
            <w:right w:w="0" w:type="dxa"/>
          </w:tblCellMar>
        </w:tblPrEx>
        <w:trPr>
          <w:trHeight w:val="615" w:hRule="atLeast"/>
        </w:trPr>
        <w:tc>
          <w:tcPr>
            <w:tcW w:w="147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40"/>
        <w:gridCol w:w="4265"/>
        <w:gridCol w:w="1320"/>
        <w:gridCol w:w="1275"/>
        <w:gridCol w:w="1335"/>
        <w:gridCol w:w="1245"/>
        <w:gridCol w:w="1110"/>
        <w:gridCol w:w="1351"/>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2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美术馆</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2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54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24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1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35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26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2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54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3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1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3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22" w:hRule="atLeast"/>
        </w:trPr>
        <w:tc>
          <w:tcPr>
            <w:tcW w:w="554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223.52</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148.01</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75.51</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文化旅游体育与传媒支出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213.67</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138.16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75.51</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20701</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文化和旅游</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213.67</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138.16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75.51</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trHeight w:val="9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2070102</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一般行政管理事务</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21.78</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21.78</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2070105</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文化展示及纪念机构</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67.36</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67.36</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2070109　</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群众文化</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48.33</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48.33</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2070111</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文化创作与保护</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5.00</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2070199</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其他文化和旅游支出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71.20</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70.80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0.40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社会保障和就业支出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6.65</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6.65</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行政事业单位养老支出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6.24</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6.24</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2080505</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机关事业单位基本养老保险缴费支出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6.24</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6.24</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20811</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残疾人事业</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0.41</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0.41</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2081199</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其他残疾人事业支出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0.41</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0.41</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卫生健康支出</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3.20</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3.20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21011</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行政事业单位医疗</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3.20</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3.20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2101102</w:t>
            </w:r>
          </w:p>
        </w:tc>
        <w:tc>
          <w:tcPr>
            <w:tcW w:w="426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事业单位医疗</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3.20</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3.20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2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1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c>
          <w:tcPr>
            <w:tcW w:w="13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　</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注：本表反映部门本年度各项支出情况。0</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部门：美术馆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163.62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四、其他收入</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42.00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213.67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213.67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6.65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6.65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九、卫生健康与支出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205.62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223.52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223.52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kern w:val="0"/>
                <w:sz w:val="22"/>
              </w:rPr>
              <w:t>0.00</w:t>
            </w: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39.70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21.80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21.80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245.32</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rPr>
              <w:t>245.32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b/>
                <w:bCs/>
                <w:kern w:val="0"/>
                <w:sz w:val="22"/>
              </w:rPr>
              <w:t>245.32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0.00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美术馆</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5"/>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171.49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115.96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55.53</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161.64</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106.11</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55.53</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20701</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文化和旅游</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161.64</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106.11</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55.53</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2070102</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1.80</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1.80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2070105</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文化展示及纪念机构</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67.36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67.36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2070109</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群众文化</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48.32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48.32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2070111</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文化创作与保护</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2070199</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其他文化和旅游支出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39.16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38.75</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0.41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6.65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6.65</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6.24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6.24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2080505</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 w:val="15"/>
                <w:szCs w:val="15"/>
              </w:rPr>
            </w:pPr>
            <w:r>
              <w:rPr>
                <w:rFonts w:hint="eastAsia" w:ascii="Times New Roman" w:hAnsi="Times New Roman" w:eastAsia="仿宋_GB2312" w:cs="Times New Roman"/>
                <w:kern w:val="0"/>
                <w:szCs w:val="21"/>
              </w:rPr>
              <w:t>机关事业单位养老保险缴费支出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6.24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6.24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20811</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残疾人事业</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0.41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0.41</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2081199</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其他残疾人事业支出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0.41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0.41</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2101102</w:t>
            </w:r>
          </w:p>
        </w:tc>
        <w:tc>
          <w:tcPr>
            <w:tcW w:w="35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0.00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135" w:type="dxa"/>
        <w:tblInd w:w="0" w:type="dxa"/>
        <w:tblLayout w:type="fixed"/>
        <w:tblCellMar>
          <w:top w:w="0" w:type="dxa"/>
          <w:left w:w="108" w:type="dxa"/>
          <w:bottom w:w="0" w:type="dxa"/>
          <w:right w:w="108" w:type="dxa"/>
        </w:tblCellMar>
      </w:tblPr>
      <w:tblGrid>
        <w:gridCol w:w="1301"/>
        <w:gridCol w:w="3264"/>
        <w:gridCol w:w="1060"/>
        <w:gridCol w:w="1302"/>
        <w:gridCol w:w="2248"/>
        <w:gridCol w:w="1010"/>
        <w:gridCol w:w="789"/>
        <w:gridCol w:w="3276"/>
        <w:gridCol w:w="885"/>
      </w:tblGrid>
      <w:tr>
        <w:tblPrEx>
          <w:tblCellMar>
            <w:top w:w="0" w:type="dxa"/>
            <w:left w:w="108" w:type="dxa"/>
            <w:bottom w:w="0" w:type="dxa"/>
            <w:right w:w="108" w:type="dxa"/>
          </w:tblCellMar>
        </w:tblPrEx>
        <w:trPr>
          <w:trHeight w:val="618" w:hRule="atLeast"/>
        </w:trPr>
        <w:tc>
          <w:tcPr>
            <w:tcW w:w="15135"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美术馆公开06表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923"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77.26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38.69</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19.70</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1.65</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1.56　</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1.80</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13.48</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1.87</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18.07</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9.88</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1.52</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7.20</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0.13</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0.70</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0.30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4.69</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0.05</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0.08</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0.03</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w:t>
            </w:r>
            <w:r>
              <w:rPr>
                <w:rFonts w:hint="eastAsia" w:ascii="宋体" w:hAnsi="宋体" w:eastAsia="宋体" w:cs="宋体"/>
                <w:color w:val="000000"/>
                <w:kern w:val="0"/>
                <w:szCs w:val="20"/>
                <w:lang w:val="en-US" w:eastAsia="zh-CN"/>
              </w:rPr>
              <w:t>6</w:t>
            </w:r>
            <w:r>
              <w:rPr>
                <w:rFonts w:hint="eastAsia" w:ascii="宋体" w:hAnsi="宋体" w:eastAsia="宋体" w:cs="宋体"/>
                <w:color w:val="000000"/>
                <w:kern w:val="0"/>
                <w:szCs w:val="20"/>
              </w:rPr>
              <w:t>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7.14</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14.24</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6.00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2.70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0.00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0.00</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0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3.15</w:t>
            </w:r>
          </w:p>
        </w:tc>
        <w:tc>
          <w:tcPr>
            <w:tcW w:w="7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5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77.26</w:t>
            </w:r>
          </w:p>
        </w:tc>
        <w:tc>
          <w:tcPr>
            <w:tcW w:w="862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3333338.6970.75</w:t>
            </w:r>
          </w:p>
        </w:tc>
      </w:tr>
      <w:tr>
        <w:tblPrEx>
          <w:tblCellMar>
            <w:top w:w="0" w:type="dxa"/>
            <w:left w:w="108" w:type="dxa"/>
            <w:bottom w:w="0" w:type="dxa"/>
            <w:right w:w="108" w:type="dxa"/>
          </w:tblCellMar>
        </w:tblPrEx>
        <w:trPr>
          <w:trHeight w:val="284" w:hRule="exact"/>
        </w:trPr>
        <w:tc>
          <w:tcPr>
            <w:tcW w:w="15135"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美术馆</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r>
              <w:rPr>
                <w:rFonts w:hint="eastAsia" w:ascii="Times New Roman" w:hAnsi="Times New Roman" w:eastAsia="仿宋_GB2312" w:cs="Times New Roman"/>
                <w:kern w:val="0"/>
                <w:szCs w:val="21"/>
                <w:lang w:val="en-US" w:eastAsia="zh-CN"/>
              </w:rPr>
              <w:t>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hint="eastAsia" w:ascii="Times New Roman" w:hAnsi="Times New Roman" w:eastAsia="仿宋_GB2312" w:cs="Times New Roman"/>
                <w:kern w:val="0"/>
                <w:szCs w:val="21"/>
                <w:lang w:val="en-US" w:eastAsia="zh-CN"/>
              </w:rPr>
              <w:t>6</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8"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6000" w:type="dxa"/>
            <w:gridSpan w:val="3"/>
            <w:shd w:val="clear" w:color="auto" w:fill="auto"/>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岳阳市美术馆没有政府性基金收入，也没有使用政府性基金安排的支出，故本表无数据</w:t>
            </w:r>
            <w:r>
              <w:rPr>
                <w:rFonts w:ascii="Times New Roman" w:hAnsi="Times New Roman" w:eastAsia="仿宋_GB2312" w:cs="Times New Roman"/>
                <w:kern w:val="0"/>
                <w:sz w:val="24"/>
                <w:szCs w:val="24"/>
              </w:rPr>
              <w:t>　</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bottom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4" w:space="0"/>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bottom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lef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4190" w:type="dxa"/>
            <w:gridSpan w:val="9"/>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美术馆没有使用国有资本经营预算安排的支出，故本表无数据。</w:t>
            </w:r>
          </w:p>
          <w:p>
            <w:pPr>
              <w:widowControl/>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bookmarkStart w:id="3" w:name="_GoBack"/>
      <w:r>
        <w:rPr>
          <w:sz w:val="70"/>
          <w:szCs w:val="70"/>
        </w:rPr>
        <w:t>20</w:t>
      </w:r>
      <w:r>
        <w:rPr>
          <w:rFonts w:hint="eastAsia"/>
          <w:sz w:val="70"/>
          <w:szCs w:val="70"/>
        </w:rPr>
        <w:t>20年度部门决算情况说明</w:t>
      </w:r>
    </w:p>
    <w:bookmarkEnd w:id="3"/>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2020年度收、支总计245.32万元。与上年190.50万元相比，增加54.82万元，增长</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28</w:t>
      </w:r>
      <w:r>
        <w:rPr>
          <w:rFonts w:hint="eastAsia" w:asciiTheme="minorEastAsia" w:hAnsiTheme="minorEastAsia" w:eastAsiaTheme="minorEastAsia"/>
          <w:sz w:val="32"/>
          <w:szCs w:val="32"/>
          <w:lang w:val="en-US" w:eastAsia="zh-CN"/>
        </w:rPr>
        <w:t>.77</w:t>
      </w:r>
      <w:r>
        <w:rPr>
          <w:rFonts w:hint="eastAsia" w:asciiTheme="minorEastAsia" w:hAnsiTheme="minorEastAsia" w:eastAsiaTheme="minorEastAsia"/>
          <w:sz w:val="32"/>
          <w:szCs w:val="32"/>
        </w:rPr>
        <w:t>%，主要是因为2020年在职人员增加了。</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205.62</w:t>
      </w:r>
      <w:r>
        <w:rPr>
          <w:rFonts w:hint="eastAsia" w:asciiTheme="minorEastAsia" w:hAnsiTheme="minorEastAsia" w:eastAsiaTheme="minorEastAsia"/>
          <w:sz w:val="32"/>
          <w:szCs w:val="32"/>
        </w:rPr>
        <w:t>万元，其中：财政拨款收入163.62万元，占</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%；上级补助收入0万元，事业收入0万元，经营收入0万元，附属单位上缴收入0万元，其他收入42万元，占</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223.52</w:t>
      </w:r>
      <w:r>
        <w:rPr>
          <w:rFonts w:hint="eastAsia" w:asciiTheme="minorEastAsia" w:hAnsiTheme="minorEastAsia" w:eastAsiaTheme="minorEastAsia"/>
          <w:sz w:val="32"/>
          <w:szCs w:val="32"/>
        </w:rPr>
        <w:t>万元，其中：基本支出148.01万元，占</w:t>
      </w:r>
      <w:r>
        <w:rPr>
          <w:rFonts w:hint="eastAsia" w:asciiTheme="minorEastAsia" w:hAnsiTheme="minorEastAsia" w:eastAsiaTheme="minorEastAsia"/>
          <w:sz w:val="32"/>
          <w:szCs w:val="32"/>
          <w:lang w:val="en-US" w:eastAsia="zh-CN"/>
        </w:rPr>
        <w:t>66.23</w:t>
      </w:r>
      <w:r>
        <w:rPr>
          <w:rFonts w:hint="eastAsia" w:asciiTheme="minorEastAsia" w:hAnsiTheme="minorEastAsia" w:eastAsiaTheme="minorEastAsia"/>
          <w:sz w:val="32"/>
          <w:szCs w:val="32"/>
        </w:rPr>
        <w:t>%；项目支出75.51万元，占</w:t>
      </w:r>
      <w:r>
        <w:rPr>
          <w:rFonts w:hint="eastAsia" w:asciiTheme="minorEastAsia" w:hAnsiTheme="minorEastAsia" w:eastAsiaTheme="minorEastAsia"/>
          <w:sz w:val="32"/>
          <w:szCs w:val="32"/>
          <w:lang w:val="en-US" w:eastAsia="zh-CN"/>
        </w:rPr>
        <w:t>33.77</w:t>
      </w:r>
      <w:r>
        <w:rPr>
          <w:rFonts w:hint="eastAsia" w:asciiTheme="minorEastAsia" w:hAnsiTheme="minorEastAsia" w:eastAsiaTheme="minorEastAsia"/>
          <w:sz w:val="32"/>
          <w:szCs w:val="32"/>
        </w:rPr>
        <w:t>%；上缴上级支出0万元，经营支出0万元，对附属单位补助支出0万元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177.41</w:t>
      </w:r>
      <w:r>
        <w:rPr>
          <w:rFonts w:hint="eastAsia" w:asciiTheme="minorEastAsia" w:hAnsiTheme="minorEastAsia" w:eastAsiaTheme="minorEastAsia"/>
          <w:sz w:val="32"/>
          <w:szCs w:val="32"/>
        </w:rPr>
        <w:t>万元，与上年120.87万元相比，增加</w:t>
      </w:r>
      <w:r>
        <w:rPr>
          <w:rFonts w:hint="eastAsia" w:asciiTheme="minorEastAsia" w:hAnsiTheme="minorEastAsia" w:eastAsiaTheme="minorEastAsia"/>
          <w:sz w:val="32"/>
          <w:szCs w:val="32"/>
          <w:lang w:val="en-US" w:eastAsia="zh-CN"/>
        </w:rPr>
        <w:t>56.54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146.77</w:t>
      </w:r>
      <w:r>
        <w:rPr>
          <w:rFonts w:hint="eastAsia" w:asciiTheme="minorEastAsia" w:hAnsiTheme="minorEastAsia" w:eastAsiaTheme="minorEastAsia"/>
          <w:sz w:val="32"/>
          <w:szCs w:val="32"/>
        </w:rPr>
        <w:t>%，主要是因为2020年在职人员增加了。</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2020年度财政拨款支出171.49万元，与上年117.10万元相比，财政拨款支出增加54.39万元，增长</w:t>
      </w:r>
      <w:r>
        <w:rPr>
          <w:rFonts w:hint="eastAsia" w:asciiTheme="minorEastAsia" w:hAnsiTheme="minorEastAsia" w:eastAsiaTheme="minorEastAsia"/>
          <w:sz w:val="32"/>
          <w:szCs w:val="32"/>
          <w:lang w:val="en-US" w:eastAsia="zh-CN"/>
        </w:rPr>
        <w:t>146.44</w:t>
      </w:r>
      <w:r>
        <w:rPr>
          <w:rFonts w:hint="eastAsia" w:asciiTheme="minorEastAsia" w:hAnsiTheme="minorEastAsia" w:eastAsiaTheme="minorEastAsia"/>
          <w:sz w:val="32"/>
          <w:szCs w:val="32"/>
        </w:rPr>
        <w:t>%，主要是因为2020年增加了在职人员。</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2020年度财政拨款支出171.49万元，主要用于以下方面：基本支出115.96万元，占</w:t>
      </w:r>
      <w:r>
        <w:rPr>
          <w:rFonts w:hint="eastAsia" w:asciiTheme="minorEastAsia" w:hAnsiTheme="minorEastAsia" w:eastAsiaTheme="minorEastAsia"/>
          <w:sz w:val="32"/>
          <w:szCs w:val="32"/>
          <w:lang w:val="en-US" w:eastAsia="zh-CN"/>
        </w:rPr>
        <w:t>67.62</w:t>
      </w:r>
      <w:r>
        <w:rPr>
          <w:rFonts w:hint="eastAsia" w:asciiTheme="minorEastAsia" w:hAnsiTheme="minorEastAsia" w:eastAsiaTheme="minorEastAsia"/>
          <w:sz w:val="32"/>
          <w:szCs w:val="32"/>
        </w:rPr>
        <w:t>%，项目支出55.53万元，占32</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w:t>
      </w:r>
      <w:r>
        <w:rPr>
          <w:rFonts w:hint="eastAsia" w:asciiTheme="minorEastAsia" w:hAnsiTheme="minorEastAsia" w:eastAsiaTheme="minorEastAsia"/>
          <w:b/>
          <w:color w:val="000000" w:themeColor="text1"/>
          <w:sz w:val="32"/>
          <w:szCs w:val="32"/>
        </w:rPr>
        <w:t>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68.75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223.52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325.18</w:t>
      </w:r>
      <w:r>
        <w:rPr>
          <w:rFonts w:hint="eastAsia" w:asciiTheme="minorEastAsia" w:hAnsiTheme="minorEastAsia" w:eastAsiaTheme="minorEastAsia"/>
          <w:sz w:val="32"/>
          <w:szCs w:val="32"/>
        </w:rPr>
        <w:t>%，其中：</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文化旅游体育与传媒支出（类）文化和旅游（款）一般行政管理事务、文化展示及纪念机构、群众文化、文化创作与保护、其他文化和旅游支出（项）</w:t>
      </w:r>
    </w:p>
    <w:p>
      <w:pPr>
        <w:pStyle w:val="9"/>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年初预算为68.75万元，支出决算为213.67万元，完成年初预算的310.79%，决算数大于年初预算的主要原因是：年中项目经费较上年增加。</w:t>
      </w:r>
    </w:p>
    <w:p>
      <w:pPr>
        <w:pStyle w:val="9"/>
        <w:numPr>
          <w:ilvl w:val="0"/>
          <w:numId w:val="2"/>
        </w:numPr>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社会保障和就业支出（类）行政事业单位养老支出（款）机关事业单位基本养老保险缴费支出（项）残疾人事业（款）其他残疾人事业支出（项）</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年初预算68.75万元，支出决算为6.65万元，完成年初预算的9.67%，决算数小于年初预算的原因是：在职人员的增加。</w:t>
      </w:r>
    </w:p>
    <w:p>
      <w:pPr>
        <w:pStyle w:val="9"/>
        <w:numPr>
          <w:ilvl w:val="0"/>
          <w:numId w:val="2"/>
        </w:numPr>
        <w:ind w:left="0" w:leftChars="0"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卫生健康支出（类）行政事业单位医疗（款）事业单位医疗（项）</w:t>
      </w:r>
    </w:p>
    <w:p>
      <w:pPr>
        <w:pStyle w:val="9"/>
        <w:numPr>
          <w:ilvl w:val="0"/>
          <w:numId w:val="0"/>
        </w:numPr>
        <w:ind w:left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年初预算68.75万元，支出决算数为3.2万元，完成年初预算的4.65%。决算数小于年初预算的原因是：在职人员的增加，职工医疗保险费增加。</w:t>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115.96万元，其中：人员经费77.25万元，占基本支出的67%,主要包括基本工资、津贴补贴、奖金、伙食补助费、绩效工资、养老保险、职业年金、医疗保险、住房公积金等。公用经费38.69万元，占基本支出的33%，主要包括办公费、印刷费、差旅费、手续费、维护费、专用材料费、劳务费、委托费、工会经费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万元，支出决算为0万元，完成预算的0%，其中：</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lang w:val="en-US" w:eastAsia="zh-CN"/>
        </w:rPr>
        <w:t>完成预算数的0%，决算数小于预算数的主要原因是：</w:t>
      </w:r>
      <w:r>
        <w:rPr>
          <w:rFonts w:hint="eastAsia" w:asciiTheme="minorEastAsia" w:hAnsiTheme="minorEastAsia" w:eastAsiaTheme="minorEastAsia"/>
          <w:sz w:val="32"/>
          <w:szCs w:val="32"/>
        </w:rPr>
        <w:t>我单位没有安排工作人员出国（境）。</w:t>
      </w:r>
      <w:r>
        <w:rPr>
          <w:rFonts w:hint="eastAsia" w:asciiTheme="minorEastAsia" w:hAnsiTheme="minorEastAsia" w:eastAsiaTheme="minorEastAsia"/>
          <w:sz w:val="32"/>
          <w:szCs w:val="32"/>
          <w:lang w:val="en-US" w:eastAsia="zh-CN"/>
        </w:rPr>
        <w:t>上年决算数为0万元，今年与上年进行对比没有变化。</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万元，支出决算为0万元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完成预算的0%，决算数小于预算数的主要原因是：我单位没有公务接待费的支出。上年支出决算数为0万元，今年与上年进行对比没有变化。</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w:t>
      </w:r>
      <w:r>
        <w:rPr>
          <w:rFonts w:hint="eastAsia" w:asciiTheme="minorEastAsia" w:hAnsiTheme="minorEastAsia" w:eastAsiaTheme="minorEastAsia"/>
          <w:sz w:val="32"/>
          <w:szCs w:val="32"/>
          <w:lang w:val="en-US" w:eastAsia="zh-CN"/>
        </w:rPr>
        <w:t>决算数小于预算数的主要原因是：</w:t>
      </w:r>
      <w:r>
        <w:rPr>
          <w:rFonts w:hint="eastAsia" w:asciiTheme="minorEastAsia" w:hAnsiTheme="minorEastAsia" w:eastAsiaTheme="minorEastAsia"/>
          <w:sz w:val="32"/>
          <w:szCs w:val="32"/>
        </w:rPr>
        <w:t>我单位</w:t>
      </w:r>
      <w:r>
        <w:rPr>
          <w:rFonts w:hint="eastAsia" w:asciiTheme="minorEastAsia" w:hAnsiTheme="minorEastAsia" w:eastAsiaTheme="minorEastAsia"/>
          <w:sz w:val="32"/>
          <w:szCs w:val="32"/>
          <w:lang w:val="en-US" w:eastAsia="zh-CN"/>
        </w:rPr>
        <w:t>没有</w:t>
      </w:r>
      <w:r>
        <w:rPr>
          <w:rFonts w:hint="eastAsia" w:asciiTheme="minorEastAsia" w:hAnsiTheme="minorEastAsia" w:eastAsiaTheme="minorEastAsia"/>
          <w:sz w:val="32"/>
          <w:szCs w:val="32"/>
        </w:rPr>
        <w:t>公务用车。</w:t>
      </w:r>
    </w:p>
    <w:p>
      <w:pPr>
        <w:pStyle w:val="9"/>
        <w:rPr>
          <w:rFonts w:asciiTheme="minorEastAsia" w:hAnsiTheme="minorEastAsia" w:eastAsiaTheme="minorEastAsia"/>
          <w:b/>
          <w:color w:val="000000" w:themeColor="text1"/>
          <w:sz w:val="32"/>
          <w:szCs w:val="32"/>
        </w:rPr>
      </w:pPr>
      <w:r>
        <w:rPr>
          <w:rFonts w:hint="eastAsia" w:asciiTheme="minorEastAsia" w:hAnsiTheme="minorEastAsia" w:eastAsiaTheme="minorEastAsia"/>
          <w:b/>
          <w:sz w:val="32"/>
          <w:szCs w:val="32"/>
        </w:rPr>
        <w:t>（二）</w:t>
      </w:r>
      <w:r>
        <w:rPr>
          <w:rFonts w:hint="eastAsia" w:asciiTheme="minorEastAsia" w:hAnsiTheme="minorEastAsia" w:eastAsiaTheme="minorEastAsia"/>
          <w:b/>
          <w:color w:val="000000" w:themeColor="text1"/>
          <w:sz w:val="32"/>
          <w:szCs w:val="32"/>
        </w:rPr>
        <w:t>“三公”经费财政拨款支出决算具体情况说明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2020年度“三公”经费财政拨款支出决算中，公务接待费支出决算0万元，</w:t>
      </w:r>
      <w:r>
        <w:rPr>
          <w:rFonts w:hint="eastAsia" w:asciiTheme="minorEastAsia" w:hAnsiTheme="minorEastAsia" w:eastAsiaTheme="minorEastAsia"/>
          <w:sz w:val="32"/>
          <w:szCs w:val="32"/>
          <w:lang w:val="en-US" w:eastAsia="zh-CN"/>
        </w:rPr>
        <w:t>占0%，</w:t>
      </w:r>
      <w:r>
        <w:rPr>
          <w:rFonts w:hint="eastAsia" w:asciiTheme="minorEastAsia" w:hAnsiTheme="minorEastAsia" w:eastAsiaTheme="minorEastAsia"/>
          <w:sz w:val="32"/>
          <w:szCs w:val="32"/>
        </w:rPr>
        <w:t>,因公出国（境）费支出决算0万元，</w:t>
      </w:r>
      <w:r>
        <w:rPr>
          <w:rFonts w:hint="eastAsia" w:asciiTheme="minorEastAsia" w:hAnsiTheme="minorEastAsia" w:eastAsiaTheme="minorEastAsia"/>
          <w:sz w:val="32"/>
          <w:szCs w:val="32"/>
          <w:lang w:val="en-US" w:eastAsia="zh-CN"/>
        </w:rPr>
        <w:t>占0%，</w:t>
      </w:r>
      <w:r>
        <w:rPr>
          <w:rFonts w:hint="eastAsia" w:asciiTheme="minorEastAsia" w:hAnsiTheme="minorEastAsia" w:eastAsiaTheme="minorEastAsia"/>
          <w:sz w:val="32"/>
          <w:szCs w:val="32"/>
        </w:rPr>
        <w:t>公务用车购置费及运行维护费支出决算0万元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占0%。其中：</w:t>
      </w:r>
    </w:p>
    <w:p>
      <w:pPr>
        <w:pStyle w:val="9"/>
        <w:numPr>
          <w:ilvl w:val="0"/>
          <w:numId w:val="3"/>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因公出国（境）费支出决算为0万元，全年安排因公出国（境）团组0个，累计0人次。</w:t>
      </w:r>
    </w:p>
    <w:p>
      <w:pPr>
        <w:pStyle w:val="9"/>
        <w:numPr>
          <w:ilvl w:val="0"/>
          <w:numId w:val="3"/>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公务接待费支出决算为0万元，全年共接待来访团组0个，来宾0人次。</w:t>
      </w:r>
    </w:p>
    <w:p>
      <w:pPr>
        <w:pStyle w:val="9"/>
        <w:numPr>
          <w:ilvl w:val="0"/>
          <w:numId w:val="3"/>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公务用车购置费及运行维护费支出决算为0万元。其中：公务用车购置费0万元。我单位开支财政拨款的公务用车保有量为0辆。</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我单位今年没有安排工作人员出国（境），没有公务用车，公务接待费</w:t>
      </w:r>
      <w:r>
        <w:rPr>
          <w:rFonts w:hint="eastAsia" w:asciiTheme="minorEastAsia" w:hAnsiTheme="minorEastAsia" w:eastAsiaTheme="minorEastAsia"/>
          <w:sz w:val="32"/>
          <w:szCs w:val="32"/>
          <w:lang w:val="en-US" w:eastAsia="zh-CN"/>
        </w:rPr>
        <w:t>为0万元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与上年进行对比没有变化。</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本单位2020年度无政府性基金收支</w:t>
      </w:r>
    </w:p>
    <w:p>
      <w:pPr>
        <w:pStyle w:val="9"/>
        <w:rPr>
          <w:rFonts w:hAnsi="黑体"/>
          <w:b/>
          <w:sz w:val="32"/>
          <w:szCs w:val="32"/>
        </w:rPr>
      </w:pPr>
      <w:r>
        <w:rPr>
          <w:rFonts w:hint="eastAsia" w:hAnsi="黑体"/>
          <w:b/>
          <w:sz w:val="32"/>
          <w:szCs w:val="32"/>
        </w:rPr>
        <w:t>九、国有资本经营预算财政拨款支出决算情况</w:t>
      </w:r>
    </w:p>
    <w:p>
      <w:pPr>
        <w:pStyle w:val="9"/>
        <w:rPr>
          <w:rFonts w:hAnsi="黑体"/>
          <w:b/>
          <w:sz w:val="32"/>
          <w:szCs w:val="32"/>
        </w:rPr>
      </w:pPr>
      <w:r>
        <w:rPr>
          <w:rFonts w:hint="eastAsia" w:asciiTheme="minorEastAsia" w:hAnsiTheme="minorEastAsia" w:eastAsiaTheme="minorEastAsia"/>
          <w:sz w:val="32"/>
          <w:szCs w:val="32"/>
        </w:rPr>
        <w:t>岳阳市美术馆无国有资本经营预算财政拨款支出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本部门2020年度机关运行经费支出0万元。</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2020年本部门开支会议费0万元，开支培训费0万元，举办……等节庆、晚会、论坛、赛事活动，开支0万元。</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本部门2020年度政府采购支出总额3.3万元，其中：政府采购货物支出3.3 万元、政府采购工程支出0万元、政府采购服务支出0万元。授予中小企业合同金额0万元，占政府采购支出总额的1%，其中：授予小微企业合同金额3.3万元，占政府采购支出总额的1%。</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0辆，其中，主要领导干部用车0辆，机要通信用车0辆、应急保障用车0辆、执法执勤用车0辆、特种专业技术用车0辆、其他用车0辆，其他用车0辆；单位价值50万元以上通用设备0台（套）；单位价值100万元以上专用设备0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2020年度，我馆根据年初工作计划，较好的完成了年度工作目标。通过加强资金财务收支管理，不断建立健全内总管理制度，梳理内部管理流程，部门整体支出管理情况得到提升。</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ind w:firstLine="640" w:firstLineChars="200"/>
        <w:jc w:val="left"/>
        <w:rPr>
          <w:rFonts w:hint="eastAsia" w:cs="黑体" w:asciiTheme="minorEastAsia" w:hAnsiTheme="minorEastAsia"/>
          <w:color w:val="000000"/>
          <w:kern w:val="0"/>
          <w:sz w:val="32"/>
          <w:szCs w:val="32"/>
        </w:rPr>
      </w:pPr>
    </w:p>
    <w:p>
      <w:pPr>
        <w:jc w:val="left"/>
        <w:rPr>
          <w:rFonts w:asciiTheme="minorEastAsia" w:hAnsiTheme="minorEastAsia"/>
          <w:sz w:val="32"/>
          <w:szCs w:val="32"/>
        </w:rPr>
      </w:pP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49D399"/>
    <w:multiLevelType w:val="singleLevel"/>
    <w:tmpl w:val="F649D399"/>
    <w:lvl w:ilvl="0" w:tentative="0">
      <w:start w:val="1"/>
      <w:numFmt w:val="decimal"/>
      <w:suff w:val="nothing"/>
      <w:lvlText w:val="%1、"/>
      <w:lvlJc w:val="left"/>
    </w:lvl>
  </w:abstractNum>
  <w:abstractNum w:abstractNumId="1">
    <w:nsid w:val="F6AEC5E6"/>
    <w:multiLevelType w:val="singleLevel"/>
    <w:tmpl w:val="F6AEC5E6"/>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zNGRmODY5YzIzNmEyZThmNzgxYmI3YmI4NTI0MTgifQ=="/>
  </w:docVars>
  <w:rsids>
    <w:rsidRoot w:val="004506F9"/>
    <w:rsid w:val="0002229B"/>
    <w:rsid w:val="000273BD"/>
    <w:rsid w:val="000415B7"/>
    <w:rsid w:val="00041E3F"/>
    <w:rsid w:val="00055DAA"/>
    <w:rsid w:val="00061F7B"/>
    <w:rsid w:val="00064520"/>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805D5"/>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BE4F34"/>
    <w:rsid w:val="00C10681"/>
    <w:rsid w:val="00C3049A"/>
    <w:rsid w:val="00C31B1E"/>
    <w:rsid w:val="00C65494"/>
    <w:rsid w:val="00C77645"/>
    <w:rsid w:val="00CE04C3"/>
    <w:rsid w:val="00CE76A0"/>
    <w:rsid w:val="00D05F0E"/>
    <w:rsid w:val="00D148C6"/>
    <w:rsid w:val="00D17A8A"/>
    <w:rsid w:val="00D415BA"/>
    <w:rsid w:val="00D644EE"/>
    <w:rsid w:val="00DD06FF"/>
    <w:rsid w:val="00DD5FE9"/>
    <w:rsid w:val="00E00C7A"/>
    <w:rsid w:val="00E36BCB"/>
    <w:rsid w:val="00E37D6C"/>
    <w:rsid w:val="00E55B68"/>
    <w:rsid w:val="00E67BE6"/>
    <w:rsid w:val="00E8683C"/>
    <w:rsid w:val="00EA2B72"/>
    <w:rsid w:val="00F74360"/>
    <w:rsid w:val="00FB462F"/>
    <w:rsid w:val="00FE16FA"/>
    <w:rsid w:val="00FE328A"/>
    <w:rsid w:val="00FE6269"/>
    <w:rsid w:val="012B1E78"/>
    <w:rsid w:val="037B20D0"/>
    <w:rsid w:val="08D04F6E"/>
    <w:rsid w:val="0B3F759F"/>
    <w:rsid w:val="0B5D5677"/>
    <w:rsid w:val="0D700DD5"/>
    <w:rsid w:val="0DBD4C47"/>
    <w:rsid w:val="0FC9617A"/>
    <w:rsid w:val="10CF600A"/>
    <w:rsid w:val="110F60B6"/>
    <w:rsid w:val="12D8429A"/>
    <w:rsid w:val="158A1842"/>
    <w:rsid w:val="193E0D29"/>
    <w:rsid w:val="1C746E00"/>
    <w:rsid w:val="1CB0790B"/>
    <w:rsid w:val="1D9A79F1"/>
    <w:rsid w:val="1DFC2C9B"/>
    <w:rsid w:val="1F481679"/>
    <w:rsid w:val="278948A1"/>
    <w:rsid w:val="2A042004"/>
    <w:rsid w:val="2C8C48AB"/>
    <w:rsid w:val="2DF72B85"/>
    <w:rsid w:val="2EFA6A5F"/>
    <w:rsid w:val="2FBC44BC"/>
    <w:rsid w:val="2FCC6F83"/>
    <w:rsid w:val="317B4F5A"/>
    <w:rsid w:val="32EF1E26"/>
    <w:rsid w:val="341D105B"/>
    <w:rsid w:val="344256EB"/>
    <w:rsid w:val="37563BA7"/>
    <w:rsid w:val="378120D8"/>
    <w:rsid w:val="38A83233"/>
    <w:rsid w:val="38ED2B19"/>
    <w:rsid w:val="39E14ABF"/>
    <w:rsid w:val="3BE221BF"/>
    <w:rsid w:val="3C975912"/>
    <w:rsid w:val="3D427986"/>
    <w:rsid w:val="3E0F4A33"/>
    <w:rsid w:val="3E4A5D74"/>
    <w:rsid w:val="43D8207F"/>
    <w:rsid w:val="4532602A"/>
    <w:rsid w:val="46772126"/>
    <w:rsid w:val="46E041AB"/>
    <w:rsid w:val="4A4E3FE9"/>
    <w:rsid w:val="4AB63E1D"/>
    <w:rsid w:val="4BD35482"/>
    <w:rsid w:val="4BFC7EA4"/>
    <w:rsid w:val="4EE23145"/>
    <w:rsid w:val="514C1563"/>
    <w:rsid w:val="52715010"/>
    <w:rsid w:val="570878C1"/>
    <w:rsid w:val="57A12E3A"/>
    <w:rsid w:val="595806E0"/>
    <w:rsid w:val="59D46B9D"/>
    <w:rsid w:val="5F537AE7"/>
    <w:rsid w:val="611C7ECC"/>
    <w:rsid w:val="626F496E"/>
    <w:rsid w:val="63F67BC0"/>
    <w:rsid w:val="64AD31C2"/>
    <w:rsid w:val="664C7716"/>
    <w:rsid w:val="66D6412A"/>
    <w:rsid w:val="67382D22"/>
    <w:rsid w:val="69176606"/>
    <w:rsid w:val="694C0422"/>
    <w:rsid w:val="6B475835"/>
    <w:rsid w:val="70E3751D"/>
    <w:rsid w:val="71EE0BAD"/>
    <w:rsid w:val="72653C9C"/>
    <w:rsid w:val="73F532CB"/>
    <w:rsid w:val="74EC726C"/>
    <w:rsid w:val="751910D7"/>
    <w:rsid w:val="75C7626F"/>
    <w:rsid w:val="768937C5"/>
    <w:rsid w:val="78151279"/>
    <w:rsid w:val="7831265E"/>
    <w:rsid w:val="7A650B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5975</Words>
  <Characters>8247</Characters>
  <Lines>71</Lines>
  <Paragraphs>20</Paragraphs>
  <TotalTime>15</TotalTime>
  <ScaleCrop>false</ScaleCrop>
  <LinksUpToDate>false</LinksUpToDate>
  <CharactersWithSpaces>9152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媛</cp:lastModifiedBy>
  <cp:lastPrinted>2022-08-20T02:40:00Z</cp:lastPrinted>
  <dcterms:modified xsi:type="dcterms:W3CDTF">2022-08-20T14:00:23Z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C3A81E8F02CF45838311D9CFD26B462B</vt:lpwstr>
  </property>
</Properties>
</file>