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hint="eastAsia" w:eastAsia="方正小标宋简体"/>
          <w:bCs/>
          <w:sz w:val="46"/>
          <w:szCs w:val="46"/>
          <w:lang w:eastAsia="zh-CN"/>
        </w:rPr>
      </w:pPr>
      <w:r>
        <w:rPr>
          <w:rFonts w:hint="eastAsia" w:eastAsia="方正小标宋简体"/>
          <w:bCs/>
          <w:sz w:val="46"/>
          <w:szCs w:val="46"/>
          <w:lang w:eastAsia="zh-CN"/>
        </w:rPr>
        <w:t>岳阳文化艺术会展中心</w:t>
      </w:r>
    </w:p>
    <w:p>
      <w:pPr>
        <w:spacing w:line="800" w:lineRule="exact"/>
        <w:jc w:val="center"/>
        <w:rPr>
          <w:rFonts w:eastAsia="方正小标宋简体"/>
          <w:bCs/>
          <w:sz w:val="46"/>
          <w:szCs w:val="46"/>
        </w:rPr>
      </w:pPr>
      <w:r>
        <w:rPr>
          <w:rFonts w:hint="eastAsia"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岳阳文化艺术会展中心</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501007</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 xml:space="preserve">5 </w:t>
      </w:r>
      <w:r>
        <w:rPr>
          <w:rFonts w:hint="eastAsia" w:eastAsia="仿宋_GB2312"/>
          <w:sz w:val="32"/>
        </w:rPr>
        <w:t xml:space="preserve">月 </w:t>
      </w:r>
      <w:r>
        <w:rPr>
          <w:rFonts w:hint="eastAsia" w:eastAsia="仿宋_GB2312"/>
          <w:sz w:val="32"/>
          <w:lang w:val="en-US" w:eastAsia="zh-CN"/>
        </w:rPr>
        <w:t>30</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182"/>
        <w:gridCol w:w="31"/>
        <w:gridCol w:w="1126"/>
        <w:gridCol w:w="210"/>
        <w:gridCol w:w="1145"/>
        <w:gridCol w:w="272"/>
        <w:gridCol w:w="808"/>
        <w:gridCol w:w="1479"/>
        <w:gridCol w:w="226"/>
        <w:gridCol w:w="1093"/>
        <w:gridCol w:w="707"/>
        <w:gridCol w:w="139"/>
        <w:gridCol w:w="39"/>
        <w:gridCol w:w="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严妍</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8582323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2"/>
            <w:vAlign w:val="center"/>
          </w:tcPr>
          <w:p>
            <w:pPr>
              <w:keepNext w:val="0"/>
              <w:keepLines w:val="0"/>
              <w:pageBreakBefore w:val="0"/>
              <w:widowControl/>
              <w:kinsoku/>
              <w:wordWrap/>
              <w:overflowPunct/>
              <w:topLinePunct w:val="0"/>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中心主要承担着高雅艺术演出、进行中外文化交流、举行重要会议、培育文化艺术消费市场等社会公益职能。</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任务1：确保中心各项设施、设备安全正常运行。</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任务2：确保中心举办的各类活动安全、有序开展。</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任务3：全年举办高水准“高雅艺术惠民演出”</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场以上。</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任务4：细致周密做好全市各项重大会议接待服务工作。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：进一步完善设施设备，完成中心电子监控系统升级改造。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1、20</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年我中心圆满完成各类会议、演出、展览等活动总计</w:t>
            </w:r>
            <w:r>
              <w:rPr>
                <w:rFonts w:hint="eastAsia" w:ascii="仿宋_GB2312" w:hAnsi="仿宋_GB2312" w:eastAsia="仿宋_GB2312" w:cs="仿宋_GB2312"/>
                <w:color w:val="000000"/>
                <w:sz w:val="24"/>
                <w:lang w:val="en-US" w:eastAsia="zh-CN"/>
              </w:rPr>
              <w:t>700余</w:t>
            </w:r>
            <w:r>
              <w:rPr>
                <w:rFonts w:hint="eastAsia" w:ascii="仿宋_GB2312" w:hAnsi="仿宋_GB2312" w:eastAsia="仿宋_GB2312" w:cs="仿宋_GB2312"/>
                <w:color w:val="000000"/>
                <w:sz w:val="24"/>
              </w:rPr>
              <w:t>场次。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2、全年各类活动有序开展，设备、设施安全正常运行，无安全事故发生。</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3、全年举办高水准“高雅艺术惠民演出”</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场，提升了城市文化品味，丰富了市民精神文化生活。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4、20</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年中心共完成非税收入</w:t>
            </w:r>
            <w:r>
              <w:rPr>
                <w:rFonts w:hint="eastAsia" w:ascii="仿宋_GB2312" w:hAnsi="仿宋_GB2312" w:eastAsia="仿宋_GB2312" w:cs="仿宋_GB2312"/>
                <w:color w:val="000000"/>
                <w:sz w:val="24"/>
                <w:lang w:val="en-US" w:eastAsia="zh-CN"/>
              </w:rPr>
              <w:t>243</w:t>
            </w:r>
            <w:r>
              <w:rPr>
                <w:rFonts w:hint="eastAsia" w:ascii="仿宋_GB2312" w:hAnsi="仿宋_GB2312" w:eastAsia="仿宋_GB2312" w:cs="仿宋_GB2312"/>
                <w:color w:val="000000"/>
                <w:sz w:val="24"/>
              </w:rPr>
              <w:t>万元。</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5、全面完成了会议室升级改造工程，并已投入使用。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6、完成了中心电子监控系统升级改造，确保安全，全方位监控。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23"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795.43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795.43</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33" w:type="dxa"/>
            <w:gridSpan w:val="7"/>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8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85"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93"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8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0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93"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795.43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586.72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256.99</w:t>
            </w:r>
          </w:p>
        </w:tc>
        <w:tc>
          <w:tcPr>
            <w:tcW w:w="170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329.73</w:t>
            </w:r>
          </w:p>
        </w:tc>
        <w:tc>
          <w:tcPr>
            <w:tcW w:w="1093"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208.71</w:t>
            </w:r>
          </w:p>
        </w:tc>
        <w:tc>
          <w:tcPr>
            <w:tcW w:w="88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90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1"/>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88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57"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Merge w:val="continue"/>
            <w:vAlign w:val="center"/>
          </w:tcPr>
          <w:p>
            <w:pPr>
              <w:spacing w:line="320" w:lineRule="exact"/>
              <w:jc w:val="center"/>
              <w:rPr>
                <w:rFonts w:ascii="仿宋_GB2312" w:hAnsi="仿宋_GB2312" w:eastAsia="仿宋_GB2312" w:cs="仿宋_GB2312"/>
                <w:sz w:val="24"/>
              </w:rPr>
            </w:pPr>
          </w:p>
        </w:tc>
        <w:tc>
          <w:tcPr>
            <w:tcW w:w="115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5"/>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3" w:type="dxa"/>
            <w:gridSpan w:val="2"/>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岳阳文化艺术会展中心</w:t>
            </w:r>
          </w:p>
        </w:tc>
        <w:tc>
          <w:tcPr>
            <w:tcW w:w="1157"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969.93</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969.93</w:t>
            </w:r>
          </w:p>
        </w:tc>
        <w:tc>
          <w:tcPr>
            <w:tcW w:w="36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lang w:val="en-US" w:eastAsia="zh-CN"/>
              </w:rPr>
              <w:t>坚守阵地，打好行业疫情防控战役。</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目标2：巩固成果，完善公共文化服务体系。</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目标3：抓牢契机，推进文化旅游改革发展。</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目标4：突出重点，抓好岳阳文旅对外营销。</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目标5：推进保护，激发文化旅游发展动力。</w:t>
            </w:r>
          </w:p>
        </w:tc>
        <w:tc>
          <w:tcPr>
            <w:tcW w:w="4585"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ascii="仿宋_GB2312" w:hAnsi="仿宋_GB2312" w:eastAsia="仿宋_GB2312" w:cs="仿宋_GB2312"/>
                <w:color w:val="000000"/>
                <w:sz w:val="24"/>
                <w:lang w:val="en-US" w:eastAsia="zh-CN"/>
              </w:rPr>
              <w:t>目标1：</w:t>
            </w:r>
            <w:r>
              <w:rPr>
                <w:rFonts w:hint="eastAsia" w:ascii="仿宋_GB2312" w:hAnsi="仿宋_GB2312" w:eastAsia="仿宋_GB2312" w:cs="仿宋_GB2312"/>
                <w:color w:val="000000"/>
                <w:sz w:val="24"/>
                <w:lang w:val="en-US" w:eastAsia="zh-CN"/>
              </w:rPr>
              <w:t>中心员工总动员，坚决切断新冠病毒在中心的传播。切实做好各场会议，演出的消杀服务。</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目标2：岳阳文化艺术会展中心是我市的文化地标，确保各项会议、演出的顺利进行。</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目标3：按照中央和省委关于深化文化市场等领域综合执法改革部署,理顺文化市场综合执法体制，提高市场监管效率。推进事企改革。</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目标4：联合各大媒体广告公司，加大高雅艺术演出宣传力度，扩大影响范围，</w:t>
            </w:r>
            <w:r>
              <w:rPr>
                <w:rFonts w:hint="eastAsia" w:eastAsia="仿宋_GB2312"/>
                <w:sz w:val="24"/>
              </w:rPr>
              <w:t>让更多市民能够看得起高雅艺术演出。打造岳阳文化艺术会展中心高雅艺术演出品牌，不断提高观众素养，为广大岳阳市民提供高雅艺术演出学习、欣赏平台，提升城市品位</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606"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高雅艺术演出顺利举行</w:t>
            </w:r>
          </w:p>
        </w:tc>
        <w:tc>
          <w:tcPr>
            <w:tcW w:w="1787"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 w:hAnsi="仿宋" w:eastAsia="仿宋" w:cs="仿宋"/>
                <w:i w:val="0"/>
                <w:iCs w:val="0"/>
                <w:caps w:val="0"/>
                <w:color w:val="000000"/>
                <w:spacing w:val="0"/>
                <w:sz w:val="24"/>
                <w:szCs w:val="24"/>
                <w:shd w:val="clear" w:fill="FFFFFF"/>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606"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8场高雅艺术演出</w:t>
            </w:r>
          </w:p>
        </w:tc>
        <w:tc>
          <w:tcPr>
            <w:tcW w:w="1787" w:type="dxa"/>
            <w:gridSpan w:val="4"/>
            <w:vAlign w:val="center"/>
          </w:tcPr>
          <w:p>
            <w:pPr>
              <w:autoSpaceDN w:val="0"/>
              <w:spacing w:line="320" w:lineRule="exact"/>
              <w:jc w:val="center"/>
              <w:textAlignment w:val="center"/>
              <w:rPr>
                <w:rFonts w:hint="default" w:ascii="仿宋_GB2312" w:hAnsi="仿宋_GB2312" w:eastAsia="仿宋" w:cs="仿宋_GB2312"/>
                <w:b/>
                <w:color w:val="000000"/>
                <w:sz w:val="24"/>
                <w:lang w:val="en-US" w:eastAsia="zh-CN"/>
              </w:rPr>
            </w:pPr>
            <w:r>
              <w:rPr>
                <w:rFonts w:ascii="仿宋" w:hAnsi="仿宋" w:eastAsia="仿宋" w:cs="仿宋"/>
                <w:i w:val="0"/>
                <w:iCs w:val="0"/>
                <w:caps w:val="0"/>
                <w:color w:val="000000"/>
                <w:spacing w:val="0"/>
                <w:sz w:val="24"/>
                <w:szCs w:val="24"/>
                <w:shd w:val="clear" w:fill="FFFFFF"/>
              </w:rPr>
              <w:t>完成</w:t>
            </w:r>
            <w:r>
              <w:rPr>
                <w:rFonts w:hint="eastAsia" w:ascii="仿宋" w:hAnsi="仿宋" w:eastAsia="仿宋" w:cs="仿宋"/>
                <w:i w:val="0"/>
                <w:iCs w:val="0"/>
                <w:caps w:val="0"/>
                <w:color w:val="000000"/>
                <w:spacing w:val="0"/>
                <w:sz w:val="24"/>
                <w:szCs w:val="24"/>
                <w:shd w:val="clear" w:fill="FFFFFF"/>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606"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2021年全年度</w:t>
            </w:r>
          </w:p>
        </w:tc>
        <w:tc>
          <w:tcPr>
            <w:tcW w:w="1787" w:type="dxa"/>
            <w:gridSpan w:val="4"/>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2021年全年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606"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演出支出</w:t>
            </w:r>
            <w:r>
              <w:rPr>
                <w:rFonts w:hint="eastAsia" w:ascii="仿宋_GB2312" w:hAnsi="仿宋_GB2312" w:eastAsia="仿宋_GB2312" w:cs="仿宋_GB2312"/>
                <w:color w:val="000000"/>
                <w:sz w:val="24"/>
                <w:lang w:val="en-US" w:eastAsia="zh-CN"/>
              </w:rPr>
              <w:t>180万</w:t>
            </w:r>
          </w:p>
        </w:tc>
        <w:tc>
          <w:tcPr>
            <w:tcW w:w="1787" w:type="dxa"/>
            <w:gridSpan w:val="4"/>
            <w:vAlign w:val="center"/>
          </w:tcPr>
          <w:p>
            <w:pPr>
              <w:autoSpaceDN w:val="0"/>
              <w:spacing w:line="320" w:lineRule="exact"/>
              <w:jc w:val="both"/>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全年演出项目开支小于</w:t>
            </w:r>
            <w:r>
              <w:rPr>
                <w:rFonts w:hint="eastAsia" w:ascii="仿宋_GB2312" w:hAnsi="仿宋_GB2312" w:eastAsia="仿宋_GB2312" w:cs="仿宋_GB2312"/>
                <w:b w:val="0"/>
                <w:bCs/>
                <w:color w:val="000000"/>
                <w:sz w:val="24"/>
                <w:lang w:val="en-US" w:eastAsia="zh-CN"/>
              </w:rPr>
              <w:t>180万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文化惠民</w:t>
            </w:r>
          </w:p>
        </w:tc>
        <w:tc>
          <w:tcPr>
            <w:tcW w:w="1787" w:type="dxa"/>
            <w:gridSpan w:val="4"/>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演出上座率</w:t>
            </w:r>
            <w:r>
              <w:rPr>
                <w:rFonts w:hint="eastAsia" w:ascii="仿宋_GB2312" w:hAnsi="仿宋_GB2312" w:eastAsia="仿宋_GB2312" w:cs="仿宋_GB2312"/>
                <w:b w:val="0"/>
                <w:bCs/>
                <w:color w:val="000000"/>
                <w:sz w:val="24"/>
                <w:lang w:val="en-US" w:eastAsia="zh-CN"/>
              </w:rPr>
              <w:t>75%左右，让高雅 艺术惠及广大市民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降低票价（最低票价）</w:t>
            </w:r>
          </w:p>
        </w:tc>
        <w:tc>
          <w:tcPr>
            <w:tcW w:w="1787" w:type="dxa"/>
            <w:gridSpan w:val="4"/>
            <w:vAlign w:val="center"/>
          </w:tcPr>
          <w:p>
            <w:pPr>
              <w:autoSpaceDN w:val="0"/>
              <w:spacing w:line="320" w:lineRule="exact"/>
              <w:jc w:val="both"/>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最低票价</w:t>
            </w:r>
            <w:r>
              <w:rPr>
                <w:rFonts w:hint="eastAsia" w:ascii="仿宋_GB2312" w:hAnsi="仿宋_GB2312" w:eastAsia="仿宋_GB2312" w:cs="仿宋_GB2312"/>
                <w:b w:val="0"/>
                <w:bCs/>
                <w:color w:val="000000"/>
                <w:sz w:val="24"/>
                <w:lang w:val="en-US" w:eastAsia="zh-CN"/>
              </w:rPr>
              <w:t>30元起，让群众看得起戏，最大限度发挥社会效益。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服务对象满意度指标</w:t>
            </w:r>
          </w:p>
        </w:tc>
        <w:tc>
          <w:tcPr>
            <w:tcW w:w="3606"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观众、市民满意度</w:t>
            </w:r>
          </w:p>
        </w:tc>
        <w:tc>
          <w:tcPr>
            <w:tcW w:w="1787" w:type="dxa"/>
            <w:gridSpan w:val="4"/>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eastAsia="zh-CN"/>
              </w:rPr>
              <w:t>观众满意度力争</w:t>
            </w:r>
            <w:r>
              <w:rPr>
                <w:rFonts w:hint="eastAsia" w:ascii="仿宋_GB2312" w:hAnsi="仿宋_GB2312" w:eastAsia="仿宋_GB2312" w:cs="仿宋_GB2312"/>
                <w:b w:val="0"/>
                <w:bCs/>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何捷</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岳阳文化艺术会展中心</w:t>
            </w: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5"/>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岳阳文化艺术会展中心是市委、市政府投资兴建的文化惠民工程，于2008年9月底投入运行，是集演出、会议、展览于一体的多功能场馆，占地面积135亩，建筑面积43000平方米。一层设有1176个软席座的大剧场和439个软席座的小剧场，以及电视电话会议室、贵宾厅。二楼有新闻发布厅、党委视频会议室和政府常务会议室。三楼的岳阳市规划展览馆和岳阳市美术馆免费对外开放。中心是市文广新局下属正科级差额拨款的准公益性事业单位，正式职工</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人，临聘人员2</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人。作为我市的标志性文化基础设施，承担着引进高雅艺术，进行中外文化交流，举行重要会议，培育文化艺术消费市场等社会公益职能。</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本年支出总额为</w:t>
            </w:r>
            <w:r>
              <w:rPr>
                <w:rFonts w:hint="eastAsia" w:ascii="仿宋_GB2312" w:hAnsi="仿宋_GB2312" w:eastAsia="仿宋_GB2312" w:cs="仿宋_GB2312"/>
                <w:bCs/>
                <w:sz w:val="28"/>
                <w:szCs w:val="28"/>
                <w:lang w:val="en-US" w:eastAsia="zh-CN"/>
              </w:rPr>
              <w:t>795.43</w:t>
            </w:r>
            <w:r>
              <w:rPr>
                <w:rFonts w:hint="eastAsia" w:ascii="仿宋_GB2312" w:hAnsi="仿宋_GB2312" w:eastAsia="仿宋_GB2312" w:cs="仿宋_GB2312"/>
                <w:bCs/>
                <w:sz w:val="28"/>
                <w:szCs w:val="28"/>
              </w:rPr>
              <w:t>万元①基本支出</w:t>
            </w:r>
            <w:r>
              <w:rPr>
                <w:rFonts w:hint="eastAsia" w:ascii="仿宋_GB2312" w:hAnsi="仿宋_GB2312" w:eastAsia="仿宋_GB2312" w:cs="仿宋_GB2312"/>
                <w:bCs/>
                <w:sz w:val="28"/>
                <w:szCs w:val="28"/>
                <w:lang w:val="en-US" w:eastAsia="zh-CN"/>
              </w:rPr>
              <w:t>586.72</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256.99</w:t>
            </w:r>
            <w:r>
              <w:rPr>
                <w:rFonts w:hint="eastAsia" w:ascii="仿宋_GB2312" w:hAnsi="仿宋_GB2312" w:eastAsia="仿宋_GB2312" w:cs="仿宋_GB2312"/>
                <w:bCs/>
                <w:sz w:val="28"/>
                <w:szCs w:val="28"/>
              </w:rPr>
              <w:t>万元（包括人员工资、社会保障金等），公用支出</w:t>
            </w:r>
            <w:r>
              <w:rPr>
                <w:rFonts w:hint="eastAsia" w:ascii="仿宋_GB2312" w:hAnsi="仿宋_GB2312" w:eastAsia="仿宋_GB2312" w:cs="仿宋_GB2312"/>
                <w:bCs/>
                <w:sz w:val="28"/>
                <w:szCs w:val="28"/>
                <w:lang w:val="en-US" w:eastAsia="zh-CN"/>
              </w:rPr>
              <w:t>329.73</w:t>
            </w:r>
            <w:r>
              <w:rPr>
                <w:rFonts w:hint="eastAsia" w:ascii="仿宋_GB2312" w:hAnsi="仿宋_GB2312" w:eastAsia="仿宋_GB2312" w:cs="仿宋_GB2312"/>
                <w:bCs/>
                <w:sz w:val="28"/>
                <w:szCs w:val="28"/>
              </w:rPr>
              <w:t>万元，②项目支出</w:t>
            </w:r>
            <w:r>
              <w:rPr>
                <w:rFonts w:hint="eastAsia" w:ascii="仿宋_GB2312" w:hAnsi="仿宋_GB2312" w:eastAsia="仿宋_GB2312" w:cs="仿宋_GB2312"/>
                <w:bCs/>
                <w:sz w:val="28"/>
                <w:szCs w:val="28"/>
                <w:lang w:val="en-US" w:eastAsia="zh-CN"/>
              </w:rPr>
              <w:t>208.71</w:t>
            </w:r>
            <w:r>
              <w:rPr>
                <w:rFonts w:hint="eastAsia" w:ascii="仿宋_GB2312" w:hAnsi="仿宋_GB2312" w:eastAsia="仿宋_GB2312" w:cs="仿宋_GB2312"/>
                <w:bCs/>
                <w:sz w:val="28"/>
                <w:szCs w:val="28"/>
              </w:rPr>
              <w:t>万元,其中高雅艺术演出</w:t>
            </w:r>
            <w:r>
              <w:rPr>
                <w:rFonts w:hint="eastAsia" w:ascii="仿宋_GB2312" w:hAnsi="仿宋_GB2312" w:eastAsia="仿宋_GB2312" w:cs="仿宋_GB2312"/>
                <w:bCs/>
                <w:sz w:val="28"/>
                <w:szCs w:val="28"/>
                <w:lang w:val="en-US" w:eastAsia="zh-CN"/>
              </w:rPr>
              <w:t>140.95</w:t>
            </w:r>
            <w:r>
              <w:rPr>
                <w:rFonts w:hint="eastAsia" w:ascii="仿宋_GB2312" w:hAnsi="仿宋_GB2312" w:eastAsia="仿宋_GB2312" w:cs="仿宋_GB2312"/>
                <w:bCs/>
                <w:sz w:val="28"/>
                <w:szCs w:val="28"/>
              </w:rPr>
              <w:t>万</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用于专项支出67.76万</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hint="eastAsia" w:ascii="仿宋_GB2312" w:hAnsi="仿宋_GB2312" w:eastAsia="仿宋_GB2312" w:cs="仿宋_GB2312"/>
                <w:bCs/>
                <w:sz w:val="28"/>
                <w:szCs w:val="28"/>
                <w:lang w:val="en-US" w:eastAsia="zh-CN"/>
              </w:rPr>
              <w:t>586.72</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256.99</w:t>
            </w:r>
            <w:r>
              <w:rPr>
                <w:rFonts w:hint="eastAsia" w:ascii="仿宋_GB2312" w:hAnsi="仿宋_GB2312" w:eastAsia="仿宋_GB2312" w:cs="仿宋_GB2312"/>
                <w:bCs/>
                <w:sz w:val="28"/>
                <w:szCs w:val="28"/>
              </w:rPr>
              <w:t>万元（包括人员工资、社会保障金等），公用支出</w:t>
            </w:r>
            <w:r>
              <w:rPr>
                <w:rFonts w:hint="eastAsia" w:ascii="仿宋_GB2312" w:hAnsi="仿宋_GB2312" w:eastAsia="仿宋_GB2312" w:cs="仿宋_GB2312"/>
                <w:bCs/>
                <w:sz w:val="28"/>
                <w:szCs w:val="28"/>
                <w:lang w:val="en-US" w:eastAsia="zh-CN"/>
              </w:rPr>
              <w:t>329.73</w:t>
            </w:r>
            <w:r>
              <w:rPr>
                <w:rFonts w:hint="eastAsia" w:ascii="仿宋_GB2312" w:hAnsi="仿宋_GB2312" w:eastAsia="仿宋_GB2312" w:cs="仿宋_GB2312"/>
                <w:bCs/>
                <w:sz w:val="28"/>
                <w:szCs w:val="28"/>
              </w:rPr>
              <w:t>万元，其中：物业管理费</w:t>
            </w:r>
            <w:r>
              <w:rPr>
                <w:rFonts w:hint="eastAsia" w:ascii="仿宋_GB2312" w:hAnsi="仿宋_GB2312" w:eastAsia="仿宋_GB2312" w:cs="仿宋_GB2312"/>
                <w:bCs/>
                <w:sz w:val="28"/>
                <w:szCs w:val="28"/>
                <w:lang w:val="en-US" w:eastAsia="zh-CN"/>
              </w:rPr>
              <w:t>77.5</w:t>
            </w:r>
            <w:r>
              <w:rPr>
                <w:rFonts w:hint="eastAsia" w:ascii="仿宋_GB2312" w:hAnsi="仿宋_GB2312" w:eastAsia="仿宋_GB2312" w:cs="仿宋_GB2312"/>
                <w:bCs/>
                <w:sz w:val="28"/>
                <w:szCs w:val="28"/>
              </w:rPr>
              <w:t>万、电费</w:t>
            </w:r>
            <w:r>
              <w:rPr>
                <w:rFonts w:hint="eastAsia" w:ascii="仿宋_GB2312" w:hAnsi="仿宋_GB2312" w:eastAsia="仿宋_GB2312" w:cs="仿宋_GB2312"/>
                <w:bCs/>
                <w:sz w:val="28"/>
                <w:szCs w:val="28"/>
                <w:lang w:val="en-US" w:eastAsia="zh-CN"/>
              </w:rPr>
              <w:t>52</w:t>
            </w:r>
            <w:r>
              <w:rPr>
                <w:rFonts w:hint="eastAsia" w:ascii="仿宋_GB2312" w:hAnsi="仿宋_GB2312" w:eastAsia="仿宋_GB2312" w:cs="仿宋_GB2312"/>
                <w:bCs/>
                <w:sz w:val="28"/>
                <w:szCs w:val="28"/>
              </w:rPr>
              <w:t>万、水费</w:t>
            </w:r>
            <w:r>
              <w:rPr>
                <w:rFonts w:hint="eastAsia" w:ascii="仿宋_GB2312" w:hAnsi="仿宋_GB2312" w:eastAsia="仿宋_GB2312" w:cs="仿宋_GB2312"/>
                <w:bCs/>
                <w:sz w:val="28"/>
                <w:szCs w:val="28"/>
                <w:lang w:val="en-US" w:eastAsia="zh-CN"/>
              </w:rPr>
              <w:t>12.9</w:t>
            </w:r>
            <w:r>
              <w:rPr>
                <w:rFonts w:hint="eastAsia" w:ascii="仿宋_GB2312" w:hAnsi="仿宋_GB2312" w:eastAsia="仿宋_GB2312" w:cs="仿宋_GB2312"/>
                <w:bCs/>
                <w:sz w:val="28"/>
                <w:szCs w:val="28"/>
              </w:rPr>
              <w:t>万、天然气费</w:t>
            </w:r>
            <w:r>
              <w:rPr>
                <w:rFonts w:hint="eastAsia" w:ascii="仿宋_GB2312" w:hAnsi="仿宋_GB2312" w:eastAsia="仿宋_GB2312" w:cs="仿宋_GB2312"/>
                <w:bCs/>
                <w:sz w:val="28"/>
                <w:szCs w:val="28"/>
                <w:lang w:val="en-US" w:eastAsia="zh-CN"/>
              </w:rPr>
              <w:t>28</w:t>
            </w:r>
            <w:r>
              <w:rPr>
                <w:rFonts w:hint="eastAsia" w:ascii="仿宋_GB2312" w:hAnsi="仿宋_GB2312" w:eastAsia="仿宋_GB2312" w:cs="仿宋_GB2312"/>
                <w:bCs/>
                <w:sz w:val="28"/>
                <w:szCs w:val="28"/>
              </w:rPr>
              <w:t>万、维修费</w:t>
            </w:r>
            <w:r>
              <w:rPr>
                <w:rFonts w:hint="eastAsia" w:ascii="仿宋_GB2312" w:hAnsi="仿宋_GB2312" w:eastAsia="仿宋_GB2312" w:cs="仿宋_GB2312"/>
                <w:bCs/>
                <w:sz w:val="28"/>
                <w:szCs w:val="28"/>
                <w:lang w:val="en-US" w:eastAsia="zh-CN"/>
              </w:rPr>
              <w:t>93</w:t>
            </w:r>
            <w:r>
              <w:rPr>
                <w:rFonts w:hint="eastAsia" w:ascii="仿宋_GB2312" w:hAnsi="仿宋_GB2312" w:eastAsia="仿宋_GB2312" w:cs="仿宋_GB2312"/>
                <w:bCs/>
                <w:sz w:val="28"/>
                <w:szCs w:val="28"/>
              </w:rPr>
              <w:t>万、公用经费</w:t>
            </w:r>
            <w:r>
              <w:rPr>
                <w:rFonts w:hint="eastAsia" w:ascii="仿宋_GB2312" w:hAnsi="仿宋_GB2312" w:eastAsia="仿宋_GB2312" w:cs="仿宋_GB2312"/>
                <w:bCs/>
                <w:sz w:val="28"/>
                <w:szCs w:val="28"/>
                <w:lang w:val="en-US" w:eastAsia="zh-CN"/>
              </w:rPr>
              <w:t>66.33</w:t>
            </w:r>
            <w:r>
              <w:rPr>
                <w:rFonts w:hint="eastAsia" w:ascii="仿宋_GB2312" w:hAnsi="仿宋_GB2312" w:eastAsia="仿宋_GB2312" w:cs="仿宋_GB2312"/>
                <w:bCs/>
                <w:sz w:val="28"/>
                <w:szCs w:val="28"/>
              </w:rPr>
              <w:t>万元（包括宣传费、办公费、税金、工会经费及其他费用等）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年专项资金使用</w:t>
            </w:r>
            <w:r>
              <w:rPr>
                <w:rFonts w:hint="eastAsia" w:ascii="仿宋_GB2312" w:hAnsi="仿宋_GB2312" w:eastAsia="仿宋_GB2312" w:cs="仿宋_GB2312"/>
                <w:bCs/>
                <w:sz w:val="28"/>
                <w:szCs w:val="28"/>
                <w:lang w:val="en-US" w:eastAsia="zh-CN"/>
              </w:rPr>
              <w:t>208.71</w:t>
            </w:r>
            <w:r>
              <w:rPr>
                <w:rFonts w:hint="eastAsia" w:ascii="仿宋_GB2312" w:hAnsi="仿宋_GB2312" w:eastAsia="仿宋_GB2312" w:cs="仿宋_GB2312"/>
                <w:bCs/>
                <w:sz w:val="28"/>
                <w:szCs w:val="28"/>
              </w:rPr>
              <w:t>万元。其中：用于“高雅艺术惠民演出”</w:t>
            </w:r>
            <w:r>
              <w:rPr>
                <w:rFonts w:hint="eastAsia" w:ascii="仿宋_GB2312" w:hAnsi="仿宋_GB2312" w:eastAsia="仿宋_GB2312" w:cs="仿宋_GB2312"/>
                <w:bCs/>
                <w:sz w:val="28"/>
                <w:szCs w:val="28"/>
                <w:lang w:val="en-US" w:eastAsia="zh-CN"/>
              </w:rPr>
              <w:t>140.95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.用于专项自筹67.76万.</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年所有专项费用使用合理、合规。</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四、存在的主要问题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中心运行近十年，各类活动举办日益频繁。各类设备、设施使用频率高、使用年限较长，设备故障频发。加之一些设备设施已经落后陈旧，满足不了中心工作开展的需要。</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五、改进措施和有关建议</w:t>
            </w:r>
          </w:p>
          <w:p>
            <w:pPr>
              <w:rPr>
                <w:rFonts w:hint="default" w:eastAsia="楷体_GB2312"/>
                <w:bCs/>
                <w:sz w:val="28"/>
                <w:szCs w:val="28"/>
                <w:lang w:val="en-US" w:eastAsia="zh-CN"/>
              </w:rPr>
            </w:pPr>
            <w:r>
              <w:rPr>
                <w:rFonts w:hint="eastAsia" w:ascii="仿宋_GB2312" w:hAnsi="仿宋_GB2312" w:eastAsia="仿宋_GB2312" w:cs="仿宋_GB2312"/>
                <w:bCs/>
                <w:sz w:val="28"/>
                <w:szCs w:val="28"/>
              </w:rPr>
              <w:t>建议增加经费预算，加大对设备、设施维修力度的投入，确保中心安全、高效运行。</w:t>
            </w: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t>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9"/>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9"/>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关于做好岳阳市加快推进湖南发展新增长极建设</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11</w:t>
            </w:r>
            <w:r>
              <w:rPr>
                <w:rFonts w:hint="eastAsia" w:ascii="仿宋_GB2312" w:hAnsi="宋体" w:eastAsia="仿宋_GB2312" w:cs="宋体"/>
                <w:kern w:val="0"/>
                <w:sz w:val="18"/>
                <w:szCs w:val="18"/>
              </w:rPr>
              <w:t>号）和《中共岳阳市委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年度综合绩效考评工作的补充通知》（岳发〔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19</w:t>
            </w:r>
            <w:r>
              <w:rPr>
                <w:rFonts w:hint="eastAsia" w:ascii="仿宋_GB2312" w:hAnsi="宋体" w:eastAsia="仿宋_GB2312" w:cs="宋体"/>
                <w:kern w:val="0"/>
                <w:sz w:val="18"/>
                <w:szCs w:val="18"/>
              </w:rPr>
              <w:t>号）附件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第一大项“工作实绩指标”（</w:t>
            </w:r>
            <w:r>
              <w:rPr>
                <w:rFonts w:ascii="仿宋_GB2312" w:hAnsi="宋体" w:eastAsia="仿宋_GB2312" w:cs="宋体"/>
                <w:kern w:val="0"/>
                <w:sz w:val="18"/>
                <w:szCs w:val="18"/>
              </w:rPr>
              <w:t>700</w:t>
            </w:r>
            <w:r>
              <w:rPr>
                <w:rFonts w:hint="eastAsia" w:ascii="仿宋_GB2312" w:hAnsi="宋体" w:eastAsia="仿宋_GB2312" w:cs="宋体"/>
                <w:kern w:val="0"/>
                <w:sz w:val="18"/>
                <w:szCs w:val="18"/>
              </w:rPr>
              <w:t>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pPr>
        <w:spacing w:beforeLines="50" w:line="560" w:lineRule="exact"/>
        <w:rPr>
          <w:rFonts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bookmarkStart w:id="0" w:name="_GoBack"/>
      <w:bookmarkEnd w:id="0"/>
    </w:p>
    <w:tbl>
      <w:tblPr>
        <w:tblStyle w:val="9"/>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pPr>
      <w:r>
        <w:rPr>
          <w:rFonts w:hint="eastAsia" w:ascii="仿宋_GB2312" w:eastAsia="仿宋_GB2312"/>
        </w:rPr>
        <w:t>善、量化、细化个性指标，形成本项目的指标体系。</w:t>
      </w:r>
    </w:p>
    <w:p>
      <w:pPr>
        <w:spacing w:beforeLines="100" w:afterLines="100"/>
        <w:jc w:val="both"/>
        <w:rPr>
          <w:rFonts w:ascii="方正小标宋简体" w:eastAsia="方正小标宋简体"/>
          <w:sz w:val="38"/>
          <w:szCs w:val="38"/>
        </w:rPr>
      </w:pPr>
    </w:p>
    <w:p>
      <w:pPr>
        <w:spacing w:beforeLines="50"/>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4"/>
        <w:szCs w:val="24"/>
      </w:rPr>
    </w:pPr>
    <w:r>
      <w:rPr>
        <w:rStyle w:val="11"/>
        <w:rFonts w:hint="eastAsia"/>
        <w:sz w:val="24"/>
        <w:szCs w:val="24"/>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9</w:t>
    </w:r>
    <w:r>
      <w:rPr>
        <w:sz w:val="24"/>
        <w:szCs w:val="24"/>
      </w:rPr>
      <w:fldChar w:fldCharType="end"/>
    </w:r>
    <w:r>
      <w:rPr>
        <w:rStyle w:val="11"/>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jlhMzFkNzA2NzFlYTlmN2JlZTQ2NGZjYTFjNzU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B563925"/>
    <w:rsid w:val="12180CF8"/>
    <w:rsid w:val="16430EDE"/>
    <w:rsid w:val="164C2853"/>
    <w:rsid w:val="165D083E"/>
    <w:rsid w:val="17D772F9"/>
    <w:rsid w:val="1A4E76E5"/>
    <w:rsid w:val="20956CE5"/>
    <w:rsid w:val="20973613"/>
    <w:rsid w:val="2C4E49D2"/>
    <w:rsid w:val="2DA41E1F"/>
    <w:rsid w:val="2EF973D2"/>
    <w:rsid w:val="332E607F"/>
    <w:rsid w:val="3430143E"/>
    <w:rsid w:val="3B5F6BED"/>
    <w:rsid w:val="3C9963B7"/>
    <w:rsid w:val="3DA34778"/>
    <w:rsid w:val="3EB64B92"/>
    <w:rsid w:val="401D31A6"/>
    <w:rsid w:val="43175BE4"/>
    <w:rsid w:val="48CF2B51"/>
    <w:rsid w:val="49230342"/>
    <w:rsid w:val="4A973C2A"/>
    <w:rsid w:val="4C7D166D"/>
    <w:rsid w:val="50DE0589"/>
    <w:rsid w:val="5B8370EF"/>
    <w:rsid w:val="5E8F290A"/>
    <w:rsid w:val="60EA2510"/>
    <w:rsid w:val="621E661F"/>
    <w:rsid w:val="62D2316B"/>
    <w:rsid w:val="648B1F86"/>
    <w:rsid w:val="64F03DF0"/>
    <w:rsid w:val="65555331"/>
    <w:rsid w:val="67A85C9C"/>
    <w:rsid w:val="6CEB6763"/>
    <w:rsid w:val="6DF021B8"/>
    <w:rsid w:val="6E3E2B40"/>
    <w:rsid w:val="70F8542E"/>
    <w:rsid w:val="730B72A4"/>
    <w:rsid w:val="733B55B4"/>
    <w:rsid w:val="74E415C4"/>
    <w:rsid w:val="75B5750B"/>
    <w:rsid w:val="78C7609A"/>
    <w:rsid w:val="7F72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28"/>
    </w:rPr>
  </w:style>
  <w:style w:type="paragraph" w:styleId="3">
    <w:name w:val="toc 5"/>
    <w:basedOn w:val="1"/>
    <w:next w:val="1"/>
    <w:qFormat/>
    <w:uiPriority w:val="0"/>
    <w:pPr>
      <w:ind w:left="1680" w:leftChars="800"/>
    </w:pPr>
  </w:style>
  <w:style w:type="paragraph" w:styleId="4">
    <w:name w:val="Body Text Indent 2"/>
    <w:basedOn w:val="1"/>
    <w:link w:val="16"/>
    <w:unhideWhenUsed/>
    <w:qFormat/>
    <w:uiPriority w:val="99"/>
    <w:pPr>
      <w:ind w:firstLine="588" w:firstLineChars="200"/>
    </w:pPr>
    <w:rPr>
      <w:rFonts w:ascii="仿宋_GB2312" w:hAnsi="Calibri" w:eastAsia="仿宋_GB2312"/>
      <w:sz w:val="32"/>
    </w:rPr>
  </w:style>
  <w:style w:type="paragraph" w:styleId="5">
    <w:name w:val="Balloon Text"/>
    <w:basedOn w:val="1"/>
    <w:link w:val="19"/>
    <w:semiHidden/>
    <w:qFormat/>
    <w:uiPriority w:val="0"/>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0"/>
    <w:rPr>
      <w:sz w:val="18"/>
      <w:szCs w:val="18"/>
    </w:rPr>
  </w:style>
  <w:style w:type="character" w:customStyle="1" w:styleId="14">
    <w:name w:val="标题 3 Char Char"/>
    <w:qFormat/>
    <w:uiPriority w:val="0"/>
    <w:rPr>
      <w:rFonts w:eastAsia="楷体_GB2312"/>
      <w:b/>
      <w:kern w:val="2"/>
      <w:sz w:val="32"/>
      <w:szCs w:val="24"/>
      <w:lang w:val="en-US" w:eastAsia="zh-CN" w:bidi="ar-SA"/>
    </w:rPr>
  </w:style>
  <w:style w:type="paragraph" w:customStyle="1" w:styleId="15">
    <w:name w:val="Char"/>
    <w:basedOn w:val="1"/>
    <w:qFormat/>
    <w:uiPriority w:val="0"/>
    <w:pPr>
      <w:autoSpaceDE w:val="0"/>
      <w:autoSpaceDN w:val="0"/>
      <w:adjustRightInd w:val="0"/>
    </w:pPr>
    <w:rPr>
      <w:rFonts w:ascii="宋体" w:cs="宋体"/>
      <w:kern w:val="0"/>
      <w:sz w:val="20"/>
      <w:szCs w:val="20"/>
      <w:lang w:val="zh-CN"/>
    </w:rPr>
  </w:style>
  <w:style w:type="character" w:customStyle="1" w:styleId="16">
    <w:name w:val="正文文本缩进 2 Char"/>
    <w:basedOn w:val="10"/>
    <w:link w:val="4"/>
    <w:qFormat/>
    <w:uiPriority w:val="99"/>
    <w:rPr>
      <w:rFonts w:ascii="仿宋_GB2312" w:hAnsi="Calibri" w:eastAsia="仿宋_GB2312" w:cs="Times New Roman"/>
      <w:sz w:val="32"/>
      <w:szCs w:val="24"/>
    </w:rPr>
  </w:style>
  <w:style w:type="paragraph" w:customStyle="1" w:styleId="17">
    <w:name w:val="Char1"/>
    <w:basedOn w:val="1"/>
    <w:qFormat/>
    <w:uiPriority w:val="0"/>
    <w:rPr>
      <w:rFonts w:ascii="仿宋_GB2312" w:eastAsia="仿宋_GB2312"/>
      <w:sz w:val="32"/>
    </w:rPr>
  </w:style>
  <w:style w:type="paragraph" w:customStyle="1" w:styleId="18">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9">
    <w:name w:val="批注框文本 Char"/>
    <w:basedOn w:val="10"/>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3918</Words>
  <Characters>4235</Characters>
  <Lines>78</Lines>
  <Paragraphs>21</Paragraphs>
  <TotalTime>2</TotalTime>
  <ScaleCrop>false</ScaleCrop>
  <LinksUpToDate>false</LinksUpToDate>
  <CharactersWithSpaces>4741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妍</cp:lastModifiedBy>
  <cp:lastPrinted>2022-05-26T02:23:00Z</cp:lastPrinted>
  <dcterms:modified xsi:type="dcterms:W3CDTF">2022-06-21T02:57:44Z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29F8F613D6924B10978759A9FF51D981</vt:lpwstr>
  </property>
</Properties>
</file>