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rPr>
        <w:t>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名称：岳阳市岳阳楼文物保护中心</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算编码：501013</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报告日期：2022年6月15日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018"/>
        <w:gridCol w:w="567"/>
        <w:gridCol w:w="425"/>
        <w:gridCol w:w="1694"/>
        <w:gridCol w:w="226"/>
        <w:gridCol w:w="348"/>
        <w:gridCol w:w="567"/>
        <w:gridCol w:w="62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胡娟</w:t>
            </w: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eastAsia="仿宋_GB2312"/>
                <w:kern w:val="0"/>
                <w:sz w:val="24"/>
              </w:rPr>
              <w:t>13907305876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3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widowControl/>
              <w:spacing w:line="320" w:lineRule="exact"/>
              <w:rPr>
                <w:rFonts w:eastAsia="仿宋_GB2312"/>
                <w:kern w:val="0"/>
                <w:sz w:val="24"/>
              </w:rPr>
            </w:pPr>
            <w:r>
              <w:rPr>
                <w:rFonts w:hint="eastAsia" w:eastAsia="仿宋_GB2312" w:cs="仿宋_GB2312"/>
                <w:sz w:val="24"/>
              </w:rPr>
              <w:t>承担岳阳楼景区文物保护的事务性、技术性工作；受文旅广电局委托，承担相关文物保护、管理、研究、展示等职责，以及单位转企改制时离岗及离退休人员的管理和服务工作。</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0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widowControl/>
              <w:spacing w:line="320" w:lineRule="exact"/>
              <w:ind w:firstLine="480" w:firstLineChars="200"/>
              <w:jc w:val="left"/>
              <w:rPr>
                <w:rFonts w:eastAsia="仿宋_GB2312" w:cs="仿宋_GB2312"/>
                <w:sz w:val="24"/>
              </w:rPr>
            </w:pPr>
            <w:r>
              <w:rPr>
                <w:rFonts w:hint="eastAsia" w:eastAsia="仿宋_GB2312" w:cs="仿宋_GB2312"/>
                <w:sz w:val="24"/>
              </w:rPr>
              <w:t>对国家级5A级全国重点文物保护单位岳阳楼及时保护、较好维修，不定期利用文物古建筑场所进行文物展示，举办陈列展览和各类文化活动。</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cs="仿宋_GB2312"/>
                <w:sz w:val="24"/>
              </w:rPr>
              <w:t>做好单位转企改制时离岗及离退休人员的管理和服务工作。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认真做好岳阳楼主楼的值守工作，确保各项安全隐患的排查；制定安全应急预案；参加岳阳市红十字会应急救护和岳阳楼公安分局反恐演练的培训；完成省文物局、省消防总队“春冬文物火灾防控专项行动联合督导检查”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2、完成《岳阳楼六个单体附属建筑项目计划书》的申报工作；完成《岳阳楼智慧管理平台建设》的申报工作。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3、完成《岳阳楼消防工程》开工的前期准备工作，开展岳阳楼消防工程建设。4、制定《岳阳楼文物保护中心冬春季新冠肺炎疫情防控工作方案》，不断完善常态化防控机制，切实做好疫情防控工作。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完成环保治污整治工作，彻查文物保护区域和建设控制地带内的环保状况，进一步优化环境治理。制定《岳阳楼文物保护中心生活垃圾分类工作实施方案》，通过建章立制、宣传培训、示范引领的方式，建立全员参与工作机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6、完成老碑廊的重建工作。配合文旅公司完成了“岳阳楼主楼油饰保养工程”。</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7、以文化遗产全民传承类型，开展“名家画名楼”办实事项目，邀请知名画家们齐聚岳阳楼共同作画，做好“我为群众办实事”项目。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9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707.38</w:t>
            </w: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112.81</w:t>
            </w:r>
          </w:p>
        </w:tc>
        <w:tc>
          <w:tcPr>
            <w:tcW w:w="192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594.57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2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6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87"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87"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rPr>
              <w:t>707.38</w:t>
            </w: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610.96</w:t>
            </w:r>
          </w:p>
        </w:tc>
        <w:tc>
          <w:tcPr>
            <w:tcW w:w="99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520.46</w:t>
            </w:r>
          </w:p>
        </w:tc>
        <w:tc>
          <w:tcPr>
            <w:tcW w:w="2268"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90.50</w:t>
            </w: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96.42</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8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28"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32"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59"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1497.37</w:t>
            </w: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1497.37</w:t>
            </w: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0"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8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5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800"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559"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1、做好不可移动文物的值守和保护。</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2、开展各级文物的抢救和保养。</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3、提升文物保护的水平和力量。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4、推动非物质文化遗产的保护和传承</w:t>
            </w:r>
          </w:p>
          <w:p>
            <w:pPr>
              <w:autoSpaceDN w:val="0"/>
              <w:spacing w:line="320" w:lineRule="exact"/>
              <w:jc w:val="left"/>
              <w:textAlignment w:val="center"/>
              <w:rPr>
                <w:rFonts w:ascii="仿宋_GB2312" w:hAnsi="仿宋_GB2312" w:eastAsia="仿宋_GB2312" w:cs="仿宋_GB2312"/>
                <w:color w:val="000000"/>
                <w:sz w:val="24"/>
              </w:rPr>
            </w:pPr>
          </w:p>
        </w:tc>
        <w:tc>
          <w:tcPr>
            <w:tcW w:w="4800" w:type="dxa"/>
            <w:gridSpan w:val="9"/>
            <w:vAlign w:val="center"/>
          </w:tcPr>
          <w:p>
            <w:pPr>
              <w:autoSpaceDN w:val="0"/>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Cs w:val="21"/>
              </w:rPr>
              <w:t>、岳阳楼景区为全年全天候开放，重点文物保护地带24小时有人在岗值守。中心专门设立安全管理办公室，配备专人对辖区内的文物进行安全巡查，做好巡查记录。</w:t>
            </w:r>
          </w:p>
          <w:p>
            <w:pPr>
              <w:autoSpaceDN w:val="0"/>
              <w:spacing w:line="320" w:lineRule="exac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严格按照文物保养维护的要求，遵循文物维修原则，结合专家组意见，积极开展维护维修工作。完成了老碑廊（北侧）坍塌部分抢救性维修的方案设计、评审招标；完成了老碑廊（南侧）日常维护保养，更换了腐朽的木构件，进行了油饰保养。</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3、185.85万的岳阳楼消防项目和128.13万的岳阳楼安防项目相继落地开工；591万的岳阳楼六个单体建筑维修项目已呈报省文物局；由湖南大学编制的《岳阳楼文物安全智慧管理平台建设方案》和《岳阳楼结构安全、数字化建模及预警监测系统方案》也已相继出台，正在呈报省文物局；完成了省文物局、省消防总队“春冬文物火灾防控专项行动联合督导检查”工作；完成了防雷的年审年检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313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26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9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58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260"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岳阳楼景区全年全天候开放，重点文物保护地带24小时专人在岗值守</w:t>
            </w:r>
          </w:p>
        </w:tc>
        <w:tc>
          <w:tcPr>
            <w:tcW w:w="1965" w:type="dxa"/>
            <w:gridSpan w:val="5"/>
            <w:vAlign w:val="center"/>
          </w:tcPr>
          <w:p>
            <w:pPr>
              <w:autoSpaceDN w:val="0"/>
              <w:spacing w:line="320" w:lineRule="exact"/>
              <w:ind w:firstLine="630" w:firstLineChars="30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Merge w:val="continue"/>
            <w:vAlign w:val="center"/>
          </w:tcPr>
          <w:p>
            <w:pPr>
              <w:spacing w:line="320" w:lineRule="exact"/>
              <w:rPr>
                <w:rFonts w:ascii="仿宋_GB2312" w:hAnsi="仿宋_GB2312" w:eastAsia="仿宋_GB2312" w:cs="仿宋_GB2312"/>
                <w:sz w:val="24"/>
              </w:rPr>
            </w:pPr>
          </w:p>
        </w:tc>
        <w:tc>
          <w:tcPr>
            <w:tcW w:w="3260"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每天对岳阳楼景区内文物进行安全巡查，并做好巡查记录</w:t>
            </w:r>
          </w:p>
        </w:tc>
        <w:tc>
          <w:tcPr>
            <w:tcW w:w="1965" w:type="dxa"/>
            <w:gridSpan w:val="5"/>
            <w:vAlign w:val="center"/>
          </w:tcPr>
          <w:p>
            <w:pPr>
              <w:autoSpaceDN w:val="0"/>
              <w:spacing w:line="320" w:lineRule="exact"/>
              <w:ind w:firstLine="630" w:firstLineChars="30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260"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cs="仿宋_GB2312"/>
                <w:szCs w:val="21"/>
              </w:rPr>
              <w:t>市级以上文保单位完好率</w:t>
            </w:r>
            <w:r>
              <w:rPr>
                <w:rFonts w:hint="eastAsia" w:ascii="仿宋_GB2312" w:eastAsia="仿宋_GB2312" w:cs="仿宋_GB2312"/>
                <w:szCs w:val="21"/>
              </w:rPr>
              <w:t>≥8</w:t>
            </w:r>
            <w:r>
              <w:rPr>
                <w:rFonts w:ascii="仿宋_GB2312" w:eastAsia="仿宋_GB2312" w:cs="仿宋_GB2312"/>
                <w:szCs w:val="21"/>
              </w:rPr>
              <w:t>0%</w:t>
            </w:r>
          </w:p>
        </w:tc>
        <w:tc>
          <w:tcPr>
            <w:tcW w:w="1965" w:type="dxa"/>
            <w:gridSpan w:val="5"/>
            <w:vAlign w:val="center"/>
          </w:tcPr>
          <w:p>
            <w:pPr>
              <w:autoSpaceDN w:val="0"/>
              <w:spacing w:line="320" w:lineRule="exact"/>
              <w:ind w:firstLine="630" w:firstLineChars="30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90</w:t>
            </w:r>
            <w:r>
              <w:rPr>
                <w:rFonts w:ascii="仿宋_GB2312" w:hAnsi="仿宋_GB2312" w:eastAsia="仿宋_GB2312" w:cs="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260" w:type="dxa"/>
            <w:gridSpan w:val="5"/>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cs="仿宋_GB2312"/>
                <w:szCs w:val="21"/>
              </w:rPr>
              <w:t>文物维修合格率100%</w:t>
            </w:r>
          </w:p>
        </w:tc>
        <w:tc>
          <w:tcPr>
            <w:tcW w:w="1965" w:type="dxa"/>
            <w:gridSpan w:val="5"/>
            <w:vAlign w:val="center"/>
          </w:tcPr>
          <w:p>
            <w:pPr>
              <w:autoSpaceDN w:val="0"/>
              <w:spacing w:line="320" w:lineRule="exact"/>
              <w:ind w:firstLine="735" w:firstLineChars="35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Align w:val="center"/>
          </w:tcPr>
          <w:p>
            <w:pPr>
              <w:widowControl/>
              <w:jc w:val="center"/>
              <w:rPr>
                <w:rFonts w:eastAsia="仿宋_GB2312"/>
                <w:kern w:val="0"/>
                <w:sz w:val="24"/>
              </w:rPr>
            </w:pPr>
            <w:r>
              <w:rPr>
                <w:rFonts w:eastAsia="仿宋_GB2312"/>
                <w:kern w:val="0"/>
                <w:sz w:val="24"/>
              </w:rPr>
              <w:t>时效指标</w:t>
            </w:r>
          </w:p>
        </w:tc>
        <w:tc>
          <w:tcPr>
            <w:tcW w:w="3260" w:type="dxa"/>
            <w:gridSpan w:val="5"/>
            <w:vAlign w:val="center"/>
          </w:tcPr>
          <w:p>
            <w:pPr>
              <w:autoSpaceDN w:val="0"/>
              <w:spacing w:line="320" w:lineRule="exact"/>
              <w:jc w:val="left"/>
              <w:textAlignment w:val="center"/>
              <w:rPr>
                <w:rFonts w:eastAsia="仿宋_GB2312" w:cs="仿宋_GB2312"/>
                <w:szCs w:val="21"/>
              </w:rPr>
            </w:pPr>
            <w:r>
              <w:rPr>
                <w:rFonts w:hint="eastAsia" w:eastAsia="仿宋_GB2312" w:cs="仿宋_GB2312"/>
                <w:szCs w:val="21"/>
              </w:rPr>
              <w:t>目标任务完成及时率100%</w:t>
            </w:r>
          </w:p>
        </w:tc>
        <w:tc>
          <w:tcPr>
            <w:tcW w:w="1965" w:type="dxa"/>
            <w:gridSpan w:val="5"/>
            <w:vAlign w:val="center"/>
          </w:tcPr>
          <w:p>
            <w:pPr>
              <w:autoSpaceDN w:val="0"/>
              <w:spacing w:line="320" w:lineRule="exact"/>
              <w:ind w:firstLine="735" w:firstLineChars="35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Align w:val="center"/>
          </w:tcPr>
          <w:p>
            <w:pPr>
              <w:widowControl/>
              <w:jc w:val="center"/>
              <w:rPr>
                <w:rFonts w:eastAsia="仿宋_GB2312"/>
                <w:kern w:val="0"/>
                <w:sz w:val="24"/>
              </w:rPr>
            </w:pPr>
            <w:r>
              <w:rPr>
                <w:rFonts w:eastAsia="仿宋_GB2312"/>
                <w:kern w:val="0"/>
                <w:sz w:val="24"/>
              </w:rPr>
              <w:t>成本指标</w:t>
            </w:r>
          </w:p>
        </w:tc>
        <w:tc>
          <w:tcPr>
            <w:tcW w:w="3260" w:type="dxa"/>
            <w:gridSpan w:val="5"/>
            <w:vAlign w:val="center"/>
          </w:tcPr>
          <w:p>
            <w:pPr>
              <w:autoSpaceDN w:val="0"/>
              <w:spacing w:line="320" w:lineRule="exact"/>
              <w:jc w:val="left"/>
              <w:textAlignment w:val="center"/>
              <w:rPr>
                <w:rFonts w:eastAsia="仿宋_GB2312" w:cs="仿宋_GB2312"/>
                <w:szCs w:val="21"/>
              </w:rPr>
            </w:pPr>
            <w:r>
              <w:rPr>
                <w:rFonts w:hint="eastAsia" w:eastAsia="仿宋_GB2312" w:cs="仿宋_GB2312"/>
                <w:szCs w:val="21"/>
              </w:rPr>
              <w:t>预算成本控制情况≤707.38万</w:t>
            </w:r>
          </w:p>
        </w:tc>
        <w:tc>
          <w:tcPr>
            <w:tcW w:w="1965" w:type="dxa"/>
            <w:gridSpan w:val="5"/>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707.38万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58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260" w:type="dxa"/>
            <w:gridSpan w:val="5"/>
            <w:vAlign w:val="center"/>
          </w:tcPr>
          <w:p>
            <w:pPr>
              <w:autoSpaceDN w:val="0"/>
              <w:spacing w:line="36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强化文物保护效果</w:t>
            </w:r>
          </w:p>
        </w:tc>
        <w:tc>
          <w:tcPr>
            <w:tcW w:w="1965" w:type="dxa"/>
            <w:gridSpan w:val="5"/>
            <w:vAlign w:val="center"/>
          </w:tcPr>
          <w:p>
            <w:pPr>
              <w:autoSpaceDN w:val="0"/>
              <w:spacing w:line="36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切实加强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58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260" w:type="dxa"/>
            <w:gridSpan w:val="5"/>
            <w:vAlign w:val="center"/>
          </w:tcPr>
          <w:p>
            <w:pPr>
              <w:autoSpaceDN w:val="0"/>
              <w:spacing w:line="360" w:lineRule="exact"/>
              <w:jc w:val="left"/>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社会公众满意度</w:t>
            </w:r>
            <w:r>
              <w:rPr>
                <w:rFonts w:hint="eastAsia" w:ascii="仿宋_GB2312" w:eastAsia="仿宋_GB2312" w:cs="仿宋_GB2312"/>
                <w:szCs w:val="21"/>
              </w:rPr>
              <w:t>≥9</w:t>
            </w:r>
            <w:r>
              <w:rPr>
                <w:rFonts w:ascii="仿宋_GB2312" w:eastAsia="仿宋_GB2312" w:cs="仿宋_GB2312"/>
                <w:szCs w:val="21"/>
              </w:rPr>
              <w:t>0%</w:t>
            </w:r>
          </w:p>
        </w:tc>
        <w:tc>
          <w:tcPr>
            <w:tcW w:w="1965" w:type="dxa"/>
            <w:gridSpan w:val="5"/>
            <w:vAlign w:val="center"/>
          </w:tcPr>
          <w:p>
            <w:pPr>
              <w:autoSpaceDN w:val="0"/>
              <w:spacing w:line="3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汤志宏</w:t>
            </w:r>
          </w:p>
        </w:tc>
        <w:tc>
          <w:tcPr>
            <w:tcW w:w="3346" w:type="dxa"/>
            <w:gridSpan w:val="6"/>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书记</w:t>
            </w: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宋蔚</w:t>
            </w:r>
          </w:p>
        </w:tc>
        <w:tc>
          <w:tcPr>
            <w:tcW w:w="3346" w:type="dxa"/>
            <w:gridSpan w:val="6"/>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综合办主任</w:t>
            </w: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54" w:type="dxa"/>
            <w:gridSpan w:val="2"/>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胡娟</w:t>
            </w:r>
          </w:p>
        </w:tc>
        <w:tc>
          <w:tcPr>
            <w:tcW w:w="3346" w:type="dxa"/>
            <w:gridSpan w:val="6"/>
            <w:shd w:val="clear" w:color="auto" w:fill="auto"/>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会计</w:t>
            </w: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34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9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ind w:firstLine="6240" w:firstLineChars="26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ind w:firstLine="6240" w:firstLineChars="26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ind w:firstLine="6240" w:firstLineChars="2600"/>
              <w:jc w:val="left"/>
              <w:textAlignment w:val="center"/>
              <w:rPr>
                <w:rFonts w:ascii="仿宋_GB2312" w:hAnsi="仿宋_GB2312" w:eastAsia="仿宋_GB2312" w:cs="仿宋_GB2312"/>
                <w:color w:val="000000"/>
                <w:sz w:val="24"/>
              </w:rPr>
            </w:pPr>
            <w:r>
              <w:rPr>
                <w:rFonts w:hint="eastAsia" w:eastAsia="仿宋_GB2312"/>
                <w:sz w:val="24"/>
              </w:rPr>
              <w:t>年</w:t>
            </w:r>
            <w:r>
              <w:rPr>
                <w:rFonts w:hint="eastAsia" w:eastAsia="仿宋_GB2312"/>
                <w:sz w:val="24"/>
                <w:lang w:val="en-US" w:eastAsia="zh-CN"/>
              </w:rPr>
              <w:t xml:space="preserve">       </w:t>
            </w:r>
            <w:r>
              <w:rPr>
                <w:rFonts w:hint="eastAsia" w:eastAsia="仿宋_GB2312"/>
                <w:sz w:val="24"/>
              </w:rPr>
              <w:t>月</w:t>
            </w:r>
            <w:r>
              <w:rPr>
                <w:rFonts w:hint="eastAsia" w:eastAsia="仿宋_GB2312"/>
                <w:sz w:val="24"/>
                <w:lang w:val="en-US" w:eastAsia="zh-CN"/>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hint="eastAsia" w:eastAsia="仿宋_GB2312" w:cs="仿宋_GB2312"/>
          <w:bCs/>
          <w:sz w:val="28"/>
          <w:szCs w:val="28"/>
          <w:lang w:val="en-US" w:eastAsia="zh-CN"/>
        </w:rPr>
        <w:t xml:space="preserve">                     </w:t>
      </w:r>
      <w:bookmarkStart w:id="0" w:name="_GoBack"/>
      <w:bookmarkEnd w:id="0"/>
      <w:r>
        <w:rPr>
          <w:rFonts w:hint="eastAsia" w:eastAsia="仿宋_GB2312" w:cs="仿宋_GB2312"/>
          <w:bCs/>
          <w:sz w:val="28"/>
          <w:szCs w:val="28"/>
        </w:rPr>
        <w:t>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市岳阳楼文物保护中心为公益一类全额拨款性质的正科级单位，主要职能是承担岳阳楼景区文物保护的事务性、技术性工作；受文旅广电局委托，承担相关文物保护、管理、研究、展示等职责，以及单位转企改制时离岗及离退休人员的管理和服务工作。2021年单位在编在岗工作人员20人，单位领导正职（主任）1名，副职（书记1名、副主任2名）3名。设置了综合部、离岗和退休人员管理部、文物保护部及安全保卫部等4个职能部室。</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2021年11月15日，因事业单位分类改革机构整合，本中心已并入岳阳市文物保护中心。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1年市本级部门预算批复，本单位预算收入707.38</w:t>
            </w:r>
            <w:r>
              <w:rPr>
                <w:rFonts w:ascii="仿宋_GB2312" w:hAnsi="仿宋_GB2312" w:eastAsia="仿宋_GB2312" w:cs="仿宋_GB2312"/>
                <w:bCs/>
                <w:sz w:val="28"/>
                <w:szCs w:val="28"/>
              </w:rPr>
              <w:t>万元，其中</w:t>
            </w:r>
            <w:r>
              <w:rPr>
                <w:rFonts w:hint="eastAsia" w:ascii="仿宋_GB2312" w:hAnsi="仿宋_GB2312" w:eastAsia="仿宋_GB2312" w:cs="仿宋_GB2312"/>
                <w:bCs/>
                <w:sz w:val="28"/>
                <w:szCs w:val="28"/>
              </w:rPr>
              <w:t>公共财政拨款707.38</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rPr>
              <w:t>其中，一般公共预算拨款</w:t>
            </w:r>
            <w:r>
              <w:rPr>
                <w:rFonts w:ascii="仿宋_GB2312" w:hAnsi="仿宋_GB2312" w:eastAsia="仿宋_GB2312" w:cs="仿宋_GB2312"/>
                <w:bCs/>
                <w:sz w:val="28"/>
                <w:szCs w:val="28"/>
              </w:rPr>
              <w:t>112.81</w:t>
            </w:r>
            <w:r>
              <w:rPr>
                <w:rFonts w:hint="eastAsia" w:ascii="仿宋_GB2312" w:hAnsi="仿宋_GB2312" w:eastAsia="仿宋_GB2312" w:cs="仿宋_GB2312"/>
                <w:bCs/>
                <w:sz w:val="28"/>
                <w:szCs w:val="28"/>
              </w:rPr>
              <w:t>万元，其他收入</w:t>
            </w:r>
            <w:r>
              <w:rPr>
                <w:rFonts w:ascii="仿宋_GB2312" w:hAnsi="仿宋_GB2312" w:eastAsia="仿宋_GB2312" w:cs="仿宋_GB2312"/>
                <w:bCs/>
                <w:sz w:val="28"/>
                <w:szCs w:val="28"/>
              </w:rPr>
              <w:t>594.57</w:t>
            </w:r>
            <w:r>
              <w:rPr>
                <w:rFonts w:hint="eastAsia" w:ascii="仿宋_GB2312" w:hAnsi="仿宋_GB2312" w:eastAsia="仿宋_GB2312" w:cs="仿宋_GB2312"/>
                <w:bCs/>
                <w:sz w:val="28"/>
                <w:szCs w:val="28"/>
              </w:rPr>
              <w:t>万元，上年结转0万元。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rPr>
              <w:t>1年支出预算707.38万元，其中文化旅游体育与传媒支出707.38万元。</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2021年度中心基本支出</w:t>
            </w:r>
            <w:r>
              <w:rPr>
                <w:rFonts w:ascii="仿宋_GB2312" w:hAnsi="仿宋_GB2312" w:eastAsia="仿宋_GB2312" w:cs="仿宋_GB2312"/>
                <w:bCs/>
                <w:sz w:val="28"/>
                <w:szCs w:val="28"/>
              </w:rPr>
              <w:t>610.96</w:t>
            </w:r>
            <w:r>
              <w:rPr>
                <w:rFonts w:hint="eastAsia" w:ascii="仿宋_GB2312" w:hAnsi="仿宋_GB2312" w:eastAsia="仿宋_GB2312" w:cs="仿宋_GB2312"/>
                <w:bCs/>
                <w:sz w:val="28"/>
                <w:szCs w:val="28"/>
              </w:rPr>
              <w:t>万元，其中人员支出</w:t>
            </w:r>
            <w:r>
              <w:rPr>
                <w:rFonts w:ascii="仿宋_GB2312" w:hAnsi="仿宋_GB2312" w:eastAsia="仿宋_GB2312" w:cs="仿宋_GB2312"/>
                <w:bCs/>
                <w:sz w:val="28"/>
                <w:szCs w:val="28"/>
              </w:rPr>
              <w:t>520.46</w:t>
            </w:r>
            <w:r>
              <w:rPr>
                <w:rFonts w:hint="eastAsia" w:ascii="仿宋_GB2312" w:hAnsi="仿宋_GB2312" w:eastAsia="仿宋_GB2312" w:cs="仿宋_GB2312"/>
                <w:bCs/>
                <w:sz w:val="28"/>
                <w:szCs w:val="28"/>
              </w:rPr>
              <w:t>万元，公用支出</w:t>
            </w: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0.50</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（二）项目支出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2021年项目支出年初预算数为33.00万元，实际支出96.42万元，主要用于提前离岗人员费用支出。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（三）三公经费的使用和管理情况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本单位2021年“三公”经费预算数0万元。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（四）固定资产使用情况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截至2021年12月底，本单位固定资产合计1497.37</w:t>
            </w:r>
            <w:r>
              <w:rPr>
                <w:rFonts w:ascii="仿宋_GB2312" w:hAnsi="仿宋_GB2312" w:eastAsia="仿宋_GB2312" w:cs="仿宋_GB2312"/>
                <w:bCs/>
                <w:sz w:val="28"/>
                <w:szCs w:val="28"/>
              </w:rPr>
              <w:t>万元，其中在用固定资产</w:t>
            </w:r>
            <w:r>
              <w:rPr>
                <w:rFonts w:hint="eastAsia" w:ascii="仿宋_GB2312" w:hAnsi="仿宋_GB2312" w:eastAsia="仿宋_GB2312" w:cs="仿宋_GB2312"/>
                <w:bCs/>
                <w:sz w:val="28"/>
                <w:szCs w:val="28"/>
              </w:rPr>
              <w:t>1497.37</w:t>
            </w:r>
            <w:r>
              <w:rPr>
                <w:rFonts w:ascii="仿宋_GB2312" w:hAnsi="仿宋_GB2312" w:eastAsia="仿宋_GB2312" w:cs="仿宋_GB2312"/>
                <w:bCs/>
                <w:sz w:val="28"/>
                <w:szCs w:val="28"/>
              </w:rPr>
              <w:t>万元</w:t>
            </w:r>
            <w:r>
              <w:rPr>
                <w:rFonts w:hint="eastAsia" w:ascii="仿宋_GB2312" w:hAnsi="仿宋_GB2312" w:eastAsia="仿宋_GB2312" w:cs="仿宋_GB2312"/>
                <w:bCs/>
                <w:sz w:val="28"/>
                <w:szCs w:val="28"/>
              </w:rPr>
              <w:t>。</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（一）夯实基础、确保单位正常运转。</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加强党建工作，强化安全管理工作。由于机构改革一轮接一轮，原岳阳楼文物保护中心的党组织一直没有成立，但近一年来，岳阳楼文保中心党史学习教育、党建活动开展一直没有落下，全年组织党员学习10余次。严格落实好中央“八项规定”要求，做好“三重一大”项目监管工作，对岳阳楼老碑廊抢救性维修、岳阳楼消防工程项目招标等大小内审询价会8余次进行了全程监督。</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紧抓专业知识培训，提升业务技能能力。为全面贯彻落实中央“保护为主、抢救第一、合理利用、加强管理”的十六字文物工作方针，落实岳阳楼景区机构改革后“文物保护切实得到加强”的指导精神，体现岳阳楼文物保护的重视度与专职性，让员工尽快熟悉和胜任新的工作岗位，文保中心组织开展了一场历时16天全员参与的文物保护专业业务培训，深入学习贯彻习近平总书记关于文物工作的重要论述，充分认识做好新时代文物工作的重大意义，先后邀请文物、安防、消防专家集中授课，让员工们进一步熟悉掌握文物保护相关专业理论知识、法规政策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强化管理，加强廉政建设。认真执行了财务制度、考勤制度、请假制度、学习制度等四项制度。特别是将考勤制度落到实处。组织全体党员干部学习党的反腐倡廉理论和党风廉政建设规章制度，以领导干部为重点，创新学习方式；开展违规吃喝专项整治工作；加强建立健全内部监控机制，完善制约和监督机制。</w:t>
            </w:r>
          </w:p>
          <w:p>
            <w:pPr>
              <w:ind w:firstLine="560" w:firstLineChars="200"/>
              <w:rPr>
                <w:rFonts w:ascii="黑体" w:hAnsi="黑体" w:eastAsia="黑体" w:cs="黑体"/>
                <w:color w:val="000000" w:themeColor="text1"/>
                <w:sz w:val="32"/>
                <w:szCs w:val="32"/>
              </w:rPr>
            </w:pPr>
            <w:r>
              <w:rPr>
                <w:rFonts w:hint="eastAsia" w:ascii="仿宋_GB2312" w:hAnsi="仿宋_GB2312" w:eastAsia="仿宋_GB2312" w:cs="仿宋_GB2312"/>
                <w:bCs/>
                <w:sz w:val="28"/>
                <w:szCs w:val="28"/>
              </w:rPr>
              <w:t>（二）进一步加强文物保护利用和重点项目申报工作。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以人为本，做好不可移动文物的值守和保护。岳阳楼景区为全年全天候开放，重点文物保护地带24小时有人在岗值守。中心专门设立安全管理办公室，配备专人对辖区内的文物进行安全巡查，做好巡查记录。完成环保治污整治工作，通过制定《岳阳楼文物保护中心生活垃圾分类工作实施方案》，彻查文物保护区域和建设控制地带内的环保状况；积极参加岳阳市红十字会应急救护和岳阳楼公安分局反恐演练以及消防知识培训。</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积极投入，开展各级文物的抢救和保养。岳阳楼景区文物保护范围内多处景点为纯木结构，因年久失修，部分建筑出现了油漆龟裂、空鼓、脱落，甚至变形和部分坍塌的情况。文保中心严格按照文物保养维护的要求，遵循文物维修原则，结合专家组意见，积极开展维护维修工作。完成了老碑廊（北侧）坍塌部分抢救性维修的方案设计、评审招标，目前维修工程正在有序推进；完成了老碑廊（南侧）日常维护保养，更换了腐朽的木构件，进行了油饰保养。</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科技助力，提升文物保护的水平和力量。除了依靠传统的保护性措施外，也要加强数字化技术的开发与利用，为文物保护注入新活力。185.85万的岳阳楼消防项目和128.13万的岳阳楼安防项目相继落地开工；591万的岳阳楼六个单体建筑维修项目已呈报省文物局；由湖南大学编制的《岳阳楼文物安全智慧管理平台建设方案》和《岳阳楼结构安全、数字化建模及预警监测系统方案》也已相继出台，正在呈报省文物局；完成了省文物局、省消防总队“春冬文物火灾防控专项行动联合督导检查”工作；完成了防雷的年审年检工作。</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四、存在的主要问题</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财政经费不足。职工健康体检费用未足额拨付，单位无其他经济来源。截止到2022年4月1日，单位18个劳务派遣人员的经费指标尚未到账，拖欠人员经费情况得不到解决。</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五、改进措施和有关建议</w:t>
            </w:r>
          </w:p>
          <w:p>
            <w:pPr>
              <w:spacing w:line="380" w:lineRule="exact"/>
              <w:ind w:firstLine="560" w:firstLineChars="200"/>
              <w:rPr>
                <w:rFonts w:eastAsia="楷体_GB2312"/>
                <w:bCs/>
                <w:sz w:val="28"/>
                <w:szCs w:val="28"/>
              </w:rPr>
            </w:pPr>
            <w:r>
              <w:rPr>
                <w:rFonts w:hint="eastAsia" w:ascii="仿宋_GB2312" w:hAnsi="仿宋_GB2312" w:eastAsia="仿宋_GB2312" w:cs="仿宋_GB2312"/>
                <w:bCs/>
                <w:sz w:val="28"/>
                <w:szCs w:val="28"/>
              </w:rPr>
              <w:t>建议进一步规范管理，按照文物保护单位日常维护标准给予财政拨款。</w:t>
            </w:r>
          </w:p>
        </w:tc>
      </w:tr>
    </w:tbl>
    <w:p/>
    <w:p/>
    <w:p/>
    <w:p>
      <w:pPr>
        <w:spacing w:line="500" w:lineRule="exact"/>
        <w:jc w:val="center"/>
        <w:rPr>
          <w:rFonts w:ascii="仿宋" w:hAnsi="仿宋" w:eastAsia="仿宋" w:cs="仿宋"/>
          <w:color w:val="000000" w:themeColor="text1"/>
          <w:kern w:val="0"/>
          <w:sz w:val="32"/>
          <w:szCs w:val="32"/>
        </w:rPr>
      </w:pPr>
      <w:r>
        <w:rPr>
          <w:rFonts w:hint="eastAsia" w:ascii="方正小标宋简体" w:hAnsi="宋体" w:eastAsia="方正小标宋简体" w:cs="宋体"/>
          <w:color w:val="000000" w:themeColor="text1"/>
          <w:kern w:val="0"/>
          <w:sz w:val="44"/>
          <w:szCs w:val="44"/>
        </w:rPr>
        <w:t>部门整体支出绩效评价自评表</w:t>
      </w:r>
    </w:p>
    <w:tbl>
      <w:tblPr>
        <w:tblStyle w:val="4"/>
        <w:tblpPr w:leftFromText="180" w:rightFromText="180" w:vertAnchor="text" w:horzAnchor="page" w:tblpXSpec="center" w:tblpY="591"/>
        <w:tblOverlap w:val="never"/>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015"/>
        <w:gridCol w:w="1135"/>
        <w:gridCol w:w="4110"/>
        <w:gridCol w:w="566"/>
        <w:gridCol w:w="70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01"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一级指标</w:t>
            </w:r>
          </w:p>
        </w:tc>
        <w:tc>
          <w:tcPr>
            <w:tcW w:w="527"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二级指标</w:t>
            </w:r>
          </w:p>
        </w:tc>
        <w:tc>
          <w:tcPr>
            <w:tcW w:w="589"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三级指标</w:t>
            </w:r>
          </w:p>
        </w:tc>
        <w:tc>
          <w:tcPr>
            <w:tcW w:w="2133"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评分标准</w:t>
            </w:r>
          </w:p>
        </w:tc>
        <w:tc>
          <w:tcPr>
            <w:tcW w:w="294" w:type="pct"/>
            <w:shd w:val="clear" w:color="auto" w:fill="auto"/>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分值</w:t>
            </w:r>
          </w:p>
        </w:tc>
        <w:tc>
          <w:tcPr>
            <w:tcW w:w="367" w:type="pct"/>
            <w:shd w:val="clear" w:color="auto" w:fill="FFFFFF"/>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自评得分</w:t>
            </w:r>
          </w:p>
        </w:tc>
        <w:tc>
          <w:tcPr>
            <w:tcW w:w="589" w:type="pct"/>
            <w:shd w:val="clear" w:color="auto" w:fill="FFFFFF"/>
            <w:vAlign w:val="center"/>
          </w:tcPr>
          <w:p>
            <w:pPr>
              <w:widowControl/>
              <w:spacing w:line="240" w:lineRule="exact"/>
              <w:jc w:val="left"/>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扣分原因和其他说明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01"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投  入</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27"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预算配置</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财政供养人员控制率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以100%为标准。在职人员控制率</w:t>
            </w:r>
            <w:r>
              <w:rPr>
                <w:rFonts w:hint="eastAsia" w:ascii="宋体" w:hAnsi="宋体" w:cs="宋体"/>
                <w:color w:val="000000" w:themeColor="text1"/>
                <w:kern w:val="0"/>
                <w:sz w:val="18"/>
                <w:szCs w:val="18"/>
              </w:rPr>
              <w:t>≦</w:t>
            </w:r>
            <w:r>
              <w:rPr>
                <w:rFonts w:hint="eastAsia" w:ascii="仿宋_GB2312" w:hAnsi="宋体" w:cs="宋体"/>
                <w:color w:val="000000" w:themeColor="text1"/>
                <w:kern w:val="0"/>
                <w:sz w:val="18"/>
                <w:szCs w:val="18"/>
              </w:rPr>
              <w:t>100%，计5分；每超过一个百分点扣0.5分，扣完为止。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5</w:t>
            </w: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“三公经费”变动率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“三公经费”变动率</w:t>
            </w:r>
            <w:r>
              <w:rPr>
                <w:rFonts w:hint="eastAsia" w:ascii="宋体" w:hAnsi="宋体" w:cs="宋体"/>
                <w:color w:val="000000" w:themeColor="text1"/>
                <w:kern w:val="0"/>
                <w:sz w:val="18"/>
                <w:szCs w:val="18"/>
              </w:rPr>
              <w:t>≦</w:t>
            </w:r>
            <w:r>
              <w:rPr>
                <w:rFonts w:hint="eastAsia" w:ascii="仿宋_GB2312" w:hAnsi="宋体" w:cs="宋体"/>
                <w:color w:val="000000" w:themeColor="text1"/>
                <w:kern w:val="0"/>
                <w:sz w:val="18"/>
                <w:szCs w:val="18"/>
              </w:rPr>
              <w:t>0,计5分；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“三公经费”＞0，每超过一个百分点扣0.5分，扣完为止。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5</w:t>
            </w: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重点支出</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安排率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重点支出安排率≥90%，计5分；80%（含）-90%，计4分；70%（含）-80%，计3分；60%（含）-70%，计2分；低于60%不得分。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5</w:t>
            </w: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01"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过  程</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（40分）</w:t>
            </w:r>
          </w:p>
        </w:tc>
        <w:tc>
          <w:tcPr>
            <w:tcW w:w="527" w:type="pct"/>
            <w:vMerge w:val="restar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预算执行</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预算调整率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预算调整率=0，计3分；0-10%（含），计2分；10-20%（含），计1分；20-30%（含），计0.5分；大于30%不得分。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支付进度</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春节前下达全部专项资金的50%；6月底前所有专项资金指标全部下达完。</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每出现一个专项未按进度完成资金下达扣0.5分，扣完为止。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资金结余</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无结余，3分；有结余，但不超过上年结转，2分；结余超过上年结转，不得分。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vAlign w:val="center"/>
          </w:tcPr>
          <w:p>
            <w:pPr>
              <w:widowControl/>
              <w:spacing w:line="240" w:lineRule="exact"/>
              <w:jc w:val="left"/>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“三公经费”</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控制率</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以100%为标准。三公经费控制率</w:t>
            </w:r>
            <w:r>
              <w:rPr>
                <w:rFonts w:hint="eastAsia" w:ascii="宋体" w:hAnsi="宋体" w:cs="宋体"/>
                <w:color w:val="000000" w:themeColor="text1"/>
                <w:kern w:val="0"/>
                <w:sz w:val="18"/>
                <w:szCs w:val="18"/>
              </w:rPr>
              <w:t>≦</w:t>
            </w:r>
            <w:r>
              <w:rPr>
                <w:rFonts w:hint="eastAsia" w:ascii="仿宋_GB2312" w:hAnsi="宋体" w:cs="宋体"/>
                <w:color w:val="000000" w:themeColor="text1"/>
                <w:kern w:val="0"/>
                <w:sz w:val="18"/>
                <w:szCs w:val="18"/>
              </w:rPr>
              <w:t>100%，计6分；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每超过一个百分点扣1分，扣完为止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6</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6</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管理制度</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健全性</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①已制定或具有预算资金管理办法，内部财务管理制度、会计核算制度等管理制度，1分；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②相关管理制度合法、合规、完整，1分；</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③相关管理制度得到有效执行，1分。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资金使用</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合规性</w:t>
            </w:r>
          </w:p>
        </w:tc>
        <w:tc>
          <w:tcPr>
            <w:tcW w:w="2133" w:type="pct"/>
            <w:vAlign w:val="center"/>
          </w:tcPr>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①支出符合国家财经法规和财务管理制度规定以及有关专项资金管理办法的规定；</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②资金拨付有完整的审批程序和手续；</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③项目支出按规定经过评估论证；</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④支出符合部门预算批复的用途；</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⑤资金使用无截留、挤占、挪用、虚列支出等情况。</w:t>
            </w:r>
          </w:p>
          <w:p>
            <w:pPr>
              <w:widowControl/>
              <w:spacing w:line="20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以上情况每出现一例不符合要求的扣1分，扣完为止。</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预决算信息公开性和完善性</w:t>
            </w:r>
          </w:p>
        </w:tc>
        <w:tc>
          <w:tcPr>
            <w:tcW w:w="2133" w:type="pct"/>
            <w:shd w:val="clear" w:color="auto" w:fill="auto"/>
            <w:vAlign w:val="center"/>
          </w:tcPr>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①按规定内容公开预决算信息，1分；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②按规定时限公开预决算信息，0.5分；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③基础数据信息和会计信息资料真实，0.5分；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④基础数据信息和会计信息资料完整，0.5分；</w:t>
            </w:r>
          </w:p>
          <w:p>
            <w:pPr>
              <w:widowControl/>
              <w:spacing w:line="22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⑤基础数据信息和汇集信息资料准确，0.5分。                                            </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01"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过  程</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（40分）</w:t>
            </w: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预算管理</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（15分）</w:t>
            </w: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政府采购执行率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政府采购执行率等于100%的，得3分；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每减少一个百分点，扣0.2分，扣完为止。</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公务卡刷卡率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公务卡刷卡率达30％以上的，得3分。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每减少一个百分点，扣0.2分，扣完为止。                                            </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资产管理</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（10分）</w:t>
            </w: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管理制度</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健全性</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①已制定或具有资产管理制度，且相关资产管理制度合法、合规、完整，2分；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②相关资产管理制度得到有效执行，1分。                                           </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3</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资产管理</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安全性</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①资产保存完整；</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②资产配置合理；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xml:space="preserve">③资产处置规范； </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④资产账务管理合规，帐实相符；</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⑤资产有偿使用及处置收入及时足额上缴；</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以上情况每出现一例不符合有关要求的扣1分，扣完为止。</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01"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left"/>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固定资产</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利用率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每低于100%一个百分点扣0.1分，扣完为止。</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3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1"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产  出（25分）</w:t>
            </w: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职责履行</w:t>
            </w:r>
          </w:p>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（25分）</w:t>
            </w:r>
          </w:p>
        </w:tc>
        <w:tc>
          <w:tcPr>
            <w:tcW w:w="589"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质量指标</w:t>
            </w: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市级以上文保单位完好率≥</w:t>
            </w:r>
            <w:r>
              <w:rPr>
                <w:rFonts w:ascii="仿宋_GB2312" w:hAnsi="宋体" w:cs="宋体"/>
                <w:color w:val="000000" w:themeColor="text1"/>
                <w:kern w:val="0"/>
                <w:sz w:val="18"/>
                <w:szCs w:val="18"/>
              </w:rPr>
              <w:t>80%</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ind w:firstLine="180" w:firstLineChars="100"/>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restar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文物维修合格率100%</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5</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数量指标</w:t>
            </w: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岳阳楼景区全年全天候开放，重点文物保护地带24小时专人在岗值守</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2133" w:type="pct"/>
            <w:shd w:val="clear" w:color="auto" w:fill="auto"/>
            <w:vAlign w:val="center"/>
          </w:tcPr>
          <w:p>
            <w:pPr>
              <w:autoSpaceDN w:val="0"/>
              <w:spacing w:line="320" w:lineRule="exact"/>
              <w:jc w:val="left"/>
              <w:textAlignment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每天对岳阳楼景区内文物进行安全巡查，并做好巡查记录</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时效指标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目标任务完成及时率100%</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01"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27" w:type="pct"/>
            <w:vMerge w:val="continue"/>
            <w:shd w:val="clear" w:color="auto" w:fill="auto"/>
            <w:vAlign w:val="center"/>
          </w:tcPr>
          <w:p>
            <w:pPr>
              <w:widowControl/>
              <w:spacing w:line="240" w:lineRule="exact"/>
              <w:jc w:val="center"/>
              <w:rPr>
                <w:rFonts w:ascii="仿宋_GB2312" w:hAnsi="宋体" w:cs="宋体"/>
                <w:color w:val="000000" w:themeColor="text1"/>
                <w:kern w:val="0"/>
                <w:sz w:val="18"/>
                <w:szCs w:val="18"/>
              </w:rPr>
            </w:pP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成本指标</w:t>
            </w:r>
          </w:p>
        </w:tc>
        <w:tc>
          <w:tcPr>
            <w:tcW w:w="2133"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预算成本控制≤</w:t>
            </w:r>
            <w:r>
              <w:rPr>
                <w:rFonts w:ascii="仿宋_GB2312" w:hAnsi="宋体" w:cs="宋体"/>
                <w:color w:val="000000" w:themeColor="text1"/>
                <w:kern w:val="0"/>
                <w:sz w:val="18"/>
                <w:szCs w:val="18"/>
              </w:rPr>
              <w:t>707.38</w:t>
            </w:r>
            <w:r>
              <w:rPr>
                <w:rFonts w:hint="eastAsia" w:ascii="仿宋_GB2312" w:hAnsi="宋体" w:cs="宋体"/>
                <w:color w:val="000000" w:themeColor="text1"/>
                <w:kern w:val="0"/>
                <w:sz w:val="18"/>
                <w:szCs w:val="18"/>
              </w:rPr>
              <w:t>万</w:t>
            </w:r>
          </w:p>
        </w:tc>
        <w:tc>
          <w:tcPr>
            <w:tcW w:w="294"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4</w:t>
            </w:r>
          </w:p>
        </w:tc>
        <w:tc>
          <w:tcPr>
            <w:tcW w:w="589" w:type="pct"/>
            <w:vMerge w:val="continue"/>
            <w:shd w:val="clear" w:color="auto" w:fill="FFFFFF"/>
            <w:vAlign w:val="center"/>
          </w:tcPr>
          <w:p>
            <w:pPr>
              <w:widowControl/>
              <w:spacing w:line="240" w:lineRule="exact"/>
              <w:jc w:val="center"/>
              <w:rPr>
                <w:rFonts w:ascii="仿宋_GB2312"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01"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效  果</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（20分）</w:t>
            </w:r>
          </w:p>
        </w:tc>
        <w:tc>
          <w:tcPr>
            <w:tcW w:w="527" w:type="pct"/>
            <w:vMerge w:val="restar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履职效益</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（20分）</w:t>
            </w:r>
          </w:p>
        </w:tc>
        <w:tc>
          <w:tcPr>
            <w:tcW w:w="589" w:type="pct"/>
            <w:shd w:val="clear" w:color="auto" w:fill="auto"/>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社会效益</w:t>
            </w:r>
          </w:p>
        </w:tc>
        <w:tc>
          <w:tcPr>
            <w:tcW w:w="2133" w:type="pct"/>
            <w:shd w:val="clear" w:color="auto" w:fill="auto"/>
            <w:vAlign w:val="center"/>
          </w:tcPr>
          <w:p>
            <w:pPr>
              <w:widowControl/>
              <w:spacing w:line="240" w:lineRule="exact"/>
              <w:ind w:firstLine="90" w:firstLineChars="50"/>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切实强化文物保护效果</w:t>
            </w:r>
          </w:p>
        </w:tc>
        <w:tc>
          <w:tcPr>
            <w:tcW w:w="294" w:type="pct"/>
            <w:shd w:val="clear" w:color="auto" w:fill="auto"/>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w:t>
            </w:r>
          </w:p>
        </w:tc>
        <w:tc>
          <w:tcPr>
            <w:tcW w:w="367"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　</w:t>
            </w:r>
          </w:p>
        </w:tc>
        <w:tc>
          <w:tcPr>
            <w:tcW w:w="589" w:type="pct"/>
            <w:shd w:val="clear" w:color="auto" w:fill="FFFFFF"/>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1"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27" w:type="pct"/>
            <w:vMerge w:val="continue"/>
            <w:vAlign w:val="center"/>
          </w:tcPr>
          <w:p>
            <w:pPr>
              <w:widowControl/>
              <w:spacing w:line="240" w:lineRule="exact"/>
              <w:jc w:val="left"/>
              <w:rPr>
                <w:rFonts w:ascii="仿宋_GB2312" w:hAnsi="宋体" w:cs="宋体"/>
                <w:color w:val="000000" w:themeColor="text1"/>
                <w:kern w:val="0"/>
                <w:sz w:val="18"/>
                <w:szCs w:val="18"/>
              </w:rPr>
            </w:pPr>
          </w:p>
        </w:tc>
        <w:tc>
          <w:tcPr>
            <w:tcW w:w="589"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社会公众或服务对象满意度</w:t>
            </w:r>
          </w:p>
        </w:tc>
        <w:tc>
          <w:tcPr>
            <w:tcW w:w="2133" w:type="pct"/>
            <w:vAlign w:val="center"/>
          </w:tcPr>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95%（含）以上计10分；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85%（含）-95%，计8分；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75%（含）-85%，计5分；</w:t>
            </w:r>
          </w:p>
          <w:p>
            <w:pPr>
              <w:widowControl/>
              <w:spacing w:line="240" w:lineRule="exact"/>
              <w:jc w:val="left"/>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低于75%计0分。</w:t>
            </w:r>
          </w:p>
        </w:tc>
        <w:tc>
          <w:tcPr>
            <w:tcW w:w="294" w:type="pct"/>
            <w:vAlign w:val="center"/>
          </w:tcPr>
          <w:p>
            <w:pPr>
              <w:widowControl/>
              <w:spacing w:line="240" w:lineRule="exact"/>
              <w:jc w:val="center"/>
              <w:rPr>
                <w:rFonts w:ascii="仿宋_GB2312" w:hAnsi="宋体" w:cs="宋体"/>
                <w:color w:val="000000" w:themeColor="text1"/>
                <w:kern w:val="0"/>
                <w:sz w:val="18"/>
                <w:szCs w:val="18"/>
              </w:rPr>
            </w:pPr>
            <w:r>
              <w:rPr>
                <w:rFonts w:hint="eastAsia" w:ascii="仿宋_GB2312" w:hAnsi="宋体" w:cs="宋体"/>
                <w:color w:val="000000" w:themeColor="text1"/>
                <w:kern w:val="0"/>
                <w:sz w:val="18"/>
                <w:szCs w:val="18"/>
              </w:rPr>
              <w:t>10</w:t>
            </w:r>
          </w:p>
        </w:tc>
        <w:tc>
          <w:tcPr>
            <w:tcW w:w="367" w:type="pct"/>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10</w:t>
            </w:r>
          </w:p>
        </w:tc>
        <w:tc>
          <w:tcPr>
            <w:tcW w:w="589" w:type="pct"/>
            <w:vAlign w:val="center"/>
          </w:tcPr>
          <w:p>
            <w:pPr>
              <w:widowControl/>
              <w:spacing w:line="240" w:lineRule="exact"/>
              <w:jc w:val="center"/>
              <w:rPr>
                <w:rFonts w:ascii="黑体" w:hAnsi="黑体" w:eastAsia="黑体" w:cs="宋体"/>
                <w:color w:val="000000" w:themeColor="text1"/>
                <w:kern w:val="0"/>
                <w:sz w:val="18"/>
                <w:szCs w:val="18"/>
              </w:rPr>
            </w:pPr>
            <w:r>
              <w:rPr>
                <w:rFonts w:hint="eastAsia" w:ascii="黑体" w:hAnsi="黑体" w:eastAsia="黑体"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1"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总 分</w:t>
            </w:r>
          </w:p>
        </w:tc>
        <w:tc>
          <w:tcPr>
            <w:tcW w:w="527"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c>
          <w:tcPr>
            <w:tcW w:w="589"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c>
          <w:tcPr>
            <w:tcW w:w="2133"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c>
          <w:tcPr>
            <w:tcW w:w="294"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100</w:t>
            </w:r>
          </w:p>
        </w:tc>
        <w:tc>
          <w:tcPr>
            <w:tcW w:w="367"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100　</w:t>
            </w:r>
          </w:p>
        </w:tc>
        <w:tc>
          <w:tcPr>
            <w:tcW w:w="589" w:type="pct"/>
            <w:vAlign w:val="center"/>
          </w:tcPr>
          <w:p>
            <w:pPr>
              <w:widowControl/>
              <w:spacing w:line="240" w:lineRule="exact"/>
              <w:jc w:val="center"/>
              <w:rPr>
                <w:rFonts w:ascii="黑体" w:hAnsi="黑体" w:eastAsia="黑体" w:cs="宋体"/>
                <w:b/>
                <w:bCs/>
                <w:color w:val="000000" w:themeColor="text1"/>
                <w:kern w:val="0"/>
                <w:sz w:val="18"/>
                <w:szCs w:val="18"/>
              </w:rPr>
            </w:pPr>
            <w:r>
              <w:rPr>
                <w:rFonts w:hint="eastAsia" w:ascii="黑体" w:hAnsi="黑体" w:eastAsia="黑体" w:cs="宋体"/>
                <w:b/>
                <w:bCs/>
                <w:color w:val="000000" w:themeColor="text1"/>
                <w:kern w:val="0"/>
                <w:sz w:val="18"/>
                <w:szCs w:val="18"/>
              </w:rPr>
              <w:t>　</w:t>
            </w:r>
          </w:p>
        </w:tc>
      </w:tr>
    </w:tbl>
    <w:p>
      <w:pPr>
        <w:spacing w:line="380" w:lineRule="exact"/>
        <w:ind w:firstLine="560" w:firstLineChars="200"/>
        <w:rPr>
          <w:rFonts w:ascii="仿宋_GB2312" w:hAnsi="仿宋_GB2312" w:eastAsia="仿宋_GB2312" w:cs="仿宋_GB2312"/>
          <w:bCs/>
          <w:sz w:val="28"/>
          <w:szCs w:val="28"/>
        </w:rPr>
      </w:pPr>
    </w:p>
    <w:p>
      <w:pPr>
        <w:spacing w:line="380" w:lineRule="exact"/>
        <w:ind w:firstLine="560" w:firstLineChars="200"/>
        <w:rPr>
          <w:rFonts w:ascii="仿宋_GB2312" w:hAnsi="仿宋_GB2312" w:eastAsia="仿宋_GB2312" w:cs="仿宋_GB2312"/>
          <w:bCs/>
          <w:sz w:val="28"/>
          <w:szCs w:val="28"/>
        </w:rPr>
      </w:pPr>
    </w:p>
    <w:p>
      <w:pPr>
        <w:spacing w:line="380" w:lineRule="exact"/>
        <w:ind w:firstLine="560" w:firstLineChars="200"/>
        <w:rPr>
          <w:rFonts w:ascii="仿宋_GB2312" w:hAnsi="仿宋_GB2312" w:eastAsia="仿宋_GB2312" w:cs="仿宋_GB2312"/>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11</w:t>
    </w:r>
    <w:r>
      <w:rPr>
        <w:rStyle w:val="6"/>
        <w:sz w:val="24"/>
        <w:szCs w:val="24"/>
      </w:rPr>
      <w:fldChar w:fldCharType="end"/>
    </w:r>
    <w:r>
      <w:rPr>
        <w:rStyle w:val="6"/>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iOTE4YmUxNWM4Zjc4MDFiOTdiNDE5OGUwZDY2MTgifQ=="/>
  </w:docVars>
  <w:rsids>
    <w:rsidRoot w:val="74B60897"/>
    <w:rsid w:val="000440D1"/>
    <w:rsid w:val="00082E12"/>
    <w:rsid w:val="00087208"/>
    <w:rsid w:val="000F629C"/>
    <w:rsid w:val="0012620E"/>
    <w:rsid w:val="0017000C"/>
    <w:rsid w:val="001C591D"/>
    <w:rsid w:val="001D1431"/>
    <w:rsid w:val="001E014C"/>
    <w:rsid w:val="001E024F"/>
    <w:rsid w:val="00237E7A"/>
    <w:rsid w:val="00277F3A"/>
    <w:rsid w:val="002A35B7"/>
    <w:rsid w:val="002E4558"/>
    <w:rsid w:val="00317266"/>
    <w:rsid w:val="00351B08"/>
    <w:rsid w:val="003767C4"/>
    <w:rsid w:val="00391410"/>
    <w:rsid w:val="003C5C7D"/>
    <w:rsid w:val="003E0D23"/>
    <w:rsid w:val="00492A54"/>
    <w:rsid w:val="004B1199"/>
    <w:rsid w:val="004C7B89"/>
    <w:rsid w:val="004D0369"/>
    <w:rsid w:val="005318B3"/>
    <w:rsid w:val="00597668"/>
    <w:rsid w:val="005B4491"/>
    <w:rsid w:val="005E20FE"/>
    <w:rsid w:val="006639B4"/>
    <w:rsid w:val="006A69C8"/>
    <w:rsid w:val="006B2A07"/>
    <w:rsid w:val="006C778F"/>
    <w:rsid w:val="006D290F"/>
    <w:rsid w:val="006F2523"/>
    <w:rsid w:val="00712A2B"/>
    <w:rsid w:val="007160B5"/>
    <w:rsid w:val="0072266E"/>
    <w:rsid w:val="0076770F"/>
    <w:rsid w:val="00772576"/>
    <w:rsid w:val="008110FA"/>
    <w:rsid w:val="00826296"/>
    <w:rsid w:val="00832886"/>
    <w:rsid w:val="0083409F"/>
    <w:rsid w:val="008614C4"/>
    <w:rsid w:val="00884C53"/>
    <w:rsid w:val="00911289"/>
    <w:rsid w:val="00927402"/>
    <w:rsid w:val="00943CFE"/>
    <w:rsid w:val="009446BF"/>
    <w:rsid w:val="009B605B"/>
    <w:rsid w:val="009E09D2"/>
    <w:rsid w:val="009E5EA4"/>
    <w:rsid w:val="00A3741C"/>
    <w:rsid w:val="00A57ED1"/>
    <w:rsid w:val="00A632FB"/>
    <w:rsid w:val="00A92CCD"/>
    <w:rsid w:val="00AF5312"/>
    <w:rsid w:val="00B22592"/>
    <w:rsid w:val="00B32786"/>
    <w:rsid w:val="00B84621"/>
    <w:rsid w:val="00BC015A"/>
    <w:rsid w:val="00BE56F1"/>
    <w:rsid w:val="00C2126F"/>
    <w:rsid w:val="00C6632E"/>
    <w:rsid w:val="00C86D8C"/>
    <w:rsid w:val="00CA59D1"/>
    <w:rsid w:val="00CB2C4E"/>
    <w:rsid w:val="00CC63F9"/>
    <w:rsid w:val="00CE70E4"/>
    <w:rsid w:val="00D30D59"/>
    <w:rsid w:val="00D410EB"/>
    <w:rsid w:val="00E503E7"/>
    <w:rsid w:val="00E70EB3"/>
    <w:rsid w:val="00E83860"/>
    <w:rsid w:val="00ED4952"/>
    <w:rsid w:val="00ED5D17"/>
    <w:rsid w:val="00F30B7F"/>
    <w:rsid w:val="00F727BC"/>
    <w:rsid w:val="00FF2509"/>
    <w:rsid w:val="0F773D2B"/>
    <w:rsid w:val="1C581512"/>
    <w:rsid w:val="743840D6"/>
    <w:rsid w:val="74B60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5170</Words>
  <Characters>5533</Characters>
  <Lines>45</Lines>
  <Paragraphs>12</Paragraphs>
  <TotalTime>62</TotalTime>
  <ScaleCrop>false</ScaleCrop>
  <LinksUpToDate>false</LinksUpToDate>
  <CharactersWithSpaces>5715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2022-06-21T03:16:00Z</dcterms:created>
  <dc:creator>Moonn~</dc:creator>
  <cp:lastModifiedBy>宋蔚</cp:lastModifiedBy>
  <dcterms:modified xsi:type="dcterms:W3CDTF">2022-06-21T07:50:03Z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CA4C2D6E5DC740A7988C3C7E5EFE2769</vt:lpwstr>
  </property>
</Properties>
</file>