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hint="eastAsia" w:eastAsia="方正小标宋简体"/>
          <w:bCs/>
          <w:sz w:val="46"/>
          <w:szCs w:val="46"/>
          <w:lang w:eastAsia="zh-CN"/>
        </w:rPr>
      </w:pPr>
      <w:r>
        <w:rPr>
          <w:rFonts w:hint="eastAsia" w:eastAsia="方正小标宋简体"/>
          <w:bCs/>
          <w:sz w:val="46"/>
          <w:szCs w:val="46"/>
          <w:lang w:eastAsia="zh-CN"/>
        </w:rPr>
        <w:t>岳阳市文化旅游广电局</w:t>
      </w:r>
    </w:p>
    <w:p>
      <w:pPr>
        <w:spacing w:line="800" w:lineRule="exact"/>
        <w:jc w:val="center"/>
        <w:rPr>
          <w:rFonts w:eastAsia="方正小标宋简体"/>
          <w:bCs/>
          <w:sz w:val="46"/>
          <w:szCs w:val="46"/>
        </w:rPr>
      </w:pPr>
      <w:r>
        <w:rPr>
          <w:rFonts w:hint="eastAsia" w:eastAsia="方正小标宋简体"/>
          <w:bCs/>
          <w:sz w:val="46"/>
          <w:szCs w:val="46"/>
        </w:rPr>
        <w:t>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岳阳市文化旅游广电局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501001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10</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82"/>
        <w:gridCol w:w="31"/>
        <w:gridCol w:w="1126"/>
        <w:gridCol w:w="210"/>
        <w:gridCol w:w="1145"/>
        <w:gridCol w:w="272"/>
        <w:gridCol w:w="808"/>
        <w:gridCol w:w="1479"/>
        <w:gridCol w:w="226"/>
        <w:gridCol w:w="1093"/>
        <w:gridCol w:w="707"/>
        <w:gridCol w:w="139"/>
        <w:gridCol w:w="39"/>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陈艽璐</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8221922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2"/>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（一）研究拟订全市文化、旅游、广播电视、网络视听节目服务管理、文物和博物馆事业的政策措施，加强广播电视阵地管理，把握正确的舆论导向和创作导向。起草文化、文物事业的地方性法规、规章草案。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（二）统筹规划文化事业、文化产业、旅游业、广播电视业和文物事业发展，拟订发展规划并组织实施，推进文化和旅游融合发展，推进文化和旅游体制机制改革。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（四）指导、管理文艺事业，指导艺术创作生产，扶持体现社会主义核心价值观、具有导向性代表性示范性的文艺作品，推动各门类艺术、各艺术品种发展。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（六）指导、推进文化和旅游科技创新发展，推进文化和旅游行业信息化、标准化建设。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（七）负责推动完善全市文物和博物馆公共文化服务体系建设，拟定文物和博物馆公共资源共享规划并推动实施。指导全市文物和博物馆的业务工作，协调博物馆间的交流与协作。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（八）负责全市非物质文化遗产保护，推动非物质文化遗产的保护、传承、普及、弘扬和振兴。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九）统筹规划全市文化产业和旅游产业，组织实施文化和旅游资源普查、挖掘、保护和利用工作，促进文化产业和旅游产业发展。指导、协调、推动广播电视领域产业发展，制定发展规划、产业政策并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(十一) 指导全市文化市场综合执法，组织查处全市性、跨区域文化、文物、出版、广播电视、电影、旅游等市场的违法行为，督查督办大案要案，维护市场秩序。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(十二) 指导、管理全市文化、旅游、广播电视和文物对外及对港澳台交流、合作和宣传、推广工作，组织大型文化和旅游对外及对港澳台交流活动，推动岳阳文化走出去。负责广播电视节目的进口、收录和管理。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(十三) 指导电视剧行业发展和电视剧创作生产。监督管理、审查广播电视节目、网络视听节目的内容和质量。指导、监管广播电视广告播放。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(十四) 指导、协调广播电视全市性重大宣传活动，指导实施广播电视节目评价工作。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(十五) 负责推进广播电视与新媒体新技术新业态融合发展，推进广电网与电信网、互联网三网融合。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(十六) 组织制定广播电视科技发展规划、政策并组织实施和监督检查。负责对广播电视节目传输覆盖、监测和安全播出进行监管，指导、推进国家应急广播体系建设。指导、协调广播电视系统安全和保卫工作。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(十七) 指导文化、旅游、广播电视、网络视听、文物等行业人才队伍建设。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(十八) 协调指导全市文物和博物馆安全防范工作。履行文物行政执法督察和文物安全督察职责，配合有关部门查处文物违法的重大案件。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(十九)  承办市委、市政府交办的其他任务。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val="en-US" w:eastAsia="zh-CN"/>
              </w:rPr>
              <w:t>坚守阵地，打好行业疫情防控战役。</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2：多方助力，加速文化旅游行业复苏。</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3：巩固成果，完善公共文化服务体系。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4：抓牢契机，推进文化旅游改革发展。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5：坚持发展，加快文化旅游产业融合。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6：突出重点，抓好岳阳文旅对外营销。</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7：强化抓手，树立文化旅游岳阳形象。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8：严格执法，强化行业整治屡办大案。</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9：推进保护，激发文化旅游发展动力。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10：守正创新，维护意识形态领域安全。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2"/>
            <w:vAlign w:val="center"/>
          </w:tcPr>
          <w:p>
            <w:pPr>
              <w:autoSpaceDN w:val="0"/>
              <w:spacing w:line="320" w:lineRule="exact"/>
              <w:ind w:firstLine="420" w:firstLineChars="200"/>
              <w:jc w:val="left"/>
              <w:textAlignment w:val="center"/>
              <w:rPr>
                <w:rFonts w:ascii="仿宋_GB2312" w:hAnsi="仿宋_GB2312" w:eastAsia="仿宋_GB2312" w:cs="仿宋_GB2312"/>
                <w:color w:val="000000"/>
                <w:sz w:val="24"/>
              </w:rPr>
            </w:pPr>
            <w:r>
              <w:rPr>
                <w:rFonts w:hint="eastAsia" w:ascii="微软雅黑" w:hAnsi="微软雅黑" w:eastAsia="微软雅黑" w:cs="微软雅黑"/>
                <w:i w:val="0"/>
                <w:iCs w:val="0"/>
                <w:caps w:val="0"/>
                <w:color w:val="555555"/>
                <w:spacing w:val="0"/>
                <w:kern w:val="0"/>
                <w:sz w:val="21"/>
                <w:szCs w:val="21"/>
                <w:shd w:val="clear" w:fill="FFFFFF"/>
                <w:lang w:val="en-US" w:eastAsia="zh-CN" w:bidi="ar"/>
              </w:rPr>
              <w:t>2020年是文旅融合的第二年，也是一路披荆斩棘、艰难前行的极不平凡的一年。全市文旅广电部门围绕打好“两场战役”，聚焦抗疫情、补短板、保要素、促融合，持续打造“岳阳天下楼 洞庭天下水”旅游形象品牌，扎实推进文化旅游产业加快恢复增长并高质量发展。2020年，预计全市文化产业总产值637.3亿元，同比增长14.6%；增加值为250.6亿元，同比增长8.58%，占GDP比重为6.26%，占比提升0.16个百分点；接待国内外游客5792.069万人次，同比恢复84.43%；旅游总收入579.311亿元，同比恢复87.1%。岳阳市被评为省政府2020年文化和旅游真抓实干督查激励先进市州。市文旅广电局连续两年荣获全市综合绩效考评先进单位、全市安全生产工作优秀单位、全市平安建设工作先进单位、全市信访工作优胜单位四大市级考核“大满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23"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2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157" w:type="dxa"/>
            <w:gridSpan w:val="2"/>
            <w:tcBorders>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14533.49</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2789.62</w:t>
            </w:r>
          </w:p>
        </w:tc>
        <w:tc>
          <w:tcPr>
            <w:tcW w:w="1080" w:type="dxa"/>
            <w:gridSpan w:val="2"/>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12610.26</w:t>
            </w:r>
          </w:p>
        </w:tc>
        <w:tc>
          <w:tcPr>
            <w:tcW w:w="1705" w:type="dxa"/>
            <w:gridSpan w:val="2"/>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0.00</w:t>
            </w:r>
          </w:p>
        </w:tc>
        <w:tc>
          <w:tcPr>
            <w:tcW w:w="1800" w:type="dxa"/>
            <w:gridSpan w:val="2"/>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136.19</w:t>
            </w:r>
          </w:p>
        </w:tc>
        <w:tc>
          <w:tcPr>
            <w:tcW w:w="1080" w:type="dxa"/>
            <w:gridSpan w:val="3"/>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862.32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7011.07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862.19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6792.17</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岳阳市群众艺术馆</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531.87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213.88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270.99</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3、</w:t>
            </w:r>
            <w:r>
              <w:rPr>
                <w:rFonts w:hint="eastAsia" w:ascii="仿宋_GB2312" w:hAnsi="宋体" w:eastAsia="仿宋_GB2312" w:cs="仿宋_GB2312"/>
                <w:color w:val="000000"/>
                <w:kern w:val="0"/>
                <w:sz w:val="22"/>
                <w:szCs w:val="22"/>
                <w:lang w:bidi="ar"/>
              </w:rPr>
              <w:t>岳阳市文学艺术研究所</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227.76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16.96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96.10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岳阳市巴陵戏剧传承研究院</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1806.83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295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1355.04</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8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156.79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5、</w:t>
            </w:r>
            <w:r>
              <w:rPr>
                <w:rFonts w:hint="eastAsia" w:ascii="仿宋_GB2312" w:hAnsi="宋体" w:eastAsia="仿宋_GB2312" w:cs="仿宋_GB2312"/>
                <w:color w:val="000000"/>
                <w:kern w:val="0"/>
                <w:sz w:val="22"/>
                <w:szCs w:val="22"/>
                <w:lang w:bidi="ar"/>
              </w:rPr>
              <w:t>岳阳市图书馆</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697.32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88.87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574.74</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6、</w:t>
            </w:r>
            <w:r>
              <w:rPr>
                <w:rFonts w:hint="eastAsia" w:ascii="仿宋_GB2312" w:hAnsi="宋体" w:eastAsia="仿宋_GB2312" w:cs="仿宋_GB2312"/>
                <w:color w:val="000000"/>
                <w:kern w:val="0"/>
                <w:sz w:val="22"/>
                <w:szCs w:val="22"/>
                <w:lang w:bidi="ar"/>
              </w:rPr>
              <w:t>岳阳市博物馆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1658.85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1002.71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1560.07</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8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7、</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831.154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108.884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573</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136.19</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8、</w:t>
            </w:r>
            <w:r>
              <w:rPr>
                <w:rFonts w:hint="eastAsia" w:ascii="仿宋_GB2312" w:hAnsi="宋体" w:eastAsia="仿宋_GB2312" w:cs="仿宋_GB2312"/>
                <w:color w:val="000000"/>
                <w:kern w:val="0"/>
                <w:sz w:val="22"/>
                <w:szCs w:val="22"/>
                <w:lang w:bidi="ar"/>
              </w:rPr>
              <w:t>岳阳市美术馆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245.32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39.70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163.62</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9、</w:t>
            </w:r>
            <w:r>
              <w:rPr>
                <w:rFonts w:hint="eastAsia" w:ascii="仿宋_GB2312" w:hAnsi="宋体" w:eastAsia="仿宋_GB2312" w:cs="仿宋_GB2312"/>
                <w:color w:val="000000"/>
                <w:kern w:val="0"/>
                <w:sz w:val="22"/>
                <w:szCs w:val="22"/>
                <w:lang w:bidi="ar"/>
              </w:rPr>
              <w:t>岳阳市城区文物保护中心</w:t>
            </w:r>
          </w:p>
        </w:tc>
        <w:tc>
          <w:tcPr>
            <w:tcW w:w="1157" w:type="dxa"/>
            <w:gridSpan w:val="2"/>
            <w:tcBorders>
              <w:right w:val="single" w:color="auto" w:sz="4" w:space="0"/>
            </w:tcBorders>
            <w:vAlign w:val="center"/>
          </w:tcPr>
          <w:p>
            <w:pPr>
              <w:tabs>
                <w:tab w:val="left" w:pos="515"/>
              </w:tabs>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511.56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33.95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420.11</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0</w:t>
            </w:r>
          </w:p>
        </w:tc>
        <w:tc>
          <w:tcPr>
            <w:tcW w:w="180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10、</w:t>
            </w:r>
            <w:r>
              <w:rPr>
                <w:rFonts w:hint="eastAsia" w:ascii="仿宋_GB2312" w:hAnsi="宋体" w:eastAsia="仿宋_GB2312" w:cs="仿宋_GB2312"/>
                <w:color w:val="000000"/>
                <w:kern w:val="0"/>
                <w:sz w:val="22"/>
                <w:szCs w:val="22"/>
                <w:lang w:bidi="ar"/>
              </w:rPr>
              <w:t>岳阳市文化市场综合执法局</w:t>
            </w:r>
          </w:p>
        </w:tc>
        <w:tc>
          <w:tcPr>
            <w:tcW w:w="1157"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1011.76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127.48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804.42</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33" w:type="dxa"/>
            <w:gridSpan w:val="7"/>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8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85"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93"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8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0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23"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7" w:type="dxa"/>
            <w:gridSpan w:val="2"/>
            <w:tcBorders>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14169.99 </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6111.79 </w:t>
            </w:r>
          </w:p>
        </w:tc>
        <w:tc>
          <w:tcPr>
            <w:tcW w:w="1080" w:type="dxa"/>
            <w:gridSpan w:val="2"/>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4432.40 </w:t>
            </w:r>
          </w:p>
        </w:tc>
        <w:tc>
          <w:tcPr>
            <w:tcW w:w="1705" w:type="dxa"/>
            <w:gridSpan w:val="2"/>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1671.06 </w:t>
            </w:r>
          </w:p>
        </w:tc>
        <w:tc>
          <w:tcPr>
            <w:tcW w:w="1093" w:type="dxa"/>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7855.08 </w:t>
            </w:r>
          </w:p>
        </w:tc>
        <w:tc>
          <w:tcPr>
            <w:tcW w:w="885" w:type="dxa"/>
            <w:gridSpan w:val="3"/>
            <w:tcBorders>
              <w:righ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1126.97 </w:t>
            </w:r>
          </w:p>
        </w:tc>
        <w:tc>
          <w:tcPr>
            <w:tcW w:w="902" w:type="dxa"/>
            <w:tcBorders>
              <w:left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rPr>
            </w:pPr>
            <w:r>
              <w:rPr>
                <w:rFonts w:hint="default" w:ascii="仿宋_GB2312" w:hAnsi="宋体" w:eastAsia="仿宋_GB2312" w:cs="仿宋_GB2312"/>
                <w:i w:val="0"/>
                <w:iCs w:val="0"/>
                <w:color w:val="000000"/>
                <w:kern w:val="0"/>
                <w:sz w:val="24"/>
                <w:szCs w:val="24"/>
                <w:u w:val="none"/>
                <w:lang w:val="en-US" w:eastAsia="zh-CN" w:bidi="ar"/>
              </w:rPr>
              <w:t xml:space="preserve">2238.56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7201.32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1888.71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1468.25</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420.46</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5312.61</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671.94</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岳阳市群众艺术馆</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531.87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315.31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198.77</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116.54</w:t>
            </w:r>
          </w:p>
        </w:tc>
        <w:tc>
          <w:tcPr>
            <w:tcW w:w="1093"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102.04</w:t>
            </w:r>
          </w:p>
        </w:tc>
        <w:tc>
          <w:tcPr>
            <w:tcW w:w="88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114.52</w:t>
            </w:r>
          </w:p>
        </w:tc>
        <w:tc>
          <w:tcPr>
            <w:tcW w:w="90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114.52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kern w:val="0"/>
                <w:sz w:val="22"/>
                <w:szCs w:val="22"/>
                <w:lang w:val="en-US" w:eastAsia="zh-CN" w:bidi="ar"/>
              </w:rPr>
              <w:t>3、</w:t>
            </w:r>
            <w:r>
              <w:rPr>
                <w:rFonts w:hint="eastAsia" w:ascii="仿宋_GB2312" w:hAnsi="宋体" w:eastAsia="仿宋_GB2312" w:cs="仿宋_GB2312"/>
                <w:color w:val="000000"/>
                <w:kern w:val="0"/>
                <w:sz w:val="22"/>
                <w:szCs w:val="22"/>
                <w:lang w:bidi="ar"/>
              </w:rPr>
              <w:t>岳阳市文学艺术研究所</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227.76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199.11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71.37</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127.74</w:t>
            </w:r>
          </w:p>
        </w:tc>
        <w:tc>
          <w:tcPr>
            <w:tcW w:w="1093"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28.65</w:t>
            </w:r>
          </w:p>
        </w:tc>
        <w:tc>
          <w:tcPr>
            <w:tcW w:w="88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c>
          <w:tcPr>
            <w:tcW w:w="90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岳阳市巴陵戏剧传承研究院</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1511.70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1089.50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926.20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163.30</w:t>
            </w:r>
          </w:p>
        </w:tc>
        <w:tc>
          <w:tcPr>
            <w:tcW w:w="1093"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422.20</w:t>
            </w:r>
          </w:p>
        </w:tc>
        <w:tc>
          <w:tcPr>
            <w:tcW w:w="88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c>
          <w:tcPr>
            <w:tcW w:w="90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5、</w:t>
            </w:r>
            <w:r>
              <w:rPr>
                <w:rFonts w:hint="eastAsia" w:ascii="仿宋_GB2312" w:hAnsi="宋体" w:eastAsia="仿宋_GB2312" w:cs="仿宋_GB2312"/>
                <w:color w:val="000000"/>
                <w:kern w:val="0"/>
                <w:sz w:val="22"/>
                <w:szCs w:val="22"/>
                <w:lang w:bidi="ar"/>
              </w:rPr>
              <w:t>岳阳市图书馆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697.32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491.65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402.61</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89.04</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138.87</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66.8</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6、</w:t>
            </w:r>
            <w:r>
              <w:rPr>
                <w:rFonts w:hint="eastAsia" w:ascii="仿宋_GB2312" w:hAnsi="宋体" w:eastAsia="仿宋_GB2312" w:cs="仿宋_GB2312"/>
                <w:color w:val="000000"/>
                <w:kern w:val="0"/>
                <w:sz w:val="22"/>
                <w:szCs w:val="22"/>
                <w:lang w:bidi="ar"/>
              </w:rPr>
              <w:t>岳阳市博物馆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1602.57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314.49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214.44</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100.05</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1288.08</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56.28</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7、</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831.154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632.9811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268.6883</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355.9565</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198.1729</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8.3363</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8、</w:t>
            </w:r>
            <w:r>
              <w:rPr>
                <w:rFonts w:hint="eastAsia" w:ascii="仿宋_GB2312" w:hAnsi="宋体" w:eastAsia="仿宋_GB2312" w:cs="仿宋_GB2312"/>
                <w:color w:val="000000"/>
                <w:kern w:val="0"/>
                <w:sz w:val="22"/>
                <w:szCs w:val="22"/>
                <w:lang w:bidi="ar"/>
              </w:rPr>
              <w:t>岳阳市美术馆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245.32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148.01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77.26</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70.75</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75.51</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21.8</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9、</w:t>
            </w:r>
            <w:r>
              <w:rPr>
                <w:rFonts w:hint="eastAsia" w:ascii="仿宋_GB2312" w:hAnsi="宋体" w:eastAsia="仿宋_GB2312" w:cs="仿宋_GB2312"/>
                <w:color w:val="000000"/>
                <w:kern w:val="0"/>
                <w:sz w:val="22"/>
                <w:szCs w:val="22"/>
                <w:lang w:bidi="ar"/>
              </w:rPr>
              <w:t>岳阳市城区文物保护中心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420.46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163.91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98.60</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65.31</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256.55</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76.05</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10、</w:t>
            </w:r>
            <w:r>
              <w:rPr>
                <w:rFonts w:hint="eastAsia" w:ascii="仿宋_GB2312" w:hAnsi="宋体" w:eastAsia="仿宋_GB2312" w:cs="仿宋_GB2312"/>
                <w:color w:val="000000"/>
                <w:kern w:val="0"/>
                <w:sz w:val="22"/>
                <w:szCs w:val="22"/>
                <w:lang w:bidi="ar"/>
              </w:rPr>
              <w:t>岳阳市文化市场综合执法局</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900.52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868.12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706.21</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161.91</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111.24</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23"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7" w:type="dxa"/>
            <w:gridSpan w:val="2"/>
            <w:tcBorders>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eastAsia="zh-CN"/>
              </w:rPr>
            </w:pPr>
            <w:r>
              <w:rPr>
                <w:rFonts w:hint="eastAsia" w:ascii="宋体" w:hAnsi="宋体" w:eastAsia="宋体" w:cs="宋体"/>
                <w:i w:val="0"/>
                <w:iCs w:val="0"/>
                <w:color w:val="000000"/>
                <w:kern w:val="0"/>
                <w:sz w:val="24"/>
                <w:szCs w:val="24"/>
                <w:u w:val="none"/>
                <w:lang w:val="en-US" w:eastAsia="zh-CN" w:bidi="ar"/>
              </w:rPr>
              <w:t>30.96</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17.60</w:t>
            </w:r>
          </w:p>
        </w:tc>
        <w:tc>
          <w:tcPr>
            <w:tcW w:w="1080"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13.36</w:t>
            </w:r>
          </w:p>
        </w:tc>
        <w:tc>
          <w:tcPr>
            <w:tcW w:w="1705"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0.00</w:t>
            </w:r>
          </w:p>
        </w:tc>
        <w:tc>
          <w:tcPr>
            <w:tcW w:w="2880" w:type="dxa"/>
            <w:gridSpan w:val="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14.81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岳阳市群众艺术馆</w:t>
            </w:r>
          </w:p>
        </w:tc>
        <w:tc>
          <w:tcPr>
            <w:tcW w:w="1157"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3、</w:t>
            </w:r>
            <w:r>
              <w:rPr>
                <w:rFonts w:hint="eastAsia" w:ascii="仿宋_GB2312" w:hAnsi="宋体" w:eastAsia="仿宋_GB2312" w:cs="仿宋_GB2312"/>
                <w:color w:val="000000"/>
                <w:kern w:val="0"/>
                <w:sz w:val="22"/>
                <w:szCs w:val="22"/>
                <w:lang w:bidi="ar"/>
              </w:rPr>
              <w:t>岳阳市文学艺术研究所</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0.61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0.61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岳阳市巴陵戏剧传承研究院</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5、</w:t>
            </w:r>
            <w:r>
              <w:rPr>
                <w:rFonts w:hint="eastAsia" w:ascii="仿宋_GB2312" w:hAnsi="宋体" w:eastAsia="仿宋_GB2312" w:cs="仿宋_GB2312"/>
                <w:color w:val="000000"/>
                <w:kern w:val="0"/>
                <w:sz w:val="22"/>
                <w:szCs w:val="22"/>
                <w:lang w:bidi="ar"/>
              </w:rPr>
              <w:t>岳阳市图书馆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0.42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0.42</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6、</w:t>
            </w:r>
            <w:r>
              <w:rPr>
                <w:rFonts w:hint="eastAsia" w:ascii="仿宋_GB2312" w:hAnsi="宋体" w:eastAsia="仿宋_GB2312" w:cs="仿宋_GB2312"/>
                <w:color w:val="000000"/>
                <w:kern w:val="0"/>
                <w:sz w:val="22"/>
                <w:szCs w:val="22"/>
                <w:lang w:bidi="ar"/>
              </w:rPr>
              <w:t>岳阳市博物馆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7、</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8、</w:t>
            </w:r>
            <w:r>
              <w:rPr>
                <w:rFonts w:hint="eastAsia" w:ascii="仿宋_GB2312" w:hAnsi="宋体" w:eastAsia="仿宋_GB2312" w:cs="仿宋_GB2312"/>
                <w:color w:val="000000"/>
                <w:kern w:val="0"/>
                <w:sz w:val="22"/>
                <w:szCs w:val="22"/>
                <w:lang w:bidi="ar"/>
              </w:rPr>
              <w:t>岳阳市美术馆</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9、</w:t>
            </w:r>
            <w:r>
              <w:rPr>
                <w:rFonts w:hint="eastAsia" w:ascii="仿宋_GB2312" w:hAnsi="宋体" w:eastAsia="仿宋_GB2312" w:cs="仿宋_GB2312"/>
                <w:color w:val="000000"/>
                <w:kern w:val="0"/>
                <w:sz w:val="22"/>
                <w:szCs w:val="22"/>
                <w:lang w:bidi="ar"/>
              </w:rPr>
              <w:t>岳阳市城区文物保护中心</w:t>
            </w:r>
          </w:p>
        </w:tc>
        <w:tc>
          <w:tcPr>
            <w:tcW w:w="1157"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10、</w:t>
            </w:r>
            <w:r>
              <w:rPr>
                <w:rFonts w:hint="eastAsia" w:ascii="仿宋_GB2312" w:hAnsi="宋体" w:eastAsia="仿宋_GB2312" w:cs="仿宋_GB2312"/>
                <w:color w:val="000000"/>
                <w:kern w:val="0"/>
                <w:sz w:val="22"/>
                <w:szCs w:val="22"/>
                <w:lang w:bidi="ar"/>
              </w:rPr>
              <w:t>岳阳市文化市场综合执法局</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12.43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5.93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5"/>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23"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157" w:type="dxa"/>
            <w:gridSpan w:val="2"/>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4426.09</w:t>
            </w:r>
          </w:p>
        </w:tc>
        <w:tc>
          <w:tcPr>
            <w:tcW w:w="2435" w:type="dxa"/>
            <w:gridSpan w:val="4"/>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4426.09</w:t>
            </w:r>
          </w:p>
        </w:tc>
        <w:tc>
          <w:tcPr>
            <w:tcW w:w="3644"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1045.82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1045.82</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2、</w:t>
            </w:r>
            <w:r>
              <w:rPr>
                <w:rFonts w:hint="eastAsia" w:ascii="仿宋_GB2312" w:hAnsi="宋体" w:eastAsia="仿宋_GB2312" w:cs="仿宋_GB2312"/>
                <w:color w:val="000000"/>
                <w:kern w:val="0"/>
                <w:sz w:val="22"/>
                <w:szCs w:val="22"/>
                <w:lang w:bidi="ar"/>
              </w:rPr>
              <w:t>岳阳市群众艺术馆</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214.72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214.72</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ascii="仿宋_GB2312" w:hAnsi="仿宋_GB2312" w:eastAsia="仿宋_GB2312" w:cs="仿宋_GB2312"/>
                <w:sz w:val="24"/>
              </w:rPr>
            </w:pPr>
            <w:r>
              <w:rPr>
                <w:rFonts w:hint="eastAsia" w:ascii="仿宋_GB2312" w:hAnsi="宋体" w:eastAsia="仿宋_GB2312" w:cs="仿宋_GB2312"/>
                <w:color w:val="000000"/>
                <w:kern w:val="0"/>
                <w:sz w:val="22"/>
                <w:szCs w:val="22"/>
                <w:lang w:val="en-US" w:eastAsia="zh-CN" w:bidi="ar"/>
              </w:rPr>
              <w:t>3、</w:t>
            </w:r>
            <w:r>
              <w:rPr>
                <w:rFonts w:hint="eastAsia" w:ascii="仿宋_GB2312" w:hAnsi="宋体" w:eastAsia="仿宋_GB2312" w:cs="仿宋_GB2312"/>
                <w:color w:val="000000"/>
                <w:kern w:val="0"/>
                <w:sz w:val="22"/>
                <w:szCs w:val="22"/>
                <w:lang w:bidi="ar"/>
              </w:rPr>
              <w:t>岳阳市文学艺术研究所</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10.75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10.75</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4、</w:t>
            </w:r>
            <w:r>
              <w:rPr>
                <w:rFonts w:hint="eastAsia" w:ascii="仿宋_GB2312" w:hAnsi="宋体" w:eastAsia="仿宋_GB2312" w:cs="仿宋_GB2312"/>
                <w:color w:val="000000"/>
                <w:kern w:val="0"/>
                <w:sz w:val="22"/>
                <w:szCs w:val="22"/>
                <w:lang w:bidi="ar"/>
              </w:rPr>
              <w:t>岳阳市巴陵戏剧传承研究院</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498.55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498.55</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5、</w:t>
            </w:r>
            <w:r>
              <w:rPr>
                <w:rFonts w:hint="eastAsia" w:ascii="仿宋_GB2312" w:hAnsi="宋体" w:eastAsia="仿宋_GB2312" w:cs="仿宋_GB2312"/>
                <w:color w:val="000000"/>
                <w:kern w:val="0"/>
                <w:sz w:val="22"/>
                <w:szCs w:val="22"/>
                <w:lang w:bidi="ar"/>
              </w:rPr>
              <w:t>岳阳市图书馆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1194.65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1194.65</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6、</w:t>
            </w:r>
            <w:r>
              <w:rPr>
                <w:rFonts w:hint="eastAsia" w:ascii="仿宋_GB2312" w:hAnsi="宋体" w:eastAsia="仿宋_GB2312" w:cs="仿宋_GB2312"/>
                <w:color w:val="000000"/>
                <w:kern w:val="0"/>
                <w:sz w:val="22"/>
                <w:szCs w:val="22"/>
                <w:lang w:bidi="ar"/>
              </w:rPr>
              <w:t>岳阳市博物馆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279.93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279.93</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7、</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1006.26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1006.26</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8、</w:t>
            </w:r>
            <w:r>
              <w:rPr>
                <w:rFonts w:hint="eastAsia" w:ascii="仿宋_GB2312" w:hAnsi="宋体" w:eastAsia="仿宋_GB2312" w:cs="仿宋_GB2312"/>
                <w:color w:val="000000"/>
                <w:kern w:val="0"/>
                <w:sz w:val="22"/>
                <w:szCs w:val="22"/>
                <w:lang w:bidi="ar"/>
              </w:rPr>
              <w:t>岳阳市美术馆</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9.6</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9.6</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9、</w:t>
            </w:r>
            <w:r>
              <w:rPr>
                <w:rFonts w:hint="eastAsia" w:ascii="仿宋_GB2312" w:hAnsi="宋体" w:eastAsia="仿宋_GB2312" w:cs="仿宋_GB2312"/>
                <w:color w:val="000000"/>
                <w:kern w:val="0"/>
                <w:sz w:val="22"/>
                <w:szCs w:val="22"/>
                <w:lang w:bidi="ar"/>
              </w:rPr>
              <w:t>岳阳市城区文物保护中心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22.99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22.99</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default"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10、</w:t>
            </w:r>
            <w:r>
              <w:rPr>
                <w:rFonts w:hint="eastAsia" w:ascii="仿宋_GB2312" w:hAnsi="宋体" w:eastAsia="仿宋_GB2312" w:cs="仿宋_GB2312"/>
                <w:color w:val="000000"/>
                <w:kern w:val="0"/>
                <w:sz w:val="22"/>
                <w:szCs w:val="22"/>
                <w:lang w:bidi="ar"/>
              </w:rPr>
              <w:t>岳阳市文化市场综合执法局</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142.82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142.82</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坚守阵地，打好行业疫情防控战役。</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目标2：多方助力，加速文化旅游行业复苏。</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目标3：巩固成果，完善公共文化服务体系。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目标4：抓牢契机，推进文化旅游改革发展。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目标5：坚持发展，加快文化旅游产业融合。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目标6：突出重点，抓好岳阳文旅对外营销。</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目标7：强化抓手，树立文化旅游岳阳形象。</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目标8：严格执法，强化行业整治屡办大案。</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目标9：推进保护，激发文化旅游发展动力。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目标10：守正创新，维护意识形态领域安全。</w:t>
            </w:r>
          </w:p>
        </w:tc>
        <w:tc>
          <w:tcPr>
            <w:tcW w:w="4585"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全系统共出动7万余人次，督查文旅单位1万余家次，坚决切断新冠病毒在文旅服务场所的传播。切实做好滞留游客安置，协调宾馆接待特殊人群，累计入住湖北籍客人10522人次、一线医务人员10812人次。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对符合条件的优秀旅游企业，发放奖励性补助220多万元。为帮助旅行社渡过难关，退还35家旅行社质保金共692万元。组织“抗击疫情、共助文旅”在线培训和乡村振兴与文旅行业扶贫专题培训，为旅游市场复苏向好做好准备。与多家网络平台合作，共组织13场大型直播宣传，有153.1万人在网上观看直播，点赞量达到10.5万次；网络主题宣传生成流量总计1.4亿次，其中岳阳累计曝光3000余万，增强了岳阳旅游吸引力。</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市图书馆、市美术馆新馆和洞庭湖博物馆正式开放，成为我市新的文旅地标，其中市图书馆、市美术馆新馆日接待人数最高突破9000人。市已建有图书馆分馆和文化馆分馆各57个，基本实现了管理智能化、服务信息化、资源数字化。继续打造“欢乐潇湘”群众文化活动品牌，其中小戏《学藤编》参加全省“欢乐潇湘”精准扶贫优秀节目巡演。举办岳阳市第一届街头文化艺术节系列活动，把文艺大餐送到景区。举办第四届岳阳文化艺术节暨惠民演出季活动，包括7大板块、100多场活动，历时6个多月。在落实常态化疫情防控措施的前提下，开展送文化下乡演出726场，惠及群众30余万人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按照中央和省委关于深化文化市场等5个领域综合执法改革部署,理顺文化市场综合执法体制，提高市场监管效率。推进事企改革。推进经营性事业单位改企工作，君山公园和岳阳楼景区顺利移交市城投集团，涉改人员776人。君山公园改革实现四个“第一”，第一个批复改革方案，第一个启动清产核资，第一个召开职代会，第一个完成改革移交。60年以上成立史，18年改革史，我们仅用4个月时间，顺利完成改革任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将文旅产业作为七大千亿产业“12+1”产业链之一，成立市文旅产业链，市委、市政府分管领导担任链长。2020年新增文化“四上”企业92家，目前全市文化“四上”企业数量占全市“四上”企业总数的10.5%。全市23个重点文旅在建项目总投资599.4亿元，年度计划投资63.1亿元，实际完成投资65.3亿元。鱼巷子国庆节开街，岳阳铂尔曼、希尔顿欢朋酒店、荣湖大酒店正式运营。成功签约总投资450亿的岳阳融创环球文旅国际会议会展项目、总投资45亿元的岳阳县桃李春风文旅小镇、总投资10亿元的岳阳楼区自在云梦泽养生谷项目等，将有力助推我市文旅产业高质量发展。</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做客央广交通频道直播间，局长当导游，面向全国观众宣传岳阳文化旅游。两次在长沙地铁开展了岳阳旅游宣传，共为期5个月，上刊120个宣传灯箱，开通2辆岳阳旅游全景列车。拓展高铁、游轮市场，共接待旅游高铁10个专列，游轮6个航次。组织开展“锦绣潇湘·惠游岳阳·大美南湖”惠民旅游消费季等活动，激发了文旅市场活力。机场、高铁、高速旅游标识标牌和户外宣传逐步完善。“天下洞庭·湿地生态游（环洞庭湖板块）”入选5条“锦绣潇湘”湖南旅游精品线路之一。牵头组织2020年岳阳国际旅游节，创意新、亮点多、参与广，全国80多家省级以上网络媒体进行直播，抖音、快手、火山视频、芒果V直播等全国网络平台进行直播和宣传，曝光流量超过5亿人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平江县、岳阳县成功创建省全域旅游示范区，天岳幕阜山、屈子文化园、洋沙湖景区晋升国家4A级景区，张谷英镇入选湖南省十大文化旅游特色小镇；临湘市羊楼司镇龙窖山村和屈原区河市镇三和村入选全国乡村旅游重点村，岳阳县三和村和临湘市梅池村入选省乡村旅游重点村。全市共创作大小剧本36个，进一步擦亮了“文艺岳家军”的招牌。</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8：与公安部门联合开展娱乐服务场所“毒黄赌”问题专项整治，为期4个月，共出动执法人员3500余人次，检查娱乐服务场所1746家次，有效遏制了“毒黄赌”问题抬头的趋势。查处某天龙八部私服涉嫌利用网络侵犯著作权案等7起重大案件，其中2起案件被全国“扫黄打非”办和公安部重点挂牌督办。市文化市场综合行政执法支队被文旅部评为重大案件办案单位，支队的大要案件查办经验作为典型在全省文旅执法队伍中予以推广。</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9：争取省级以上文物保护资金3411万，全年共申报全国重点文物保护单位项目计划48个、省级文物保护单位项目计划7个，对文物保护项目全过程监管，完成10个文物保护工程验收。湖南省文物考古研究所湘东北考古工作站正式在华容县东山镇挂牌；华容七星墩遗址成功入围2020年度全国十大考古新发现20强，是湖南唯一入围的考古新发现；华容七星墩遗址、平江大湖坪遗址被评为“十三五”湖南考古十大新发现；完成对岳阳机场扩建工程项目、湖南交通学院湘阴新址建设项目等48个建设工程项目的考古调查勘探工作。山银针茶制作技艺、岳州扇制作技艺入选第五批国家级非物质文化遗产代表性项目名单。</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10：全市广播电视播出机构共播放创作公益宣传片广告电视类101条、广播类48条、播放公益广告74280次，总计播放时间21950分钟，推送到“学习强国”、“今日头条”、“智慧岳阳”、“岳阳新闻网”等平台，点击率高达40多万次。</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60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指标1：提升图书馆免费开放服务水平，保证各服务窗口正常开放，读者满意率达到95%以上。</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指标2：组织创作抗击疫情文艺作品1500多篇（幅）、曲艺作品100多个</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：市图书馆、市美术馆新馆和洞庭湖博物馆正式开放，成为我市新的文旅地标</w:t>
            </w:r>
          </w:p>
        </w:tc>
        <w:tc>
          <w:tcPr>
            <w:tcW w:w="1787" w:type="dxa"/>
            <w:gridSpan w:val="4"/>
            <w:vAlign w:val="center"/>
          </w:tcPr>
          <w:p>
            <w:pPr>
              <w:autoSpaceDN w:val="0"/>
              <w:spacing w:line="320" w:lineRule="exact"/>
              <w:jc w:val="center"/>
              <w:textAlignment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指标1：全年共申报全国重点文物保护单位项目计划48个、省级文物保护单位项目计划7个，对文物保护项目全过程监管，完成10个文物保护工程验收</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指标2：开展送文化下乡演出726场，惠及群众30余万人次</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：组织13场大型直播宣传，有153.1万人在网上观看直播，点赞量达到10.5万次</w:t>
            </w:r>
          </w:p>
        </w:tc>
        <w:tc>
          <w:tcPr>
            <w:tcW w:w="1787" w:type="dxa"/>
            <w:gridSpan w:val="4"/>
            <w:vAlign w:val="center"/>
          </w:tcPr>
          <w:p>
            <w:pPr>
              <w:autoSpaceDN w:val="0"/>
              <w:spacing w:line="320" w:lineRule="exact"/>
              <w:jc w:val="center"/>
              <w:textAlignment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与公安部门联合开展娱乐服务场所“毒黄赌”问题专项整治，为期4个月</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指标2：两次在长沙地铁开展了岳阳旅游宣传，共为期5个月</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指标1：争取省级以上文物保护资金3411万</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指标2：全市23个重点文旅在建项目总投资599.4亿元，年度计划投资63.1亿元，实际完成投资65.3亿元</w:t>
            </w:r>
          </w:p>
        </w:tc>
        <w:tc>
          <w:tcPr>
            <w:tcW w:w="1787" w:type="dxa"/>
            <w:gridSpan w:val="4"/>
            <w:vAlign w:val="center"/>
          </w:tcPr>
          <w:p>
            <w:pPr>
              <w:autoSpaceDN w:val="0"/>
              <w:spacing w:line="320" w:lineRule="exact"/>
              <w:jc w:val="center"/>
              <w:textAlignment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指标1：切实做好滞留游客安置，协调宾馆接待特殊人群，累计入住湖北籍客人10522人次、一线医务人员10812人次</w:t>
            </w:r>
            <w:r>
              <w:rPr>
                <w:rFonts w:hint="eastAsia" w:ascii="仿宋_GB2312" w:hAnsi="仿宋_GB2312" w:eastAsia="仿宋_GB2312" w:cs="仿宋_GB2312"/>
                <w:color w:val="000000"/>
                <w:sz w:val="24"/>
                <w:lang w:eastAsia="zh-CN"/>
              </w:rPr>
              <w:t>。坚决切断新冠病毒在文旅服务场所的传播</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指标1：预计全市文化产业总产值637.3亿元，同比增长14.6%；增加值为250.6亿元，同比增长8.58%，占GDP比重为6.26%，占比提升0.16个百分点</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指标2：接待国内外游客5792.069万人次，同比恢复84.43%</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：旅游总收入579.311亿元，同比恢复87.1%</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指标1：组织“抗击疫情、共助文旅”在线培训和乡村振兴与文旅行业扶贫专题培训，为旅游市场复苏向好做好准备。</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60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ascii="仿宋" w:hAnsi="仿宋" w:eastAsia="仿宋" w:cs="仿宋"/>
                <w:i w:val="0"/>
                <w:iCs w:val="0"/>
                <w:caps w:val="0"/>
                <w:color w:val="000000"/>
                <w:spacing w:val="0"/>
                <w:sz w:val="24"/>
                <w:szCs w:val="24"/>
                <w:shd w:val="clear" w:fill="FFFFFF"/>
              </w:rPr>
              <w:t>社会公众满意度≧95</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 w:hAnsi="仿宋" w:eastAsia="仿宋" w:cs="仿宋"/>
                <w:i w:val="0"/>
                <w:iCs w:val="0"/>
                <w:caps w:val="0"/>
                <w:color w:val="000000"/>
                <w:spacing w:val="0"/>
                <w:sz w:val="24"/>
                <w:szCs w:val="24"/>
                <w:shd w:val="clear" w:fill="FFFFFF"/>
              </w:rPr>
              <w:t>费荣新</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岳阳市文化旅游广电局</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 w:hAnsi="仿宋" w:eastAsia="仿宋" w:cs="仿宋"/>
                <w:i w:val="0"/>
                <w:iCs w:val="0"/>
                <w:caps w:val="0"/>
                <w:color w:val="000000"/>
                <w:spacing w:val="0"/>
                <w:sz w:val="24"/>
                <w:szCs w:val="24"/>
                <w:shd w:val="clear" w:fill="FFFFFF"/>
              </w:rPr>
              <w:t>罗岳锋</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岳阳市文化旅游广电局</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 w:hAnsi="仿宋" w:eastAsia="仿宋" w:cs="仿宋"/>
                <w:i w:val="0"/>
                <w:iCs w:val="0"/>
                <w:caps w:val="0"/>
                <w:color w:val="000000"/>
                <w:spacing w:val="0"/>
                <w:sz w:val="24"/>
                <w:szCs w:val="24"/>
                <w:shd w:val="clear" w:fill="FFFFFF"/>
              </w:rPr>
              <w:t>孟日清</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岳阳市文化旅游广电局</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一、单位概况</w:t>
            </w:r>
          </w:p>
          <w:p>
            <w:pPr>
              <w:spacing w:line="560" w:lineRule="exact"/>
              <w:ind w:firstLine="560" w:firstLineChars="200"/>
              <w:rPr>
                <w:rFonts w:ascii="微软雅黑" w:hAnsi="微软雅黑" w:eastAsia="微软雅黑" w:cs="微软雅黑"/>
                <w:i w:val="0"/>
                <w:iCs w:val="0"/>
                <w:caps w:val="0"/>
                <w:color w:val="555555"/>
                <w:spacing w:val="0"/>
                <w:sz w:val="21"/>
                <w:szCs w:val="21"/>
              </w:rPr>
            </w:pPr>
            <w:r>
              <w:rPr>
                <w:rFonts w:hint="eastAsia" w:ascii="仿宋_GB2312" w:hAnsi="仿宋_GB2312" w:eastAsia="仿宋_GB2312" w:cs="仿宋_GB2312"/>
                <w:bCs/>
                <w:sz w:val="28"/>
                <w:szCs w:val="28"/>
              </w:rPr>
              <w:t>（一）单位基本情况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岳阳市文化旅游广电局（简称“市文旅广电局”）是负责岳阳市文化、旅游、广播电视和文物工作的统筹、组织、管理、指导等工作的市政府工作部门，为正处级，于2019年1月30日正式挂牌成立，加挂岳阳市文物局牌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根据编委核定，我局内设科室17个。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内设科室分别是：办公室、政策法规科、艺术科、公共服务科、科技教育科、 非物质文化遗产科、产业发展科、 资源开发与全域旅游推进科（红色旅游指导科）、市场管理科（加挂行政审批科）、综合执法监督科、推广传播和交流合作科、文物科、博物馆科、传媒机构管理科、宣传和播出管理科、人事科、财务科。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机关党委（纪委）。负责机关和直属单位的党群、纪检工作。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离退休人员管理服务科。负责离退休人员管理服务工作。</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单位整体支出规模、使用方向和主要</w:t>
            </w:r>
            <w:bookmarkStart w:id="0" w:name="_GoBack"/>
            <w:bookmarkEnd w:id="0"/>
            <w:r>
              <w:rPr>
                <w:rFonts w:hint="eastAsia" w:ascii="仿宋_GB2312" w:hAnsi="仿宋_GB2312" w:eastAsia="仿宋_GB2312" w:cs="仿宋_GB2312"/>
                <w:bCs/>
                <w:sz w:val="28"/>
                <w:szCs w:val="28"/>
              </w:rPr>
              <w:t>内容、涉及范围等</w:t>
            </w:r>
          </w:p>
          <w:p>
            <w:pPr>
              <w:numPr>
                <w:ilvl w:val="0"/>
                <w:numId w:val="0"/>
              </w:numPr>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4"/>
                <w:szCs w:val="24"/>
                <w:lang w:val="en-US" w:eastAsia="zh-CN"/>
              </w:rPr>
              <w:t>2020年收入总计14533.49万元，其中上年结转2789.626万元，财政拨款收入12610.26万元，其他收入862.32万元。全年总支出14169.99万元，其中基本支出6111.79万元，项目支出7855.08万元</w:t>
            </w:r>
            <w:r>
              <w:rPr>
                <w:rFonts w:hint="eastAsia" w:ascii="仿宋_GB2312" w:hAnsi="仿宋_GB2312" w:eastAsia="仿宋_GB2312" w:cs="仿宋_GB2312"/>
                <w:bCs/>
                <w:sz w:val="28"/>
                <w:szCs w:val="28"/>
                <w:lang w:val="en-US" w:eastAsia="zh-CN"/>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400"/>
              <w:jc w:val="both"/>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_GB2312" w:hAnsi="仿宋_GB2312" w:eastAsia="仿宋_GB2312" w:cs="仿宋_GB2312"/>
                <w:bCs/>
                <w:kern w:val="2"/>
                <w:sz w:val="24"/>
                <w:szCs w:val="24"/>
                <w:lang w:val="en-US" w:eastAsia="zh-CN" w:bidi="ar-SA"/>
              </w:rPr>
              <w:t>基本支出主要是为保障单位机构正常运转、完成日常工作任务而发生的各项支出，包括用于基本工资、津贴补贴等人员经费以及办公费、印刷费、水电费、办公设备购置等日常公用经费。2020年基本支出6111.79万元，，其中：人员经费支出4432.4万元；公用经费支出1671.06万元</w:t>
            </w:r>
            <w:r>
              <w:rPr>
                <w:rFonts w:hint="eastAsia" w:ascii="仿宋" w:hAnsi="仿宋" w:eastAsia="仿宋" w:cs="仿宋"/>
                <w:i w:val="0"/>
                <w:iCs w:val="0"/>
                <w:caps w:val="0"/>
                <w:color w:val="000000"/>
                <w:spacing w:val="0"/>
                <w:kern w:val="2"/>
                <w:sz w:val="24"/>
                <w:szCs w:val="24"/>
                <w:shd w:val="clear" w:fill="FFFFFF"/>
                <w:lang w:val="en-US" w:eastAsia="zh-CN" w:bidi="ar-SA"/>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720" w:firstLineChars="300"/>
              <w:rPr>
                <w:rFonts w:hint="eastAsia" w:ascii="仿宋_GB2312" w:hAnsi="仿宋_GB2312" w:eastAsia="仿宋_GB2312" w:cs="仿宋_GB2312"/>
                <w:bCs/>
                <w:sz w:val="28"/>
                <w:szCs w:val="28"/>
              </w:rPr>
            </w:pPr>
            <w:r>
              <w:rPr>
                <w:rFonts w:ascii="仿宋" w:hAnsi="仿宋" w:eastAsia="仿宋" w:cs="仿宋"/>
                <w:i w:val="0"/>
                <w:iCs w:val="0"/>
                <w:caps w:val="0"/>
                <w:color w:val="000000"/>
                <w:spacing w:val="0"/>
                <w:sz w:val="24"/>
                <w:szCs w:val="24"/>
                <w:shd w:val="clear" w:fill="FFFFFF"/>
              </w:rPr>
              <w:t>项目支出</w:t>
            </w:r>
            <w:r>
              <w:rPr>
                <w:rFonts w:hint="eastAsia" w:ascii="仿宋" w:hAnsi="仿宋" w:eastAsia="仿宋" w:cs="仿宋"/>
                <w:i w:val="0"/>
                <w:iCs w:val="0"/>
                <w:color w:val="000000"/>
                <w:kern w:val="0"/>
                <w:sz w:val="24"/>
                <w:szCs w:val="24"/>
                <w:u w:val="none"/>
                <w:lang w:val="en-US" w:eastAsia="zh-CN" w:bidi="ar"/>
              </w:rPr>
              <w:t>7855.08</w:t>
            </w:r>
            <w:r>
              <w:rPr>
                <w:rFonts w:hint="eastAsia" w:ascii="仿宋" w:hAnsi="仿宋" w:eastAsia="仿宋" w:cs="仿宋"/>
                <w:i w:val="0"/>
                <w:iCs w:val="0"/>
                <w:caps w:val="0"/>
                <w:color w:val="000000"/>
                <w:spacing w:val="0"/>
                <w:sz w:val="24"/>
                <w:szCs w:val="24"/>
                <w:shd w:val="clear" w:fill="FFFFFF"/>
              </w:rPr>
              <w:t>万元，</w:t>
            </w:r>
            <w:r>
              <w:rPr>
                <w:rFonts w:hint="eastAsia" w:ascii="仿宋" w:hAnsi="仿宋" w:eastAsia="仿宋" w:cs="仿宋"/>
                <w:i w:val="0"/>
                <w:iCs w:val="0"/>
                <w:caps w:val="0"/>
                <w:color w:val="000000"/>
                <w:spacing w:val="0"/>
                <w:sz w:val="24"/>
                <w:szCs w:val="24"/>
                <w:shd w:val="clear" w:fill="FFFFFF"/>
                <w:lang w:eastAsia="zh-CN"/>
              </w:rPr>
              <w:t>主要用于公共文化基础设施的的建设以及文旅融合建设项目。</w:t>
            </w:r>
            <w:r>
              <w:rPr>
                <w:rFonts w:hint="eastAsia" w:ascii="仿宋" w:hAnsi="仿宋" w:eastAsia="仿宋" w:cs="仿宋"/>
                <w:i w:val="0"/>
                <w:iCs w:val="0"/>
                <w:caps w:val="0"/>
                <w:color w:val="000000"/>
                <w:spacing w:val="0"/>
                <w:sz w:val="24"/>
                <w:szCs w:val="24"/>
                <w:shd w:val="clear" w:fill="FFFFFF"/>
              </w:rPr>
              <w:t>其中：2020年财政通过我局支付了巴陵书香创业馆PPP项目经费3435</w:t>
            </w:r>
            <w:r>
              <w:rPr>
                <w:rFonts w:hint="eastAsia" w:ascii="仿宋" w:hAnsi="仿宋" w:eastAsia="仿宋" w:cs="仿宋"/>
                <w:i w:val="0"/>
                <w:iCs w:val="0"/>
                <w:caps w:val="0"/>
                <w:color w:val="000000"/>
                <w:spacing w:val="0"/>
                <w:sz w:val="24"/>
                <w:szCs w:val="24"/>
                <w:shd w:val="clear" w:fill="FFFFFF"/>
                <w:lang w:val="en-US" w:eastAsia="zh-CN"/>
              </w:rPr>
              <w:t>.</w:t>
            </w:r>
            <w:r>
              <w:rPr>
                <w:rFonts w:hint="eastAsia" w:ascii="仿宋" w:hAnsi="仿宋" w:eastAsia="仿宋" w:cs="仿宋"/>
                <w:i w:val="0"/>
                <w:iCs w:val="0"/>
                <w:caps w:val="0"/>
                <w:color w:val="000000"/>
                <w:spacing w:val="0"/>
                <w:sz w:val="24"/>
                <w:szCs w:val="24"/>
                <w:shd w:val="clear" w:fill="FFFFFF"/>
              </w:rPr>
              <w:t>6</w:t>
            </w:r>
            <w:r>
              <w:rPr>
                <w:rFonts w:hint="eastAsia" w:ascii="仿宋" w:hAnsi="仿宋" w:eastAsia="仿宋" w:cs="仿宋"/>
                <w:i w:val="0"/>
                <w:iCs w:val="0"/>
                <w:caps w:val="0"/>
                <w:color w:val="000000"/>
                <w:spacing w:val="0"/>
                <w:sz w:val="24"/>
                <w:szCs w:val="24"/>
                <w:shd w:val="clear" w:fill="FFFFFF"/>
                <w:lang w:eastAsia="zh-CN"/>
              </w:rPr>
              <w:t>万</w:t>
            </w:r>
            <w:r>
              <w:rPr>
                <w:rFonts w:hint="eastAsia" w:ascii="仿宋" w:hAnsi="仿宋" w:eastAsia="仿宋" w:cs="仿宋"/>
                <w:i w:val="0"/>
                <w:iCs w:val="0"/>
                <w:caps w:val="0"/>
                <w:color w:val="000000"/>
                <w:spacing w:val="0"/>
                <w:sz w:val="24"/>
                <w:szCs w:val="24"/>
                <w:shd w:val="clear" w:fill="FFFFFF"/>
              </w:rPr>
              <w:t>元，</w:t>
            </w:r>
            <w:r>
              <w:rPr>
                <w:rFonts w:hint="eastAsia" w:ascii="仿宋" w:hAnsi="仿宋" w:eastAsia="仿宋" w:cs="仿宋"/>
                <w:i w:val="0"/>
                <w:iCs w:val="0"/>
                <w:caps w:val="0"/>
                <w:color w:val="000000"/>
                <w:spacing w:val="0"/>
                <w:sz w:val="24"/>
                <w:szCs w:val="24"/>
                <w:shd w:val="clear" w:fill="FFFFFF"/>
                <w:lang w:eastAsia="zh-CN"/>
              </w:rPr>
              <w:t>已全部下拨</w:t>
            </w:r>
            <w:r>
              <w:rPr>
                <w:rFonts w:hint="eastAsia" w:ascii="仿宋" w:hAnsi="仿宋" w:eastAsia="仿宋" w:cs="仿宋"/>
                <w:i w:val="0"/>
                <w:iCs w:val="0"/>
                <w:caps w:val="0"/>
                <w:color w:val="000000"/>
                <w:spacing w:val="0"/>
                <w:sz w:val="24"/>
                <w:szCs w:val="24"/>
                <w:shd w:val="clear" w:fill="FFFFFF"/>
              </w:rPr>
              <w:t>。</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480" w:firstLineChars="200"/>
              <w:rPr>
                <w:rFonts w:hint="eastAsia" w:ascii="仿宋_GB2312" w:hAnsi="仿宋_GB2312" w:eastAsia="仿宋_GB2312" w:cs="仿宋_GB2312"/>
                <w:bCs/>
                <w:sz w:val="28"/>
                <w:szCs w:val="28"/>
              </w:rPr>
            </w:pPr>
            <w:r>
              <w:rPr>
                <w:rFonts w:hint="eastAsia" w:ascii="仿宋_GB2312" w:hAnsi="宋体" w:eastAsia="仿宋_GB2312" w:cs="仿宋_GB2312"/>
                <w:i w:val="0"/>
                <w:iCs w:val="0"/>
                <w:caps w:val="0"/>
                <w:color w:val="000000"/>
                <w:spacing w:val="0"/>
                <w:sz w:val="24"/>
                <w:szCs w:val="24"/>
                <w:shd w:val="clear" w:fill="FFFFFF"/>
              </w:rPr>
              <w:t>专项资金专款专用，专项支出主要用于</w:t>
            </w:r>
            <w:r>
              <w:rPr>
                <w:rFonts w:hint="eastAsia" w:ascii="仿宋_GB2312" w:hAnsi="宋体" w:eastAsia="仿宋_GB2312" w:cs="仿宋_GB2312"/>
                <w:i w:val="0"/>
                <w:iCs w:val="0"/>
                <w:caps w:val="0"/>
                <w:color w:val="000000"/>
                <w:spacing w:val="0"/>
                <w:sz w:val="24"/>
                <w:szCs w:val="24"/>
                <w:shd w:val="clear" w:fill="FFFFFF"/>
                <w:lang w:eastAsia="zh-CN"/>
              </w:rPr>
              <w:t>文化艺术创作</w:t>
            </w:r>
            <w:r>
              <w:rPr>
                <w:rFonts w:hint="eastAsia" w:ascii="仿宋_GB2312" w:hAnsi="宋体" w:eastAsia="仿宋_GB2312" w:cs="仿宋_GB2312"/>
                <w:i w:val="0"/>
                <w:iCs w:val="0"/>
                <w:caps w:val="0"/>
                <w:color w:val="000000"/>
                <w:spacing w:val="0"/>
                <w:sz w:val="24"/>
                <w:szCs w:val="24"/>
                <w:shd w:val="clear" w:fill="FFFFFF"/>
              </w:rPr>
              <w:t>、公共示范区创建、监听监看专项等。</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numPr>
                <w:ilvl w:val="0"/>
                <w:numId w:val="0"/>
              </w:numPr>
              <w:spacing w:line="560" w:lineRule="exact"/>
              <w:ind w:firstLine="720" w:firstLineChars="300"/>
              <w:rPr>
                <w:rFonts w:hint="eastAsia" w:ascii="仿宋_GB2312" w:hAnsi="仿宋_GB2312" w:eastAsia="仿宋_GB2312" w:cs="仿宋_GB2312"/>
                <w:bCs/>
                <w:sz w:val="28"/>
                <w:szCs w:val="28"/>
              </w:rPr>
            </w:pPr>
            <w:r>
              <w:rPr>
                <w:rFonts w:ascii="仿宋_GB2312" w:hAnsi="宋体" w:eastAsia="仿宋_GB2312" w:cs="仿宋_GB2312"/>
                <w:i w:val="0"/>
                <w:iCs w:val="0"/>
                <w:caps w:val="0"/>
                <w:color w:val="000000"/>
                <w:spacing w:val="0"/>
                <w:sz w:val="24"/>
                <w:szCs w:val="24"/>
                <w:shd w:val="clear" w:fill="FFFFFF"/>
              </w:rPr>
              <w:t>专项资金实行专款专用，专账核算。严格执行项目资金批复使用计划和批复内容。</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720" w:firstLineChars="300"/>
              <w:rPr>
                <w:rFonts w:hint="eastAsia" w:ascii="仿宋_GB2312" w:hAnsi="仿宋_GB2312" w:eastAsia="仿宋_GB2312" w:cs="仿宋_GB2312"/>
                <w:bCs/>
                <w:sz w:val="28"/>
                <w:szCs w:val="28"/>
              </w:rPr>
            </w:pPr>
            <w:r>
              <w:rPr>
                <w:rFonts w:ascii="仿宋_GB2312" w:hAnsi="宋体" w:eastAsia="仿宋_GB2312" w:cs="仿宋_GB2312"/>
                <w:i w:val="0"/>
                <w:iCs w:val="0"/>
                <w:caps w:val="0"/>
                <w:color w:val="000000"/>
                <w:spacing w:val="0"/>
                <w:sz w:val="24"/>
                <w:szCs w:val="24"/>
                <w:shd w:val="clear" w:fill="FFFFFF"/>
              </w:rPr>
              <w:t>我局专项严格按照招投标、政府采购来实施。</w:t>
            </w: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ascii="微软雅黑" w:hAnsi="微软雅黑" w:eastAsia="微软雅黑" w:cs="微软雅黑"/>
                <w:i w:val="0"/>
                <w:iCs w:val="0"/>
                <w:caps w:val="0"/>
                <w:color w:val="555555"/>
                <w:spacing w:val="0"/>
                <w:sz w:val="21"/>
                <w:szCs w:val="21"/>
              </w:rPr>
            </w:pPr>
            <w:r>
              <w:rPr>
                <w:rFonts w:hint="eastAsia" w:ascii="仿宋_GB2312" w:hAnsi="仿宋_GB2312" w:eastAsia="仿宋_GB2312" w:cs="仿宋_GB2312"/>
                <w:bCs/>
                <w:sz w:val="28"/>
                <w:szCs w:val="28"/>
                <w:lang w:val="en-US" w:eastAsia="zh-CN"/>
              </w:rPr>
              <w:t xml:space="preserve"> </w:t>
            </w:r>
            <w:r>
              <w:rPr>
                <w:rFonts w:ascii="仿宋_GB2312" w:hAnsi="微软雅黑" w:eastAsia="仿宋_GB2312" w:cs="仿宋_GB2312"/>
                <w:i w:val="0"/>
                <w:iCs w:val="0"/>
                <w:caps w:val="0"/>
                <w:color w:val="000000"/>
                <w:spacing w:val="0"/>
                <w:kern w:val="0"/>
                <w:sz w:val="24"/>
                <w:szCs w:val="24"/>
                <w:shd w:val="clear" w:fill="FFFFFF"/>
                <w:lang w:val="en-US" w:eastAsia="zh-CN" w:bidi="ar"/>
              </w:rPr>
              <w:t>为切实规范专项资金管理，保障资金安全、高效运行，发挥资金使用效益，我局制定以下管理制度：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eastAsia" w:ascii="微软雅黑" w:hAnsi="微软雅黑" w:eastAsia="微软雅黑" w:cs="微软雅黑"/>
                <w:i w:val="0"/>
                <w:iCs w:val="0"/>
                <w:caps w:val="0"/>
                <w:color w:val="555555"/>
                <w:spacing w:val="0"/>
                <w:sz w:val="21"/>
                <w:szCs w:val="21"/>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一、专项资金实行“专人管理、专账核算、专项使用”。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eastAsia" w:ascii="微软雅黑" w:hAnsi="微软雅黑" w:eastAsia="微软雅黑" w:cs="微软雅黑"/>
                <w:i w:val="0"/>
                <w:iCs w:val="0"/>
                <w:caps w:val="0"/>
                <w:color w:val="555555"/>
                <w:spacing w:val="0"/>
                <w:sz w:val="21"/>
                <w:szCs w:val="21"/>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二、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eastAsia" w:ascii="微软雅黑" w:hAnsi="微软雅黑" w:eastAsia="微软雅黑" w:cs="微软雅黑"/>
                <w:i w:val="0"/>
                <w:iCs w:val="0"/>
                <w:caps w:val="0"/>
                <w:color w:val="555555"/>
                <w:spacing w:val="0"/>
                <w:sz w:val="21"/>
                <w:szCs w:val="21"/>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三、严格专项资金初审、审核制度，不准缺项和越程序办理手续，各类专项资金审批程序，以该专项资金审批表所列内容和文件要求为佳。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eastAsia" w:ascii="微软雅黑" w:hAnsi="微软雅黑" w:eastAsia="微软雅黑" w:cs="微软雅黑"/>
                <w:i w:val="0"/>
                <w:iCs w:val="0"/>
                <w:caps w:val="0"/>
                <w:color w:val="555555"/>
                <w:spacing w:val="0"/>
                <w:sz w:val="21"/>
                <w:szCs w:val="21"/>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四、专项资金报帐拨付要附真实、有效、合法的凭证。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eastAsia" w:ascii="微软雅黑" w:hAnsi="微软雅黑" w:eastAsia="微软雅黑" w:cs="微软雅黑"/>
                <w:i w:val="0"/>
                <w:iCs w:val="0"/>
                <w:caps w:val="0"/>
                <w:color w:val="555555"/>
                <w:spacing w:val="0"/>
                <w:sz w:val="21"/>
                <w:szCs w:val="21"/>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五、加强审计监督，实行单项工程决算审计，整体项目验收审计，年度资金收支审计。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70"/>
              <w:jc w:val="left"/>
              <w:rPr>
                <w:rFonts w:hint="default" w:ascii="仿宋_GB2312" w:hAnsi="仿宋_GB2312" w:eastAsia="仿宋_GB2312" w:cs="仿宋_GB2312"/>
                <w:bCs/>
                <w:sz w:val="28"/>
                <w:szCs w:val="28"/>
                <w:lang w:val="en-US" w:eastAsia="zh-CN"/>
              </w:rPr>
            </w:pPr>
            <w:r>
              <w:rPr>
                <w:rFonts w:hint="default" w:ascii="仿宋_GB2312" w:hAnsi="微软雅黑" w:eastAsia="仿宋_GB2312" w:cs="仿宋_GB2312"/>
                <w:i w:val="0"/>
                <w:iCs w:val="0"/>
                <w:caps w:val="0"/>
                <w:color w:val="000000"/>
                <w:spacing w:val="0"/>
                <w:kern w:val="0"/>
                <w:sz w:val="24"/>
                <w:szCs w:val="24"/>
                <w:shd w:val="clear" w:fill="FFFFFF"/>
                <w:lang w:val="en-US" w:eastAsia="zh-CN" w:bidi="ar"/>
              </w:rPr>
              <w:t>六、对专项资金要定期或不定期进行督查，确保项目资金专款专用。</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四、单位整体支出绩效情况</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坚守阵地，打好行业疫情防控战役。疫情发生后，全市文旅广电系统结合工作实际，制定落实各项防控工作措施，确保文化旅游行业安全稳定。一是果断采取防控措施。自大年初二取消全员休假，落实“五个一律”要求，在全省各市州中率先督促全市公共文化场馆、文化娱乐场所、景区景点等暂停开放。二是精准开展督导协调。组成由局班子成员带队的疫情防控督导组，持续开展督导暗访。疫情防控期间，全系统共出动7万余人次，督查文旅单位1万余家次，坚决切断新冠病毒在文旅服务场所的传播。在日常和节假日检查暗访中，也将常态化疫情防控作为重要内容。同时，切实做好滞留游客安置，协调宾馆接待特殊人群，累计入住湖北籍客人10522人次、一线医务人员10812人次。三是开展“艺”起战“疫”活动。利用“村村响”和官方网站、微博、微信、抖音号进行防疫宣传，深受群众好评。组织创作抗击疫情文艺作品1500多篇（幅）、曲艺作品100多个，其中巴陵戏演唱《联防联控战疫情》、防疫版平江皮影戏等还在中宣部“学习强国”平台上进行专门推介。</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多方助力，加速文化旅游行业复苏。当疫情控制稳定后，我们分类制定文旅场所有序开放指南，引导全市文旅场所实现快速复工复产。一是落实帮扶政策。指导重点文旅企业申报金融支持、税收减免、社保金缓缴等各项支持政策。对符合条件的优秀旅游企业，发放奖励性补助220多万元。为帮助旅行社渡过难关，退还35家旅行社质保金共692万元。二是开展行业培训。组织“抗击疫情、共助文旅”在线培训和乡村振兴与文旅行业扶贫专题培训，为旅游市场复苏向好做好准备。三是组织线上宣传。与多家网络平台合作，共组织13场大型直播宣传，有153.1万人在网上观看直播，点赞量达到10.5万次；网络主题宣传生成流量总计1.4亿次，其中岳阳累计曝光3000余万，增强了岳阳旅游吸引力。</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巩固成果，完善公共文化服务体系。持续巩固国家公共文化服务体系示范区创建成果，着力补齐基层文化建设短板。一是持续加强现代公共文化服务体系建设。圆满完成《湖南省现代公共文化服务体系建设三年行动计划》并通过省文旅厅验收，公共文化设施进一步健全。市图书馆、市美术馆新馆和洞庭湖博物馆正式开放，成为我市新的文旅地标，其中市图书馆、市美术馆新馆日接待人数最高突破9000人。市县公共文化服务机构法人治理结构改革按要求完成。公共图书馆、文化馆总分馆制初具规模，已基本构建县级一站式公共数字文化服务平台，全市已建有图书馆分馆和文化馆分馆各57个，基本实现了管理智能化、服务信息化、资源数字化。二是扎实开展文化惠民活动。继续打造“欢乐潇湘”群众文化活动品牌，其中小戏《学藤编》参加全省“欢乐潇湘”精准扶贫优秀节目巡演。举办岳阳市第一届街头文化艺术节系列活动，把文艺大餐送到景区。举办第四届岳阳文化艺术节暨惠民演出季活动，包括7大板块、100多场活动，历时6个多月。在落实常态化疫情防控措施的前提下，开展送文化下乡演出726场，惠及群众30余万人次。三是完成广电设施建设任务。全市10个县区级融媒体中心全部完成并通过省委宣传部的验收。平江县完成2316户“省级广播电视节目无线覆盖”工程“户户通”建设任务，市文旅广电局和平江县文旅广体局分别被评为湖南省2020年度直播卫星户户通工程建设优秀组织单位和先进单位。</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抓牢契机，推进文化旅游改革发展。一是强化顶层设计。完成《岳阳市文化旅游融合发展总体规划（2020-2030）》《岳阳市文化旅游产业发展规划纲要（2021-2025）》等规划编制，以规划推进事业和产业发展。二是完成执法改革。按照中央和省委关于深化文化市场等5个领域综合执法改革部署,理顺文化市场综合执法体制，提高市场监管效率。三是推进事企改革。推进经营性事业单位改企工作，君山公园和岳阳楼景区顺利移交市城投集团，涉改人员776人。君山公园改革实现四个“第一”，第一个批复改革方案，第一个启动清产核资，第一个召开职代会，第一个完成改革移交。60年以上成立史，18年改革史，我们仅用4个月时间，顺利完成改革任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坚持发展，加快文化旅游产业融合。市委、市政府高度重视文旅产业发展，成立由市委书记任组长、市长任第一副组长、市四大家分管领导任副组长的市文化旅游产业发展领导小组。将文旅产业作为七大千亿产业“12+1”产业链之一，成立市文旅产业链，市委、市政府分管领导担任链长。2020年新增文化“四上”企业92家，目前全市文化“四上”企业数量占全市“四上”企业总数的10.5%。召开市文旅产业发展暨产业链工作推进会，印发《岳阳市市级重点文化旅游项目管理办法》《岳阳市2020年度重点A级旅游景区提质升级实施方案》等文件，大力推进项目建设。全市23个重点文旅在建项目总投资599.4亿元，年度计划投资63.1亿元，实际完成投资65.3亿元。鱼巷子国庆节开街，岳阳铂尔曼、希尔顿欢朋酒店、荣湖大酒店正式运营。成功签约总投资450亿的岳阳融创环球文旅国际会议会展项目、总投资45亿元的岳阳县桃李春风文旅小镇、总投资10亿元的岳阳楼区自在云梦泽养生谷项目等，将有力助推我市文旅产业高质量发展。</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六）突出重点，抓好岳阳文旅对外营销。制定旅游营销工作方案，把新媒体宣传营销作为全面营销的重点，组织一系列营销活动。做客央广交通频道直播间，局长当导游，面向全国观众宣传岳阳文化旅游。两次在长沙地铁开展了岳阳旅游宣传，共为期5个月，上刊120个宣传灯箱，开通2辆岳阳旅游全景列车。拓展高铁、游轮市场，共接待旅游高铁10个专列，游轮6个航次。组织开展“锦绣潇湘·惠游岳阳·大美南湖”惠民旅游消费季等活动，激发了文旅市场活力。机场、高铁、高速旅游标识标牌和户外宣传逐步完善。“天下洞庭·湿地生态游（环洞庭湖板块）”入选5条“锦绣潇湘”湖南旅游精品线路之一。牵头组织2020年岳阳国际旅游节，创意新、亮点多、参与广，全国80多家省级以上网络媒体进行直播，抖音、快手、火山视频、芒果V直播等全国网络平台进行直播和宣传，曝光流量超过5亿人次。</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七）强化抓手，树立文化旅游岳阳形象。一是争创国家省级项目。平江县、岳阳县成功创建省全域旅游示范区，天岳幕阜山、屈子文化园、洋沙湖景区晋升国家4A级景区，张谷英镇入选湖南省十大文化旅游特色小镇；临湘市羊楼司镇龙窖山村和屈原区河市镇三和村入选全国乡村旅游重点村，岳阳县三和村和临湘市梅池村入选省乡村旅游重点村。二是推进文艺精品创作。坚持以人民为中心的创作导向，全市共创作大小剧本36个，进一步擦亮了“文艺岳家军”的招牌。由市文旅广电局出品的音乐电视专题片《洞庭组歌:碧水与蓝天的交响》首度与观众见面，这是我国首部以洞庭湖绿色发展为主题的大型组歌，在人民日报新媒体平台播出。三是加快智慧文旅建设。市政府领导带头赴外地调研，组织召开专门会议，推进智慧文旅平台建设，将智慧文旅项目列入智慧城市重点项目库，将建设“一中心三平台”。搭建“岳游岳嗨”互联网平台，推介岳阳文旅资源。</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八）严格执法，强化行业整治屡办大案。全市文旅广电执法队伍严格稽查执法，敢办大案要案，进一步增强了执法机关的影响力和威慑力。一是拓展办案领域。结合文化市场发展新趋势新业态，将监管执法重点从往年以印刷、娱乐、网吧为主，向网络游戏、网络表演、网络动漫、艺术品市场、文物市场、演出市场等领域延伸，实现了文化执法办案领域全覆盖，既有效维护了市场秩序,又显著提升了执法效能。二是形成办案合力。牵头成立市文化市场管理工作领导小组，建立与公安、司法等部门协同办案机制，形成强大办案合力。与公安部门联合开展娱乐服务场所“毒黄赌”问题专项整治，为期4个月，共出动执法人员3500余人次，检查娱乐服务场所1746家次，有效遏制了“毒黄赌”问题抬头的趋势。三是扩大办案影响。查处某天龙八部私服涉嫌利用网络侵犯著作权案等7起重大案件，其中2起案件被全国“扫黄打非”办和公安部重点挂牌督办。市文化市场综合行政执法支队被文旅部评为重大案件办案单位，支队的大要案件查办经验作为典型在全省文旅执法队伍中予以推广。</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九）推进保护，激发文化旅游发展动力。一方面，不断加强文物保护工作力度。争取省级以上文物保护资金3411万，全年共申报全国重点文物保护单位项目计划48个、省级文物保护单位项目计划7个，对文物保护项目全过程监管，完成10个文物保护工程验收。开展第三批市保单位推荐申报工作。考古勘察成绩喜人，湖南省文物考古研究所湘东北考古工作站正式在华容县东山镇挂牌；华容七星墩遗址成功入围2020年度全国十大考古新发现20强，是湖南唯一入围的考古新发现；华容七星墩遗址、平江大湖坪遗址被评为“十三五”湖南考古十大新发现；完成对岳阳机场扩建工程项目、湖南交通学院湘阴新址建设项目等48个建设工程项目的考古调查勘探工作；层层压实文物安全责任，加强对文物保护单位的监管力度，将全市1670处不可移动文物的信息提交自然资源规划部门，纳入国土空间规划编制。另一方面，加强非物质文化遗产保护。非遗保护专项资金列入财政预算，推进非遗活动保护传承。君山银针茶制作技艺、岳州扇制作技艺入选第五批国家级非物质文化遗产代表性项目名单。组织开展岳阳市“非遗过大年 文化进万家”非遗扶贫活动、2020年“文化和自然遗产日”活动暨“夜游南湖·悦赏非遗”岳阳市非遗展示展演展销主题活动、“国风新韵·潮动端午”第十六届中国汨罗江龙舟节暨第二届屈子文化园端午系列活动等，扩大了非遗影响力。</w:t>
            </w:r>
          </w:p>
          <w:p>
            <w:pPr>
              <w:spacing w:line="560" w:lineRule="exact"/>
              <w:ind w:firstLine="480" w:firstLineChars="200"/>
              <w:rPr>
                <w:rFonts w:hint="eastAsia" w:ascii="黑体" w:hAnsi="黑体" w:eastAsia="黑体" w:cs="黑体"/>
                <w:bCs/>
                <w:sz w:val="28"/>
                <w:szCs w:val="28"/>
              </w:rPr>
            </w:pPr>
            <w:r>
              <w:rPr>
                <w:rFonts w:hint="eastAsia" w:ascii="仿宋_GB2312" w:hAnsi="仿宋_GB2312" w:eastAsia="仿宋_GB2312" w:cs="仿宋_GB2312"/>
                <w:color w:val="000000"/>
                <w:sz w:val="24"/>
              </w:rPr>
              <w:t>（十）守正创新，维护意识形态领域安全。一是开展正面宣传。全市广播电视播出机构共播放创作公益宣传片广告电视类101条、广播类48条、播放公益广告74280次，总计播放时间21950分钟，推送到“学习强国”、“今日头条”、“智慧岳阳”、“岳阳新闻网”等平台，点击率高达40多万次。紧紧围绕庆祝新中国成立70周年这条主线，全市各级广电媒体均推出“壮丽70年奋斗新时代”专题报道，开展重点电视剧“百日展播”活动，全力以赴营造礼赞新中国、奋进新时代的浓厚氛围。二是抓好安全播出。市广播电视监管中心实现了对全市有线数字广播电视177套节目和信号全面监控，县级台广播电视自办节目信号回传、无线数字电视节目轮巡监控、无线广播电视转播覆盖监控。建立完善安全播出应急预案，排查整治安全播出隐患，确保疫情防控、全国“两会”、国庆等重要保障期广播电视安全播出。三是整治非法卫星电视接收设施。牵头成立以市委常委、宣传部长任组长的市卫星电视地面接收设施专项整治行动领导小组，并实行联席会议制度，有力整治了非法地面卫星设备销售市场，确保广播电视节目接收、传输规范，将长效监管机制、联席会议制度贯穿整治工作始终。</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480" w:firstLineChars="200"/>
              <w:rPr>
                <w:rFonts w:hint="eastAsia" w:ascii="黑体" w:hAnsi="黑体" w:eastAsia="黑体" w:cs="黑体"/>
                <w:bCs/>
                <w:sz w:val="28"/>
                <w:szCs w:val="28"/>
              </w:rPr>
            </w:pPr>
            <w:r>
              <w:rPr>
                <w:rFonts w:ascii="仿宋_GB2312" w:hAnsi="宋体" w:eastAsia="仿宋_GB2312" w:cs="仿宋_GB2312"/>
                <w:i w:val="0"/>
                <w:iCs w:val="0"/>
                <w:caps w:val="0"/>
                <w:color w:val="000000"/>
                <w:spacing w:val="0"/>
                <w:sz w:val="24"/>
                <w:szCs w:val="24"/>
                <w:shd w:val="clear" w:fill="FFFFFF"/>
              </w:rPr>
              <w:t>经费投入不足，基础设施薄弱。国家要求市、县建立的很多专项经费基本上因财力问题或其他原因而落实不了，而市财政直接投入乡镇的文化事业经费微乎其微。文化建设仍存在不少困难。</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rPr>
                <w:rFonts w:hint="default" w:eastAsia="楷体_GB2312"/>
                <w:bCs/>
                <w:sz w:val="28"/>
                <w:szCs w:val="28"/>
                <w:lang w:val="en-US" w:eastAsia="zh-CN"/>
              </w:rPr>
            </w:pPr>
            <w:r>
              <w:rPr>
                <w:rFonts w:hint="eastAsia" w:eastAsia="楷体_GB2312"/>
                <w:bCs/>
                <w:sz w:val="28"/>
                <w:szCs w:val="28"/>
                <w:lang w:val="en-US" w:eastAsia="zh-CN"/>
              </w:rPr>
              <w:t xml:space="preserve">   </w:t>
            </w:r>
            <w:r>
              <w:rPr>
                <w:rFonts w:ascii="仿宋_GB2312" w:hAnsi="宋体" w:eastAsia="仿宋_GB2312" w:cs="仿宋_GB2312"/>
                <w:i w:val="0"/>
                <w:iCs w:val="0"/>
                <w:caps w:val="0"/>
                <w:color w:val="000000"/>
                <w:spacing w:val="0"/>
                <w:sz w:val="24"/>
                <w:szCs w:val="24"/>
                <w:shd w:val="clear" w:fill="FFFFFF"/>
              </w:rPr>
              <w:t>进一步加大保障投入，形成国家、集体和个体共办文化的新格局，财政要将文化建设经费列入财政预算，每年用一定比例的资金用于文化基础设施设备建设和文体活动补助。</w:t>
            </w:r>
          </w:p>
        </w:tc>
      </w:tr>
    </w:tbl>
    <w:p>
      <w:pPr>
        <w:rPr>
          <w:rFonts w:ascii="黑体" w:hAnsi="黑体" w:eastAsia="黑体"/>
          <w:sz w:val="32"/>
          <w:szCs w:val="32"/>
        </w:rPr>
      </w:pP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资金下达较</w:t>
            </w:r>
            <w:r>
              <w:rPr>
                <w:rFonts w:hint="eastAsia" w:ascii="仿宋_GB2312" w:hAnsi="宋体" w:eastAsia="仿宋_GB2312" w:cs="宋体"/>
                <w:color w:val="000000"/>
                <w:kern w:val="0"/>
                <w:sz w:val="18"/>
                <w:szCs w:val="18"/>
                <w:lang w:val="en-US" w:eastAsia="zh-CN"/>
              </w:rPr>
              <w:t>晚</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
    <w:p/>
    <w:tbl>
      <w:tblPr>
        <w:tblStyle w:val="9"/>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9</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AFB6D"/>
    <w:multiLevelType w:val="singleLevel"/>
    <w:tmpl w:val="9D5AFB6D"/>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8"/>
      <w:lvlText w:val="%1."/>
      <w:lvlJc w:val="left"/>
      <w:pPr>
        <w:tabs>
          <w:tab w:val="left" w:pos="780"/>
        </w:tabs>
        <w:ind w:left="780" w:hanging="360"/>
      </w:pPr>
    </w:lvl>
  </w:abstractNum>
  <w:abstractNum w:abstractNumId="2">
    <w:nsid w:val="22B3E1CF"/>
    <w:multiLevelType w:val="singleLevel"/>
    <w:tmpl w:val="22B3E1CF"/>
    <w:lvl w:ilvl="0" w:tentative="0">
      <w:start w:val="2"/>
      <w:numFmt w:val="chineseCounting"/>
      <w:suff w:val="nothing"/>
      <w:lvlText w:val="（%1）"/>
      <w:lvlJc w:val="left"/>
      <w:rPr>
        <w:rFonts w:hint="eastAsia"/>
      </w:rPr>
    </w:lvl>
  </w:abstractNum>
  <w:abstractNum w:abstractNumId="3">
    <w:nsid w:val="7F9322C1"/>
    <w:multiLevelType w:val="singleLevel"/>
    <w:tmpl w:val="7F9322C1"/>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B563925"/>
    <w:rsid w:val="12180CF8"/>
    <w:rsid w:val="16430EDE"/>
    <w:rsid w:val="164C2853"/>
    <w:rsid w:val="17D772F9"/>
    <w:rsid w:val="1A4E76E5"/>
    <w:rsid w:val="20956CE5"/>
    <w:rsid w:val="2DA41E1F"/>
    <w:rsid w:val="2EF973D2"/>
    <w:rsid w:val="332E607F"/>
    <w:rsid w:val="3C9963B7"/>
    <w:rsid w:val="401D31A6"/>
    <w:rsid w:val="43175BE4"/>
    <w:rsid w:val="48CF2B51"/>
    <w:rsid w:val="49230342"/>
    <w:rsid w:val="4A973C2A"/>
    <w:rsid w:val="50DE0589"/>
    <w:rsid w:val="5B8370EF"/>
    <w:rsid w:val="5E8F290A"/>
    <w:rsid w:val="60EA2510"/>
    <w:rsid w:val="621E661F"/>
    <w:rsid w:val="62D2316B"/>
    <w:rsid w:val="64F03DF0"/>
    <w:rsid w:val="65555331"/>
    <w:rsid w:val="67A85C9C"/>
    <w:rsid w:val="6CEB6763"/>
    <w:rsid w:val="6DF021B8"/>
    <w:rsid w:val="6E3E2B40"/>
    <w:rsid w:val="74E415C4"/>
    <w:rsid w:val="75B5750B"/>
    <w:rsid w:val="78C7609A"/>
    <w:rsid w:val="7F72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28"/>
    </w:rPr>
  </w:style>
  <w:style w:type="paragraph" w:styleId="3">
    <w:name w:val="toc 5"/>
    <w:basedOn w:val="1"/>
    <w:next w:val="1"/>
    <w:qFormat/>
    <w:uiPriority w:val="0"/>
    <w:pPr>
      <w:ind w:left="1680" w:leftChars="800"/>
    </w:pPr>
  </w:style>
  <w:style w:type="paragraph" w:styleId="4">
    <w:name w:val="Body Text Indent 2"/>
    <w:basedOn w:val="1"/>
    <w:link w:val="16"/>
    <w:unhideWhenUsed/>
    <w:qFormat/>
    <w:uiPriority w:val="99"/>
    <w:pPr>
      <w:ind w:firstLine="588" w:firstLineChars="200"/>
    </w:pPr>
    <w:rPr>
      <w:rFonts w:ascii="仿宋_GB2312" w:hAnsi="Calibri" w:eastAsia="仿宋_GB2312"/>
      <w:sz w:val="32"/>
    </w:rPr>
  </w:style>
  <w:style w:type="paragraph" w:styleId="5">
    <w:name w:val="Balloon Text"/>
    <w:basedOn w:val="1"/>
    <w:link w:val="19"/>
    <w:semiHidden/>
    <w:qFormat/>
    <w:uiPriority w:val="0"/>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Char"/>
    <w:basedOn w:val="1"/>
    <w:qFormat/>
    <w:uiPriority w:val="0"/>
    <w:pPr>
      <w:autoSpaceDE w:val="0"/>
      <w:autoSpaceDN w:val="0"/>
      <w:adjustRightInd w:val="0"/>
    </w:pPr>
    <w:rPr>
      <w:rFonts w:ascii="宋体" w:cs="宋体"/>
      <w:kern w:val="0"/>
      <w:sz w:val="20"/>
      <w:szCs w:val="20"/>
      <w:lang w:val="zh-CN"/>
    </w:rPr>
  </w:style>
  <w:style w:type="character" w:customStyle="1" w:styleId="16">
    <w:name w:val="正文文本缩进 2 Char"/>
    <w:basedOn w:val="10"/>
    <w:link w:val="4"/>
    <w:qFormat/>
    <w:uiPriority w:val="99"/>
    <w:rPr>
      <w:rFonts w:ascii="仿宋_GB2312" w:hAnsi="Calibri" w:eastAsia="仿宋_GB2312" w:cs="Times New Roman"/>
      <w:sz w:val="32"/>
      <w:szCs w:val="24"/>
    </w:rPr>
  </w:style>
  <w:style w:type="paragraph" w:customStyle="1" w:styleId="17">
    <w:name w:val="Char1"/>
    <w:basedOn w:val="1"/>
    <w:qFormat/>
    <w:uiPriority w:val="0"/>
    <w:rPr>
      <w:rFonts w:ascii="仿宋_GB2312" w:eastAsia="仿宋_GB2312"/>
      <w:sz w:val="32"/>
    </w:rPr>
  </w:style>
  <w:style w:type="paragraph" w:customStyle="1" w:styleId="18">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9">
    <w:name w:val="批注框文本 Char"/>
    <w:basedOn w:val="10"/>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2</TotalTime>
  <ScaleCrop>false</ScaleCrop>
  <LinksUpToDate>false</LinksUpToDate>
  <CharactersWithSpaces>10982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dcterms:modified xsi:type="dcterms:W3CDTF">2021-07-07T09:13:42Z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3D54B91A9773452EB337D371B39B1C4C</vt:lpwstr>
  </property>
</Properties>
</file>