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jc w:val="center"/>
        <w:rPr>
          <w:sz w:val="56"/>
          <w:szCs w:val="56"/>
        </w:rPr>
      </w:pPr>
    </w:p>
    <w:p>
      <w:pPr>
        <w:pStyle w:val="14"/>
        <w:jc w:val="center"/>
        <w:rPr>
          <w:sz w:val="56"/>
          <w:szCs w:val="56"/>
        </w:rPr>
      </w:pPr>
    </w:p>
    <w:p>
      <w:pPr>
        <w:pStyle w:val="14"/>
        <w:jc w:val="center"/>
        <w:rPr>
          <w:sz w:val="84"/>
          <w:szCs w:val="84"/>
        </w:rPr>
      </w:pPr>
    </w:p>
    <w:p>
      <w:pPr>
        <w:pStyle w:val="14"/>
        <w:jc w:val="center"/>
        <w:rPr>
          <w:sz w:val="84"/>
          <w:szCs w:val="84"/>
        </w:rPr>
      </w:pPr>
    </w:p>
    <w:p>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3</w:t>
      </w:r>
      <w:r>
        <w:rPr>
          <w:rFonts w:hint="eastAsia" w:ascii="方正小标宋_GBK" w:hAnsi="方正小标宋_GBK" w:eastAsia="方正小标宋_GBK" w:cs="方正小标宋_GBK"/>
          <w:sz w:val="84"/>
          <w:szCs w:val="84"/>
        </w:rPr>
        <w:t>年度</w:t>
      </w:r>
    </w:p>
    <w:p>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val="en-US" w:eastAsia="zh-CN"/>
        </w:rPr>
        <w:t>岳阳市城市建设档案馆</w:t>
      </w:r>
      <w:r>
        <w:rPr>
          <w:rFonts w:hint="eastAsia" w:ascii="方正小标宋_GBK" w:hAnsi="方正小标宋_GBK" w:eastAsia="方正小标宋_GBK" w:cs="方正小标宋_GBK"/>
          <w:sz w:val="84"/>
          <w:szCs w:val="84"/>
        </w:rPr>
        <w:t>部门决算</w:t>
      </w:r>
    </w:p>
    <w:p>
      <w:pPr>
        <w:pStyle w:val="14"/>
        <w:jc w:val="center"/>
        <w:rPr>
          <w:rFonts w:hint="eastAsia" w:ascii="方正小标宋_GBK" w:hAnsi="方正小标宋_GBK" w:eastAsia="方正小标宋_GBK" w:cs="方正小标宋_GBK"/>
          <w:sz w:val="56"/>
          <w:szCs w:val="56"/>
        </w:rPr>
      </w:pPr>
    </w:p>
    <w:p>
      <w:pPr>
        <w:pStyle w:val="14"/>
        <w:jc w:val="center"/>
        <w:rPr>
          <w:sz w:val="56"/>
          <w:szCs w:val="56"/>
        </w:rPr>
      </w:pPr>
    </w:p>
    <w:p>
      <w:pPr>
        <w:pStyle w:val="14"/>
        <w:jc w:val="center"/>
        <w:rPr>
          <w:sz w:val="56"/>
          <w:szCs w:val="56"/>
        </w:rPr>
      </w:pPr>
    </w:p>
    <w:p>
      <w:pPr>
        <w:pStyle w:val="14"/>
        <w:jc w:val="center"/>
        <w:rPr>
          <w:sz w:val="56"/>
          <w:szCs w:val="56"/>
        </w:rPr>
      </w:pPr>
    </w:p>
    <w:p>
      <w:pPr>
        <w:pStyle w:val="14"/>
        <w:jc w:val="center"/>
        <w:rPr>
          <w:sz w:val="32"/>
          <w:szCs w:val="32"/>
        </w:rPr>
      </w:pPr>
    </w:p>
    <w:p>
      <w:pPr>
        <w:pStyle w:val="14"/>
        <w:jc w:val="center"/>
        <w:rPr>
          <w:sz w:val="32"/>
          <w:szCs w:val="32"/>
        </w:rPr>
      </w:pPr>
    </w:p>
    <w:p>
      <w:pPr>
        <w:pStyle w:val="14"/>
        <w:jc w:val="center"/>
        <w:rPr>
          <w:sz w:val="32"/>
          <w:szCs w:val="32"/>
        </w:rPr>
      </w:pPr>
    </w:p>
    <w:p>
      <w:pPr>
        <w:pStyle w:val="14"/>
        <w:jc w:val="center"/>
        <w:rPr>
          <w:sz w:val="32"/>
          <w:szCs w:val="32"/>
        </w:rPr>
      </w:pPr>
    </w:p>
    <w:p>
      <w:pPr>
        <w:pStyle w:val="14"/>
        <w:spacing w:line="500" w:lineRule="exact"/>
        <w:jc w:val="center"/>
        <w:rPr>
          <w:b/>
          <w:sz w:val="36"/>
          <w:szCs w:val="28"/>
        </w:rPr>
      </w:pPr>
      <w:r>
        <w:rPr>
          <w:rFonts w:hint="eastAsia"/>
          <w:b/>
          <w:sz w:val="36"/>
          <w:szCs w:val="28"/>
        </w:rPr>
        <w:t>目录</w:t>
      </w:r>
    </w:p>
    <w:p>
      <w:pPr>
        <w:pStyle w:val="1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val="en-US" w:eastAsia="zh-CN"/>
        </w:rPr>
        <w:t>岳阳市城市建设档案馆</w:t>
      </w:r>
      <w:r>
        <w:rPr>
          <w:rFonts w:hint="eastAsia" w:ascii="黑体" w:hAnsi="黑体" w:eastAsia="黑体" w:cs="黑体"/>
          <w:b w:val="0"/>
          <w:bCs/>
          <w:sz w:val="28"/>
          <w:szCs w:val="28"/>
        </w:rPr>
        <w:t>概况</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14"/>
        <w:spacing w:line="500" w:lineRule="exact"/>
        <w:ind w:firstLine="700" w:firstLineChars="250"/>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二、机构设置</w:t>
      </w:r>
      <w:r>
        <w:rPr>
          <w:rFonts w:hint="eastAsia" w:ascii="仿宋_GB2312" w:hAnsi="仿宋_GB2312" w:eastAsia="仿宋_GB2312" w:cs="仿宋_GB2312"/>
          <w:sz w:val="28"/>
          <w:szCs w:val="28"/>
          <w:lang w:val="en-US" w:eastAsia="zh-CN"/>
        </w:rPr>
        <w:t>及决算单位构成</w:t>
      </w:r>
    </w:p>
    <w:p>
      <w:pPr>
        <w:pStyle w:val="1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pPr>
        <w:pStyle w:val="1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w:t>
      </w:r>
      <w:r>
        <w:rPr>
          <w:rFonts w:hint="eastAsia" w:ascii="仿宋_GB2312" w:hAnsi="仿宋_GB2312" w:eastAsia="仿宋_GB2312" w:cs="仿宋_GB2312"/>
          <w:sz w:val="28"/>
          <w:szCs w:val="28"/>
        </w:rPr>
        <w:t>国有资本经营预算财政拨款支出决算</w:t>
      </w:r>
      <w:r>
        <w:rPr>
          <w:rFonts w:hint="eastAsia" w:ascii="仿宋_GB2312" w:hAnsi="仿宋_GB2312" w:eastAsia="仿宋_GB2312" w:cs="仿宋_GB2312"/>
          <w:sz w:val="28"/>
          <w:szCs w:val="28"/>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十三、关于国有资产占用情况说明</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SA"/>
        </w:rPr>
        <w:t>十四、</w:t>
      </w:r>
      <w:r>
        <w:rPr>
          <w:rFonts w:hint="eastAsia" w:ascii="仿宋_GB2312" w:hAnsi="仿宋_GB2312" w:eastAsia="仿宋_GB2312" w:cs="仿宋_GB2312"/>
          <w:sz w:val="28"/>
          <w:szCs w:val="28"/>
        </w:rPr>
        <w:t>关于</w:t>
      </w:r>
      <w:r>
        <w:rPr>
          <w:rFonts w:hint="default" w:ascii="Times New Roman" w:hAnsi="Times New Roman" w:eastAsia="仿宋_GB2312" w:cs="Times New Roman"/>
          <w:sz w:val="28"/>
          <w:szCs w:val="28"/>
        </w:rPr>
        <w:t>202</w:t>
      </w:r>
      <w:r>
        <w:rPr>
          <w:rFonts w:hint="default" w:ascii="Times New Roman" w:hAnsi="Times New Roman" w:eastAsia="仿宋_GB2312" w:cs="Times New Roman"/>
          <w:sz w:val="28"/>
          <w:szCs w:val="28"/>
          <w:lang w:val="en-US" w:eastAsia="zh-CN"/>
        </w:rPr>
        <w:t>3</w:t>
      </w:r>
      <w:r>
        <w:rPr>
          <w:rFonts w:hint="eastAsia" w:ascii="仿宋_GB2312" w:hAnsi="仿宋_GB2312" w:eastAsia="仿宋_GB2312" w:cs="仿宋_GB2312"/>
          <w:sz w:val="28"/>
          <w:szCs w:val="28"/>
        </w:rPr>
        <w:t>年度</w:t>
      </w:r>
      <w:r>
        <w:rPr>
          <w:rFonts w:hint="eastAsia" w:ascii="仿宋_GB2312" w:hAnsi="仿宋_GB2312" w:eastAsia="仿宋_GB2312" w:cs="仿宋_GB2312"/>
          <w:sz w:val="28"/>
          <w:szCs w:val="28"/>
          <w:lang w:eastAsia="zh-CN"/>
        </w:rPr>
        <w:t>预算</w:t>
      </w:r>
      <w:r>
        <w:rPr>
          <w:rFonts w:hint="eastAsia" w:ascii="仿宋_GB2312" w:hAnsi="仿宋_GB2312" w:eastAsia="仿宋_GB2312" w:cs="仿宋_GB2312"/>
          <w:sz w:val="28"/>
          <w:szCs w:val="28"/>
        </w:rPr>
        <w:t>绩效情况的说明</w:t>
      </w:r>
    </w:p>
    <w:p>
      <w:pPr>
        <w:pStyle w:val="1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pPr>
        <w:pStyle w:val="14"/>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pPr>
        <w:pStyle w:val="14"/>
        <w:jc w:val="center"/>
        <w:rPr>
          <w:rFonts w:hint="eastAsia" w:ascii="方正小标宋_GBK" w:hAnsi="方正小标宋_GBK" w:eastAsia="方正小标宋_GBK" w:cs="方正小标宋_GBK"/>
          <w:sz w:val="84"/>
          <w:szCs w:val="84"/>
        </w:rPr>
      </w:pPr>
    </w:p>
    <w:p>
      <w:pPr>
        <w:pStyle w:val="14"/>
        <w:jc w:val="center"/>
        <w:rPr>
          <w:rFonts w:hint="eastAsia" w:ascii="方正小标宋_GBK" w:hAnsi="方正小标宋_GBK" w:eastAsia="方正小标宋_GBK" w:cs="方正小标宋_GBK"/>
          <w:sz w:val="84"/>
          <w:szCs w:val="84"/>
        </w:rPr>
      </w:pPr>
    </w:p>
    <w:p>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pPr>
        <w:pStyle w:val="14"/>
        <w:jc w:val="center"/>
        <w:rPr>
          <w:rFonts w:hint="eastAsia" w:ascii="方正小标宋_GBK" w:hAnsi="方正小标宋_GBK" w:eastAsia="方正小标宋_GBK" w:cs="方正小标宋_GBK"/>
          <w:sz w:val="84"/>
          <w:szCs w:val="84"/>
        </w:rPr>
      </w:pPr>
    </w:p>
    <w:p>
      <w:pPr>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val="en-US" w:eastAsia="zh-CN"/>
        </w:rPr>
        <w:t>岳阳市城市建设档案馆单位</w:t>
      </w:r>
      <w:r>
        <w:rPr>
          <w:rFonts w:hint="eastAsia" w:ascii="方正小标宋_GBK" w:hAnsi="方正小标宋_GBK" w:eastAsia="方正小标宋_GBK" w:cs="方正小标宋_GBK"/>
          <w:sz w:val="84"/>
          <w:szCs w:val="84"/>
        </w:rPr>
        <w:t>概况</w:t>
      </w:r>
    </w:p>
    <w:p>
      <w:pPr>
        <w:pStyle w:val="9"/>
        <w:rPr>
          <w:rFonts w:hint="eastAsia" w:ascii="方正小标宋_GBK" w:hAnsi="方正小标宋_GBK" w:eastAsia="方正小标宋_GBK" w:cs="方正小标宋_GBK"/>
          <w:sz w:val="84"/>
          <w:szCs w:val="84"/>
        </w:rPr>
      </w:pPr>
    </w:p>
    <w:p>
      <w:pPr>
        <w:pStyle w:val="5"/>
        <w:rPr>
          <w:rFonts w:hint="eastAsia" w:ascii="方正小标宋_GBK" w:hAnsi="方正小标宋_GBK" w:eastAsia="方正小标宋_GBK" w:cs="方正小标宋_GBK"/>
          <w:sz w:val="84"/>
          <w:szCs w:val="84"/>
        </w:rPr>
      </w:pPr>
    </w:p>
    <w:p>
      <w:pPr>
        <w:rPr>
          <w:rFonts w:hint="eastAsia" w:ascii="方正小标宋_GBK" w:hAnsi="方正小标宋_GBK" w:eastAsia="方正小标宋_GBK" w:cs="方正小标宋_GBK"/>
          <w:sz w:val="84"/>
          <w:szCs w:val="84"/>
        </w:rPr>
      </w:pPr>
    </w:p>
    <w:p>
      <w:pPr>
        <w:pStyle w:val="9"/>
        <w:rPr>
          <w:rFonts w:hint="eastAsia" w:ascii="方正小标宋_GBK" w:hAnsi="方正小标宋_GBK" w:eastAsia="方正小标宋_GBK" w:cs="方正小标宋_GBK"/>
          <w:sz w:val="84"/>
          <w:szCs w:val="84"/>
        </w:rPr>
      </w:pPr>
    </w:p>
    <w:p>
      <w:pPr>
        <w:pStyle w:val="5"/>
        <w:rPr>
          <w:rFonts w:hint="eastAsia" w:ascii="方正小标宋_GBK" w:hAnsi="方正小标宋_GBK" w:eastAsia="方正小标宋_GBK" w:cs="方正小标宋_GBK"/>
          <w:sz w:val="84"/>
          <w:szCs w:val="84"/>
        </w:rPr>
      </w:pPr>
    </w:p>
    <w:p>
      <w:pPr>
        <w:pStyle w:val="15"/>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pPr>
        <w:widowControl/>
        <w:spacing w:line="600" w:lineRule="exact"/>
        <w:rPr>
          <w:rFonts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（一）负责拟定城建档案发展规划。</w:t>
      </w:r>
    </w:p>
    <w:p>
      <w:pPr>
        <w:widowControl/>
        <w:spacing w:line="600" w:lineRule="exact"/>
        <w:rPr>
          <w:rFonts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（二）负责城市规划区范围内的城建档案的统一管理。</w:t>
      </w:r>
    </w:p>
    <w:p>
      <w:pPr>
        <w:widowControl/>
        <w:spacing w:line="600" w:lineRule="exact"/>
        <w:rPr>
          <w:rFonts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（三）负责做好进馆档案的保管、保护工作。</w:t>
      </w:r>
    </w:p>
    <w:p>
      <w:pPr>
        <w:widowControl/>
        <w:spacing w:line="600" w:lineRule="exact"/>
        <w:rPr>
          <w:rFonts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（四）负责依法收集、接受、征集市区范围内产生的需永久和长期保管的城建档案等有关资料。</w:t>
      </w:r>
    </w:p>
    <w:p>
      <w:pPr>
        <w:widowControl/>
        <w:spacing w:line="600" w:lineRule="exact"/>
        <w:rPr>
          <w:rFonts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（五）负责开发城建档案信息资源。</w:t>
      </w:r>
    </w:p>
    <w:p>
      <w:pPr>
        <w:widowControl/>
        <w:spacing w:line="600" w:lineRule="exact"/>
        <w:rPr>
          <w:rFonts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（六）负责县（市、区）城建档案工作的指导、监督、检查。</w:t>
      </w:r>
    </w:p>
    <w:p>
      <w:pPr>
        <w:widowControl/>
        <w:spacing w:line="600" w:lineRule="exact"/>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（七）负责城市规划区范围内地下管线资料及数据的收集、管理、利用工作。</w:t>
      </w:r>
    </w:p>
    <w:p>
      <w:pPr>
        <w:widowControl/>
        <w:spacing w:line="600" w:lineRule="exact"/>
        <w:rPr>
          <w:rFonts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（八）负责住房和城乡建设信息资源管理、信息系统规划建设、智慧住建等行政辅助和技术保障工作。</w:t>
      </w:r>
    </w:p>
    <w:p>
      <w:pPr>
        <w:keepNext/>
        <w:keepLines/>
        <w:shd w:val="clear" w:color="auto" w:fill="FFFFFF"/>
        <w:spacing w:beforeLines="0" w:afterLines="0"/>
        <w:jc w:val="left"/>
        <w:rPr>
          <w:rFonts w:hint="eastAsia" w:ascii="Times New Roman" w:hAnsi="Times New Roman" w:eastAsia="仿宋_GB2312" w:cs="仿宋_GB2312"/>
          <w:sz w:val="32"/>
          <w:szCs w:val="32"/>
        </w:rPr>
      </w:pPr>
      <w:r>
        <w:rPr>
          <w:rFonts w:hint="eastAsia" w:ascii="Times New Roman" w:hAnsi="Times New Roman" w:eastAsia="仿宋_GB2312" w:cs="仿宋_GB2312"/>
          <w:bCs/>
          <w:kern w:val="0"/>
          <w:sz w:val="32"/>
          <w:szCs w:val="32"/>
        </w:rPr>
        <w:t>（九）完成市住建局交办的其他工作</w:t>
      </w:r>
      <w:r>
        <w:rPr>
          <w:rFonts w:ascii="Times New Roman" w:hAnsi="Times New Roman" w:eastAsia="仿宋_GB2312" w:cs="仿宋_GB2312"/>
          <w:bCs/>
          <w:kern w:val="0"/>
          <w:sz w:val="32"/>
          <w:szCs w:val="32"/>
        </w:rPr>
        <w:t>。</w:t>
      </w:r>
    </w:p>
    <w:p>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pPr>
        <w:widowControl/>
        <w:spacing w:line="600" w:lineRule="exact"/>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（一）内设机构设置。</w:t>
      </w:r>
      <w:r>
        <w:rPr>
          <w:rFonts w:hint="eastAsia" w:ascii="Times New Roman" w:hAnsi="Times New Roman" w:eastAsia="仿宋_GB2312" w:cs="仿宋_GB2312"/>
          <w:bCs/>
          <w:kern w:val="0"/>
          <w:sz w:val="32"/>
          <w:szCs w:val="32"/>
          <w:lang w:val="en-US" w:eastAsia="zh-CN"/>
        </w:rPr>
        <w:t>岳阳市城市建设档案馆</w:t>
      </w:r>
      <w:r>
        <w:rPr>
          <w:rFonts w:hint="eastAsia" w:ascii="Times New Roman" w:hAnsi="Times New Roman" w:eastAsia="仿宋_GB2312" w:cs="仿宋_GB2312"/>
          <w:bCs/>
          <w:kern w:val="0"/>
          <w:sz w:val="32"/>
          <w:szCs w:val="32"/>
        </w:rPr>
        <w:t>内设机构包括：综合室、业务室、信息室。</w:t>
      </w:r>
    </w:p>
    <w:p>
      <w:pPr>
        <w:widowControl/>
        <w:spacing w:line="600" w:lineRule="exact"/>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（二）决算单位构成。</w:t>
      </w:r>
      <w:r>
        <w:rPr>
          <w:rFonts w:hint="eastAsia" w:ascii="Times New Roman" w:hAnsi="Times New Roman" w:eastAsia="仿宋_GB2312" w:cs="仿宋_GB2312"/>
          <w:bCs/>
          <w:kern w:val="0"/>
          <w:sz w:val="32"/>
          <w:szCs w:val="32"/>
          <w:lang w:eastAsia="zh-CN"/>
        </w:rPr>
        <w:t>本单位无独立核算的下属单位，</w:t>
      </w:r>
      <w:r>
        <w:rPr>
          <w:rFonts w:hint="eastAsia" w:ascii="Times New Roman" w:hAnsi="Times New Roman" w:eastAsia="仿宋_GB2312" w:cs="仿宋_GB2312"/>
          <w:bCs/>
          <w:kern w:val="0"/>
          <w:sz w:val="32"/>
          <w:szCs w:val="32"/>
          <w:lang w:val="en-US" w:eastAsia="zh-CN"/>
        </w:rPr>
        <w:t>2023年度部门决算汇总公开单位仅包括岳阳市城市建设档案馆本级。</w:t>
      </w:r>
    </w:p>
    <w:p/>
    <w:p>
      <w:pPr>
        <w:pStyle w:val="9"/>
      </w:pPr>
    </w:p>
    <w:p>
      <w:pPr>
        <w:pStyle w:val="5"/>
      </w:pPr>
    </w:p>
    <w:p/>
    <w:p>
      <w:pPr>
        <w:pStyle w:val="9"/>
      </w:pPr>
    </w:p>
    <w:p>
      <w:pPr>
        <w:pStyle w:val="5"/>
      </w:pPr>
    </w:p>
    <w:p/>
    <w:p>
      <w:pPr>
        <w:pStyle w:val="9"/>
      </w:pPr>
    </w:p>
    <w:p>
      <w:pPr>
        <w:pStyle w:val="5"/>
      </w:pPr>
    </w:p>
    <w:p/>
    <w:p>
      <w:pPr>
        <w:pStyle w:val="9"/>
      </w:pPr>
    </w:p>
    <w:p>
      <w:pPr>
        <w:pStyle w:val="5"/>
      </w:pPr>
    </w:p>
    <w:p/>
    <w:p>
      <w:pPr>
        <w:pStyle w:val="9"/>
      </w:pPr>
    </w:p>
    <w:p>
      <w:pPr>
        <w:pStyle w:val="5"/>
      </w:pPr>
    </w:p>
    <w:p/>
    <w:p>
      <w:pPr>
        <w:pStyle w:val="9"/>
      </w:pPr>
    </w:p>
    <w:p>
      <w:pPr>
        <w:pStyle w:val="5"/>
      </w:pPr>
    </w:p>
    <w:p/>
    <w:p>
      <w:pPr>
        <w:pStyle w:val="9"/>
      </w:pPr>
    </w:p>
    <w:p>
      <w:pPr>
        <w:pStyle w:val="5"/>
      </w:pPr>
    </w:p>
    <w:p/>
    <w:p>
      <w:pPr>
        <w:pStyle w:val="9"/>
      </w:pPr>
    </w:p>
    <w:p>
      <w:pPr>
        <w:pStyle w:val="5"/>
      </w:pPr>
    </w:p>
    <w:p>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14"/>
        <w:jc w:val="center"/>
        <w:rPr>
          <w:rFonts w:hint="eastAsia" w:ascii="方正小标宋_GBK" w:hAnsi="方正小标宋_GBK" w:eastAsia="方正小标宋_GBK" w:cs="方正小标宋_GBK"/>
          <w:sz w:val="84"/>
          <w:szCs w:val="84"/>
        </w:rPr>
      </w:pPr>
    </w:p>
    <w:p>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pPr>
        <w:pStyle w:val="14"/>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pPr>
        <w:pStyle w:val="14"/>
        <w:jc w:val="center"/>
        <w:rPr>
          <w:rFonts w:hint="eastAsia" w:ascii="仿宋_GB2312" w:hAnsi="仿宋_GB2312" w:eastAsia="仿宋_GB2312" w:cs="仿宋_GB2312"/>
          <w:b w:val="0"/>
          <w:bCs w:val="0"/>
          <w:sz w:val="72"/>
          <w:szCs w:val="72"/>
          <w:lang w:eastAsia="zh-CN"/>
        </w:rPr>
      </w:pPr>
    </w:p>
    <w:p>
      <w:pPr>
        <w:pStyle w:val="14"/>
        <w:jc w:val="center"/>
        <w:rPr>
          <w:rFonts w:hint="eastAsia" w:ascii="仿宋_GB2312" w:hAnsi="仿宋_GB2312" w:eastAsia="仿宋_GB2312" w:cs="仿宋_GB2312"/>
          <w:b w:val="0"/>
          <w:bCs w:val="0"/>
          <w:sz w:val="72"/>
          <w:szCs w:val="72"/>
          <w:lang w:eastAsia="zh-CN"/>
        </w:rPr>
      </w:pPr>
    </w:p>
    <w:p>
      <w:pPr>
        <w:pStyle w:val="14"/>
        <w:jc w:val="center"/>
        <w:rPr>
          <w:rFonts w:hint="eastAsia" w:ascii="仿宋_GB2312" w:hAnsi="仿宋_GB2312" w:eastAsia="仿宋_GB2312" w:cs="仿宋_GB2312"/>
          <w:b w:val="0"/>
          <w:bCs w:val="0"/>
          <w:sz w:val="72"/>
          <w:szCs w:val="72"/>
          <w:lang w:eastAsia="zh-CN"/>
        </w:rPr>
      </w:pPr>
    </w:p>
    <w:p>
      <w:pPr>
        <w:pStyle w:val="14"/>
        <w:jc w:val="center"/>
        <w:rPr>
          <w:rFonts w:hint="eastAsia" w:ascii="仿宋_GB2312" w:hAnsi="仿宋_GB2312" w:eastAsia="仿宋_GB2312" w:cs="仿宋_GB2312"/>
          <w:b w:val="0"/>
          <w:bCs w:val="0"/>
          <w:sz w:val="72"/>
          <w:szCs w:val="72"/>
          <w:lang w:eastAsia="zh-CN"/>
        </w:rPr>
      </w:pPr>
    </w:p>
    <w:p>
      <w:pPr>
        <w:pStyle w:val="14"/>
        <w:jc w:val="center"/>
        <w:rPr>
          <w:rFonts w:hint="eastAsia" w:ascii="仿宋_GB2312" w:hAnsi="仿宋_GB2312" w:eastAsia="仿宋_GB2312" w:cs="仿宋_GB2312"/>
          <w:b w:val="0"/>
          <w:bCs w:val="0"/>
          <w:sz w:val="72"/>
          <w:szCs w:val="72"/>
          <w:lang w:eastAsia="zh-CN"/>
        </w:rPr>
      </w:pPr>
    </w:p>
    <w:p>
      <w:pPr>
        <w:pStyle w:val="14"/>
        <w:jc w:val="center"/>
        <w:rPr>
          <w:rFonts w:hint="eastAsia" w:ascii="仿宋_GB2312" w:hAnsi="仿宋_GB2312" w:eastAsia="仿宋_GB2312" w:cs="仿宋_GB2312"/>
          <w:b w:val="0"/>
          <w:bCs w:val="0"/>
          <w:sz w:val="72"/>
          <w:szCs w:val="72"/>
          <w:lang w:eastAsia="zh-CN"/>
        </w:rPr>
      </w:pPr>
    </w:p>
    <w:p>
      <w:pPr>
        <w:pStyle w:val="14"/>
        <w:jc w:val="center"/>
        <w:rPr>
          <w:rFonts w:hint="eastAsia" w:ascii="仿宋_GB2312" w:hAnsi="仿宋_GB2312" w:eastAsia="仿宋_GB2312" w:cs="仿宋_GB2312"/>
          <w:b w:val="0"/>
          <w:bCs w:val="0"/>
          <w:sz w:val="72"/>
          <w:szCs w:val="72"/>
          <w:lang w:eastAsia="zh-CN"/>
        </w:rPr>
      </w:pPr>
    </w:p>
    <w:p>
      <w:pPr>
        <w:pStyle w:val="14"/>
        <w:jc w:val="center"/>
        <w:rPr>
          <w:rFonts w:hint="eastAsia" w:ascii="方正小标宋_GBK" w:hAnsi="方正小标宋_GBK" w:eastAsia="方正小标宋_GBK" w:cs="方正小标宋_GBK"/>
          <w:sz w:val="72"/>
          <w:szCs w:val="72"/>
        </w:rPr>
      </w:pPr>
    </w:p>
    <w:p>
      <w:pPr>
        <w:pStyle w:val="14"/>
        <w:jc w:val="center"/>
        <w:rPr>
          <w:rFonts w:hint="eastAsia" w:ascii="方正小标宋_GBK" w:hAnsi="方正小标宋_GBK" w:eastAsia="方正小标宋_GBK" w:cs="方正小标宋_GBK"/>
          <w:sz w:val="72"/>
          <w:szCs w:val="72"/>
        </w:rPr>
      </w:pPr>
    </w:p>
    <w:p>
      <w:pPr>
        <w:pStyle w:val="14"/>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14"/>
        <w:jc w:val="center"/>
        <w:rPr>
          <w:rFonts w:hint="eastAsia" w:ascii="方正小标宋_GBK" w:hAnsi="方正小标宋_GBK" w:eastAsia="方正小标宋_GBK" w:cs="方正小标宋_GBK"/>
          <w:sz w:val="70"/>
          <w:szCs w:val="70"/>
        </w:rPr>
      </w:pPr>
    </w:p>
    <w:p>
      <w:pPr>
        <w:pStyle w:val="14"/>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3</w:t>
      </w:r>
      <w:r>
        <w:rPr>
          <w:rFonts w:hint="eastAsia" w:ascii="方正小标宋_GBK" w:hAnsi="方正小标宋_GBK" w:eastAsia="方正小标宋_GBK" w:cs="方正小标宋_GBK"/>
          <w:sz w:val="70"/>
          <w:szCs w:val="70"/>
        </w:rPr>
        <w:t>年度部门决算情况说明</w:t>
      </w:r>
    </w:p>
    <w:p>
      <w:pPr>
        <w:pStyle w:val="14"/>
        <w:jc w:val="center"/>
        <w:rPr>
          <w:rFonts w:hint="eastAsia" w:ascii="方正小标宋_GBK" w:hAnsi="方正小标宋_GBK" w:eastAsia="方正小标宋_GBK" w:cs="方正小标宋_GBK"/>
          <w:sz w:val="70"/>
          <w:szCs w:val="70"/>
        </w:rPr>
      </w:pPr>
    </w:p>
    <w:p>
      <w:pPr>
        <w:pStyle w:val="14"/>
        <w:jc w:val="center"/>
        <w:rPr>
          <w:rFonts w:hint="eastAsia" w:ascii="方正小标宋_GBK" w:hAnsi="方正小标宋_GBK" w:eastAsia="方正小标宋_GBK" w:cs="方正小标宋_GBK"/>
          <w:sz w:val="70"/>
          <w:szCs w:val="70"/>
        </w:rPr>
      </w:pPr>
    </w:p>
    <w:p>
      <w:pPr>
        <w:pStyle w:val="14"/>
        <w:jc w:val="center"/>
        <w:rPr>
          <w:rFonts w:hint="eastAsia" w:ascii="方正小标宋_GBK" w:hAnsi="方正小标宋_GBK" w:eastAsia="方正小标宋_GBK" w:cs="方正小标宋_GBK"/>
          <w:sz w:val="70"/>
          <w:szCs w:val="70"/>
        </w:rPr>
      </w:pPr>
    </w:p>
    <w:p>
      <w:pPr>
        <w:pStyle w:val="14"/>
        <w:jc w:val="center"/>
        <w:rPr>
          <w:rFonts w:hint="eastAsia" w:ascii="方正小标宋_GBK" w:hAnsi="方正小标宋_GBK" w:eastAsia="方正小标宋_GBK" w:cs="方正小标宋_GBK"/>
          <w:sz w:val="70"/>
          <w:szCs w:val="70"/>
        </w:rPr>
      </w:pPr>
    </w:p>
    <w:p>
      <w:pPr>
        <w:pStyle w:val="14"/>
        <w:jc w:val="center"/>
        <w:rPr>
          <w:rFonts w:hint="eastAsia" w:ascii="方正小标宋_GBK" w:hAnsi="方正小标宋_GBK" w:eastAsia="方正小标宋_GBK" w:cs="方正小标宋_GBK"/>
          <w:sz w:val="70"/>
          <w:szCs w:val="70"/>
        </w:rPr>
      </w:pPr>
    </w:p>
    <w:p>
      <w:pPr>
        <w:pStyle w:val="14"/>
        <w:jc w:val="center"/>
        <w:rPr>
          <w:rFonts w:hint="eastAsia" w:ascii="方正小标宋_GBK" w:hAnsi="方正小标宋_GBK" w:eastAsia="方正小标宋_GBK" w:cs="方正小标宋_GBK"/>
          <w:sz w:val="70"/>
          <w:szCs w:val="70"/>
        </w:rPr>
      </w:pPr>
    </w:p>
    <w:p>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说明：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由于</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决算编制时</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明细</w:t>
      </w:r>
      <w:r>
        <w:rPr>
          <w:rFonts w:hint="eastAsia" w:ascii="仿宋_GB2312" w:hAnsi="仿宋_GB2312" w:eastAsia="仿宋_GB2312" w:cs="仿宋_GB2312"/>
          <w:sz w:val="32"/>
          <w:szCs w:val="32"/>
          <w:lang w:eastAsia="zh-CN"/>
        </w:rPr>
        <w:t>至“金额单位：元</w:t>
      </w:r>
      <w:r>
        <w:rPr>
          <w:rFonts w:hint="eastAsia" w:ascii="仿宋_GB2312" w:hAnsi="仿宋_GB2312" w:eastAsia="仿宋_GB2312" w:cs="仿宋_GB2312"/>
          <w:sz w:val="32"/>
          <w:szCs w:val="32"/>
        </w:rPr>
        <w:t>”，而</w:t>
      </w:r>
      <w:r>
        <w:rPr>
          <w:rFonts w:hint="eastAsia" w:ascii="仿宋_GB2312" w:hAnsi="仿宋_GB2312" w:eastAsia="仿宋_GB2312" w:cs="仿宋_GB2312"/>
          <w:sz w:val="32"/>
          <w:szCs w:val="32"/>
          <w:lang w:eastAsia="zh-CN"/>
        </w:rPr>
        <w:t>本套部门决算文字说明</w:t>
      </w:r>
      <w:r>
        <w:rPr>
          <w:rFonts w:hint="eastAsia" w:ascii="仿宋_GB2312" w:hAnsi="仿宋_GB2312" w:eastAsia="仿宋_GB2312" w:cs="仿宋_GB2312"/>
          <w:sz w:val="32"/>
          <w:szCs w:val="32"/>
        </w:rPr>
        <w:t>和公开表格</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取数</w:t>
      </w:r>
      <w:r>
        <w:rPr>
          <w:rFonts w:hint="eastAsia" w:ascii="仿宋_GB2312" w:hAnsi="仿宋_GB2312" w:eastAsia="仿宋_GB2312" w:cs="仿宋_GB2312"/>
          <w:sz w:val="32"/>
          <w:szCs w:val="32"/>
          <w:lang w:eastAsia="zh-CN"/>
        </w:rPr>
        <w:t>转换为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金额单位：</w:t>
      </w:r>
      <w:r>
        <w:rPr>
          <w:rFonts w:hint="eastAsia" w:ascii="仿宋_GB2312" w:hAnsi="仿宋_GB2312" w:eastAsia="仿宋_GB2312" w:cs="仿宋_GB2312"/>
          <w:sz w:val="32"/>
          <w:szCs w:val="32"/>
        </w:rPr>
        <w:t>万元”，可能导致</w:t>
      </w:r>
      <w:r>
        <w:rPr>
          <w:rFonts w:hint="eastAsia" w:ascii="仿宋_GB2312" w:hAnsi="仿宋_GB2312" w:eastAsia="仿宋_GB2312" w:cs="仿宋_GB2312"/>
          <w:sz w:val="32"/>
          <w:szCs w:val="32"/>
          <w:lang w:eastAsia="zh-CN"/>
        </w:rPr>
        <w:t>以下文字说明中的各项数据取数以及公开</w:t>
      </w:r>
      <w:r>
        <w:rPr>
          <w:rFonts w:hint="eastAsia" w:ascii="仿宋_GB2312" w:hAnsi="仿宋_GB2312" w:eastAsia="仿宋_GB2312" w:cs="仿宋_GB2312"/>
          <w:sz w:val="32"/>
          <w:szCs w:val="32"/>
        </w:rPr>
        <w:t>表格</w:t>
      </w:r>
      <w:r>
        <w:rPr>
          <w:rFonts w:hint="eastAsia" w:ascii="仿宋_GB2312" w:hAnsi="仿宋_GB2312" w:eastAsia="仿宋_GB2312" w:cs="仿宋_GB2312"/>
          <w:sz w:val="32"/>
          <w:szCs w:val="32"/>
          <w:lang w:eastAsia="zh-CN"/>
        </w:rPr>
        <w:t>中的各项数据取数之间存在</w:t>
      </w:r>
      <w:r>
        <w:rPr>
          <w:rFonts w:hint="eastAsia" w:ascii="仿宋_GB2312" w:hAnsi="仿宋_GB2312" w:eastAsia="仿宋_GB2312" w:cs="仿宋_GB2312"/>
          <w:sz w:val="32"/>
          <w:szCs w:val="32"/>
        </w:rPr>
        <w:t>0.01的尾数差异。</w:t>
      </w:r>
      <w:r>
        <w:rPr>
          <w:rFonts w:hint="eastAsia" w:ascii="仿宋_GB2312" w:hAnsi="仿宋_GB2312" w:eastAsia="仿宋_GB2312" w:cs="仿宋_GB2312"/>
          <w:sz w:val="32"/>
          <w:szCs w:val="32"/>
          <w:lang w:val="en-US" w:eastAsia="zh-CN"/>
        </w:rPr>
        <w:t>2、以下文字说明中，部分科目由于预算数为0，无法计算完成年初预算的百分比，故未描述“</w:t>
      </w:r>
      <w:r>
        <w:rPr>
          <w:rFonts w:hint="eastAsia" w:ascii="仿宋_GB2312" w:hAnsi="仿宋_GB2312" w:eastAsia="仿宋_GB2312" w:cs="仿宋_GB2312"/>
          <w:sz w:val="32"/>
          <w:szCs w:val="32"/>
        </w:rPr>
        <w:t>完成年初预算的XX%</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年度收、支总计</w:t>
      </w:r>
      <w:r>
        <w:rPr>
          <w:rFonts w:hint="eastAsia" w:ascii="仿宋_GB2312" w:hAnsi="仿宋_GB2312" w:eastAsia="仿宋_GB2312" w:cs="仿宋_GB2312"/>
          <w:sz w:val="32"/>
          <w:szCs w:val="32"/>
          <w:lang w:val="en-US" w:eastAsia="zh-CN"/>
        </w:rPr>
        <w:t>931.48</w:t>
      </w:r>
      <w:r>
        <w:rPr>
          <w:rFonts w:hint="eastAsia" w:ascii="仿宋_GB2312" w:hAnsi="仿宋_GB2312" w:eastAsia="仿宋_GB2312" w:cs="仿宋_GB2312"/>
          <w:sz w:val="32"/>
          <w:szCs w:val="32"/>
        </w:rPr>
        <w:t>万元。与上年相比，增加</w:t>
      </w:r>
      <w:r>
        <w:rPr>
          <w:rFonts w:hint="eastAsia" w:ascii="仿宋_GB2312" w:hAnsi="仿宋_GB2312" w:eastAsia="仿宋_GB2312" w:cs="仿宋_GB2312"/>
          <w:sz w:val="32"/>
          <w:szCs w:val="32"/>
          <w:lang w:val="en-US" w:eastAsia="zh-CN"/>
        </w:rPr>
        <w:t>427.68</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84.89</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val="en-US" w:eastAsia="zh-CN"/>
        </w:rPr>
        <w:t>本年度有地下管线平台运行维护经费和城市管网及污水处理补助项目资金。</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年度收入合计</w:t>
      </w:r>
      <w:r>
        <w:rPr>
          <w:rFonts w:hint="eastAsia" w:ascii="仿宋_GB2312" w:hAnsi="仿宋_GB2312" w:eastAsia="仿宋_GB2312" w:cs="仿宋_GB2312"/>
          <w:sz w:val="32"/>
          <w:szCs w:val="32"/>
          <w:lang w:val="en-US" w:eastAsia="zh-CN"/>
        </w:rPr>
        <w:t>931.48</w:t>
      </w:r>
      <w:r>
        <w:rPr>
          <w:rFonts w:hint="eastAsia" w:ascii="仿宋_GB2312" w:hAnsi="仿宋_GB2312" w:eastAsia="仿宋_GB2312" w:cs="仿宋_GB2312"/>
          <w:sz w:val="32"/>
          <w:szCs w:val="32"/>
        </w:rPr>
        <w:t>万元，其中：财政拨款收入</w:t>
      </w:r>
      <w:r>
        <w:rPr>
          <w:rFonts w:hint="eastAsia" w:ascii="仿宋_GB2312" w:hAnsi="仿宋_GB2312" w:eastAsia="仿宋_GB2312" w:cs="仿宋_GB2312"/>
          <w:sz w:val="32"/>
          <w:szCs w:val="32"/>
          <w:lang w:val="en-US" w:eastAsia="zh-CN"/>
        </w:rPr>
        <w:t>931.33</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99.98</w:t>
      </w:r>
      <w:r>
        <w:rPr>
          <w:rFonts w:hint="eastAsia" w:ascii="仿宋_GB2312" w:hAnsi="仿宋_GB2312" w:eastAsia="仿宋_GB2312" w:cs="仿宋_GB2312"/>
          <w:sz w:val="32"/>
          <w:szCs w:val="32"/>
        </w:rPr>
        <w:t>%；上级补助收入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%；其他收入</w:t>
      </w:r>
      <w:r>
        <w:rPr>
          <w:rFonts w:hint="eastAsia" w:ascii="仿宋_GB2312" w:hAnsi="仿宋_GB2312" w:eastAsia="仿宋_GB2312" w:cs="仿宋_GB2312"/>
          <w:sz w:val="32"/>
          <w:szCs w:val="32"/>
          <w:lang w:val="en-US" w:eastAsia="zh-CN"/>
        </w:rPr>
        <w:t>0.15</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0.02</w:t>
      </w:r>
      <w:r>
        <w:rPr>
          <w:rFonts w:hint="eastAsia" w:ascii="仿宋_GB2312" w:hAnsi="仿宋_GB2312" w:eastAsia="仿宋_GB2312" w:cs="仿宋_GB2312"/>
          <w:sz w:val="32"/>
          <w:szCs w:val="32"/>
        </w:rPr>
        <w:t>%。</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年度支出合计</w:t>
      </w:r>
      <w:r>
        <w:rPr>
          <w:rFonts w:hint="eastAsia" w:ascii="仿宋_GB2312" w:hAnsi="仿宋_GB2312" w:eastAsia="仿宋_GB2312" w:cs="仿宋_GB2312"/>
          <w:sz w:val="32"/>
          <w:szCs w:val="32"/>
          <w:lang w:val="en-US" w:eastAsia="zh-CN"/>
        </w:rPr>
        <w:t>931.47</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340.24</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36.53</w:t>
      </w:r>
      <w:r>
        <w:rPr>
          <w:rFonts w:hint="eastAsia" w:ascii="仿宋_GB2312" w:hAnsi="仿宋_GB2312" w:eastAsia="仿宋_GB2312" w:cs="仿宋_GB2312"/>
          <w:sz w:val="32"/>
          <w:szCs w:val="32"/>
        </w:rPr>
        <w:t>%；项目支出</w:t>
      </w:r>
      <w:r>
        <w:rPr>
          <w:rFonts w:hint="eastAsia" w:ascii="仿宋_GB2312" w:hAnsi="仿宋_GB2312" w:eastAsia="仿宋_GB2312" w:cs="仿宋_GB2312"/>
          <w:sz w:val="32"/>
          <w:szCs w:val="32"/>
          <w:lang w:val="en-US" w:eastAsia="zh-CN"/>
        </w:rPr>
        <w:t>591.23</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63.47</w:t>
      </w:r>
      <w:r>
        <w:rPr>
          <w:rFonts w:hint="eastAsia" w:ascii="仿宋_GB2312" w:hAnsi="仿宋_GB2312" w:eastAsia="仿宋_GB2312" w:cs="仿宋_GB2312"/>
          <w:sz w:val="32"/>
          <w:szCs w:val="32"/>
        </w:rPr>
        <w:t>%；上缴上级支出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%；对附属单位补助支出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pPr>
        <w:pStyle w:val="14"/>
        <w:keepNext w:val="0"/>
        <w:keepLines w:val="0"/>
        <w:pageBreakBefore w:val="0"/>
        <w:widowControl w:val="0"/>
        <w:kinsoku/>
        <w:wordWrap/>
        <w:overflowPunct/>
        <w:topLinePunct w:val="0"/>
        <w:bidi w:val="0"/>
        <w:snapToGrid/>
        <w:spacing w:line="600" w:lineRule="exact"/>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年度财政拨款收、支总计</w:t>
      </w:r>
      <w:r>
        <w:rPr>
          <w:rFonts w:hint="eastAsia" w:ascii="仿宋_GB2312" w:hAnsi="仿宋_GB2312" w:eastAsia="仿宋_GB2312" w:cs="仿宋_GB2312"/>
          <w:sz w:val="32"/>
          <w:szCs w:val="32"/>
          <w:lang w:val="en-US" w:eastAsia="zh-CN"/>
        </w:rPr>
        <w:t>931.33</w:t>
      </w:r>
      <w:r>
        <w:rPr>
          <w:rFonts w:hint="eastAsia" w:ascii="仿宋_GB2312" w:hAnsi="仿宋_GB2312" w:eastAsia="仿宋_GB2312" w:cs="仿宋_GB2312"/>
          <w:sz w:val="32"/>
          <w:szCs w:val="32"/>
        </w:rPr>
        <w:t>万元，与上年相比，增加</w:t>
      </w:r>
      <w:r>
        <w:rPr>
          <w:rFonts w:hint="eastAsia" w:ascii="仿宋_GB2312" w:hAnsi="仿宋_GB2312" w:eastAsia="仿宋_GB2312" w:cs="仿宋_GB2312"/>
          <w:sz w:val="32"/>
          <w:szCs w:val="32"/>
          <w:lang w:val="en-US" w:eastAsia="zh-CN"/>
        </w:rPr>
        <w:t>448.02</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92.70</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val="en-US" w:eastAsia="zh-CN"/>
        </w:rPr>
        <w:t>本年度有地下管线平台运行维护经费和城市管网及污水处理补助项目资金。</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（一）一般公共预算财政拨款支出决算总体情况</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931.33</w:t>
      </w:r>
      <w:r>
        <w:rPr>
          <w:rFonts w:hint="eastAsia" w:ascii="仿宋_GB2312" w:hAnsi="仿宋_GB2312" w:eastAsia="仿宋_GB2312" w:cs="仿宋_GB2312"/>
          <w:sz w:val="32"/>
          <w:szCs w:val="32"/>
        </w:rPr>
        <w:t>万元，占本年支出合计的</w:t>
      </w:r>
      <w:r>
        <w:rPr>
          <w:rFonts w:hint="eastAsia" w:ascii="仿宋_GB2312" w:hAnsi="仿宋_GB2312" w:eastAsia="仿宋_GB2312" w:cs="仿宋_GB2312"/>
          <w:sz w:val="32"/>
          <w:szCs w:val="32"/>
          <w:lang w:val="en-US" w:eastAsia="zh-CN"/>
        </w:rPr>
        <w:t>99.98</w:t>
      </w:r>
      <w:r>
        <w:rPr>
          <w:rFonts w:hint="eastAsia" w:ascii="仿宋_GB2312" w:hAnsi="仿宋_GB2312" w:eastAsia="仿宋_GB2312" w:cs="仿宋_GB2312"/>
          <w:sz w:val="32"/>
          <w:szCs w:val="32"/>
        </w:rPr>
        <w:t>%，与上年相比，财政拨款支出增加</w:t>
      </w:r>
      <w:r>
        <w:rPr>
          <w:rFonts w:hint="eastAsia" w:ascii="仿宋_GB2312" w:hAnsi="仿宋_GB2312" w:eastAsia="仿宋_GB2312" w:cs="仿宋_GB2312"/>
          <w:sz w:val="32"/>
          <w:szCs w:val="32"/>
          <w:lang w:val="en-US" w:eastAsia="zh-CN"/>
        </w:rPr>
        <w:t>448.02</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92.70</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val="en-US" w:eastAsia="zh-CN"/>
        </w:rPr>
        <w:t>本年度有地下管线平台运行维护经费和城市管网及污水处理补助项目资金。</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（二）一般公共预算财政拨款支出决算结构情况</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931.33</w:t>
      </w:r>
      <w:r>
        <w:rPr>
          <w:rFonts w:hint="eastAsia" w:ascii="仿宋_GB2312" w:hAnsi="仿宋_GB2312" w:eastAsia="仿宋_GB2312" w:cs="仿宋_GB2312"/>
          <w:sz w:val="32"/>
          <w:szCs w:val="32"/>
        </w:rPr>
        <w:t>万元，主要用于以下方面：</w:t>
      </w:r>
      <w:r>
        <w:rPr>
          <w:rFonts w:hint="eastAsia" w:ascii="仿宋_GB2312" w:hAnsi="仿宋_GB2312" w:eastAsia="仿宋_GB2312" w:cs="仿宋_GB2312"/>
          <w:sz w:val="32"/>
          <w:szCs w:val="32"/>
          <w:lang w:val="en-US" w:eastAsia="zh-CN"/>
        </w:rPr>
        <w:t>社会保障和就业</w:t>
      </w:r>
      <w:r>
        <w:rPr>
          <w:rFonts w:hint="eastAsia" w:ascii="仿宋_GB2312" w:hAnsi="仿宋_GB2312" w:eastAsia="仿宋_GB2312" w:cs="仿宋_GB2312"/>
          <w:sz w:val="32"/>
          <w:szCs w:val="32"/>
        </w:rPr>
        <w:t>（类）支出</w:t>
      </w:r>
      <w:r>
        <w:rPr>
          <w:rFonts w:hint="eastAsia" w:ascii="仿宋_GB2312" w:hAnsi="仿宋_GB2312" w:eastAsia="仿宋_GB2312" w:cs="仿宋_GB2312"/>
          <w:sz w:val="32"/>
          <w:szCs w:val="32"/>
          <w:lang w:val="en-US" w:eastAsia="zh-CN"/>
        </w:rPr>
        <w:t>25.30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2.72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卫生健康</w:t>
      </w:r>
      <w:r>
        <w:rPr>
          <w:rFonts w:hint="eastAsia" w:ascii="仿宋_GB2312" w:hAnsi="仿宋_GB2312" w:eastAsia="仿宋_GB2312" w:cs="仿宋_GB2312"/>
          <w:sz w:val="32"/>
          <w:szCs w:val="32"/>
        </w:rPr>
        <w:t>（类）支出</w:t>
      </w:r>
      <w:r>
        <w:rPr>
          <w:rFonts w:hint="eastAsia" w:ascii="仿宋_GB2312" w:hAnsi="仿宋_GB2312" w:eastAsia="仿宋_GB2312" w:cs="仿宋_GB2312"/>
          <w:sz w:val="32"/>
          <w:szCs w:val="32"/>
          <w:lang w:val="en-US" w:eastAsia="zh-CN"/>
        </w:rPr>
        <w:t>10.43</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1.12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节能环保</w:t>
      </w:r>
      <w:r>
        <w:rPr>
          <w:rFonts w:hint="eastAsia" w:ascii="仿宋_GB2312" w:hAnsi="仿宋_GB2312" w:eastAsia="仿宋_GB2312" w:cs="仿宋_GB2312"/>
          <w:sz w:val="32"/>
          <w:szCs w:val="32"/>
        </w:rPr>
        <w:t>（类）支出</w:t>
      </w:r>
      <w:r>
        <w:rPr>
          <w:rFonts w:hint="eastAsia" w:ascii="仿宋_GB2312" w:hAnsi="仿宋_GB2312" w:eastAsia="仿宋_GB2312" w:cs="仿宋_GB2312"/>
          <w:sz w:val="32"/>
          <w:szCs w:val="32"/>
          <w:lang w:val="en-US" w:eastAsia="zh-CN"/>
        </w:rPr>
        <w:t>440.08</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47.25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城乡社区</w:t>
      </w:r>
      <w:r>
        <w:rPr>
          <w:rFonts w:hint="eastAsia" w:ascii="仿宋_GB2312" w:hAnsi="仿宋_GB2312" w:eastAsia="仿宋_GB2312" w:cs="仿宋_GB2312"/>
          <w:sz w:val="32"/>
          <w:szCs w:val="32"/>
        </w:rPr>
        <w:t>（类）支出</w:t>
      </w:r>
      <w:r>
        <w:rPr>
          <w:rFonts w:hint="eastAsia" w:ascii="仿宋_GB2312" w:hAnsi="仿宋_GB2312" w:eastAsia="仿宋_GB2312" w:cs="仿宋_GB2312"/>
          <w:sz w:val="32"/>
          <w:szCs w:val="32"/>
          <w:lang w:val="en-US" w:eastAsia="zh-CN"/>
        </w:rPr>
        <w:t>194.04</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20.84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资源勘探工业信息等</w:t>
      </w:r>
      <w:r>
        <w:rPr>
          <w:rFonts w:hint="eastAsia" w:ascii="仿宋_GB2312" w:hAnsi="仿宋_GB2312" w:eastAsia="仿宋_GB2312" w:cs="仿宋_GB2312"/>
          <w:sz w:val="32"/>
          <w:szCs w:val="32"/>
        </w:rPr>
        <w:t>（类）支出</w:t>
      </w:r>
      <w:r>
        <w:rPr>
          <w:rFonts w:hint="eastAsia" w:ascii="仿宋_GB2312" w:hAnsi="仿宋_GB2312" w:eastAsia="仿宋_GB2312" w:cs="仿宋_GB2312"/>
          <w:sz w:val="32"/>
          <w:szCs w:val="32"/>
          <w:lang w:val="en-US" w:eastAsia="zh-CN"/>
        </w:rPr>
        <w:t>241.52</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25.93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住房保障</w:t>
      </w:r>
      <w:r>
        <w:rPr>
          <w:rFonts w:hint="eastAsia" w:ascii="仿宋_GB2312" w:hAnsi="仿宋_GB2312" w:eastAsia="仿宋_GB2312" w:cs="仿宋_GB2312"/>
          <w:sz w:val="32"/>
          <w:szCs w:val="32"/>
        </w:rPr>
        <w:t>（类）支出</w:t>
      </w:r>
      <w:r>
        <w:rPr>
          <w:rFonts w:hint="eastAsia" w:ascii="仿宋_GB2312" w:hAnsi="仿宋_GB2312" w:eastAsia="仿宋_GB2312" w:cs="仿宋_GB2312"/>
          <w:sz w:val="32"/>
          <w:szCs w:val="32"/>
          <w:lang w:val="en-US" w:eastAsia="zh-CN"/>
        </w:rPr>
        <w:t>19.95</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2.14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（三）一般公共预算财政拨款支出决算具体情况</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年度财政拨款支出年初预算数为</w:t>
      </w:r>
      <w:r>
        <w:rPr>
          <w:rFonts w:hint="eastAsia" w:ascii="仿宋_GB2312" w:hAnsi="仿宋_GB2312" w:eastAsia="仿宋_GB2312" w:cs="仿宋_GB2312"/>
          <w:sz w:val="32"/>
          <w:szCs w:val="32"/>
          <w:lang w:val="en-US" w:eastAsia="zh-CN"/>
        </w:rPr>
        <w:t>426.00</w:t>
      </w:r>
      <w:r>
        <w:rPr>
          <w:rFonts w:hint="eastAsia" w:ascii="仿宋_GB2312" w:hAnsi="仿宋_GB2312" w:eastAsia="仿宋_GB2312" w:cs="仿宋_GB2312"/>
          <w:sz w:val="32"/>
          <w:szCs w:val="32"/>
        </w:rPr>
        <w:t>万元，支出决算数为</w:t>
      </w:r>
      <w:r>
        <w:rPr>
          <w:rFonts w:hint="eastAsia" w:ascii="仿宋_GB2312" w:hAnsi="仿宋_GB2312" w:eastAsia="仿宋_GB2312" w:cs="仿宋_GB2312"/>
          <w:sz w:val="32"/>
          <w:szCs w:val="32"/>
          <w:lang w:val="en-US" w:eastAsia="zh-CN"/>
        </w:rPr>
        <w:t>931.33</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219.04</w:t>
      </w:r>
      <w:r>
        <w:rPr>
          <w:rFonts w:hint="eastAsia" w:ascii="仿宋_GB2312" w:hAnsi="仿宋_GB2312" w:eastAsia="仿宋_GB2312" w:cs="仿宋_GB2312"/>
          <w:sz w:val="32"/>
          <w:szCs w:val="32"/>
        </w:rPr>
        <w:t>%，其中：</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社会保障和就业支出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行政事业单位养老支出</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机关事业单位基本养老保险缴费支出</w:t>
      </w:r>
      <w:r>
        <w:rPr>
          <w:rFonts w:hint="eastAsia" w:ascii="仿宋_GB2312" w:hAnsi="仿宋_GB2312" w:eastAsia="仿宋_GB2312" w:cs="仿宋_GB2312"/>
          <w:sz w:val="32"/>
          <w:szCs w:val="32"/>
        </w:rPr>
        <w:t>（项）。</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20.46</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19.74</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96.48</w:t>
      </w:r>
      <w:r>
        <w:rPr>
          <w:rFonts w:hint="eastAsia" w:ascii="仿宋_GB2312" w:hAnsi="仿宋_GB2312" w:eastAsia="仿宋_GB2312" w:cs="仿宋_GB2312"/>
          <w:sz w:val="32"/>
          <w:szCs w:val="32"/>
        </w:rPr>
        <w:t>%，决算数小于年初预算数的主要原因是：</w:t>
      </w:r>
      <w:r>
        <w:rPr>
          <w:rFonts w:hint="eastAsia" w:ascii="仿宋_GB2312" w:hAnsi="仿宋_GB2312" w:eastAsia="仿宋_GB2312" w:cs="仿宋_GB2312"/>
          <w:sz w:val="32"/>
          <w:szCs w:val="32"/>
          <w:lang w:val="en-US" w:eastAsia="zh-CN"/>
        </w:rPr>
        <w:t>有人员调动。</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社会保障和就业支出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其他社会保障和就业支出（</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其他社会保障和就业支出</w:t>
      </w:r>
      <w:r>
        <w:rPr>
          <w:rFonts w:hint="eastAsia" w:ascii="仿宋_GB2312" w:hAnsi="仿宋_GB2312" w:eastAsia="仿宋_GB2312" w:cs="仿宋_GB2312"/>
          <w:sz w:val="32"/>
          <w:szCs w:val="32"/>
        </w:rPr>
        <w:t>（项）。</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5.95</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5.56</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93.45</w:t>
      </w:r>
      <w:r>
        <w:rPr>
          <w:rFonts w:hint="eastAsia" w:ascii="仿宋_GB2312" w:hAnsi="仿宋_GB2312" w:eastAsia="仿宋_GB2312" w:cs="仿宋_GB2312"/>
          <w:sz w:val="32"/>
          <w:szCs w:val="32"/>
        </w:rPr>
        <w:t>%，决算数小于年初预算数的主要原因是：</w:t>
      </w:r>
      <w:r>
        <w:rPr>
          <w:rFonts w:hint="eastAsia" w:ascii="仿宋_GB2312" w:hAnsi="仿宋_GB2312" w:eastAsia="仿宋_GB2312" w:cs="仿宋_GB2312"/>
          <w:sz w:val="32"/>
          <w:szCs w:val="32"/>
          <w:lang w:val="en-US" w:eastAsia="zh-CN"/>
        </w:rPr>
        <w:t>有人员调动。</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卫生健康支出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行政事业单位医疗</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事业单位医疗</w:t>
      </w:r>
      <w:r>
        <w:rPr>
          <w:rFonts w:hint="eastAsia" w:ascii="仿宋_GB2312" w:hAnsi="仿宋_GB2312" w:eastAsia="仿宋_GB2312" w:cs="仿宋_GB2312"/>
          <w:sz w:val="32"/>
          <w:szCs w:val="32"/>
        </w:rPr>
        <w:t>（项）。</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10.74</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10.43</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97.11</w:t>
      </w:r>
      <w:r>
        <w:rPr>
          <w:rFonts w:hint="eastAsia" w:ascii="仿宋_GB2312" w:hAnsi="仿宋_GB2312" w:eastAsia="仿宋_GB2312" w:cs="仿宋_GB2312"/>
          <w:sz w:val="32"/>
          <w:szCs w:val="32"/>
        </w:rPr>
        <w:t>%，决算数小于年初预算数的主要原因是：</w:t>
      </w:r>
      <w:r>
        <w:rPr>
          <w:rFonts w:hint="eastAsia" w:ascii="仿宋_GB2312" w:hAnsi="仿宋_GB2312" w:eastAsia="仿宋_GB2312" w:cs="仿宋_GB2312"/>
          <w:sz w:val="32"/>
          <w:szCs w:val="32"/>
          <w:lang w:val="en-US" w:eastAsia="zh-CN"/>
        </w:rPr>
        <w:t>有人员调动。</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节能环保支出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污染防治</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水体</w:t>
      </w:r>
      <w:r>
        <w:rPr>
          <w:rFonts w:hint="eastAsia" w:ascii="仿宋_GB2312" w:hAnsi="仿宋_GB2312" w:eastAsia="仿宋_GB2312" w:cs="仿宋_GB2312"/>
          <w:sz w:val="32"/>
          <w:szCs w:val="32"/>
        </w:rPr>
        <w:t>（项）。</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440.08</w:t>
      </w:r>
      <w:r>
        <w:rPr>
          <w:rFonts w:hint="eastAsia" w:ascii="仿宋_GB2312" w:hAnsi="仿宋_GB2312" w:eastAsia="仿宋_GB2312" w:cs="仿宋_GB2312"/>
          <w:sz w:val="32"/>
          <w:szCs w:val="32"/>
        </w:rPr>
        <w:t>万元，决算数大于年初预算数的主要原因是：</w:t>
      </w:r>
      <w:r>
        <w:rPr>
          <w:rFonts w:hint="eastAsia" w:ascii="仿宋_GB2312" w:hAnsi="仿宋_GB2312" w:eastAsia="仿宋_GB2312" w:cs="仿宋_GB2312"/>
          <w:sz w:val="32"/>
          <w:szCs w:val="32"/>
          <w:lang w:val="en-US" w:eastAsia="zh-CN"/>
        </w:rPr>
        <w:t>8月指标调剂城市管网及污水处理补助资金731万。</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城乡社区支出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城乡社区管理事务</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其他城乡社区管理事务支出</w:t>
      </w:r>
      <w:r>
        <w:rPr>
          <w:rFonts w:hint="eastAsia" w:ascii="仿宋_GB2312" w:hAnsi="仿宋_GB2312" w:eastAsia="仿宋_GB2312" w:cs="仿宋_GB2312"/>
          <w:sz w:val="32"/>
          <w:szCs w:val="32"/>
        </w:rPr>
        <w:t>（项）。</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11.58</w:t>
      </w:r>
      <w:r>
        <w:rPr>
          <w:rFonts w:hint="eastAsia" w:ascii="仿宋_GB2312" w:hAnsi="仿宋_GB2312" w:eastAsia="仿宋_GB2312" w:cs="仿宋_GB2312"/>
          <w:sz w:val="32"/>
          <w:szCs w:val="32"/>
        </w:rPr>
        <w:t>万元，决算数大于年初预算数的主要原因是：</w:t>
      </w:r>
      <w:r>
        <w:rPr>
          <w:rFonts w:hint="eastAsia" w:ascii="仿宋_GB2312" w:hAnsi="仿宋_GB2312" w:eastAsia="仿宋_GB2312" w:cs="仿宋_GB2312"/>
          <w:sz w:val="32"/>
          <w:szCs w:val="32"/>
          <w:lang w:val="en-US" w:eastAsia="zh-CN"/>
        </w:rPr>
        <w:t>11月追加2023年人员经费补差。</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城乡社区支出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城乡社区规划与管理</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城乡社区规划与管理</w:t>
      </w:r>
      <w:r>
        <w:rPr>
          <w:rFonts w:hint="eastAsia" w:ascii="仿宋_GB2312" w:hAnsi="仿宋_GB2312" w:eastAsia="仿宋_GB2312" w:cs="仿宋_GB2312"/>
          <w:sz w:val="32"/>
          <w:szCs w:val="32"/>
        </w:rPr>
        <w:t>（项）。</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116</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151.15</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130.30</w:t>
      </w:r>
      <w:r>
        <w:rPr>
          <w:rFonts w:hint="eastAsia" w:ascii="仿宋_GB2312" w:hAnsi="仿宋_GB2312" w:eastAsia="仿宋_GB2312" w:cs="仿宋_GB2312"/>
          <w:sz w:val="32"/>
          <w:szCs w:val="32"/>
        </w:rPr>
        <w:t>%，决算数大于年初预算数的主要原因是：</w:t>
      </w:r>
      <w:r>
        <w:rPr>
          <w:rFonts w:hint="eastAsia" w:ascii="仿宋_GB2312" w:hAnsi="仿宋_GB2312" w:eastAsia="仿宋_GB2312" w:cs="仿宋_GB2312"/>
          <w:sz w:val="32"/>
          <w:szCs w:val="32"/>
          <w:lang w:val="en-US" w:eastAsia="zh-CN"/>
        </w:rPr>
        <w:t>2月追加地下管线平台运行维护经费61.28万元，部分档案事务管理经费应付款项未付。</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城乡社区支出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其他城乡社区支出</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其他城乡社区支出</w:t>
      </w:r>
      <w:r>
        <w:rPr>
          <w:rFonts w:hint="eastAsia" w:ascii="仿宋_GB2312" w:hAnsi="仿宋_GB2312" w:eastAsia="仿宋_GB2312" w:cs="仿宋_GB2312"/>
          <w:sz w:val="32"/>
          <w:szCs w:val="32"/>
        </w:rPr>
        <w:t>（项）。</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31.31</w:t>
      </w:r>
      <w:r>
        <w:rPr>
          <w:rFonts w:hint="eastAsia" w:ascii="仿宋_GB2312" w:hAnsi="仿宋_GB2312" w:eastAsia="仿宋_GB2312" w:cs="仿宋_GB2312"/>
          <w:sz w:val="32"/>
          <w:szCs w:val="32"/>
        </w:rPr>
        <w:t>万元，决算数大于年初预算数的主要原因是：</w:t>
      </w:r>
      <w:r>
        <w:rPr>
          <w:rFonts w:hint="eastAsia" w:ascii="仿宋_GB2312" w:hAnsi="仿宋_GB2312" w:eastAsia="仿宋_GB2312" w:cs="仿宋_GB2312"/>
          <w:sz w:val="32"/>
          <w:szCs w:val="32"/>
          <w:lang w:val="en-US" w:eastAsia="zh-CN"/>
        </w:rPr>
        <w:t>7月追加综合绩效奖和平安岳阳建设奖，12月追加退休人员一个月工资奖。</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资源勘探工业信息等支出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建筑业</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行政运行</w:t>
      </w:r>
      <w:r>
        <w:rPr>
          <w:rFonts w:hint="eastAsia" w:ascii="仿宋_GB2312" w:hAnsi="仿宋_GB2312" w:eastAsia="仿宋_GB2312" w:cs="仿宋_GB2312"/>
          <w:sz w:val="32"/>
          <w:szCs w:val="32"/>
        </w:rPr>
        <w:t>（项）。</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252.22</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241.52</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95.76</w:t>
      </w:r>
      <w:r>
        <w:rPr>
          <w:rFonts w:hint="eastAsia" w:ascii="仿宋_GB2312" w:hAnsi="仿宋_GB2312" w:eastAsia="仿宋_GB2312" w:cs="仿宋_GB2312"/>
          <w:sz w:val="32"/>
          <w:szCs w:val="32"/>
        </w:rPr>
        <w:t>%，决算数小于年初预算数的主要原因是：</w:t>
      </w:r>
      <w:r>
        <w:rPr>
          <w:rFonts w:hint="eastAsia" w:ascii="仿宋_GB2312" w:hAnsi="仿宋_GB2312" w:eastAsia="仿宋_GB2312" w:cs="仿宋_GB2312"/>
          <w:sz w:val="32"/>
          <w:szCs w:val="32"/>
          <w:lang w:val="en-US" w:eastAsia="zh-CN"/>
        </w:rPr>
        <w:t>有人员调动。</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住房保障支出</w:t>
      </w:r>
      <w:r>
        <w:rPr>
          <w:rFonts w:hint="eastAsia" w:ascii="仿宋_GB2312" w:hAnsi="仿宋_GB2312" w:eastAsia="仿宋_GB2312" w:cs="仿宋_GB2312"/>
          <w:sz w:val="32"/>
          <w:szCs w:val="32"/>
        </w:rPr>
        <w:t>（类）</w:t>
      </w:r>
      <w:r>
        <w:rPr>
          <w:rFonts w:hint="eastAsia" w:ascii="仿宋_GB2312" w:hAnsi="仿宋_GB2312" w:eastAsia="仿宋_GB2312" w:cs="仿宋_GB2312"/>
          <w:sz w:val="32"/>
          <w:szCs w:val="32"/>
          <w:lang w:val="en-US" w:eastAsia="zh-CN"/>
        </w:rPr>
        <w:t>住房改革支出</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住房公积金</w:t>
      </w:r>
      <w:r>
        <w:rPr>
          <w:rFonts w:hint="eastAsia" w:ascii="仿宋_GB2312" w:hAnsi="仿宋_GB2312" w:eastAsia="仿宋_GB2312" w:cs="仿宋_GB2312"/>
          <w:sz w:val="32"/>
          <w:szCs w:val="32"/>
        </w:rPr>
        <w:t>（项）。</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20.62</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19.95</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96.75</w:t>
      </w:r>
      <w:r>
        <w:rPr>
          <w:rFonts w:hint="eastAsia" w:ascii="仿宋_GB2312" w:hAnsi="仿宋_GB2312" w:eastAsia="仿宋_GB2312" w:cs="仿宋_GB2312"/>
          <w:sz w:val="32"/>
          <w:szCs w:val="32"/>
        </w:rPr>
        <w:t>%，决算数小于年初预算数的主要原因是：</w:t>
      </w:r>
      <w:r>
        <w:rPr>
          <w:rFonts w:hint="eastAsia" w:ascii="仿宋_GB2312" w:hAnsi="仿宋_GB2312" w:eastAsia="仿宋_GB2312" w:cs="仿宋_GB2312"/>
          <w:sz w:val="32"/>
          <w:szCs w:val="32"/>
          <w:lang w:val="en-US" w:eastAsia="zh-CN"/>
        </w:rPr>
        <w:t>有人员调出。</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年度财政拨款基本支出</w:t>
      </w:r>
      <w:r>
        <w:rPr>
          <w:rFonts w:hint="eastAsia" w:ascii="仿宋_GB2312" w:hAnsi="仿宋_GB2312" w:eastAsia="仿宋_GB2312" w:cs="仿宋_GB2312"/>
          <w:sz w:val="32"/>
          <w:szCs w:val="32"/>
          <w:lang w:val="en-US" w:eastAsia="zh-CN"/>
        </w:rPr>
        <w:t>340.10</w:t>
      </w:r>
      <w:r>
        <w:rPr>
          <w:rFonts w:hint="eastAsia" w:ascii="仿宋_GB2312" w:hAnsi="仿宋_GB2312" w:eastAsia="仿宋_GB2312" w:cs="仿宋_GB2312"/>
          <w:sz w:val="32"/>
          <w:szCs w:val="32"/>
        </w:rPr>
        <w:t>万元，其中：</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sz w:val="32"/>
          <w:szCs w:val="32"/>
          <w:lang w:val="en-US" w:eastAsia="zh-CN"/>
        </w:rPr>
        <w:t>311.73</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91.66</w:t>
      </w:r>
      <w:r>
        <w:rPr>
          <w:rFonts w:hint="eastAsia" w:ascii="仿宋_GB2312" w:hAnsi="仿宋_GB2312" w:eastAsia="仿宋_GB2312" w:cs="仿宋_GB2312"/>
          <w:sz w:val="32"/>
          <w:szCs w:val="32"/>
        </w:rPr>
        <w:t>%,主要包括基本工资、津贴补贴、奖金、伙食补助费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绩效工资、机关事业单位基本养老保险缴费、职工基本医疗保险缴费、其他社会保障缴费、住房公积金、</w:t>
      </w:r>
      <w:r>
        <w:rPr>
          <w:rFonts w:hint="eastAsia" w:ascii="Times New Roman" w:hAnsi="Times New Roman" w:eastAsia="仿宋_GB2312"/>
          <w:sz w:val="32"/>
          <w:szCs w:val="32"/>
        </w:rPr>
        <w:t>医疗费、其他工资福利支出、退休费、医疗费补助</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其他对个人和家庭的补助。</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b w:val="0"/>
          <w:bCs w:val="0"/>
          <w:sz w:val="32"/>
          <w:szCs w:val="32"/>
          <w:lang w:val="en-US" w:eastAsia="zh-CN"/>
        </w:rPr>
        <w:t>28.37</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8.34</w:t>
      </w:r>
      <w:r>
        <w:rPr>
          <w:rFonts w:hint="eastAsia" w:ascii="仿宋_GB2312" w:hAnsi="仿宋_GB2312" w:eastAsia="仿宋_GB2312" w:cs="仿宋_GB2312"/>
          <w:sz w:val="32"/>
          <w:szCs w:val="32"/>
        </w:rPr>
        <w:t>%，主要包括办公费、印刷费、</w:t>
      </w:r>
      <w:r>
        <w:rPr>
          <w:rFonts w:hint="eastAsia" w:ascii="仿宋_GB2312" w:hAnsi="仿宋_GB2312" w:eastAsia="仿宋_GB2312" w:cs="仿宋_GB2312"/>
          <w:sz w:val="32"/>
          <w:szCs w:val="32"/>
          <w:lang w:val="en-US" w:eastAsia="zh-CN"/>
        </w:rPr>
        <w:t>电费、差旅费、维修（护）费、劳务费、工会经费、福利费、其他交通费用、其他商品和服务支出</w:t>
      </w:r>
      <w:r>
        <w:rPr>
          <w:rFonts w:hint="eastAsia" w:ascii="仿宋_GB2312" w:hAnsi="仿宋_GB2312" w:eastAsia="仿宋_GB2312" w:cs="仿宋_GB2312"/>
          <w:sz w:val="32"/>
          <w:szCs w:val="32"/>
        </w:rPr>
        <w:t>。</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600" w:lineRule="exact"/>
        <w:textAlignment w:val="auto"/>
        <w:rPr>
          <w:rFonts w:hint="eastAsia" w:ascii="黑体" w:hAnsi="黑体" w:eastAsia="黑体" w:cs="黑体"/>
          <w:b w:val="0"/>
          <w:bCs/>
          <w:color w:val="000000"/>
          <w:kern w:val="0"/>
          <w:sz w:val="32"/>
          <w:szCs w:val="32"/>
          <w:highlight w:val="none"/>
          <w:lang w:val="en-US" w:eastAsia="zh-CN" w:bidi="ar-SA"/>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年度政府性基金预算财政拨款收入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万元；年初结转和结余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万元，项目支出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万元；年末结转和结余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widowControl w:val="0"/>
        <w:numPr>
          <w:ilvl w:val="0"/>
          <w:numId w:val="2"/>
        </w:numPr>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国有资本经营预算财政拨款支出决算情况</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textAlignment w:val="auto"/>
        <w:rPr>
          <w:rFonts w:hint="default" w:ascii="仿宋_GB2312" w:hAnsi="仿宋_GB2312" w:eastAsia="仿宋_GB2312" w:cs="仿宋_GB2312"/>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 xml:space="preserve">    </w:t>
      </w:r>
      <w:r>
        <w:rPr>
          <w:rFonts w:hint="eastAsia" w:ascii="仿宋_GB2312" w:hAnsi="仿宋_GB2312" w:eastAsia="仿宋_GB2312" w:cs="仿宋_GB2312"/>
          <w:color w:val="000000"/>
          <w:kern w:val="0"/>
          <w:sz w:val="32"/>
          <w:szCs w:val="32"/>
          <w:lang w:val="en-US" w:eastAsia="zh-CN" w:bidi="ar-SA"/>
        </w:rPr>
        <w:t>2023年度国有资本经营预算财政拨款收入0万元；年初结转和结余0万；支出0万元，其中：基本支出0万元，项目支出0万元；年末结转和结余0万元。</w:t>
      </w:r>
    </w:p>
    <w:p>
      <w:pPr>
        <w:pStyle w:val="14"/>
        <w:keepNext w:val="0"/>
        <w:keepLines w:val="0"/>
        <w:pageBreakBefore w:val="0"/>
        <w:widowControl w:val="0"/>
        <w:numPr>
          <w:ilvl w:val="0"/>
          <w:numId w:val="2"/>
        </w:numPr>
        <w:kinsoku/>
        <w:wordWrap/>
        <w:overflowPunct/>
        <w:topLinePunct w:val="0"/>
        <w:bidi w:val="0"/>
        <w:snapToGrid/>
        <w:spacing w:line="600" w:lineRule="exact"/>
        <w:ind w:left="0" w:leftChars="0"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财政拨款三公经费支出决算情况说明</w:t>
      </w:r>
    </w:p>
    <w:p>
      <w:pPr>
        <w:keepNext w:val="0"/>
        <w:keepLines w:val="0"/>
        <w:pageBreakBefore w:val="0"/>
        <w:widowControl w:val="0"/>
        <w:numPr>
          <w:ilvl w:val="0"/>
          <w:numId w:val="3"/>
        </w:numPr>
        <w:kinsoku/>
        <w:wordWrap/>
        <w:overflowPunct/>
        <w:topLinePunct w:val="0"/>
        <w:autoSpaceDE w:val="0"/>
        <w:autoSpaceDN w:val="0"/>
        <w:bidi w:val="0"/>
        <w:adjustRightInd w:val="0"/>
        <w:snapToGrid/>
        <w:spacing w:line="600" w:lineRule="exact"/>
        <w:ind w:left="-10" w:leftChars="0" w:firstLine="640" w:firstLineChars="0"/>
        <w:textAlignment w:val="auto"/>
        <w:rPr>
          <w:rFonts w:hint="eastAsia" w:ascii="仿宋_GB2312" w:hAnsi="仿宋_GB2312" w:eastAsia="仿宋_GB2312" w:cs="仿宋_GB2312"/>
          <w:b w:val="0"/>
          <w:bCs/>
          <w:color w:val="auto"/>
          <w:kern w:val="0"/>
          <w:sz w:val="32"/>
          <w:szCs w:val="32"/>
          <w:lang w:val="en-US" w:eastAsia="zh-CN" w:bidi="ar-SA"/>
        </w:rPr>
      </w:pPr>
      <w:r>
        <w:rPr>
          <w:rFonts w:hint="eastAsia" w:hAnsi="黑体" w:cs="黑体"/>
          <w:b w:val="0"/>
          <w:bCs/>
          <w:color w:val="auto"/>
          <w:sz w:val="32"/>
          <w:szCs w:val="32"/>
          <w:lang w:val="en-US" w:eastAsia="zh-CN"/>
        </w:rPr>
        <w:t xml:space="preserve">  </w:t>
      </w:r>
      <w:r>
        <w:rPr>
          <w:rFonts w:hint="eastAsia" w:ascii="仿宋_GB2312" w:hAnsi="仿宋_GB2312" w:eastAsia="仿宋_GB2312" w:cs="仿宋_GB2312"/>
          <w:b w:val="0"/>
          <w:bCs/>
          <w:color w:val="auto"/>
          <w:kern w:val="0"/>
          <w:sz w:val="32"/>
          <w:szCs w:val="32"/>
          <w:lang w:val="en-US" w:eastAsia="zh-CN" w:bidi="ar-SA"/>
        </w:rPr>
        <w:t xml:space="preserve">“三公”经费财政拨款支出决算总体情况说明  </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 xml:space="preserve">2023年度“三公”经费财政拨款支出预算为0万元，支出决算为0万元，决算数等于预算数。其中：  </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因公出国（境）费支出预算为0万元，支出决算为0万元，决算数等于预算数，主要原因是我单位严格按预算执行决算；与上年一致，无增减变动，主要原因是未安排因公出国（境）活动。</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 xml:space="preserve">公务接待费支出预算为0万元，支出决算为0万元，决算数等于预算数，主要原因是严格执行中央八项规定；与上年一致，无增减变动，主要原因是按有关政策厉行节约，严控公务接待支出。  </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 xml:space="preserve">公务用车购置费支出预算为0万元，支出决算为0万元，决算数等于预算数，主要原因是我单位严格按预算执行决算；与上年一致，无增减变动，主要原因是两年均未购置公务用车。  </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 xml:space="preserve">公务用车运行维护费支出预算为0万元，支出决算为0万元，决算数等于预算数，主要原因是我单位严格按预算执行决算；与上年一致，无增减变动，主要原因是两年均无公务用车需要运行维护。 </w:t>
      </w:r>
    </w:p>
    <w:p>
      <w:pPr>
        <w:keepNext w:val="0"/>
        <w:keepLines w:val="0"/>
        <w:pageBreakBefore w:val="0"/>
        <w:widowControl w:val="0"/>
        <w:numPr>
          <w:ilvl w:val="0"/>
          <w:numId w:val="3"/>
        </w:numPr>
        <w:kinsoku/>
        <w:wordWrap/>
        <w:overflowPunct/>
        <w:topLinePunct w:val="0"/>
        <w:autoSpaceDE w:val="0"/>
        <w:autoSpaceDN w:val="0"/>
        <w:bidi w:val="0"/>
        <w:adjustRightInd w:val="0"/>
        <w:snapToGrid/>
        <w:spacing w:line="600" w:lineRule="exact"/>
        <w:ind w:left="-10" w:leftChars="0" w:firstLine="640" w:firstLineChars="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 xml:space="preserve">“三公”经费财政拨款支出决算具体情况说明  </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 xml:space="preserve">2023年度“三公”经费财政拨款支出决算中，公务接待费支出决算0万元，因公出国（境）费支出决算0万元，公务用车购置费及运行维护费支出决算0万元。其中：  </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 xml:space="preserve">1、因公出国（境）费支出决算为0万元，全年安排因公出国（境）团组0个，累计0人次，我单位2023年度无因公出国（境）费支出。  </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 xml:space="preserve">2、公务接待费支出决算为0万元，全年共接待来访团组0个、来宾0人次，我单位2023年度无公务接待费支出。  </w:t>
      </w:r>
    </w:p>
    <w:p>
      <w:pPr>
        <w:pStyle w:val="14"/>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default" w:ascii="黑体" w:hAnsi="黑体" w:eastAsia="黑体" w:cs="黑体"/>
          <w:b w:val="0"/>
          <w:bCs/>
          <w:sz w:val="32"/>
          <w:szCs w:val="32"/>
          <w:lang w:val="en-US" w:eastAsia="zh-CN"/>
        </w:rPr>
      </w:pPr>
      <w:r>
        <w:rPr>
          <w:rFonts w:hint="eastAsia" w:ascii="仿宋_GB2312" w:hAnsi="仿宋_GB2312" w:eastAsia="仿宋_GB2312" w:cs="仿宋_GB2312"/>
          <w:b w:val="0"/>
          <w:bCs/>
          <w:color w:val="auto"/>
          <w:kern w:val="0"/>
          <w:sz w:val="32"/>
          <w:szCs w:val="32"/>
          <w:lang w:val="en-US" w:eastAsia="zh-CN" w:bidi="ar-SA"/>
        </w:rPr>
        <w:t>3、公务用车购置费及运行维护费支出决算为0万元，其中：公务用车购置费0万元，当年没有购置公务用车。公务用车运行维护费0万元，截至2023年12月31日，我单位开支财政拨款的公务用车保有量为0辆。</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lang w:eastAsia="zh-CN"/>
        </w:rPr>
        <w:t>十</w:t>
      </w:r>
      <w:r>
        <w:rPr>
          <w:rFonts w:hint="eastAsia" w:ascii="Times New Roman" w:hAnsi="Times New Roman" w:eastAsia="仿宋_GB2312"/>
          <w:b/>
          <w:color w:val="auto"/>
          <w:sz w:val="32"/>
          <w:szCs w:val="32"/>
        </w:rPr>
        <w:t>、关于机关运行经费支出说明</w:t>
      </w:r>
    </w:p>
    <w:p>
      <w:pPr>
        <w:pStyle w:val="14"/>
        <w:ind w:firstLine="640" w:firstLineChars="200"/>
        <w:rPr>
          <w:rFonts w:ascii="Times New Roman" w:hAnsi="Times New Roman" w:eastAsia="仿宋_GB2312"/>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年度机关运行经费支出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万元，比上年决算数</w:t>
      </w:r>
      <w:r>
        <w:rPr>
          <w:rFonts w:hint="eastAsia" w:ascii="仿宋_GB2312" w:hAnsi="仿宋_GB2312" w:eastAsia="仿宋_GB2312" w:cs="仿宋_GB2312"/>
          <w:sz w:val="32"/>
          <w:szCs w:val="32"/>
          <w:lang w:val="en-US" w:eastAsia="zh-CN"/>
        </w:rPr>
        <w:t>无增减变化</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val="en-US" w:eastAsia="zh-CN"/>
        </w:rPr>
        <w:t>本级和所属单位均为事业单位，按照机关运行经费的口径，本年度机关运行经费为0。</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pPr>
        <w:pStyle w:val="14"/>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年度，会议费年初预算0万元，支出决算为0万元，本单位无会议费的预算和支出决算数；</w:t>
      </w:r>
    </w:p>
    <w:p>
      <w:pPr>
        <w:widowControl w:val="0"/>
        <w:autoSpaceDE w:val="0"/>
        <w:autoSpaceDN w:val="0"/>
        <w:adjustRightInd w:val="0"/>
        <w:ind w:firstLine="640" w:firstLineChars="200"/>
        <w:rPr>
          <w:rFonts w:hint="default"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培训费年初预算0万元，另有项目支出培训费预算2万元，支出决算为1.69万元，完成年初</w:t>
      </w:r>
      <w:bookmarkStart w:id="0" w:name="_GoBack"/>
      <w:bookmarkEnd w:id="0"/>
      <w:r>
        <w:rPr>
          <w:rFonts w:hint="eastAsia" w:ascii="仿宋_GB2312" w:hAnsi="仿宋_GB2312" w:eastAsia="仿宋_GB2312" w:cs="仿宋_GB2312"/>
          <w:color w:val="000000"/>
          <w:kern w:val="0"/>
          <w:sz w:val="32"/>
          <w:szCs w:val="32"/>
          <w:lang w:val="en-US" w:eastAsia="zh-CN" w:bidi="ar-SA"/>
        </w:rPr>
        <w:t>预算的84.50%，用于开展事业单位工作人员培训、入党积极分子培训、继续教育培训、八一活动声乐指导培训、档案干部业务提升培训，人数17人，内容为事业单位工作人员培训、入党积极分子培训、继续教育培训、八一活动声乐指导培训、档案干部业务提升培训。</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i w:val="0"/>
          <w:iCs w:val="0"/>
          <w:color w:val="FF0000"/>
          <w:kern w:val="0"/>
          <w:sz w:val="40"/>
          <w:szCs w:val="40"/>
          <w:lang w:val="en-US" w:eastAsia="zh-CN" w:bidi="ar-SA"/>
        </w:rPr>
      </w:pPr>
      <w:r>
        <w:rPr>
          <w:rFonts w:hint="eastAsia" w:ascii="仿宋_GB2312" w:hAnsi="仿宋_GB2312" w:eastAsia="仿宋_GB2312" w:cs="仿宋_GB2312"/>
          <w:color w:val="000000"/>
          <w:kern w:val="0"/>
          <w:sz w:val="32"/>
          <w:szCs w:val="32"/>
          <w:lang w:val="en-US" w:eastAsia="zh-CN" w:bidi="ar-SA"/>
        </w:rPr>
        <w:t>举办节庆、晚会、论坛、赛事活动年初预算0万元，支出决算为0万元，本单位无举办节庆、晚会、论坛、赛事等活动的预算和支出决算数。</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二</w:t>
      </w:r>
      <w:r>
        <w:rPr>
          <w:rFonts w:hint="eastAsia" w:ascii="黑体" w:hAnsi="黑体" w:eastAsia="黑体" w:cs="黑体"/>
          <w:b w:val="0"/>
          <w:bCs/>
          <w:sz w:val="32"/>
          <w:szCs w:val="32"/>
        </w:rPr>
        <w:t>、关于政府采购支出说明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年度政府采购支出总额</w:t>
      </w:r>
      <w:r>
        <w:rPr>
          <w:rFonts w:hint="eastAsia" w:ascii="仿宋_GB2312" w:hAnsi="仿宋_GB2312" w:eastAsia="仿宋_GB2312" w:cs="仿宋_GB2312"/>
          <w:sz w:val="32"/>
          <w:szCs w:val="32"/>
          <w:lang w:val="en-US" w:eastAsia="zh-CN"/>
        </w:rPr>
        <w:t>607.97</w:t>
      </w:r>
      <w:r>
        <w:rPr>
          <w:rFonts w:hint="eastAsia" w:ascii="仿宋_GB2312" w:hAnsi="仿宋_GB2312" w:eastAsia="仿宋_GB2312" w:cs="仿宋_GB2312"/>
          <w:sz w:val="32"/>
          <w:szCs w:val="32"/>
        </w:rPr>
        <w:t>万元，其中：政府采购货物支出</w:t>
      </w:r>
      <w:r>
        <w:rPr>
          <w:rFonts w:hint="eastAsia" w:ascii="仿宋_GB2312" w:hAnsi="仿宋_GB2312" w:eastAsia="仿宋_GB2312" w:cs="仿宋_GB2312"/>
          <w:sz w:val="32"/>
          <w:szCs w:val="32"/>
          <w:lang w:val="en-US" w:eastAsia="zh-CN"/>
        </w:rPr>
        <w:t>19.19</w:t>
      </w:r>
      <w:r>
        <w:rPr>
          <w:rFonts w:hint="eastAsia" w:ascii="仿宋_GB2312" w:hAnsi="仿宋_GB2312" w:eastAsia="仿宋_GB2312" w:cs="仿宋_GB2312"/>
          <w:sz w:val="32"/>
          <w:szCs w:val="32"/>
        </w:rPr>
        <w:t>万元、政府采购工程支出</w:t>
      </w:r>
      <w:r>
        <w:rPr>
          <w:rFonts w:hint="eastAsia" w:ascii="仿宋_GB2312" w:hAnsi="仿宋_GB2312" w:eastAsia="仿宋_GB2312" w:cs="仿宋_GB2312"/>
          <w:sz w:val="32"/>
          <w:szCs w:val="32"/>
          <w:lang w:val="en-US" w:eastAsia="zh-CN"/>
        </w:rPr>
        <w:t>501.37</w:t>
      </w:r>
      <w:r>
        <w:rPr>
          <w:rFonts w:hint="eastAsia" w:ascii="仿宋_GB2312" w:hAnsi="仿宋_GB2312" w:eastAsia="仿宋_GB2312" w:cs="仿宋_GB2312"/>
          <w:sz w:val="32"/>
          <w:szCs w:val="32"/>
        </w:rPr>
        <w:t>万元、政府采购服务支出</w:t>
      </w:r>
      <w:r>
        <w:rPr>
          <w:rFonts w:hint="eastAsia" w:ascii="仿宋_GB2312" w:hAnsi="仿宋_GB2312" w:eastAsia="仿宋_GB2312" w:cs="仿宋_GB2312"/>
          <w:sz w:val="32"/>
          <w:szCs w:val="32"/>
          <w:lang w:val="en-US" w:eastAsia="zh-CN"/>
        </w:rPr>
        <w:t>87.41</w:t>
      </w:r>
      <w:r>
        <w:rPr>
          <w:rFonts w:hint="eastAsia" w:ascii="仿宋_GB2312" w:hAnsi="仿宋_GB2312" w:eastAsia="仿宋_GB2312" w:cs="仿宋_GB2312"/>
          <w:sz w:val="32"/>
          <w:szCs w:val="32"/>
        </w:rPr>
        <w:t>万元。授予中小企业合同金额</w:t>
      </w:r>
      <w:r>
        <w:rPr>
          <w:rFonts w:hint="eastAsia" w:ascii="仿宋_GB2312" w:hAnsi="仿宋_GB2312" w:eastAsia="仿宋_GB2312" w:cs="仿宋_GB2312"/>
          <w:sz w:val="32"/>
          <w:szCs w:val="32"/>
          <w:lang w:val="en-US" w:eastAsia="zh-CN"/>
        </w:rPr>
        <w:t>103.59</w:t>
      </w:r>
      <w:r>
        <w:rPr>
          <w:rFonts w:hint="eastAsia" w:ascii="仿宋_GB2312" w:hAnsi="仿宋_GB2312" w:eastAsia="仿宋_GB2312" w:cs="仿宋_GB2312"/>
          <w:sz w:val="32"/>
          <w:szCs w:val="32"/>
        </w:rPr>
        <w:t>万元，占政府采购支出总额的</w:t>
      </w:r>
      <w:r>
        <w:rPr>
          <w:rFonts w:hint="eastAsia" w:ascii="仿宋_GB2312" w:hAnsi="仿宋_GB2312" w:eastAsia="仿宋_GB2312" w:cs="仿宋_GB2312"/>
          <w:sz w:val="32"/>
          <w:szCs w:val="32"/>
          <w:lang w:val="en-US" w:eastAsia="zh-CN"/>
        </w:rPr>
        <w:t>17.04</w:t>
      </w:r>
      <w:r>
        <w:rPr>
          <w:rFonts w:hint="eastAsia" w:ascii="仿宋_GB2312" w:hAnsi="仿宋_GB2312" w:eastAsia="仿宋_GB2312" w:cs="仿宋_GB2312"/>
          <w:sz w:val="32"/>
          <w:szCs w:val="32"/>
        </w:rPr>
        <w:t>%，其中：授予小微企业合同金额</w:t>
      </w:r>
      <w:r>
        <w:rPr>
          <w:rFonts w:hint="eastAsia" w:ascii="仿宋_GB2312" w:hAnsi="仿宋_GB2312" w:eastAsia="仿宋_GB2312" w:cs="仿宋_GB2312"/>
          <w:sz w:val="32"/>
          <w:szCs w:val="32"/>
          <w:lang w:val="en-US" w:eastAsia="zh-CN"/>
        </w:rPr>
        <w:t>103.01</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auto"/>
          <w:sz w:val="32"/>
          <w:szCs w:val="32"/>
        </w:rPr>
        <w:t>占</w:t>
      </w:r>
      <w:r>
        <w:rPr>
          <w:rFonts w:hint="eastAsia" w:ascii="仿宋_GB2312" w:hAnsi="仿宋_GB2312" w:eastAsia="仿宋_GB2312" w:cs="仿宋_GB2312"/>
          <w:color w:val="auto"/>
          <w:sz w:val="32"/>
          <w:szCs w:val="32"/>
          <w:lang w:eastAsia="zh-CN"/>
        </w:rPr>
        <w:t>授予中小企业合同金额</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99.44</w:t>
      </w:r>
      <w:r>
        <w:rPr>
          <w:rFonts w:hint="eastAsia" w:ascii="仿宋_GB2312" w:hAnsi="仿宋_GB2312" w:eastAsia="仿宋_GB2312" w:cs="仿宋_GB2312"/>
          <w:color w:val="auto"/>
          <w:sz w:val="32"/>
          <w:szCs w:val="32"/>
        </w:rPr>
        <w:t>%。货物采购授予中小</w:t>
      </w:r>
      <w:r>
        <w:rPr>
          <w:rFonts w:hint="eastAsia" w:ascii="Times New Roman" w:hAnsi="Times New Roman" w:eastAsia="仿宋_GB2312"/>
          <w:color w:val="auto"/>
          <w:sz w:val="32"/>
          <w:szCs w:val="32"/>
        </w:rPr>
        <w:t>企业合同金</w:t>
      </w:r>
      <w:r>
        <w:rPr>
          <w:rFonts w:hint="eastAsia" w:ascii="仿宋_GB2312" w:hAnsi="仿宋_GB2312" w:eastAsia="仿宋_GB2312" w:cs="仿宋_GB2312"/>
          <w:color w:val="auto"/>
          <w:sz w:val="32"/>
          <w:szCs w:val="32"/>
        </w:rPr>
        <w:t>额占货物支出金额的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%，工程采购授予中小企业合同金额占工程支出金额的</w:t>
      </w:r>
      <w:r>
        <w:rPr>
          <w:rFonts w:hint="eastAsia" w:ascii="仿宋_GB2312" w:hAnsi="仿宋_GB2312" w:eastAsia="仿宋_GB2312" w:cs="仿宋_GB2312"/>
          <w:color w:val="auto"/>
          <w:sz w:val="32"/>
          <w:szCs w:val="32"/>
          <w:lang w:val="en-US" w:eastAsia="zh-CN"/>
        </w:rPr>
        <w:t>89.22</w:t>
      </w:r>
      <w:r>
        <w:rPr>
          <w:rFonts w:hint="eastAsia" w:ascii="仿宋_GB2312" w:hAnsi="仿宋_GB2312" w:eastAsia="仿宋_GB2312" w:cs="仿宋_GB2312"/>
          <w:color w:val="auto"/>
          <w:sz w:val="32"/>
          <w:szCs w:val="32"/>
        </w:rPr>
        <w:t>%，服务采购授予中小企业合同金额占服务支出金额的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p>
    <w:p>
      <w:pPr>
        <w:pStyle w:val="14"/>
        <w:keepNext w:val="0"/>
        <w:keepLines w:val="0"/>
        <w:pageBreakBefore w:val="0"/>
        <w:widowControl w:val="0"/>
        <w:numPr>
          <w:ilvl w:val="0"/>
          <w:numId w:val="4"/>
        </w:numPr>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关于国有资产占用情况说明</w:t>
      </w:r>
    </w:p>
    <w:p>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_GB2312" w:hAnsi="仿宋_GB2312" w:eastAsia="仿宋_GB2312" w:cs="仿宋_GB2312"/>
          <w:i w:val="0"/>
          <w:iCs/>
          <w:color w:val="FF0000"/>
          <w:sz w:val="32"/>
          <w:szCs w:val="32"/>
          <w:lang w:val="en-US" w:eastAsia="zh-CN"/>
        </w:rPr>
      </w:pPr>
      <w:r>
        <w:rPr>
          <w:rFonts w:hint="eastAsia" w:ascii="仿宋_GB2312" w:hAnsi="仿宋_GB2312" w:eastAsia="仿宋_GB2312" w:cs="仿宋_GB2312"/>
          <w:color w:val="auto"/>
          <w:sz w:val="32"/>
          <w:szCs w:val="32"/>
          <w:lang w:val="en-US" w:eastAsia="zh-CN"/>
        </w:rPr>
        <w:t>截至2023年12月31日，本单位共有车辆0辆，其中，</w:t>
      </w:r>
      <w:r>
        <w:rPr>
          <w:rFonts w:hint="eastAsia" w:ascii="仿宋_GB2312" w:hAnsi="仿宋_GB2312" w:eastAsia="仿宋_GB2312" w:cs="仿宋_GB2312"/>
          <w:color w:val="auto"/>
          <w:sz w:val="32"/>
          <w:szCs w:val="32"/>
          <w:lang w:eastAsia="zh-CN"/>
        </w:rPr>
        <w:t>副部（省）级及以上领导用车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主要</w:t>
      </w:r>
      <w:r>
        <w:rPr>
          <w:rFonts w:hint="eastAsia" w:ascii="仿宋_GB2312" w:hAnsi="仿宋_GB2312" w:eastAsia="仿宋_GB2312" w:cs="仿宋_GB2312"/>
          <w:color w:val="auto"/>
          <w:sz w:val="32"/>
          <w:szCs w:val="32"/>
          <w:lang w:eastAsia="zh-CN"/>
        </w:rPr>
        <w:t>负责人</w:t>
      </w:r>
      <w:r>
        <w:rPr>
          <w:rFonts w:hint="eastAsia" w:ascii="仿宋_GB2312" w:hAnsi="仿宋_GB2312" w:eastAsia="仿宋_GB2312" w:cs="仿宋_GB2312"/>
          <w:color w:val="auto"/>
          <w:sz w:val="32"/>
          <w:szCs w:val="32"/>
        </w:rPr>
        <w:t>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机要通信用车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辆、应急保障用车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辆、执法执勤用车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辆、特种专业技术用车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离退休干部服务用车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辆、其他用车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辆；单位价值100万元以上设备</w:t>
      </w:r>
      <w:r>
        <w:rPr>
          <w:rFonts w:hint="eastAsia" w:ascii="仿宋_GB2312" w:hAnsi="仿宋_GB2312" w:eastAsia="仿宋_GB2312" w:cs="仿宋_GB2312"/>
          <w:color w:val="auto"/>
          <w:sz w:val="32"/>
          <w:szCs w:val="32"/>
          <w:lang w:eastAsia="zh-CN"/>
        </w:rPr>
        <w:t>（不含车辆）</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台（套）</w:t>
      </w:r>
      <w:r>
        <w:rPr>
          <w:rFonts w:hint="eastAsia" w:ascii="仿宋_GB2312" w:hAnsi="仿宋_GB2312" w:eastAsia="仿宋_GB2312" w:cs="仿宋_GB2312"/>
          <w:color w:val="auto"/>
          <w:sz w:val="32"/>
          <w:szCs w:val="32"/>
          <w:lang w:eastAsia="zh-CN"/>
        </w:rPr>
        <w:t>。</w:t>
      </w:r>
    </w:p>
    <w:p>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四</w:t>
      </w:r>
      <w:r>
        <w:rPr>
          <w:rFonts w:hint="eastAsia" w:ascii="黑体" w:hAnsi="黑体" w:eastAsia="黑体" w:cs="黑体"/>
          <w:b w:val="0"/>
          <w:bCs/>
          <w:color w:val="auto"/>
          <w:sz w:val="32"/>
          <w:szCs w:val="32"/>
        </w:rPr>
        <w:t>、关于</w:t>
      </w: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3</w:t>
      </w:r>
      <w:r>
        <w:rPr>
          <w:rFonts w:hint="eastAsia" w:ascii="黑体" w:hAnsi="黑体" w:eastAsia="黑体" w:cs="黑体"/>
          <w:b w:val="0"/>
          <w:bCs/>
          <w:color w:val="auto"/>
          <w:sz w:val="32"/>
          <w:szCs w:val="32"/>
        </w:rPr>
        <w:t>年度</w:t>
      </w:r>
      <w:r>
        <w:rPr>
          <w:rFonts w:hint="eastAsia" w:hAnsi="黑体" w:cs="黑体"/>
          <w:b w:val="0"/>
          <w:bCs/>
          <w:color w:val="auto"/>
          <w:sz w:val="32"/>
          <w:szCs w:val="32"/>
          <w:lang w:eastAsia="zh-CN"/>
        </w:rPr>
        <w:t>预算</w:t>
      </w:r>
      <w:r>
        <w:rPr>
          <w:rFonts w:hint="eastAsia" w:ascii="黑体" w:hAnsi="黑体" w:eastAsia="黑体" w:cs="黑体"/>
          <w:b w:val="0"/>
          <w:bCs/>
          <w:color w:val="auto"/>
          <w:sz w:val="32"/>
          <w:szCs w:val="32"/>
        </w:rPr>
        <w:t>绩效情况的说明</w:t>
      </w:r>
    </w:p>
    <w:p>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（一）绩效管理工作开展情况</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根据预算绩效管理要求，我们组织对2023年度整体支出和项目资金实施了全覆盖性的绩效评价，撰写了绩效自评报告。</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组织开展整体支出绩效评价，涉及一般公共预算支出931.48万元，政府性基金预算支出0万元，国有资本经营预算支出0万元。从评价情况来看，整体支出绩效评价中，2023年整体支出931.48万元，其中：基本支出340.25万元，项目支出591.23万元，本单位整体支出绩效自评综合评分94.94分，评价结果等次为优秀。</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val="0"/>
          <w:bCs w:val="0"/>
          <w:color w:val="000000"/>
          <w:kern w:val="0"/>
          <w:sz w:val="32"/>
          <w:szCs w:val="32"/>
          <w:lang w:val="en-US" w:eastAsia="zh-CN" w:bidi="ar-SA"/>
        </w:rPr>
        <w:t>组织对一般公共预算项目支出全面开展绩效自评，项目3个，共涉及资金591.23万元，占一般公共预算项目支出总额的63.47%。组织对政府性基金预算项目支出开展绩效自评，项目0个，共涉及资金0万元，占政府性基金预算项目支出总额的0%。组织对国有资本经营预算项目支出开展绩效自评，项目0个，共涉及资金0万元，占国有资本经营预算项目支出总额的0%。从评价情况来看，项目绩效自评得分95.64分，评价结果等次为优秀。</w:t>
      </w:r>
    </w:p>
    <w:p>
      <w:pPr>
        <w:pStyle w:val="14"/>
        <w:keepNext w:val="0"/>
        <w:keepLines w:val="0"/>
        <w:pageBreakBefore w:val="0"/>
        <w:widowControl w:val="0"/>
        <w:numPr>
          <w:ilvl w:val="0"/>
          <w:numId w:val="3"/>
        </w:numPr>
        <w:kinsoku/>
        <w:wordWrap/>
        <w:overflowPunct/>
        <w:topLinePunct w:val="0"/>
        <w:autoSpaceDE w:val="0"/>
        <w:autoSpaceDN w:val="0"/>
        <w:bidi w:val="0"/>
        <w:adjustRightInd w:val="0"/>
        <w:snapToGrid/>
        <w:spacing w:line="580" w:lineRule="exact"/>
        <w:ind w:left="-10" w:leftChars="0" w:firstLine="640" w:firstLineChars="0"/>
        <w:jc w:val="left"/>
        <w:textAlignment w:val="auto"/>
        <w:rPr>
          <w:rFonts w:hint="eastAsia" w:ascii="楷体" w:hAnsi="楷体" w:eastAsia="楷体" w:cs="楷体"/>
          <w:b/>
          <w:bCs/>
          <w:sz w:val="32"/>
          <w:szCs w:val="32"/>
        </w:rPr>
      </w:pPr>
      <w:r>
        <w:rPr>
          <w:rFonts w:hint="eastAsia" w:ascii="楷体" w:hAnsi="楷体" w:eastAsia="楷体" w:cs="楷体"/>
          <w:b/>
          <w:bCs/>
          <w:sz w:val="32"/>
          <w:szCs w:val="32"/>
        </w:rPr>
        <w:t>部门</w:t>
      </w:r>
      <w:r>
        <w:rPr>
          <w:rFonts w:hint="eastAsia" w:ascii="楷体" w:hAnsi="楷体" w:eastAsia="楷体" w:cs="楷体"/>
          <w:b/>
          <w:bCs/>
          <w:sz w:val="32"/>
          <w:szCs w:val="32"/>
          <w:lang w:eastAsia="zh-CN"/>
        </w:rPr>
        <w:t>（单位）</w:t>
      </w:r>
      <w:r>
        <w:rPr>
          <w:rFonts w:hint="eastAsia" w:ascii="楷体" w:hAnsi="楷体" w:eastAsia="楷体" w:cs="楷体"/>
          <w:b/>
          <w:bCs/>
          <w:sz w:val="32"/>
          <w:szCs w:val="32"/>
        </w:rPr>
        <w:t>整体支出绩效情况</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default" w:ascii="仿宋_GB2312" w:hAnsi="仿宋_GB2312" w:eastAsia="仿宋_GB2312" w:cs="仿宋_GB2312"/>
          <w:sz w:val="32"/>
          <w:szCs w:val="32"/>
          <w:lang w:val="en-US"/>
        </w:rPr>
      </w:pPr>
      <w:r>
        <w:rPr>
          <w:rFonts w:hint="eastAsia" w:ascii="仿宋_GB2312" w:hAnsi="仿宋_GB2312" w:eastAsia="仿宋_GB2312" w:cs="仿宋_GB2312"/>
          <w:b w:val="0"/>
          <w:bCs w:val="0"/>
          <w:color w:val="000000"/>
          <w:kern w:val="0"/>
          <w:sz w:val="32"/>
          <w:szCs w:val="32"/>
          <w:lang w:val="en-US" w:eastAsia="zh-CN" w:bidi="ar-SA"/>
        </w:rPr>
        <w:t>根据年初设定的绩效目标，绩效自评得分为94.94 分。全年预算数为1260.67 万元，执行数为931.48万元，完成预算的73.88%。绩效目标完成情况：一是完成档案收集入库5万余卷；二是完成档案查询利用1万余卷，图纸约3万幅，查询利用1500多人次；三是档案查询利用服务满意率100%。</w:t>
      </w:r>
    </w:p>
    <w:p>
      <w:pPr>
        <w:pStyle w:val="14"/>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（三）</w:t>
      </w:r>
      <w:r>
        <w:rPr>
          <w:rFonts w:hint="eastAsia" w:ascii="楷体" w:hAnsi="楷体" w:eastAsia="楷体" w:cs="楷体"/>
          <w:b/>
          <w:bCs/>
          <w:sz w:val="32"/>
          <w:szCs w:val="32"/>
        </w:rPr>
        <w:t>存在的问题及原因分析</w:t>
      </w:r>
    </w:p>
    <w:p>
      <w:pPr>
        <w:pStyle w:val="3"/>
        <w:spacing w:before="0" w:after="0" w:line="600" w:lineRule="exact"/>
        <w:ind w:firstLine="640" w:firstLineChars="200"/>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1、预算执行进度不均衡。部分项目支出未能按计划支出，原因是部门之间，内部各环节之间缺乏沟通。</w:t>
      </w:r>
    </w:p>
    <w:p>
      <w:pPr>
        <w:pStyle w:val="3"/>
        <w:spacing w:before="0" w:after="0" w:line="600" w:lineRule="exact"/>
        <w:ind w:firstLine="640" w:firstLineChars="200"/>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2、绩效管理意识不强。对绩效评价工作重视程度不够，缺乏主动意识，原因是对绩效理念的宣传和培训不足。</w:t>
      </w:r>
    </w:p>
    <w:p>
      <w:pPr>
        <w:pStyle w:val="3"/>
        <w:spacing w:before="0" w:after="0" w:line="600" w:lineRule="exact"/>
        <w:ind w:firstLine="640" w:firstLineChars="200"/>
        <w:rPr>
          <w:rFonts w:hint="default"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3、绩效指标设置不够精准。部分绩效指标难以准确衡量实际绩效，原因是指标设置时考虑不够全面，缺乏对实际工作的深入理解。</w:t>
      </w:r>
    </w:p>
    <w:p>
      <w:pPr>
        <w:pStyle w:val="14"/>
        <w:jc w:val="both"/>
        <w:rPr>
          <w:sz w:val="72"/>
          <w:szCs w:val="72"/>
        </w:rPr>
      </w:pPr>
    </w:p>
    <w:p>
      <w:pPr>
        <w:pStyle w:val="14"/>
        <w:jc w:val="center"/>
        <w:rPr>
          <w:sz w:val="72"/>
          <w:szCs w:val="72"/>
        </w:rPr>
      </w:pPr>
    </w:p>
    <w:p>
      <w:pPr>
        <w:pStyle w:val="14"/>
        <w:jc w:val="center"/>
        <w:rPr>
          <w:rFonts w:hint="eastAsia" w:ascii="方正小标宋_GBK" w:hAnsi="方正小标宋_GBK" w:eastAsia="方正小标宋_GBK" w:cs="方正小标宋_GBK"/>
          <w:sz w:val="70"/>
          <w:szCs w:val="70"/>
          <w:lang w:eastAsia="zh-CN"/>
        </w:rPr>
      </w:pPr>
    </w:p>
    <w:p>
      <w:pPr>
        <w:pStyle w:val="14"/>
        <w:jc w:val="center"/>
        <w:rPr>
          <w:rFonts w:hint="eastAsia" w:ascii="方正小标宋_GBK" w:hAnsi="方正小标宋_GBK" w:eastAsia="方正小标宋_GBK" w:cs="方正小标宋_GBK"/>
          <w:sz w:val="70"/>
          <w:szCs w:val="70"/>
          <w:lang w:eastAsia="zh-CN"/>
        </w:rPr>
      </w:pPr>
    </w:p>
    <w:p>
      <w:pPr>
        <w:pStyle w:val="14"/>
        <w:jc w:val="center"/>
        <w:rPr>
          <w:rFonts w:hint="eastAsia" w:ascii="方正小标宋_GBK" w:hAnsi="方正小标宋_GBK" w:eastAsia="方正小标宋_GBK" w:cs="方正小标宋_GBK"/>
          <w:sz w:val="72"/>
          <w:szCs w:val="72"/>
        </w:rPr>
      </w:pPr>
    </w:p>
    <w:p>
      <w:pPr>
        <w:pStyle w:val="14"/>
        <w:jc w:val="center"/>
        <w:rPr>
          <w:rFonts w:hint="eastAsia" w:ascii="方正小标宋_GBK" w:hAnsi="方正小标宋_GBK" w:eastAsia="方正小标宋_GBK" w:cs="方正小标宋_GBK"/>
          <w:sz w:val="72"/>
          <w:szCs w:val="72"/>
        </w:rPr>
      </w:pPr>
    </w:p>
    <w:p>
      <w:pPr>
        <w:pStyle w:val="14"/>
        <w:jc w:val="center"/>
        <w:rPr>
          <w:rFonts w:hint="eastAsia" w:ascii="方正小标宋_GBK" w:hAnsi="方正小标宋_GBK" w:eastAsia="方正小标宋_GBK" w:cs="方正小标宋_GBK"/>
          <w:sz w:val="72"/>
          <w:szCs w:val="72"/>
        </w:rPr>
      </w:pPr>
    </w:p>
    <w:p>
      <w:pPr>
        <w:pStyle w:val="14"/>
        <w:jc w:val="center"/>
        <w:rPr>
          <w:rFonts w:hint="eastAsia" w:ascii="方正小标宋_GBK" w:hAnsi="方正小标宋_GBK" w:eastAsia="方正小标宋_GBK" w:cs="方正小标宋_GBK"/>
          <w:sz w:val="72"/>
          <w:szCs w:val="72"/>
        </w:rPr>
      </w:pPr>
    </w:p>
    <w:p>
      <w:pPr>
        <w:pStyle w:val="14"/>
        <w:jc w:val="center"/>
        <w:rPr>
          <w:rFonts w:hint="eastAsia" w:ascii="方正小标宋_GBK" w:hAnsi="方正小标宋_GBK" w:eastAsia="方正小标宋_GBK" w:cs="方正小标宋_GBK"/>
          <w:sz w:val="72"/>
          <w:szCs w:val="72"/>
        </w:rPr>
      </w:pPr>
    </w:p>
    <w:p>
      <w:pPr>
        <w:pStyle w:val="14"/>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hint="eastAsia" w:ascii="方正小标宋_GBK" w:hAnsi="方正小标宋_GBK" w:eastAsia="方正小标宋_GBK" w:cs="方正小标宋_GBK"/>
          <w:color w:val="000000"/>
          <w:kern w:val="0"/>
          <w:sz w:val="70"/>
          <w:szCs w:val="70"/>
        </w:rPr>
      </w:pPr>
    </w:p>
    <w:p>
      <w:pPr>
        <w:pStyle w:val="14"/>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pPr>
        <w:pStyle w:val="9"/>
      </w:pPr>
    </w:p>
    <w:p>
      <w:pPr>
        <w:pStyle w:val="5"/>
      </w:pPr>
    </w:p>
    <w:p/>
    <w:p>
      <w:pPr>
        <w:pStyle w:val="9"/>
      </w:pPr>
    </w:p>
    <w:p>
      <w:pPr>
        <w:pStyle w:val="5"/>
      </w:pPr>
    </w:p>
    <w:p/>
    <w:p>
      <w:pPr>
        <w:pStyle w:val="9"/>
      </w:pPr>
    </w:p>
    <w:p>
      <w:pPr>
        <w:pStyle w:val="5"/>
      </w:pPr>
    </w:p>
    <w:p/>
    <w:p>
      <w:pPr>
        <w:pStyle w:val="9"/>
      </w:pPr>
    </w:p>
    <w:p>
      <w:pPr>
        <w:pStyle w:val="5"/>
      </w:pPr>
    </w:p>
    <w:p/>
    <w:p>
      <w:pPr>
        <w:pStyle w:val="9"/>
      </w:pPr>
    </w:p>
    <w:p>
      <w:pPr>
        <w:pStyle w:val="5"/>
      </w:pPr>
    </w:p>
    <w:p/>
    <w:p>
      <w:pPr>
        <w:pStyle w:val="9"/>
      </w:pPr>
    </w:p>
    <w:p>
      <w:pPr>
        <w:pStyle w:val="5"/>
      </w:pPr>
    </w:p>
    <w:p/>
    <w:p>
      <w:pPr>
        <w:pStyle w:val="9"/>
      </w:pPr>
    </w:p>
    <w:p>
      <w:pPr>
        <w:pStyle w:val="5"/>
      </w:pPr>
    </w:p>
    <w:p/>
    <w:p>
      <w:pPr>
        <w:pStyle w:val="9"/>
      </w:pPr>
    </w:p>
    <w:p>
      <w:pPr>
        <w:pStyle w:val="5"/>
      </w:pP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二、机关运行经费</w:t>
      </w:r>
      <w:r>
        <w:rPr>
          <w:rFonts w:hint="eastAsia" w:ascii="仿宋_GB2312" w:hAnsi="仿宋_GB2312" w:eastAsia="仿宋_GB2312" w:cs="仿宋_GB2312"/>
          <w:color w:val="000000"/>
          <w:kern w:val="0"/>
          <w:sz w:val="32"/>
          <w:szCs w:val="32"/>
          <w:lang w:eastAsia="zh-CN"/>
        </w:rPr>
        <w:t>，指为保障行政单位（包括参照公务员法管理的事业单位）运行用于购买货物和服务的各项资金</w:t>
      </w:r>
      <w:r>
        <w:rPr>
          <w:rFonts w:hint="eastAsia" w:ascii="仿宋_GB2312" w:hAnsi="仿宋_GB2312" w:eastAsia="仿宋_GB2312" w:cs="仿宋_GB2312"/>
          <w:color w:val="000000"/>
          <w:kern w:val="0"/>
          <w:sz w:val="32"/>
          <w:szCs w:val="32"/>
        </w:rPr>
        <w:t>，包括办公</w:t>
      </w:r>
      <w:r>
        <w:rPr>
          <w:rFonts w:hint="eastAsia" w:ascii="仿宋_GB2312" w:hAnsi="仿宋_GB2312" w:eastAsia="仿宋_GB2312" w:cs="仿宋_GB2312"/>
          <w:color w:val="000000"/>
          <w:kern w:val="0"/>
          <w:sz w:val="32"/>
          <w:szCs w:val="32"/>
          <w:lang w:eastAsia="zh-CN"/>
        </w:rPr>
        <w:t>费、</w:t>
      </w:r>
      <w:r>
        <w:rPr>
          <w:rFonts w:hint="eastAsia" w:ascii="仿宋_GB2312" w:hAnsi="仿宋_GB2312" w:eastAsia="仿宋_GB2312" w:cs="仿宋_GB2312"/>
          <w:color w:val="000000"/>
          <w:kern w:val="0"/>
          <w:sz w:val="32"/>
          <w:szCs w:val="32"/>
        </w:rPr>
        <w:t>印刷费、邮电费、差旅费、会议费、日常维修费、专用材料及一般设备购置费、办公用房水电费、办公用房取暖费、办公用房物业管理费、公务用车运行维护费以及其他费用。</w:t>
      </w:r>
    </w:p>
    <w:p>
      <w:pPr>
        <w:spacing w:line="600" w:lineRule="exact"/>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w:t>
      </w:r>
      <w:r>
        <w:rPr>
          <w:rFonts w:ascii="仿宋_GB2312" w:hAnsi="仿宋_GB2312" w:eastAsia="仿宋_GB2312" w:cs="仿宋_GB2312"/>
          <w:color w:val="000000"/>
          <w:kern w:val="0"/>
          <w:sz w:val="32"/>
          <w:szCs w:val="32"/>
        </w:rPr>
        <w:t>基本支出，指保障机构正常运转、完成日常工作任务而发生的人员支出和公用支出。</w:t>
      </w:r>
    </w:p>
    <w:p>
      <w:pPr>
        <w:spacing w:line="600" w:lineRule="exact"/>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四、项目支出，指在基本支出之外为完成特定行政任务和事业发展目标所发生的支出。</w:t>
      </w:r>
    </w:p>
    <w:p>
      <w:pPr>
        <w:pStyle w:val="5"/>
      </w:pPr>
    </w:p>
    <w:p/>
    <w:p>
      <w:pPr>
        <w:pStyle w:val="9"/>
      </w:pPr>
    </w:p>
    <w:p>
      <w:pPr>
        <w:pStyle w:val="5"/>
      </w:pPr>
    </w:p>
    <w:p/>
    <w:p>
      <w:pPr>
        <w:pStyle w:val="9"/>
      </w:pPr>
    </w:p>
    <w:p>
      <w:pPr>
        <w:pStyle w:val="5"/>
      </w:pPr>
    </w:p>
    <w:p/>
    <w:p>
      <w:pPr>
        <w:pStyle w:val="9"/>
      </w:pPr>
    </w:p>
    <w:p>
      <w:pPr>
        <w:pStyle w:val="5"/>
      </w:pPr>
    </w:p>
    <w:p/>
    <w:p>
      <w:pPr>
        <w:pStyle w:val="9"/>
      </w:pPr>
    </w:p>
    <w:p>
      <w:pPr>
        <w:pStyle w:val="5"/>
      </w:pPr>
    </w:p>
    <w:p/>
    <w:p>
      <w:pPr>
        <w:pStyle w:val="9"/>
      </w:pPr>
    </w:p>
    <w:p>
      <w:pPr>
        <w:pStyle w:val="5"/>
      </w:pPr>
    </w:p>
    <w:p>
      <w:pPr>
        <w:pStyle w:val="14"/>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pPr>
        <w:pStyle w:val="14"/>
        <w:jc w:val="both"/>
        <w:rPr>
          <w:rFonts w:hint="eastAsia" w:ascii="方正小标宋_GBK" w:hAnsi="方正小标宋_GBK" w:eastAsia="方正小标宋_GBK" w:cs="方正小标宋_GBK"/>
          <w:sz w:val="70"/>
          <w:szCs w:val="70"/>
          <w:lang w:eastAsia="zh-CN"/>
        </w:rPr>
      </w:pPr>
    </w:p>
    <w:p>
      <w:pPr>
        <w:pStyle w:val="14"/>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pPr>
        <w:ind w:firstLine="640" w:firstLineChars="200"/>
        <w:jc w:val="left"/>
        <w:rPr>
          <w:rFonts w:hint="eastAsia" w:ascii="宋体" w:hAnsi="宋体" w:eastAsia="宋体" w:cs="黑体"/>
          <w:b/>
          <w:color w:val="000000"/>
          <w:kern w:val="0"/>
          <w:sz w:val="32"/>
          <w:szCs w:val="32"/>
          <w:lang w:val="en-US" w:eastAsia="zh-CN"/>
        </w:rPr>
      </w:pPr>
    </w:p>
    <w:p>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1、2023年部门决算公开表格</w:t>
      </w:r>
    </w:p>
    <w:p>
      <w:pPr>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rPr>
        <w:t>202</w:t>
      </w:r>
      <w:r>
        <w:rPr>
          <w:rFonts w:hint="eastAsia" w:ascii="宋体" w:hAnsi="宋体" w:eastAsia="宋体" w:cs="黑体"/>
          <w:b/>
          <w:color w:val="000000"/>
          <w:kern w:val="0"/>
          <w:sz w:val="32"/>
          <w:szCs w:val="32"/>
          <w:lang w:val="en-US" w:eastAsia="zh-CN"/>
        </w:rPr>
        <w:t>3</w:t>
      </w:r>
      <w:r>
        <w:rPr>
          <w:rFonts w:hint="eastAsia" w:ascii="宋体" w:hAnsi="宋体" w:eastAsia="宋体" w:cs="黑体"/>
          <w:b/>
          <w:color w:val="000000"/>
          <w:kern w:val="0"/>
          <w:sz w:val="32"/>
          <w:szCs w:val="32"/>
        </w:rPr>
        <w:t>年度部门整体支出绩效评价报告</w:t>
      </w:r>
    </w:p>
    <w:p/>
    <w:p/>
    <w:p/>
    <w:p/>
    <w:p/>
    <w:p/>
    <w:p/>
    <w:p/>
    <w:p/>
    <w:p/>
    <w:p/>
    <w:p/>
    <w:p/>
    <w:p/>
    <w:p/>
    <w:p/>
    <w:p/>
    <w:p/>
    <w:p/>
    <w:p/>
    <w:p/>
    <w:p/>
    <w:p/>
    <w:p/>
    <w:p/>
    <w:p/>
    <w:p/>
    <w:p/>
    <w:p/>
    <w:p/>
    <w:p/>
    <w:p>
      <w:pPr>
        <w:keepNext w:val="0"/>
        <w:keepLines w:val="0"/>
        <w:pageBreakBefore w:val="0"/>
        <w:widowControl w:val="0"/>
        <w:kinsoku/>
        <w:wordWrap/>
        <w:overflowPunct/>
        <w:topLinePunct w:val="0"/>
        <w:autoSpaceDE/>
        <w:autoSpaceDN/>
        <w:bidi w:val="0"/>
        <w:adjustRightInd/>
        <w:snapToGrid/>
        <w:spacing w:afterLines="0" w:line="360" w:lineRule="auto"/>
        <w:jc w:val="both"/>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eastAsia="zh-CN"/>
        </w:rPr>
        <w:t>附件</w:t>
      </w:r>
      <w:r>
        <w:rPr>
          <w:rFonts w:hint="eastAsia" w:ascii="黑体" w:hAnsi="黑体" w:eastAsia="黑体" w:cs="黑体"/>
          <w:sz w:val="32"/>
          <w:szCs w:val="32"/>
          <w:highlight w:val="none"/>
          <w:lang w:val="en-US" w:eastAsia="zh-CN"/>
        </w:rPr>
        <w:t>1</w:t>
      </w:r>
    </w:p>
    <w:p>
      <w:pPr>
        <w:spacing w:after="120" w:afterLines="50" w:line="600" w:lineRule="exact"/>
        <w:jc w:val="center"/>
        <w:rPr>
          <w:rFonts w:hint="eastAsia" w:ascii="方正小标宋简体" w:hAnsi="方正小标宋简体" w:eastAsia="方正小标宋简体" w:cs="方正小标宋简体"/>
          <w:sz w:val="24"/>
          <w:highlight w:val="none"/>
        </w:rPr>
      </w:pPr>
      <w:r>
        <w:rPr>
          <w:rFonts w:hint="eastAsia" w:ascii="方正小标宋简体" w:hAnsi="方正小标宋简体" w:eastAsia="方正小标宋简体" w:cs="方正小标宋简体"/>
          <w:sz w:val="36"/>
          <w:szCs w:val="36"/>
          <w:highlight w:val="none"/>
        </w:rPr>
        <w:t>202</w:t>
      </w:r>
      <w:r>
        <w:rPr>
          <w:rFonts w:hint="eastAsia" w:ascii="方正小标宋简体" w:hAnsi="方正小标宋简体" w:eastAsia="方正小标宋简体" w:cs="方正小标宋简体"/>
          <w:sz w:val="36"/>
          <w:szCs w:val="36"/>
          <w:highlight w:val="none"/>
          <w:lang w:val="en-US" w:eastAsia="zh-CN"/>
        </w:rPr>
        <w:t>3</w:t>
      </w:r>
      <w:r>
        <w:rPr>
          <w:rFonts w:hint="eastAsia" w:ascii="方正小标宋简体" w:hAnsi="方正小标宋简体" w:eastAsia="方正小标宋简体" w:cs="方正小标宋简体"/>
          <w:sz w:val="36"/>
          <w:szCs w:val="36"/>
          <w:highlight w:val="none"/>
        </w:rPr>
        <w:t>年度部门整体支出绩效评价基础数据表</w:t>
      </w:r>
    </w:p>
    <w:tbl>
      <w:tblPr>
        <w:tblStyle w:val="10"/>
        <w:tblW w:w="9673" w:type="dxa"/>
        <w:jc w:val="center"/>
        <w:tblLayout w:type="fixed"/>
        <w:tblCellMar>
          <w:top w:w="0" w:type="dxa"/>
          <w:left w:w="108" w:type="dxa"/>
          <w:bottom w:w="0" w:type="dxa"/>
          <w:right w:w="108" w:type="dxa"/>
        </w:tblCellMar>
      </w:tblPr>
      <w:tblGrid>
        <w:gridCol w:w="3354"/>
        <w:gridCol w:w="1189"/>
        <w:gridCol w:w="849"/>
        <w:gridCol w:w="1129"/>
        <w:gridCol w:w="1111"/>
        <w:gridCol w:w="1081"/>
        <w:gridCol w:w="960"/>
      </w:tblGrid>
      <w:tr>
        <w:tblPrEx>
          <w:tblCellMar>
            <w:top w:w="0" w:type="dxa"/>
            <w:left w:w="108" w:type="dxa"/>
            <w:bottom w:w="0" w:type="dxa"/>
            <w:right w:w="108" w:type="dxa"/>
          </w:tblCellMar>
        </w:tblPrEx>
        <w:trPr>
          <w:trHeight w:val="0" w:hRule="atLeast"/>
          <w:jc w:val="center"/>
        </w:trPr>
        <w:tc>
          <w:tcPr>
            <w:tcW w:w="335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财政供养人员情况（人）</w:t>
            </w:r>
          </w:p>
        </w:tc>
        <w:tc>
          <w:tcPr>
            <w:tcW w:w="2038"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编制数</w:t>
            </w:r>
          </w:p>
        </w:tc>
        <w:tc>
          <w:tcPr>
            <w:tcW w:w="224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年实际在职人数</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p>
        </w:tc>
        <w:tc>
          <w:tcPr>
            <w:tcW w:w="2038"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22</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18</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81.82%</w:t>
            </w: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经费控制情况（万元）</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2</w:t>
            </w:r>
            <w:r>
              <w:rPr>
                <w:rFonts w:hint="eastAsia" w:ascii="仿宋_GB2312" w:hAnsi="仿宋_GB2312" w:eastAsia="仿宋_GB2312" w:cs="仿宋_GB2312"/>
                <w:b/>
                <w:bCs/>
                <w:sz w:val="20"/>
                <w:szCs w:val="20"/>
                <w:highlight w:val="none"/>
              </w:rPr>
              <w:t>年决算数</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年预算数</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202</w:t>
            </w:r>
            <w:r>
              <w:rPr>
                <w:rFonts w:hint="eastAsia" w:ascii="仿宋_GB2312" w:hAnsi="仿宋_GB2312" w:eastAsia="仿宋_GB2312" w:cs="仿宋_GB2312"/>
                <w:b/>
                <w:bCs/>
                <w:sz w:val="20"/>
                <w:szCs w:val="20"/>
                <w:highlight w:val="none"/>
                <w:lang w:val="en-US" w:eastAsia="zh-CN"/>
              </w:rPr>
              <w:t>3</w:t>
            </w:r>
            <w:r>
              <w:rPr>
                <w:rFonts w:hint="eastAsia" w:ascii="仿宋_GB2312" w:hAnsi="仿宋_GB2312" w:eastAsia="仿宋_GB2312" w:cs="仿宋_GB2312"/>
                <w:b/>
                <w:bCs/>
                <w:sz w:val="20"/>
                <w:szCs w:val="20"/>
                <w:highlight w:val="none"/>
              </w:rPr>
              <w:t>年决算数</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三公经费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1、公务用车购置和维护经费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其中：公车购置</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公车运行维护</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2、出国经费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3、公务接待</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项目支出：</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147.84</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116</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rPr>
            </w:pPr>
            <w:r>
              <w:rPr>
                <w:rFonts w:hint="eastAsia" w:ascii="仿宋_GB2312" w:hAnsi="仿宋_GB2312" w:eastAsia="仿宋_GB2312" w:cs="仿宋_GB2312"/>
                <w:sz w:val="20"/>
                <w:szCs w:val="20"/>
                <w:highlight w:val="none"/>
                <w:lang w:val="en-US" w:eastAsia="zh-CN"/>
              </w:rPr>
              <w:t>591.23</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xml:space="preserve">    1、业务工作经费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rPr>
            </w:pPr>
            <w:r>
              <w:rPr>
                <w:rFonts w:hint="eastAsia" w:ascii="仿宋_GB2312" w:hAnsi="仿宋_GB2312" w:eastAsia="仿宋_GB2312" w:cs="仿宋_GB2312"/>
                <w:sz w:val="20"/>
                <w:szCs w:val="20"/>
                <w:highlight w:val="none"/>
                <w:lang w:val="en-US" w:eastAsia="zh-CN"/>
              </w:rPr>
              <w:t>31.84</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2、运行维护经费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3、</w:t>
            </w:r>
            <w:r>
              <w:rPr>
                <w:rFonts w:hint="eastAsia" w:ascii="仿宋_GB2312" w:hAnsi="仿宋_GB2312" w:eastAsia="仿宋_GB2312" w:cs="仿宋_GB2312"/>
                <w:sz w:val="20"/>
                <w:szCs w:val="20"/>
                <w:highlight w:val="none"/>
                <w:lang w:eastAsia="zh-CN"/>
              </w:rPr>
              <w:t>市级</w:t>
            </w:r>
            <w:r>
              <w:rPr>
                <w:rFonts w:hint="eastAsia" w:ascii="仿宋_GB2312" w:hAnsi="仿宋_GB2312" w:eastAsia="仿宋_GB2312" w:cs="仿宋_GB2312"/>
                <w:sz w:val="20"/>
                <w:szCs w:val="20"/>
                <w:highlight w:val="none"/>
              </w:rPr>
              <w:t>专项资金（一个专项一行）</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建设档案事务管理经费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116</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116</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89.863</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地下管线平台运行维护经费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61.284</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城市管网及污水处理补助</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440.083</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公用经费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29.92</w:t>
            </w:r>
            <w:r>
              <w:rPr>
                <w:rFonts w:hint="eastAsia" w:ascii="仿宋_GB2312" w:hAnsi="仿宋_GB2312" w:eastAsia="仿宋_GB2312" w:cs="仿宋_GB2312"/>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32.64</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28.45</w:t>
            </w: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其中：办公经费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FF0000"/>
                <w:sz w:val="20"/>
                <w:szCs w:val="20"/>
                <w:highlight w:val="none"/>
              </w:rPr>
            </w:pPr>
            <w:r>
              <w:rPr>
                <w:rFonts w:hint="eastAsia" w:ascii="仿宋_GB2312" w:hAnsi="仿宋_GB2312" w:eastAsia="仿宋_GB2312" w:cs="仿宋_GB2312"/>
                <w:sz w:val="20"/>
                <w:szCs w:val="20"/>
                <w:highlight w:val="none"/>
                <w:lang w:val="en-US" w:eastAsia="zh-CN"/>
              </w:rPr>
              <w:t>29.92</w:t>
            </w:r>
            <w:r>
              <w:rPr>
                <w:rFonts w:hint="eastAsia" w:ascii="仿宋_GB2312" w:hAnsi="仿宋_GB2312" w:eastAsia="仿宋_GB2312" w:cs="仿宋_GB2312"/>
                <w:color w:val="FF0000"/>
                <w:sz w:val="20"/>
                <w:szCs w:val="20"/>
                <w:highlight w:val="none"/>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29.84</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　26.45</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水费、电费、差旅费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2.8</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　2</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          会议费、培训费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0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　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政府采购金额</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1057.85</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607.97</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部门基本支出预算调整 </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rPr>
              <w:t>　</w:t>
            </w:r>
            <w:r>
              <w:rPr>
                <w:rFonts w:hint="eastAsia" w:ascii="仿宋_GB2312" w:hAnsi="仿宋_GB2312" w:eastAsia="仿宋_GB2312" w:cs="仿宋_GB2312"/>
                <w:sz w:val="20"/>
                <w:szCs w:val="20"/>
                <w:highlight w:val="none"/>
                <w:lang w:val="en-US" w:eastAsia="zh-CN"/>
              </w:rPr>
              <w:t>352.386</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en-US" w:eastAsia="zh-CN"/>
              </w:rPr>
              <w:t>340.25</w:t>
            </w: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vMerge w:val="restart"/>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楼堂馆所控制情况</w:t>
            </w:r>
            <w:r>
              <w:rPr>
                <w:rFonts w:hint="eastAsia" w:ascii="仿宋_GB2312" w:hAnsi="仿宋_GB2312" w:eastAsia="仿宋_GB2312" w:cs="仿宋_GB2312"/>
                <w:sz w:val="20"/>
                <w:szCs w:val="20"/>
                <w:highlight w:val="none"/>
              </w:rPr>
              <w:br w:type="textWrapping"/>
            </w:r>
            <w:r>
              <w:rPr>
                <w:rFonts w:hint="eastAsia" w:ascii="仿宋_GB2312" w:hAnsi="仿宋_GB2312" w:eastAsia="仿宋_GB2312" w:cs="仿宋_GB2312"/>
                <w:sz w:val="20"/>
                <w:szCs w:val="20"/>
                <w:highlight w:val="none"/>
              </w:rPr>
              <w:t>（202</w:t>
            </w:r>
            <w:r>
              <w:rPr>
                <w:rFonts w:hint="eastAsia" w:ascii="仿宋_GB2312" w:hAnsi="仿宋_GB2312" w:eastAsia="仿宋_GB2312" w:cs="仿宋_GB2312"/>
                <w:sz w:val="20"/>
                <w:szCs w:val="20"/>
                <w:highlight w:val="none"/>
                <w:lang w:val="en-US" w:eastAsia="zh-CN"/>
              </w:rPr>
              <w:t>3</w:t>
            </w:r>
            <w:r>
              <w:rPr>
                <w:rFonts w:hint="eastAsia" w:ascii="仿宋_GB2312" w:hAnsi="仿宋_GB2312" w:eastAsia="仿宋_GB2312" w:cs="仿宋_GB2312"/>
                <w:sz w:val="20"/>
                <w:szCs w:val="20"/>
                <w:highlight w:val="none"/>
              </w:rPr>
              <w:t>年完工项目）</w:t>
            </w:r>
          </w:p>
        </w:tc>
        <w:tc>
          <w:tcPr>
            <w:tcW w:w="118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批复规模</w:t>
            </w:r>
            <w:r>
              <w:rPr>
                <w:rFonts w:hint="eastAsia" w:ascii="仿宋_GB2312" w:hAnsi="仿宋_GB2312" w:eastAsia="仿宋_GB2312" w:cs="仿宋_GB2312"/>
                <w:bCs/>
                <w:sz w:val="20"/>
                <w:szCs w:val="20"/>
                <w:highlight w:val="none"/>
              </w:rPr>
              <w:br w:type="textWrapping"/>
            </w:r>
            <w:r>
              <w:rPr>
                <w:rFonts w:hint="eastAsia" w:ascii="仿宋_GB2312" w:hAnsi="仿宋_GB2312" w:eastAsia="仿宋_GB2312" w:cs="仿宋_GB2312"/>
                <w:bCs/>
                <w:sz w:val="20"/>
                <w:szCs w:val="20"/>
                <w:highlight w:val="none"/>
              </w:rPr>
              <w:t>（㎡）</w:t>
            </w:r>
          </w:p>
        </w:tc>
        <w:tc>
          <w:tcPr>
            <w:tcW w:w="84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实际规模（㎡）</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规模控制率</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预算投资（万元）</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实际投资（万元）</w:t>
            </w:r>
          </w:p>
        </w:tc>
        <w:tc>
          <w:tcPr>
            <w:tcW w:w="960"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highlight w:val="none"/>
              </w:rPr>
            </w:pPr>
            <w:r>
              <w:rPr>
                <w:rFonts w:hint="eastAsia" w:ascii="仿宋_GB2312" w:hAnsi="仿宋_GB2312" w:eastAsia="仿宋_GB2312" w:cs="仿宋_GB2312"/>
                <w:bCs/>
                <w:sz w:val="20"/>
                <w:szCs w:val="20"/>
                <w:highlight w:val="none"/>
              </w:rPr>
              <w:t>投资概算控制率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p>
        </w:tc>
        <w:tc>
          <w:tcPr>
            <w:tcW w:w="118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849"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c>
          <w:tcPr>
            <w:tcW w:w="960"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厉行节约保障措施</w:t>
            </w:r>
          </w:p>
        </w:tc>
        <w:tc>
          <w:tcPr>
            <w:tcW w:w="6319" w:type="dxa"/>
            <w:gridSpan w:val="6"/>
            <w:tcBorders>
              <w:top w:val="single" w:color="auto" w:sz="4" w:space="0"/>
              <w:left w:val="nil"/>
              <w:bottom w:val="single" w:color="auto" w:sz="4" w:space="0"/>
              <w:right w:val="single" w:color="000000" w:sz="4" w:space="0"/>
            </w:tcBorders>
            <w:noWrap w:val="0"/>
            <w:vAlign w:val="center"/>
          </w:tcPr>
          <w:p>
            <w:pPr>
              <w:widowControl/>
              <w:spacing w:line="300" w:lineRule="exact"/>
              <w:jc w:val="left"/>
              <w:rPr>
                <w:rFonts w:ascii="仿宋_GB2312" w:hAnsi="仿宋_GB2312" w:eastAsia="仿宋_GB2312" w:cs="仿宋_GB2312"/>
                <w:sz w:val="20"/>
                <w:szCs w:val="20"/>
              </w:rPr>
            </w:pPr>
            <w:r>
              <w:rPr>
                <w:rFonts w:hint="eastAsia" w:ascii="仿宋_GB2312" w:hAnsi="仿宋_GB2312" w:eastAsia="仿宋_GB2312" w:cs="仿宋_GB2312"/>
                <w:sz w:val="20"/>
                <w:szCs w:val="20"/>
              </w:rPr>
              <w:t>1.党员干部起模范带头作用，精打细算、厉行节约。主要控制了三公经费、</w:t>
            </w:r>
            <w:r>
              <w:rPr>
                <w:rFonts w:hint="eastAsia" w:ascii="仿宋_GB2312" w:hAnsi="仿宋_GB2312" w:eastAsia="仿宋_GB2312" w:cs="仿宋_GB2312"/>
                <w:sz w:val="18"/>
                <w:szCs w:val="18"/>
              </w:rPr>
              <w:t>会议费、</w:t>
            </w:r>
            <w:r>
              <w:rPr>
                <w:rFonts w:hint="eastAsia" w:ascii="仿宋_GB2312" w:hAnsi="仿宋_GB2312" w:eastAsia="仿宋_GB2312" w:cs="仿宋_GB2312"/>
                <w:sz w:val="20"/>
                <w:szCs w:val="20"/>
              </w:rPr>
              <w:t>办公费等日常经费开支。</w:t>
            </w:r>
          </w:p>
          <w:p>
            <w:pPr>
              <w:widowControl/>
              <w:spacing w:line="300" w:lineRule="exact"/>
              <w:jc w:val="left"/>
              <w:rPr>
                <w:rFonts w:ascii="仿宋_GB2312" w:hAnsi="仿宋_GB2312" w:eastAsia="仿宋_GB2312" w:cs="仿宋_GB2312"/>
                <w:sz w:val="20"/>
                <w:szCs w:val="20"/>
              </w:rPr>
            </w:pPr>
            <w:r>
              <w:rPr>
                <w:rFonts w:hint="eastAsia" w:ascii="仿宋_GB2312" w:hAnsi="仿宋_GB2312" w:eastAsia="仿宋_GB2312" w:cs="仿宋_GB2312"/>
                <w:sz w:val="20"/>
                <w:szCs w:val="20"/>
              </w:rPr>
              <w:t>2.健全管理制度，抓制度落实，控制费用增长。</w:t>
            </w:r>
          </w:p>
          <w:p>
            <w:pPr>
              <w:widowControl/>
              <w:spacing w:line="360" w:lineRule="exact"/>
              <w:jc w:val="left"/>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rPr>
              <w:t>3、加强预算管理及财务收支管理。严格遵照“先有预算后有支出”预算管理要求，控制经费预算，对超预算资金严格管控；加强财务收支管理，对支出每笔费用认真审核，对不合规</w:t>
            </w:r>
            <w:r>
              <w:rPr>
                <w:rFonts w:hint="eastAsia" w:ascii="仿宋_GB2312" w:hAnsi="仿宋_GB2312" w:eastAsia="仿宋_GB2312" w:cs="仿宋_GB2312"/>
                <w:sz w:val="20"/>
                <w:szCs w:val="20"/>
                <w:lang w:val="en-US" w:eastAsia="zh-CN"/>
              </w:rPr>
              <w:t>7</w:t>
            </w:r>
            <w:r>
              <w:rPr>
                <w:rFonts w:hint="eastAsia" w:ascii="仿宋_GB2312" w:hAnsi="仿宋_GB2312" w:eastAsia="仿宋_GB2312" w:cs="仿宋_GB2312"/>
                <w:sz w:val="20"/>
                <w:szCs w:val="20"/>
              </w:rPr>
              <w:t>费用拒绝支付，把控资金支付合规性、合法性、准确性。</w:t>
            </w:r>
            <w:r>
              <w:rPr>
                <w:rFonts w:hint="eastAsia" w:ascii="仿宋_GB2312" w:hAnsi="仿宋_GB2312" w:eastAsia="仿宋_GB2312" w:cs="仿宋_GB2312"/>
                <w:sz w:val="20"/>
                <w:szCs w:val="20"/>
                <w:highlight w:val="none"/>
              </w:rPr>
              <w:t>　</w:t>
            </w:r>
          </w:p>
        </w:tc>
      </w:tr>
    </w:tbl>
    <w:p>
      <w:pPr>
        <w:widowControl/>
        <w:spacing w:afterLines="0" w:line="400" w:lineRule="exact"/>
        <w:jc w:val="left"/>
        <w:rPr>
          <w:rFonts w:hint="default" w:ascii="Times New Roman" w:hAnsi="Times New Roman" w:eastAsia="仿宋_GB2312" w:cs="Times New Roman"/>
          <w:sz w:val="22"/>
          <w:highlight w:val="none"/>
        </w:rPr>
      </w:pPr>
      <w:r>
        <w:rPr>
          <w:rFonts w:hint="default" w:ascii="Times New Roman" w:hAnsi="Times New Roman" w:eastAsia="仿宋_GB2312" w:cs="Times New Roman"/>
          <w:sz w:val="22"/>
          <w:highlight w:val="none"/>
        </w:rPr>
        <w:t>说明：“项目支出”需要填报基本支出以外的所有项目支出情况，“公用经费”填报基本支出中的一般商品和服务支出。</w:t>
      </w:r>
    </w:p>
    <w:p>
      <w:pPr>
        <w:widowControl/>
        <w:spacing w:afterLines="0" w:line="400" w:lineRule="exact"/>
        <w:jc w:val="left"/>
        <w:rPr>
          <w:rFonts w:hint="default" w:ascii="Times New Roman" w:hAnsi="Times New Roman" w:eastAsia="仿宋_GB2312" w:cs="Times New Roman"/>
          <w:sz w:val="22"/>
          <w:highlight w:val="none"/>
        </w:rPr>
      </w:pPr>
    </w:p>
    <w:p>
      <w:pPr>
        <w:widowControl/>
        <w:spacing w:after="0" w:afterLines="0" w:line="400" w:lineRule="exact"/>
        <w:jc w:val="left"/>
        <w:rPr>
          <w:rFonts w:hint="eastAsia" w:ascii="黑体" w:hAnsi="黑体" w:eastAsia="黑体" w:cs="黑体"/>
          <w:sz w:val="32"/>
          <w:szCs w:val="32"/>
          <w:highlight w:val="none"/>
          <w:lang w:eastAsia="zh-CN"/>
        </w:rPr>
      </w:pPr>
      <w:r>
        <w:rPr>
          <w:rFonts w:hint="default" w:ascii="Times New Roman" w:hAnsi="Times New Roman" w:eastAsia="仿宋_GB2312" w:cs="Times New Roman"/>
          <w:sz w:val="22"/>
          <w:highlight w:val="none"/>
        </w:rPr>
        <w:t>填表人：        填报日期：          联系电话：            单位负责人签字：</w:t>
      </w:r>
      <w:r>
        <w:rPr>
          <w:rFonts w:hint="default" w:ascii="Times New Roman" w:hAnsi="Times New Roman" w:eastAsia="仿宋_GB2312" w:cs="Times New Roman"/>
          <w:sz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2</w:t>
      </w:r>
    </w:p>
    <w:p>
      <w:pPr>
        <w:widowControl/>
        <w:spacing w:after="120" w:afterLines="50"/>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年度部门整体支出绩效自评表</w:t>
      </w:r>
    </w:p>
    <w:tbl>
      <w:tblPr>
        <w:tblStyle w:val="10"/>
        <w:tblW w:w="10079" w:type="dxa"/>
        <w:jc w:val="center"/>
        <w:tblLayout w:type="fixed"/>
        <w:tblCellMar>
          <w:top w:w="0" w:type="dxa"/>
          <w:left w:w="108" w:type="dxa"/>
          <w:bottom w:w="0" w:type="dxa"/>
          <w:right w:w="108" w:type="dxa"/>
        </w:tblCellMar>
      </w:tblPr>
      <w:tblGrid>
        <w:gridCol w:w="1081"/>
        <w:gridCol w:w="1079"/>
        <w:gridCol w:w="1034"/>
        <w:gridCol w:w="1457"/>
        <w:gridCol w:w="1395"/>
        <w:gridCol w:w="1290"/>
        <w:gridCol w:w="645"/>
        <w:gridCol w:w="869"/>
        <w:gridCol w:w="1229"/>
      </w:tblGrid>
      <w:tr>
        <w:tblPrEx>
          <w:tblCellMar>
            <w:top w:w="0" w:type="dxa"/>
            <w:left w:w="108" w:type="dxa"/>
            <w:bottom w:w="0" w:type="dxa"/>
            <w:right w:w="108" w:type="dxa"/>
          </w:tblCellMar>
        </w:tblPrEx>
        <w:trPr>
          <w:jc w:val="center"/>
        </w:trPr>
        <w:tc>
          <w:tcPr>
            <w:tcW w:w="108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市</w:t>
            </w:r>
            <w:r>
              <w:rPr>
                <w:rFonts w:hint="eastAsia" w:ascii="仿宋_GB2312" w:hAnsi="仿宋_GB2312" w:eastAsia="仿宋_GB2312" w:cs="仿宋_GB2312"/>
                <w:color w:val="000000"/>
                <w:sz w:val="20"/>
                <w:szCs w:val="20"/>
                <w:highlight w:val="none"/>
              </w:rPr>
              <w:t>级预算部门名称</w:t>
            </w:r>
          </w:p>
        </w:tc>
        <w:tc>
          <w:tcPr>
            <w:tcW w:w="8998" w:type="dxa"/>
            <w:gridSpan w:val="8"/>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岳阳市城市建设档案馆</w:t>
            </w: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1"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年度预</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算申请</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13"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457"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年初预算数</w:t>
            </w:r>
          </w:p>
        </w:tc>
        <w:tc>
          <w:tcPr>
            <w:tcW w:w="1395"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全年预算数</w:t>
            </w:r>
          </w:p>
        </w:tc>
        <w:tc>
          <w:tcPr>
            <w:tcW w:w="1290"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全年执行数</w:t>
            </w:r>
          </w:p>
        </w:tc>
        <w:tc>
          <w:tcPr>
            <w:tcW w:w="645"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69"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229"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jc w:val="center"/>
        </w:trPr>
        <w:tc>
          <w:tcPr>
            <w:tcW w:w="1081" w:type="dxa"/>
            <w:vMerge w:val="continue"/>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2113"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color w:val="000000"/>
                <w:sz w:val="20"/>
                <w:szCs w:val="20"/>
                <w:highlight w:val="none"/>
              </w:rPr>
              <w:t>年度资金总额</w:t>
            </w:r>
          </w:p>
        </w:tc>
        <w:tc>
          <w:tcPr>
            <w:tcW w:w="1457"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425.17</w:t>
            </w:r>
          </w:p>
        </w:tc>
        <w:tc>
          <w:tcPr>
            <w:tcW w:w="1395"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1260.67</w:t>
            </w:r>
          </w:p>
        </w:tc>
        <w:tc>
          <w:tcPr>
            <w:tcW w:w="1290"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931.48</w:t>
            </w:r>
          </w:p>
        </w:tc>
        <w:tc>
          <w:tcPr>
            <w:tcW w:w="645"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10</w:t>
            </w:r>
          </w:p>
        </w:tc>
        <w:tc>
          <w:tcPr>
            <w:tcW w:w="869"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73.88%</w:t>
            </w:r>
          </w:p>
        </w:tc>
        <w:tc>
          <w:tcPr>
            <w:tcW w:w="1229"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7.39</w:t>
            </w:r>
          </w:p>
        </w:tc>
      </w:tr>
      <w:tr>
        <w:tblPrEx>
          <w:tblCellMar>
            <w:top w:w="0" w:type="dxa"/>
            <w:left w:w="108" w:type="dxa"/>
            <w:bottom w:w="0" w:type="dxa"/>
            <w:right w:w="108" w:type="dxa"/>
          </w:tblCellMar>
        </w:tblPrEx>
        <w:trPr>
          <w:jc w:val="center"/>
        </w:trPr>
        <w:tc>
          <w:tcPr>
            <w:tcW w:w="1081"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96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按收入性质分：</w:t>
            </w:r>
          </w:p>
        </w:tc>
        <w:tc>
          <w:tcPr>
            <w:tcW w:w="4033"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按支出性质分：</w:t>
            </w:r>
          </w:p>
        </w:tc>
      </w:tr>
      <w:tr>
        <w:tblPrEx>
          <w:tblCellMar>
            <w:top w:w="0" w:type="dxa"/>
            <w:left w:w="108" w:type="dxa"/>
            <w:bottom w:w="0" w:type="dxa"/>
            <w:right w:w="108" w:type="dxa"/>
          </w:tblCellMar>
        </w:tblPrEx>
        <w:trPr>
          <w:jc w:val="center"/>
        </w:trPr>
        <w:tc>
          <w:tcPr>
            <w:tcW w:w="1081"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96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xml:space="preserve">  其中：  一般公共预算：</w:t>
            </w:r>
            <w:r>
              <w:rPr>
                <w:rFonts w:hint="eastAsia" w:ascii="仿宋_GB2312" w:hAnsi="仿宋_GB2312" w:eastAsia="仿宋_GB2312" w:cs="仿宋_GB2312"/>
                <w:color w:val="000000"/>
                <w:sz w:val="20"/>
                <w:szCs w:val="20"/>
                <w:highlight w:val="none"/>
                <w:lang w:val="en-US" w:eastAsia="zh-CN"/>
              </w:rPr>
              <w:t xml:space="preserve">   1260.67</w:t>
            </w:r>
          </w:p>
        </w:tc>
        <w:tc>
          <w:tcPr>
            <w:tcW w:w="4033"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其中：基本支出：</w:t>
            </w:r>
            <w:r>
              <w:rPr>
                <w:rFonts w:hint="eastAsia" w:ascii="仿宋_GB2312" w:hAnsi="仿宋_GB2312" w:eastAsia="仿宋_GB2312" w:cs="仿宋_GB2312"/>
                <w:color w:val="000000"/>
                <w:sz w:val="20"/>
                <w:szCs w:val="20"/>
                <w:highlight w:val="none"/>
                <w:lang w:val="en-US" w:eastAsia="zh-CN"/>
              </w:rPr>
              <w:t xml:space="preserve">  340.25</w:t>
            </w:r>
          </w:p>
        </w:tc>
      </w:tr>
      <w:tr>
        <w:tblPrEx>
          <w:tblCellMar>
            <w:top w:w="0" w:type="dxa"/>
            <w:left w:w="108" w:type="dxa"/>
            <w:bottom w:w="0" w:type="dxa"/>
            <w:right w:w="108" w:type="dxa"/>
          </w:tblCellMar>
        </w:tblPrEx>
        <w:trPr>
          <w:jc w:val="center"/>
        </w:trPr>
        <w:tc>
          <w:tcPr>
            <w:tcW w:w="1081"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965" w:type="dxa"/>
            <w:gridSpan w:val="4"/>
            <w:tcBorders>
              <w:top w:val="nil"/>
              <w:left w:val="nil"/>
              <w:bottom w:val="single" w:color="auto" w:sz="4" w:space="0"/>
              <w:right w:val="single" w:color="auto" w:sz="4" w:space="0"/>
            </w:tcBorders>
            <w:noWrap w:val="0"/>
            <w:vAlign w:val="center"/>
          </w:tcPr>
          <w:p>
            <w:pPr>
              <w:widowControl/>
              <w:spacing w:line="240" w:lineRule="exact"/>
              <w:ind w:firstLine="800" w:firstLineChars="400"/>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政府性基金拨款：</w:t>
            </w:r>
          </w:p>
        </w:tc>
        <w:tc>
          <w:tcPr>
            <w:tcW w:w="4033" w:type="dxa"/>
            <w:gridSpan w:val="4"/>
            <w:tcBorders>
              <w:top w:val="nil"/>
              <w:left w:val="nil"/>
              <w:bottom w:val="single" w:color="auto" w:sz="4" w:space="0"/>
              <w:right w:val="single" w:color="auto" w:sz="4" w:space="0"/>
            </w:tcBorders>
            <w:noWrap w:val="0"/>
            <w:vAlign w:val="center"/>
          </w:tcPr>
          <w:p>
            <w:pPr>
              <w:widowControl/>
              <w:spacing w:line="240" w:lineRule="exact"/>
              <w:ind w:firstLine="600" w:firstLineChars="30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项目支出：</w:t>
            </w:r>
            <w:r>
              <w:rPr>
                <w:rFonts w:hint="eastAsia" w:ascii="仿宋_GB2312" w:hAnsi="仿宋_GB2312" w:eastAsia="仿宋_GB2312" w:cs="仿宋_GB2312"/>
                <w:color w:val="000000"/>
                <w:sz w:val="20"/>
                <w:szCs w:val="20"/>
                <w:highlight w:val="none"/>
                <w:lang w:val="en-US" w:eastAsia="zh-CN"/>
              </w:rPr>
              <w:t xml:space="preserve">  591.23</w:t>
            </w:r>
          </w:p>
        </w:tc>
      </w:tr>
      <w:tr>
        <w:tblPrEx>
          <w:tblCellMar>
            <w:top w:w="0" w:type="dxa"/>
            <w:left w:w="108" w:type="dxa"/>
            <w:bottom w:w="0" w:type="dxa"/>
            <w:right w:w="108" w:type="dxa"/>
          </w:tblCellMar>
        </w:tblPrEx>
        <w:trPr>
          <w:jc w:val="center"/>
        </w:trPr>
        <w:tc>
          <w:tcPr>
            <w:tcW w:w="1081"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96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纳入专户管理的非税收入拨款：</w:t>
            </w:r>
          </w:p>
        </w:tc>
        <w:tc>
          <w:tcPr>
            <w:tcW w:w="4033"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1"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965" w:type="dxa"/>
            <w:gridSpan w:val="4"/>
            <w:tcBorders>
              <w:top w:val="nil"/>
              <w:left w:val="nil"/>
              <w:bottom w:val="single" w:color="auto" w:sz="4" w:space="0"/>
              <w:right w:val="single" w:color="auto" w:sz="4" w:space="0"/>
            </w:tcBorders>
            <w:noWrap w:val="0"/>
            <w:vAlign w:val="center"/>
          </w:tcPr>
          <w:p>
            <w:pPr>
              <w:widowControl/>
              <w:spacing w:line="240" w:lineRule="exact"/>
              <w:ind w:firstLine="1400" w:firstLineChars="70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其他资金：</w:t>
            </w:r>
            <w:r>
              <w:rPr>
                <w:rFonts w:hint="eastAsia" w:ascii="仿宋_GB2312" w:hAnsi="仿宋_GB2312" w:eastAsia="仿宋_GB2312" w:cs="仿宋_GB2312"/>
                <w:color w:val="000000"/>
                <w:sz w:val="20"/>
                <w:szCs w:val="20"/>
                <w:highlight w:val="none"/>
                <w:lang w:val="en-US" w:eastAsia="zh-CN"/>
              </w:rPr>
              <w:t xml:space="preserve">      </w:t>
            </w:r>
          </w:p>
        </w:tc>
        <w:tc>
          <w:tcPr>
            <w:tcW w:w="4033"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81"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965" w:type="dxa"/>
            <w:gridSpan w:val="4"/>
            <w:tcBorders>
              <w:top w:val="single" w:color="auto" w:sz="4" w:space="0"/>
              <w:left w:val="nil"/>
              <w:bottom w:val="single" w:color="auto" w:sz="4" w:space="0"/>
              <w:right w:val="single" w:color="000000"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033"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CellMar>
            <w:top w:w="0" w:type="dxa"/>
            <w:left w:w="108" w:type="dxa"/>
            <w:bottom w:w="0" w:type="dxa"/>
            <w:right w:w="108" w:type="dxa"/>
          </w:tblCellMar>
        </w:tblPrEx>
        <w:trPr>
          <w:jc w:val="center"/>
        </w:trPr>
        <w:tc>
          <w:tcPr>
            <w:tcW w:w="1081"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4965" w:type="dxa"/>
            <w:gridSpan w:val="4"/>
            <w:tcBorders>
              <w:top w:val="single" w:color="auto" w:sz="4" w:space="0"/>
              <w:left w:val="nil"/>
              <w:bottom w:val="single" w:color="auto" w:sz="4" w:space="0"/>
              <w:right w:val="single" w:color="000000" w:sz="4" w:space="0"/>
            </w:tcBorders>
            <w:noWrap w:val="0"/>
            <w:vAlign w:val="center"/>
          </w:tcPr>
          <w:p>
            <w:pPr>
              <w:widowControl/>
              <w:numPr>
                <w:ilvl w:val="0"/>
                <w:numId w:val="0"/>
              </w:numPr>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1、全年城建档案收集入库3万卷以上；</w:t>
            </w:r>
          </w:p>
          <w:p>
            <w:pPr>
              <w:widowControl/>
              <w:numPr>
                <w:ilvl w:val="0"/>
                <w:numId w:val="0"/>
              </w:numPr>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2、全年档案查询利用1万卷，图纸3万幅，查询利用500人次；</w:t>
            </w:r>
          </w:p>
          <w:p>
            <w:pPr>
              <w:widowControl/>
              <w:numPr>
                <w:ilvl w:val="0"/>
                <w:numId w:val="0"/>
              </w:numPr>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3、档案查询利用服务满意率95%以上。</w:t>
            </w:r>
          </w:p>
        </w:tc>
        <w:tc>
          <w:tcPr>
            <w:tcW w:w="4033"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1、已完成城建档案收集入库5万余卷；</w:t>
            </w:r>
          </w:p>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2、已完成档案查询利用1万余卷，图纸3万幅左右，查询利用1500多人次；</w:t>
            </w:r>
          </w:p>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3、档案查询利用服务满意率100%。</w:t>
            </w:r>
          </w:p>
        </w:tc>
      </w:tr>
      <w:tr>
        <w:tblPrEx>
          <w:tblCellMar>
            <w:top w:w="0" w:type="dxa"/>
            <w:left w:w="108" w:type="dxa"/>
            <w:bottom w:w="0" w:type="dxa"/>
            <w:right w:w="108" w:type="dxa"/>
          </w:tblCellMar>
        </w:tblPrEx>
        <w:trPr>
          <w:jc w:val="center"/>
        </w:trPr>
        <w:tc>
          <w:tcPr>
            <w:tcW w:w="108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p>
            <w:pPr>
              <w:widowControl/>
              <w:spacing w:line="240" w:lineRule="exact"/>
              <w:jc w:val="center"/>
              <w:rPr>
                <w:rFonts w:hint="eastAsia" w:ascii="仿宋_GB2312" w:hAnsi="仿宋_GB2312" w:eastAsia="仿宋_GB2312" w:cs="仿宋_GB2312"/>
                <w:color w:val="000000"/>
                <w:sz w:val="20"/>
                <w:szCs w:val="20"/>
                <w:highlight w:val="none"/>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45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年度指标值</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实际完成值</w:t>
            </w:r>
          </w:p>
        </w:tc>
        <w:tc>
          <w:tcPr>
            <w:tcW w:w="64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jc w:val="center"/>
        </w:trPr>
        <w:tc>
          <w:tcPr>
            <w:tcW w:w="1081"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79"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widowControl/>
              <w:spacing w:line="240" w:lineRule="exact"/>
              <w:jc w:val="center"/>
              <w:rPr>
                <w:rFonts w:hint="eastAsia" w:ascii="仿宋_GB2312" w:hAnsi="仿宋_GB2312" w:eastAsia="仿宋_GB2312" w:cs="仿宋_GB2312"/>
                <w:color w:val="000000"/>
                <w:sz w:val="20"/>
                <w:szCs w:val="20"/>
                <w:highlight w:val="none"/>
              </w:rPr>
            </w:pP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45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城建档案的收集、入库</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3万卷以上</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5万余卷</w:t>
            </w:r>
          </w:p>
        </w:tc>
        <w:tc>
          <w:tcPr>
            <w:tcW w:w="64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1"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7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45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城建档案利用查询服务满意率</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95%以上</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64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8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1"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7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45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建设单位申请竣工联合验收，出具验收意见的时间</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8个工作日内</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8个工作日内</w:t>
            </w:r>
          </w:p>
        </w:tc>
        <w:tc>
          <w:tcPr>
            <w:tcW w:w="64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lang w:val="en-US" w:eastAsia="zh-CN"/>
              </w:rPr>
              <w:t>10</w:t>
            </w:r>
          </w:p>
        </w:tc>
        <w:tc>
          <w:tcPr>
            <w:tcW w:w="8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1"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7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45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基本支出</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309.18万元</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309.18万元</w:t>
            </w:r>
          </w:p>
        </w:tc>
        <w:tc>
          <w:tcPr>
            <w:tcW w:w="64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8</w:t>
            </w:r>
          </w:p>
        </w:tc>
        <w:tc>
          <w:tcPr>
            <w:tcW w:w="8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8</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1"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7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145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项目支出</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908.284万元</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591.23万元</w:t>
            </w:r>
          </w:p>
        </w:tc>
        <w:tc>
          <w:tcPr>
            <w:tcW w:w="64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7</w:t>
            </w:r>
          </w:p>
        </w:tc>
        <w:tc>
          <w:tcPr>
            <w:tcW w:w="8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ind w:firstLine="200" w:firstLineChars="10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4.55</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偏差原因：应付未付款。改进措施：加强各部门协调，及时付款。</w:t>
            </w:r>
          </w:p>
        </w:tc>
      </w:tr>
      <w:tr>
        <w:tblPrEx>
          <w:tblCellMar>
            <w:top w:w="0" w:type="dxa"/>
            <w:left w:w="108" w:type="dxa"/>
            <w:bottom w:w="0" w:type="dxa"/>
            <w:right w:w="108" w:type="dxa"/>
          </w:tblCellMar>
        </w:tblPrEx>
        <w:trPr>
          <w:jc w:val="center"/>
        </w:trPr>
        <w:tc>
          <w:tcPr>
            <w:tcW w:w="1081"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79"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widowControl/>
              <w:spacing w:line="240" w:lineRule="exact"/>
              <w:jc w:val="left"/>
              <w:rPr>
                <w:rFonts w:hint="eastAsia" w:ascii="仿宋_GB2312" w:hAnsi="仿宋_GB2312" w:eastAsia="仿宋_GB2312" w:cs="仿宋_GB2312"/>
                <w:color w:val="000000"/>
                <w:sz w:val="20"/>
                <w:szCs w:val="20"/>
                <w:highlight w:val="none"/>
              </w:rPr>
            </w:pPr>
          </w:p>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3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45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档案利用查询</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利用档案1万卷，图纸3万幅</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提供电子档文字材料1万余卷，图纸3万幅左右幅。</w:t>
            </w:r>
          </w:p>
        </w:tc>
        <w:tc>
          <w:tcPr>
            <w:tcW w:w="64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8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1"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7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45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接收档案入库</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接收档案入库3万余卷</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接收档案入库5万余卷</w:t>
            </w:r>
          </w:p>
        </w:tc>
        <w:tc>
          <w:tcPr>
            <w:tcW w:w="64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8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1"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7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45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接待社会各界查询利用档案人次</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500人次</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1591人次</w:t>
            </w:r>
          </w:p>
        </w:tc>
        <w:tc>
          <w:tcPr>
            <w:tcW w:w="64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1"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7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45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地下管线修补测工作</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及时更新地下管线数据</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及时更新地下管线数据</w:t>
            </w:r>
          </w:p>
        </w:tc>
        <w:tc>
          <w:tcPr>
            <w:tcW w:w="64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8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1"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7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45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不适用</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不适用</w:t>
            </w:r>
          </w:p>
        </w:tc>
        <w:tc>
          <w:tcPr>
            <w:tcW w:w="64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290" w:hRule="atLeast"/>
          <w:jc w:val="center"/>
        </w:trPr>
        <w:tc>
          <w:tcPr>
            <w:tcW w:w="108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07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45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推进岳阳市全过程数字城建档案信息管理平台的建设，积极探索城建档案联合验收工作新模式</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实现档案工作由“被动指导型”到“主动服务型”的转变</w:t>
            </w:r>
          </w:p>
        </w:tc>
        <w:tc>
          <w:tcPr>
            <w:tcW w:w="129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推行服务前移，优化档案验收服务，实现档案工作由“被动指导型”到“主动服务型”的转变。</w:t>
            </w:r>
          </w:p>
          <w:p>
            <w:pPr>
              <w:widowControl/>
              <w:spacing w:line="240" w:lineRule="exact"/>
              <w:jc w:val="left"/>
              <w:rPr>
                <w:rFonts w:hint="default" w:ascii="仿宋_GB2312" w:hAnsi="仿宋_GB2312" w:eastAsia="仿宋_GB2312" w:cs="仿宋_GB2312"/>
                <w:color w:val="000000"/>
                <w:sz w:val="20"/>
                <w:szCs w:val="20"/>
                <w:highlight w:val="none"/>
                <w:lang w:val="en-US" w:eastAsia="zh-CN"/>
              </w:rPr>
            </w:pPr>
          </w:p>
        </w:tc>
        <w:tc>
          <w:tcPr>
            <w:tcW w:w="64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8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330" w:hRule="atLeast"/>
          <w:jc w:val="center"/>
        </w:trPr>
        <w:tc>
          <w:tcPr>
            <w:tcW w:w="1081" w:type="dxa"/>
            <w:vMerge w:val="continue"/>
            <w:tcBorders>
              <w:top w:val="single" w:color="auto" w:sz="4" w:space="0"/>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79" w:type="dxa"/>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34" w:type="dxa"/>
            <w:tcBorders>
              <w:top w:val="single" w:color="auto" w:sz="4" w:space="0"/>
              <w:left w:val="nil"/>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45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档案查询利用对象对本单位服务满意度</w:t>
            </w:r>
          </w:p>
        </w:tc>
        <w:tc>
          <w:tcPr>
            <w:tcW w:w="1395"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95%以上</w:t>
            </w:r>
          </w:p>
        </w:tc>
        <w:tc>
          <w:tcPr>
            <w:tcW w:w="1290"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645"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69"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229"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270" w:hRule="atLeast"/>
          <w:jc w:val="center"/>
        </w:trPr>
        <w:tc>
          <w:tcPr>
            <w:tcW w:w="7336" w:type="dxa"/>
            <w:gridSpan w:val="6"/>
            <w:tcBorders>
              <w:top w:val="single" w:color="auto" w:sz="4" w:space="0"/>
              <w:left w:val="single" w:color="auto" w:sz="4" w:space="0"/>
              <w:bottom w:val="single" w:color="auto" w:sz="4" w:space="0"/>
              <w:right w:val="single" w:color="000000"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645"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69"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94.94</w:t>
            </w:r>
          </w:p>
        </w:tc>
        <w:tc>
          <w:tcPr>
            <w:tcW w:w="1229"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widowControl/>
        <w:spacing w:line="600" w:lineRule="exact"/>
        <w:jc w:val="left"/>
        <w:rPr>
          <w:rFonts w:hint="eastAsia" w:ascii="Times New Roman" w:hAnsi="Times New Roman" w:eastAsia="黑体" w:cs="Times New Roman"/>
          <w:sz w:val="32"/>
          <w:szCs w:val="32"/>
          <w:highlight w:val="none"/>
          <w:lang w:eastAsia="zh-CN"/>
        </w:rPr>
      </w:pPr>
      <w:r>
        <w:rPr>
          <w:rFonts w:hint="default" w:ascii="Times New Roman" w:hAnsi="Times New Roman" w:eastAsia="仿宋_GB2312" w:cs="Times New Roman"/>
          <w:sz w:val="22"/>
          <w:szCs w:val="22"/>
          <w:highlight w:val="none"/>
        </w:rPr>
        <w:t xml:space="preserve">填表人：      填报日期：         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单位负责人签字：</w:t>
      </w:r>
      <w:r>
        <w:rPr>
          <w:rFonts w:hint="default" w:ascii="Times New Roman" w:hAnsi="Times New Roman" w:eastAsia="仿宋_GB2312" w:cs="Times New Roman"/>
          <w:sz w:val="22"/>
          <w:szCs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3</w:t>
      </w:r>
    </w:p>
    <w:p>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10"/>
        <w:tblW w:w="98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0"/>
        <w:gridCol w:w="1080"/>
        <w:gridCol w:w="1080"/>
        <w:gridCol w:w="1224"/>
        <w:gridCol w:w="1134"/>
        <w:gridCol w:w="1134"/>
        <w:gridCol w:w="828"/>
        <w:gridCol w:w="873"/>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71" w:type="dxa"/>
            <w:gridSpan w:val="8"/>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建设档案事务管理经费</w:t>
            </w: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18" w:type="dxa"/>
            <w:gridSpan w:val="4"/>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岳阳市住房和城乡建设局</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119" w:type="dxa"/>
            <w:gridSpan w:val="3"/>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岳阳市城市建设档案馆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项目资金</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60"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2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28"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18"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22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116</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116</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89.86</w:t>
            </w:r>
          </w:p>
        </w:tc>
        <w:tc>
          <w:tcPr>
            <w:tcW w:w="82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10</w:t>
            </w:r>
          </w:p>
        </w:tc>
        <w:tc>
          <w:tcPr>
            <w:tcW w:w="87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77.47%</w:t>
            </w:r>
          </w:p>
        </w:tc>
        <w:tc>
          <w:tcPr>
            <w:tcW w:w="14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7.75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22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116</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116</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89.86</w:t>
            </w:r>
          </w:p>
        </w:tc>
        <w:tc>
          <w:tcPr>
            <w:tcW w:w="82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77.47%</w:t>
            </w:r>
          </w:p>
        </w:tc>
        <w:tc>
          <w:tcPr>
            <w:tcW w:w="14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22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22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18" w:type="dxa"/>
            <w:gridSpan w:val="4"/>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53" w:type="dxa"/>
            <w:gridSpan w:val="4"/>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518" w:type="dxa"/>
            <w:gridSpan w:val="4"/>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确保库存档案不受潮，不霉变，档案库房达到“九防”管理要求；确保各信息平台正常运行</w:t>
            </w: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rPr>
              <w:t>　　</w:t>
            </w:r>
          </w:p>
        </w:tc>
        <w:tc>
          <w:tcPr>
            <w:tcW w:w="4253" w:type="dxa"/>
            <w:gridSpan w:val="4"/>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库房档案保存良好，达到“九防”管理要求，各信息平台正常运行。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2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2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2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定期开展库房巡查</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每天</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每天开展库房巡查</w:t>
            </w:r>
          </w:p>
        </w:tc>
        <w:tc>
          <w:tcPr>
            <w:tcW w:w="82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87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14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2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档案保存情况</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达到“九防”要求</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达到“九防”管理要求，档案保存完好。</w:t>
            </w:r>
          </w:p>
        </w:tc>
        <w:tc>
          <w:tcPr>
            <w:tcW w:w="82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87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14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2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在规定时间内完成</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本年度内</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本年度内完成</w:t>
            </w:r>
          </w:p>
        </w:tc>
        <w:tc>
          <w:tcPr>
            <w:tcW w:w="82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2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在预算内</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116万元</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89.86万元</w:t>
            </w:r>
          </w:p>
        </w:tc>
        <w:tc>
          <w:tcPr>
            <w:tcW w:w="82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7.75</w:t>
            </w:r>
          </w:p>
        </w:tc>
        <w:tc>
          <w:tcPr>
            <w:tcW w:w="14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偏差原因：应付未付款。改进措施：加强各部门协调，及时付款。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不适用</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不适用</w:t>
            </w:r>
          </w:p>
        </w:tc>
        <w:tc>
          <w:tcPr>
            <w:tcW w:w="82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服务城市建设</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信息共享</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已完成</w:t>
            </w:r>
          </w:p>
        </w:tc>
        <w:tc>
          <w:tcPr>
            <w:tcW w:w="82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87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14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不适用</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不适用</w:t>
            </w:r>
          </w:p>
        </w:tc>
        <w:tc>
          <w:tcPr>
            <w:tcW w:w="82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2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档案资料完好率</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98%</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lang w:val="en-US" w:eastAsia="zh-CN"/>
              </w:rPr>
              <w:t>98%</w:t>
            </w:r>
          </w:p>
        </w:tc>
        <w:tc>
          <w:tcPr>
            <w:tcW w:w="82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87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14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8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2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对本单位服务满意率</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95%</w:t>
            </w:r>
          </w:p>
        </w:tc>
        <w:tc>
          <w:tcPr>
            <w:tcW w:w="113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82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32" w:type="dxa"/>
            <w:gridSpan w:val="6"/>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2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95.5</w:t>
            </w:r>
          </w:p>
        </w:tc>
        <w:tc>
          <w:tcPr>
            <w:tcW w:w="141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rPr>
          <w:rFonts w:hint="default" w:ascii="Times New Roman" w:hAnsi="Times New Roman" w:eastAsia="仿宋_GB2312" w:cs="Times New Roman"/>
          <w:sz w:val="18"/>
          <w:szCs w:val="18"/>
          <w:highlight w:val="none"/>
        </w:rPr>
      </w:pPr>
    </w:p>
    <w:p>
      <w:pPr>
        <w:rPr>
          <w:rFonts w:hint="default" w:ascii="Times New Roman" w:hAnsi="Times New Roman" w:eastAsia="仿宋_GB2312" w:cs="Times New Roman"/>
          <w:szCs w:val="21"/>
          <w:highlight w:val="none"/>
        </w:rPr>
      </w:pPr>
      <w:r>
        <w:rPr>
          <w:rFonts w:hint="default" w:ascii="Times New Roman" w:hAnsi="Times New Roman" w:eastAsia="仿宋_GB2312" w:cs="Times New Roman"/>
          <w:sz w:val="18"/>
          <w:szCs w:val="18"/>
          <w:highlight w:val="none"/>
        </w:rPr>
        <w:t>备注：一个一级项目支出一张表。</w:t>
      </w:r>
      <w:r>
        <w:rPr>
          <w:rFonts w:hint="eastAsia" w:ascii="Times New Roman" w:hAnsi="Times New Roman" w:eastAsia="仿宋_GB2312" w:cs="Times New Roman"/>
          <w:sz w:val="18"/>
          <w:szCs w:val="18"/>
          <w:highlight w:val="none"/>
          <w:lang w:eastAsia="zh-CN"/>
        </w:rPr>
        <w:t>如，</w:t>
      </w:r>
      <w:r>
        <w:rPr>
          <w:rFonts w:hint="default" w:ascii="Times New Roman" w:hAnsi="Times New Roman" w:eastAsia="仿宋_GB2312" w:cs="Times New Roman"/>
          <w:sz w:val="18"/>
          <w:szCs w:val="18"/>
          <w:highlight w:val="none"/>
        </w:rPr>
        <w:t>业务工作经费</w:t>
      </w:r>
      <w:r>
        <w:rPr>
          <w:rFonts w:hint="eastAsia" w:ascii="Times New Roman" w:hAnsi="Times New Roman" w:eastAsia="仿宋_GB2312" w:cs="Times New Roman"/>
          <w:sz w:val="18"/>
          <w:szCs w:val="18"/>
          <w:highlight w:val="none"/>
          <w:lang w:eastAsia="zh-CN"/>
        </w:rPr>
        <w:t>，</w:t>
      </w:r>
      <w:r>
        <w:rPr>
          <w:rFonts w:hint="default" w:ascii="Times New Roman" w:hAnsi="Times New Roman" w:eastAsia="仿宋_GB2312" w:cs="Times New Roman"/>
          <w:sz w:val="18"/>
          <w:szCs w:val="18"/>
          <w:highlight w:val="none"/>
        </w:rPr>
        <w:t>运行维护经费</w:t>
      </w:r>
      <w:r>
        <w:rPr>
          <w:rFonts w:hint="eastAsia" w:ascii="Times New Roman" w:hAnsi="Times New Roman" w:eastAsia="仿宋_GB2312" w:cs="Times New Roman"/>
          <w:sz w:val="18"/>
          <w:szCs w:val="18"/>
          <w:highlight w:val="none"/>
          <w:lang w:eastAsia="zh-CN"/>
        </w:rPr>
        <w:t>，其他事业发展类资金…各一张表。</w:t>
      </w:r>
    </w:p>
    <w:p>
      <w:pPr>
        <w:rPr>
          <w:rFonts w:hint="default" w:ascii="Times New Roman" w:hAnsi="Times New Roman" w:eastAsia="仿宋_GB2312" w:cs="Times New Roman"/>
          <w:sz w:val="22"/>
          <w:szCs w:val="22"/>
          <w:highlight w:val="none"/>
        </w:rPr>
      </w:pPr>
      <w:r>
        <w:rPr>
          <w:rFonts w:hint="default" w:ascii="Times New Roman" w:hAnsi="Times New Roman" w:eastAsia="仿宋_GB2312" w:cs="Times New Roman"/>
          <w:sz w:val="22"/>
          <w:szCs w:val="22"/>
          <w:highlight w:val="none"/>
        </w:rPr>
        <w:t xml:space="preserve">填表人：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填报日期：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 单位负责人签字：</w:t>
      </w:r>
    </w:p>
    <w:p>
      <w:pPr>
        <w:rPr>
          <w:rFonts w:hint="default" w:ascii="Times New Roman" w:hAnsi="Times New Roman" w:eastAsia="仿宋_GB2312" w:cs="Times New Roman"/>
          <w:sz w:val="22"/>
          <w:szCs w:val="22"/>
          <w:highlight w:val="none"/>
        </w:rPr>
      </w:pPr>
    </w:p>
    <w:p>
      <w:pPr>
        <w:rPr>
          <w:rFonts w:hint="default" w:ascii="Times New Roman" w:hAnsi="Times New Roman" w:eastAsia="仿宋_GB2312" w:cs="Times New Roman"/>
          <w:sz w:val="22"/>
          <w:szCs w:val="22"/>
          <w:highlight w:val="none"/>
        </w:rPr>
      </w:pPr>
    </w:p>
    <w:p>
      <w:pPr>
        <w:rPr>
          <w:rFonts w:hint="default" w:ascii="Times New Roman" w:hAnsi="Times New Roman" w:eastAsia="仿宋_GB2312" w:cs="Times New Roman"/>
          <w:sz w:val="22"/>
          <w:szCs w:val="22"/>
          <w:highlight w:val="none"/>
        </w:rPr>
      </w:pPr>
    </w:p>
    <w:p>
      <w:pPr>
        <w:rPr>
          <w:rFonts w:hint="default" w:ascii="Times New Roman" w:hAnsi="Times New Roman" w:eastAsia="仿宋_GB2312" w:cs="Times New Roman"/>
          <w:sz w:val="22"/>
          <w:szCs w:val="22"/>
          <w:highlight w:val="none"/>
        </w:rPr>
      </w:pPr>
    </w:p>
    <w:p>
      <w:pPr>
        <w:rPr>
          <w:rFonts w:hint="default" w:ascii="Times New Roman" w:hAnsi="Times New Roman" w:eastAsia="仿宋_GB2312" w:cs="Times New Roman"/>
          <w:sz w:val="22"/>
          <w:szCs w:val="22"/>
          <w:highlight w:val="none"/>
        </w:rPr>
      </w:pPr>
    </w:p>
    <w:p>
      <w:pPr>
        <w:rPr>
          <w:rFonts w:hint="default" w:ascii="Times New Roman" w:hAnsi="Times New Roman" w:eastAsia="仿宋_GB2312" w:cs="Times New Roman"/>
          <w:sz w:val="22"/>
          <w:szCs w:val="2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Times New Roman" w:hAnsi="Times New Roman" w:eastAsia="黑体" w:cs="Times New Roman"/>
          <w:sz w:val="32"/>
          <w:szCs w:val="32"/>
          <w:highlight w:val="none"/>
          <w:lang w:eastAsia="zh-CN"/>
        </w:rPr>
      </w:pP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3</w:t>
      </w:r>
    </w:p>
    <w:p>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10"/>
        <w:tblW w:w="98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0"/>
        <w:gridCol w:w="1080"/>
        <w:gridCol w:w="1080"/>
        <w:gridCol w:w="1224"/>
        <w:gridCol w:w="1134"/>
        <w:gridCol w:w="1134"/>
        <w:gridCol w:w="828"/>
        <w:gridCol w:w="873"/>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71" w:type="dxa"/>
            <w:gridSpan w:val="8"/>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城市管网及污水处理补助</w:t>
            </w: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18" w:type="dxa"/>
            <w:gridSpan w:val="4"/>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岳阳市住房和城乡建设局</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119" w:type="dxa"/>
            <w:gridSpan w:val="3"/>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岳阳市城市建设档案馆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项目资金</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60" w:type="dxa"/>
            <w:gridSpan w:val="2"/>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28" w:type="dxa"/>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18" w:type="dxa"/>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731</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440.083</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60.20%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 xml:space="preserve"> 6.02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731</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440.083</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60.20%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18" w:type="dxa"/>
            <w:gridSpan w:val="4"/>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53" w:type="dxa"/>
            <w:gridSpan w:val="4"/>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518" w:type="dxa"/>
            <w:gridSpan w:val="4"/>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完成外业数据采集新测840公里、修补测1793.88公里、排水管道清淤、CCTV检测57.28公里</w:t>
            </w: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rPr>
              <w:t>　　</w:t>
            </w:r>
          </w:p>
        </w:tc>
        <w:tc>
          <w:tcPr>
            <w:tcW w:w="4253" w:type="dxa"/>
            <w:gridSpan w:val="4"/>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截至2023年12月31日完成外业数据采集新测804.33公里、修补测1720.68公里、排水管道清淤、CCTV检测57.281公里。累计完成工程量产值1069.44万元，完成总进度52.18%。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数据采集新测</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840km</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804.33km</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9.58</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偏差原因：</w:t>
            </w:r>
            <w:r>
              <w:rPr>
                <w:rFonts w:hint="eastAsia" w:ascii="仿宋_GB2312" w:hAnsi="仿宋_GB2312" w:eastAsia="仿宋_GB2312" w:cs="仿宋_GB2312"/>
                <w:color w:val="000000"/>
                <w:sz w:val="20"/>
                <w:szCs w:val="20"/>
                <w:highlight w:val="none"/>
              </w:rPr>
              <w:t>与三峡数据对接时间过长</w:t>
            </w: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rPr>
              <w:t>改进</w:t>
            </w:r>
            <w:r>
              <w:rPr>
                <w:rFonts w:hint="eastAsia" w:ascii="仿宋_GB2312" w:hAnsi="仿宋_GB2312" w:eastAsia="仿宋_GB2312" w:cs="仿宋_GB2312"/>
                <w:color w:val="000000"/>
                <w:sz w:val="20"/>
                <w:szCs w:val="20"/>
                <w:highlight w:val="none"/>
                <w:lang w:val="en-US" w:eastAsia="zh-CN"/>
              </w:rPr>
              <w:t>措施</w:t>
            </w:r>
            <w:r>
              <w:rPr>
                <w:rFonts w:hint="eastAsia" w:ascii="仿宋_GB2312" w:hAnsi="仿宋_GB2312" w:eastAsia="仿宋_GB2312" w:cs="仿宋_GB2312"/>
                <w:color w:val="000000"/>
                <w:sz w:val="20"/>
                <w:szCs w:val="20"/>
                <w:highlight w:val="none"/>
              </w:rPr>
              <w:t>：增加人员作业小组</w:t>
            </w: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rPr>
              <w:t>加快后续施工进度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管线修补测</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1793.88km</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1720.68km</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4.80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偏差原因：</w:t>
            </w:r>
            <w:r>
              <w:rPr>
                <w:rFonts w:hint="eastAsia" w:ascii="仿宋_GB2312" w:hAnsi="仿宋_GB2312" w:eastAsia="仿宋_GB2312" w:cs="仿宋_GB2312"/>
                <w:color w:val="000000"/>
                <w:sz w:val="20"/>
                <w:szCs w:val="20"/>
                <w:highlight w:val="none"/>
              </w:rPr>
              <w:t>与三峡数据对接时间过长</w:t>
            </w: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rPr>
              <w:t>改进</w:t>
            </w:r>
            <w:r>
              <w:rPr>
                <w:rFonts w:hint="eastAsia" w:ascii="仿宋_GB2312" w:hAnsi="仿宋_GB2312" w:eastAsia="仿宋_GB2312" w:cs="仿宋_GB2312"/>
                <w:color w:val="000000"/>
                <w:sz w:val="20"/>
                <w:szCs w:val="20"/>
                <w:highlight w:val="none"/>
                <w:lang w:val="en-US" w:eastAsia="zh-CN"/>
              </w:rPr>
              <w:t>措施</w:t>
            </w:r>
            <w:r>
              <w:rPr>
                <w:rFonts w:hint="eastAsia" w:ascii="仿宋_GB2312" w:hAnsi="仿宋_GB2312" w:eastAsia="仿宋_GB2312" w:cs="仿宋_GB2312"/>
                <w:color w:val="000000"/>
                <w:sz w:val="20"/>
                <w:szCs w:val="20"/>
                <w:highlight w:val="none"/>
              </w:rPr>
              <w:t>：增加人员作业小组</w:t>
            </w: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rPr>
              <w:t>加快后续施工进度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排水管网清淤、CCTV检测</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57.28km</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57.281km</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测量数据入库完成率</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45%</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45%</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任务完成时间</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2023年12月31日前</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2023年12月31日前</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预算控制数</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731万元</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440.083万元</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6.02</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按合同支付</w:t>
            </w: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不适用</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不适用</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服务城市建设</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为社会各界提供管线数据查询利用、服务群众</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为社会各界提供管线数据查询利用、服务群众</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雨污分流</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优化环境</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优化环境</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en-US"/>
              </w:rPr>
            </w:pPr>
            <w:r>
              <w:rPr>
                <w:rFonts w:hint="eastAsia" w:ascii="仿宋_GB2312" w:hAnsi="仿宋_GB2312" w:eastAsia="仿宋_GB2312" w:cs="仿宋_GB2312"/>
                <w:color w:val="000000"/>
                <w:sz w:val="20"/>
                <w:szCs w:val="20"/>
                <w:highlight w:val="none"/>
                <w:lang w:val="en-US" w:eastAsia="zh-CN"/>
              </w:rPr>
              <w:t>提供查询   和利用</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永久</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永久</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服务满意度</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98%</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98%</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32" w:type="dxa"/>
            <w:gridSpan w:val="6"/>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91.42</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rPr>
          <w:rFonts w:hint="default" w:ascii="Times New Roman" w:hAnsi="Times New Roman" w:eastAsia="仿宋_GB2312" w:cs="Times New Roman"/>
          <w:sz w:val="18"/>
          <w:szCs w:val="18"/>
          <w:highlight w:val="none"/>
        </w:rPr>
      </w:pPr>
    </w:p>
    <w:p>
      <w:pPr>
        <w:rPr>
          <w:rFonts w:hint="default" w:ascii="Times New Roman" w:hAnsi="Times New Roman" w:eastAsia="仿宋_GB2312" w:cs="Times New Roman"/>
          <w:szCs w:val="21"/>
          <w:highlight w:val="none"/>
        </w:rPr>
      </w:pPr>
      <w:r>
        <w:rPr>
          <w:rFonts w:hint="default" w:ascii="Times New Roman" w:hAnsi="Times New Roman" w:eastAsia="仿宋_GB2312" w:cs="Times New Roman"/>
          <w:sz w:val="18"/>
          <w:szCs w:val="18"/>
          <w:highlight w:val="none"/>
        </w:rPr>
        <w:t>备注：一个一级项目支出一张表。</w:t>
      </w:r>
      <w:r>
        <w:rPr>
          <w:rFonts w:hint="eastAsia" w:ascii="Times New Roman" w:hAnsi="Times New Roman" w:eastAsia="仿宋_GB2312" w:cs="Times New Roman"/>
          <w:sz w:val="18"/>
          <w:szCs w:val="18"/>
          <w:highlight w:val="none"/>
          <w:lang w:eastAsia="zh-CN"/>
        </w:rPr>
        <w:t>如，</w:t>
      </w:r>
      <w:r>
        <w:rPr>
          <w:rFonts w:hint="default" w:ascii="Times New Roman" w:hAnsi="Times New Roman" w:eastAsia="仿宋_GB2312" w:cs="Times New Roman"/>
          <w:sz w:val="18"/>
          <w:szCs w:val="18"/>
          <w:highlight w:val="none"/>
        </w:rPr>
        <w:t>业务工作经费</w:t>
      </w:r>
      <w:r>
        <w:rPr>
          <w:rFonts w:hint="eastAsia" w:ascii="Times New Roman" w:hAnsi="Times New Roman" w:eastAsia="仿宋_GB2312" w:cs="Times New Roman"/>
          <w:sz w:val="18"/>
          <w:szCs w:val="18"/>
          <w:highlight w:val="none"/>
          <w:lang w:eastAsia="zh-CN"/>
        </w:rPr>
        <w:t>，</w:t>
      </w:r>
      <w:r>
        <w:rPr>
          <w:rFonts w:hint="default" w:ascii="Times New Roman" w:hAnsi="Times New Roman" w:eastAsia="仿宋_GB2312" w:cs="Times New Roman"/>
          <w:sz w:val="18"/>
          <w:szCs w:val="18"/>
          <w:highlight w:val="none"/>
        </w:rPr>
        <w:t>运行维护经费</w:t>
      </w:r>
      <w:r>
        <w:rPr>
          <w:rFonts w:hint="eastAsia" w:ascii="Times New Roman" w:hAnsi="Times New Roman" w:eastAsia="仿宋_GB2312" w:cs="Times New Roman"/>
          <w:sz w:val="18"/>
          <w:szCs w:val="18"/>
          <w:highlight w:val="none"/>
          <w:lang w:eastAsia="zh-CN"/>
        </w:rPr>
        <w:t>，其他事业发展类资金…各一张表。</w:t>
      </w:r>
    </w:p>
    <w:p>
      <w:pPr>
        <w:rPr>
          <w:rFonts w:hint="default" w:ascii="Times New Roman" w:hAnsi="Times New Roman" w:eastAsia="仿宋_GB2312" w:cs="Times New Roman"/>
          <w:sz w:val="22"/>
          <w:szCs w:val="22"/>
          <w:highlight w:val="none"/>
        </w:rPr>
      </w:pPr>
      <w:r>
        <w:rPr>
          <w:rFonts w:hint="default" w:ascii="Times New Roman" w:hAnsi="Times New Roman" w:eastAsia="仿宋_GB2312" w:cs="Times New Roman"/>
          <w:sz w:val="22"/>
          <w:szCs w:val="22"/>
          <w:highlight w:val="none"/>
        </w:rPr>
        <w:t xml:space="preserve">填表人：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填报日期：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 单位负责人签字：</w:t>
      </w:r>
    </w:p>
    <w:p>
      <w:pPr>
        <w:rPr>
          <w:rFonts w:hint="default" w:ascii="Times New Roman" w:hAnsi="Times New Roman" w:eastAsia="仿宋_GB2312" w:cs="Times New Roman"/>
          <w:sz w:val="22"/>
          <w:szCs w:val="22"/>
          <w:highlight w:val="none"/>
        </w:rPr>
      </w:pPr>
    </w:p>
    <w:p>
      <w:pPr>
        <w:rPr>
          <w:rFonts w:hint="default" w:ascii="Times New Roman" w:hAnsi="Times New Roman" w:eastAsia="仿宋_GB2312" w:cs="Times New Roman"/>
          <w:sz w:val="22"/>
          <w:szCs w:val="22"/>
          <w:highlight w:val="none"/>
        </w:rPr>
      </w:pPr>
    </w:p>
    <w:p>
      <w:pPr>
        <w:rPr>
          <w:rFonts w:hint="default" w:ascii="Times New Roman" w:hAnsi="Times New Roman" w:eastAsia="仿宋_GB2312" w:cs="Times New Roman"/>
          <w:sz w:val="22"/>
          <w:szCs w:val="2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Times New Roman" w:hAnsi="Times New Roman" w:eastAsia="黑体" w:cs="Times New Roman"/>
          <w:sz w:val="32"/>
          <w:szCs w:val="32"/>
          <w:highlight w:val="none"/>
          <w:lang w:eastAsia="zh-CN"/>
        </w:rPr>
      </w:pP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3</w:t>
      </w:r>
    </w:p>
    <w:p>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3</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10"/>
        <w:tblW w:w="98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0"/>
        <w:gridCol w:w="1080"/>
        <w:gridCol w:w="1080"/>
        <w:gridCol w:w="1224"/>
        <w:gridCol w:w="1134"/>
        <w:gridCol w:w="1134"/>
        <w:gridCol w:w="828"/>
        <w:gridCol w:w="873"/>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71" w:type="dxa"/>
            <w:gridSpan w:val="8"/>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地下管线平台运行维护经费</w:t>
            </w: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18" w:type="dxa"/>
            <w:gridSpan w:val="4"/>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岳阳市住房和城乡建设局</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119" w:type="dxa"/>
            <w:gridSpan w:val="3"/>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岳阳市城市建设档案馆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项目资金</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60" w:type="dxa"/>
            <w:gridSpan w:val="2"/>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28" w:type="dxa"/>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418" w:type="dxa"/>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61.284</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200" w:firstLineChars="100"/>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61.284</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61.284</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61.284</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18" w:type="dxa"/>
            <w:gridSpan w:val="4"/>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53" w:type="dxa"/>
            <w:gridSpan w:val="4"/>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518" w:type="dxa"/>
            <w:gridSpan w:val="4"/>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用于支付岳阳市地下管线补测工程费用。</w:t>
            </w:r>
            <w:r>
              <w:rPr>
                <w:rFonts w:hint="eastAsia" w:ascii="仿宋_GB2312" w:hAnsi="仿宋_GB2312" w:eastAsia="仿宋_GB2312" w:cs="仿宋_GB2312"/>
                <w:color w:val="000000"/>
                <w:sz w:val="20"/>
                <w:szCs w:val="20"/>
                <w:highlight w:val="none"/>
              </w:rPr>
              <w:t>　　</w:t>
            </w:r>
          </w:p>
        </w:tc>
        <w:tc>
          <w:tcPr>
            <w:tcW w:w="4253" w:type="dxa"/>
            <w:gridSpan w:val="4"/>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岳阳市地下管线补测工程已经完成建设，并通过验收投入使用，已按合同支付进度款。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地下管线平台运行维护</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1项</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1项</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符合行业规范要求</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符合《湖南省城市地下管线探测技术规范》等相关规范要求</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符合相关要求</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符合本项目要求</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符合本项目实际情况</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符合项目建设要求</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符合项目实施进度</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符合项目实施进度</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符合要求</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按进度支付费用</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按项目实施进度支付费用</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按约定支付</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项目成本</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项目成本</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61.284万元</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不适用</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不适用</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服务工程规划、勘察设计、施工建设、应急防灾等</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信息共享</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实现地下管线信息共享</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不适用</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不适用</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不适用</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提供查询和利用</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永久</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200" w:firstLineChars="100"/>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永久</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15</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80"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2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对本单位服务满意率</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98%</w:t>
            </w:r>
          </w:p>
        </w:tc>
        <w:tc>
          <w:tcPr>
            <w:tcW w:w="1134"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98%</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32" w:type="dxa"/>
            <w:gridSpan w:val="6"/>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2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1418" w:type="dxa"/>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rPr>
          <w:rFonts w:hint="default" w:ascii="Times New Roman" w:hAnsi="Times New Roman" w:eastAsia="仿宋_GB2312" w:cs="Times New Roman"/>
          <w:sz w:val="18"/>
          <w:szCs w:val="18"/>
          <w:highlight w:val="none"/>
        </w:rPr>
      </w:pPr>
    </w:p>
    <w:p>
      <w:pPr>
        <w:rPr>
          <w:rFonts w:hint="default" w:ascii="Times New Roman" w:hAnsi="Times New Roman" w:eastAsia="仿宋_GB2312" w:cs="Times New Roman"/>
          <w:szCs w:val="21"/>
          <w:highlight w:val="none"/>
        </w:rPr>
      </w:pPr>
      <w:r>
        <w:rPr>
          <w:rFonts w:hint="default" w:ascii="Times New Roman" w:hAnsi="Times New Roman" w:eastAsia="仿宋_GB2312" w:cs="Times New Roman"/>
          <w:sz w:val="18"/>
          <w:szCs w:val="18"/>
          <w:highlight w:val="none"/>
        </w:rPr>
        <w:t>备注：一个一级项目支出一张表。</w:t>
      </w:r>
      <w:r>
        <w:rPr>
          <w:rFonts w:hint="eastAsia" w:ascii="Times New Roman" w:hAnsi="Times New Roman" w:eastAsia="仿宋_GB2312" w:cs="Times New Roman"/>
          <w:sz w:val="18"/>
          <w:szCs w:val="18"/>
          <w:highlight w:val="none"/>
          <w:lang w:eastAsia="zh-CN"/>
        </w:rPr>
        <w:t>如，</w:t>
      </w:r>
      <w:r>
        <w:rPr>
          <w:rFonts w:hint="default" w:ascii="Times New Roman" w:hAnsi="Times New Roman" w:eastAsia="仿宋_GB2312" w:cs="Times New Roman"/>
          <w:sz w:val="18"/>
          <w:szCs w:val="18"/>
          <w:highlight w:val="none"/>
        </w:rPr>
        <w:t>业务工作经费</w:t>
      </w:r>
      <w:r>
        <w:rPr>
          <w:rFonts w:hint="eastAsia" w:ascii="Times New Roman" w:hAnsi="Times New Roman" w:eastAsia="仿宋_GB2312" w:cs="Times New Roman"/>
          <w:sz w:val="18"/>
          <w:szCs w:val="18"/>
          <w:highlight w:val="none"/>
          <w:lang w:eastAsia="zh-CN"/>
        </w:rPr>
        <w:t>，</w:t>
      </w:r>
      <w:r>
        <w:rPr>
          <w:rFonts w:hint="default" w:ascii="Times New Roman" w:hAnsi="Times New Roman" w:eastAsia="仿宋_GB2312" w:cs="Times New Roman"/>
          <w:sz w:val="18"/>
          <w:szCs w:val="18"/>
          <w:highlight w:val="none"/>
        </w:rPr>
        <w:t>运行维护经费</w:t>
      </w:r>
      <w:r>
        <w:rPr>
          <w:rFonts w:hint="eastAsia" w:ascii="Times New Roman" w:hAnsi="Times New Roman" w:eastAsia="仿宋_GB2312" w:cs="Times New Roman"/>
          <w:sz w:val="18"/>
          <w:szCs w:val="18"/>
          <w:highlight w:val="none"/>
          <w:lang w:eastAsia="zh-CN"/>
        </w:rPr>
        <w:t>，其他事业发展类资金…各一张表。</w:t>
      </w:r>
    </w:p>
    <w:p>
      <w:pPr>
        <w:rPr>
          <w:rFonts w:hint="default" w:ascii="Times New Roman" w:hAnsi="Times New Roman" w:eastAsia="仿宋_GB2312" w:cs="Times New Roman"/>
          <w:sz w:val="22"/>
          <w:szCs w:val="22"/>
          <w:highlight w:val="none"/>
        </w:rPr>
      </w:pPr>
      <w:r>
        <w:rPr>
          <w:rFonts w:hint="default" w:ascii="Times New Roman" w:hAnsi="Times New Roman" w:eastAsia="仿宋_GB2312" w:cs="Times New Roman"/>
          <w:sz w:val="22"/>
          <w:szCs w:val="22"/>
          <w:highlight w:val="none"/>
        </w:rPr>
        <w:t xml:space="preserve">填表人：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填报日期：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联系电话：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 xml:space="preserve"> 单位负责人签字：</w:t>
      </w:r>
    </w:p>
    <w:p>
      <w:pPr>
        <w:rPr>
          <w:rFonts w:hint="eastAsia" w:ascii="黑体" w:hAnsi="黑体" w:eastAsia="黑体" w:cs="黑体"/>
          <w:sz w:val="32"/>
          <w:szCs w:val="32"/>
          <w:highlight w:val="none"/>
          <w:lang w:val="en-US" w:eastAsia="zh-CN"/>
        </w:rPr>
      </w:pPr>
      <w:r>
        <w:rPr>
          <w:rFonts w:hint="default" w:ascii="Times New Roman" w:hAnsi="Times New Roman" w:eastAsia="仿宋_GB2312" w:cs="Times New Roman"/>
          <w:sz w:val="22"/>
          <w:szCs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4</w:t>
      </w:r>
    </w:p>
    <w:p>
      <w:pPr>
        <w:jc w:val="center"/>
        <w:rPr>
          <w:rFonts w:hint="default" w:ascii="Times New Roman" w:hAnsi="Times New Roman" w:eastAsia="方正小标宋_GBK" w:cs="Times New Roman"/>
          <w:sz w:val="52"/>
          <w:szCs w:val="52"/>
          <w:highlight w:val="none"/>
        </w:rPr>
      </w:pP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3</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val="en-US" w:eastAsia="zh-CN"/>
        </w:rPr>
        <w:t xml:space="preserve">岳阳市城市建设档案馆                 </w:t>
      </w:r>
      <w:r>
        <w:rPr>
          <w:rFonts w:hint="eastAsia" w:ascii="方正小标宋简体" w:hAnsi="方正小标宋简体" w:eastAsia="方正小标宋简体" w:cs="方正小标宋简体"/>
          <w:sz w:val="44"/>
          <w:szCs w:val="44"/>
          <w:highlight w:val="none"/>
        </w:rPr>
        <w:t>整体支出绩效自评报告</w:t>
      </w:r>
    </w:p>
    <w:p>
      <w:pPr>
        <w:jc w:val="center"/>
        <w:rPr>
          <w:rFonts w:hint="default" w:ascii="Times New Roman" w:hAnsi="Times New Roman" w:eastAsia="方正小标宋_GBK" w:cs="Times New Roman"/>
          <w:b/>
          <w:sz w:val="52"/>
          <w:szCs w:val="5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both"/>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spacing w:line="600" w:lineRule="exact"/>
        <w:jc w:val="center"/>
        <w:rPr>
          <w:rFonts w:hint="default" w:ascii="Times New Roman" w:hAnsi="Times New Roman" w:eastAsia="仿宋_GB2312" w:cs="Times New Roman"/>
          <w:sz w:val="32"/>
          <w:szCs w:val="32"/>
          <w:highlight w:val="none"/>
          <w:u w:val="single"/>
        </w:rPr>
      </w:pPr>
      <w:r>
        <w:rPr>
          <w:rFonts w:hint="default" w:ascii="Times New Roman" w:hAnsi="Times New Roman" w:eastAsia="仿宋_GB2312" w:cs="Times New Roman"/>
          <w:sz w:val="32"/>
          <w:szCs w:val="32"/>
          <w:highlight w:val="none"/>
        </w:rPr>
        <w:t>部门（单位）名称：</w:t>
      </w:r>
      <w:r>
        <w:rPr>
          <w:rFonts w:hint="default" w:ascii="Times New Roman" w:hAnsi="Times New Roman" w:eastAsia="仿宋_GB2312" w:cs="Times New Roman"/>
          <w:sz w:val="32"/>
          <w:szCs w:val="32"/>
          <w:highlight w:val="none"/>
          <w:u w:val="single"/>
        </w:rPr>
        <w:t>（盖章）</w:t>
      </w:r>
    </w:p>
    <w:p>
      <w:pPr>
        <w:spacing w:line="600" w:lineRule="exact"/>
        <w:jc w:val="center"/>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年  月  日</w:t>
      </w:r>
    </w:p>
    <w:p>
      <w:pPr>
        <w:jc w:val="cente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（此页为封面）</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highlight w:val="none"/>
        </w:rPr>
      </w:pPr>
      <w:r>
        <w:rPr>
          <w:rFonts w:hint="default" w:ascii="Times New Roman" w:hAnsi="Times New Roman" w:eastAsia="仿宋_GB2312" w:cs="Times New Roman"/>
          <w:sz w:val="32"/>
          <w:szCs w:val="32"/>
          <w:highlight w:val="none"/>
        </w:rPr>
        <w:br w:type="page"/>
      </w:r>
    </w:p>
    <w:p>
      <w:pPr>
        <w:spacing w:before="140" w:line="757" w:lineRule="exact"/>
        <w:ind w:firstLine="988" w:firstLineChars="200"/>
        <w:jc w:val="both"/>
        <w:rPr>
          <w:rFonts w:ascii="宋体" w:hAnsi="宋体" w:cs="宋体"/>
          <w:b/>
          <w:bCs/>
          <w:color w:val="000000" w:themeColor="text1"/>
          <w:spacing w:val="32"/>
          <w:position w:val="24"/>
          <w:sz w:val="43"/>
          <w:szCs w:val="43"/>
          <w14:textFill>
            <w14:solidFill>
              <w14:schemeClr w14:val="tx1"/>
            </w14:solidFill>
          </w14:textFill>
        </w:rPr>
      </w:pPr>
      <w:r>
        <w:rPr>
          <w:rFonts w:ascii="宋体" w:hAnsi="宋体" w:cs="宋体"/>
          <w:b/>
          <w:bCs/>
          <w:color w:val="000000" w:themeColor="text1"/>
          <w:spacing w:val="32"/>
          <w:position w:val="24"/>
          <w:sz w:val="43"/>
          <w:szCs w:val="43"/>
          <w14:textFill>
            <w14:solidFill>
              <w14:schemeClr w14:val="tx1"/>
            </w14:solidFill>
          </w14:textFill>
        </w:rPr>
        <w:t>202</w:t>
      </w:r>
      <w:r>
        <w:rPr>
          <w:rFonts w:hint="eastAsia" w:ascii="宋体" w:hAnsi="宋体" w:cs="宋体"/>
          <w:b/>
          <w:bCs/>
          <w:color w:val="000000" w:themeColor="text1"/>
          <w:spacing w:val="32"/>
          <w:position w:val="24"/>
          <w:sz w:val="43"/>
          <w:szCs w:val="43"/>
          <w:lang w:val="en-US" w:eastAsia="zh-CN"/>
          <w14:textFill>
            <w14:solidFill>
              <w14:schemeClr w14:val="tx1"/>
            </w14:solidFill>
          </w14:textFill>
        </w:rPr>
        <w:t>3</w:t>
      </w:r>
      <w:r>
        <w:rPr>
          <w:rFonts w:ascii="宋体" w:hAnsi="宋体" w:cs="宋体"/>
          <w:b/>
          <w:bCs/>
          <w:color w:val="000000" w:themeColor="text1"/>
          <w:spacing w:val="32"/>
          <w:position w:val="24"/>
          <w:sz w:val="43"/>
          <w:szCs w:val="43"/>
          <w14:textFill>
            <w14:solidFill>
              <w14:schemeClr w14:val="tx1"/>
            </w14:solidFill>
          </w14:textFill>
        </w:rPr>
        <w:t>年度</w:t>
      </w:r>
      <w:r>
        <w:rPr>
          <w:rFonts w:hint="eastAsia" w:ascii="宋体" w:hAnsi="宋体" w:cs="宋体"/>
          <w:b/>
          <w:bCs/>
          <w:color w:val="000000" w:themeColor="text1"/>
          <w:spacing w:val="32"/>
          <w:position w:val="24"/>
          <w:sz w:val="43"/>
          <w:szCs w:val="43"/>
          <w14:textFill>
            <w14:solidFill>
              <w14:schemeClr w14:val="tx1"/>
            </w14:solidFill>
          </w14:textFill>
        </w:rPr>
        <w:t>岳阳市城市建设档案馆</w:t>
      </w:r>
    </w:p>
    <w:p>
      <w:pPr>
        <w:pStyle w:val="2"/>
        <w:ind w:firstLine="1976" w:firstLineChars="400"/>
        <w:jc w:val="both"/>
        <w:rPr>
          <w:rFonts w:ascii="宋体" w:hAnsi="宋体" w:cs="宋体"/>
          <w:b/>
          <w:bCs/>
          <w:color w:val="000000" w:themeColor="text1"/>
          <w:spacing w:val="32"/>
          <w:position w:val="24"/>
          <w:sz w:val="43"/>
          <w:szCs w:val="43"/>
          <w14:textFill>
            <w14:solidFill>
              <w14:schemeClr w14:val="tx1"/>
            </w14:solidFill>
          </w14:textFill>
        </w:rPr>
      </w:pPr>
      <w:r>
        <w:rPr>
          <w:rFonts w:hint="eastAsia" w:ascii="宋体" w:hAnsi="宋体" w:cs="宋体"/>
          <w:b/>
          <w:bCs/>
          <w:color w:val="000000" w:themeColor="text1"/>
          <w:spacing w:val="32"/>
          <w:position w:val="24"/>
          <w:sz w:val="43"/>
          <w:szCs w:val="43"/>
          <w14:textFill>
            <w14:solidFill>
              <w14:schemeClr w14:val="tx1"/>
            </w14:solidFill>
          </w14:textFill>
        </w:rPr>
        <w:t>整体支出绩效自评报告</w:t>
      </w:r>
    </w:p>
    <w:p>
      <w:pPr>
        <w:spacing w:line="299" w:lineRule="auto"/>
        <w:rPr>
          <w:rFonts w:ascii="Arial"/>
          <w:color w:val="000000" w:themeColor="text1"/>
          <w:sz w:val="21"/>
          <w14:textFill>
            <w14:solidFill>
              <w14:schemeClr w14:val="tx1"/>
            </w14:solidFill>
          </w14:textFill>
        </w:rPr>
      </w:pPr>
    </w:p>
    <w:p>
      <w:pPr>
        <w:numPr>
          <w:ilvl w:val="0"/>
          <w:numId w:val="0"/>
        </w:numPr>
        <w:spacing w:before="104" w:line="222" w:lineRule="auto"/>
        <w:ind w:firstLine="744" w:firstLineChars="200"/>
        <w:rPr>
          <w:rFonts w:ascii="黑体" w:hAnsi="黑体" w:eastAsia="黑体" w:cs="黑体"/>
          <w:color w:val="000000" w:themeColor="text1"/>
          <w:spacing w:val="26"/>
          <w:sz w:val="32"/>
          <w:szCs w:val="32"/>
          <w14:textFill>
            <w14:solidFill>
              <w14:schemeClr w14:val="tx1"/>
            </w14:solidFill>
          </w14:textFill>
        </w:rPr>
      </w:pPr>
      <w:r>
        <w:rPr>
          <w:rFonts w:hint="eastAsia" w:ascii="黑体" w:hAnsi="黑体" w:eastAsia="黑体" w:cs="黑体"/>
          <w:color w:val="000000" w:themeColor="text1"/>
          <w:spacing w:val="26"/>
          <w:sz w:val="32"/>
          <w:szCs w:val="32"/>
          <w:lang w:val="en-US" w:eastAsia="zh-CN"/>
          <w14:textFill>
            <w14:solidFill>
              <w14:schemeClr w14:val="tx1"/>
            </w14:solidFill>
          </w14:textFill>
        </w:rPr>
        <w:t>一</w:t>
      </w:r>
      <w:r>
        <w:rPr>
          <w:rFonts w:hint="eastAsia" w:ascii="黑体" w:hAnsi="黑体" w:eastAsia="黑体" w:cs="黑体"/>
          <w:color w:val="000000" w:themeColor="text1"/>
          <w:spacing w:val="26"/>
          <w:sz w:val="32"/>
          <w:szCs w:val="32"/>
          <w:lang w:eastAsia="zh-CN"/>
          <w14:textFill>
            <w14:solidFill>
              <w14:schemeClr w14:val="tx1"/>
            </w14:solidFill>
          </w14:textFill>
        </w:rPr>
        <w:t>、</w:t>
      </w:r>
      <w:r>
        <w:rPr>
          <w:rFonts w:ascii="黑体" w:hAnsi="黑体" w:eastAsia="黑体" w:cs="黑体"/>
          <w:color w:val="000000" w:themeColor="text1"/>
          <w:spacing w:val="26"/>
          <w:sz w:val="32"/>
          <w:szCs w:val="32"/>
          <w14:textFill>
            <w14:solidFill>
              <w14:schemeClr w14:val="tx1"/>
            </w14:solidFill>
          </w14:textFill>
        </w:rPr>
        <w:t>部门(单位)基本情况</w:t>
      </w:r>
    </w:p>
    <w:p>
      <w:pPr>
        <w:pStyle w:val="3"/>
        <w:spacing w:before="0" w:after="0" w:line="600" w:lineRule="exact"/>
        <w:ind w:firstLine="640" w:firstLineChars="200"/>
        <w:rPr>
          <w:rFonts w:hint="eastAsia"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一</w:t>
      </w:r>
      <w:r>
        <w:rPr>
          <w:rFonts w:hint="eastAsia" w:ascii="仿宋" w:hAnsi="仿宋" w:eastAsia="仿宋"/>
          <w:sz w:val="32"/>
          <w:szCs w:val="32"/>
          <w:lang w:eastAsia="zh-CN"/>
        </w:rPr>
        <w:t>）</w:t>
      </w:r>
      <w:r>
        <w:rPr>
          <w:rFonts w:hint="eastAsia" w:ascii="仿宋" w:hAnsi="仿宋" w:eastAsia="仿宋"/>
          <w:sz w:val="32"/>
          <w:szCs w:val="32"/>
        </w:rPr>
        <w:t>职能职责</w:t>
      </w:r>
    </w:p>
    <w:p>
      <w:pPr>
        <w:pStyle w:val="3"/>
        <w:spacing w:before="0" w:after="0" w:line="600" w:lineRule="exact"/>
        <w:ind w:firstLine="640" w:firstLineChars="200"/>
        <w:rPr>
          <w:rFonts w:ascii="仿宋" w:hAnsi="仿宋" w:eastAsia="仿宋"/>
          <w:sz w:val="32"/>
          <w:szCs w:val="32"/>
        </w:rPr>
      </w:pPr>
      <w:r>
        <w:rPr>
          <w:rFonts w:hint="eastAsia" w:ascii="仿宋" w:hAnsi="仿宋" w:eastAsia="仿宋"/>
          <w:sz w:val="32"/>
          <w:szCs w:val="32"/>
          <w:lang w:val="en-US" w:eastAsia="zh-CN"/>
        </w:rPr>
        <w:t>1、</w:t>
      </w:r>
      <w:r>
        <w:rPr>
          <w:rFonts w:hint="eastAsia" w:ascii="仿宋" w:hAnsi="仿宋" w:eastAsia="仿宋"/>
          <w:sz w:val="32"/>
          <w:szCs w:val="32"/>
        </w:rPr>
        <w:t>负责拟定城建档案发展规划。</w:t>
      </w:r>
    </w:p>
    <w:p>
      <w:pPr>
        <w:pStyle w:val="3"/>
        <w:spacing w:before="0" w:after="0" w:line="600" w:lineRule="exact"/>
        <w:ind w:firstLine="640" w:firstLineChars="200"/>
        <w:rPr>
          <w:rFonts w:ascii="仿宋" w:hAnsi="仿宋" w:eastAsia="仿宋"/>
          <w:sz w:val="32"/>
          <w:szCs w:val="32"/>
        </w:rPr>
      </w:pPr>
      <w:r>
        <w:rPr>
          <w:rFonts w:hint="eastAsia" w:ascii="仿宋" w:hAnsi="仿宋" w:eastAsia="仿宋"/>
          <w:sz w:val="32"/>
          <w:szCs w:val="32"/>
          <w:lang w:val="en-US" w:eastAsia="zh-CN"/>
        </w:rPr>
        <w:t>2、</w:t>
      </w:r>
      <w:r>
        <w:rPr>
          <w:rFonts w:hint="eastAsia" w:ascii="仿宋" w:hAnsi="仿宋" w:eastAsia="仿宋"/>
          <w:sz w:val="32"/>
          <w:szCs w:val="32"/>
        </w:rPr>
        <w:t>负责城市规划区范围内的城建档案的统一管理。</w:t>
      </w:r>
    </w:p>
    <w:p>
      <w:pPr>
        <w:pStyle w:val="3"/>
        <w:spacing w:before="0" w:after="0" w:line="600" w:lineRule="exact"/>
        <w:ind w:firstLine="640" w:firstLineChars="200"/>
        <w:rPr>
          <w:rFonts w:ascii="仿宋" w:hAnsi="仿宋" w:eastAsia="仿宋"/>
          <w:sz w:val="32"/>
          <w:szCs w:val="32"/>
        </w:rPr>
      </w:pPr>
      <w:r>
        <w:rPr>
          <w:rFonts w:hint="eastAsia" w:ascii="仿宋" w:hAnsi="仿宋" w:eastAsia="仿宋"/>
          <w:sz w:val="32"/>
          <w:szCs w:val="32"/>
          <w:lang w:val="en-US" w:eastAsia="zh-CN"/>
        </w:rPr>
        <w:t>3、</w:t>
      </w:r>
      <w:r>
        <w:rPr>
          <w:rFonts w:hint="eastAsia" w:ascii="仿宋" w:hAnsi="仿宋" w:eastAsia="仿宋"/>
          <w:sz w:val="32"/>
          <w:szCs w:val="32"/>
        </w:rPr>
        <w:t>负责做好进馆档案的保管、保护工作。</w:t>
      </w:r>
    </w:p>
    <w:p>
      <w:pPr>
        <w:pStyle w:val="3"/>
        <w:spacing w:before="0" w:after="0" w:line="600" w:lineRule="exact"/>
        <w:ind w:firstLine="640" w:firstLineChars="200"/>
        <w:rPr>
          <w:rFonts w:ascii="仿宋" w:hAnsi="仿宋" w:eastAsia="仿宋"/>
          <w:sz w:val="32"/>
          <w:szCs w:val="32"/>
        </w:rPr>
      </w:pPr>
      <w:r>
        <w:rPr>
          <w:rFonts w:hint="eastAsia" w:ascii="仿宋" w:hAnsi="仿宋" w:eastAsia="仿宋"/>
          <w:sz w:val="32"/>
          <w:szCs w:val="32"/>
          <w:lang w:val="en-US" w:eastAsia="zh-CN"/>
        </w:rPr>
        <w:t>4、</w:t>
      </w:r>
      <w:r>
        <w:rPr>
          <w:rFonts w:hint="eastAsia" w:ascii="仿宋" w:hAnsi="仿宋" w:eastAsia="仿宋"/>
          <w:sz w:val="32"/>
          <w:szCs w:val="32"/>
        </w:rPr>
        <w:t>负责依法收集、接受、征集市区范围内产生的需永久和长期保管的城建档案等有关资料。</w:t>
      </w:r>
    </w:p>
    <w:p>
      <w:pPr>
        <w:pStyle w:val="3"/>
        <w:spacing w:before="0" w:after="0" w:line="600" w:lineRule="exact"/>
        <w:ind w:firstLine="640" w:firstLineChars="200"/>
        <w:rPr>
          <w:rFonts w:ascii="仿宋" w:hAnsi="仿宋" w:eastAsia="仿宋"/>
          <w:sz w:val="32"/>
          <w:szCs w:val="32"/>
        </w:rPr>
      </w:pPr>
      <w:r>
        <w:rPr>
          <w:rFonts w:hint="eastAsia" w:ascii="仿宋" w:hAnsi="仿宋" w:eastAsia="仿宋"/>
          <w:sz w:val="32"/>
          <w:szCs w:val="32"/>
          <w:lang w:val="en-US" w:eastAsia="zh-CN"/>
        </w:rPr>
        <w:t>5、</w:t>
      </w:r>
      <w:r>
        <w:rPr>
          <w:rFonts w:hint="eastAsia" w:ascii="仿宋" w:hAnsi="仿宋" w:eastAsia="仿宋"/>
          <w:sz w:val="32"/>
          <w:szCs w:val="32"/>
        </w:rPr>
        <w:t>负责开发城建档案信息资源。</w:t>
      </w:r>
    </w:p>
    <w:p>
      <w:pPr>
        <w:pStyle w:val="3"/>
        <w:spacing w:before="0" w:after="0" w:line="600" w:lineRule="exact"/>
        <w:ind w:firstLine="640" w:firstLineChars="200"/>
        <w:rPr>
          <w:rFonts w:ascii="仿宋" w:hAnsi="仿宋" w:eastAsia="仿宋"/>
          <w:sz w:val="32"/>
          <w:szCs w:val="32"/>
        </w:rPr>
      </w:pPr>
      <w:r>
        <w:rPr>
          <w:rFonts w:hint="eastAsia" w:ascii="仿宋" w:hAnsi="仿宋" w:eastAsia="仿宋"/>
          <w:sz w:val="32"/>
          <w:szCs w:val="32"/>
          <w:lang w:val="en-US" w:eastAsia="zh-CN"/>
        </w:rPr>
        <w:t>6、</w:t>
      </w:r>
      <w:r>
        <w:rPr>
          <w:rFonts w:hint="eastAsia" w:ascii="仿宋" w:hAnsi="仿宋" w:eastAsia="仿宋"/>
          <w:sz w:val="32"/>
          <w:szCs w:val="32"/>
        </w:rPr>
        <w:t>负责县（市、区）城建档案工作的指导、监督、检查。</w:t>
      </w:r>
    </w:p>
    <w:p>
      <w:pPr>
        <w:pStyle w:val="3"/>
        <w:spacing w:before="0" w:after="0" w:line="600" w:lineRule="exact"/>
        <w:ind w:firstLine="640" w:firstLineChars="200"/>
        <w:rPr>
          <w:rFonts w:ascii="仿宋" w:hAnsi="仿宋" w:eastAsia="仿宋"/>
          <w:sz w:val="32"/>
          <w:szCs w:val="32"/>
        </w:rPr>
      </w:pPr>
      <w:r>
        <w:rPr>
          <w:rFonts w:hint="eastAsia" w:ascii="仿宋" w:hAnsi="仿宋" w:eastAsia="仿宋"/>
          <w:sz w:val="32"/>
          <w:szCs w:val="32"/>
          <w:lang w:val="en-US" w:eastAsia="zh-CN"/>
        </w:rPr>
        <w:t>7、</w:t>
      </w:r>
      <w:r>
        <w:rPr>
          <w:rFonts w:hint="eastAsia" w:ascii="仿宋" w:hAnsi="仿宋" w:eastAsia="仿宋"/>
          <w:sz w:val="32"/>
          <w:szCs w:val="32"/>
        </w:rPr>
        <w:t>负责城市规划区范围内地下管线资料及数据的收集、管理、利用工作。</w:t>
      </w:r>
    </w:p>
    <w:p>
      <w:pPr>
        <w:pStyle w:val="3"/>
        <w:spacing w:before="0" w:after="0" w:line="600" w:lineRule="exact"/>
        <w:ind w:firstLine="640" w:firstLineChars="200"/>
        <w:rPr>
          <w:rFonts w:ascii="仿宋" w:hAnsi="仿宋" w:eastAsia="仿宋"/>
          <w:sz w:val="32"/>
          <w:szCs w:val="32"/>
        </w:rPr>
      </w:pPr>
      <w:r>
        <w:rPr>
          <w:rFonts w:hint="eastAsia" w:ascii="仿宋" w:hAnsi="仿宋" w:eastAsia="仿宋"/>
          <w:sz w:val="32"/>
          <w:szCs w:val="32"/>
          <w:lang w:val="en-US" w:eastAsia="zh-CN"/>
        </w:rPr>
        <w:t>8、</w:t>
      </w:r>
      <w:r>
        <w:rPr>
          <w:rFonts w:hint="eastAsia" w:ascii="仿宋" w:hAnsi="仿宋" w:eastAsia="仿宋"/>
          <w:sz w:val="32"/>
          <w:szCs w:val="32"/>
        </w:rPr>
        <w:t>负责住房和城乡建设信息资源管理、信息系统规划建设、智慧住建等行政辅助和技术保障工作。</w:t>
      </w:r>
    </w:p>
    <w:p>
      <w:pPr>
        <w:pStyle w:val="3"/>
        <w:spacing w:before="0" w:after="0" w:line="600" w:lineRule="exact"/>
        <w:ind w:firstLine="640" w:firstLineChars="200"/>
        <w:rPr>
          <w:rFonts w:ascii="仿宋" w:hAnsi="仿宋" w:eastAsia="仿宋"/>
          <w:sz w:val="32"/>
          <w:szCs w:val="32"/>
        </w:rPr>
      </w:pPr>
      <w:r>
        <w:rPr>
          <w:rFonts w:hint="eastAsia" w:ascii="仿宋" w:hAnsi="仿宋" w:eastAsia="仿宋"/>
          <w:sz w:val="32"/>
          <w:szCs w:val="32"/>
          <w:lang w:val="en-US" w:eastAsia="zh-CN"/>
        </w:rPr>
        <w:t>9、</w:t>
      </w:r>
      <w:r>
        <w:rPr>
          <w:rFonts w:hint="eastAsia" w:ascii="仿宋" w:hAnsi="仿宋" w:eastAsia="仿宋"/>
          <w:sz w:val="32"/>
          <w:szCs w:val="32"/>
        </w:rPr>
        <w:t>完成市住建局交办的其他工作</w:t>
      </w:r>
      <w:r>
        <w:rPr>
          <w:rFonts w:ascii="仿宋" w:hAnsi="仿宋" w:eastAsia="仿宋"/>
          <w:sz w:val="32"/>
          <w:szCs w:val="32"/>
        </w:rPr>
        <w:t>。</w:t>
      </w:r>
    </w:p>
    <w:p>
      <w:pPr>
        <w:ind w:firstLine="640" w:firstLineChars="200"/>
        <w:rPr>
          <w:rFonts w:hint="default" w:eastAsia="仿宋"/>
          <w:lang w:val="en-US" w:eastAsia="zh-CN"/>
        </w:rPr>
      </w:pPr>
      <w:r>
        <w:rPr>
          <w:rFonts w:hint="eastAsia" w:eastAsia="仿宋"/>
          <w:sz w:val="32"/>
          <w:szCs w:val="32"/>
          <w:lang w:eastAsia="zh-CN"/>
        </w:rPr>
        <w:t>（</w:t>
      </w:r>
      <w:r>
        <w:rPr>
          <w:rFonts w:hint="eastAsia" w:eastAsia="仿宋"/>
          <w:sz w:val="32"/>
          <w:szCs w:val="32"/>
          <w:lang w:val="en-US" w:eastAsia="zh-CN"/>
        </w:rPr>
        <w:t>二</w:t>
      </w:r>
      <w:r>
        <w:rPr>
          <w:rFonts w:hint="eastAsia" w:eastAsia="仿宋"/>
          <w:sz w:val="32"/>
          <w:szCs w:val="32"/>
          <w:lang w:eastAsia="zh-CN"/>
        </w:rPr>
        <w:t>）</w:t>
      </w:r>
      <w:r>
        <w:rPr>
          <w:rFonts w:hint="eastAsia" w:eastAsia="仿宋"/>
          <w:sz w:val="32"/>
          <w:szCs w:val="32"/>
          <w:lang w:val="en-US" w:eastAsia="zh-CN"/>
        </w:rPr>
        <w:t>机构设置</w:t>
      </w:r>
    </w:p>
    <w:p>
      <w:pPr>
        <w:pStyle w:val="3"/>
        <w:spacing w:before="0" w:after="0" w:line="60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独立编制、核算机构数1个，内设科室3个：综合室、业务室、信息室。核定编制22人，正式干部职工18人，退休人员12人，临聘人员3人。领导职数：馆长（正科级）1名，副馆长（副科级）3名，党组织专职副书记兼纪检员（副科级）1名。</w:t>
      </w:r>
    </w:p>
    <w:p>
      <w:pPr>
        <w:pStyle w:val="2"/>
        <w:ind w:firstLine="0" w:firstLineChars="0"/>
      </w:pPr>
    </w:p>
    <w:p>
      <w:pPr>
        <w:spacing w:before="242" w:line="221" w:lineRule="auto"/>
        <w:ind w:left="610"/>
        <w:rPr>
          <w:rFonts w:ascii="黑体" w:hAnsi="黑体" w:eastAsia="黑体" w:cs="黑体"/>
          <w:sz w:val="32"/>
          <w:szCs w:val="32"/>
        </w:rPr>
      </w:pPr>
      <w:r>
        <w:rPr>
          <w:rFonts w:ascii="黑体" w:hAnsi="黑体" w:eastAsia="黑体" w:cs="黑体"/>
          <w:spacing w:val="-8"/>
          <w:sz w:val="32"/>
          <w:szCs w:val="32"/>
        </w:rPr>
        <w:t>二、</w:t>
      </w:r>
      <w:r>
        <w:rPr>
          <w:rFonts w:ascii="黑体" w:hAnsi="黑体" w:eastAsia="黑体" w:cs="黑体"/>
          <w:spacing w:val="-73"/>
          <w:sz w:val="32"/>
          <w:szCs w:val="32"/>
        </w:rPr>
        <w:t xml:space="preserve"> </w:t>
      </w:r>
      <w:r>
        <w:rPr>
          <w:rFonts w:ascii="黑体" w:hAnsi="黑体" w:eastAsia="黑体" w:cs="黑体"/>
          <w:spacing w:val="-8"/>
          <w:sz w:val="32"/>
          <w:szCs w:val="32"/>
        </w:rPr>
        <w:t>一般公共预算支出情况</w:t>
      </w:r>
    </w:p>
    <w:p>
      <w:pPr>
        <w:pStyle w:val="3"/>
        <w:spacing w:before="0" w:after="0" w:line="60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(一)基本支出情况</w:t>
      </w:r>
    </w:p>
    <w:p>
      <w:pPr>
        <w:pStyle w:val="3"/>
        <w:spacing w:before="0" w:after="0" w:line="60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2023年度财政拨款基本支出340.25万元，其中人员经费311.80万元，占基本支出的91.64%；公用经费28.45万元，占基本支出的8.36%。</w:t>
      </w:r>
    </w:p>
    <w:p>
      <w:pPr>
        <w:pStyle w:val="3"/>
        <w:spacing w:before="0" w:after="0" w:line="60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（二）项目支出情况</w:t>
      </w:r>
    </w:p>
    <w:p>
      <w:pPr>
        <w:pStyle w:val="3"/>
        <w:spacing w:before="0" w:after="0" w:line="60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2023年度财政拨款项目支出591.23万元，其中城市管网及污水处理补助项目支出440.083万元，占项目支出的74.43%；建设档案事务管理经费支出89.863万元，占项目支出的15.20%；地下管线平台运行维护经费支出61.284万元，占项目支出的10.37%。</w:t>
      </w:r>
    </w:p>
    <w:p>
      <w:pPr>
        <w:spacing w:before="247" w:line="222" w:lineRule="auto"/>
        <w:ind w:left="610"/>
        <w:outlineLvl w:val="0"/>
        <w:rPr>
          <w:rFonts w:ascii="黑体" w:hAnsi="黑体" w:eastAsia="黑体" w:cs="黑体"/>
          <w:b/>
          <w:bCs/>
          <w:spacing w:val="-13"/>
          <w:sz w:val="32"/>
          <w:szCs w:val="32"/>
        </w:rPr>
      </w:pPr>
      <w:r>
        <w:rPr>
          <w:rFonts w:ascii="黑体" w:hAnsi="黑体" w:eastAsia="黑体" w:cs="黑体"/>
          <w:b/>
          <w:bCs/>
          <w:spacing w:val="-13"/>
          <w:sz w:val="32"/>
          <w:szCs w:val="32"/>
        </w:rPr>
        <w:t>三、政府性基金预算支出情况</w:t>
      </w:r>
    </w:p>
    <w:p>
      <w:pPr>
        <w:spacing w:before="247" w:line="222" w:lineRule="auto"/>
        <w:ind w:left="610" w:firstLine="499"/>
        <w:outlineLvl w:val="0"/>
        <w:rPr>
          <w:rFonts w:ascii="黑体" w:hAnsi="黑体" w:eastAsia="黑体" w:cs="黑体"/>
          <w:b/>
          <w:bCs/>
          <w:spacing w:val="-13"/>
          <w:sz w:val="32"/>
          <w:szCs w:val="32"/>
        </w:rPr>
      </w:pPr>
      <w:r>
        <w:rPr>
          <w:rFonts w:hint="eastAsia" w:ascii="黑体" w:hAnsi="黑体" w:eastAsia="黑体" w:cs="黑体"/>
          <w:b/>
          <w:bCs/>
          <w:spacing w:val="-13"/>
          <w:sz w:val="32"/>
          <w:szCs w:val="32"/>
        </w:rPr>
        <w:t>无</w:t>
      </w:r>
    </w:p>
    <w:p>
      <w:pPr>
        <w:spacing w:before="255" w:line="222" w:lineRule="auto"/>
        <w:ind w:firstLine="588" w:firstLineChars="200"/>
        <w:outlineLvl w:val="0"/>
        <w:rPr>
          <w:rFonts w:ascii="黑体" w:hAnsi="黑体" w:eastAsia="黑体" w:cs="黑体"/>
          <w:b/>
          <w:bCs/>
          <w:spacing w:val="-13"/>
          <w:sz w:val="32"/>
          <w:szCs w:val="32"/>
        </w:rPr>
      </w:pPr>
      <w:r>
        <w:rPr>
          <w:rFonts w:hint="eastAsia" w:ascii="黑体" w:hAnsi="黑体" w:eastAsia="黑体" w:cs="黑体"/>
          <w:b/>
          <w:bCs/>
          <w:spacing w:val="-13"/>
          <w:sz w:val="32"/>
          <w:szCs w:val="32"/>
        </w:rPr>
        <w:t>四、</w:t>
      </w:r>
      <w:r>
        <w:rPr>
          <w:rFonts w:ascii="黑体" w:hAnsi="黑体" w:eastAsia="黑体" w:cs="黑体"/>
          <w:b/>
          <w:bCs/>
          <w:spacing w:val="-13"/>
          <w:sz w:val="32"/>
          <w:szCs w:val="32"/>
        </w:rPr>
        <w:t>国有资本经营预算支出情况</w:t>
      </w:r>
    </w:p>
    <w:p>
      <w:pPr>
        <w:spacing w:before="247" w:line="222" w:lineRule="auto"/>
        <w:ind w:left="610" w:firstLine="499"/>
        <w:outlineLvl w:val="0"/>
        <w:rPr>
          <w:rFonts w:ascii="黑体" w:hAnsi="黑体" w:eastAsia="黑体" w:cs="黑体"/>
          <w:b/>
          <w:bCs/>
          <w:spacing w:val="-13"/>
          <w:sz w:val="32"/>
          <w:szCs w:val="32"/>
        </w:rPr>
      </w:pPr>
      <w:r>
        <w:rPr>
          <w:rFonts w:hint="eastAsia" w:ascii="黑体" w:hAnsi="黑体" w:eastAsia="黑体" w:cs="黑体"/>
          <w:b/>
          <w:bCs/>
          <w:spacing w:val="-13"/>
          <w:sz w:val="32"/>
          <w:szCs w:val="32"/>
        </w:rPr>
        <w:t>无</w:t>
      </w:r>
    </w:p>
    <w:p>
      <w:pPr>
        <w:spacing w:before="255" w:line="222" w:lineRule="auto"/>
        <w:ind w:firstLine="588" w:firstLineChars="200"/>
        <w:outlineLvl w:val="0"/>
        <w:rPr>
          <w:rFonts w:ascii="黑体" w:hAnsi="黑体" w:eastAsia="黑体" w:cs="黑体"/>
          <w:b/>
          <w:bCs/>
          <w:spacing w:val="-13"/>
          <w:sz w:val="32"/>
          <w:szCs w:val="32"/>
        </w:rPr>
      </w:pPr>
      <w:r>
        <w:rPr>
          <w:rFonts w:ascii="黑体" w:hAnsi="黑体" w:eastAsia="黑体" w:cs="黑体"/>
          <w:b/>
          <w:bCs/>
          <w:spacing w:val="-13"/>
          <w:sz w:val="32"/>
          <w:szCs w:val="32"/>
        </w:rPr>
        <w:t>五、社会保险基金预算支出情况</w:t>
      </w:r>
    </w:p>
    <w:p>
      <w:pPr>
        <w:spacing w:before="255" w:line="222" w:lineRule="auto"/>
        <w:ind w:left="610" w:firstLine="499"/>
        <w:outlineLvl w:val="0"/>
        <w:rPr>
          <w:rFonts w:ascii="黑体" w:hAnsi="黑体" w:eastAsia="黑体" w:cs="黑体"/>
          <w:b/>
          <w:bCs/>
          <w:spacing w:val="-13"/>
          <w:sz w:val="32"/>
          <w:szCs w:val="32"/>
        </w:rPr>
      </w:pPr>
      <w:r>
        <w:rPr>
          <w:rFonts w:hint="eastAsia" w:ascii="黑体" w:hAnsi="黑体" w:eastAsia="黑体" w:cs="黑体"/>
          <w:b/>
          <w:bCs/>
          <w:spacing w:val="-13"/>
          <w:sz w:val="32"/>
          <w:szCs w:val="32"/>
        </w:rPr>
        <w:t>无</w:t>
      </w:r>
    </w:p>
    <w:p>
      <w:pPr>
        <w:numPr>
          <w:ilvl w:val="0"/>
          <w:numId w:val="5"/>
        </w:numPr>
        <w:spacing w:before="255" w:line="221" w:lineRule="auto"/>
        <w:ind w:left="614"/>
        <w:outlineLvl w:val="0"/>
        <w:rPr>
          <w:rFonts w:ascii="黑体" w:hAnsi="黑体" w:eastAsia="黑体" w:cs="黑体"/>
          <w:b/>
          <w:bCs/>
          <w:spacing w:val="-13"/>
          <w:sz w:val="32"/>
          <w:szCs w:val="32"/>
        </w:rPr>
      </w:pPr>
      <w:r>
        <w:rPr>
          <w:rFonts w:ascii="黑体" w:hAnsi="黑体" w:eastAsia="黑体" w:cs="黑体"/>
          <w:b/>
          <w:bCs/>
          <w:spacing w:val="-13"/>
          <w:sz w:val="32"/>
          <w:szCs w:val="32"/>
        </w:rPr>
        <w:t>部门整体支出绩效情况</w:t>
      </w:r>
    </w:p>
    <w:p>
      <w:pPr>
        <w:pStyle w:val="9"/>
        <w:keepNext w:val="0"/>
        <w:keepLines w:val="0"/>
        <w:pageBreakBefore w:val="0"/>
        <w:widowControl w:val="0"/>
        <w:numPr>
          <w:ilvl w:val="0"/>
          <w:numId w:val="6"/>
        </w:numPr>
        <w:kinsoku/>
        <w:wordWrap/>
        <w:overflowPunct/>
        <w:topLinePunct w:val="0"/>
        <w:autoSpaceDE/>
        <w:autoSpaceDN/>
        <w:bidi w:val="0"/>
        <w:adjustRightInd/>
        <w:spacing w:beforeAutospacing="0" w:line="600" w:lineRule="exact"/>
        <w:textAlignment w:val="auto"/>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档案验收方面</w:t>
      </w:r>
    </w:p>
    <w:p>
      <w:pPr>
        <w:pStyle w:val="3"/>
        <w:spacing w:before="0" w:after="0" w:line="600" w:lineRule="exact"/>
        <w:ind w:firstLine="640" w:firstLineChars="200"/>
        <w:rPr>
          <w:rFonts w:hint="default" w:ascii="仿宋" w:hAnsi="仿宋" w:eastAsia="仿宋"/>
          <w:sz w:val="32"/>
          <w:szCs w:val="32"/>
          <w:lang w:val="en-US" w:eastAsia="zh-CN"/>
        </w:rPr>
      </w:pPr>
      <w:r>
        <w:rPr>
          <w:rFonts w:hint="default" w:ascii="仿宋" w:hAnsi="仿宋" w:eastAsia="仿宋"/>
          <w:sz w:val="32"/>
          <w:szCs w:val="32"/>
          <w:lang w:val="en-US" w:eastAsia="zh-CN"/>
        </w:rPr>
        <w:t>我馆严格落实省厅97号文件要求，高标准、严要求执行档案验收审查工作。通过全馆上下的不懈努力，实现2023年全年接收入库</w:t>
      </w:r>
      <w:r>
        <w:rPr>
          <w:rFonts w:hint="eastAsia" w:ascii="仿宋" w:hAnsi="仿宋" w:eastAsia="仿宋"/>
          <w:sz w:val="32"/>
          <w:szCs w:val="32"/>
          <w:lang w:val="en-US" w:eastAsia="zh-CN"/>
        </w:rPr>
        <w:t>90</w:t>
      </w:r>
      <w:r>
        <w:rPr>
          <w:rFonts w:hint="default" w:ascii="仿宋" w:hAnsi="仿宋" w:eastAsia="仿宋"/>
          <w:sz w:val="32"/>
          <w:szCs w:val="32"/>
          <w:lang w:val="en-US" w:eastAsia="zh-CN"/>
        </w:rPr>
        <w:t>个建设工程项目，纸质档案入库5万余卷，完成与市工改办和省厅工改平台对接，实现所有项目均纳入工改系统。及时接收茅岭东路等市政工程地下管线工程档案，并接收2公里新铺设地下管线工程档案。</w:t>
      </w:r>
    </w:p>
    <w:p>
      <w:pPr>
        <w:pStyle w:val="9"/>
        <w:keepNext w:val="0"/>
        <w:keepLines w:val="0"/>
        <w:pageBreakBefore w:val="0"/>
        <w:widowControl w:val="0"/>
        <w:numPr>
          <w:ilvl w:val="0"/>
          <w:numId w:val="0"/>
        </w:numPr>
        <w:kinsoku/>
        <w:wordWrap/>
        <w:overflowPunct/>
        <w:topLinePunct w:val="0"/>
        <w:autoSpaceDE/>
        <w:autoSpaceDN/>
        <w:bidi w:val="0"/>
        <w:adjustRightInd/>
        <w:spacing w:beforeAutospacing="0" w:line="600" w:lineRule="exact"/>
        <w:ind w:firstLine="640" w:firstLineChars="200"/>
        <w:jc w:val="left"/>
        <w:textAlignment w:val="auto"/>
        <w:rPr>
          <w:rFonts w:hint="default" w:ascii="Times New Roman" w:hAnsi="Times New Roman" w:eastAsia="楷体_GB2312" w:cs="Times New Roman"/>
          <w:b/>
          <w:bCs/>
          <w:color w:val="auto"/>
          <w:sz w:val="32"/>
          <w:szCs w:val="32"/>
          <w:lang w:val="en-US" w:eastAsia="zh-CN"/>
        </w:rPr>
      </w:pPr>
      <w:r>
        <w:rPr>
          <w:rFonts w:hint="default" w:ascii="Times New Roman" w:hAnsi="Times New Roman" w:eastAsia="楷体_GB2312" w:cs="Times New Roman"/>
          <w:b/>
          <w:bCs/>
          <w:color w:val="auto"/>
          <w:sz w:val="32"/>
          <w:szCs w:val="32"/>
          <w:lang w:val="en-US" w:eastAsia="zh-CN"/>
        </w:rPr>
        <w:t>（二）馆藏保护方面</w:t>
      </w:r>
    </w:p>
    <w:p>
      <w:pPr>
        <w:pStyle w:val="3"/>
        <w:spacing w:before="0" w:after="0" w:line="600" w:lineRule="exact"/>
        <w:ind w:firstLine="640" w:firstLineChars="200"/>
        <w:rPr>
          <w:rFonts w:hint="default" w:ascii="仿宋" w:hAnsi="仿宋" w:eastAsia="仿宋"/>
          <w:sz w:val="32"/>
          <w:szCs w:val="32"/>
          <w:lang w:val="en-US" w:eastAsia="zh-CN"/>
        </w:rPr>
      </w:pPr>
      <w:r>
        <w:rPr>
          <w:rFonts w:hint="default" w:ascii="仿宋" w:hAnsi="仿宋" w:eastAsia="仿宋"/>
          <w:sz w:val="32"/>
          <w:szCs w:val="32"/>
          <w:lang w:val="en-US" w:eastAsia="zh-CN"/>
        </w:rPr>
        <w:t>全年窗口为有关单位和个人提供档案利用服务共计达到890余次，接待1538人，配合纪检审计查阅档案8次、政务信息公开7次，调档35680卷，提供电子档文字材料11092卷，图纸24588张。地下管线信息提供查询利用53人次，图纸利用4000余幅。纸质档案保存良好，无丢失、扩散档案内容现象。</w:t>
      </w:r>
    </w:p>
    <w:p>
      <w:pPr>
        <w:pStyle w:val="9"/>
        <w:keepNext w:val="0"/>
        <w:keepLines w:val="0"/>
        <w:pageBreakBefore w:val="0"/>
        <w:widowControl w:val="0"/>
        <w:numPr>
          <w:ilvl w:val="0"/>
          <w:numId w:val="0"/>
        </w:numPr>
        <w:kinsoku/>
        <w:wordWrap/>
        <w:overflowPunct/>
        <w:topLinePunct w:val="0"/>
        <w:autoSpaceDE/>
        <w:autoSpaceDN/>
        <w:bidi w:val="0"/>
        <w:adjustRightInd/>
        <w:spacing w:beforeAutospacing="0" w:line="600" w:lineRule="exact"/>
        <w:ind w:firstLine="640" w:firstLineChars="200"/>
        <w:jc w:val="left"/>
        <w:textAlignment w:val="auto"/>
        <w:rPr>
          <w:rFonts w:hint="default" w:ascii="Times New Roman" w:hAnsi="Times New Roman" w:eastAsia="楷体_GB2312" w:cs="Times New Roman"/>
          <w:b w:val="0"/>
          <w:bCs w:val="0"/>
          <w:sz w:val="32"/>
          <w:szCs w:val="32"/>
          <w:lang w:val="en-US" w:eastAsia="zh-CN"/>
        </w:rPr>
      </w:pPr>
      <w:r>
        <w:rPr>
          <w:rFonts w:hint="default" w:ascii="Times New Roman" w:hAnsi="Times New Roman" w:eastAsia="楷体_GB2312" w:cs="Times New Roman"/>
          <w:b/>
          <w:bCs/>
          <w:color w:val="auto"/>
          <w:sz w:val="32"/>
          <w:szCs w:val="32"/>
          <w:lang w:val="en-US" w:eastAsia="zh-CN"/>
        </w:rPr>
        <w:t>（三）信息化建设方面</w:t>
      </w:r>
    </w:p>
    <w:p>
      <w:pPr>
        <w:pStyle w:val="3"/>
        <w:spacing w:before="0" w:after="0" w:line="600" w:lineRule="exact"/>
        <w:ind w:firstLine="640" w:firstLineChars="200"/>
        <w:rPr>
          <w:rFonts w:hint="default" w:ascii="仿宋" w:hAnsi="仿宋" w:eastAsia="仿宋"/>
          <w:sz w:val="32"/>
          <w:szCs w:val="32"/>
          <w:lang w:val="en-US" w:eastAsia="zh-CN"/>
        </w:rPr>
      </w:pPr>
      <w:r>
        <w:rPr>
          <w:rFonts w:hint="default" w:ascii="仿宋" w:hAnsi="仿宋" w:eastAsia="仿宋"/>
          <w:sz w:val="32"/>
          <w:szCs w:val="32"/>
          <w:lang w:val="en-US" w:eastAsia="zh-CN"/>
        </w:rPr>
        <w:t>截至目前，全年在我局门户网站共发布信息共计达到1990条，招投标监管网发布238条，局官网发布条目包括政务公开类792条、行业管理340条、施工许可399条、红黄牌195条、商品房预售许可94条、专题专栏64条、其他类别 106条，微信公众号发布86期，总用户3833人，今年新增用户622人，在市信用办“双公示”平台报送行政许可数据652条。在市大数据中心数据共享平台报送协税数据25362条。在局机关大楼共进行维护1561次，国贸会议室调试及会议保障共进行91次。</w:t>
      </w:r>
    </w:p>
    <w:p>
      <w:pPr>
        <w:numPr>
          <w:ilvl w:val="0"/>
          <w:numId w:val="5"/>
        </w:numPr>
        <w:spacing w:before="276" w:line="222" w:lineRule="auto"/>
        <w:ind w:left="614" w:leftChars="0" w:firstLine="0" w:firstLineChars="0"/>
        <w:outlineLvl w:val="0"/>
        <w:rPr>
          <w:rFonts w:ascii="黑体" w:hAnsi="黑体" w:eastAsia="黑体" w:cs="黑体"/>
          <w:b/>
          <w:bCs/>
          <w:spacing w:val="-5"/>
          <w:sz w:val="32"/>
          <w:szCs w:val="32"/>
        </w:rPr>
      </w:pPr>
      <w:r>
        <w:rPr>
          <w:rFonts w:ascii="黑体" w:hAnsi="黑体" w:eastAsia="黑体" w:cs="黑体"/>
          <w:b/>
          <w:bCs/>
          <w:spacing w:val="-5"/>
          <w:sz w:val="32"/>
          <w:szCs w:val="32"/>
        </w:rPr>
        <w:t>存在的问题及原因分析</w:t>
      </w:r>
    </w:p>
    <w:p>
      <w:pPr>
        <w:pStyle w:val="3"/>
        <w:spacing w:before="0" w:after="0" w:line="60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1、预算执行进度不均衡。部分项目支出未能按计划支出，原因是部门之间，内部各环节之间缺乏沟通。</w:t>
      </w:r>
    </w:p>
    <w:p>
      <w:pPr>
        <w:pStyle w:val="3"/>
        <w:spacing w:before="0" w:after="0" w:line="60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2、绩效管理意识不强。对绩效评价工作重视程度不够，缺乏主动意识，原因是对绩效理念的宣传和培训不足。</w:t>
      </w:r>
    </w:p>
    <w:p>
      <w:pPr>
        <w:pStyle w:val="3"/>
        <w:spacing w:before="0" w:after="0" w:line="60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3、绩效指标设置不够精准。部分绩效指标难以准确衡量实际绩效，原因是指标设置时考虑不够全面，缺乏对实际工作的深入理解。</w:t>
      </w:r>
    </w:p>
    <w:p>
      <w:pPr>
        <w:spacing w:before="250" w:line="222" w:lineRule="auto"/>
        <w:ind w:firstLine="588" w:firstLineChars="200"/>
        <w:outlineLvl w:val="0"/>
        <w:rPr>
          <w:rFonts w:hint="eastAsia" w:ascii="黑体" w:hAnsi="黑体" w:eastAsia="黑体" w:cs="黑体"/>
          <w:b/>
          <w:bCs/>
          <w:spacing w:val="-13"/>
          <w:sz w:val="32"/>
          <w:szCs w:val="32"/>
        </w:rPr>
      </w:pPr>
      <w:r>
        <w:rPr>
          <w:rFonts w:hint="eastAsia" w:ascii="黑体" w:hAnsi="黑体" w:eastAsia="黑体" w:cs="黑体"/>
          <w:b/>
          <w:bCs/>
          <w:spacing w:val="-13"/>
          <w:sz w:val="32"/>
          <w:szCs w:val="32"/>
        </w:rPr>
        <w:t>八、下一步改进措施</w:t>
      </w:r>
    </w:p>
    <w:p>
      <w:pPr>
        <w:pStyle w:val="3"/>
        <w:spacing w:before="0" w:after="0" w:line="60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1、加强预算执行管理，加强各部门，内部各环节之间的沟通，建立定期跟踪机制，确保今后项目支出及时支付。</w:t>
      </w:r>
    </w:p>
    <w:p>
      <w:pPr>
        <w:pStyle w:val="3"/>
        <w:spacing w:before="0" w:after="0" w:line="60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2、强化绩效管理意识，加强绩效理念的宣传和培训力度，提高全员重视程度。</w:t>
      </w:r>
    </w:p>
    <w:p>
      <w:pPr>
        <w:pStyle w:val="3"/>
        <w:spacing w:before="0" w:after="0" w:line="60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3、优化绩效指标体系，结合实际情况进行深入调研和分析，确保指标科学合理。</w:t>
      </w:r>
    </w:p>
    <w:p>
      <w:pPr>
        <w:spacing w:before="250" w:line="222" w:lineRule="auto"/>
        <w:ind w:firstLine="588" w:firstLineChars="200"/>
        <w:outlineLvl w:val="0"/>
        <w:rPr>
          <w:rFonts w:hint="eastAsia" w:ascii="黑体" w:hAnsi="黑体" w:eastAsia="黑体" w:cs="黑体"/>
          <w:b/>
          <w:bCs/>
          <w:spacing w:val="-13"/>
          <w:sz w:val="32"/>
          <w:szCs w:val="32"/>
        </w:rPr>
      </w:pPr>
      <w:r>
        <w:rPr>
          <w:rFonts w:hint="eastAsia" w:ascii="黑体" w:hAnsi="黑体" w:eastAsia="黑体" w:cs="黑体"/>
          <w:b/>
          <w:bCs/>
          <w:spacing w:val="-13"/>
          <w:sz w:val="32"/>
          <w:szCs w:val="32"/>
        </w:rPr>
        <w:t>九、 部门整体支出绩效自评结果拟应用和公开情况</w:t>
      </w:r>
    </w:p>
    <w:p>
      <w:pPr>
        <w:pStyle w:val="3"/>
        <w:spacing w:before="0" w:after="0" w:line="60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建立了部门整体支出绩效自评结果与单位预算相结合的应用机制，强化评价结果在单位预算编制和执行中的应用，促进财政资金的合理分配和有效使用。同时将评价结果按照政府信息公开的要求进行公开，加强社会公众对财政资金使用效益的监督。</w:t>
      </w:r>
    </w:p>
    <w:p>
      <w:pPr>
        <w:spacing w:before="1" w:line="220" w:lineRule="auto"/>
        <w:ind w:left="694"/>
        <w:rPr>
          <w:rFonts w:ascii="黑体" w:hAnsi="黑体" w:eastAsia="黑体" w:cs="黑体"/>
          <w:b/>
          <w:bCs/>
          <w:sz w:val="31"/>
          <w:szCs w:val="31"/>
        </w:rPr>
      </w:pPr>
      <w:r>
        <w:rPr>
          <w:rFonts w:ascii="黑体" w:hAnsi="黑体" w:eastAsia="黑体" w:cs="黑体"/>
          <w:b/>
          <w:bCs/>
          <w:sz w:val="31"/>
          <w:szCs w:val="31"/>
        </w:rPr>
        <w:t>其他需要说明的情况</w:t>
      </w:r>
    </w:p>
    <w:p>
      <w:pPr>
        <w:ind w:firstLine="1240" w:firstLineChars="400"/>
        <w:rPr>
          <w:rFonts w:ascii="黑体" w:hAnsi="黑体" w:eastAsia="黑体" w:cs="黑体"/>
          <w:b/>
          <w:bCs/>
          <w:snapToGrid w:val="0"/>
          <w:sz w:val="31"/>
          <w:szCs w:val="31"/>
        </w:rPr>
      </w:pPr>
      <w:r>
        <w:rPr>
          <w:rFonts w:hint="eastAsia" w:ascii="黑体" w:hAnsi="黑体" w:eastAsia="黑体" w:cs="黑体"/>
          <w:b/>
          <w:bCs/>
          <w:snapToGrid w:val="0"/>
          <w:sz w:val="31"/>
          <w:szCs w:val="31"/>
        </w:rPr>
        <w:t>无</w:t>
      </w:r>
    </w:p>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C01C04"/>
    <w:multiLevelType w:val="singleLevel"/>
    <w:tmpl w:val="D2C01C04"/>
    <w:lvl w:ilvl="0" w:tentative="0">
      <w:start w:val="1"/>
      <w:numFmt w:val="chineseCounting"/>
      <w:suff w:val="nothing"/>
      <w:lvlText w:val="（%1）"/>
      <w:lvlJc w:val="left"/>
      <w:rPr>
        <w:rFonts w:hint="eastAsia"/>
      </w:rPr>
    </w:lvl>
  </w:abstractNum>
  <w:abstractNum w:abstractNumId="1">
    <w:nsid w:val="E2ED363B"/>
    <w:multiLevelType w:val="singleLevel"/>
    <w:tmpl w:val="E2ED363B"/>
    <w:lvl w:ilvl="0" w:tentative="0">
      <w:start w:val="13"/>
      <w:numFmt w:val="chineseCounting"/>
      <w:suff w:val="nothing"/>
      <w:lvlText w:val="%1、"/>
      <w:lvlJc w:val="left"/>
      <w:rPr>
        <w:rFonts w:hint="eastAsia"/>
      </w:rPr>
    </w:lvl>
  </w:abstractNum>
  <w:abstractNum w:abstractNumId="2">
    <w:nsid w:val="E3DF3E1E"/>
    <w:multiLevelType w:val="singleLevel"/>
    <w:tmpl w:val="E3DF3E1E"/>
    <w:lvl w:ilvl="0" w:tentative="0">
      <w:start w:val="8"/>
      <w:numFmt w:val="chineseCounting"/>
      <w:suff w:val="nothing"/>
      <w:lvlText w:val="%1、"/>
      <w:lvlJc w:val="left"/>
      <w:rPr>
        <w:rFonts w:hint="eastAsia"/>
      </w:rPr>
    </w:lvl>
  </w:abstractNum>
  <w:abstractNum w:abstractNumId="3">
    <w:nsid w:val="F4623889"/>
    <w:multiLevelType w:val="singleLevel"/>
    <w:tmpl w:val="F4623889"/>
    <w:lvl w:ilvl="0" w:tentative="0">
      <w:start w:val="6"/>
      <w:numFmt w:val="chineseCounting"/>
      <w:suff w:val="space"/>
      <w:lvlText w:val="%1、"/>
      <w:lvlJc w:val="left"/>
      <w:rPr>
        <w:rFonts w:hint="eastAsia"/>
      </w:rPr>
    </w:lvl>
  </w:abstractNum>
  <w:abstractNum w:abstractNumId="4">
    <w:nsid w:val="293140ED"/>
    <w:multiLevelType w:val="singleLevel"/>
    <w:tmpl w:val="293140ED"/>
    <w:lvl w:ilvl="0" w:tentative="0">
      <w:start w:val="1"/>
      <w:numFmt w:val="chineseCounting"/>
      <w:suff w:val="nothing"/>
      <w:lvlText w:val="（%1）"/>
      <w:lvlJc w:val="left"/>
      <w:rPr>
        <w:rFonts w:hint="eastAsia"/>
      </w:rPr>
    </w:lvl>
  </w:abstractNum>
  <w:abstractNum w:abstractNumId="5">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5"/>
  </w:num>
  <w:num w:numId="2">
    <w:abstractNumId w:val="2"/>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1Y2E5ZjQxZWQ0NDk4ODI0NGM3NTM0NWE4OTIzYjYifQ=="/>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97D30"/>
    <w:rsid w:val="009A0F95"/>
    <w:rsid w:val="009B3ADF"/>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ED5986"/>
    <w:rsid w:val="00F74360"/>
    <w:rsid w:val="00FB462F"/>
    <w:rsid w:val="00FE16FA"/>
    <w:rsid w:val="00FE328A"/>
    <w:rsid w:val="00FE6269"/>
    <w:rsid w:val="00FF5CD6"/>
    <w:rsid w:val="059958AD"/>
    <w:rsid w:val="066761DB"/>
    <w:rsid w:val="0A5B7E05"/>
    <w:rsid w:val="0B8E2545"/>
    <w:rsid w:val="0DDF6F9F"/>
    <w:rsid w:val="0FF87EA4"/>
    <w:rsid w:val="12583BA5"/>
    <w:rsid w:val="13BA5B9C"/>
    <w:rsid w:val="19235F91"/>
    <w:rsid w:val="1C534DE0"/>
    <w:rsid w:val="1D5C5F16"/>
    <w:rsid w:val="1D97DEFF"/>
    <w:rsid w:val="1DFF72E5"/>
    <w:rsid w:val="1E3D18A3"/>
    <w:rsid w:val="1EFC6F07"/>
    <w:rsid w:val="20DA787E"/>
    <w:rsid w:val="21A41C3A"/>
    <w:rsid w:val="22AC03C2"/>
    <w:rsid w:val="22C95DFC"/>
    <w:rsid w:val="231D1CA3"/>
    <w:rsid w:val="242F72C8"/>
    <w:rsid w:val="255B6AB3"/>
    <w:rsid w:val="285D2B42"/>
    <w:rsid w:val="28C332ED"/>
    <w:rsid w:val="2A8B1CB5"/>
    <w:rsid w:val="2AC1560A"/>
    <w:rsid w:val="2FDF85B8"/>
    <w:rsid w:val="2FFFEE04"/>
    <w:rsid w:val="31C95635"/>
    <w:rsid w:val="34C91C8B"/>
    <w:rsid w:val="34DF85B0"/>
    <w:rsid w:val="354B6B44"/>
    <w:rsid w:val="38C84008"/>
    <w:rsid w:val="3A773801"/>
    <w:rsid w:val="3AC90E66"/>
    <w:rsid w:val="3B4007CD"/>
    <w:rsid w:val="3B8F36BC"/>
    <w:rsid w:val="415D5C35"/>
    <w:rsid w:val="424B0183"/>
    <w:rsid w:val="42554B5E"/>
    <w:rsid w:val="46DA3884"/>
    <w:rsid w:val="476870E2"/>
    <w:rsid w:val="491FF225"/>
    <w:rsid w:val="494E1653"/>
    <w:rsid w:val="4AA04DE4"/>
    <w:rsid w:val="4BDD46A9"/>
    <w:rsid w:val="4C60482B"/>
    <w:rsid w:val="4CC052CA"/>
    <w:rsid w:val="4EBC7D13"/>
    <w:rsid w:val="4FFD214C"/>
    <w:rsid w:val="513F7105"/>
    <w:rsid w:val="5352765A"/>
    <w:rsid w:val="544D588A"/>
    <w:rsid w:val="55676C2B"/>
    <w:rsid w:val="5777D4F5"/>
    <w:rsid w:val="59DD8326"/>
    <w:rsid w:val="5ADA7E9F"/>
    <w:rsid w:val="5AE12FDB"/>
    <w:rsid w:val="5C052CF9"/>
    <w:rsid w:val="5DEF592A"/>
    <w:rsid w:val="5FC6BB1E"/>
    <w:rsid w:val="5FF720F1"/>
    <w:rsid w:val="60255718"/>
    <w:rsid w:val="60A96349"/>
    <w:rsid w:val="62AA63A9"/>
    <w:rsid w:val="62F255C7"/>
    <w:rsid w:val="67FF5C0B"/>
    <w:rsid w:val="6A2627B9"/>
    <w:rsid w:val="6BAA4A2F"/>
    <w:rsid w:val="6C07486C"/>
    <w:rsid w:val="6EF72976"/>
    <w:rsid w:val="6EFC0924"/>
    <w:rsid w:val="6F9401C4"/>
    <w:rsid w:val="6FB74722"/>
    <w:rsid w:val="6FC36CFC"/>
    <w:rsid w:val="6FEF8B7E"/>
    <w:rsid w:val="70A02B99"/>
    <w:rsid w:val="70D32F6E"/>
    <w:rsid w:val="71A6591B"/>
    <w:rsid w:val="737D59BA"/>
    <w:rsid w:val="737F32B1"/>
    <w:rsid w:val="76197675"/>
    <w:rsid w:val="762C5DA7"/>
    <w:rsid w:val="77C37683"/>
    <w:rsid w:val="785D5F3F"/>
    <w:rsid w:val="788F3C1F"/>
    <w:rsid w:val="78F65A4C"/>
    <w:rsid w:val="79FF515B"/>
    <w:rsid w:val="7A0328C7"/>
    <w:rsid w:val="7E9E1962"/>
    <w:rsid w:val="7E9F11B4"/>
    <w:rsid w:val="7ED4682F"/>
    <w:rsid w:val="7F37EC1E"/>
    <w:rsid w:val="7F435763"/>
    <w:rsid w:val="7F7DCD9D"/>
    <w:rsid w:val="7F970A6F"/>
    <w:rsid w:val="7FC1FFF3"/>
    <w:rsid w:val="7FC69637"/>
    <w:rsid w:val="7FDF8620"/>
    <w:rsid w:val="7FFB242F"/>
    <w:rsid w:val="7FFDB408"/>
    <w:rsid w:val="7FFE4EEB"/>
    <w:rsid w:val="95FB2B98"/>
    <w:rsid w:val="9A639BC2"/>
    <w:rsid w:val="9FF7D786"/>
    <w:rsid w:val="ABBFB23D"/>
    <w:rsid w:val="C3B4DA5A"/>
    <w:rsid w:val="CBFF70E0"/>
    <w:rsid w:val="CFF50B82"/>
    <w:rsid w:val="CFFFAD89"/>
    <w:rsid w:val="DFFE359E"/>
    <w:rsid w:val="DFFE4FFD"/>
    <w:rsid w:val="EEABED75"/>
    <w:rsid w:val="F56FDF51"/>
    <w:rsid w:val="F6B69F17"/>
    <w:rsid w:val="F77F1D61"/>
    <w:rsid w:val="F7FED3A9"/>
    <w:rsid w:val="F8C9DB26"/>
    <w:rsid w:val="F97E8EAE"/>
    <w:rsid w:val="FB36E1A6"/>
    <w:rsid w:val="FB3BE134"/>
    <w:rsid w:val="FCFF4275"/>
    <w:rsid w:val="FD7FEEEA"/>
    <w:rsid w:val="FDFFB577"/>
    <w:rsid w:val="FEEA50FE"/>
    <w:rsid w:val="FF7D47A9"/>
    <w:rsid w:val="FFCF21CB"/>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qFormat="1" w:unhideWhenUsed="0" w:uiPriority="99"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0"/>
    <w:pPr>
      <w:ind w:firstLine="420" w:firstLineChars="200"/>
    </w:pPr>
    <w:rPr>
      <w:sz w:val="21"/>
    </w:rPr>
  </w:style>
  <w:style w:type="paragraph" w:styleId="3">
    <w:name w:val="toa heading"/>
    <w:basedOn w:val="1"/>
    <w:next w:val="1"/>
    <w:qFormat/>
    <w:uiPriority w:val="99"/>
    <w:pPr>
      <w:spacing w:before="120" w:after="200" w:line="276" w:lineRule="auto"/>
    </w:pPr>
    <w:rPr>
      <w:rFonts w:ascii="Arial" w:hAnsi="Arial"/>
      <w:kern w:val="2"/>
      <w:sz w:val="24"/>
      <w:szCs w:val="21"/>
    </w:rPr>
  </w:style>
  <w:style w:type="paragraph" w:styleId="4">
    <w:name w:val="Body Text Indent"/>
    <w:basedOn w:val="1"/>
    <w:next w:val="5"/>
    <w:unhideWhenUsed/>
    <w:qFormat/>
    <w:uiPriority w:val="99"/>
    <w:pPr>
      <w:widowControl/>
      <w:spacing w:after="120"/>
      <w:ind w:left="420" w:leftChars="200"/>
      <w:jc w:val="left"/>
    </w:pPr>
    <w:rPr>
      <w:rFonts w:ascii="宋体" w:hAnsi="宋体" w:eastAsia="宋体" w:cs="宋体"/>
      <w:kern w:val="0"/>
      <w:sz w:val="24"/>
    </w:rPr>
  </w:style>
  <w:style w:type="paragraph" w:styleId="5">
    <w:name w:val="Body Text First Indent 2"/>
    <w:basedOn w:val="4"/>
    <w:next w:val="1"/>
    <w:unhideWhenUsed/>
    <w:qFormat/>
    <w:uiPriority w:val="99"/>
    <w:pPr>
      <w:ind w:firstLine="420" w:firstLineChars="200"/>
    </w:pPr>
  </w:style>
  <w:style w:type="paragraph" w:styleId="6">
    <w:name w:val="Balloon Text"/>
    <w:basedOn w:val="1"/>
    <w:link w:val="16"/>
    <w:semiHidden/>
    <w:unhideWhenUsed/>
    <w:qFormat/>
    <w:uiPriority w:val="99"/>
    <w:rPr>
      <w:sz w:val="18"/>
      <w:szCs w:val="18"/>
    </w:rPr>
  </w:style>
  <w:style w:type="paragraph" w:styleId="7">
    <w:name w:val="footer"/>
    <w:basedOn w:val="1"/>
    <w:link w:val="13"/>
    <w:unhideWhenUsed/>
    <w:qFormat/>
    <w:uiPriority w:val="99"/>
    <w:pPr>
      <w:tabs>
        <w:tab w:val="center" w:pos="4153"/>
        <w:tab w:val="right" w:pos="8306"/>
      </w:tabs>
      <w:snapToGrid w:val="0"/>
      <w:jc w:val="left"/>
    </w:pPr>
    <w:rPr>
      <w:sz w:val="18"/>
      <w:szCs w:val="18"/>
    </w:rPr>
  </w:style>
  <w:style w:type="paragraph" w:styleId="8">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footnote text"/>
    <w:basedOn w:val="1"/>
    <w:semiHidden/>
    <w:qFormat/>
    <w:uiPriority w:val="0"/>
    <w:pPr>
      <w:snapToGrid w:val="0"/>
      <w:jc w:val="left"/>
    </w:pPr>
    <w:rPr>
      <w:sz w:val="18"/>
      <w:szCs w:val="18"/>
    </w:rPr>
  </w:style>
  <w:style w:type="character" w:customStyle="1" w:styleId="12">
    <w:name w:val="页眉 Char"/>
    <w:basedOn w:val="11"/>
    <w:link w:val="8"/>
    <w:qFormat/>
    <w:uiPriority w:val="99"/>
    <w:rPr>
      <w:sz w:val="18"/>
      <w:szCs w:val="18"/>
    </w:rPr>
  </w:style>
  <w:style w:type="character" w:customStyle="1" w:styleId="13">
    <w:name w:val="页脚 Char"/>
    <w:basedOn w:val="11"/>
    <w:link w:val="7"/>
    <w:qFormat/>
    <w:uiPriority w:val="99"/>
    <w:rPr>
      <w:sz w:val="18"/>
      <w:szCs w:val="18"/>
    </w:rPr>
  </w:style>
  <w:style w:type="paragraph" w:customStyle="1" w:styleId="14">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5">
    <w:name w:val="List Paragraph"/>
    <w:basedOn w:val="1"/>
    <w:qFormat/>
    <w:uiPriority w:val="34"/>
    <w:pPr>
      <w:ind w:firstLine="420" w:firstLineChars="200"/>
    </w:pPr>
  </w:style>
  <w:style w:type="character" w:customStyle="1" w:styleId="16">
    <w:name w:val="批注框文本 Char"/>
    <w:basedOn w:val="11"/>
    <w:link w:val="6"/>
    <w:semiHidden/>
    <w:qFormat/>
    <w:uiPriority w:val="99"/>
    <w:rPr>
      <w:sz w:val="18"/>
      <w:szCs w:val="18"/>
    </w:rPr>
  </w:style>
  <w:style w:type="character" w:customStyle="1" w:styleId="17">
    <w:name w:val="font01"/>
    <w:basedOn w:val="11"/>
    <w:qFormat/>
    <w:uiPriority w:val="0"/>
    <w:rPr>
      <w:rFonts w:hint="eastAsia" w:ascii="宋体" w:hAnsi="宋体" w:eastAsia="宋体" w:cs="宋体"/>
      <w:color w:val="000000"/>
      <w:sz w:val="22"/>
      <w:szCs w:val="22"/>
      <w:u w:val="none"/>
    </w:rPr>
  </w:style>
  <w:style w:type="character" w:customStyle="1" w:styleId="18">
    <w:name w:val="font21"/>
    <w:basedOn w:val="11"/>
    <w:qFormat/>
    <w:uiPriority w:val="0"/>
    <w:rPr>
      <w:rFonts w:hint="eastAsia" w:ascii="宋体" w:hAnsi="宋体" w:eastAsia="宋体" w:cs="宋体"/>
      <w:color w:val="000000"/>
      <w:sz w:val="24"/>
      <w:szCs w:val="24"/>
      <w:u w:val="none"/>
    </w:rPr>
  </w:style>
  <w:style w:type="character" w:customStyle="1" w:styleId="19">
    <w:name w:val="font11"/>
    <w:basedOn w:val="11"/>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6</TotalTime>
  <ScaleCrop>false</ScaleCrop>
  <LinksUpToDate>false</LinksUpToDate>
  <CharactersWithSpaces>9008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2020-07-08T02:32:00Z</dcterms:created>
  <dc:creator>李航 null</dc:creator>
  <cp:lastModifiedBy>张会香</cp:lastModifiedBy>
  <cp:lastPrinted>2024-09-10T03:20:00Z</cp:lastPrinted>
  <dcterms:modified xsi:type="dcterms:W3CDTF">2024-09-18T08:55:32Z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98623D6660B449428EB8E073C6C952EA</vt:lpwstr>
  </property>
</Properties>
</file>