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jc w:val="center"/>
        <w:rPr>
          <w:rFonts w:hint="default" w:eastAsia="黑体"/>
          <w:sz w:val="56"/>
          <w:szCs w:val="56"/>
          <w:lang w:val="en-US" w:eastAsia="zh-CN"/>
        </w:rPr>
      </w:pPr>
      <w:r>
        <w:rPr>
          <w:rFonts w:hint="eastAsia"/>
          <w:sz w:val="56"/>
          <w:szCs w:val="56"/>
          <w:lang w:val="en-US" w:eastAsia="zh-CN"/>
        </w:rPr>
        <w:t xml:space="preserve">                                                                                                                                                                                                                                                                                                                                                                                                                                                                                                                                                                                                                                                                                                                                                                                                                                                                                                                                                                                                                                                                                                                                                                                                                                                                                                                                                                                                                                                                                                                                                                                                                                                                                                                                                                                                                                                                                                                                                                                                                                                                                                                                                                                                                                                                                                                                                                                                                                                                                                                                                                                                                                                                                                                                                                                                                                                                                                                                                                                                                                                                                                                                                                                                        </w:t>
      </w:r>
    </w:p>
    <w:p>
      <w:pPr>
        <w:pStyle w:val="13"/>
        <w:jc w:val="center"/>
        <w:rPr>
          <w:sz w:val="56"/>
          <w:szCs w:val="56"/>
        </w:rPr>
      </w:pPr>
    </w:p>
    <w:p>
      <w:pPr>
        <w:pStyle w:val="13"/>
        <w:jc w:val="center"/>
        <w:rPr>
          <w:sz w:val="84"/>
          <w:szCs w:val="84"/>
        </w:rPr>
      </w:pPr>
    </w:p>
    <w:p>
      <w:pPr>
        <w:pStyle w:val="13"/>
        <w:jc w:val="center"/>
        <w:rPr>
          <w:sz w:val="84"/>
          <w:szCs w:val="84"/>
        </w:rPr>
      </w:pPr>
    </w:p>
    <w:p>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3</w:t>
      </w:r>
      <w:r>
        <w:rPr>
          <w:rFonts w:hint="eastAsia" w:ascii="方正小标宋_GBK" w:hAnsi="方正小标宋_GBK" w:eastAsia="方正小标宋_GBK" w:cs="方正小标宋_GBK"/>
          <w:sz w:val="84"/>
          <w:szCs w:val="84"/>
        </w:rPr>
        <w:t>年度</w:t>
      </w:r>
    </w:p>
    <w:p>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val="en-US" w:eastAsia="zh-CN"/>
        </w:rPr>
        <w:t>岳阳市房地产市场服务中心</w:t>
      </w:r>
      <w:r>
        <w:rPr>
          <w:rFonts w:hint="eastAsia" w:ascii="方正小标宋_GBK" w:hAnsi="方正小标宋_GBK" w:eastAsia="方正小标宋_GBK" w:cs="方正小标宋_GBK"/>
          <w:sz w:val="84"/>
          <w:szCs w:val="84"/>
        </w:rPr>
        <w:t>单位部门决算</w:t>
      </w:r>
    </w:p>
    <w:p>
      <w:pPr>
        <w:pStyle w:val="13"/>
        <w:jc w:val="center"/>
        <w:rPr>
          <w:rFonts w:hint="eastAsia" w:ascii="方正小标宋_GBK" w:hAnsi="方正小标宋_GBK" w:eastAsia="方正小标宋_GBK" w:cs="方正小标宋_GBK"/>
          <w:sz w:val="56"/>
          <w:szCs w:val="56"/>
        </w:rPr>
      </w:pPr>
    </w:p>
    <w:p>
      <w:pPr>
        <w:pStyle w:val="13"/>
        <w:jc w:val="center"/>
        <w:rPr>
          <w:sz w:val="56"/>
          <w:szCs w:val="56"/>
        </w:rPr>
      </w:pPr>
    </w:p>
    <w:p>
      <w:pPr>
        <w:pStyle w:val="13"/>
        <w:jc w:val="center"/>
        <w:rPr>
          <w:sz w:val="56"/>
          <w:szCs w:val="56"/>
        </w:rPr>
      </w:pPr>
    </w:p>
    <w:p>
      <w:pPr>
        <w:pStyle w:val="13"/>
        <w:jc w:val="center"/>
        <w:rPr>
          <w:sz w:val="56"/>
          <w:szCs w:val="56"/>
        </w:rPr>
      </w:pPr>
    </w:p>
    <w:p>
      <w:pPr>
        <w:pStyle w:val="13"/>
        <w:jc w:val="center"/>
        <w:rPr>
          <w:sz w:val="32"/>
          <w:szCs w:val="32"/>
        </w:rPr>
      </w:pPr>
    </w:p>
    <w:p>
      <w:pPr>
        <w:pStyle w:val="13"/>
        <w:jc w:val="center"/>
        <w:rPr>
          <w:sz w:val="32"/>
          <w:szCs w:val="32"/>
        </w:rPr>
      </w:pPr>
    </w:p>
    <w:p>
      <w:pPr>
        <w:pStyle w:val="13"/>
        <w:spacing w:line="540" w:lineRule="exact"/>
        <w:jc w:val="both"/>
        <w:rPr>
          <w:sz w:val="56"/>
          <w:szCs w:val="56"/>
        </w:rPr>
      </w:pPr>
    </w:p>
    <w:p>
      <w:pPr>
        <w:pStyle w:val="13"/>
        <w:spacing w:line="500" w:lineRule="exact"/>
        <w:jc w:val="both"/>
        <w:rPr>
          <w:b/>
          <w:sz w:val="36"/>
          <w:szCs w:val="28"/>
        </w:rPr>
      </w:pPr>
    </w:p>
    <w:p>
      <w:pPr>
        <w:pStyle w:val="13"/>
        <w:spacing w:line="500" w:lineRule="exact"/>
        <w:jc w:val="center"/>
        <w:rPr>
          <w:b/>
          <w:sz w:val="36"/>
          <w:szCs w:val="28"/>
        </w:rPr>
      </w:pPr>
      <w:r>
        <w:rPr>
          <w:rFonts w:hint="eastAsia"/>
          <w:b/>
          <w:sz w:val="36"/>
          <w:szCs w:val="28"/>
        </w:rPr>
        <w:t>目录</w:t>
      </w:r>
    </w:p>
    <w:p>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岳阳市房地产市场服务中心</w:t>
      </w:r>
      <w:r>
        <w:rPr>
          <w:rFonts w:hint="eastAsia" w:ascii="黑体" w:hAnsi="黑体" w:eastAsia="黑体" w:cs="黑体"/>
          <w:b w:val="0"/>
          <w:bCs/>
          <w:sz w:val="28"/>
          <w:szCs w:val="28"/>
        </w:rPr>
        <w:t>单位概况</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3"/>
        <w:spacing w:line="500" w:lineRule="exact"/>
        <w:ind w:firstLine="700" w:firstLineChars="25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二、机构设置</w:t>
      </w:r>
      <w:r>
        <w:rPr>
          <w:rFonts w:hint="eastAsia" w:ascii="仿宋_GB2312" w:hAnsi="仿宋_GB2312" w:eastAsia="仿宋_GB2312" w:cs="仿宋_GB2312"/>
          <w:sz w:val="28"/>
          <w:szCs w:val="28"/>
          <w:lang w:eastAsia="zh-CN"/>
        </w:rPr>
        <w:t>及决算单位构成</w:t>
      </w:r>
    </w:p>
    <w:p>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w:t>
      </w:r>
      <w:r>
        <w:rPr>
          <w:rFonts w:hint="eastAsia" w:ascii="仿宋_GB2312" w:hAnsi="仿宋_GB2312" w:eastAsia="仿宋_GB2312" w:cs="仿宋_GB2312"/>
          <w:sz w:val="28"/>
          <w:szCs w:val="28"/>
        </w:rPr>
        <w:t>国有资本经营预算财政拨款支出决算</w:t>
      </w:r>
      <w:r>
        <w:rPr>
          <w:rFonts w:hint="eastAsia" w:ascii="仿宋_GB2312" w:hAnsi="仿宋_GB2312" w:eastAsia="仿宋_GB2312" w:cs="仿宋_GB2312"/>
          <w:sz w:val="28"/>
          <w:szCs w:val="28"/>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SA"/>
        </w:rPr>
        <w:t>十四、</w:t>
      </w:r>
      <w:r>
        <w:rPr>
          <w:rFonts w:hint="eastAsia" w:ascii="仿宋_GB2312" w:hAnsi="仿宋_GB2312" w:eastAsia="仿宋_GB2312" w:cs="仿宋_GB2312"/>
          <w:sz w:val="28"/>
          <w:szCs w:val="28"/>
        </w:rPr>
        <w:t>关于</w:t>
      </w:r>
      <w:r>
        <w:rPr>
          <w:rFonts w:hint="default" w:ascii="Times New Roman" w:hAnsi="Times New Roman" w:eastAsia="仿宋_GB2312" w:cs="Times New Roman"/>
          <w:sz w:val="28"/>
          <w:szCs w:val="28"/>
        </w:rPr>
        <w:t>202</w:t>
      </w:r>
      <w:r>
        <w:rPr>
          <w:rFonts w:hint="default" w:ascii="Times New Roman" w:hAnsi="Times New Roman" w:eastAsia="仿宋_GB2312" w:cs="Times New Roman"/>
          <w:sz w:val="28"/>
          <w:szCs w:val="28"/>
          <w:lang w:val="en-US" w:eastAsia="zh-CN"/>
        </w:rPr>
        <w:t>3</w:t>
      </w:r>
      <w:r>
        <w:rPr>
          <w:rFonts w:hint="eastAsia" w:ascii="仿宋_GB2312" w:hAnsi="仿宋_GB2312" w:eastAsia="仿宋_GB2312" w:cs="仿宋_GB2312"/>
          <w:sz w:val="28"/>
          <w:szCs w:val="28"/>
        </w:rPr>
        <w:t>年度</w:t>
      </w:r>
      <w:r>
        <w:rPr>
          <w:rFonts w:hint="eastAsia" w:ascii="仿宋_GB2312" w:hAnsi="仿宋_GB2312" w:eastAsia="仿宋_GB2312" w:cs="仿宋_GB2312"/>
          <w:sz w:val="28"/>
          <w:szCs w:val="28"/>
          <w:lang w:eastAsia="zh-CN"/>
        </w:rPr>
        <w:t>预算</w:t>
      </w:r>
      <w:r>
        <w:rPr>
          <w:rFonts w:hint="eastAsia" w:ascii="仿宋_GB2312" w:hAnsi="仿宋_GB2312" w:eastAsia="仿宋_GB2312" w:cs="仿宋_GB2312"/>
          <w:sz w:val="28"/>
          <w:szCs w:val="28"/>
        </w:rPr>
        <w:t>绩效情况的说明</w:t>
      </w:r>
    </w:p>
    <w:p>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pPr>
        <w:pStyle w:val="13"/>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pPr>
        <w:pStyle w:val="13"/>
        <w:jc w:val="center"/>
        <w:rPr>
          <w:rFonts w:hint="eastAsia" w:ascii="方正小标宋_GBK" w:hAnsi="方正小标宋_GBK" w:eastAsia="方正小标宋_GBK" w:cs="方正小标宋_GBK"/>
          <w:sz w:val="84"/>
          <w:szCs w:val="84"/>
        </w:rPr>
      </w:pPr>
    </w:p>
    <w:p>
      <w:pPr>
        <w:pStyle w:val="13"/>
        <w:jc w:val="center"/>
        <w:rPr>
          <w:rFonts w:hint="eastAsia" w:ascii="方正小标宋_GBK" w:hAnsi="方正小标宋_GBK" w:eastAsia="方正小标宋_GBK" w:cs="方正小标宋_GBK"/>
          <w:sz w:val="84"/>
          <w:szCs w:val="84"/>
        </w:rPr>
      </w:pPr>
    </w:p>
    <w:p>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13"/>
        <w:jc w:val="center"/>
        <w:rPr>
          <w:rFonts w:hint="eastAsia" w:ascii="方正小标宋_GBK" w:hAnsi="方正小标宋_GBK" w:eastAsia="方正小标宋_GBK" w:cs="方正小标宋_GBK"/>
          <w:sz w:val="84"/>
          <w:szCs w:val="84"/>
        </w:rPr>
      </w:pPr>
    </w:p>
    <w:p>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岳阳市房地产市场服务中心</w:t>
      </w:r>
      <w:r>
        <w:rPr>
          <w:rFonts w:hint="eastAsia" w:ascii="方正小标宋_GBK" w:hAnsi="方正小标宋_GBK" w:eastAsia="方正小标宋_GBK" w:cs="方正小标宋_GBK"/>
          <w:sz w:val="84"/>
          <w:szCs w:val="84"/>
        </w:rPr>
        <w:t>单位概况</w:t>
      </w:r>
    </w:p>
    <w:p>
      <w:pPr>
        <w:pStyle w:val="2"/>
        <w:rPr>
          <w:rFonts w:hint="eastAsia" w:ascii="方正小标宋_GBK" w:hAnsi="方正小标宋_GBK" w:eastAsia="方正小标宋_GBK" w:cs="方正小标宋_GBK"/>
          <w:sz w:val="84"/>
          <w:szCs w:val="84"/>
        </w:rPr>
      </w:pPr>
    </w:p>
    <w:p>
      <w:pPr>
        <w:pStyle w:val="3"/>
        <w:rPr>
          <w:rFonts w:hint="eastAsia" w:ascii="方正小标宋_GBK" w:hAnsi="方正小标宋_GBK" w:eastAsia="方正小标宋_GBK" w:cs="方正小标宋_GBK"/>
          <w:sz w:val="84"/>
          <w:szCs w:val="84"/>
        </w:rPr>
      </w:pPr>
    </w:p>
    <w:p>
      <w:pPr>
        <w:rPr>
          <w:rFonts w:hint="eastAsia" w:ascii="方正小标宋_GBK" w:hAnsi="方正小标宋_GBK" w:eastAsia="方正小标宋_GBK" w:cs="方正小标宋_GBK"/>
          <w:sz w:val="84"/>
          <w:szCs w:val="84"/>
        </w:rPr>
      </w:pPr>
    </w:p>
    <w:p>
      <w:pPr>
        <w:pStyle w:val="2"/>
        <w:rPr>
          <w:rFonts w:hint="eastAsia" w:ascii="方正小标宋_GBK" w:hAnsi="方正小标宋_GBK" w:eastAsia="方正小标宋_GBK" w:cs="方正小标宋_GBK"/>
          <w:sz w:val="84"/>
          <w:szCs w:val="84"/>
        </w:rPr>
      </w:pPr>
    </w:p>
    <w:p>
      <w:pPr>
        <w:pStyle w:val="3"/>
        <w:rPr>
          <w:rFonts w:hint="eastAsia" w:ascii="方正小标宋_GBK" w:hAnsi="方正小标宋_GBK" w:eastAsia="方正小标宋_GBK" w:cs="方正小标宋_GBK"/>
          <w:sz w:val="84"/>
          <w:szCs w:val="84"/>
        </w:rPr>
      </w:pPr>
    </w:p>
    <w:p>
      <w:pPr>
        <w:pStyle w:val="14"/>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pPr>
        <w:ind w:firstLine="800" w:firstLineChars="25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主要承担市中心城区范围内房地产开发企业资质申请受理、商品房预售许可申请的受理和报批等行政辅助工作；承担市中心城区范围内新建商品房、商品房预售、商品房预售款缴存、使用和房地产开发项目资本金监管等事务性、服务性工作。</w:t>
      </w:r>
    </w:p>
    <w:p>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pPr>
        <w:widowControl/>
        <w:spacing w:line="600" w:lineRule="exact"/>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（一）内设机构设置。</w:t>
      </w:r>
      <w:r>
        <w:rPr>
          <w:rFonts w:hint="eastAsia" w:ascii="Times New Roman" w:hAnsi="Times New Roman" w:eastAsia="仿宋_GB2312" w:cs="仿宋_GB2312"/>
          <w:bCs/>
          <w:kern w:val="0"/>
          <w:sz w:val="32"/>
          <w:szCs w:val="32"/>
          <w:lang w:val="en-US" w:eastAsia="zh-CN"/>
        </w:rPr>
        <w:t>岳阳市房地产市场服务中心</w:t>
      </w:r>
      <w:r>
        <w:rPr>
          <w:rFonts w:hint="eastAsia" w:ascii="Times New Roman" w:hAnsi="Times New Roman" w:eastAsia="仿宋_GB2312" w:cs="仿宋_GB2312"/>
          <w:bCs/>
          <w:kern w:val="0"/>
          <w:sz w:val="32"/>
          <w:szCs w:val="32"/>
        </w:rPr>
        <w:t>单位内设机构包括：</w:t>
      </w:r>
      <w:r>
        <w:rPr>
          <w:rFonts w:hint="eastAsia" w:ascii="Times New Roman" w:hAnsi="Times New Roman" w:eastAsia="仿宋_GB2312" w:cs="仿宋_GB2312"/>
          <w:bCs/>
          <w:kern w:val="0"/>
          <w:sz w:val="32"/>
          <w:szCs w:val="32"/>
          <w:lang w:val="en-US" w:eastAsia="zh-CN"/>
        </w:rPr>
        <w:t>本单位为</w:t>
      </w:r>
      <w:r>
        <w:rPr>
          <w:rFonts w:hint="eastAsia" w:ascii="Times New Roman" w:hAnsi="Times New Roman" w:eastAsia="仿宋_GB2312" w:cs="仿宋_GB2312"/>
          <w:bCs/>
          <w:kern w:val="0"/>
          <w:sz w:val="32"/>
          <w:szCs w:val="32"/>
        </w:rPr>
        <w:t>全额拨款事业单位，核定事业编制</w:t>
      </w:r>
      <w:r>
        <w:rPr>
          <w:rFonts w:hint="eastAsia" w:ascii="Times New Roman" w:hAnsi="Times New Roman" w:eastAsia="仿宋_GB2312" w:cs="仿宋_GB2312"/>
          <w:bCs/>
          <w:kern w:val="0"/>
          <w:sz w:val="32"/>
          <w:szCs w:val="32"/>
          <w:lang w:val="en-US" w:eastAsia="zh-CN"/>
        </w:rPr>
        <w:t>18</w:t>
      </w:r>
      <w:r>
        <w:rPr>
          <w:rFonts w:hint="eastAsia" w:ascii="Times New Roman" w:hAnsi="Times New Roman" w:eastAsia="仿宋_GB2312" w:cs="仿宋_GB2312"/>
          <w:bCs/>
          <w:kern w:val="0"/>
          <w:sz w:val="32"/>
          <w:szCs w:val="32"/>
        </w:rPr>
        <w:t>名，在编在岗人员</w:t>
      </w:r>
      <w:r>
        <w:rPr>
          <w:rFonts w:hint="eastAsia" w:ascii="Times New Roman" w:hAnsi="Times New Roman" w:eastAsia="仿宋_GB2312" w:cs="仿宋_GB2312"/>
          <w:bCs/>
          <w:kern w:val="0"/>
          <w:sz w:val="32"/>
          <w:szCs w:val="32"/>
          <w:lang w:val="en-US" w:eastAsia="zh-CN"/>
        </w:rPr>
        <w:t>18</w:t>
      </w:r>
      <w:r>
        <w:rPr>
          <w:rFonts w:hint="eastAsia" w:ascii="Times New Roman" w:hAnsi="Times New Roman" w:eastAsia="仿宋_GB2312" w:cs="仿宋_GB2312"/>
          <w:bCs/>
          <w:kern w:val="0"/>
          <w:sz w:val="32"/>
          <w:szCs w:val="32"/>
        </w:rPr>
        <w:t>人</w:t>
      </w:r>
      <w:r>
        <w:rPr>
          <w:rFonts w:hint="eastAsia" w:ascii="Times New Roman" w:hAnsi="Times New Roman" w:eastAsia="仿宋_GB2312" w:cs="仿宋_GB2312"/>
          <w:bCs/>
          <w:kern w:val="0"/>
          <w:sz w:val="32"/>
          <w:szCs w:val="32"/>
          <w:lang w:eastAsia="zh-CN"/>
        </w:rPr>
        <w:t>，</w:t>
      </w:r>
      <w:r>
        <w:rPr>
          <w:rFonts w:hint="eastAsia" w:ascii="Times New Roman" w:hAnsi="Times New Roman" w:eastAsia="仿宋_GB2312" w:cs="仿宋_GB2312"/>
          <w:bCs/>
          <w:kern w:val="0"/>
          <w:sz w:val="32"/>
          <w:szCs w:val="32"/>
          <w:lang w:val="en-US" w:eastAsia="zh-CN"/>
        </w:rPr>
        <w:t>包括综合部、</w:t>
      </w:r>
      <w:r>
        <w:rPr>
          <w:rFonts w:hint="eastAsia" w:ascii="Times New Roman" w:hAnsi="Times New Roman" w:eastAsia="仿宋_GB2312" w:cs="仿宋_GB2312"/>
          <w:bCs/>
          <w:kern w:val="0"/>
          <w:sz w:val="32"/>
          <w:szCs w:val="32"/>
        </w:rPr>
        <w:t>项目</w:t>
      </w:r>
      <w:r>
        <w:rPr>
          <w:rFonts w:hint="eastAsia" w:ascii="Times New Roman" w:hAnsi="Times New Roman" w:eastAsia="仿宋_GB2312" w:cs="仿宋_GB2312"/>
          <w:bCs/>
          <w:kern w:val="0"/>
          <w:sz w:val="32"/>
          <w:szCs w:val="32"/>
          <w:lang w:val="en-US" w:eastAsia="zh-CN"/>
        </w:rPr>
        <w:t>监管室</w:t>
      </w:r>
      <w:r>
        <w:rPr>
          <w:rFonts w:hint="eastAsia" w:ascii="Times New Roman" w:hAnsi="Times New Roman" w:eastAsia="仿宋_GB2312" w:cs="仿宋_GB2312"/>
          <w:bCs/>
          <w:kern w:val="0"/>
          <w:sz w:val="32"/>
          <w:szCs w:val="32"/>
          <w:lang w:eastAsia="zh-CN"/>
        </w:rPr>
        <w:t>、</w:t>
      </w:r>
      <w:r>
        <w:rPr>
          <w:rFonts w:hint="eastAsia" w:ascii="Times New Roman" w:hAnsi="Times New Roman" w:eastAsia="仿宋_GB2312" w:cs="仿宋_GB2312"/>
          <w:bCs/>
          <w:kern w:val="0"/>
          <w:sz w:val="32"/>
          <w:szCs w:val="32"/>
          <w:lang w:val="en-US" w:eastAsia="zh-CN"/>
        </w:rPr>
        <w:t>市场监测室。</w:t>
      </w:r>
    </w:p>
    <w:p>
      <w:pPr>
        <w:jc w:val="left"/>
        <w:rPr>
          <w:rFonts w:ascii="仿宋_GB2312" w:eastAsia="仿宋_GB2312" w:hAnsiTheme="minorEastAsia"/>
          <w:sz w:val="28"/>
          <w:szCs w:val="32"/>
        </w:rPr>
      </w:pPr>
      <w:r>
        <w:rPr>
          <w:rFonts w:hint="eastAsia" w:ascii="Times New Roman" w:hAnsi="Times New Roman" w:eastAsia="仿宋_GB2312" w:cs="仿宋_GB2312"/>
          <w:bCs/>
          <w:kern w:val="0"/>
          <w:sz w:val="32"/>
          <w:szCs w:val="32"/>
        </w:rPr>
        <w:t>（二）决算单位构成。本单位无独立核算的下属单位，2023年度部门决算汇总公开单位仅包括岳阳市房地产市场服务中心单位本级。</w:t>
      </w: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13"/>
        <w:jc w:val="center"/>
        <w:rPr>
          <w:rFonts w:hint="eastAsia" w:ascii="方正小标宋_GBK" w:hAnsi="方正小标宋_GBK" w:eastAsia="方正小标宋_GBK" w:cs="方正小标宋_GBK"/>
          <w:sz w:val="84"/>
          <w:szCs w:val="84"/>
        </w:rPr>
      </w:pPr>
    </w:p>
    <w:p>
      <w:pPr>
        <w:pStyle w:val="13"/>
        <w:jc w:val="center"/>
        <w:rPr>
          <w:rFonts w:hint="eastAsia" w:ascii="方正小标宋_GBK" w:hAnsi="方正小标宋_GBK" w:eastAsia="方正小标宋_GBK" w:cs="方正小标宋_GBK"/>
          <w:sz w:val="84"/>
          <w:szCs w:val="84"/>
        </w:rPr>
      </w:pPr>
    </w:p>
    <w:p>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3"/>
        <w:jc w:val="center"/>
        <w:rPr>
          <w:rFonts w:hint="eastAsia" w:ascii="方正小标宋_GBK" w:hAnsi="方正小标宋_GBK" w:eastAsia="方正小标宋_GBK" w:cs="方正小标宋_GBK"/>
          <w:sz w:val="84"/>
          <w:szCs w:val="84"/>
        </w:rPr>
      </w:pPr>
    </w:p>
    <w:p>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pStyle w:val="13"/>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pPr>
        <w:pStyle w:val="13"/>
        <w:jc w:val="center"/>
        <w:rPr>
          <w:rFonts w:hint="eastAsia" w:ascii="仿宋_GB2312" w:hAnsi="仿宋_GB2312" w:eastAsia="仿宋_GB2312" w:cs="仿宋_GB2312"/>
          <w:b w:val="0"/>
          <w:bCs w:val="0"/>
          <w:sz w:val="72"/>
          <w:szCs w:val="72"/>
          <w:lang w:eastAsia="zh-CN"/>
        </w:rPr>
      </w:pPr>
    </w:p>
    <w:p>
      <w:pPr>
        <w:pStyle w:val="13"/>
        <w:jc w:val="center"/>
        <w:rPr>
          <w:rFonts w:hint="eastAsia" w:ascii="仿宋_GB2312" w:hAnsi="仿宋_GB2312" w:eastAsia="仿宋_GB2312" w:cs="仿宋_GB2312"/>
          <w:b w:val="0"/>
          <w:bCs w:val="0"/>
          <w:sz w:val="72"/>
          <w:szCs w:val="72"/>
          <w:lang w:eastAsia="zh-CN"/>
        </w:rPr>
      </w:pPr>
    </w:p>
    <w:p>
      <w:pPr>
        <w:pStyle w:val="13"/>
        <w:jc w:val="center"/>
        <w:rPr>
          <w:rFonts w:hint="eastAsia" w:ascii="仿宋_GB2312" w:hAnsi="仿宋_GB2312" w:eastAsia="仿宋_GB2312" w:cs="仿宋_GB2312"/>
          <w:b w:val="0"/>
          <w:bCs w:val="0"/>
          <w:sz w:val="72"/>
          <w:szCs w:val="72"/>
          <w:lang w:eastAsia="zh-CN"/>
        </w:rPr>
      </w:pPr>
    </w:p>
    <w:p>
      <w:pPr>
        <w:pStyle w:val="13"/>
        <w:jc w:val="center"/>
        <w:rPr>
          <w:rFonts w:hint="eastAsia" w:ascii="仿宋_GB2312" w:hAnsi="仿宋_GB2312" w:eastAsia="仿宋_GB2312" w:cs="仿宋_GB2312"/>
          <w:b w:val="0"/>
          <w:bCs w:val="0"/>
          <w:sz w:val="72"/>
          <w:szCs w:val="72"/>
          <w:lang w:eastAsia="zh-CN"/>
        </w:rPr>
      </w:pPr>
    </w:p>
    <w:p>
      <w:pPr>
        <w:pStyle w:val="13"/>
        <w:jc w:val="center"/>
        <w:rPr>
          <w:rFonts w:hint="eastAsia" w:ascii="仿宋_GB2312" w:hAnsi="仿宋_GB2312" w:eastAsia="仿宋_GB2312" w:cs="仿宋_GB2312"/>
          <w:b w:val="0"/>
          <w:bCs w:val="0"/>
          <w:sz w:val="72"/>
          <w:szCs w:val="72"/>
          <w:lang w:eastAsia="zh-CN"/>
        </w:rPr>
      </w:pPr>
    </w:p>
    <w:p>
      <w:pPr>
        <w:pStyle w:val="13"/>
        <w:jc w:val="center"/>
        <w:rPr>
          <w:rFonts w:hint="eastAsia" w:ascii="仿宋_GB2312" w:hAnsi="仿宋_GB2312" w:eastAsia="仿宋_GB2312" w:cs="仿宋_GB2312"/>
          <w:b w:val="0"/>
          <w:bCs w:val="0"/>
          <w:sz w:val="72"/>
          <w:szCs w:val="72"/>
          <w:lang w:eastAsia="zh-CN"/>
        </w:rPr>
      </w:pPr>
    </w:p>
    <w:p>
      <w:pPr>
        <w:pStyle w:val="13"/>
        <w:jc w:val="center"/>
        <w:rPr>
          <w:rFonts w:hint="eastAsia" w:ascii="仿宋_GB2312" w:hAnsi="仿宋_GB2312" w:eastAsia="仿宋_GB2312" w:cs="仿宋_GB2312"/>
          <w:b w:val="0"/>
          <w:bCs w:val="0"/>
          <w:sz w:val="72"/>
          <w:szCs w:val="72"/>
          <w:lang w:eastAsia="zh-CN"/>
        </w:rPr>
      </w:pPr>
    </w:p>
    <w:p>
      <w:pPr>
        <w:pStyle w:val="13"/>
        <w:jc w:val="center"/>
        <w:rPr>
          <w:rFonts w:hint="eastAsia" w:ascii="方正小标宋_GBK" w:hAnsi="方正小标宋_GBK" w:eastAsia="方正小标宋_GBK" w:cs="方正小标宋_GBK"/>
          <w:sz w:val="72"/>
          <w:szCs w:val="72"/>
        </w:rPr>
      </w:pPr>
    </w:p>
    <w:p>
      <w:pPr>
        <w:pStyle w:val="13"/>
        <w:jc w:val="center"/>
        <w:rPr>
          <w:rFonts w:hint="eastAsia" w:ascii="方正小标宋_GBK" w:hAnsi="方正小标宋_GBK" w:eastAsia="方正小标宋_GBK" w:cs="方正小标宋_GBK"/>
          <w:sz w:val="72"/>
          <w:szCs w:val="72"/>
        </w:rPr>
      </w:pPr>
    </w:p>
    <w:p>
      <w:pPr>
        <w:pStyle w:val="13"/>
        <w:jc w:val="both"/>
        <w:rPr>
          <w:rFonts w:hint="eastAsia" w:ascii="方正小标宋_GBK" w:hAnsi="方正小标宋_GBK" w:eastAsia="方正小标宋_GBK" w:cs="方正小标宋_GBK"/>
          <w:sz w:val="72"/>
          <w:szCs w:val="72"/>
        </w:rPr>
      </w:pPr>
    </w:p>
    <w:p>
      <w:pPr>
        <w:pStyle w:val="13"/>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3"/>
        <w:jc w:val="center"/>
        <w:rPr>
          <w:rFonts w:hint="eastAsia" w:ascii="方正小标宋_GBK" w:hAnsi="方正小标宋_GBK" w:eastAsia="方正小标宋_GBK" w:cs="方正小标宋_GBK"/>
          <w:sz w:val="70"/>
          <w:szCs w:val="70"/>
        </w:rPr>
      </w:pPr>
    </w:p>
    <w:p>
      <w:pPr>
        <w:pStyle w:val="13"/>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3</w:t>
      </w:r>
      <w:r>
        <w:rPr>
          <w:rFonts w:hint="eastAsia" w:ascii="方正小标宋_GBK" w:hAnsi="方正小标宋_GBK" w:eastAsia="方正小标宋_GBK" w:cs="方正小标宋_GBK"/>
          <w:sz w:val="70"/>
          <w:szCs w:val="70"/>
        </w:rPr>
        <w:t>年度部门决算情况说明</w:t>
      </w:r>
    </w:p>
    <w:p>
      <w:pPr>
        <w:pStyle w:val="13"/>
        <w:jc w:val="center"/>
        <w:rPr>
          <w:rFonts w:hint="eastAsia" w:ascii="方正小标宋_GBK" w:hAnsi="方正小标宋_GBK" w:eastAsia="方正小标宋_GBK" w:cs="方正小标宋_GBK"/>
          <w:sz w:val="70"/>
          <w:szCs w:val="70"/>
        </w:rPr>
      </w:pPr>
    </w:p>
    <w:p>
      <w:pPr>
        <w:pStyle w:val="13"/>
        <w:jc w:val="center"/>
        <w:rPr>
          <w:rFonts w:hint="eastAsia" w:ascii="方正小标宋_GBK" w:hAnsi="方正小标宋_GBK" w:eastAsia="方正小标宋_GBK" w:cs="方正小标宋_GBK"/>
          <w:sz w:val="70"/>
          <w:szCs w:val="70"/>
        </w:rPr>
      </w:pPr>
    </w:p>
    <w:p>
      <w:pPr>
        <w:pStyle w:val="13"/>
        <w:jc w:val="center"/>
        <w:rPr>
          <w:rFonts w:hint="eastAsia" w:ascii="方正小标宋_GBK" w:hAnsi="方正小标宋_GBK" w:eastAsia="方正小标宋_GBK" w:cs="方正小标宋_GBK"/>
          <w:sz w:val="70"/>
          <w:szCs w:val="70"/>
        </w:rPr>
      </w:pPr>
    </w:p>
    <w:p>
      <w:pPr>
        <w:pStyle w:val="13"/>
        <w:jc w:val="center"/>
        <w:rPr>
          <w:rFonts w:hint="eastAsia" w:ascii="方正小标宋_GBK" w:hAnsi="方正小标宋_GBK" w:eastAsia="方正小标宋_GBK" w:cs="方正小标宋_GBK"/>
          <w:sz w:val="70"/>
          <w:szCs w:val="70"/>
        </w:rPr>
      </w:pPr>
    </w:p>
    <w:p>
      <w:pPr>
        <w:pStyle w:val="13"/>
        <w:jc w:val="center"/>
        <w:rPr>
          <w:rFonts w:hint="eastAsia" w:ascii="方正小标宋_GBK" w:hAnsi="方正小标宋_GBK" w:eastAsia="方正小标宋_GBK" w:cs="方正小标宋_GBK"/>
          <w:sz w:val="70"/>
          <w:szCs w:val="70"/>
        </w:rPr>
      </w:pPr>
    </w:p>
    <w:p>
      <w:pPr>
        <w:pStyle w:val="13"/>
        <w:jc w:val="center"/>
        <w:rPr>
          <w:rFonts w:hint="eastAsia" w:ascii="方正小标宋_GBK" w:hAnsi="方正小标宋_GBK" w:eastAsia="方正小标宋_GBK" w:cs="方正小标宋_GBK"/>
          <w:sz w:val="70"/>
          <w:szCs w:val="70"/>
        </w:rPr>
      </w:pPr>
    </w:p>
    <w:p>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完成年初预算的XX%</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pPr>
        <w:widowControl w:val="0"/>
        <w:autoSpaceDE w:val="0"/>
        <w:autoSpaceDN w:val="0"/>
        <w:adjustRightInd w:val="0"/>
        <w:ind w:firstLine="640" w:firstLineChars="200"/>
        <w:rPr>
          <w:rFonts w:hint="eastAsia" w:ascii="仿宋_GB2312" w:hAnsi="仿宋_GB2312" w:eastAsia="仿宋_GB2312" w:cs="仿宋_GB2312"/>
          <w:i/>
          <w:iCs/>
          <w:color w:val="000000"/>
          <w:kern w:val="0"/>
          <w:sz w:val="32"/>
          <w:szCs w:val="32"/>
          <w:lang w:val="en-US" w:eastAsia="zh-CN" w:bidi="ar-SA"/>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年度收、支总计366.72万元。与上年相比，增加112.83万元，增长44.44%，主要是因为人员增加，故支出相比上年度有所增长。</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pPr>
        <w:widowControl w:val="0"/>
        <w:autoSpaceDE w:val="0"/>
        <w:autoSpaceDN w:val="0"/>
        <w:adjustRightInd w:val="0"/>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年度收入合计366.72万元，其中：财政拨款收入366.72万元，占100%；上级补助收入0万元，占0%；事业收入0万元，占0%；经营收入0万元，占0%；附属单位上缴收入0万元，占0%；其他收入0万元，占0%。</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pPr>
        <w:widowControl w:val="0"/>
        <w:autoSpaceDE w:val="0"/>
        <w:autoSpaceDN w:val="0"/>
        <w:adjustRightInd w:val="0"/>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年度支出合计366.73万元，其中：基本支出289.76万元，占79.01%；项目支出76.97万元，占20.99%；上缴上级支出0万元，占0%；经营支出0万元，占0%；对附属单位补助支出0万元，占0%。</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pPr>
        <w:widowControl w:val="0"/>
        <w:autoSpaceDE w:val="0"/>
        <w:autoSpaceDN w:val="0"/>
        <w:adjustRightInd w:val="0"/>
        <w:ind w:firstLine="640" w:firstLineChars="200"/>
        <w:rPr>
          <w:rFonts w:hint="eastAsia" w:ascii="楷体" w:hAnsi="楷体" w:eastAsia="楷体" w:cs="楷体"/>
          <w:i/>
          <w:iCs/>
          <w:color w:val="000000"/>
          <w:kern w:val="0"/>
          <w:sz w:val="32"/>
          <w:szCs w:val="32"/>
          <w:lang w:val="en-US" w:eastAsia="zh-CN" w:bidi="ar-SA"/>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年度财政拨款收、支总计366.72万元，与上年相比，增加113.48万元,增长44.81%，主要是因为因为人员增加，基本支出相比上年度有所增长。</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（一）一般公共预算财政拨款支出决算总体情况</w:t>
      </w:r>
    </w:p>
    <w:p>
      <w:pPr>
        <w:pStyle w:val="13"/>
        <w:keepNext w:val="0"/>
        <w:keepLines w:val="0"/>
        <w:pageBreakBefore w:val="0"/>
        <w:widowControl w:val="0"/>
        <w:kinsoku/>
        <w:wordWrap/>
        <w:overflowPunct/>
        <w:topLinePunct w:val="0"/>
        <w:bidi w:val="0"/>
        <w:snapToGrid/>
        <w:spacing w:line="600" w:lineRule="exact"/>
        <w:ind w:firstLine="480" w:firstLineChars="150"/>
        <w:textAlignment w:val="auto"/>
        <w:rPr>
          <w:rFonts w:hint="eastAsia" w:ascii="仿宋_GB2312" w:hAnsi="仿宋_GB2312" w:eastAsia="仿宋_GB2312" w:cs="仿宋_GB2312"/>
          <w:i/>
          <w:iCs/>
          <w:color w:val="FF0000"/>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年度财政拨款支出366.72万元，占本年支出合计的100%，与上年相比，财政拨款支出增加113.48万元，增长44.81%，主要是因为人员增加，基本支出相比上年度有所增长。</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（二）一般公共预算财政拨款支出决算结构情况</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366.72万元，主要用于以下方面：社会保障和就业（类）支出22.74万元，占6.20%；卫生健康（类）支出9.26万元，占2.52%;城乡社区（类）支出120.98万元，占32.99%;资源勘探工业信息等（类）支出192.04万元，占53.46%；住房保障（类）支出17.71万元，占4.83%。</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（三）一般公共预算财政拨款支出决算具体情况</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年度财政拨款支出年初预算数为288.46万元，支出决算数为366.72万元，完成年初预算的127.13%，其中：</w:t>
      </w:r>
    </w:p>
    <w:p>
      <w:pPr>
        <w:widowControl w:val="0"/>
        <w:autoSpaceDE w:val="0"/>
        <w:autoSpaceDN w:val="0"/>
        <w:adjustRightInd w:val="0"/>
        <w:ind w:firstLine="800" w:firstLineChars="25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1、社会保障和就业支出（类）行政事业单位养老支出（款）机关事业单位基本养老保险缴费支出（项）。</w:t>
      </w:r>
    </w:p>
    <w:p>
      <w:pPr>
        <w:widowControl w:val="0"/>
        <w:autoSpaceDE w:val="0"/>
        <w:autoSpaceDN w:val="0"/>
        <w:adjustRightInd w:val="0"/>
        <w:ind w:firstLine="800" w:firstLineChars="25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年初预算为17.63万元，支出决算为17.63万元，完成年初预算的100%，决算数等于年初预算数的主要原因是严格执行预算。</w:t>
      </w:r>
    </w:p>
    <w:p>
      <w:pPr>
        <w:widowControl w:val="0"/>
        <w:autoSpaceDE w:val="0"/>
        <w:autoSpaceDN w:val="0"/>
        <w:adjustRightInd w:val="0"/>
        <w:ind w:firstLine="800" w:firstLineChars="25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2、社会保障和就业支出（类）其他社会保障和就业支出（款）其他社会保障和就业支出（项）。</w:t>
      </w:r>
    </w:p>
    <w:p>
      <w:pPr>
        <w:widowControl w:val="0"/>
        <w:autoSpaceDE w:val="0"/>
        <w:autoSpaceDN w:val="0"/>
        <w:adjustRightInd w:val="0"/>
        <w:ind w:firstLine="800" w:firstLineChars="25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年初预算为5.14万元，支出决算为5.11万元，完成年初预算的99.42%，决算数小于年初预算数的主要原因是实际缴纳数减少。</w:t>
      </w:r>
    </w:p>
    <w:p>
      <w:pPr>
        <w:widowControl w:val="0"/>
        <w:autoSpaceDE w:val="0"/>
        <w:autoSpaceDN w:val="0"/>
        <w:adjustRightInd w:val="0"/>
        <w:ind w:firstLine="800" w:firstLineChars="25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3、卫生健康支出（类）行政事业单位医疗（款）事业单位医疗（项）。</w:t>
      </w:r>
    </w:p>
    <w:p>
      <w:pPr>
        <w:widowControl w:val="0"/>
        <w:autoSpaceDE w:val="0"/>
        <w:autoSpaceDN w:val="0"/>
        <w:adjustRightInd w:val="0"/>
        <w:ind w:firstLine="800" w:firstLineChars="25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年初预算为9.26万元，支出决算为9.26万元，完成年初预算的100%，决算数等于年初预算数的主要原因是严格执行预算。</w:t>
      </w:r>
    </w:p>
    <w:p>
      <w:pPr>
        <w:widowControl w:val="0"/>
        <w:autoSpaceDE w:val="0"/>
        <w:autoSpaceDN w:val="0"/>
        <w:adjustRightInd w:val="0"/>
        <w:ind w:firstLine="800" w:firstLineChars="25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4、城乡社区支出（类）城乡社区管理事务（款）其他城乡社区管理事务支出（项）。</w:t>
      </w:r>
    </w:p>
    <w:p>
      <w:pPr>
        <w:widowControl w:val="0"/>
        <w:autoSpaceDE w:val="0"/>
        <w:autoSpaceDN w:val="0"/>
        <w:adjustRightInd w:val="0"/>
        <w:ind w:firstLine="800" w:firstLineChars="25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年初预算为0万元，支出决算为69.63万元，决算数大于年初预算数的主要原因是通过四海揽才、公开招聘等方式招入多名工作人员而追加了经费。</w:t>
      </w:r>
    </w:p>
    <w:p>
      <w:pPr>
        <w:widowControl w:val="0"/>
        <w:autoSpaceDE w:val="0"/>
        <w:autoSpaceDN w:val="0"/>
        <w:adjustRightInd w:val="0"/>
        <w:ind w:firstLine="800" w:firstLineChars="25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5、城乡社区支出（类）城乡社区规划与管理（款）城乡社区规划与管理（项）。</w:t>
      </w:r>
    </w:p>
    <w:p>
      <w:pPr>
        <w:widowControl w:val="0"/>
        <w:autoSpaceDE w:val="0"/>
        <w:autoSpaceDN w:val="0"/>
        <w:adjustRightInd w:val="0"/>
        <w:ind w:firstLine="800" w:firstLineChars="25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年初预算为36万元，支出决算为28.07万元，完成年初预算的77.97%，决算数小于年初预算数的主要原因是厉行节约压缩经费。</w:t>
      </w:r>
    </w:p>
    <w:p>
      <w:pPr>
        <w:widowControl w:val="0"/>
        <w:autoSpaceDE w:val="0"/>
        <w:autoSpaceDN w:val="0"/>
        <w:adjustRightInd w:val="0"/>
        <w:ind w:firstLine="800" w:firstLineChars="25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6、城乡社区支出（类）其他城乡社区支出（款）其他城乡社区支出（项）。</w:t>
      </w:r>
    </w:p>
    <w:p>
      <w:pPr>
        <w:widowControl w:val="0"/>
        <w:autoSpaceDE w:val="0"/>
        <w:autoSpaceDN w:val="0"/>
        <w:adjustRightInd w:val="0"/>
        <w:ind w:firstLine="800" w:firstLineChars="25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年初预算为0万元，支出决算为23.28万元，决算数大于年初预算数的主要原因是通过四海揽才、公开招聘等方式招入多名工作人员而追加了经费。</w:t>
      </w:r>
    </w:p>
    <w:p>
      <w:pPr>
        <w:widowControl w:val="0"/>
        <w:autoSpaceDE w:val="0"/>
        <w:autoSpaceDN w:val="0"/>
        <w:adjustRightInd w:val="0"/>
        <w:ind w:firstLine="800" w:firstLineChars="25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7、资源勘探工业信息等支出（类）建筑业（款）机关服务（项）。</w:t>
      </w:r>
    </w:p>
    <w:p>
      <w:pPr>
        <w:widowControl w:val="0"/>
        <w:autoSpaceDE w:val="0"/>
        <w:autoSpaceDN w:val="0"/>
        <w:adjustRightInd w:val="0"/>
        <w:ind w:firstLine="800" w:firstLineChars="25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年初预算为202.73万元，支出决算为196.04万元，完成年初预算的96.70%，决算数小于年初预算数的主要原因是厉行节约压缩经费。</w:t>
      </w:r>
    </w:p>
    <w:p>
      <w:pPr>
        <w:widowControl w:val="0"/>
        <w:autoSpaceDE w:val="0"/>
        <w:autoSpaceDN w:val="0"/>
        <w:adjustRightInd w:val="0"/>
        <w:ind w:firstLine="800" w:firstLineChars="25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8、住房保障支出（类）住房改革支出（款）住房公积金（项）。</w:t>
      </w:r>
    </w:p>
    <w:p>
      <w:pPr>
        <w:widowControl w:val="0"/>
        <w:autoSpaceDE w:val="0"/>
        <w:autoSpaceDN w:val="0"/>
        <w:adjustRightInd w:val="0"/>
        <w:ind w:firstLine="800" w:firstLineChars="250"/>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SA"/>
        </w:rPr>
        <w:t>年初预算为17.71万元，支出决算为17.71万元，完成年初预算的100%，决算数等于年初预算数的主要原因是严格执行预算。</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年度财政拨款基本支出</w:t>
      </w:r>
      <w:r>
        <w:rPr>
          <w:rFonts w:hint="eastAsia" w:ascii="仿宋_GB2312" w:hAnsi="仿宋_GB2312" w:eastAsia="仿宋_GB2312" w:cs="仿宋_GB2312"/>
          <w:sz w:val="32"/>
          <w:szCs w:val="32"/>
          <w:highlight w:val="none"/>
        </w:rPr>
        <w:t>289.75万元</w:t>
      </w:r>
      <w:r>
        <w:rPr>
          <w:rFonts w:hint="eastAsia" w:ascii="仿宋_GB2312" w:hAnsi="仿宋_GB2312" w:eastAsia="仿宋_GB2312" w:cs="仿宋_GB2312"/>
          <w:sz w:val="32"/>
          <w:szCs w:val="32"/>
        </w:rPr>
        <w:t>，其中：</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lang w:eastAsia="zh-CN"/>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sz w:val="32"/>
          <w:szCs w:val="32"/>
          <w:highlight w:val="none"/>
          <w:lang w:val="en-US" w:eastAsia="zh-CN"/>
        </w:rPr>
        <w:t>259.46</w:t>
      </w:r>
      <w:r>
        <w:rPr>
          <w:rFonts w:hint="eastAsia" w:ascii="仿宋_GB2312" w:hAnsi="仿宋_GB2312" w:eastAsia="仿宋_GB2312" w:cs="仿宋_GB2312"/>
          <w:sz w:val="32"/>
          <w:szCs w:val="32"/>
          <w:highlight w:val="none"/>
        </w:rPr>
        <w:t>万元，占基本支出的</w:t>
      </w:r>
      <w:r>
        <w:rPr>
          <w:rFonts w:hint="eastAsia" w:ascii="仿宋_GB2312" w:hAnsi="仿宋_GB2312" w:eastAsia="仿宋_GB2312" w:cs="仿宋_GB2312"/>
          <w:sz w:val="32"/>
          <w:szCs w:val="32"/>
          <w:highlight w:val="none"/>
          <w:lang w:val="en-US" w:eastAsia="zh-CN"/>
        </w:rPr>
        <w:t>89.55</w:t>
      </w:r>
      <w:r>
        <w:rPr>
          <w:rFonts w:hint="eastAsia" w:ascii="仿宋_GB2312" w:hAnsi="仿宋_GB2312" w:eastAsia="仿宋_GB2312" w:cs="仿宋_GB2312"/>
          <w:sz w:val="32"/>
          <w:szCs w:val="32"/>
          <w:highlight w:val="none"/>
        </w:rPr>
        <w:t>%,主要包括</w:t>
      </w:r>
      <w:r>
        <w:rPr>
          <w:rFonts w:hint="eastAsia" w:ascii="Times New Roman" w:hAnsi="Times New Roman" w:eastAsia="仿宋_GB2312"/>
          <w:sz w:val="32"/>
          <w:szCs w:val="32"/>
          <w:highlight w:val="none"/>
        </w:rPr>
        <w:t>基本工资、津贴补贴、奖金、伙食补助费</w:t>
      </w:r>
      <w:r>
        <w:rPr>
          <w:rFonts w:hint="eastAsia" w:ascii="Times New Roman" w:hAnsi="Times New Roman" w:eastAsia="仿宋_GB2312"/>
          <w:sz w:val="32"/>
          <w:szCs w:val="32"/>
          <w:highlight w:val="none"/>
          <w:lang w:eastAsia="zh-CN"/>
        </w:rPr>
        <w:t>、绩效工资、机关事业单位基本养老保险缴费、职工基本医疗保险缴费、其他社会保障费、住房公积金、医疗费、退休费、医疗费补助、其他对个人和家庭的补助。</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sz w:val="32"/>
          <w:szCs w:val="32"/>
          <w:highlight w:val="none"/>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sz w:val="32"/>
          <w:szCs w:val="32"/>
          <w:highlight w:val="none"/>
          <w:lang w:val="en-US" w:eastAsia="zh-CN"/>
        </w:rPr>
        <w:t>30.29</w:t>
      </w:r>
      <w:r>
        <w:rPr>
          <w:rFonts w:hint="eastAsia" w:ascii="仿宋_GB2312" w:hAnsi="仿宋_GB2312" w:eastAsia="仿宋_GB2312" w:cs="仿宋_GB2312"/>
          <w:sz w:val="32"/>
          <w:szCs w:val="32"/>
          <w:highlight w:val="none"/>
        </w:rPr>
        <w:t>万元，占基本支出的</w:t>
      </w:r>
      <w:r>
        <w:rPr>
          <w:rFonts w:hint="eastAsia" w:ascii="仿宋_GB2312" w:hAnsi="仿宋_GB2312" w:eastAsia="仿宋_GB2312" w:cs="仿宋_GB2312"/>
          <w:sz w:val="32"/>
          <w:szCs w:val="32"/>
          <w:highlight w:val="none"/>
          <w:lang w:val="en-US" w:eastAsia="zh-CN"/>
        </w:rPr>
        <w:t>10.45</w:t>
      </w:r>
      <w:r>
        <w:rPr>
          <w:rFonts w:hint="eastAsia" w:ascii="仿宋_GB2312" w:hAnsi="仿宋_GB2312" w:eastAsia="仿宋_GB2312" w:cs="仿宋_GB2312"/>
          <w:sz w:val="32"/>
          <w:szCs w:val="32"/>
          <w:highlight w:val="none"/>
        </w:rPr>
        <w:t>%，主要包括办公费、印刷费、水费</w:t>
      </w:r>
      <w:r>
        <w:rPr>
          <w:rFonts w:hint="eastAsia" w:ascii="仿宋_GB2312" w:hAnsi="仿宋_GB2312" w:eastAsia="仿宋_GB2312" w:cs="仿宋_GB2312"/>
          <w:sz w:val="32"/>
          <w:szCs w:val="32"/>
          <w:highlight w:val="none"/>
          <w:lang w:eastAsia="zh-CN"/>
        </w:rPr>
        <w:t>、电费、邮电费、物业管理费、差旅费</w:t>
      </w:r>
      <w:r>
        <w:rPr>
          <w:rFonts w:hint="eastAsia" w:ascii="仿宋_GB2312" w:hAnsi="仿宋_GB2312" w:eastAsia="仿宋_GB2312" w:cs="仿宋_GB2312"/>
          <w:sz w:val="32"/>
          <w:szCs w:val="32"/>
          <w:highlight w:val="none"/>
        </w:rPr>
        <w:t>、维修（护）费</w:t>
      </w:r>
      <w:r>
        <w:rPr>
          <w:rFonts w:hint="eastAsia" w:ascii="仿宋_GB2312" w:hAnsi="仿宋_GB2312" w:eastAsia="仿宋_GB2312" w:cs="仿宋_GB2312"/>
          <w:sz w:val="32"/>
          <w:szCs w:val="32"/>
          <w:highlight w:val="none"/>
          <w:lang w:eastAsia="zh-CN"/>
        </w:rPr>
        <w:t>、培训费、工会经费、福利费、其他交通费用、其他商品和服务支出</w:t>
      </w:r>
      <w:r>
        <w:rPr>
          <w:rFonts w:hint="eastAsia" w:ascii="仿宋_GB2312" w:hAnsi="仿宋_GB2312" w:eastAsia="仿宋_GB2312" w:cs="仿宋_GB2312"/>
          <w:sz w:val="32"/>
          <w:szCs w:val="32"/>
          <w:highlight w:val="none"/>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600" w:lineRule="exact"/>
        <w:textAlignment w:val="auto"/>
        <w:rPr>
          <w:rFonts w:hint="eastAsia" w:ascii="黑体" w:hAnsi="黑体" w:eastAsia="黑体" w:cs="黑体"/>
          <w:b w:val="0"/>
          <w:bCs/>
          <w:color w:val="000000"/>
          <w:kern w:val="0"/>
          <w:sz w:val="32"/>
          <w:szCs w:val="32"/>
          <w:highlight w:val="none"/>
          <w:lang w:val="en-US" w:eastAsia="zh-CN" w:bidi="ar-SA"/>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年度政府性基金预算财政拨款收入</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万元；年初结转和结余</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万元；支出</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万元，其中基本支出</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万元，项目支出</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万元；年末结转和结余</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万元。</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pPr>
        <w:widowControl w:val="0"/>
        <w:autoSpaceDE w:val="0"/>
        <w:autoSpaceDN w:val="0"/>
        <w:adjustRightInd w:val="0"/>
        <w:ind w:firstLine="640" w:firstLineChars="200"/>
        <w:rPr>
          <w:rFonts w:hint="eastAsia" w:ascii="黑体" w:hAnsi="黑体" w:eastAsia="黑体" w:cs="黑体"/>
          <w:b w:val="0"/>
          <w:bCs/>
          <w:sz w:val="32"/>
          <w:szCs w:val="32"/>
          <w:highlight w:val="none"/>
        </w:rPr>
      </w:pPr>
      <w:r>
        <w:rPr>
          <w:rFonts w:hint="eastAsia" w:ascii="仿宋_GB2312" w:hAnsi="仿宋_GB2312" w:eastAsia="仿宋_GB2312" w:cs="仿宋_GB2312"/>
          <w:i w:val="0"/>
          <w:iCs/>
          <w:color w:val="auto"/>
          <w:kern w:val="0"/>
          <w:sz w:val="32"/>
          <w:szCs w:val="32"/>
          <w:highlight w:val="none"/>
          <w:lang w:val="en-US" w:eastAsia="zh-CN" w:bidi="ar-SA"/>
        </w:rPr>
        <w:t>2023年度国有资本经营预算财政拨款收入0万元；年初结转和结余0万；支出0万元，其中：基本支出0万元，项目支出0万元；年末结转和结余0万元。</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hAnsi="黑体" w:cs="黑体"/>
          <w:b w:val="0"/>
          <w:bCs/>
          <w:sz w:val="32"/>
          <w:szCs w:val="32"/>
          <w:lang w:eastAsia="zh-CN"/>
        </w:rPr>
        <w:t>九、</w:t>
      </w:r>
      <w:r>
        <w:rPr>
          <w:rFonts w:hint="eastAsia" w:ascii="黑体" w:hAnsi="黑体" w:eastAsia="黑体" w:cs="黑体"/>
          <w:b w:val="0"/>
          <w:bCs/>
          <w:sz w:val="32"/>
          <w:szCs w:val="32"/>
        </w:rPr>
        <w:t>财政拨款三公经费支出决算情况说明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sz w:val="32"/>
          <w:szCs w:val="32"/>
          <w:highlight w:val="none"/>
        </w:rPr>
        <w:t>三公”经费财政拨款支出预算为</w:t>
      </w:r>
      <w:r>
        <w:rPr>
          <w:rFonts w:hint="eastAsia" w:ascii="仿宋_GB2312" w:hAnsi="仿宋_GB2312" w:eastAsia="仿宋_GB2312" w:cs="仿宋_GB2312"/>
          <w:sz w:val="32"/>
          <w:szCs w:val="32"/>
          <w:highlight w:val="none"/>
          <w:lang w:val="en-US" w:eastAsia="zh-CN"/>
        </w:rPr>
        <w:t>0.5</w:t>
      </w:r>
      <w:r>
        <w:rPr>
          <w:rFonts w:hint="eastAsia" w:ascii="仿宋_GB2312" w:hAnsi="仿宋_GB2312" w:eastAsia="仿宋_GB2312" w:cs="仿宋_GB2312"/>
          <w:sz w:val="32"/>
          <w:szCs w:val="32"/>
          <w:highlight w:val="none"/>
        </w:rPr>
        <w:t>万元，支出决算</w:t>
      </w:r>
      <w:r>
        <w:rPr>
          <w:rFonts w:hint="eastAsia" w:ascii="仿宋_GB2312" w:hAnsi="仿宋_GB2312" w:eastAsia="仿宋_GB2312" w:cs="仿宋_GB2312"/>
          <w:color w:val="auto"/>
          <w:sz w:val="32"/>
          <w:szCs w:val="32"/>
          <w:highlight w:val="none"/>
        </w:rPr>
        <w:t>为</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万元，完成预算的</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%，决算数小于预算数的主要原因是</w:t>
      </w:r>
      <w:r>
        <w:rPr>
          <w:rFonts w:hint="eastAsia" w:ascii="仿宋_GB2312" w:hAnsi="仿宋_GB2312" w:eastAsia="仿宋_GB2312" w:cs="仿宋_GB2312"/>
          <w:b w:val="0"/>
          <w:bCs/>
          <w:color w:val="auto"/>
          <w:kern w:val="0"/>
          <w:sz w:val="32"/>
          <w:szCs w:val="32"/>
          <w:highlight w:val="none"/>
          <w:lang w:val="en-US" w:eastAsia="zh-CN" w:bidi="ar-SA"/>
        </w:rPr>
        <w:t>按有关政策厉行节约，严控公务接待支出。</w:t>
      </w:r>
      <w:r>
        <w:rPr>
          <w:rFonts w:hint="eastAsia" w:ascii="仿宋_GB2312" w:hAnsi="仿宋_GB2312" w:eastAsia="仿宋_GB2312" w:cs="仿宋_GB2312"/>
          <w:color w:val="auto"/>
          <w:sz w:val="32"/>
          <w:szCs w:val="32"/>
          <w:highlight w:val="none"/>
        </w:rPr>
        <w:t>与上年相比减少</w:t>
      </w:r>
      <w:r>
        <w:rPr>
          <w:rFonts w:hint="eastAsia" w:ascii="仿宋_GB2312" w:hAnsi="仿宋_GB2312" w:eastAsia="仿宋_GB2312" w:cs="仿宋_GB2312"/>
          <w:color w:val="auto"/>
          <w:sz w:val="32"/>
          <w:szCs w:val="32"/>
          <w:highlight w:val="none"/>
          <w:lang w:val="en-US" w:eastAsia="zh-CN"/>
        </w:rPr>
        <w:t>0.15</w:t>
      </w:r>
      <w:r>
        <w:rPr>
          <w:rFonts w:hint="eastAsia" w:ascii="仿宋_GB2312" w:hAnsi="仿宋_GB2312" w:eastAsia="仿宋_GB2312" w:cs="仿宋_GB2312"/>
          <w:color w:val="auto"/>
          <w:sz w:val="32"/>
          <w:szCs w:val="32"/>
          <w:highlight w:val="none"/>
        </w:rPr>
        <w:t>万元，减少</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%,减少的主要原因是</w:t>
      </w:r>
      <w:r>
        <w:rPr>
          <w:rFonts w:hint="eastAsia" w:ascii="仿宋_GB2312" w:hAnsi="仿宋_GB2312" w:eastAsia="仿宋_GB2312" w:cs="仿宋_GB2312"/>
          <w:b w:val="0"/>
          <w:bCs/>
          <w:color w:val="auto"/>
          <w:kern w:val="0"/>
          <w:sz w:val="32"/>
          <w:szCs w:val="32"/>
          <w:highlight w:val="none"/>
          <w:lang w:val="en-US" w:eastAsia="zh-CN" w:bidi="ar-SA"/>
        </w:rPr>
        <w:t>按有关政策厉行节约，严控公务接待支出</w:t>
      </w:r>
      <w:r>
        <w:rPr>
          <w:rFonts w:hint="eastAsia" w:ascii="仿宋_GB2312" w:hAnsi="仿宋_GB2312" w:eastAsia="仿宋_GB2312" w:cs="仿宋_GB2312"/>
          <w:color w:val="auto"/>
          <w:sz w:val="32"/>
          <w:szCs w:val="32"/>
          <w:highlight w:val="none"/>
        </w:rPr>
        <w:t>。其中：</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color w:val="auto"/>
          <w:kern w:val="0"/>
          <w:sz w:val="32"/>
          <w:szCs w:val="32"/>
          <w:highlight w:val="none"/>
          <w:lang w:val="en-US" w:eastAsia="zh-CN" w:bidi="ar-SA"/>
        </w:rPr>
      </w:pPr>
      <w:r>
        <w:rPr>
          <w:rFonts w:hint="eastAsia" w:ascii="仿宋_GB2312" w:hAnsi="仿宋_GB2312" w:eastAsia="仿宋_GB2312" w:cs="仿宋_GB2312"/>
          <w:b w:val="0"/>
          <w:bCs/>
          <w:color w:val="auto"/>
          <w:kern w:val="0"/>
          <w:sz w:val="32"/>
          <w:szCs w:val="32"/>
          <w:highlight w:val="none"/>
          <w:lang w:val="en-US" w:eastAsia="zh-CN" w:bidi="ar-SA"/>
        </w:rPr>
        <w:t>因公出国（境）费支出预算为0万元，支出决算为0万元，决算数等于预算数，主要原因是我单位严格按预算执行决算；与上年一致，无增减变动，主要原因是未安排因公出国（境）活动。</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公务接待费支</w:t>
      </w:r>
      <w:r>
        <w:rPr>
          <w:rFonts w:hint="eastAsia" w:ascii="仿宋_GB2312" w:hAnsi="仿宋_GB2312" w:eastAsia="仿宋_GB2312" w:cs="仿宋_GB2312"/>
          <w:sz w:val="32"/>
          <w:szCs w:val="32"/>
          <w:highlight w:val="none"/>
        </w:rPr>
        <w:t>出预算为</w:t>
      </w:r>
      <w:r>
        <w:rPr>
          <w:rFonts w:hint="eastAsia" w:ascii="仿宋_GB2312" w:hAnsi="仿宋_GB2312" w:eastAsia="仿宋_GB2312" w:cs="仿宋_GB2312"/>
          <w:sz w:val="32"/>
          <w:szCs w:val="32"/>
          <w:highlight w:val="none"/>
          <w:lang w:val="en-US" w:eastAsia="zh-CN"/>
        </w:rPr>
        <w:t>0.5</w:t>
      </w:r>
      <w:r>
        <w:rPr>
          <w:rFonts w:hint="eastAsia" w:ascii="仿宋_GB2312" w:hAnsi="仿宋_GB2312" w:eastAsia="仿宋_GB2312" w:cs="仿宋_GB2312"/>
          <w:sz w:val="32"/>
          <w:szCs w:val="32"/>
          <w:highlight w:val="none"/>
        </w:rPr>
        <w:t>万元，支出决算为</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万元，完成预算的</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%，决算数小于预算数的主要原因</w:t>
      </w:r>
      <w:r>
        <w:rPr>
          <w:rFonts w:hint="eastAsia" w:ascii="仿宋_GB2312" w:hAnsi="仿宋_GB2312" w:eastAsia="仿宋_GB2312" w:cs="仿宋_GB2312"/>
          <w:color w:val="auto"/>
          <w:sz w:val="32"/>
          <w:szCs w:val="32"/>
          <w:highlight w:val="none"/>
        </w:rPr>
        <w:t>是</w:t>
      </w:r>
      <w:r>
        <w:rPr>
          <w:rFonts w:hint="eastAsia" w:ascii="仿宋_GB2312" w:hAnsi="仿宋_GB2312" w:eastAsia="仿宋_GB2312" w:cs="仿宋_GB2312"/>
          <w:b w:val="0"/>
          <w:bCs/>
          <w:color w:val="auto"/>
          <w:kern w:val="0"/>
          <w:sz w:val="32"/>
          <w:szCs w:val="32"/>
          <w:highlight w:val="none"/>
          <w:lang w:val="en-US" w:eastAsia="zh-CN" w:bidi="ar-SA"/>
        </w:rPr>
        <w:t>按有关政策厉行节约，严控公务接待支出。</w:t>
      </w:r>
      <w:r>
        <w:rPr>
          <w:rFonts w:hint="eastAsia" w:ascii="仿宋_GB2312" w:hAnsi="仿宋_GB2312" w:eastAsia="仿宋_GB2312" w:cs="仿宋_GB2312"/>
          <w:color w:val="auto"/>
          <w:sz w:val="32"/>
          <w:szCs w:val="32"/>
          <w:highlight w:val="none"/>
        </w:rPr>
        <w:t>与上年相比减少</w:t>
      </w:r>
      <w:r>
        <w:rPr>
          <w:rFonts w:hint="eastAsia" w:ascii="仿宋_GB2312" w:hAnsi="仿宋_GB2312" w:eastAsia="仿宋_GB2312" w:cs="仿宋_GB2312"/>
          <w:color w:val="auto"/>
          <w:sz w:val="32"/>
          <w:szCs w:val="32"/>
          <w:highlight w:val="none"/>
          <w:lang w:val="en-US" w:eastAsia="zh-CN"/>
        </w:rPr>
        <w:t>0.15</w:t>
      </w:r>
      <w:r>
        <w:rPr>
          <w:rFonts w:hint="eastAsia" w:ascii="仿宋_GB2312" w:hAnsi="仿宋_GB2312" w:eastAsia="仿宋_GB2312" w:cs="仿宋_GB2312"/>
          <w:color w:val="auto"/>
          <w:sz w:val="32"/>
          <w:szCs w:val="32"/>
          <w:highlight w:val="none"/>
        </w:rPr>
        <w:t>万元，减少</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%,减少的主要原因是</w:t>
      </w:r>
      <w:r>
        <w:rPr>
          <w:rFonts w:hint="eastAsia" w:ascii="仿宋_GB2312" w:hAnsi="仿宋_GB2312" w:eastAsia="仿宋_GB2312" w:cs="仿宋_GB2312"/>
          <w:b w:val="0"/>
          <w:bCs/>
          <w:color w:val="auto"/>
          <w:kern w:val="0"/>
          <w:sz w:val="32"/>
          <w:szCs w:val="32"/>
          <w:highlight w:val="none"/>
          <w:lang w:val="en-US" w:eastAsia="zh-CN" w:bidi="ar-SA"/>
        </w:rPr>
        <w:t>按有关政策厉行节约，严控公务接待支出</w:t>
      </w:r>
      <w:r>
        <w:rPr>
          <w:rFonts w:hint="eastAsia" w:ascii="仿宋_GB2312" w:hAnsi="仿宋_GB2312" w:eastAsia="仿宋_GB2312" w:cs="仿宋_GB2312"/>
          <w:color w:val="auto"/>
          <w:sz w:val="32"/>
          <w:szCs w:val="32"/>
          <w:highlight w:val="none"/>
        </w:rPr>
        <w:t>。</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auto"/>
          <w:kern w:val="0"/>
          <w:sz w:val="32"/>
          <w:szCs w:val="32"/>
          <w:highlight w:val="none"/>
          <w:lang w:val="en-US" w:eastAsia="zh-CN" w:bidi="ar-SA"/>
        </w:rPr>
      </w:pPr>
      <w:r>
        <w:rPr>
          <w:rFonts w:hint="eastAsia" w:ascii="仿宋_GB2312" w:hAnsi="仿宋_GB2312" w:eastAsia="仿宋_GB2312" w:cs="仿宋_GB2312"/>
          <w:b w:val="0"/>
          <w:bCs/>
          <w:color w:val="auto"/>
          <w:kern w:val="0"/>
          <w:sz w:val="32"/>
          <w:szCs w:val="32"/>
          <w:highlight w:val="none"/>
          <w:lang w:val="en-US" w:eastAsia="zh-CN" w:bidi="ar-SA"/>
        </w:rPr>
        <w:t xml:space="preserve">公务用车购置费支出预算为0万元，支出决算为0万元，决算数等于预算数，主要原因是我单位严格按预算执行决算；与上年一致，无增减变动，主要原因是两年均未购置公务用车。  </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color w:val="auto"/>
          <w:kern w:val="0"/>
          <w:sz w:val="32"/>
          <w:szCs w:val="32"/>
          <w:highlight w:val="none"/>
          <w:lang w:val="en-US" w:eastAsia="zh-CN" w:bidi="ar-SA"/>
        </w:rPr>
      </w:pPr>
      <w:r>
        <w:rPr>
          <w:rFonts w:hint="eastAsia" w:ascii="仿宋_GB2312" w:hAnsi="仿宋_GB2312" w:eastAsia="仿宋_GB2312" w:cs="仿宋_GB2312"/>
          <w:b w:val="0"/>
          <w:bCs/>
          <w:color w:val="auto"/>
          <w:kern w:val="0"/>
          <w:sz w:val="32"/>
          <w:szCs w:val="32"/>
          <w:highlight w:val="none"/>
          <w:lang w:val="en-US" w:eastAsia="zh-CN" w:bidi="ar-SA"/>
        </w:rPr>
        <w:t>公务用车运行维护费支出预算为0万元，支出决算为0万元，决算数等于预算数，主要原因是我单位严格按预算执行决算；与上年一致，无增减变动，主要原因是两年均无公务用车需要运行维护。</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auto"/>
          <w:kern w:val="0"/>
          <w:sz w:val="32"/>
          <w:szCs w:val="32"/>
          <w:highlight w:val="none"/>
          <w:lang w:val="en-US" w:eastAsia="zh-CN" w:bidi="ar-SA"/>
        </w:rPr>
      </w:pPr>
      <w:r>
        <w:rPr>
          <w:rFonts w:hint="eastAsia" w:ascii="仿宋_GB2312" w:hAnsi="仿宋_GB2312" w:eastAsia="仿宋_GB2312" w:cs="仿宋_GB2312"/>
          <w:b w:val="0"/>
          <w:bCs/>
          <w:color w:val="auto"/>
          <w:kern w:val="0"/>
          <w:sz w:val="32"/>
          <w:szCs w:val="32"/>
          <w:highlight w:val="none"/>
          <w:lang w:val="en-US" w:eastAsia="zh-CN" w:bidi="ar-SA"/>
        </w:rPr>
        <w:t>2023年度“三公”经费财政拨款支出决算中，公务接待费支出决算0万元，因公出国（境）费支出决算0万元，公务用车购置费及运行维护费支出决算0万元。其中：</w:t>
      </w:r>
    </w:p>
    <w:p>
      <w:pPr>
        <w:pStyle w:val="13"/>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sz w:val="32"/>
          <w:szCs w:val="32"/>
          <w:lang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因公出国（境）费支出决算为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万元，全年安排因公出国（境）团组</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个，累计</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人次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color w:val="auto"/>
          <w:kern w:val="0"/>
          <w:sz w:val="32"/>
          <w:szCs w:val="32"/>
          <w:highlight w:val="none"/>
          <w:lang w:val="en-US" w:eastAsia="zh-CN" w:bidi="ar-SA"/>
        </w:rPr>
        <w:t>我单位2023年度无公务接待费支出。</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2、公务接待费支出决算为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万元，全年共接待来访团组</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个、来宾</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人次，</w:t>
      </w:r>
      <w:r>
        <w:rPr>
          <w:rFonts w:hint="eastAsia" w:ascii="仿宋_GB2312" w:hAnsi="仿宋_GB2312" w:eastAsia="仿宋_GB2312" w:cs="仿宋_GB2312"/>
          <w:b w:val="0"/>
          <w:bCs/>
          <w:color w:val="auto"/>
          <w:kern w:val="0"/>
          <w:sz w:val="32"/>
          <w:szCs w:val="32"/>
          <w:highlight w:val="none"/>
          <w:lang w:val="en-US" w:eastAsia="zh-CN" w:bidi="ar-SA"/>
        </w:rPr>
        <w:t>我单位2023年度无公务接待费支出。</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sz w:val="32"/>
          <w:szCs w:val="32"/>
        </w:rPr>
      </w:pPr>
      <w:r>
        <w:rPr>
          <w:rFonts w:hint="eastAsia" w:ascii="仿宋_GB2312" w:hAnsi="仿宋_GB2312" w:eastAsia="仿宋_GB2312" w:cs="仿宋_GB2312"/>
          <w:sz w:val="32"/>
          <w:szCs w:val="32"/>
        </w:rPr>
        <w:t>3、公务用车购置费及运行维护费支出决算为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万元，其中：公务用车购置费</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b w:val="0"/>
          <w:bCs/>
          <w:color w:val="auto"/>
          <w:kern w:val="0"/>
          <w:sz w:val="32"/>
          <w:szCs w:val="32"/>
          <w:highlight w:val="none"/>
          <w:lang w:val="en-US" w:eastAsia="zh-CN" w:bidi="ar-SA"/>
        </w:rPr>
        <w:t>当年没有购置公务用车。公务用车运行维护费0万元，截至2023年12月31日，我单位开支财政拨款的公务用车保有量为0辆。</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pPr>
        <w:pStyle w:val="13"/>
        <w:ind w:firstLine="640" w:firstLineChars="200"/>
        <w:rPr>
          <w:rFonts w:hint="eastAsia" w:ascii="仿宋_GB2312" w:hAnsi="仿宋_GB2312" w:eastAsia="仿宋_GB2312" w:cs="仿宋_GB2312"/>
          <w:b w:val="0"/>
          <w:bCs/>
          <w:color w:val="auto"/>
          <w:kern w:val="0"/>
          <w:sz w:val="32"/>
          <w:szCs w:val="32"/>
          <w:highlight w:val="none"/>
          <w:lang w:val="en-US" w:eastAsia="zh-CN" w:bidi="ar-SA"/>
        </w:rPr>
      </w:pPr>
      <w:r>
        <w:rPr>
          <w:rFonts w:hint="eastAsia" w:ascii="仿宋_GB2312" w:hAnsi="仿宋_GB2312" w:eastAsia="仿宋_GB2312" w:cs="仿宋_GB2312"/>
          <w:sz w:val="32"/>
          <w:szCs w:val="32"/>
          <w:highlight w:val="none"/>
        </w:rPr>
        <w:t>本部门202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年度机关运行经费支出</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万元，比年初预算数无增减变化</w:t>
      </w:r>
      <w:r>
        <w:rPr>
          <w:rFonts w:hint="eastAsia" w:ascii="Times New Roman" w:hAnsi="Times New Roman" w:eastAsia="仿宋_GB2312"/>
          <w:sz w:val="32"/>
          <w:szCs w:val="32"/>
          <w:highlight w:val="none"/>
        </w:rPr>
        <w:t>。</w:t>
      </w:r>
      <w:r>
        <w:rPr>
          <w:rFonts w:hint="eastAsia" w:ascii="仿宋_GB2312" w:hAnsi="仿宋_GB2312" w:eastAsia="仿宋_GB2312" w:cs="仿宋_GB2312"/>
          <w:sz w:val="32"/>
          <w:szCs w:val="32"/>
          <w:highlight w:val="none"/>
        </w:rPr>
        <w:t>主要原因是</w:t>
      </w:r>
      <w:r>
        <w:rPr>
          <w:rFonts w:hint="eastAsia" w:ascii="仿宋_GB2312" w:hAnsi="仿宋_GB2312" w:eastAsia="仿宋_GB2312" w:cs="仿宋_GB2312"/>
          <w:b w:val="0"/>
          <w:bCs/>
          <w:color w:val="auto"/>
          <w:kern w:val="0"/>
          <w:sz w:val="32"/>
          <w:szCs w:val="32"/>
          <w:highlight w:val="none"/>
          <w:lang w:val="en-US" w:eastAsia="zh-CN" w:bidi="ar-SA"/>
        </w:rPr>
        <w:t>：本级和所属单位均为事业单位，按照机关运行经费的口径，本年度机关运行经费为0。</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pPr>
        <w:pStyle w:val="13"/>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年度，会议费年初预算0万元，支出决算为0万元，</w:t>
      </w:r>
      <w:r>
        <w:rPr>
          <w:rFonts w:hint="eastAsia" w:ascii="Times New Roman" w:hAnsi="Times New Roman" w:eastAsia="仿宋_GB2312"/>
          <w:sz w:val="32"/>
          <w:szCs w:val="32"/>
          <w:highlight w:val="none"/>
          <w:lang w:val="en-US" w:eastAsia="zh-CN"/>
        </w:rPr>
        <w:t>本单位无会议费的预算和支出决算数。</w:t>
      </w:r>
    </w:p>
    <w:p>
      <w:pPr>
        <w:widowControl w:val="0"/>
        <w:autoSpaceDE w:val="0"/>
        <w:autoSpaceDN w:val="0"/>
        <w:adjustRightInd w:val="0"/>
        <w:ind w:firstLine="640" w:firstLineChars="200"/>
        <w:rPr>
          <w:rFonts w:hint="eastAsia" w:ascii="仿宋_GB2312" w:hAnsi="仿宋_GB2312" w:eastAsia="仿宋_GB2312" w:cs="仿宋_GB2312"/>
          <w:color w:val="000000"/>
          <w:kern w:val="0"/>
          <w:sz w:val="32"/>
          <w:szCs w:val="32"/>
          <w:highlight w:val="none"/>
          <w:lang w:val="en-US" w:eastAsia="zh-CN" w:bidi="ar-SA"/>
        </w:rPr>
      </w:pPr>
      <w:r>
        <w:rPr>
          <w:rFonts w:hint="eastAsia" w:ascii="仿宋_GB2312" w:hAnsi="仿宋_GB2312" w:eastAsia="仿宋_GB2312" w:cs="仿宋_GB2312"/>
          <w:color w:val="000000"/>
          <w:kern w:val="0"/>
          <w:sz w:val="32"/>
          <w:szCs w:val="32"/>
          <w:highlight w:val="none"/>
          <w:lang w:val="en-US" w:eastAsia="zh-CN" w:bidi="ar-SA"/>
        </w:rPr>
        <w:t>培训费年初预算0万元，另有项目支出培训费预算0.15万元，支出决算为0.15万元，</w:t>
      </w:r>
      <w:r>
        <w:rPr>
          <w:rFonts w:hint="eastAsia" w:ascii="仿宋_GB2312" w:hAnsi="仿宋_GB2312" w:eastAsia="仿宋_GB2312" w:cs="仿宋_GB2312"/>
          <w:sz w:val="32"/>
          <w:szCs w:val="32"/>
          <w:lang w:val="en-US" w:eastAsia="zh-CN"/>
        </w:rPr>
        <w:t>完成年初预算的100%</w:t>
      </w:r>
      <w:r>
        <w:rPr>
          <w:rFonts w:hint="eastAsia" w:ascii="仿宋_GB2312" w:hAnsi="仿宋_GB2312" w:eastAsia="仿宋_GB2312" w:cs="仿宋_GB2312"/>
          <w:color w:val="000000"/>
          <w:kern w:val="0"/>
          <w:sz w:val="32"/>
          <w:szCs w:val="32"/>
          <w:highlight w:val="none"/>
          <w:lang w:val="en-US" w:eastAsia="zh-CN" w:bidi="ar-SA"/>
        </w:rPr>
        <w:t>。用于开展事业单位人员相关培训，人数18人，内容为事业单位人员相关技能培训、入党积极分子培训、在职人员教育培训。</w:t>
      </w:r>
    </w:p>
    <w:p>
      <w:pPr>
        <w:widowControl w:val="0"/>
        <w:autoSpaceDE w:val="0"/>
        <w:autoSpaceDN w:val="0"/>
        <w:adjustRightInd w:val="0"/>
        <w:ind w:firstLine="640" w:firstLineChars="200"/>
        <w:rPr>
          <w:rFonts w:hint="eastAsia" w:ascii="仿宋_GB2312" w:hAnsi="仿宋_GB2312" w:eastAsia="仿宋_GB2312" w:cs="仿宋_GB2312"/>
          <w:b/>
          <w:bCs/>
          <w:i/>
          <w:color w:val="FF0000"/>
          <w:kern w:val="0"/>
          <w:sz w:val="32"/>
          <w:szCs w:val="32"/>
          <w:highlight w:val="none"/>
          <w:lang w:val="en-US" w:eastAsia="zh-CN" w:bidi="ar-SA"/>
        </w:rPr>
      </w:pPr>
      <w:r>
        <w:rPr>
          <w:rFonts w:hint="eastAsia" w:ascii="仿宋_GB2312" w:hAnsi="仿宋_GB2312" w:eastAsia="仿宋_GB2312" w:cs="仿宋_GB2312"/>
          <w:color w:val="000000"/>
          <w:kern w:val="0"/>
          <w:sz w:val="32"/>
          <w:szCs w:val="32"/>
          <w:highlight w:val="none"/>
          <w:lang w:val="en-US" w:eastAsia="zh-CN" w:bidi="ar-SA"/>
        </w:rPr>
        <w:t>举办节庆、晚会、论坛、赛事活动年初预算0万元，支出决算为0万元，</w:t>
      </w:r>
      <w:r>
        <w:rPr>
          <w:rFonts w:hint="eastAsia" w:ascii="Times New Roman" w:hAnsi="Times New Roman" w:eastAsia="仿宋_GB2312"/>
          <w:sz w:val="32"/>
          <w:szCs w:val="32"/>
          <w:highlight w:val="none"/>
          <w:lang w:val="en-US" w:eastAsia="zh-CN"/>
        </w:rPr>
        <w:t>本单位未举办节庆、晚会、论坛、赛事等活动的预算和支出决算数。</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宋体" w:hAnsi="宋体" w:eastAsia="宋体"/>
          <w:i/>
          <w:color w:val="FF0000"/>
          <w:sz w:val="32"/>
          <w:szCs w:val="32"/>
          <w:lang w:val="en-US" w:eastAsia="zh-CN"/>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年度政府采购支出总额</w:t>
      </w:r>
      <w:r>
        <w:rPr>
          <w:rFonts w:hint="eastAsia" w:ascii="仿宋_GB2312" w:hAnsi="仿宋_GB2312" w:eastAsia="仿宋_GB2312" w:cs="仿宋_GB2312"/>
          <w:sz w:val="32"/>
          <w:szCs w:val="32"/>
          <w:lang w:val="en-US" w:eastAsia="zh-CN"/>
        </w:rPr>
        <w:t>14.92</w:t>
      </w:r>
      <w:r>
        <w:rPr>
          <w:rFonts w:hint="eastAsia" w:ascii="仿宋_GB2312" w:hAnsi="仿宋_GB2312" w:eastAsia="仿宋_GB2312" w:cs="仿宋_GB2312"/>
          <w:sz w:val="32"/>
          <w:szCs w:val="32"/>
        </w:rPr>
        <w:t>万元，其中：政府采购货物支出</w:t>
      </w:r>
      <w:r>
        <w:rPr>
          <w:rFonts w:hint="eastAsia" w:ascii="仿宋_GB2312" w:hAnsi="仿宋_GB2312" w:eastAsia="仿宋_GB2312" w:cs="仿宋_GB2312"/>
          <w:sz w:val="32"/>
          <w:szCs w:val="32"/>
          <w:lang w:val="en-US" w:eastAsia="zh-CN"/>
        </w:rPr>
        <w:t>5.45</w:t>
      </w:r>
      <w:r>
        <w:rPr>
          <w:rFonts w:hint="eastAsia" w:ascii="仿宋_GB2312" w:hAnsi="仿宋_GB2312" w:eastAsia="仿宋_GB2312" w:cs="仿宋_GB2312"/>
          <w:sz w:val="32"/>
          <w:szCs w:val="32"/>
        </w:rPr>
        <w:t>万元、政府采购工程支出</w:t>
      </w:r>
      <w:r>
        <w:rPr>
          <w:rFonts w:hint="eastAsia" w:ascii="仿宋_GB2312" w:hAnsi="仿宋_GB2312" w:eastAsia="仿宋_GB2312" w:cs="仿宋_GB2312"/>
          <w:sz w:val="32"/>
          <w:szCs w:val="32"/>
          <w:lang w:val="en-US" w:eastAsia="zh-CN"/>
        </w:rPr>
        <w:t>6.74</w:t>
      </w:r>
      <w:r>
        <w:rPr>
          <w:rFonts w:hint="eastAsia" w:ascii="仿宋_GB2312" w:hAnsi="仿宋_GB2312" w:eastAsia="仿宋_GB2312" w:cs="仿宋_GB2312"/>
          <w:sz w:val="32"/>
          <w:szCs w:val="32"/>
        </w:rPr>
        <w:t>万元、政府采购服务支出</w:t>
      </w:r>
      <w:r>
        <w:rPr>
          <w:rFonts w:hint="eastAsia" w:ascii="仿宋_GB2312" w:hAnsi="仿宋_GB2312" w:eastAsia="仿宋_GB2312" w:cs="仿宋_GB2312"/>
          <w:sz w:val="32"/>
          <w:szCs w:val="32"/>
          <w:lang w:val="en-US" w:eastAsia="zh-CN"/>
        </w:rPr>
        <w:t>2.73</w:t>
      </w:r>
      <w:r>
        <w:rPr>
          <w:rFonts w:hint="eastAsia" w:ascii="仿宋_GB2312" w:hAnsi="仿宋_GB2312" w:eastAsia="仿宋_GB2312" w:cs="仿宋_GB2312"/>
          <w:sz w:val="32"/>
          <w:szCs w:val="32"/>
        </w:rPr>
        <w:t>万元。授予中小企业合同金额</w:t>
      </w:r>
      <w:r>
        <w:rPr>
          <w:rFonts w:hint="eastAsia" w:ascii="仿宋_GB2312" w:hAnsi="仿宋_GB2312" w:eastAsia="仿宋_GB2312" w:cs="仿宋_GB2312"/>
          <w:sz w:val="32"/>
          <w:szCs w:val="32"/>
          <w:lang w:val="en-US" w:eastAsia="zh-CN"/>
        </w:rPr>
        <w:t>14.92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rPr>
        <w:t>，占政府采购支出总额的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%，其中：授予小微企业合同金额</w:t>
      </w:r>
      <w:r>
        <w:rPr>
          <w:rFonts w:hint="eastAsia" w:ascii="仿宋_GB2312" w:hAnsi="仿宋_GB2312" w:eastAsia="仿宋_GB2312" w:cs="仿宋_GB2312"/>
          <w:sz w:val="32"/>
          <w:szCs w:val="32"/>
          <w:lang w:val="en-US" w:eastAsia="zh-CN"/>
        </w:rPr>
        <w:t>14.92</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eastAsia="zh-CN"/>
        </w:rPr>
        <w:t>授予中小企业合同金额</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%。货物采购授予中小企业合同金额占货物支出金额的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%，工程采购授予中小企业合同金额占工程支出金额的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%，服务采购授予中小企业合同金额占服务支出金额的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bookmarkStart w:id="0" w:name="_GoBack"/>
      <w:bookmarkEnd w:id="0"/>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i w:val="0"/>
          <w:iCs/>
          <w:color w:val="auto"/>
          <w:sz w:val="32"/>
          <w:szCs w:val="32"/>
          <w:highlight w:val="none"/>
          <w:lang w:val="en-US" w:eastAsia="zh-CN"/>
        </w:rPr>
        <w:t>截至2023年12月31日，本单位共有车辆0辆，其中，</w:t>
      </w:r>
      <w:r>
        <w:rPr>
          <w:rFonts w:hint="eastAsia" w:ascii="仿宋_GB2312" w:hAnsi="仿宋_GB2312" w:eastAsia="仿宋_GB2312" w:cs="仿宋_GB2312"/>
          <w:color w:val="auto"/>
          <w:sz w:val="32"/>
          <w:szCs w:val="32"/>
          <w:highlight w:val="none"/>
          <w:lang w:eastAsia="zh-CN"/>
        </w:rPr>
        <w:t>副部（省）级及以上领导用车</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辆</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主要</w:t>
      </w:r>
      <w:r>
        <w:rPr>
          <w:rFonts w:hint="eastAsia" w:ascii="仿宋_GB2312" w:hAnsi="仿宋_GB2312" w:eastAsia="仿宋_GB2312" w:cs="仿宋_GB2312"/>
          <w:color w:val="auto"/>
          <w:sz w:val="32"/>
          <w:szCs w:val="32"/>
          <w:highlight w:val="none"/>
          <w:lang w:eastAsia="zh-CN"/>
        </w:rPr>
        <w:t>负责人</w:t>
      </w:r>
      <w:r>
        <w:rPr>
          <w:rFonts w:hint="eastAsia" w:ascii="仿宋_GB2312" w:hAnsi="仿宋_GB2312" w:eastAsia="仿宋_GB2312" w:cs="仿宋_GB2312"/>
          <w:color w:val="auto"/>
          <w:sz w:val="32"/>
          <w:szCs w:val="32"/>
          <w:highlight w:val="none"/>
        </w:rPr>
        <w:t>用车</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辆</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机要通信用车</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辆、应急保障用车</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辆、执法执勤用车</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辆、特种专业技术用车</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辆、</w:t>
      </w:r>
      <w:r>
        <w:rPr>
          <w:rFonts w:hint="eastAsia" w:ascii="仿宋_GB2312" w:hAnsi="仿宋_GB2312" w:eastAsia="仿宋_GB2312" w:cs="仿宋_GB2312"/>
          <w:color w:val="auto"/>
          <w:sz w:val="32"/>
          <w:szCs w:val="32"/>
          <w:highlight w:val="none"/>
          <w:lang w:eastAsia="zh-CN"/>
        </w:rPr>
        <w:t>离退休干部服务用车</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辆、其他用车</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辆；单位价值100万元以上设备</w:t>
      </w:r>
      <w:r>
        <w:rPr>
          <w:rFonts w:hint="eastAsia" w:ascii="仿宋_GB2312" w:hAnsi="仿宋_GB2312" w:eastAsia="仿宋_GB2312" w:cs="仿宋_GB2312"/>
          <w:color w:val="auto"/>
          <w:sz w:val="32"/>
          <w:szCs w:val="32"/>
          <w:highlight w:val="none"/>
          <w:lang w:eastAsia="zh-CN"/>
        </w:rPr>
        <w:t>（不含车辆）</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台（套）</w:t>
      </w:r>
      <w:r>
        <w:rPr>
          <w:rFonts w:hint="eastAsia" w:ascii="仿宋_GB2312" w:hAnsi="仿宋_GB2312" w:eastAsia="仿宋_GB2312" w:cs="仿宋_GB2312"/>
          <w:color w:val="auto"/>
          <w:sz w:val="32"/>
          <w:szCs w:val="32"/>
          <w:highlight w:val="none"/>
          <w:lang w:eastAsia="zh-CN"/>
        </w:rPr>
        <w:t>。</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四</w:t>
      </w:r>
      <w:r>
        <w:rPr>
          <w:rFonts w:hint="eastAsia" w:ascii="黑体" w:hAnsi="黑体" w:eastAsia="黑体" w:cs="黑体"/>
          <w:b w:val="0"/>
          <w:bCs/>
          <w:color w:val="auto"/>
          <w:sz w:val="32"/>
          <w:szCs w:val="32"/>
        </w:rPr>
        <w:t>、关于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3</w:t>
      </w:r>
      <w:r>
        <w:rPr>
          <w:rFonts w:hint="eastAsia" w:ascii="黑体" w:hAnsi="黑体" w:eastAsia="黑体" w:cs="黑体"/>
          <w:b w:val="0"/>
          <w:bCs/>
          <w:color w:val="auto"/>
          <w:sz w:val="32"/>
          <w:szCs w:val="32"/>
        </w:rPr>
        <w:t>年度</w:t>
      </w:r>
      <w:r>
        <w:rPr>
          <w:rFonts w:hint="eastAsia" w:hAnsi="黑体" w:cs="黑体"/>
          <w:b w:val="0"/>
          <w:bCs/>
          <w:color w:val="auto"/>
          <w:sz w:val="32"/>
          <w:szCs w:val="32"/>
          <w:lang w:eastAsia="zh-CN"/>
        </w:rPr>
        <w:t>预算</w:t>
      </w:r>
      <w:r>
        <w:rPr>
          <w:rFonts w:hint="eastAsia" w:ascii="黑体" w:hAnsi="黑体" w:eastAsia="黑体" w:cs="黑体"/>
          <w:b w:val="0"/>
          <w:bCs/>
          <w:color w:val="auto"/>
          <w:sz w:val="32"/>
          <w:szCs w:val="32"/>
        </w:rPr>
        <w:t>绩效情况的说明</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（一）绩效管理工作开展情况</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highlight w:val="none"/>
          <w:lang w:val="en-US" w:eastAsia="zh-CN" w:bidi="ar-SA"/>
        </w:rPr>
      </w:pPr>
      <w:r>
        <w:rPr>
          <w:rFonts w:hint="eastAsia" w:ascii="仿宋_GB2312" w:hAnsi="仿宋_GB2312" w:eastAsia="仿宋_GB2312" w:cs="仿宋_GB2312"/>
          <w:b w:val="0"/>
          <w:bCs w:val="0"/>
          <w:color w:val="000000"/>
          <w:kern w:val="0"/>
          <w:sz w:val="32"/>
          <w:szCs w:val="32"/>
          <w:highlight w:val="none"/>
          <w:lang w:val="en-US" w:eastAsia="zh-CN" w:bidi="ar-SA"/>
        </w:rPr>
        <w:t>根据预算绩效管理要求，我们组织对2023年度整体支出和项目资金实施了全覆盖性的绩效评价，撰写了绩效自评报告。</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highlight w:val="none"/>
          <w:lang w:val="en-US" w:eastAsia="zh-CN" w:bidi="ar-SA"/>
        </w:rPr>
      </w:pPr>
      <w:r>
        <w:rPr>
          <w:rFonts w:hint="eastAsia" w:ascii="仿宋_GB2312" w:hAnsi="仿宋_GB2312" w:eastAsia="仿宋_GB2312" w:cs="仿宋_GB2312"/>
          <w:b w:val="0"/>
          <w:bCs w:val="0"/>
          <w:color w:val="000000"/>
          <w:kern w:val="0"/>
          <w:sz w:val="32"/>
          <w:szCs w:val="32"/>
          <w:highlight w:val="none"/>
          <w:lang w:val="en-US" w:eastAsia="zh-CN" w:bidi="ar-SA"/>
        </w:rPr>
        <w:t>组织开展整体支出绩效评价，涉及一般公共预算支出366.72万元，政府性基金预算支出0万元，国有资本经营预算支出0万元。从评价情况来看，整体支出绩效评价中，2023年整体支出366.72万元，其中：基本支出289.72万元，项目支出76.97万元，本单位整体支出绩效自评综合评分100分，评价结果等次为优。</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bCs/>
          <w:sz w:val="32"/>
          <w:szCs w:val="32"/>
          <w:highlight w:val="none"/>
          <w:lang w:eastAsia="zh-CN"/>
        </w:rPr>
      </w:pPr>
      <w:r>
        <w:rPr>
          <w:rFonts w:hint="eastAsia" w:ascii="仿宋_GB2312" w:hAnsi="仿宋_GB2312" w:eastAsia="仿宋_GB2312" w:cs="仿宋_GB2312"/>
          <w:b w:val="0"/>
          <w:bCs w:val="0"/>
          <w:color w:val="000000"/>
          <w:kern w:val="0"/>
          <w:sz w:val="32"/>
          <w:szCs w:val="32"/>
          <w:highlight w:val="none"/>
          <w:lang w:val="en-US" w:eastAsia="zh-CN" w:bidi="ar-SA"/>
        </w:rPr>
        <w:t>组织对一般公共预算项目支出全面开展绩效自评，项目1个，共涉及资金16.48万元，占一般公共预算项目支出总额的100%。组织对政府性基金预算项目支出开展绩效自评，项目0个，共涉及资金0万元，占政府性基金预算项目支出总额的0%。组织对国有资本经营预算项目支出开展绩效自评，项目0个，共涉及资金0万元，占国有资本经营预算项目支出总额的0%。从评价情况来看，项目绩效自评得分99.7分，评价结果等次为优。</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部门</w:t>
      </w:r>
      <w:r>
        <w:rPr>
          <w:rFonts w:hint="eastAsia" w:ascii="楷体" w:hAnsi="楷体" w:eastAsia="楷体" w:cs="楷体"/>
          <w:b/>
          <w:bCs/>
          <w:sz w:val="32"/>
          <w:szCs w:val="32"/>
          <w:lang w:eastAsia="zh-CN"/>
        </w:rPr>
        <w:t>（单位）</w:t>
      </w:r>
      <w:r>
        <w:rPr>
          <w:rFonts w:hint="eastAsia" w:ascii="楷体" w:hAnsi="楷体" w:eastAsia="楷体" w:cs="楷体"/>
          <w:b/>
          <w:bCs/>
          <w:sz w:val="32"/>
          <w:szCs w:val="32"/>
        </w:rPr>
        <w:t>整体支出绩效情况</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color w:val="000000"/>
          <w:kern w:val="0"/>
          <w:sz w:val="32"/>
          <w:szCs w:val="32"/>
          <w:highlight w:val="none"/>
          <w:lang w:val="en-US" w:eastAsia="zh-CN" w:bidi="ar-SA"/>
        </w:rPr>
        <w:t>根据年初设定的绩效目标，绩效自评得分为100分。</w:t>
      </w:r>
      <w:r>
        <w:rPr>
          <w:rFonts w:hint="eastAsia" w:ascii="仿宋_GB2312" w:hAnsi="仿宋_GB2312" w:eastAsia="仿宋_GB2312" w:cs="仿宋_GB2312"/>
          <w:b w:val="0"/>
          <w:bCs w:val="0"/>
          <w:sz w:val="32"/>
          <w:szCs w:val="32"/>
          <w:highlight w:val="none"/>
          <w:lang w:val="en-US" w:eastAsia="zh-CN"/>
        </w:rPr>
        <w:t>全年预算数为366.72万元，执行数为366.72万元，完成预算的100.00%</w:t>
      </w:r>
      <w:r>
        <w:rPr>
          <w:rFonts w:hint="eastAsia" w:ascii="仿宋_GB2312" w:hAnsi="仿宋_GB2312" w:eastAsia="仿宋_GB2312" w:cs="仿宋_GB2312"/>
          <w:b w:val="0"/>
          <w:bCs w:val="0"/>
          <w:color w:val="000000"/>
          <w:kern w:val="0"/>
          <w:sz w:val="32"/>
          <w:szCs w:val="32"/>
          <w:lang w:val="en-US" w:eastAsia="zh-CN" w:bidi="ar-SA"/>
        </w:rPr>
        <w:t>。绩效目标完成情况：</w:t>
      </w:r>
      <w:r>
        <w:rPr>
          <w:rFonts w:hint="eastAsia" w:ascii="仿宋_GB2312" w:hAnsi="仿宋_GB2312" w:eastAsia="仿宋_GB2312" w:cs="仿宋_GB2312"/>
          <w:b w:val="0"/>
          <w:bCs w:val="0"/>
          <w:sz w:val="32"/>
          <w:szCs w:val="32"/>
          <w:highlight w:val="none"/>
          <w:lang w:val="en-US" w:eastAsia="zh-CN"/>
        </w:rPr>
        <w:t>绩效目标完成情况：一是随着化解办证信访遗留问题工作的深入，目前我市这类问题主要集中为安置房、保障房、经济适用房和其他类房屋，他们建设主体不明，施工单位不提供验收资料，年代久远使得相关五方责任主体难以落实，不能够办理相关验收手续，导致不动产手续登记有困难；二是各区管委会安置政策不统一、不协调，导致部分经济适用房安置方购房人的身份信息缺失，不能够及时办理不动产登记；三是目前房地产市场投资销售下滑，导致部分企业陷入经营困难，造成资金流动性风险，导致部分房屋不能按合同约定交付。</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（三）</w:t>
      </w:r>
      <w:r>
        <w:rPr>
          <w:rFonts w:hint="eastAsia" w:ascii="楷体" w:hAnsi="楷体" w:eastAsia="楷体" w:cs="楷体"/>
          <w:b/>
          <w:bCs/>
          <w:sz w:val="32"/>
          <w:szCs w:val="32"/>
        </w:rPr>
        <w:t>存在的问题及原因分析</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t>存在的</w:t>
      </w:r>
      <w:r>
        <w:rPr>
          <w:rFonts w:hint="eastAsia" w:ascii="仿宋_GB2312" w:hAnsi="仿宋_GB2312" w:eastAsia="仿宋_GB2312" w:cs="仿宋_GB2312"/>
          <w:b w:val="0"/>
          <w:bCs w:val="0"/>
          <w:color w:val="000000"/>
          <w:kern w:val="0"/>
          <w:sz w:val="32"/>
          <w:szCs w:val="32"/>
          <w:lang w:val="en-US" w:eastAsia="zh-CN" w:bidi="ar-SA"/>
        </w:rPr>
        <w:t>主要问题及原因：</w:t>
      </w:r>
      <w:r>
        <w:rPr>
          <w:rFonts w:hint="eastAsia" w:ascii="仿宋_GB2312" w:hAnsi="仿宋_GB2312" w:eastAsia="仿宋_GB2312" w:cs="仿宋_GB2312"/>
          <w:b w:val="0"/>
          <w:bCs w:val="0"/>
          <w:sz w:val="32"/>
          <w:szCs w:val="32"/>
          <w:highlight w:val="none"/>
          <w:lang w:val="en-US" w:eastAsia="zh-CN"/>
        </w:rPr>
        <w:t>一是随着化解办证信访遗留问题工作的深入，目前我市这类问题主要集中为安置房、保障房、经济适用房和其他类房屋，他们建设主体不明，施工单位不提供验收资料，年代久远使得相关五方责任主体难以落实，不能够办理相关验收手续，导致不动产手续登记有困难；二是各区管委会安置政策不统一、不协调，导致部分经济适用房安置方购房人的身份信息缺失，不能够及时办理不动产登记；三是目前房地产市场投资销售下滑，导致部分企业陷入经营困难，造成资金流动性风险，导致部分房屋不能按合同约定交付。</w:t>
      </w:r>
      <w:r>
        <w:rPr>
          <w:rFonts w:hint="eastAsia" w:ascii="仿宋_GB2312" w:hAnsi="仿宋_GB2312" w:eastAsia="仿宋_GB2312" w:cs="仿宋_GB2312"/>
          <w:b w:val="0"/>
          <w:bCs w:val="0"/>
          <w:color w:val="000000"/>
          <w:kern w:val="0"/>
          <w:sz w:val="32"/>
          <w:szCs w:val="32"/>
          <w:lang w:val="en-US" w:eastAsia="zh-CN" w:bidi="ar-SA"/>
        </w:rPr>
        <w:t>下一步改进措施：</w:t>
      </w:r>
      <w:r>
        <w:rPr>
          <w:rFonts w:hint="eastAsia" w:ascii="仿宋_GB2312" w:hAnsi="仿宋_GB2312" w:eastAsia="仿宋_GB2312" w:cs="仿宋_GB2312"/>
          <w:b w:val="0"/>
          <w:bCs w:val="0"/>
          <w:sz w:val="32"/>
          <w:szCs w:val="32"/>
          <w:highlight w:val="none"/>
          <w:lang w:val="en-US" w:eastAsia="zh-CN"/>
        </w:rPr>
        <w:t>一是按照省、市有关文件精神的规定，对不能够完善相关材料，落实建设主体和购房主体等手续进行容缺办理，确保能有销售收入用于项目建设；二是对不配合竣工验收的主体和施工单位进行查处和打击或纳入失信名单；三是对于申请预售商品房项目预售过程，按照相关文件精神严格落实预售形象进度要求；四是进一步加强预售资金的监管。</w:t>
      </w:r>
    </w:p>
    <w:p>
      <w:pPr>
        <w:autoSpaceDE w:val="0"/>
        <w:autoSpaceDN w:val="0"/>
        <w:adjustRightInd w:val="0"/>
        <w:ind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预算绩效管理开展情况、绩效目标和绩效评价报告等，已在市政府部门财政预决算公开平台上向社会公开，详见附件。</w:t>
      </w:r>
    </w:p>
    <w:p>
      <w:pPr>
        <w:numPr>
          <w:ilvl w:val="0"/>
          <w:numId w:val="0"/>
        </w:numPr>
        <w:autoSpaceDE w:val="0"/>
        <w:autoSpaceDN w:val="0"/>
        <w:adjustRightInd w:val="0"/>
        <w:jc w:val="left"/>
        <w:rPr>
          <w:rFonts w:hint="eastAsia" w:ascii="楷体" w:hAnsi="楷体" w:eastAsia="楷体" w:cs="楷体"/>
          <w:b/>
          <w:bCs/>
          <w:i w:val="0"/>
          <w:iCs w:val="0"/>
          <w:color w:val="FF0000"/>
          <w:kern w:val="0"/>
          <w:sz w:val="36"/>
          <w:szCs w:val="36"/>
          <w:lang w:val="en-US" w:eastAsia="zh-CN"/>
        </w:rPr>
      </w:pPr>
    </w:p>
    <w:p>
      <w:pPr>
        <w:pStyle w:val="13"/>
        <w:jc w:val="center"/>
        <w:rPr>
          <w:sz w:val="72"/>
          <w:szCs w:val="72"/>
        </w:rPr>
      </w:pPr>
    </w:p>
    <w:p>
      <w:pPr>
        <w:pStyle w:val="13"/>
        <w:jc w:val="center"/>
        <w:rPr>
          <w:rFonts w:hint="eastAsia" w:ascii="方正小标宋_GBK" w:hAnsi="方正小标宋_GBK" w:eastAsia="方正小标宋_GBK" w:cs="方正小标宋_GBK"/>
          <w:sz w:val="70"/>
          <w:szCs w:val="70"/>
          <w:lang w:eastAsia="zh-CN"/>
        </w:rPr>
      </w:pPr>
    </w:p>
    <w:p>
      <w:pPr>
        <w:pStyle w:val="13"/>
        <w:jc w:val="center"/>
        <w:rPr>
          <w:rFonts w:hint="eastAsia" w:ascii="方正小标宋_GBK" w:hAnsi="方正小标宋_GBK" w:eastAsia="方正小标宋_GBK" w:cs="方正小标宋_GBK"/>
          <w:sz w:val="70"/>
          <w:szCs w:val="70"/>
          <w:lang w:eastAsia="zh-CN"/>
        </w:rPr>
      </w:pPr>
    </w:p>
    <w:p>
      <w:pPr>
        <w:pStyle w:val="13"/>
        <w:jc w:val="center"/>
        <w:rPr>
          <w:rFonts w:hint="eastAsia" w:ascii="方正小标宋_GBK" w:hAnsi="方正小标宋_GBK" w:eastAsia="方正小标宋_GBK" w:cs="方正小标宋_GBK"/>
          <w:sz w:val="72"/>
          <w:szCs w:val="72"/>
        </w:rPr>
      </w:pPr>
    </w:p>
    <w:p>
      <w:pPr>
        <w:pStyle w:val="13"/>
        <w:jc w:val="center"/>
        <w:rPr>
          <w:rFonts w:hint="eastAsia" w:ascii="方正小标宋_GBK" w:hAnsi="方正小标宋_GBK" w:eastAsia="方正小标宋_GBK" w:cs="方正小标宋_GBK"/>
          <w:sz w:val="72"/>
          <w:szCs w:val="72"/>
        </w:rPr>
      </w:pPr>
    </w:p>
    <w:p>
      <w:pPr>
        <w:pStyle w:val="13"/>
        <w:jc w:val="center"/>
        <w:rPr>
          <w:rFonts w:hint="eastAsia" w:ascii="方正小标宋_GBK" w:hAnsi="方正小标宋_GBK" w:eastAsia="方正小标宋_GBK" w:cs="方正小标宋_GBK"/>
          <w:sz w:val="72"/>
          <w:szCs w:val="72"/>
        </w:rPr>
      </w:pPr>
    </w:p>
    <w:p>
      <w:pPr>
        <w:pStyle w:val="13"/>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hint="eastAsia" w:ascii="方正小标宋_GBK" w:hAnsi="方正小标宋_GBK" w:eastAsia="方正小标宋_GBK" w:cs="方正小标宋_GBK"/>
          <w:color w:val="000000"/>
          <w:kern w:val="0"/>
          <w:sz w:val="70"/>
          <w:szCs w:val="70"/>
        </w:rPr>
      </w:pPr>
    </w:p>
    <w:p>
      <w:pPr>
        <w:pStyle w:val="13"/>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Pr>
        <w:pStyle w:val="3"/>
      </w:pPr>
    </w:p>
    <w:p/>
    <w:p>
      <w:pPr>
        <w:pStyle w:val="2"/>
      </w:pP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二、机关运行经费</w:t>
      </w:r>
      <w:r>
        <w:rPr>
          <w:rFonts w:hint="eastAsia" w:ascii="仿宋_GB2312" w:hAnsi="仿宋_GB2312" w:eastAsia="仿宋_GB2312" w:cs="仿宋_GB2312"/>
          <w:color w:val="000000"/>
          <w:kern w:val="0"/>
          <w:sz w:val="32"/>
          <w:szCs w:val="32"/>
          <w:lang w:eastAsia="zh-CN"/>
        </w:rPr>
        <w:t>，指为保障行政单位（包括参照公务员法管理的事业单位）运行用于购买货物和服务的各项资金</w:t>
      </w:r>
      <w:r>
        <w:rPr>
          <w:rFonts w:hint="eastAsia" w:ascii="仿宋_GB2312" w:hAnsi="仿宋_GB2312" w:eastAsia="仿宋_GB2312" w:cs="仿宋_GB2312"/>
          <w:color w:val="000000"/>
          <w:kern w:val="0"/>
          <w:sz w:val="32"/>
          <w:szCs w:val="32"/>
        </w:rPr>
        <w:t>，包括办公</w:t>
      </w:r>
      <w:r>
        <w:rPr>
          <w:rFonts w:hint="eastAsia" w:ascii="仿宋_GB2312" w:hAnsi="仿宋_GB2312" w:eastAsia="仿宋_GB2312" w:cs="仿宋_GB2312"/>
          <w:color w:val="000000"/>
          <w:kern w:val="0"/>
          <w:sz w:val="32"/>
          <w:szCs w:val="32"/>
          <w:lang w:eastAsia="zh-CN"/>
        </w:rPr>
        <w:t>费、</w:t>
      </w:r>
      <w:r>
        <w:rPr>
          <w:rFonts w:hint="eastAsia" w:ascii="仿宋_GB2312" w:hAnsi="仿宋_GB2312" w:eastAsia="仿宋_GB2312" w:cs="仿宋_GB2312"/>
          <w:color w:val="000000"/>
          <w:kern w:val="0"/>
          <w:sz w:val="32"/>
          <w:szCs w:val="32"/>
        </w:rPr>
        <w:t>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三、基本支出，指保障机构正常运转、完成日常工作任务而发生的人员支出和公用支出。</w:t>
      </w:r>
    </w:p>
    <w:p>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rPr>
        <w:t>四、项目支出，指在基本支出之外为完成特定行政任务和事业发展目标所发生的支出。</w:t>
      </w: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Pr>
        <w:pStyle w:val="13"/>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pPr>
        <w:pStyle w:val="13"/>
        <w:jc w:val="both"/>
        <w:rPr>
          <w:rFonts w:hint="eastAsia" w:ascii="方正小标宋_GBK" w:hAnsi="方正小标宋_GBK" w:eastAsia="方正小标宋_GBK" w:cs="方正小标宋_GBK"/>
          <w:sz w:val="70"/>
          <w:szCs w:val="70"/>
          <w:lang w:eastAsia="zh-CN"/>
        </w:rPr>
      </w:pPr>
    </w:p>
    <w:p>
      <w:pPr>
        <w:pStyle w:val="13"/>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pPr>
        <w:ind w:firstLine="640" w:firstLineChars="200"/>
        <w:jc w:val="left"/>
        <w:rPr>
          <w:rFonts w:hint="eastAsia" w:ascii="宋体" w:hAnsi="宋体" w:eastAsia="宋体" w:cs="黑体"/>
          <w:b/>
          <w:color w:val="000000"/>
          <w:kern w:val="0"/>
          <w:sz w:val="32"/>
          <w:szCs w:val="32"/>
          <w:lang w:val="en-US" w:eastAsia="zh-CN"/>
        </w:rPr>
      </w:pPr>
    </w:p>
    <w:p>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1、2023年部门决算公开表格</w:t>
      </w:r>
    </w:p>
    <w:p>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rPr>
        <w:t>202</w:t>
      </w:r>
      <w:r>
        <w:rPr>
          <w:rFonts w:hint="eastAsia" w:ascii="宋体" w:hAnsi="宋体" w:eastAsia="宋体" w:cs="黑体"/>
          <w:b/>
          <w:color w:val="000000"/>
          <w:kern w:val="0"/>
          <w:sz w:val="32"/>
          <w:szCs w:val="32"/>
          <w:lang w:val="en-US" w:eastAsia="zh-CN"/>
        </w:rPr>
        <w:t>3</w:t>
      </w:r>
      <w:r>
        <w:rPr>
          <w:rFonts w:hint="eastAsia" w:ascii="宋体" w:hAnsi="宋体" w:eastAsia="宋体" w:cs="黑体"/>
          <w:b/>
          <w:color w:val="000000"/>
          <w:kern w:val="0"/>
          <w:sz w:val="32"/>
          <w:szCs w:val="32"/>
        </w:rPr>
        <w:t>年度部门整体支出绩效评价报告</w:t>
      </w:r>
    </w:p>
    <w:p>
      <w:pPr>
        <w:sectPr>
          <w:pgSz w:w="11906" w:h="16838"/>
          <w:pgMar w:top="720" w:right="720" w:bottom="720" w:left="720" w:header="851" w:footer="992" w:gutter="0"/>
          <w:cols w:space="425" w:num="1"/>
          <w:docGrid w:type="linesAndChars" w:linePitch="312" w:charSpace="0"/>
        </w:sectPr>
      </w:pPr>
    </w:p>
    <w:p>
      <w:pPr>
        <w:rPr>
          <w:rFonts w:hint="default"/>
        </w:rPr>
      </w:pPr>
    </w:p>
    <w:p>
      <w:pPr>
        <w:jc w:val="center"/>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val="en-US" w:eastAsia="zh-CN"/>
        </w:rPr>
        <w:t>岳阳市房地产市场服务中心</w:t>
      </w:r>
    </w:p>
    <w:p>
      <w:pPr>
        <w:jc w:val="center"/>
        <w:rPr>
          <w:rFonts w:hint="eastAsia" w:ascii="方正小标宋简体" w:hAnsi="方正小标宋简体" w:eastAsia="方正小标宋简体" w:cs="方正小标宋简体"/>
          <w:sz w:val="44"/>
          <w:szCs w:val="44"/>
          <w:highlight w:val="none"/>
        </w:rPr>
      </w:pP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部门(单位)整体支出</w:t>
      </w:r>
    </w:p>
    <w:p>
      <w:pPr>
        <w:pStyle w:val="3"/>
        <w:rPr>
          <w:rFonts w:hint="eastAsia"/>
        </w:rPr>
      </w:pPr>
    </w:p>
    <w:p>
      <w:pPr>
        <w:spacing w:before="2" w:line="217" w:lineRule="auto"/>
        <w:ind w:left="3076" w:firstLine="848" w:firstLineChars="200"/>
        <w:jc w:val="both"/>
        <w:rPr>
          <w:rFonts w:hint="eastAsia" w:ascii="方正小标宋简体" w:hAnsi="方正小标宋简体" w:eastAsia="方正小标宋简体" w:cs="方正小标宋简体"/>
          <w:b w:val="0"/>
          <w:bCs w:val="0"/>
          <w:color w:val="auto"/>
          <w:spacing w:val="-8"/>
          <w:sz w:val="44"/>
          <w:szCs w:val="44"/>
        </w:rPr>
      </w:pPr>
      <w:r>
        <w:rPr>
          <w:rFonts w:hint="eastAsia" w:ascii="方正小标宋简体" w:hAnsi="方正小标宋简体" w:eastAsia="方正小标宋简体" w:cs="方正小标宋简体"/>
          <w:b w:val="0"/>
          <w:bCs w:val="0"/>
          <w:color w:val="auto"/>
          <w:spacing w:val="-8"/>
          <w:sz w:val="44"/>
          <w:szCs w:val="44"/>
        </w:rPr>
        <w:t>绩</w:t>
      </w:r>
    </w:p>
    <w:p>
      <w:pPr>
        <w:spacing w:before="2" w:line="217" w:lineRule="auto"/>
        <w:ind w:left="3076" w:firstLine="848" w:firstLineChars="200"/>
        <w:jc w:val="both"/>
        <w:rPr>
          <w:rFonts w:hint="eastAsia" w:ascii="方正小标宋简体" w:hAnsi="方正小标宋简体" w:eastAsia="方正小标宋简体" w:cs="方正小标宋简体"/>
          <w:b w:val="0"/>
          <w:bCs w:val="0"/>
          <w:color w:val="auto"/>
          <w:spacing w:val="-8"/>
          <w:sz w:val="44"/>
          <w:szCs w:val="44"/>
        </w:rPr>
      </w:pPr>
      <w:r>
        <w:rPr>
          <w:rFonts w:hint="eastAsia" w:ascii="方正小标宋简体" w:hAnsi="方正小标宋简体" w:eastAsia="方正小标宋简体" w:cs="方正小标宋简体"/>
          <w:b w:val="0"/>
          <w:bCs w:val="0"/>
          <w:color w:val="auto"/>
          <w:spacing w:val="-8"/>
          <w:sz w:val="44"/>
          <w:szCs w:val="44"/>
        </w:rPr>
        <w:t>效</w:t>
      </w:r>
    </w:p>
    <w:p>
      <w:pPr>
        <w:spacing w:before="2" w:line="217" w:lineRule="auto"/>
        <w:ind w:left="3076" w:firstLine="848" w:firstLineChars="200"/>
        <w:jc w:val="both"/>
        <w:rPr>
          <w:rFonts w:hint="eastAsia" w:ascii="方正小标宋简体" w:hAnsi="方正小标宋简体" w:eastAsia="方正小标宋简体" w:cs="方正小标宋简体"/>
          <w:b w:val="0"/>
          <w:bCs w:val="0"/>
          <w:color w:val="auto"/>
          <w:spacing w:val="-8"/>
          <w:sz w:val="44"/>
          <w:szCs w:val="44"/>
        </w:rPr>
      </w:pPr>
      <w:r>
        <w:rPr>
          <w:rFonts w:hint="eastAsia" w:ascii="方正小标宋简体" w:hAnsi="方正小标宋简体" w:eastAsia="方正小标宋简体" w:cs="方正小标宋简体"/>
          <w:b w:val="0"/>
          <w:bCs w:val="0"/>
          <w:color w:val="auto"/>
          <w:spacing w:val="-8"/>
          <w:sz w:val="44"/>
          <w:szCs w:val="44"/>
        </w:rPr>
        <w:t>自</w:t>
      </w:r>
    </w:p>
    <w:p>
      <w:pPr>
        <w:spacing w:before="2" w:line="217" w:lineRule="auto"/>
        <w:ind w:left="3076" w:firstLine="848" w:firstLineChars="200"/>
        <w:jc w:val="both"/>
        <w:rPr>
          <w:rFonts w:hint="eastAsia" w:ascii="方正小标宋简体" w:hAnsi="方正小标宋简体" w:eastAsia="方正小标宋简体" w:cs="方正小标宋简体"/>
          <w:b w:val="0"/>
          <w:bCs w:val="0"/>
          <w:color w:val="auto"/>
          <w:spacing w:val="-8"/>
          <w:sz w:val="44"/>
          <w:szCs w:val="44"/>
        </w:rPr>
      </w:pPr>
      <w:r>
        <w:rPr>
          <w:rFonts w:hint="eastAsia" w:ascii="方正小标宋简体" w:hAnsi="方正小标宋简体" w:eastAsia="方正小标宋简体" w:cs="方正小标宋简体"/>
          <w:b w:val="0"/>
          <w:bCs w:val="0"/>
          <w:color w:val="auto"/>
          <w:spacing w:val="-8"/>
          <w:sz w:val="44"/>
          <w:szCs w:val="44"/>
        </w:rPr>
        <w:t>评</w:t>
      </w:r>
    </w:p>
    <w:p>
      <w:pPr>
        <w:spacing w:before="2" w:line="217" w:lineRule="auto"/>
        <w:ind w:left="3076" w:firstLine="848" w:firstLineChars="200"/>
        <w:jc w:val="both"/>
        <w:rPr>
          <w:rFonts w:hint="eastAsia" w:ascii="方正小标宋简体" w:hAnsi="方正小标宋简体" w:eastAsia="方正小标宋简体" w:cs="方正小标宋简体"/>
          <w:b w:val="0"/>
          <w:bCs w:val="0"/>
          <w:color w:val="auto"/>
          <w:spacing w:val="-8"/>
          <w:sz w:val="44"/>
          <w:szCs w:val="44"/>
        </w:rPr>
      </w:pPr>
      <w:r>
        <w:rPr>
          <w:rFonts w:hint="eastAsia" w:ascii="方正小标宋简体" w:hAnsi="方正小标宋简体" w:eastAsia="方正小标宋简体" w:cs="方正小标宋简体"/>
          <w:b w:val="0"/>
          <w:bCs w:val="0"/>
          <w:color w:val="auto"/>
          <w:spacing w:val="-8"/>
          <w:sz w:val="44"/>
          <w:szCs w:val="44"/>
        </w:rPr>
        <w:t>报</w:t>
      </w:r>
    </w:p>
    <w:p>
      <w:pPr>
        <w:spacing w:before="2" w:line="217" w:lineRule="auto"/>
        <w:ind w:left="3076" w:firstLine="848" w:firstLineChars="200"/>
        <w:jc w:val="both"/>
        <w:rPr>
          <w:rFonts w:hint="eastAsia" w:ascii="方正小标宋简体" w:hAnsi="方正小标宋简体" w:eastAsia="方正小标宋简体" w:cs="方正小标宋简体"/>
          <w:b w:val="0"/>
          <w:bCs w:val="0"/>
          <w:color w:val="auto"/>
          <w:sz w:val="44"/>
          <w:szCs w:val="44"/>
        </w:rPr>
      </w:pPr>
      <w:r>
        <w:rPr>
          <w:rFonts w:hint="eastAsia" w:ascii="方正小标宋简体" w:hAnsi="方正小标宋简体" w:eastAsia="方正小标宋简体" w:cs="方正小标宋简体"/>
          <w:b w:val="0"/>
          <w:bCs w:val="0"/>
          <w:color w:val="auto"/>
          <w:spacing w:val="-8"/>
          <w:sz w:val="44"/>
          <w:szCs w:val="44"/>
        </w:rPr>
        <w:t>告</w:t>
      </w: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both"/>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spacing w:line="600" w:lineRule="exact"/>
        <w:jc w:val="center"/>
        <w:rPr>
          <w:rFonts w:hint="default" w:ascii="Times New Roman" w:hAnsi="Times New Roman" w:eastAsia="仿宋_GB2312" w:cs="Times New Roman"/>
          <w:sz w:val="32"/>
          <w:szCs w:val="32"/>
          <w:highlight w:val="none"/>
          <w:u w:val="single"/>
        </w:rPr>
      </w:pPr>
      <w:r>
        <w:rPr>
          <w:rFonts w:hint="default" w:ascii="Times New Roman" w:hAnsi="Times New Roman" w:eastAsia="仿宋_GB2312" w:cs="Times New Roman"/>
          <w:sz w:val="32"/>
          <w:szCs w:val="32"/>
          <w:highlight w:val="none"/>
        </w:rPr>
        <w:t>部门（单位）名称：</w:t>
      </w:r>
      <w:r>
        <w:rPr>
          <w:rFonts w:hint="default" w:ascii="Times New Roman" w:hAnsi="Times New Roman" w:eastAsia="仿宋_GB2312" w:cs="Times New Roman"/>
          <w:sz w:val="32"/>
          <w:szCs w:val="32"/>
          <w:highlight w:val="none"/>
          <w:u w:val="single"/>
        </w:rPr>
        <w:t>（盖章）</w:t>
      </w:r>
    </w:p>
    <w:p>
      <w:pPr>
        <w:spacing w:line="600" w:lineRule="exact"/>
        <w:jc w:val="center"/>
        <w:rPr>
          <w:rFonts w:hint="default" w:ascii="Times New Roman" w:hAnsi="Times New Roman" w:eastAsia="楷体_GB2312" w:cs="Times New Roman"/>
          <w:sz w:val="32"/>
          <w:szCs w:val="32"/>
          <w:highlight w:val="none"/>
        </w:rPr>
      </w:pPr>
      <w:r>
        <w:rPr>
          <w:rFonts w:hint="eastAsia" w:ascii="Times New Roman" w:hAnsi="Times New Roman" w:eastAsia="楷体_GB2312" w:cs="Times New Roman"/>
          <w:sz w:val="32"/>
          <w:szCs w:val="32"/>
          <w:highlight w:val="none"/>
          <w:lang w:val="en-US" w:eastAsia="zh-CN"/>
        </w:rPr>
        <w:t>2024</w:t>
      </w:r>
      <w:r>
        <w:rPr>
          <w:rFonts w:hint="default" w:ascii="Times New Roman" w:hAnsi="Times New Roman" w:eastAsia="楷体_GB2312" w:cs="Times New Roman"/>
          <w:sz w:val="32"/>
          <w:szCs w:val="32"/>
          <w:highlight w:val="none"/>
        </w:rPr>
        <w:t>年</w:t>
      </w:r>
      <w:r>
        <w:rPr>
          <w:rFonts w:hint="eastAsia" w:ascii="Times New Roman" w:hAnsi="Times New Roman" w:eastAsia="楷体_GB2312" w:cs="Times New Roman"/>
          <w:sz w:val="32"/>
          <w:szCs w:val="32"/>
          <w:highlight w:val="none"/>
          <w:lang w:val="en-US" w:eastAsia="zh-CN"/>
        </w:rPr>
        <w:t>6</w:t>
      </w:r>
      <w:r>
        <w:rPr>
          <w:rFonts w:hint="default" w:ascii="Times New Roman" w:hAnsi="Times New Roman" w:eastAsia="楷体_GB2312" w:cs="Times New Roman"/>
          <w:sz w:val="32"/>
          <w:szCs w:val="32"/>
          <w:highlight w:val="none"/>
        </w:rPr>
        <w:t>月</w:t>
      </w:r>
      <w:r>
        <w:rPr>
          <w:rFonts w:hint="eastAsia" w:ascii="Times New Roman" w:hAnsi="Times New Roman" w:eastAsia="楷体_GB2312" w:cs="Times New Roman"/>
          <w:sz w:val="32"/>
          <w:szCs w:val="32"/>
          <w:highlight w:val="none"/>
          <w:lang w:val="en-US" w:eastAsia="zh-CN"/>
        </w:rPr>
        <w:t>13</w:t>
      </w:r>
      <w:r>
        <w:rPr>
          <w:rFonts w:hint="default" w:ascii="Times New Roman" w:hAnsi="Times New Roman" w:eastAsia="楷体_GB2312" w:cs="Times New Roman"/>
          <w:sz w:val="32"/>
          <w:szCs w:val="32"/>
          <w:highlight w:val="none"/>
        </w:rPr>
        <w:t>日</w:t>
      </w:r>
    </w:p>
    <w:p>
      <w:pPr>
        <w:jc w:val="cente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（此页为封面）</w:t>
      </w:r>
    </w:p>
    <w:p>
      <w:pPr>
        <w:jc w:val="center"/>
        <w:rPr>
          <w:rFonts w:hint="eastAsia" w:ascii="方正小标宋简体" w:hAnsi="方正小标宋简体" w:eastAsia="方正小标宋简体" w:cs="方正小标宋简体"/>
          <w:sz w:val="44"/>
          <w:szCs w:val="44"/>
          <w:highlight w:val="none"/>
          <w:lang w:val="en-US" w:eastAsia="zh-CN"/>
        </w:rPr>
      </w:pPr>
      <w:r>
        <w:rPr>
          <w:rFonts w:hint="default" w:ascii="Times New Roman" w:hAnsi="Times New Roman" w:eastAsia="仿宋_GB2312" w:cs="Times New Roman"/>
          <w:sz w:val="32"/>
          <w:szCs w:val="32"/>
          <w:highlight w:val="none"/>
        </w:rPr>
        <w:br w:type="page"/>
      </w: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val="en-US" w:eastAsia="zh-CN"/>
        </w:rPr>
        <w:t>岳阳市房地产市场服务中心</w:t>
      </w: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部门(单位)整体支出绩效自评报告</w:t>
      </w:r>
    </w:p>
    <w:p>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pPr>
        <w:keepNext w:val="0"/>
        <w:keepLines w:val="0"/>
        <w:pageBreakBefore w:val="0"/>
        <w:numPr>
          <w:ilvl w:val="0"/>
          <w:numId w:val="2"/>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部门（单位）基本情况</w:t>
      </w:r>
    </w:p>
    <w:p>
      <w:pPr>
        <w:keepNext w:val="0"/>
        <w:keepLines w:val="0"/>
        <w:pageBreakBefore w:val="0"/>
        <w:widowControl w:val="0"/>
        <w:kinsoku/>
        <w:wordWrap/>
        <w:overflowPunct/>
        <w:topLinePunct w:val="0"/>
        <w:autoSpaceDE/>
        <w:autoSpaceDN/>
        <w:bidi w:val="0"/>
        <w:adjustRightInd/>
        <w:snapToGrid/>
        <w:spacing w:before="261" w:line="600" w:lineRule="exact"/>
        <w:ind w:right="17" w:firstLine="640" w:firstLineChars="200"/>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1、负责有关房地产开发经营、法律、法规、政策宣传及相关业务事项咨询等工作；</w:t>
      </w:r>
    </w:p>
    <w:p>
      <w:pPr>
        <w:keepNext w:val="0"/>
        <w:keepLines w:val="0"/>
        <w:pageBreakBefore w:val="0"/>
        <w:widowControl w:val="0"/>
        <w:kinsoku/>
        <w:wordWrap/>
        <w:overflowPunct/>
        <w:topLinePunct w:val="0"/>
        <w:autoSpaceDE/>
        <w:autoSpaceDN/>
        <w:bidi w:val="0"/>
        <w:adjustRightInd/>
        <w:snapToGrid/>
        <w:spacing w:before="261" w:line="600" w:lineRule="exact"/>
        <w:ind w:right="17" w:firstLine="640" w:firstLineChars="200"/>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2、配合草拟我市房地产开发经营相关办法并参与实</w:t>
      </w:r>
    </w:p>
    <w:p>
      <w:pPr>
        <w:keepNext w:val="0"/>
        <w:keepLines w:val="0"/>
        <w:pageBreakBefore w:val="0"/>
        <w:widowControl w:val="0"/>
        <w:kinsoku/>
        <w:wordWrap/>
        <w:overflowPunct/>
        <w:topLinePunct w:val="0"/>
        <w:autoSpaceDE/>
        <w:autoSpaceDN/>
        <w:bidi w:val="0"/>
        <w:adjustRightInd/>
        <w:snapToGrid/>
        <w:spacing w:before="261" w:line="600" w:lineRule="exact"/>
        <w:ind w:right="17" w:firstLine="640" w:firstLineChars="200"/>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3、负责全市房地产开发企业资质申请的初审报批；</w:t>
      </w:r>
    </w:p>
    <w:p>
      <w:pPr>
        <w:keepNext w:val="0"/>
        <w:keepLines w:val="0"/>
        <w:pageBreakBefore w:val="0"/>
        <w:widowControl w:val="0"/>
        <w:kinsoku/>
        <w:wordWrap/>
        <w:overflowPunct/>
        <w:topLinePunct w:val="0"/>
        <w:autoSpaceDE/>
        <w:autoSpaceDN/>
        <w:bidi w:val="0"/>
        <w:adjustRightInd/>
        <w:snapToGrid/>
        <w:spacing w:before="261" w:line="600" w:lineRule="exact"/>
        <w:ind w:right="17" w:firstLine="640" w:firstLineChars="200"/>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4、负责市城区房地产开发企业信用信息日常管理，商品房预售许可申请的初审报批，房地产开发项目资本金储存解控等工作；</w:t>
      </w:r>
    </w:p>
    <w:p>
      <w:pPr>
        <w:keepNext w:val="0"/>
        <w:keepLines w:val="0"/>
        <w:pageBreakBefore w:val="0"/>
        <w:widowControl w:val="0"/>
        <w:kinsoku/>
        <w:wordWrap/>
        <w:overflowPunct/>
        <w:topLinePunct w:val="0"/>
        <w:autoSpaceDE/>
        <w:autoSpaceDN/>
        <w:bidi w:val="0"/>
        <w:adjustRightInd/>
        <w:snapToGrid/>
        <w:spacing w:before="261" w:line="600" w:lineRule="exact"/>
        <w:ind w:right="17" w:firstLine="640" w:firstLineChars="200"/>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5、负责市中心城区商品房预售款缴存使用，房地产开发经营市场纠纷调处和信访接待回复；</w:t>
      </w:r>
    </w:p>
    <w:p>
      <w:pPr>
        <w:pStyle w:val="14"/>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6、协助做好房地产开发经营行业文明创建、行业统计、从业人员培训教育。</w:t>
      </w:r>
    </w:p>
    <w:p>
      <w:pPr>
        <w:pStyle w:val="14"/>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二、一般公共预算支出情况</w:t>
      </w:r>
    </w:p>
    <w:p>
      <w:pPr>
        <w:pStyle w:val="14"/>
        <w:keepNext w:val="0"/>
        <w:keepLines w:val="0"/>
        <w:pageBreakBefore w:val="0"/>
        <w:widowControl/>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（一）基本支出情况</w:t>
      </w:r>
    </w:p>
    <w:p>
      <w:pPr>
        <w:keepNext w:val="0"/>
        <w:keepLines w:val="0"/>
        <w:pageBreakBefore w:val="0"/>
        <w:widowControl w:val="0"/>
        <w:kinsoku/>
        <w:wordWrap/>
        <w:overflowPunct/>
        <w:topLinePunct w:val="0"/>
        <w:autoSpaceDE/>
        <w:autoSpaceDN/>
        <w:bidi w:val="0"/>
        <w:adjustRightInd/>
        <w:snapToGrid/>
        <w:spacing w:before="261" w:line="600" w:lineRule="exact"/>
        <w:ind w:right="17" w:firstLine="640" w:firstLineChars="200"/>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2023年度财政拨款基本支出289.76万元，其中：人员经费259.47万元；</w:t>
      </w:r>
      <w:r>
        <w:rPr>
          <w:rFonts w:hint="eastAsia" w:ascii="仿宋_GB2312" w:hAnsi="仿宋_GB2312" w:eastAsia="仿宋_GB2312" w:cs="仿宋_GB2312"/>
          <w:kern w:val="0"/>
          <w:sz w:val="32"/>
          <w:szCs w:val="32"/>
          <w:lang w:val="zh-CN" w:eastAsia="zh-CN" w:bidi="ar-SA"/>
        </w:rPr>
        <w:t>公用经费</w:t>
      </w:r>
      <w:r>
        <w:rPr>
          <w:rFonts w:hint="eastAsia" w:ascii="仿宋_GB2312" w:hAnsi="仿宋_GB2312" w:eastAsia="仿宋_GB2312" w:cs="仿宋_GB2312"/>
          <w:kern w:val="0"/>
          <w:sz w:val="32"/>
          <w:szCs w:val="32"/>
          <w:lang w:val="en-US" w:eastAsia="zh-CN" w:bidi="ar-SA"/>
        </w:rPr>
        <w:t>30.29</w:t>
      </w:r>
      <w:r>
        <w:rPr>
          <w:rFonts w:hint="eastAsia" w:ascii="仿宋_GB2312" w:hAnsi="仿宋_GB2312" w:eastAsia="仿宋_GB2312" w:cs="仿宋_GB2312"/>
          <w:kern w:val="0"/>
          <w:sz w:val="32"/>
          <w:szCs w:val="32"/>
          <w:lang w:val="zh-CN" w:eastAsia="zh-CN" w:bidi="ar-SA"/>
        </w:rPr>
        <w:t>万元</w:t>
      </w:r>
      <w:r>
        <w:rPr>
          <w:rFonts w:hint="eastAsia" w:ascii="仿宋_GB2312" w:hAnsi="仿宋_GB2312" w:eastAsia="仿宋_GB2312" w:cs="仿宋_GB2312"/>
          <w:kern w:val="0"/>
          <w:sz w:val="32"/>
          <w:szCs w:val="32"/>
          <w:lang w:val="en-US" w:eastAsia="zh-CN" w:bidi="ar-SA"/>
        </w:rPr>
        <w:t>。</w:t>
      </w:r>
    </w:p>
    <w:p>
      <w:pPr>
        <w:pStyle w:val="14"/>
        <w:keepNext w:val="0"/>
        <w:keepLines w:val="0"/>
        <w:pageBreakBefore w:val="0"/>
        <w:widowControl/>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p>
    <w:p>
      <w:pPr>
        <w:pStyle w:val="14"/>
        <w:keepNext w:val="0"/>
        <w:keepLines w:val="0"/>
        <w:pageBreakBefore w:val="0"/>
        <w:widowControl/>
        <w:numPr>
          <w:ilvl w:val="0"/>
          <w:numId w:val="3"/>
        </w:numPr>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项目支出情况</w:t>
      </w:r>
    </w:p>
    <w:p>
      <w:pPr>
        <w:numPr>
          <w:ilvl w:val="0"/>
          <w:numId w:val="0"/>
        </w:numPr>
        <w:spacing w:line="226" w:lineRule="auto"/>
        <w:ind w:firstLine="500" w:firstLineChars="0"/>
        <w:rPr>
          <w:rFonts w:hint="default" w:ascii="Times New Roman" w:hAnsi="Times New Roman" w:eastAsia="楷体_GB2312" w:cs="Times New Roman"/>
          <w:b/>
          <w:sz w:val="32"/>
          <w:szCs w:val="32"/>
          <w:highlight w:val="none"/>
        </w:rPr>
      </w:pPr>
      <w:r>
        <w:rPr>
          <w:rFonts w:hint="eastAsia" w:ascii="仿宋_GB2312" w:hAnsi="仿宋_GB2312" w:eastAsia="仿宋_GB2312" w:cs="仿宋_GB2312"/>
          <w:kern w:val="0"/>
          <w:sz w:val="32"/>
          <w:szCs w:val="32"/>
          <w:lang w:val="en-US" w:eastAsia="zh-CN" w:bidi="ar-SA"/>
        </w:rPr>
        <w:t>2023年度财政拨款项目支出76.96万元。</w:t>
      </w:r>
    </w:p>
    <w:p>
      <w:pPr>
        <w:keepNext w:val="0"/>
        <w:keepLines w:val="0"/>
        <w:pageBreakBefore w:val="0"/>
        <w:widowControl w:val="0"/>
        <w:kinsoku w:val="0"/>
        <w:wordWrap/>
        <w:overflowPunct/>
        <w:topLinePunct w:val="0"/>
        <w:autoSpaceDE w:val="0"/>
        <w:autoSpaceDN w:val="0"/>
        <w:bidi w:val="0"/>
        <w:adjustRightInd w:val="0"/>
        <w:snapToGrid w:val="0"/>
        <w:spacing w:line="640" w:lineRule="exact"/>
        <w:ind w:left="0" w:firstLine="640" w:firstLineChars="200"/>
        <w:jc w:val="both"/>
        <w:textAlignment w:val="baseline"/>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三、政府性基金预算支出情况</w:t>
      </w:r>
    </w:p>
    <w:p>
      <w:pPr>
        <w:keepNext w:val="0"/>
        <w:keepLines w:val="0"/>
        <w:pageBreakBefore w:val="0"/>
        <w:widowControl w:val="0"/>
        <w:kinsoku w:val="0"/>
        <w:wordWrap/>
        <w:overflowPunct/>
        <w:topLinePunct w:val="0"/>
        <w:autoSpaceDE w:val="0"/>
        <w:autoSpaceDN w:val="0"/>
        <w:bidi w:val="0"/>
        <w:adjustRightInd w:val="0"/>
        <w:snapToGrid w:val="0"/>
        <w:spacing w:line="640" w:lineRule="exact"/>
        <w:ind w:left="0" w:firstLine="640" w:firstLineChars="200"/>
        <w:jc w:val="both"/>
        <w:textAlignment w:val="baseline"/>
        <w:rPr>
          <w:rFonts w:hint="default" w:ascii="Times New Roman" w:hAnsi="Times New Roman" w:eastAsia="黑体" w:cs="Times New Roman"/>
          <w:sz w:val="32"/>
          <w:szCs w:val="32"/>
          <w:highlight w:val="none"/>
        </w:rPr>
      </w:pPr>
      <w:r>
        <w:rPr>
          <w:rFonts w:hint="default" w:ascii="仿宋_GB2312" w:hAnsi="仿宋_GB2312" w:eastAsia="仿宋_GB2312" w:cs="仿宋_GB2312"/>
          <w:kern w:val="0"/>
          <w:sz w:val="32"/>
          <w:szCs w:val="32"/>
          <w:lang w:val="en-US" w:eastAsia="zh-CN" w:bidi="ar-SA"/>
        </w:rPr>
        <w:t>本单位无政府性基金预算支出</w:t>
      </w:r>
    </w:p>
    <w:p>
      <w:pPr>
        <w:keepNext w:val="0"/>
        <w:keepLines w:val="0"/>
        <w:pageBreakBefore w:val="0"/>
        <w:widowControl w:val="0"/>
        <w:numPr>
          <w:ilvl w:val="0"/>
          <w:numId w:val="4"/>
        </w:numPr>
        <w:kinsoku w:val="0"/>
        <w:wordWrap/>
        <w:overflowPunct/>
        <w:topLinePunct w:val="0"/>
        <w:autoSpaceDE w:val="0"/>
        <w:autoSpaceDN w:val="0"/>
        <w:bidi w:val="0"/>
        <w:adjustRightInd w:val="0"/>
        <w:snapToGrid w:val="0"/>
        <w:spacing w:line="640" w:lineRule="exact"/>
        <w:ind w:left="0" w:firstLine="640" w:firstLineChars="200"/>
        <w:jc w:val="both"/>
        <w:textAlignment w:val="baseline"/>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国有资本经营预算支出情况</w:t>
      </w:r>
    </w:p>
    <w:p>
      <w:pPr>
        <w:keepNext w:val="0"/>
        <w:keepLines w:val="0"/>
        <w:pageBreakBefore w:val="0"/>
        <w:widowControl w:val="0"/>
        <w:numPr>
          <w:ilvl w:val="0"/>
          <w:numId w:val="0"/>
        </w:numPr>
        <w:kinsoku w:val="0"/>
        <w:wordWrap/>
        <w:overflowPunct/>
        <w:topLinePunct w:val="0"/>
        <w:autoSpaceDE w:val="0"/>
        <w:autoSpaceDN w:val="0"/>
        <w:bidi w:val="0"/>
        <w:adjustRightInd w:val="0"/>
        <w:snapToGrid w:val="0"/>
        <w:spacing w:line="640" w:lineRule="exact"/>
        <w:ind w:leftChars="200"/>
        <w:jc w:val="both"/>
        <w:textAlignment w:val="baseline"/>
        <w:rPr>
          <w:rFonts w:hint="default" w:ascii="仿宋_GB2312" w:hAnsi="仿宋_GB2312" w:eastAsia="仿宋_GB2312" w:cs="仿宋_GB2312"/>
          <w:kern w:val="0"/>
          <w:sz w:val="32"/>
          <w:szCs w:val="32"/>
          <w:lang w:val="en-US" w:eastAsia="zh-CN" w:bidi="ar-SA"/>
        </w:rPr>
      </w:pPr>
      <w:r>
        <w:rPr>
          <w:rFonts w:hint="default" w:ascii="仿宋_GB2312" w:hAnsi="仿宋_GB2312" w:eastAsia="仿宋_GB2312" w:cs="仿宋_GB2312"/>
          <w:kern w:val="0"/>
          <w:sz w:val="32"/>
          <w:szCs w:val="32"/>
          <w:lang w:val="en-US" w:eastAsia="zh-CN" w:bidi="ar-SA"/>
        </w:rPr>
        <w:t>本单位无国有资本经营预算支出</w:t>
      </w:r>
    </w:p>
    <w:p>
      <w:pPr>
        <w:keepNext w:val="0"/>
        <w:keepLines w:val="0"/>
        <w:pageBreakBefore w:val="0"/>
        <w:widowControl w:val="0"/>
        <w:numPr>
          <w:ilvl w:val="0"/>
          <w:numId w:val="4"/>
        </w:numPr>
        <w:kinsoku w:val="0"/>
        <w:wordWrap/>
        <w:overflowPunct/>
        <w:topLinePunct w:val="0"/>
        <w:autoSpaceDE w:val="0"/>
        <w:autoSpaceDN w:val="0"/>
        <w:bidi w:val="0"/>
        <w:adjustRightInd w:val="0"/>
        <w:snapToGrid w:val="0"/>
        <w:spacing w:line="640" w:lineRule="exact"/>
        <w:ind w:left="0" w:leftChars="0" w:firstLine="640" w:firstLineChars="200"/>
        <w:jc w:val="both"/>
        <w:textAlignment w:val="baseline"/>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社会保险基金预算支出情况</w:t>
      </w:r>
    </w:p>
    <w:p>
      <w:pPr>
        <w:keepNext w:val="0"/>
        <w:keepLines w:val="0"/>
        <w:pageBreakBefore w:val="0"/>
        <w:widowControl w:val="0"/>
        <w:numPr>
          <w:ilvl w:val="0"/>
          <w:numId w:val="0"/>
        </w:numPr>
        <w:kinsoku w:val="0"/>
        <w:wordWrap/>
        <w:overflowPunct/>
        <w:topLinePunct w:val="0"/>
        <w:autoSpaceDE w:val="0"/>
        <w:autoSpaceDN w:val="0"/>
        <w:bidi w:val="0"/>
        <w:adjustRightInd w:val="0"/>
        <w:snapToGrid w:val="0"/>
        <w:spacing w:line="640" w:lineRule="exact"/>
        <w:ind w:leftChars="200"/>
        <w:jc w:val="both"/>
        <w:textAlignment w:val="baseline"/>
        <w:rPr>
          <w:rFonts w:hint="default" w:ascii="Times New Roman" w:hAnsi="Times New Roman" w:eastAsia="黑体" w:cs="Times New Roman"/>
          <w:sz w:val="32"/>
          <w:szCs w:val="32"/>
          <w:highlight w:val="none"/>
        </w:rPr>
      </w:pPr>
      <w:r>
        <w:rPr>
          <w:rFonts w:hint="default" w:ascii="仿宋_GB2312" w:hAnsi="仿宋_GB2312" w:eastAsia="仿宋_GB2312" w:cs="仿宋_GB2312"/>
          <w:kern w:val="0"/>
          <w:sz w:val="32"/>
          <w:szCs w:val="32"/>
          <w:lang w:val="en-US" w:eastAsia="zh-CN" w:bidi="ar-SA"/>
        </w:rPr>
        <w:t>本单位无社会保险基金预算支出</w:t>
      </w:r>
    </w:p>
    <w:p>
      <w:pPr>
        <w:keepNext w:val="0"/>
        <w:keepLines w:val="0"/>
        <w:pageBreakBefore w:val="0"/>
        <w:widowControl w:val="0"/>
        <w:numPr>
          <w:ilvl w:val="0"/>
          <w:numId w:val="4"/>
        </w:numPr>
        <w:kinsoku w:val="0"/>
        <w:wordWrap/>
        <w:overflowPunct/>
        <w:topLinePunct w:val="0"/>
        <w:autoSpaceDE w:val="0"/>
        <w:autoSpaceDN w:val="0"/>
        <w:bidi w:val="0"/>
        <w:adjustRightInd w:val="0"/>
        <w:snapToGrid w:val="0"/>
        <w:spacing w:line="640" w:lineRule="exact"/>
        <w:ind w:left="0" w:leftChars="0" w:firstLine="640" w:firstLineChars="200"/>
        <w:jc w:val="both"/>
        <w:textAlignment w:val="baseline"/>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部门整体支出绩效情况</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kern w:val="0"/>
          <w:sz w:val="32"/>
          <w:szCs w:val="32"/>
          <w:lang w:val="en-US" w:eastAsia="zh-CN" w:bidi="ar-SA"/>
        </w:rPr>
      </w:pPr>
      <w:r>
        <w:rPr>
          <w:rFonts w:hint="eastAsia" w:ascii="仿宋_GB2312" w:hAnsi="仿宋_GB2312" w:eastAsia="仿宋_GB2312" w:cs="仿宋_GB2312"/>
          <w:color w:val="auto"/>
          <w:sz w:val="32"/>
          <w:szCs w:val="32"/>
          <w:lang w:val="en-US" w:eastAsia="zh-CN"/>
        </w:rPr>
        <w:t>坚持“房住不炒”定位，聚焦“保交楼、稳市场、强监管、优服务”四大目标。市中心城区恒大、融创项目继保交楼专项借款5.981亿元后，相继争取</w:t>
      </w:r>
      <w:r>
        <w:rPr>
          <w:rFonts w:hint="eastAsia" w:ascii="仿宋_GB2312" w:hAnsi="仿宋_GB2312" w:eastAsia="仿宋_GB2312" w:cs="仿宋_GB2312"/>
          <w:i w:val="0"/>
          <w:iCs w:val="0"/>
          <w:caps w:val="0"/>
          <w:color w:val="auto"/>
          <w:spacing w:val="0"/>
          <w:sz w:val="32"/>
          <w:szCs w:val="32"/>
        </w:rPr>
        <w:t>央企</w:t>
      </w:r>
      <w:r>
        <w:rPr>
          <w:rFonts w:hint="eastAsia" w:ascii="仿宋_GB2312" w:hAnsi="仿宋_GB2312" w:eastAsia="仿宋_GB2312" w:cs="仿宋_GB2312"/>
          <w:i w:val="0"/>
          <w:iCs w:val="0"/>
          <w:caps w:val="0"/>
          <w:color w:val="auto"/>
          <w:spacing w:val="0"/>
          <w:sz w:val="32"/>
          <w:szCs w:val="32"/>
          <w:lang w:val="en-US" w:eastAsia="zh-CN"/>
        </w:rPr>
        <w:t>垫资4亿元续建恒大保交楼项目，融创出售2亿元资产用于保交楼项目续建，五个项目</w:t>
      </w:r>
      <w:r>
        <w:rPr>
          <w:rFonts w:hint="eastAsia" w:ascii="Times New Roman" w:hAnsi="Times New Roman" w:eastAsia="仿宋_GB2312" w:cs="Times New Roman"/>
          <w:i w:val="0"/>
          <w:iCs w:val="0"/>
          <w:caps w:val="0"/>
          <w:color w:val="auto"/>
          <w:spacing w:val="0"/>
          <w:sz w:val="32"/>
          <w:szCs w:val="32"/>
          <w:lang w:val="en-US" w:eastAsia="zh-CN"/>
        </w:rPr>
        <w:t>全</w:t>
      </w:r>
      <w:r>
        <w:rPr>
          <w:rFonts w:hint="eastAsia" w:ascii="仿宋_GB2312" w:hAnsi="仿宋_GB2312" w:eastAsia="仿宋_GB2312" w:cs="仿宋_GB2312"/>
          <w:i w:val="0"/>
          <w:iCs w:val="0"/>
          <w:caps w:val="0"/>
          <w:color w:val="auto"/>
          <w:spacing w:val="0"/>
          <w:sz w:val="32"/>
          <w:szCs w:val="32"/>
          <w:lang w:val="en-US" w:eastAsia="zh-CN"/>
        </w:rPr>
        <w:t>年共计交</w:t>
      </w:r>
      <w:r>
        <w:rPr>
          <w:rFonts w:hint="eastAsia" w:ascii="Times New Roman" w:hAnsi="Times New Roman" w:eastAsia="仿宋_GB2312" w:cs="Times New Roman"/>
          <w:i w:val="0"/>
          <w:iCs w:val="0"/>
          <w:caps w:val="0"/>
          <w:color w:val="auto"/>
          <w:spacing w:val="0"/>
          <w:sz w:val="32"/>
          <w:szCs w:val="32"/>
          <w:lang w:val="en-US" w:eastAsia="zh-CN"/>
        </w:rPr>
        <w:t>付6037</w:t>
      </w:r>
      <w:r>
        <w:rPr>
          <w:rFonts w:hint="eastAsia" w:ascii="仿宋_GB2312" w:hAnsi="仿宋_GB2312" w:eastAsia="仿宋_GB2312" w:cs="仿宋_GB2312"/>
          <w:i w:val="0"/>
          <w:iCs w:val="0"/>
          <w:caps w:val="0"/>
          <w:color w:val="auto"/>
          <w:spacing w:val="0"/>
          <w:sz w:val="32"/>
          <w:szCs w:val="32"/>
          <w:lang w:val="en-US" w:eastAsia="zh-CN"/>
        </w:rPr>
        <w:t>套，交付率94.17%，超额提前完成了省定目标。</w:t>
      </w:r>
      <w:r>
        <w:rPr>
          <w:rFonts w:hint="eastAsia" w:ascii="仿宋_GB2312" w:hAnsi="宋体" w:eastAsia="仿宋_GB2312" w:cs="仿宋_GB2312"/>
          <w:color w:val="auto"/>
          <w:kern w:val="2"/>
          <w:sz w:val="32"/>
          <w:szCs w:val="32"/>
          <w:lang w:val="en-US" w:eastAsia="zh-CN" w:bidi="ar-SA"/>
        </w:rPr>
        <w:t>联合局相关科室起草了《关于进一步支持刚性和改善性住房需求促进岳阳市城区房地产市场平稳健康发展的若干措施（试行）》</w:t>
      </w:r>
      <w:r>
        <w:rPr>
          <w:rFonts w:hint="eastAsia" w:ascii="仿宋_GB2312" w:hAnsi="仿宋_GB2312" w:eastAsia="仿宋_GB2312" w:cs="仿宋_GB2312"/>
          <w:kern w:val="0"/>
          <w:sz w:val="32"/>
          <w:szCs w:val="32"/>
          <w:lang w:val="en-US" w:eastAsia="zh-CN" w:bidi="ar-SA"/>
        </w:rPr>
        <w:t>。</w:t>
      </w:r>
      <w:r>
        <w:rPr>
          <w:rFonts w:hint="eastAsia" w:ascii="仿宋_GB2312" w:hAnsi="宋体" w:eastAsia="仿宋_GB2312" w:cs="仿宋_GB2312"/>
          <w:color w:val="auto"/>
          <w:kern w:val="2"/>
          <w:sz w:val="32"/>
          <w:szCs w:val="32"/>
          <w:lang w:val="en-US" w:eastAsia="zh-CN" w:bidi="ar-SA"/>
        </w:rPr>
        <w:t>申请、组织召开相关保交楼会议50余次，其中市委副书记、市长李挚办公会议1次，市委常委、副市长李美云专题会议3次；出台市长办公会议纪要1份、保交楼专题调度会议备忘录15份，发布保交楼工作通报4份。配合市专班争取到</w:t>
      </w:r>
      <w:r>
        <w:rPr>
          <w:rFonts w:hint="eastAsia" w:ascii="仿宋_GB2312" w:hAnsi="仿宋_GB2312" w:eastAsia="仿宋_GB2312" w:cs="仿宋_GB2312"/>
          <w:color w:val="auto"/>
          <w:sz w:val="32"/>
          <w:szCs w:val="32"/>
          <w:lang w:val="en-US" w:eastAsia="zh-CN"/>
        </w:rPr>
        <w:t>中国化学工程第四建设有限公司滚动垫资4亿元用于恒大养生谷、恒大未来城项目续建；</w:t>
      </w:r>
      <w:r>
        <w:rPr>
          <w:rFonts w:hint="eastAsia" w:ascii="仿宋_GB2312" w:hAnsi="仿宋_GB2312" w:eastAsia="仿宋_GB2312" w:cs="仿宋_GB2312"/>
          <w:color w:val="auto"/>
          <w:kern w:val="2"/>
          <w:sz w:val="32"/>
          <w:szCs w:val="32"/>
          <w:lang w:val="en-US" w:eastAsia="zh-CN" w:bidi="ar-SA"/>
        </w:rPr>
        <w:t>协调市城投集团按照市场化原则，购买融创项目2亿元资产用于项目续建。</w:t>
      </w:r>
      <w:r>
        <w:rPr>
          <w:rFonts w:hint="eastAsia" w:ascii="仿宋_GB2312" w:hAnsi="仿宋_GB2312" w:eastAsia="仿宋_GB2312" w:cs="仿宋_GB2312"/>
          <w:color w:val="auto"/>
          <w:sz w:val="32"/>
          <w:szCs w:val="32"/>
          <w:lang w:val="en-US" w:eastAsia="zh-CN"/>
        </w:rPr>
        <w:t>对项目周边市政配套道路建设</w:t>
      </w:r>
      <w:r>
        <w:rPr>
          <w:rFonts w:hint="eastAsia" w:ascii="仿宋_GB2312" w:hAnsi="仿宋_GB2312" w:eastAsia="仿宋_GB2312" w:cs="仿宋_GB2312"/>
          <w:color w:val="auto"/>
          <w:sz w:val="32"/>
          <w:szCs w:val="32"/>
        </w:rPr>
        <w:t>实行“一路一策”，</w:t>
      </w:r>
      <w:r>
        <w:rPr>
          <w:rFonts w:hint="eastAsia" w:ascii="仿宋_GB2312" w:hAnsi="仿宋_GB2312" w:eastAsia="仿宋_GB2312" w:cs="仿宋_GB2312"/>
          <w:color w:val="auto"/>
          <w:kern w:val="2"/>
          <w:sz w:val="32"/>
          <w:szCs w:val="32"/>
          <w:lang w:val="en-US" w:eastAsia="zh-CN" w:bidi="ar-SA"/>
        </w:rPr>
        <w:t>重点巡查检验即将交付项目的房屋施工质量情况，确保顺利交付；建立四方见面会制度，明确专人畅通业主沟通渠道，及时回应群众诉求，缓解业主焦虑。</w:t>
      </w:r>
    </w:p>
    <w:p>
      <w:pPr>
        <w:keepNext w:val="0"/>
        <w:keepLines w:val="0"/>
        <w:pageBreakBefore w:val="0"/>
        <w:widowControl/>
        <w:numPr>
          <w:ilvl w:val="0"/>
          <w:numId w:val="4"/>
        </w:numPr>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存在的问题及原因分析</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leftChars="200"/>
        <w:jc w:val="both"/>
        <w:textAlignment w:val="auto"/>
        <w:rPr>
          <w:rFonts w:hint="default" w:ascii="Times New Roman" w:hAnsi="Times New Roman" w:eastAsia="黑体" w:cs="Times New Roman"/>
          <w:sz w:val="32"/>
          <w:szCs w:val="32"/>
          <w:highlight w:val="none"/>
        </w:rPr>
      </w:pPr>
      <w:r>
        <w:rPr>
          <w:rFonts w:hint="eastAsia" w:ascii="Times New Roman" w:hAnsi="Times New Roman" w:eastAsia="仿宋_GB2312" w:cs="Times New Roman"/>
          <w:sz w:val="32"/>
          <w:szCs w:val="32"/>
          <w:highlight w:val="none"/>
          <w:lang w:val="en-US" w:eastAsia="zh-CN"/>
        </w:rPr>
        <w:t>无</w:t>
      </w:r>
    </w:p>
    <w:p>
      <w:pPr>
        <w:keepNext w:val="0"/>
        <w:keepLines w:val="0"/>
        <w:pageBreakBefore w:val="0"/>
        <w:widowControl/>
        <w:numPr>
          <w:ilvl w:val="0"/>
          <w:numId w:val="4"/>
        </w:numPr>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下一步改进措施</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leftChars="200"/>
        <w:jc w:val="both"/>
        <w:textAlignment w:val="auto"/>
        <w:rPr>
          <w:rFonts w:hint="default" w:ascii="Times New Roman" w:hAnsi="Times New Roman" w:eastAsia="黑体" w:cs="Times New Roman"/>
          <w:sz w:val="32"/>
          <w:szCs w:val="32"/>
          <w:highlight w:val="none"/>
        </w:rPr>
      </w:pPr>
      <w:r>
        <w:rPr>
          <w:rFonts w:hint="eastAsia" w:ascii="Times New Roman" w:hAnsi="Times New Roman" w:eastAsia="仿宋_GB2312" w:cs="Times New Roman"/>
          <w:sz w:val="32"/>
          <w:szCs w:val="32"/>
          <w:highlight w:val="none"/>
          <w:lang w:val="en-US" w:eastAsia="zh-CN"/>
        </w:rPr>
        <w:t>无</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九、部门整体支出绩效自评结果拟应用和公开情况</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其他需要说明的情况</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Times New Roman" w:hAnsi="Times New Roman" w:eastAsia="仿宋_GB2312" w:cs="Times New Roman"/>
          <w:color w:val="000000"/>
          <w:sz w:val="32"/>
          <w:szCs w:val="32"/>
          <w:highlight w:val="none"/>
          <w:lang w:val="en-US" w:eastAsia="zh-CN"/>
        </w:rPr>
      </w:pPr>
      <w:r>
        <w:rPr>
          <w:rFonts w:hint="eastAsia" w:ascii="Times New Roman" w:hAnsi="Times New Roman" w:eastAsia="仿宋_GB2312" w:cs="Times New Roman"/>
          <w:color w:val="000000"/>
          <w:sz w:val="32"/>
          <w:szCs w:val="32"/>
          <w:highlight w:val="none"/>
          <w:lang w:val="en-US" w:eastAsia="zh-CN"/>
        </w:rPr>
        <w:t>无</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报告需要以下附件：</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部门整体支出绩效评价基础数据表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部门整体支出绩效自评表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项目支出绩效自评表（一个一级项目支出一张表）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政府性基金预算支出情况表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国有资本经营预算支出情况表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6</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社会保险基金预算支出情况表</w:t>
      </w:r>
    </w:p>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highlight w:val="none"/>
        </w:rPr>
      </w:pPr>
      <w:r>
        <w:rPr>
          <w:rFonts w:hint="default" w:ascii="Times New Roman" w:hAnsi="Times New Roman" w:eastAsia="仿宋_GB2312" w:cs="Times New Roman"/>
          <w:sz w:val="22"/>
          <w:highlight w:val="none"/>
        </w:rPr>
        <w:br w:type="page"/>
      </w:r>
    </w:p>
    <w:p>
      <w:pPr>
        <w:spacing w:after="120" w:afterLines="50" w:line="600" w:lineRule="exact"/>
        <w:jc w:val="both"/>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eastAsia="zh-CN"/>
        </w:rPr>
        <w:t>附件</w:t>
      </w:r>
      <w:r>
        <w:rPr>
          <w:rFonts w:hint="eastAsia" w:ascii="黑体" w:hAnsi="黑体" w:eastAsia="黑体" w:cs="黑体"/>
          <w:sz w:val="32"/>
          <w:szCs w:val="32"/>
          <w:highlight w:val="none"/>
          <w:lang w:val="en-US" w:eastAsia="zh-CN"/>
        </w:rPr>
        <w:t>1</w:t>
      </w:r>
    </w:p>
    <w:p>
      <w:pPr>
        <w:spacing w:after="120" w:afterLines="50" w:line="600" w:lineRule="exact"/>
        <w:jc w:val="center"/>
        <w:rPr>
          <w:rFonts w:hint="eastAsia" w:ascii="方正小标宋简体" w:hAnsi="方正小标宋简体" w:eastAsia="方正小标宋简体" w:cs="方正小标宋简体"/>
          <w:sz w:val="24"/>
          <w:highlight w:val="none"/>
        </w:rPr>
      </w:pPr>
      <w:r>
        <w:rPr>
          <w:rFonts w:hint="eastAsia" w:ascii="方正小标宋简体" w:hAnsi="方正小标宋简体" w:eastAsia="方正小标宋简体" w:cs="方正小标宋简体"/>
          <w:sz w:val="36"/>
          <w:szCs w:val="36"/>
          <w:highlight w:val="none"/>
        </w:rPr>
        <w:t>202</w:t>
      </w:r>
      <w:r>
        <w:rPr>
          <w:rFonts w:hint="eastAsia" w:ascii="方正小标宋简体" w:hAnsi="方正小标宋简体" w:eastAsia="方正小标宋简体" w:cs="方正小标宋简体"/>
          <w:sz w:val="36"/>
          <w:szCs w:val="36"/>
          <w:highlight w:val="none"/>
          <w:lang w:val="en-US" w:eastAsia="zh-CN"/>
        </w:rPr>
        <w:t>3</w:t>
      </w:r>
      <w:r>
        <w:rPr>
          <w:rFonts w:hint="eastAsia" w:ascii="方正小标宋简体" w:hAnsi="方正小标宋简体" w:eastAsia="方正小标宋简体" w:cs="方正小标宋简体"/>
          <w:sz w:val="36"/>
          <w:szCs w:val="36"/>
          <w:highlight w:val="none"/>
        </w:rPr>
        <w:t>年度部门整体支出绩效评价基础数据表</w:t>
      </w:r>
    </w:p>
    <w:tbl>
      <w:tblPr>
        <w:tblStyle w:val="8"/>
        <w:tblW w:w="9673" w:type="dxa"/>
        <w:jc w:val="center"/>
        <w:tblLayout w:type="fixed"/>
        <w:tblCellMar>
          <w:top w:w="0" w:type="dxa"/>
          <w:left w:w="108" w:type="dxa"/>
          <w:bottom w:w="0" w:type="dxa"/>
          <w:right w:w="108" w:type="dxa"/>
        </w:tblCellMar>
      </w:tblPr>
      <w:tblGrid>
        <w:gridCol w:w="3127"/>
        <w:gridCol w:w="1416"/>
        <w:gridCol w:w="849"/>
        <w:gridCol w:w="1129"/>
        <w:gridCol w:w="1111"/>
        <w:gridCol w:w="1081"/>
        <w:gridCol w:w="960"/>
      </w:tblGrid>
      <w:tr>
        <w:tblPrEx>
          <w:tblCellMar>
            <w:top w:w="0" w:type="dxa"/>
            <w:left w:w="108" w:type="dxa"/>
            <w:bottom w:w="0" w:type="dxa"/>
            <w:right w:w="108" w:type="dxa"/>
          </w:tblCellMar>
        </w:tblPrEx>
        <w:trPr>
          <w:trHeight w:val="0" w:hRule="atLeast"/>
          <w:jc w:val="center"/>
        </w:trPr>
        <w:tc>
          <w:tcPr>
            <w:tcW w:w="3127"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财政供养人员情况（人）</w:t>
            </w:r>
          </w:p>
        </w:tc>
        <w:tc>
          <w:tcPr>
            <w:tcW w:w="2265"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编制数</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年实际在职人数</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控制率</w:t>
            </w:r>
          </w:p>
        </w:tc>
      </w:tr>
      <w:tr>
        <w:tblPrEx>
          <w:tblCellMar>
            <w:top w:w="0" w:type="dxa"/>
            <w:left w:w="108" w:type="dxa"/>
            <w:bottom w:w="0" w:type="dxa"/>
            <w:right w:w="108" w:type="dxa"/>
          </w:tblCellMar>
        </w:tblPrEx>
        <w:trPr>
          <w:trHeight w:val="0" w:hRule="atLeast"/>
          <w:jc w:val="center"/>
        </w:trPr>
        <w:tc>
          <w:tcPr>
            <w:tcW w:w="312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p>
        </w:tc>
        <w:tc>
          <w:tcPr>
            <w:tcW w:w="2265"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100%</w:t>
            </w:r>
          </w:p>
        </w:tc>
      </w:tr>
      <w:tr>
        <w:tblPrEx>
          <w:tblCellMar>
            <w:top w:w="0" w:type="dxa"/>
            <w:left w:w="108" w:type="dxa"/>
            <w:bottom w:w="0" w:type="dxa"/>
            <w:right w:w="108" w:type="dxa"/>
          </w:tblCellMar>
        </w:tblPrEx>
        <w:trPr>
          <w:trHeight w:val="0" w:hRule="atLeast"/>
          <w:jc w:val="center"/>
        </w:trPr>
        <w:tc>
          <w:tcPr>
            <w:tcW w:w="3127"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经费控制情况（万元）</w:t>
            </w:r>
          </w:p>
        </w:tc>
        <w:tc>
          <w:tcPr>
            <w:tcW w:w="2265"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2</w:t>
            </w:r>
            <w:r>
              <w:rPr>
                <w:rFonts w:hint="eastAsia" w:ascii="仿宋_GB2312" w:hAnsi="仿宋_GB2312" w:eastAsia="仿宋_GB2312" w:cs="仿宋_GB2312"/>
                <w:b/>
                <w:bCs/>
                <w:sz w:val="20"/>
                <w:szCs w:val="20"/>
                <w:highlight w:val="none"/>
              </w:rPr>
              <w:t>年决算数</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年预算数</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年决算数</w:t>
            </w:r>
          </w:p>
        </w:tc>
      </w:tr>
      <w:tr>
        <w:tblPrEx>
          <w:tblCellMar>
            <w:top w:w="0" w:type="dxa"/>
            <w:left w:w="108" w:type="dxa"/>
            <w:bottom w:w="0" w:type="dxa"/>
            <w:right w:w="108" w:type="dxa"/>
          </w:tblCellMar>
        </w:tblPrEx>
        <w:trPr>
          <w:trHeight w:val="0" w:hRule="atLeast"/>
          <w:jc w:val="center"/>
        </w:trPr>
        <w:tc>
          <w:tcPr>
            <w:tcW w:w="3127"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三公经费</w:t>
            </w:r>
          </w:p>
        </w:tc>
        <w:tc>
          <w:tcPr>
            <w:tcW w:w="2265"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宋体" w:hAnsi="宋体" w:eastAsia="宋体" w:cs="宋体"/>
                <w:color w:val="auto"/>
                <w:sz w:val="21"/>
                <w:szCs w:val="21"/>
                <w:lang w:val="en-US" w:eastAsia="zh-CN"/>
              </w:rPr>
              <w:t>0.15</w:t>
            </w:r>
          </w:p>
        </w:tc>
        <w:tc>
          <w:tcPr>
            <w:tcW w:w="2240"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highlight w:val="none"/>
              </w:rPr>
            </w:pPr>
            <w:r>
              <w:rPr>
                <w:rFonts w:hint="eastAsia" w:ascii="宋体" w:hAnsi="宋体" w:eastAsia="宋体" w:cs="宋体"/>
                <w:i w:val="0"/>
                <w:iCs w:val="0"/>
                <w:color w:val="000000"/>
                <w:kern w:val="0"/>
                <w:sz w:val="22"/>
                <w:szCs w:val="22"/>
                <w:u w:val="none"/>
                <w:lang w:val="en-US" w:eastAsia="zh-CN" w:bidi="ar"/>
              </w:rPr>
              <w:t>0.5</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宋体" w:hAnsi="宋体" w:eastAsia="宋体" w:cs="宋体"/>
                <w:color w:val="auto"/>
                <w:kern w:val="0"/>
                <w:sz w:val="21"/>
                <w:szCs w:val="21"/>
                <w:lang w:val="en-US" w:eastAsia="zh-CN" w:bidi="ar-SA"/>
              </w:rPr>
              <w:t>0</w:t>
            </w:r>
          </w:p>
        </w:tc>
      </w:tr>
      <w:tr>
        <w:tblPrEx>
          <w:tblCellMar>
            <w:top w:w="0" w:type="dxa"/>
            <w:left w:w="108" w:type="dxa"/>
            <w:bottom w:w="0" w:type="dxa"/>
            <w:right w:w="108" w:type="dxa"/>
          </w:tblCellMar>
        </w:tblPrEx>
        <w:trPr>
          <w:trHeight w:val="0" w:hRule="atLeast"/>
          <w:jc w:val="center"/>
        </w:trPr>
        <w:tc>
          <w:tcPr>
            <w:tcW w:w="3127"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1、公务用车购置和维护经费</w:t>
            </w:r>
          </w:p>
        </w:tc>
        <w:tc>
          <w:tcPr>
            <w:tcW w:w="2265"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240"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highlight w:val="none"/>
              </w:rPr>
            </w:pPr>
          </w:p>
        </w:tc>
        <w:tc>
          <w:tcPr>
            <w:tcW w:w="2041"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highlight w:val="none"/>
              </w:rPr>
            </w:pPr>
          </w:p>
        </w:tc>
      </w:tr>
      <w:tr>
        <w:tblPrEx>
          <w:tblCellMar>
            <w:top w:w="0" w:type="dxa"/>
            <w:left w:w="108" w:type="dxa"/>
            <w:bottom w:w="0" w:type="dxa"/>
            <w:right w:w="108" w:type="dxa"/>
          </w:tblCellMar>
        </w:tblPrEx>
        <w:trPr>
          <w:trHeight w:val="0" w:hRule="atLeast"/>
          <w:jc w:val="center"/>
        </w:trPr>
        <w:tc>
          <w:tcPr>
            <w:tcW w:w="3127"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其中：公车购置</w:t>
            </w:r>
          </w:p>
        </w:tc>
        <w:tc>
          <w:tcPr>
            <w:tcW w:w="2265"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both"/>
              <w:rPr>
                <w:rFonts w:hint="eastAsia" w:ascii="宋体" w:hAnsi="宋体" w:eastAsia="宋体" w:cs="宋体"/>
                <w:color w:val="auto"/>
                <w:kern w:val="0"/>
                <w:sz w:val="21"/>
                <w:szCs w:val="21"/>
                <w:lang w:val="en-US" w:eastAsia="zh-CN" w:bidi="ar-SA"/>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宋体" w:hAnsi="宋体" w:eastAsia="宋体" w:cs="宋体"/>
                <w:color w:val="auto"/>
                <w:kern w:val="0"/>
                <w:sz w:val="21"/>
                <w:szCs w:val="21"/>
                <w:lang w:val="en-US" w:eastAsia="zh-CN" w:bidi="ar-SA"/>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宋体" w:hAnsi="宋体" w:eastAsia="宋体" w:cs="宋体"/>
                <w:color w:val="auto"/>
                <w:kern w:val="0"/>
                <w:sz w:val="21"/>
                <w:szCs w:val="21"/>
                <w:lang w:val="en-US" w:eastAsia="zh-CN" w:bidi="ar-SA"/>
              </w:rPr>
            </w:pPr>
          </w:p>
        </w:tc>
      </w:tr>
      <w:tr>
        <w:tblPrEx>
          <w:tblCellMar>
            <w:top w:w="0" w:type="dxa"/>
            <w:left w:w="108" w:type="dxa"/>
            <w:bottom w:w="0" w:type="dxa"/>
            <w:right w:w="108" w:type="dxa"/>
          </w:tblCellMar>
        </w:tblPrEx>
        <w:trPr>
          <w:trHeight w:val="0" w:hRule="atLeast"/>
          <w:jc w:val="center"/>
        </w:trPr>
        <w:tc>
          <w:tcPr>
            <w:tcW w:w="3127"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公车运行维护</w:t>
            </w:r>
          </w:p>
        </w:tc>
        <w:tc>
          <w:tcPr>
            <w:tcW w:w="2265"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宋体" w:hAnsi="宋体" w:eastAsia="宋体" w:cs="宋体"/>
                <w:color w:val="auto"/>
                <w:kern w:val="0"/>
                <w:sz w:val="21"/>
                <w:szCs w:val="21"/>
                <w:lang w:val="en-US" w:eastAsia="zh-CN" w:bidi="ar-SA"/>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宋体" w:hAnsi="宋体" w:eastAsia="宋体" w:cs="宋体"/>
                <w:color w:val="auto"/>
                <w:kern w:val="0"/>
                <w:sz w:val="21"/>
                <w:szCs w:val="21"/>
                <w:lang w:val="en-US" w:eastAsia="zh-CN" w:bidi="ar-SA"/>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宋体" w:hAnsi="宋体" w:eastAsia="宋体" w:cs="宋体"/>
                <w:color w:val="auto"/>
                <w:kern w:val="0"/>
                <w:sz w:val="21"/>
                <w:szCs w:val="21"/>
                <w:lang w:val="en-US" w:eastAsia="zh-CN" w:bidi="ar-SA"/>
              </w:rPr>
            </w:pPr>
          </w:p>
        </w:tc>
      </w:tr>
      <w:tr>
        <w:tblPrEx>
          <w:tblCellMar>
            <w:top w:w="0" w:type="dxa"/>
            <w:left w:w="108" w:type="dxa"/>
            <w:bottom w:w="0" w:type="dxa"/>
            <w:right w:w="108" w:type="dxa"/>
          </w:tblCellMar>
        </w:tblPrEx>
        <w:trPr>
          <w:trHeight w:val="0" w:hRule="atLeast"/>
          <w:jc w:val="center"/>
        </w:trPr>
        <w:tc>
          <w:tcPr>
            <w:tcW w:w="3127"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2、出国经费</w:t>
            </w:r>
          </w:p>
        </w:tc>
        <w:tc>
          <w:tcPr>
            <w:tcW w:w="2265"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宋体" w:hAnsi="宋体" w:eastAsia="宋体" w:cs="宋体"/>
                <w:color w:val="auto"/>
                <w:kern w:val="0"/>
                <w:sz w:val="21"/>
                <w:szCs w:val="21"/>
                <w:lang w:val="en-US" w:eastAsia="zh-CN" w:bidi="ar-SA"/>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宋体" w:hAnsi="宋体" w:eastAsia="宋体" w:cs="宋体"/>
                <w:color w:val="auto"/>
                <w:kern w:val="0"/>
                <w:sz w:val="21"/>
                <w:szCs w:val="21"/>
                <w:lang w:val="en-US" w:eastAsia="zh-CN" w:bidi="ar-SA"/>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宋体" w:hAnsi="宋体" w:eastAsia="宋体" w:cs="宋体"/>
                <w:color w:val="auto"/>
                <w:kern w:val="0"/>
                <w:sz w:val="21"/>
                <w:szCs w:val="21"/>
                <w:lang w:val="en-US" w:eastAsia="zh-CN" w:bidi="ar-SA"/>
              </w:rPr>
            </w:pPr>
          </w:p>
        </w:tc>
      </w:tr>
      <w:tr>
        <w:tblPrEx>
          <w:tblCellMar>
            <w:top w:w="0" w:type="dxa"/>
            <w:left w:w="108" w:type="dxa"/>
            <w:bottom w:w="0" w:type="dxa"/>
            <w:right w:w="108" w:type="dxa"/>
          </w:tblCellMar>
        </w:tblPrEx>
        <w:trPr>
          <w:trHeight w:val="0" w:hRule="atLeast"/>
          <w:jc w:val="center"/>
        </w:trPr>
        <w:tc>
          <w:tcPr>
            <w:tcW w:w="3127"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3、公务接待</w:t>
            </w:r>
          </w:p>
        </w:tc>
        <w:tc>
          <w:tcPr>
            <w:tcW w:w="2265"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0.15</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0.5</w:t>
            </w:r>
          </w:p>
        </w:tc>
        <w:tc>
          <w:tcPr>
            <w:tcW w:w="2041"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kern w:val="0"/>
                <w:sz w:val="20"/>
                <w:szCs w:val="20"/>
                <w:highlight w:val="none"/>
                <w:lang w:val="en-US" w:eastAsia="zh-CN" w:bidi="ar-SA"/>
              </w:rPr>
            </w:pPr>
            <w:r>
              <w:rPr>
                <w:rFonts w:hint="eastAsia" w:ascii="宋体" w:hAnsi="宋体" w:eastAsia="宋体" w:cs="宋体"/>
                <w:i w:val="0"/>
                <w:iCs w:val="0"/>
                <w:color w:val="000000"/>
                <w:kern w:val="0"/>
                <w:sz w:val="22"/>
                <w:szCs w:val="22"/>
                <w:u w:val="none"/>
                <w:lang w:val="en-US" w:eastAsia="zh-CN" w:bidi="ar"/>
              </w:rPr>
              <w:t>0</w:t>
            </w:r>
          </w:p>
        </w:tc>
      </w:tr>
      <w:tr>
        <w:tblPrEx>
          <w:tblCellMar>
            <w:top w:w="0" w:type="dxa"/>
            <w:left w:w="108" w:type="dxa"/>
            <w:bottom w:w="0" w:type="dxa"/>
            <w:right w:w="108" w:type="dxa"/>
          </w:tblCellMar>
        </w:tblPrEx>
        <w:trPr>
          <w:trHeight w:val="0" w:hRule="atLeast"/>
          <w:jc w:val="center"/>
        </w:trPr>
        <w:tc>
          <w:tcPr>
            <w:tcW w:w="3127"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项目支出：</w:t>
            </w:r>
          </w:p>
        </w:tc>
        <w:tc>
          <w:tcPr>
            <w:tcW w:w="2265"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76.96</w:t>
            </w:r>
          </w:p>
        </w:tc>
      </w:tr>
      <w:tr>
        <w:tblPrEx>
          <w:tblCellMar>
            <w:top w:w="0" w:type="dxa"/>
            <w:left w:w="108" w:type="dxa"/>
            <w:bottom w:w="0" w:type="dxa"/>
            <w:right w:w="108" w:type="dxa"/>
          </w:tblCellMar>
        </w:tblPrEx>
        <w:trPr>
          <w:trHeight w:val="0" w:hRule="atLeast"/>
          <w:jc w:val="center"/>
        </w:trPr>
        <w:tc>
          <w:tcPr>
            <w:tcW w:w="3127"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1、业务工作经费</w:t>
            </w:r>
          </w:p>
        </w:tc>
        <w:tc>
          <w:tcPr>
            <w:tcW w:w="2265"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宋体" w:hAnsi="宋体" w:eastAsia="宋体" w:cs="宋体"/>
                <w:color w:val="auto"/>
                <w:kern w:val="0"/>
                <w:sz w:val="21"/>
                <w:szCs w:val="21"/>
                <w:lang w:val="en-US" w:eastAsia="zh-CN" w:bidi="ar-SA"/>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both"/>
              <w:rPr>
                <w:rFonts w:hint="eastAsia" w:ascii="宋体" w:hAnsi="宋体" w:eastAsia="宋体" w:cs="宋体"/>
                <w:color w:val="auto"/>
                <w:kern w:val="0"/>
                <w:sz w:val="21"/>
                <w:szCs w:val="21"/>
                <w:lang w:val="en-US" w:eastAsia="zh-CN" w:bidi="ar-SA"/>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宋体" w:hAnsi="宋体" w:eastAsia="宋体" w:cs="宋体"/>
                <w:color w:val="auto"/>
                <w:kern w:val="0"/>
                <w:sz w:val="21"/>
                <w:szCs w:val="21"/>
                <w:lang w:val="en-US" w:eastAsia="zh-CN" w:bidi="ar-SA"/>
              </w:rPr>
            </w:pPr>
          </w:p>
        </w:tc>
      </w:tr>
      <w:tr>
        <w:tblPrEx>
          <w:tblCellMar>
            <w:top w:w="0" w:type="dxa"/>
            <w:left w:w="108" w:type="dxa"/>
            <w:bottom w:w="0" w:type="dxa"/>
            <w:right w:w="108" w:type="dxa"/>
          </w:tblCellMar>
        </w:tblPrEx>
        <w:trPr>
          <w:trHeight w:val="0" w:hRule="atLeast"/>
          <w:jc w:val="center"/>
        </w:trPr>
        <w:tc>
          <w:tcPr>
            <w:tcW w:w="3127"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2、运行维护经费</w:t>
            </w:r>
          </w:p>
        </w:tc>
        <w:tc>
          <w:tcPr>
            <w:tcW w:w="2265"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宋体" w:hAnsi="宋体" w:eastAsia="宋体" w:cs="宋体"/>
                <w:color w:val="auto"/>
                <w:kern w:val="0"/>
                <w:sz w:val="21"/>
                <w:szCs w:val="21"/>
                <w:lang w:val="en-US" w:eastAsia="zh-CN" w:bidi="ar-SA"/>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宋体" w:hAnsi="宋体" w:eastAsia="宋体" w:cs="宋体"/>
                <w:color w:val="auto"/>
                <w:kern w:val="0"/>
                <w:sz w:val="21"/>
                <w:szCs w:val="21"/>
                <w:lang w:val="en-US" w:eastAsia="zh-CN" w:bidi="ar-SA"/>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宋体" w:hAnsi="宋体" w:eastAsia="宋体" w:cs="宋体"/>
                <w:color w:val="auto"/>
                <w:kern w:val="0"/>
                <w:sz w:val="21"/>
                <w:szCs w:val="21"/>
                <w:lang w:val="en-US" w:eastAsia="zh-CN" w:bidi="ar-SA"/>
              </w:rPr>
            </w:pPr>
          </w:p>
        </w:tc>
      </w:tr>
      <w:tr>
        <w:tblPrEx>
          <w:tblCellMar>
            <w:top w:w="0" w:type="dxa"/>
            <w:left w:w="108" w:type="dxa"/>
            <w:bottom w:w="0" w:type="dxa"/>
            <w:right w:w="108" w:type="dxa"/>
          </w:tblCellMar>
        </w:tblPrEx>
        <w:trPr>
          <w:trHeight w:val="0" w:hRule="atLeast"/>
          <w:jc w:val="center"/>
        </w:trPr>
        <w:tc>
          <w:tcPr>
            <w:tcW w:w="3127"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3、</w:t>
            </w:r>
            <w:r>
              <w:rPr>
                <w:rFonts w:hint="eastAsia" w:ascii="仿宋_GB2312" w:hAnsi="仿宋_GB2312" w:eastAsia="仿宋_GB2312" w:cs="仿宋_GB2312"/>
                <w:sz w:val="20"/>
                <w:szCs w:val="20"/>
                <w:highlight w:val="none"/>
                <w:lang w:eastAsia="zh-CN"/>
              </w:rPr>
              <w:t>市级</w:t>
            </w:r>
            <w:r>
              <w:rPr>
                <w:rFonts w:hint="eastAsia" w:ascii="仿宋_GB2312" w:hAnsi="仿宋_GB2312" w:eastAsia="仿宋_GB2312" w:cs="仿宋_GB2312"/>
                <w:sz w:val="20"/>
                <w:szCs w:val="20"/>
                <w:highlight w:val="none"/>
              </w:rPr>
              <w:t>专项资金（一个专项一行）</w:t>
            </w:r>
          </w:p>
        </w:tc>
        <w:tc>
          <w:tcPr>
            <w:tcW w:w="2265"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宋体" w:hAnsi="宋体" w:eastAsia="宋体" w:cs="宋体"/>
                <w:color w:val="auto"/>
                <w:kern w:val="0"/>
                <w:sz w:val="21"/>
                <w:szCs w:val="21"/>
                <w:lang w:val="en-US" w:eastAsia="zh-CN" w:bidi="ar-SA"/>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宋体" w:hAnsi="宋体" w:eastAsia="宋体" w:cs="宋体"/>
                <w:color w:val="auto"/>
                <w:kern w:val="0"/>
                <w:sz w:val="21"/>
                <w:szCs w:val="21"/>
                <w:lang w:val="en-US" w:eastAsia="zh-CN" w:bidi="ar-SA"/>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宋体" w:hAnsi="宋体" w:eastAsia="宋体" w:cs="宋体"/>
                <w:color w:val="auto"/>
                <w:kern w:val="0"/>
                <w:sz w:val="21"/>
                <w:szCs w:val="21"/>
                <w:lang w:val="en-US" w:eastAsia="zh-CN" w:bidi="ar-SA"/>
              </w:rPr>
            </w:pPr>
          </w:p>
        </w:tc>
      </w:tr>
      <w:tr>
        <w:tblPrEx>
          <w:tblCellMar>
            <w:top w:w="0" w:type="dxa"/>
            <w:left w:w="108" w:type="dxa"/>
            <w:bottom w:w="0" w:type="dxa"/>
            <w:right w:w="108" w:type="dxa"/>
          </w:tblCellMar>
        </w:tblPrEx>
        <w:trPr>
          <w:trHeight w:val="0" w:hRule="atLeast"/>
          <w:jc w:val="center"/>
        </w:trPr>
        <w:tc>
          <w:tcPr>
            <w:tcW w:w="3127"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房产开发事务管理经费</w:t>
            </w:r>
          </w:p>
        </w:tc>
        <w:tc>
          <w:tcPr>
            <w:tcW w:w="2265"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宋体" w:hAnsi="宋体" w:eastAsia="宋体" w:cs="宋体"/>
                <w:color w:val="auto"/>
                <w:kern w:val="0"/>
                <w:sz w:val="21"/>
                <w:szCs w:val="21"/>
                <w:lang w:val="en-US" w:eastAsia="zh-CN" w:bidi="ar-SA"/>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宋体" w:hAnsi="宋体" w:eastAsia="宋体" w:cs="宋体"/>
                <w:color w:val="auto"/>
                <w:kern w:val="0"/>
                <w:sz w:val="21"/>
                <w:szCs w:val="21"/>
                <w:lang w:val="en-US" w:eastAsia="zh-CN" w:bidi="ar-SA"/>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16.48</w:t>
            </w:r>
          </w:p>
        </w:tc>
      </w:tr>
      <w:tr>
        <w:tblPrEx>
          <w:tblCellMar>
            <w:top w:w="0" w:type="dxa"/>
            <w:left w:w="108" w:type="dxa"/>
            <w:bottom w:w="0" w:type="dxa"/>
            <w:right w:w="108" w:type="dxa"/>
          </w:tblCellMar>
        </w:tblPrEx>
        <w:trPr>
          <w:trHeight w:val="0" w:hRule="atLeast"/>
          <w:jc w:val="center"/>
        </w:trPr>
        <w:tc>
          <w:tcPr>
            <w:tcW w:w="3127"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项目资本金</w:t>
            </w:r>
          </w:p>
        </w:tc>
        <w:tc>
          <w:tcPr>
            <w:tcW w:w="2265"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宋体" w:hAnsi="宋体" w:eastAsia="宋体" w:cs="宋体"/>
                <w:color w:val="auto"/>
                <w:kern w:val="0"/>
                <w:sz w:val="21"/>
                <w:szCs w:val="21"/>
                <w:lang w:val="en-US" w:eastAsia="zh-CN" w:bidi="ar-SA"/>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宋体" w:hAnsi="宋体" w:eastAsia="宋体" w:cs="宋体"/>
                <w:color w:val="auto"/>
                <w:kern w:val="0"/>
                <w:sz w:val="21"/>
                <w:szCs w:val="21"/>
                <w:lang w:val="en-US" w:eastAsia="zh-CN" w:bidi="ar-SA"/>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宋体" w:hAnsi="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60.48</w:t>
            </w:r>
          </w:p>
        </w:tc>
      </w:tr>
      <w:tr>
        <w:tblPrEx>
          <w:tblCellMar>
            <w:top w:w="0" w:type="dxa"/>
            <w:left w:w="108" w:type="dxa"/>
            <w:bottom w:w="0" w:type="dxa"/>
            <w:right w:w="108" w:type="dxa"/>
          </w:tblCellMar>
        </w:tblPrEx>
        <w:trPr>
          <w:trHeight w:val="0" w:hRule="atLeast"/>
          <w:jc w:val="center"/>
        </w:trPr>
        <w:tc>
          <w:tcPr>
            <w:tcW w:w="3127"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公用经费</w:t>
            </w:r>
          </w:p>
        </w:tc>
        <w:tc>
          <w:tcPr>
            <w:tcW w:w="2265"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17.25</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30.76</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30.29</w:t>
            </w:r>
          </w:p>
        </w:tc>
      </w:tr>
      <w:tr>
        <w:tblPrEx>
          <w:tblCellMar>
            <w:top w:w="0" w:type="dxa"/>
            <w:left w:w="108" w:type="dxa"/>
            <w:bottom w:w="0" w:type="dxa"/>
            <w:right w:w="108" w:type="dxa"/>
          </w:tblCellMar>
        </w:tblPrEx>
        <w:trPr>
          <w:trHeight w:val="0" w:hRule="atLeast"/>
          <w:jc w:val="center"/>
        </w:trPr>
        <w:tc>
          <w:tcPr>
            <w:tcW w:w="3127"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其中：办公经费</w:t>
            </w:r>
          </w:p>
        </w:tc>
        <w:tc>
          <w:tcPr>
            <w:tcW w:w="2265"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3.75</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2.1</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2.1</w:t>
            </w:r>
          </w:p>
        </w:tc>
      </w:tr>
      <w:tr>
        <w:tblPrEx>
          <w:tblCellMar>
            <w:top w:w="0" w:type="dxa"/>
            <w:left w:w="108" w:type="dxa"/>
            <w:bottom w:w="0" w:type="dxa"/>
            <w:right w:w="108" w:type="dxa"/>
          </w:tblCellMar>
        </w:tblPrEx>
        <w:trPr>
          <w:trHeight w:val="0" w:hRule="atLeast"/>
          <w:jc w:val="center"/>
        </w:trPr>
        <w:tc>
          <w:tcPr>
            <w:tcW w:w="3127"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水费、电费、差旅费</w:t>
            </w:r>
          </w:p>
        </w:tc>
        <w:tc>
          <w:tcPr>
            <w:tcW w:w="2265"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3</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3</w:t>
            </w:r>
          </w:p>
        </w:tc>
      </w:tr>
      <w:tr>
        <w:tblPrEx>
          <w:tblCellMar>
            <w:top w:w="0" w:type="dxa"/>
            <w:left w:w="108" w:type="dxa"/>
            <w:bottom w:w="0" w:type="dxa"/>
            <w:right w:w="108" w:type="dxa"/>
          </w:tblCellMar>
        </w:tblPrEx>
        <w:trPr>
          <w:trHeight w:val="315" w:hRule="atLeast"/>
          <w:jc w:val="center"/>
        </w:trPr>
        <w:tc>
          <w:tcPr>
            <w:tcW w:w="3127"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会议费、培训费</w:t>
            </w:r>
          </w:p>
        </w:tc>
        <w:tc>
          <w:tcPr>
            <w:tcW w:w="2265"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宋体" w:hAnsi="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0.35</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宋体" w:hAnsi="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宋体" w:hAnsi="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1.21</w:t>
            </w:r>
          </w:p>
        </w:tc>
      </w:tr>
      <w:tr>
        <w:tblPrEx>
          <w:tblCellMar>
            <w:top w:w="0" w:type="dxa"/>
            <w:left w:w="108" w:type="dxa"/>
            <w:bottom w:w="0" w:type="dxa"/>
            <w:right w:w="108" w:type="dxa"/>
          </w:tblCellMar>
        </w:tblPrEx>
        <w:trPr>
          <w:trHeight w:val="0" w:hRule="atLeast"/>
          <w:jc w:val="center"/>
        </w:trPr>
        <w:tc>
          <w:tcPr>
            <w:tcW w:w="3127"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政府采购金额</w:t>
            </w:r>
          </w:p>
        </w:tc>
        <w:tc>
          <w:tcPr>
            <w:tcW w:w="2265"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宋体" w:hAnsi="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宋体" w:hAnsi="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宋体" w:hAnsi="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14.92</w:t>
            </w:r>
          </w:p>
        </w:tc>
      </w:tr>
      <w:tr>
        <w:tblPrEx>
          <w:tblCellMar>
            <w:top w:w="0" w:type="dxa"/>
            <w:left w:w="108" w:type="dxa"/>
            <w:bottom w:w="0" w:type="dxa"/>
            <w:right w:w="108" w:type="dxa"/>
          </w:tblCellMar>
        </w:tblPrEx>
        <w:trPr>
          <w:trHeight w:val="0" w:hRule="atLeast"/>
          <w:jc w:val="center"/>
        </w:trPr>
        <w:tc>
          <w:tcPr>
            <w:tcW w:w="3127"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部门基本支出预算调整 </w:t>
            </w:r>
          </w:p>
        </w:tc>
        <w:tc>
          <w:tcPr>
            <w:tcW w:w="2265"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宋体" w:hAnsi="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217.34</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宋体" w:hAnsi="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304.26</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宋体" w:hAnsi="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289.76</w:t>
            </w:r>
          </w:p>
        </w:tc>
      </w:tr>
      <w:tr>
        <w:tblPrEx>
          <w:tblCellMar>
            <w:top w:w="0" w:type="dxa"/>
            <w:left w:w="108" w:type="dxa"/>
            <w:bottom w:w="0" w:type="dxa"/>
            <w:right w:w="108" w:type="dxa"/>
          </w:tblCellMar>
        </w:tblPrEx>
        <w:trPr>
          <w:trHeight w:val="0" w:hRule="atLeast"/>
          <w:jc w:val="center"/>
        </w:trPr>
        <w:tc>
          <w:tcPr>
            <w:tcW w:w="3127" w:type="dxa"/>
            <w:vMerge w:val="restart"/>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rPr>
              <w:t>楼堂馆所控制情况</w:t>
            </w:r>
          </w:p>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（202</w:t>
            </w:r>
            <w:r>
              <w:rPr>
                <w:rFonts w:hint="eastAsia" w:ascii="仿宋_GB2312" w:hAnsi="仿宋_GB2312" w:eastAsia="仿宋_GB2312" w:cs="仿宋_GB2312"/>
                <w:sz w:val="20"/>
                <w:szCs w:val="20"/>
                <w:highlight w:val="none"/>
                <w:lang w:val="en-US" w:eastAsia="zh-CN"/>
              </w:rPr>
              <w:t>3</w:t>
            </w:r>
            <w:r>
              <w:rPr>
                <w:rFonts w:hint="eastAsia" w:ascii="仿宋_GB2312" w:hAnsi="仿宋_GB2312" w:eastAsia="仿宋_GB2312" w:cs="仿宋_GB2312"/>
                <w:sz w:val="20"/>
                <w:szCs w:val="20"/>
                <w:highlight w:val="none"/>
              </w:rPr>
              <w:t>年完工项目）</w:t>
            </w:r>
          </w:p>
        </w:tc>
        <w:tc>
          <w:tcPr>
            <w:tcW w:w="1416"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lang w:eastAsia="zh-CN"/>
              </w:rPr>
            </w:pPr>
            <w:r>
              <w:rPr>
                <w:rFonts w:hint="eastAsia" w:ascii="仿宋_GB2312" w:hAnsi="仿宋_GB2312" w:eastAsia="仿宋_GB2312" w:cs="仿宋_GB2312"/>
                <w:bCs/>
                <w:sz w:val="20"/>
                <w:szCs w:val="20"/>
                <w:highlight w:val="none"/>
              </w:rPr>
              <w:t>批复规模</w:t>
            </w:r>
          </w:p>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w:t>
            </w:r>
          </w:p>
        </w:tc>
        <w:tc>
          <w:tcPr>
            <w:tcW w:w="84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实际规模（㎡）</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规模控制率</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预算投资（万元）</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实际投资（万元）</w:t>
            </w:r>
          </w:p>
        </w:tc>
        <w:tc>
          <w:tcPr>
            <w:tcW w:w="960"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投资概算控制率</w:t>
            </w:r>
          </w:p>
        </w:tc>
      </w:tr>
      <w:tr>
        <w:tblPrEx>
          <w:tblCellMar>
            <w:top w:w="0" w:type="dxa"/>
            <w:left w:w="108" w:type="dxa"/>
            <w:bottom w:w="0" w:type="dxa"/>
            <w:right w:w="108" w:type="dxa"/>
          </w:tblCellMar>
        </w:tblPrEx>
        <w:trPr>
          <w:trHeight w:val="0" w:hRule="atLeast"/>
          <w:jc w:val="center"/>
        </w:trPr>
        <w:tc>
          <w:tcPr>
            <w:tcW w:w="3127" w:type="dxa"/>
            <w:vMerge w:val="continue"/>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p>
        </w:tc>
        <w:tc>
          <w:tcPr>
            <w:tcW w:w="1416"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lang w:val="en-US" w:eastAsia="zh-CN"/>
              </w:rPr>
              <w:t>0</w:t>
            </w:r>
          </w:p>
        </w:tc>
        <w:tc>
          <w:tcPr>
            <w:tcW w:w="84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p>
        </w:tc>
        <w:tc>
          <w:tcPr>
            <w:tcW w:w="960"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p>
        </w:tc>
      </w:tr>
      <w:tr>
        <w:tblPrEx>
          <w:tblCellMar>
            <w:top w:w="0" w:type="dxa"/>
            <w:left w:w="108" w:type="dxa"/>
            <w:bottom w:w="0" w:type="dxa"/>
            <w:right w:w="108" w:type="dxa"/>
          </w:tblCellMar>
        </w:tblPrEx>
        <w:trPr>
          <w:trHeight w:val="2215" w:hRule="atLeast"/>
          <w:jc w:val="center"/>
        </w:trPr>
        <w:tc>
          <w:tcPr>
            <w:tcW w:w="3127"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厉行节约保障措施</w:t>
            </w:r>
          </w:p>
        </w:tc>
        <w:tc>
          <w:tcPr>
            <w:tcW w:w="6546" w:type="dxa"/>
            <w:gridSpan w:val="6"/>
            <w:tcBorders>
              <w:top w:val="single" w:color="auto" w:sz="4" w:space="0"/>
              <w:left w:val="nil"/>
              <w:bottom w:val="single" w:color="auto" w:sz="4" w:space="0"/>
              <w:right w:val="single" w:color="000000"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1.党员干部起模范带头作用，精打细算、厉行节约。主要控制了三公经费、会议费等日常经费开支。2023年以上费用比2022年支出减少，严格控制公用经费支出。</w:t>
            </w:r>
          </w:p>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2.健全管理制度，抓制度落实，控制费用增长。</w:t>
            </w:r>
          </w:p>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3、加强对预算管理及财务收支管理。严格遵照“先有预算后有支出”预算管理要求，控制经费预算，对超预算资金严格管控；加强财务收支管理，对支出每笔费认真审核，对不合规费用拒绝支付，把控资金支付合规性、合法性、准确性。</w:t>
            </w:r>
          </w:p>
        </w:tc>
      </w:tr>
    </w:tbl>
    <w:p>
      <w:pPr>
        <w:widowControl/>
        <w:spacing w:afterLines="0" w:line="400" w:lineRule="exact"/>
        <w:jc w:val="left"/>
        <w:rPr>
          <w:rFonts w:hint="default" w:ascii="Times New Roman" w:hAnsi="Times New Roman" w:eastAsia="仿宋_GB2312" w:cs="Times New Roman"/>
          <w:sz w:val="22"/>
          <w:highlight w:val="none"/>
        </w:rPr>
      </w:pPr>
      <w:r>
        <w:rPr>
          <w:rFonts w:hint="default" w:ascii="Times New Roman" w:hAnsi="Times New Roman" w:eastAsia="仿宋_GB2312" w:cs="Times New Roman"/>
          <w:sz w:val="22"/>
          <w:highlight w:val="none"/>
        </w:rPr>
        <w:t>说明：“项目支出”需要填报基本支出以外的所有项目支出情况，“公用经费”填报基本支出中的一般商品和服务支出。</w:t>
      </w:r>
    </w:p>
    <w:p>
      <w:pPr>
        <w:widowControl/>
        <w:spacing w:afterLines="0" w:line="400" w:lineRule="exact"/>
        <w:jc w:val="left"/>
        <w:rPr>
          <w:rFonts w:hint="default" w:ascii="Times New Roman" w:hAnsi="Times New Roman" w:eastAsia="仿宋_GB2312" w:cs="Times New Roman"/>
          <w:sz w:val="22"/>
          <w:highlight w:val="none"/>
        </w:rPr>
      </w:pPr>
    </w:p>
    <w:p>
      <w:pPr>
        <w:widowControl/>
        <w:spacing w:after="0" w:afterLines="0" w:line="400" w:lineRule="exact"/>
        <w:jc w:val="left"/>
        <w:rPr>
          <w:rFonts w:hint="eastAsia" w:ascii="黑体" w:hAnsi="黑体" w:eastAsia="黑体" w:cs="黑体"/>
          <w:sz w:val="32"/>
          <w:szCs w:val="32"/>
          <w:highlight w:val="none"/>
          <w:lang w:eastAsia="zh-CN"/>
        </w:rPr>
      </w:pPr>
      <w:r>
        <w:rPr>
          <w:rFonts w:hint="default" w:ascii="Times New Roman" w:hAnsi="Times New Roman" w:eastAsia="仿宋_GB2312" w:cs="Times New Roman"/>
          <w:sz w:val="22"/>
          <w:highlight w:val="none"/>
        </w:rPr>
        <w:t>填表人：</w:t>
      </w:r>
      <w:r>
        <w:rPr>
          <w:rFonts w:hint="eastAsia" w:ascii="Times New Roman" w:hAnsi="Times New Roman" w:eastAsia="仿宋_GB2312" w:cs="Times New Roman"/>
          <w:sz w:val="22"/>
          <w:highlight w:val="none"/>
          <w:lang w:val="en-US" w:eastAsia="zh-CN"/>
        </w:rPr>
        <w:t>付梦铃</w:t>
      </w:r>
      <w:r>
        <w:rPr>
          <w:rFonts w:hint="default" w:ascii="Times New Roman" w:hAnsi="Times New Roman" w:eastAsia="仿宋_GB2312" w:cs="Times New Roman"/>
          <w:sz w:val="22"/>
          <w:highlight w:val="none"/>
        </w:rPr>
        <w:t xml:space="preserve"> 填报日期：</w:t>
      </w:r>
      <w:r>
        <w:rPr>
          <w:rFonts w:hint="eastAsia" w:ascii="Times New Roman" w:hAnsi="Times New Roman" w:eastAsia="仿宋_GB2312" w:cs="Times New Roman"/>
          <w:sz w:val="22"/>
          <w:highlight w:val="none"/>
          <w:lang w:val="en-US" w:eastAsia="zh-CN"/>
        </w:rPr>
        <w:t>2023年6月13日</w:t>
      </w:r>
      <w:r>
        <w:rPr>
          <w:rFonts w:hint="default" w:ascii="Times New Roman" w:hAnsi="Times New Roman" w:eastAsia="仿宋_GB2312" w:cs="Times New Roman"/>
          <w:sz w:val="22"/>
          <w:highlight w:val="none"/>
        </w:rPr>
        <w:t xml:space="preserve"> 联系电话：</w:t>
      </w:r>
      <w:r>
        <w:rPr>
          <w:rFonts w:hint="eastAsia" w:ascii="Times New Roman" w:hAnsi="Times New Roman" w:eastAsia="仿宋_GB2312" w:cs="Times New Roman"/>
          <w:sz w:val="22"/>
          <w:highlight w:val="none"/>
          <w:lang w:val="en-US" w:eastAsia="zh-CN"/>
        </w:rPr>
        <w:t xml:space="preserve">8758088 </w:t>
      </w:r>
      <w:r>
        <w:rPr>
          <w:rFonts w:hint="default" w:ascii="Times New Roman" w:hAnsi="Times New Roman" w:eastAsia="仿宋_GB2312" w:cs="Times New Roman"/>
          <w:sz w:val="22"/>
          <w:highlight w:val="none"/>
        </w:rPr>
        <w:t>单位负责人签字：</w:t>
      </w:r>
      <w:r>
        <w:rPr>
          <w:rFonts w:hint="default" w:ascii="Times New Roman" w:hAnsi="Times New Roman" w:eastAsia="仿宋_GB2312" w:cs="Times New Roman"/>
          <w:sz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2</w:t>
      </w:r>
    </w:p>
    <w:p>
      <w:pPr>
        <w:widowControl/>
        <w:spacing w:after="120" w:afterLines="50"/>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年度部门整体支出绩效自评表</w:t>
      </w:r>
    </w:p>
    <w:tbl>
      <w:tblPr>
        <w:tblStyle w:val="8"/>
        <w:tblW w:w="10079" w:type="dxa"/>
        <w:jc w:val="center"/>
        <w:tblLayout w:type="fixed"/>
        <w:tblCellMar>
          <w:top w:w="0" w:type="dxa"/>
          <w:left w:w="108" w:type="dxa"/>
          <w:bottom w:w="0" w:type="dxa"/>
          <w:right w:w="108" w:type="dxa"/>
        </w:tblCellMar>
      </w:tblPr>
      <w:tblGrid>
        <w:gridCol w:w="1080"/>
        <w:gridCol w:w="1080"/>
        <w:gridCol w:w="1335"/>
        <w:gridCol w:w="1515"/>
        <w:gridCol w:w="765"/>
        <w:gridCol w:w="1269"/>
        <w:gridCol w:w="716"/>
        <w:gridCol w:w="873"/>
        <w:gridCol w:w="1446"/>
      </w:tblGrid>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市</w:t>
            </w:r>
            <w:r>
              <w:rPr>
                <w:rFonts w:hint="eastAsia" w:ascii="仿宋_GB2312" w:hAnsi="仿宋_GB2312" w:eastAsia="仿宋_GB2312" w:cs="仿宋_GB2312"/>
                <w:color w:val="000000"/>
                <w:sz w:val="20"/>
                <w:szCs w:val="20"/>
                <w:highlight w:val="none"/>
              </w:rPr>
              <w:t>级预算部门名称</w:t>
            </w:r>
          </w:p>
        </w:tc>
        <w:tc>
          <w:tcPr>
            <w:tcW w:w="8999" w:type="dxa"/>
            <w:gridSpan w:val="8"/>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宋体" w:hAnsi="宋体" w:eastAsia="宋体" w:cs="宋体"/>
                <w:b/>
                <w:bCs/>
                <w:color w:val="auto"/>
                <w:sz w:val="21"/>
                <w:szCs w:val="21"/>
                <w:lang w:val="en-US" w:eastAsia="zh-CN"/>
              </w:rPr>
              <w:t>岳阳市房地产市场服务中心</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年度预</w:t>
            </w:r>
          </w:p>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算申请</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（万元）</w:t>
            </w:r>
          </w:p>
        </w:tc>
        <w:tc>
          <w:tcPr>
            <w:tcW w:w="2415"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515"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年初预算数</w:t>
            </w:r>
          </w:p>
        </w:tc>
        <w:tc>
          <w:tcPr>
            <w:tcW w:w="765"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全年预算数</w:t>
            </w:r>
          </w:p>
        </w:tc>
        <w:tc>
          <w:tcPr>
            <w:tcW w:w="126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全年执行数</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2415"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color w:val="000000"/>
                <w:sz w:val="20"/>
                <w:szCs w:val="20"/>
                <w:highlight w:val="none"/>
              </w:rPr>
              <w:t>年度资金总额</w:t>
            </w:r>
          </w:p>
        </w:tc>
        <w:tc>
          <w:tcPr>
            <w:tcW w:w="151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仿宋_GB2312" w:hAnsi="仿宋_GB2312" w:eastAsia="仿宋_GB2312" w:cs="仿宋_GB2312"/>
                <w:sz w:val="20"/>
                <w:szCs w:val="20"/>
                <w:highlight w:val="none"/>
                <w:lang w:val="en-US"/>
              </w:rPr>
            </w:pPr>
            <w:r>
              <w:rPr>
                <w:rFonts w:hint="default" w:ascii="Times New Roman" w:hAnsi="Times New Roman" w:eastAsia="宋体" w:cs="Times New Roman"/>
                <w:i w:val="0"/>
                <w:iCs w:val="0"/>
                <w:color w:val="000000"/>
                <w:kern w:val="0"/>
                <w:sz w:val="20"/>
                <w:szCs w:val="20"/>
                <w:u w:val="none"/>
                <w:lang w:val="en-US" w:eastAsia="zh-CN" w:bidi="ar"/>
              </w:rPr>
              <w:t>28</w:t>
            </w:r>
            <w:r>
              <w:rPr>
                <w:rFonts w:hint="eastAsia" w:ascii="Times New Roman" w:hAnsi="Times New Roman" w:cs="Times New Roman"/>
                <w:i w:val="0"/>
                <w:iCs w:val="0"/>
                <w:color w:val="000000"/>
                <w:kern w:val="0"/>
                <w:sz w:val="20"/>
                <w:szCs w:val="20"/>
                <w:u w:val="none"/>
                <w:lang w:val="en-US" w:eastAsia="zh-CN" w:bidi="ar"/>
              </w:rPr>
              <w:t>8.46</w:t>
            </w:r>
          </w:p>
        </w:tc>
        <w:tc>
          <w:tcPr>
            <w:tcW w:w="76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仿宋_GB2312" w:hAnsi="仿宋_GB2312" w:eastAsia="仿宋_GB2312" w:cs="仿宋_GB2312"/>
                <w:sz w:val="20"/>
                <w:szCs w:val="20"/>
                <w:highlight w:val="none"/>
                <w:lang w:val="en-US"/>
              </w:rPr>
            </w:pPr>
            <w:r>
              <w:rPr>
                <w:rFonts w:hint="default" w:ascii="Times New Roman" w:hAnsi="Times New Roman" w:eastAsia="宋体" w:cs="Times New Roman"/>
                <w:i w:val="0"/>
                <w:iCs w:val="0"/>
                <w:color w:val="000000"/>
                <w:kern w:val="0"/>
                <w:sz w:val="20"/>
                <w:szCs w:val="20"/>
                <w:u w:val="none"/>
                <w:lang w:val="en-US" w:eastAsia="zh-CN" w:bidi="ar"/>
              </w:rPr>
              <w:t>47</w:t>
            </w:r>
            <w:r>
              <w:rPr>
                <w:rFonts w:hint="eastAsia" w:ascii="Times New Roman" w:hAnsi="Times New Roman" w:cs="Times New Roman"/>
                <w:i w:val="0"/>
                <w:iCs w:val="0"/>
                <w:color w:val="000000"/>
                <w:kern w:val="0"/>
                <w:sz w:val="20"/>
                <w:szCs w:val="20"/>
                <w:u w:val="none"/>
                <w:lang w:val="en-US" w:eastAsia="zh-CN" w:bidi="ar"/>
              </w:rPr>
              <w:t>4.2</w:t>
            </w:r>
          </w:p>
        </w:tc>
        <w:tc>
          <w:tcPr>
            <w:tcW w:w="1269"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highlight w:val="none"/>
              </w:rPr>
            </w:pPr>
            <w:r>
              <w:rPr>
                <w:rFonts w:hint="default" w:ascii="Times New Roman" w:hAnsi="Times New Roman" w:eastAsia="宋体" w:cs="Times New Roman"/>
                <w:i w:val="0"/>
                <w:iCs w:val="0"/>
                <w:color w:val="000000"/>
                <w:kern w:val="0"/>
                <w:sz w:val="20"/>
                <w:szCs w:val="20"/>
                <w:u w:val="none"/>
                <w:lang w:val="en-US" w:eastAsia="zh-CN" w:bidi="ar"/>
              </w:rPr>
              <w:t>366.72</w:t>
            </w:r>
          </w:p>
        </w:tc>
        <w:tc>
          <w:tcPr>
            <w:tcW w:w="716"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highlight w:val="none"/>
              </w:rPr>
            </w:pPr>
            <w:r>
              <w:rPr>
                <w:rFonts w:hint="default" w:ascii="Times New Roman" w:hAnsi="Times New Roman" w:eastAsia="宋体" w:cs="Times New Roman"/>
                <w:i w:val="0"/>
                <w:iCs w:val="0"/>
                <w:color w:val="000000"/>
                <w:kern w:val="0"/>
                <w:sz w:val="20"/>
                <w:szCs w:val="20"/>
                <w:u w:val="none"/>
                <w:lang w:val="en-US" w:eastAsia="zh-CN" w:bidi="ar"/>
              </w:rPr>
              <w:t>10</w:t>
            </w:r>
          </w:p>
        </w:tc>
        <w:tc>
          <w:tcPr>
            <w:tcW w:w="873"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highlight w:val="none"/>
              </w:rPr>
            </w:pPr>
            <w:r>
              <w:rPr>
                <w:rFonts w:hint="default" w:ascii="Times New Roman" w:hAnsi="Times New Roman" w:eastAsia="宋体" w:cs="Times New Roman"/>
                <w:i w:val="0"/>
                <w:iCs w:val="0"/>
                <w:color w:val="000000"/>
                <w:kern w:val="0"/>
                <w:sz w:val="20"/>
                <w:szCs w:val="20"/>
                <w:u w:val="none"/>
                <w:lang w:val="en-US" w:eastAsia="zh-CN" w:bidi="ar"/>
              </w:rPr>
              <w:t>7</w:t>
            </w:r>
            <w:r>
              <w:rPr>
                <w:rFonts w:hint="eastAsia" w:ascii="Times New Roman" w:hAnsi="Times New Roman" w:cs="Times New Roman"/>
                <w:i w:val="0"/>
                <w:iCs w:val="0"/>
                <w:color w:val="000000"/>
                <w:kern w:val="0"/>
                <w:sz w:val="20"/>
                <w:szCs w:val="20"/>
                <w:u w:val="none"/>
                <w:lang w:val="en-US" w:eastAsia="zh-CN" w:bidi="ar"/>
              </w:rPr>
              <w:t>7.33</w:t>
            </w:r>
            <w:r>
              <w:rPr>
                <w:rFonts w:hint="default" w:ascii="Times New Roman" w:hAnsi="Times New Roman" w:eastAsia="宋体" w:cs="Times New Roman"/>
                <w:i w:val="0"/>
                <w:iCs w:val="0"/>
                <w:color w:val="000000"/>
                <w:kern w:val="0"/>
                <w:sz w:val="20"/>
                <w:szCs w:val="20"/>
                <w:u w:val="none"/>
                <w:lang w:val="en-US" w:eastAsia="zh-CN" w:bidi="ar"/>
              </w:rPr>
              <w:t>%</w:t>
            </w:r>
          </w:p>
        </w:tc>
        <w:tc>
          <w:tcPr>
            <w:tcW w:w="1446"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仿宋_GB2312" w:hAnsi="仿宋_GB2312" w:eastAsia="仿宋_GB2312" w:cs="仿宋_GB2312"/>
                <w:sz w:val="20"/>
                <w:szCs w:val="20"/>
                <w:highlight w:val="none"/>
                <w:lang w:val="en-US"/>
              </w:rPr>
            </w:pPr>
            <w:r>
              <w:rPr>
                <w:rFonts w:hint="default" w:ascii="Times New Roman" w:hAnsi="Times New Roman" w:eastAsia="宋体" w:cs="Times New Roman"/>
                <w:i w:val="0"/>
                <w:iCs w:val="0"/>
                <w:color w:val="000000"/>
                <w:kern w:val="0"/>
                <w:sz w:val="20"/>
                <w:szCs w:val="20"/>
                <w:u w:val="none"/>
                <w:lang w:val="en-US" w:eastAsia="zh-CN" w:bidi="ar"/>
              </w:rPr>
              <w:t>7.</w:t>
            </w:r>
            <w:r>
              <w:rPr>
                <w:rFonts w:hint="eastAsia" w:ascii="Times New Roman" w:hAnsi="Times New Roman" w:cs="Times New Roman"/>
                <w:i w:val="0"/>
                <w:iCs w:val="0"/>
                <w:color w:val="000000"/>
                <w:kern w:val="0"/>
                <w:sz w:val="20"/>
                <w:szCs w:val="20"/>
                <w:u w:val="none"/>
                <w:lang w:val="en-US" w:eastAsia="zh-CN" w:bidi="ar"/>
              </w:rPr>
              <w:t>73</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按收入性质分：</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按支出性质分：</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xml:space="preserve">  其中：  一般公共预算：</w:t>
            </w:r>
            <w:r>
              <w:rPr>
                <w:rFonts w:hint="eastAsia" w:ascii="仿宋_GB2312" w:hAnsi="仿宋_GB2312" w:eastAsia="仿宋_GB2312" w:cs="仿宋_GB2312"/>
                <w:color w:val="000000"/>
                <w:sz w:val="20"/>
                <w:szCs w:val="20"/>
                <w:highlight w:val="none"/>
                <w:lang w:val="en-US" w:eastAsia="zh-CN"/>
              </w:rPr>
              <w:t>474.2</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其中：基本支出：</w:t>
            </w:r>
            <w:r>
              <w:rPr>
                <w:rFonts w:hint="eastAsia" w:ascii="仿宋_GB2312" w:hAnsi="仿宋_GB2312" w:eastAsia="仿宋_GB2312" w:cs="仿宋_GB2312"/>
                <w:color w:val="000000"/>
                <w:sz w:val="20"/>
                <w:szCs w:val="20"/>
                <w:highlight w:val="none"/>
                <w:lang w:val="en-US" w:eastAsia="zh-CN"/>
              </w:rPr>
              <w:t>289.76</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ind w:firstLine="800" w:firstLineChars="400"/>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政府性基金拨款：</w:t>
            </w:r>
            <w:r>
              <w:rPr>
                <w:rFonts w:hint="eastAsia" w:ascii="仿宋_GB2312" w:hAnsi="仿宋_GB2312" w:eastAsia="仿宋_GB2312" w:cs="仿宋_GB2312"/>
                <w:color w:val="000000"/>
                <w:sz w:val="20"/>
                <w:szCs w:val="20"/>
                <w:highlight w:val="none"/>
                <w:lang w:val="en-US" w:eastAsia="zh-CN"/>
              </w:rPr>
              <w:t>0</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ind w:firstLine="600" w:firstLineChars="3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项目支出：</w:t>
            </w:r>
            <w:r>
              <w:rPr>
                <w:rFonts w:hint="eastAsia" w:ascii="仿宋_GB2312" w:hAnsi="仿宋_GB2312" w:eastAsia="仿宋_GB2312" w:cs="仿宋_GB2312"/>
                <w:color w:val="000000"/>
                <w:sz w:val="20"/>
                <w:szCs w:val="20"/>
                <w:highlight w:val="none"/>
                <w:lang w:val="en-US" w:eastAsia="zh-CN"/>
              </w:rPr>
              <w:t>76.96</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纳入专户管理的非税收入拨款</w:t>
            </w:r>
            <w:r>
              <w:rPr>
                <w:rFonts w:hint="eastAsia" w:ascii="仿宋_GB2312" w:hAnsi="仿宋_GB2312" w:eastAsia="仿宋_GB2312" w:cs="仿宋_GB2312"/>
                <w:color w:val="000000"/>
                <w:sz w:val="20"/>
                <w:szCs w:val="20"/>
                <w:highlight w:val="none"/>
                <w:lang w:val="en-US" w:eastAsia="zh-CN"/>
              </w:rPr>
              <w:t>0</w:t>
            </w:r>
            <w:r>
              <w:rPr>
                <w:rFonts w:hint="eastAsia" w:ascii="仿宋_GB2312" w:hAnsi="仿宋_GB2312" w:eastAsia="仿宋_GB2312" w:cs="仿宋_GB2312"/>
                <w:color w:val="000000"/>
                <w:sz w:val="20"/>
                <w:szCs w:val="20"/>
                <w:highlight w:val="none"/>
              </w:rPr>
              <w:t>：</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ind w:firstLine="1400" w:firstLineChars="700"/>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其他资金：</w:t>
            </w:r>
            <w:r>
              <w:rPr>
                <w:rFonts w:hint="eastAsia" w:ascii="仿宋_GB2312" w:hAnsi="仿宋_GB2312" w:eastAsia="仿宋_GB2312" w:cs="仿宋_GB2312"/>
                <w:color w:val="000000"/>
                <w:sz w:val="20"/>
                <w:szCs w:val="20"/>
                <w:highlight w:val="none"/>
                <w:lang w:val="en-US" w:eastAsia="zh-CN"/>
              </w:rPr>
              <w:t>0</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695" w:type="dxa"/>
            <w:gridSpan w:val="4"/>
            <w:tcBorders>
              <w:top w:val="single" w:color="auto" w:sz="4" w:space="0"/>
              <w:left w:val="nil"/>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304"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single" w:color="auto" w:sz="4" w:space="0"/>
              <w:left w:val="nil"/>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加强房地产法律、法规、政策的宣传力度，引导市场预期，促进房地产市场健康 平稳发展；根据“最多跑一次”工作要求，缩短房地产开发企业资质申请、商品房预售许可初审、报批的办结时限，实行即来即办；严格执行房地产开发项目资本金，商品房预售款的管理，做到及时足额缴存、拨付；妥善处理房地产开发经营市场纠纷和信访回复。</w:t>
            </w:r>
          </w:p>
        </w:tc>
        <w:tc>
          <w:tcPr>
            <w:tcW w:w="4304"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促进房地产市场的健康、可持续发展。2、完成房地产企业统计数据督报、催报工作，协税互税工作和房地产开发企业资质、商品房预售许可初审、报批限时办结工作；3、严格做好商品房预售资金监管工作；4、保持房地产市场平稳健康发展；5、支持刚性和改善性住房需求，稳定房地产市场；6、针对房地产开发企业生产经营情况，开展双随机一抽查工作；7、为从业人员提供相关培训和教育，提高从业人员的专业素养；8、建立防范化解房地产“办证难”的长效机制，为登记部门实现“交房即交证”提供保障，化解房地产办证信访突出问题，化解房地产办证遗留问题；9、防范化解房地产项目风险。</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p>
            <w:pPr>
              <w:widowControl/>
              <w:spacing w:line="240" w:lineRule="exact"/>
              <w:jc w:val="center"/>
              <w:rPr>
                <w:rFonts w:hint="eastAsia" w:ascii="仿宋_GB2312" w:hAnsi="仿宋_GB2312" w:eastAsia="仿宋_GB2312" w:cs="仿宋_GB2312"/>
                <w:color w:val="000000"/>
                <w:sz w:val="20"/>
                <w:szCs w:val="20"/>
                <w:highlight w:val="none"/>
              </w:rPr>
            </w:pPr>
          </w:p>
        </w:tc>
        <w:tc>
          <w:tcPr>
            <w:tcW w:w="108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33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51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765" w:type="dxa"/>
            <w:tcBorders>
              <w:top w:val="nil"/>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年度指标值</w:t>
            </w:r>
          </w:p>
        </w:tc>
        <w:tc>
          <w:tcPr>
            <w:tcW w:w="1269" w:type="dxa"/>
            <w:tcBorders>
              <w:top w:val="nil"/>
              <w:left w:val="nil"/>
              <w:bottom w:val="single" w:color="auto" w:sz="4" w:space="0"/>
              <w:right w:val="single" w:color="auto" w:sz="4" w:space="0"/>
            </w:tcBorders>
            <w:noWrap w:val="0"/>
            <w:vAlign w:val="center"/>
          </w:tcPr>
          <w:p>
            <w:pPr>
              <w:widowControl/>
              <w:spacing w:line="240" w:lineRule="exac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实际完成值</w:t>
            </w:r>
          </w:p>
        </w:tc>
        <w:tc>
          <w:tcPr>
            <w:tcW w:w="71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restart"/>
            <w:tcBorders>
              <w:top w:val="nil"/>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widowControl/>
              <w:spacing w:line="240" w:lineRule="exact"/>
              <w:jc w:val="both"/>
              <w:rPr>
                <w:rFonts w:hint="eastAsia" w:ascii="仿宋_GB2312" w:hAnsi="仿宋_GB2312" w:eastAsia="仿宋_GB2312" w:cs="仿宋_GB2312"/>
                <w:color w:val="000000"/>
                <w:sz w:val="20"/>
                <w:szCs w:val="20"/>
                <w:highlight w:val="none"/>
              </w:rPr>
            </w:pPr>
          </w:p>
        </w:tc>
        <w:tc>
          <w:tcPr>
            <w:tcW w:w="1335" w:type="dxa"/>
            <w:vMerge w:val="restart"/>
            <w:tcBorders>
              <w:top w:val="nil"/>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51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hint="eastAsia" w:ascii="仿宋" w:hAnsi="仿宋" w:eastAsia="仿宋" w:cs="仿宋"/>
                <w:i w:val="0"/>
                <w:iCs w:val="0"/>
                <w:color w:val="000000"/>
                <w:kern w:val="0"/>
                <w:sz w:val="20"/>
                <w:szCs w:val="20"/>
                <w:u w:val="none"/>
                <w:lang w:val="en-US" w:eastAsia="zh-CN" w:bidi="ar"/>
              </w:rPr>
              <w:t>完成上级交办“保交楼、稳民生”工作</w:t>
            </w:r>
          </w:p>
        </w:tc>
        <w:tc>
          <w:tcPr>
            <w:tcW w:w="76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hint="eastAsia" w:ascii="仿宋_GB2312" w:hAnsi="宋体" w:eastAsia="仿宋_GB2312" w:cs="仿宋_GB2312"/>
                <w:i w:val="0"/>
                <w:iCs w:val="0"/>
                <w:color w:val="000000"/>
                <w:kern w:val="0"/>
                <w:sz w:val="20"/>
                <w:szCs w:val="20"/>
                <w:u w:val="none"/>
                <w:lang w:val="en-US" w:eastAsia="zh-CN" w:bidi="ar"/>
              </w:rPr>
              <w:t>4519户</w:t>
            </w:r>
          </w:p>
        </w:tc>
        <w:tc>
          <w:tcPr>
            <w:tcW w:w="1269"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hint="eastAsia" w:ascii="仿宋_GB2312" w:hAnsi="宋体" w:eastAsia="仿宋_GB2312" w:cs="仿宋_GB2312"/>
                <w:i w:val="0"/>
                <w:iCs w:val="0"/>
                <w:color w:val="000000"/>
                <w:kern w:val="0"/>
                <w:sz w:val="20"/>
                <w:szCs w:val="20"/>
                <w:u w:val="none"/>
                <w:lang w:val="en-US" w:eastAsia="zh-CN" w:bidi="ar"/>
              </w:rPr>
              <w:t>4519户</w:t>
            </w:r>
          </w:p>
        </w:tc>
        <w:tc>
          <w:tcPr>
            <w:tcW w:w="716"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hint="eastAsia" w:ascii="仿宋_GB2312" w:hAnsi="宋体" w:eastAsia="仿宋_GB2312" w:cs="仿宋_GB2312"/>
                <w:i w:val="0"/>
                <w:iCs w:val="0"/>
                <w:color w:val="000000"/>
                <w:kern w:val="0"/>
                <w:sz w:val="20"/>
                <w:szCs w:val="20"/>
                <w:u w:val="none"/>
                <w:lang w:val="en-US" w:eastAsia="zh-CN" w:bidi="ar"/>
              </w:rPr>
              <w:t>8</w:t>
            </w:r>
          </w:p>
        </w:tc>
        <w:tc>
          <w:tcPr>
            <w:tcW w:w="873"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hint="eastAsia" w:ascii="仿宋_GB2312" w:hAnsi="宋体" w:eastAsia="仿宋_GB2312" w:cs="仿宋_GB2312"/>
                <w:i w:val="0"/>
                <w:iCs w:val="0"/>
                <w:color w:val="000000"/>
                <w:kern w:val="0"/>
                <w:sz w:val="20"/>
                <w:szCs w:val="20"/>
                <w:u w:val="none"/>
                <w:lang w:val="en-US" w:eastAsia="zh-CN" w:bidi="ar"/>
              </w:rPr>
              <w:t>8</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335" w:type="dxa"/>
            <w:vMerge w:val="continue"/>
            <w:tcBorders>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51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hint="eastAsia" w:ascii="仿宋" w:hAnsi="仿宋" w:eastAsia="仿宋" w:cs="仿宋"/>
                <w:i w:val="0"/>
                <w:iCs w:val="0"/>
                <w:color w:val="000000"/>
                <w:kern w:val="0"/>
                <w:sz w:val="20"/>
                <w:szCs w:val="20"/>
                <w:u w:val="none"/>
                <w:lang w:val="en-US" w:eastAsia="zh-CN" w:bidi="ar"/>
              </w:rPr>
              <w:t>化解房地产办证信访突出问题</w:t>
            </w:r>
          </w:p>
        </w:tc>
        <w:tc>
          <w:tcPr>
            <w:tcW w:w="76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hint="eastAsia" w:ascii="仿宋_GB2312" w:hAnsi="宋体" w:eastAsia="仿宋_GB2312" w:cs="仿宋_GB2312"/>
                <w:i w:val="0"/>
                <w:iCs w:val="0"/>
                <w:color w:val="000000"/>
                <w:kern w:val="0"/>
                <w:sz w:val="20"/>
                <w:szCs w:val="20"/>
                <w:u w:val="none"/>
                <w:lang w:val="en-US" w:eastAsia="zh-CN" w:bidi="ar"/>
              </w:rPr>
              <w:t>10个项目</w:t>
            </w:r>
          </w:p>
        </w:tc>
        <w:tc>
          <w:tcPr>
            <w:tcW w:w="1269"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hint="eastAsia" w:ascii="仿宋_GB2312" w:hAnsi="宋体" w:eastAsia="仿宋_GB2312" w:cs="仿宋_GB2312"/>
                <w:i w:val="0"/>
                <w:iCs w:val="0"/>
                <w:color w:val="000000"/>
                <w:kern w:val="0"/>
                <w:sz w:val="20"/>
                <w:szCs w:val="20"/>
                <w:u w:val="none"/>
                <w:lang w:val="en-US" w:eastAsia="zh-CN" w:bidi="ar"/>
              </w:rPr>
              <w:t>10个项目</w:t>
            </w:r>
          </w:p>
        </w:tc>
        <w:tc>
          <w:tcPr>
            <w:tcW w:w="716"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hint="eastAsia" w:ascii="仿宋_GB2312" w:hAnsi="宋体" w:eastAsia="仿宋_GB2312" w:cs="仿宋_GB2312"/>
                <w:i w:val="0"/>
                <w:iCs w:val="0"/>
                <w:color w:val="000000"/>
                <w:kern w:val="0"/>
                <w:sz w:val="20"/>
                <w:szCs w:val="20"/>
                <w:u w:val="none"/>
                <w:lang w:val="en-US" w:eastAsia="zh-CN" w:bidi="ar"/>
              </w:rPr>
              <w:t>8</w:t>
            </w:r>
          </w:p>
        </w:tc>
        <w:tc>
          <w:tcPr>
            <w:tcW w:w="873"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hint="eastAsia" w:ascii="仿宋_GB2312" w:hAnsi="宋体" w:eastAsia="仿宋_GB2312" w:cs="仿宋_GB2312"/>
                <w:i w:val="0"/>
                <w:iCs w:val="0"/>
                <w:color w:val="000000"/>
                <w:kern w:val="0"/>
                <w:sz w:val="20"/>
                <w:szCs w:val="20"/>
                <w:u w:val="none"/>
                <w:lang w:val="en-US" w:eastAsia="zh-CN" w:bidi="ar"/>
              </w:rPr>
              <w:t>8</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33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51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hint="eastAsia" w:ascii="仿宋" w:hAnsi="仿宋" w:eastAsia="仿宋" w:cs="仿宋"/>
                <w:i w:val="0"/>
                <w:iCs w:val="0"/>
                <w:color w:val="000000"/>
                <w:kern w:val="0"/>
                <w:sz w:val="20"/>
                <w:szCs w:val="20"/>
                <w:u w:val="none"/>
                <w:lang w:val="en-US" w:eastAsia="zh-CN" w:bidi="ar"/>
              </w:rPr>
              <w:t>房地产办证及时率以及开发企业资质、商品房预售许可初审、报批限时办结</w:t>
            </w:r>
          </w:p>
        </w:tc>
        <w:tc>
          <w:tcPr>
            <w:tcW w:w="76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hint="eastAsia" w:ascii="仿宋_GB2312" w:hAnsi="宋体" w:eastAsia="仿宋_GB2312" w:cs="仿宋_GB2312"/>
                <w:i w:val="0"/>
                <w:iCs w:val="0"/>
                <w:color w:val="000000"/>
                <w:kern w:val="0"/>
                <w:sz w:val="20"/>
                <w:szCs w:val="20"/>
                <w:u w:val="none"/>
                <w:lang w:val="en-US" w:eastAsia="zh-CN" w:bidi="ar"/>
              </w:rPr>
              <w:t>95%</w:t>
            </w:r>
          </w:p>
        </w:tc>
        <w:tc>
          <w:tcPr>
            <w:tcW w:w="1269"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hint="eastAsia" w:ascii="仿宋_GB2312" w:hAnsi="宋体" w:eastAsia="仿宋_GB2312" w:cs="仿宋_GB2312"/>
                <w:i w:val="0"/>
                <w:iCs w:val="0"/>
                <w:color w:val="000000"/>
                <w:kern w:val="0"/>
                <w:sz w:val="20"/>
                <w:szCs w:val="20"/>
                <w:u w:val="none"/>
                <w:lang w:val="en-US" w:eastAsia="zh-CN" w:bidi="ar"/>
              </w:rPr>
              <w:t>95%</w:t>
            </w:r>
          </w:p>
        </w:tc>
        <w:tc>
          <w:tcPr>
            <w:tcW w:w="716"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873"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hint="eastAsia" w:ascii="仿宋_GB2312" w:hAnsi="宋体" w:eastAsia="仿宋_GB2312" w:cs="仿宋_GB2312"/>
                <w:i w:val="0"/>
                <w:iCs w:val="0"/>
                <w:color w:val="000000"/>
                <w:kern w:val="0"/>
                <w:sz w:val="20"/>
                <w:szCs w:val="20"/>
                <w:u w:val="none"/>
                <w:lang w:val="en-US" w:eastAsia="zh-CN" w:bidi="ar"/>
              </w:rPr>
              <w:t>16</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nil"/>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33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51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hint="eastAsia" w:ascii="仿宋" w:hAnsi="仿宋" w:eastAsia="仿宋" w:cs="仿宋"/>
                <w:i w:val="0"/>
                <w:iCs w:val="0"/>
                <w:color w:val="000000"/>
                <w:kern w:val="0"/>
                <w:sz w:val="20"/>
                <w:szCs w:val="20"/>
                <w:u w:val="none"/>
                <w:lang w:val="en-US" w:eastAsia="zh-CN" w:bidi="ar"/>
              </w:rPr>
              <w:t>在当年度内完成</w:t>
            </w:r>
          </w:p>
        </w:tc>
        <w:tc>
          <w:tcPr>
            <w:tcW w:w="76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hint="eastAsia" w:ascii="仿宋_GB2312" w:hAnsi="宋体" w:eastAsia="仿宋_GB2312" w:cs="仿宋_GB2312"/>
                <w:i w:val="0"/>
                <w:iCs w:val="0"/>
                <w:color w:val="000000"/>
                <w:kern w:val="0"/>
                <w:sz w:val="20"/>
                <w:szCs w:val="20"/>
                <w:u w:val="none"/>
                <w:lang w:val="en-US" w:eastAsia="zh-CN" w:bidi="ar"/>
              </w:rPr>
              <w:t>2023-12-31</w:t>
            </w:r>
          </w:p>
        </w:tc>
        <w:tc>
          <w:tcPr>
            <w:tcW w:w="1269"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hint="eastAsia" w:ascii="仿宋_GB2312" w:hAnsi="宋体" w:eastAsia="仿宋_GB2312" w:cs="仿宋_GB2312"/>
                <w:i w:val="0"/>
                <w:iCs w:val="0"/>
                <w:color w:val="000000"/>
                <w:kern w:val="0"/>
                <w:sz w:val="20"/>
                <w:szCs w:val="20"/>
                <w:u w:val="none"/>
                <w:lang w:val="en-US" w:eastAsia="zh-CN" w:bidi="ar"/>
              </w:rPr>
              <w:t>2023-12-31</w:t>
            </w:r>
          </w:p>
        </w:tc>
        <w:tc>
          <w:tcPr>
            <w:tcW w:w="716"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hint="eastAsia" w:ascii="仿宋_GB2312" w:hAnsi="宋体" w:eastAsia="仿宋_GB2312" w:cs="仿宋_GB2312"/>
                <w:i w:val="0"/>
                <w:iCs w:val="0"/>
                <w:color w:val="000000"/>
                <w:kern w:val="0"/>
                <w:sz w:val="20"/>
                <w:szCs w:val="20"/>
                <w:u w:val="none"/>
                <w:lang w:val="en-US" w:eastAsia="zh-CN" w:bidi="ar"/>
              </w:rPr>
              <w:t>10</w:t>
            </w:r>
          </w:p>
        </w:tc>
        <w:tc>
          <w:tcPr>
            <w:tcW w:w="873"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hint="eastAsia" w:ascii="仿宋_GB2312" w:hAnsi="宋体" w:eastAsia="仿宋_GB2312" w:cs="仿宋_GB2312"/>
                <w:i w:val="0"/>
                <w:iCs w:val="0"/>
                <w:color w:val="000000"/>
                <w:kern w:val="0"/>
                <w:sz w:val="20"/>
                <w:szCs w:val="20"/>
                <w:u w:val="none"/>
                <w:lang w:val="en-US" w:eastAsia="zh-CN" w:bidi="ar"/>
              </w:rPr>
              <w:t>10</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nil"/>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效益指标</w:t>
            </w:r>
          </w:p>
        </w:tc>
        <w:tc>
          <w:tcPr>
            <w:tcW w:w="1335" w:type="dxa"/>
            <w:vMerge w:val="restart"/>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51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hint="eastAsia" w:ascii="仿宋" w:hAnsi="仿宋" w:eastAsia="仿宋" w:cs="仿宋"/>
                <w:i w:val="0"/>
                <w:iCs w:val="0"/>
                <w:color w:val="000000"/>
                <w:kern w:val="0"/>
                <w:sz w:val="20"/>
                <w:szCs w:val="20"/>
                <w:u w:val="none"/>
                <w:lang w:val="en-US" w:eastAsia="zh-CN" w:bidi="ar"/>
              </w:rPr>
              <w:t>在2023年底市中心城区范围内基本化解房地产办证遗留问题。市中心城区范围内基本化解房地产办证遗留问题</w:t>
            </w:r>
          </w:p>
        </w:tc>
        <w:tc>
          <w:tcPr>
            <w:tcW w:w="76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hint="eastAsia" w:ascii="仿宋_GB2312" w:hAnsi="宋体" w:eastAsia="仿宋_GB2312" w:cs="仿宋_GB2312"/>
                <w:i w:val="0"/>
                <w:iCs w:val="0"/>
                <w:color w:val="000000"/>
                <w:kern w:val="0"/>
                <w:sz w:val="20"/>
                <w:szCs w:val="20"/>
                <w:u w:val="none"/>
                <w:lang w:val="en-US" w:eastAsia="zh-CN" w:bidi="ar"/>
              </w:rPr>
              <w:t>有效解决</w:t>
            </w:r>
          </w:p>
        </w:tc>
        <w:tc>
          <w:tcPr>
            <w:tcW w:w="1269"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hint="eastAsia" w:ascii="仿宋_GB2312" w:hAnsi="宋体" w:eastAsia="仿宋_GB2312" w:cs="仿宋_GB2312"/>
                <w:i w:val="0"/>
                <w:iCs w:val="0"/>
                <w:color w:val="000000"/>
                <w:kern w:val="0"/>
                <w:sz w:val="20"/>
                <w:szCs w:val="20"/>
                <w:u w:val="none"/>
                <w:lang w:val="en-US" w:eastAsia="zh-CN" w:bidi="ar"/>
              </w:rPr>
              <w:t>有效解决</w:t>
            </w:r>
          </w:p>
        </w:tc>
        <w:tc>
          <w:tcPr>
            <w:tcW w:w="716"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hint="eastAsia" w:ascii="仿宋_GB2312" w:hAnsi="宋体" w:eastAsia="仿宋_GB2312" w:cs="仿宋_GB2312"/>
                <w:i w:val="0"/>
                <w:iCs w:val="0"/>
                <w:color w:val="000000"/>
                <w:kern w:val="0"/>
                <w:sz w:val="20"/>
                <w:szCs w:val="20"/>
                <w:u w:val="none"/>
                <w:lang w:val="en-US" w:eastAsia="zh-CN" w:bidi="ar"/>
              </w:rPr>
              <w:t>15</w:t>
            </w:r>
          </w:p>
        </w:tc>
        <w:tc>
          <w:tcPr>
            <w:tcW w:w="873"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hint="eastAsia" w:ascii="仿宋_GB2312" w:hAnsi="宋体" w:eastAsia="仿宋_GB2312" w:cs="仿宋_GB2312"/>
                <w:i w:val="0"/>
                <w:iCs w:val="0"/>
                <w:color w:val="000000"/>
                <w:kern w:val="0"/>
                <w:sz w:val="20"/>
                <w:szCs w:val="20"/>
                <w:u w:val="none"/>
                <w:lang w:val="en-US" w:eastAsia="zh-CN" w:bidi="ar"/>
              </w:rPr>
              <w:t>15</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nil"/>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335" w:type="dxa"/>
            <w:vMerge w:val="continue"/>
            <w:tcBorders>
              <w:top w:val="single" w:color="auto" w:sz="4" w:space="0"/>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51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hint="eastAsia" w:ascii="仿宋" w:hAnsi="仿宋" w:eastAsia="仿宋" w:cs="仿宋"/>
                <w:i w:val="0"/>
                <w:iCs w:val="0"/>
                <w:color w:val="000000"/>
                <w:kern w:val="0"/>
                <w:sz w:val="20"/>
                <w:szCs w:val="20"/>
                <w:u w:val="none"/>
                <w:lang w:val="en-US" w:eastAsia="zh-CN" w:bidi="ar"/>
              </w:rPr>
              <w:t>建立防范和化解房地产“办证难”的长效机制为登记部门实现“交房即交证”提供保障</w:t>
            </w:r>
          </w:p>
        </w:tc>
        <w:tc>
          <w:tcPr>
            <w:tcW w:w="76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hint="eastAsia" w:ascii="仿宋_GB2312" w:hAnsi="宋体" w:eastAsia="仿宋_GB2312" w:cs="仿宋_GB2312"/>
                <w:i w:val="0"/>
                <w:iCs w:val="0"/>
                <w:color w:val="000000"/>
                <w:kern w:val="0"/>
                <w:sz w:val="20"/>
                <w:szCs w:val="20"/>
                <w:u w:val="none"/>
                <w:lang w:val="en-US" w:eastAsia="zh-CN" w:bidi="ar"/>
              </w:rPr>
              <w:t>有效保障</w:t>
            </w:r>
          </w:p>
        </w:tc>
        <w:tc>
          <w:tcPr>
            <w:tcW w:w="1269"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hint="eastAsia" w:ascii="仿宋_GB2312" w:hAnsi="宋体" w:eastAsia="仿宋_GB2312" w:cs="仿宋_GB2312"/>
                <w:i w:val="0"/>
                <w:iCs w:val="0"/>
                <w:color w:val="000000"/>
                <w:kern w:val="0"/>
                <w:sz w:val="20"/>
                <w:szCs w:val="20"/>
                <w:u w:val="none"/>
                <w:lang w:val="en-US" w:eastAsia="zh-CN" w:bidi="ar"/>
              </w:rPr>
              <w:t>有效保障</w:t>
            </w:r>
          </w:p>
        </w:tc>
        <w:tc>
          <w:tcPr>
            <w:tcW w:w="716"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hint="eastAsia" w:ascii="仿宋_GB2312" w:hAnsi="宋体" w:eastAsia="仿宋_GB2312" w:cs="仿宋_GB2312"/>
                <w:i w:val="0"/>
                <w:iCs w:val="0"/>
                <w:color w:val="000000"/>
                <w:kern w:val="0"/>
                <w:sz w:val="20"/>
                <w:szCs w:val="20"/>
                <w:u w:val="none"/>
                <w:lang w:val="en-US" w:eastAsia="zh-CN" w:bidi="ar"/>
              </w:rPr>
              <w:t>13</w:t>
            </w:r>
          </w:p>
        </w:tc>
        <w:tc>
          <w:tcPr>
            <w:tcW w:w="873"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hint="eastAsia" w:ascii="仿宋_GB2312" w:hAnsi="宋体" w:eastAsia="仿宋_GB2312" w:cs="仿宋_GB2312"/>
                <w:i w:val="0"/>
                <w:iCs w:val="0"/>
                <w:color w:val="000000"/>
                <w:kern w:val="0"/>
                <w:sz w:val="20"/>
                <w:szCs w:val="20"/>
                <w:u w:val="none"/>
                <w:lang w:val="en-US" w:eastAsia="zh-CN" w:bidi="ar"/>
              </w:rPr>
              <w:t>13</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670" w:hRule="atLeast"/>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widowControl/>
              <w:spacing w:line="240" w:lineRule="exact"/>
              <w:jc w:val="both"/>
              <w:rPr>
                <w:rFonts w:hint="eastAsia" w:ascii="仿宋_GB2312" w:hAnsi="仿宋_GB2312" w:eastAsia="仿宋_GB2312" w:cs="仿宋_GB2312"/>
                <w:color w:val="000000"/>
                <w:sz w:val="20"/>
                <w:szCs w:val="20"/>
                <w:highlight w:val="none"/>
              </w:rPr>
            </w:pPr>
          </w:p>
        </w:tc>
        <w:tc>
          <w:tcPr>
            <w:tcW w:w="133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51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hint="eastAsia" w:ascii="仿宋" w:hAnsi="仿宋" w:eastAsia="仿宋" w:cs="仿宋"/>
                <w:i w:val="0"/>
                <w:iCs w:val="0"/>
                <w:color w:val="000000"/>
                <w:kern w:val="0"/>
                <w:sz w:val="20"/>
                <w:szCs w:val="20"/>
                <w:u w:val="none"/>
                <w:lang w:val="en-US" w:eastAsia="zh-CN" w:bidi="ar"/>
              </w:rPr>
              <w:t>受益对象满意度</w:t>
            </w:r>
          </w:p>
        </w:tc>
        <w:tc>
          <w:tcPr>
            <w:tcW w:w="76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hint="eastAsia" w:ascii="仿宋_GB2312" w:hAnsi="宋体" w:eastAsia="仿宋_GB2312" w:cs="仿宋_GB2312"/>
                <w:i w:val="0"/>
                <w:iCs w:val="0"/>
                <w:color w:val="000000"/>
                <w:kern w:val="0"/>
                <w:sz w:val="20"/>
                <w:szCs w:val="20"/>
                <w:u w:val="none"/>
                <w:lang w:val="en-US" w:eastAsia="zh-CN" w:bidi="ar"/>
              </w:rPr>
              <w:t>绝大部分人满意</w:t>
            </w:r>
          </w:p>
        </w:tc>
        <w:tc>
          <w:tcPr>
            <w:tcW w:w="1269"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hint="eastAsia" w:ascii="仿宋_GB2312" w:hAnsi="宋体" w:eastAsia="仿宋_GB2312" w:cs="仿宋_GB2312"/>
                <w:i w:val="0"/>
                <w:iCs w:val="0"/>
                <w:color w:val="000000"/>
                <w:kern w:val="0"/>
                <w:sz w:val="20"/>
                <w:szCs w:val="20"/>
                <w:u w:val="none"/>
                <w:lang w:val="en-US" w:eastAsia="zh-CN" w:bidi="ar"/>
              </w:rPr>
              <w:t>绝大部分人满意</w:t>
            </w:r>
          </w:p>
        </w:tc>
        <w:tc>
          <w:tcPr>
            <w:tcW w:w="716"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hint="eastAsia" w:ascii="仿宋_GB2312" w:hAnsi="宋体" w:eastAsia="仿宋_GB2312" w:cs="仿宋_GB2312"/>
                <w:i w:val="0"/>
                <w:iCs w:val="0"/>
                <w:color w:val="000000"/>
                <w:kern w:val="0"/>
                <w:sz w:val="20"/>
                <w:szCs w:val="20"/>
                <w:u w:val="none"/>
                <w:lang w:val="en-US" w:eastAsia="zh-CN" w:bidi="ar"/>
              </w:rPr>
              <w:t>10</w:t>
            </w:r>
          </w:p>
        </w:tc>
        <w:tc>
          <w:tcPr>
            <w:tcW w:w="873"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hint="eastAsia" w:ascii="仿宋_GB2312" w:hAnsi="宋体" w:eastAsia="仿宋_GB2312" w:cs="仿宋_GB2312"/>
                <w:i w:val="0"/>
                <w:iCs w:val="0"/>
                <w:color w:val="000000"/>
                <w:kern w:val="0"/>
                <w:sz w:val="20"/>
                <w:szCs w:val="20"/>
                <w:u w:val="none"/>
                <w:lang w:val="en-US" w:eastAsia="zh-CN" w:bidi="ar"/>
              </w:rPr>
              <w:t>10</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330" w:hRule="atLeast"/>
          <w:jc w:val="center"/>
        </w:trPr>
        <w:tc>
          <w:tcPr>
            <w:tcW w:w="1080" w:type="dxa"/>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nil"/>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成本指标</w:t>
            </w:r>
          </w:p>
        </w:tc>
        <w:tc>
          <w:tcPr>
            <w:tcW w:w="133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经济成本指标</w:t>
            </w:r>
          </w:p>
        </w:tc>
        <w:tc>
          <w:tcPr>
            <w:tcW w:w="151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hint="eastAsia" w:ascii="仿宋" w:hAnsi="仿宋" w:eastAsia="仿宋" w:cs="仿宋"/>
                <w:i w:val="0"/>
                <w:iCs w:val="0"/>
                <w:color w:val="000000"/>
                <w:kern w:val="0"/>
                <w:sz w:val="20"/>
                <w:szCs w:val="20"/>
                <w:u w:val="none"/>
                <w:lang w:val="en-US" w:eastAsia="zh-CN" w:bidi="ar"/>
              </w:rPr>
              <w:t>在预算内完成</w:t>
            </w:r>
          </w:p>
        </w:tc>
        <w:tc>
          <w:tcPr>
            <w:tcW w:w="76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hint="eastAsia" w:ascii="仿宋_GB2312" w:hAnsi="宋体" w:eastAsia="仿宋_GB2312" w:cs="仿宋_GB2312"/>
                <w:i w:val="0"/>
                <w:iCs w:val="0"/>
                <w:color w:val="000000"/>
                <w:kern w:val="0"/>
                <w:sz w:val="20"/>
                <w:szCs w:val="20"/>
                <w:u w:val="none"/>
                <w:lang w:val="en-US" w:eastAsia="zh-CN" w:bidi="ar"/>
              </w:rPr>
              <w:t>≤479.4</w:t>
            </w:r>
          </w:p>
        </w:tc>
        <w:tc>
          <w:tcPr>
            <w:tcW w:w="1269"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hint="eastAsia" w:ascii="仿宋_GB2312" w:hAnsi="宋体" w:eastAsia="仿宋_GB2312" w:cs="仿宋_GB2312"/>
                <w:i w:val="0"/>
                <w:iCs w:val="0"/>
                <w:color w:val="000000"/>
                <w:kern w:val="0"/>
                <w:sz w:val="20"/>
                <w:szCs w:val="20"/>
                <w:u w:val="none"/>
                <w:lang w:val="en-US" w:eastAsia="zh-CN" w:bidi="ar"/>
              </w:rPr>
              <w:t>366.72</w:t>
            </w:r>
          </w:p>
        </w:tc>
        <w:tc>
          <w:tcPr>
            <w:tcW w:w="716"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hint="eastAsia" w:ascii="仿宋_GB2312" w:hAnsi="宋体" w:eastAsia="仿宋_GB2312" w:cs="仿宋_GB2312"/>
                <w:i w:val="0"/>
                <w:iCs w:val="0"/>
                <w:color w:val="000000"/>
                <w:kern w:val="0"/>
                <w:sz w:val="20"/>
                <w:szCs w:val="20"/>
                <w:u w:val="none"/>
                <w:lang w:val="en-US" w:eastAsia="zh-CN" w:bidi="ar"/>
              </w:rPr>
              <w:t>5</w:t>
            </w:r>
          </w:p>
        </w:tc>
        <w:tc>
          <w:tcPr>
            <w:tcW w:w="873"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hint="eastAsia" w:ascii="仿宋_GB2312" w:hAnsi="宋体" w:eastAsia="仿宋_GB2312" w:cs="仿宋_GB2312"/>
                <w:i w:val="0"/>
                <w:iCs w:val="0"/>
                <w:color w:val="000000"/>
                <w:kern w:val="0"/>
                <w:sz w:val="20"/>
                <w:szCs w:val="20"/>
                <w:u w:val="none"/>
                <w:lang w:val="en-US" w:eastAsia="zh-CN" w:bidi="ar"/>
              </w:rPr>
              <w:t>5</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trHeight w:val="330" w:hRule="atLeast"/>
          <w:jc w:val="center"/>
        </w:trPr>
        <w:tc>
          <w:tcPr>
            <w:tcW w:w="1080" w:type="dxa"/>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p>
        </w:tc>
        <w:tc>
          <w:tcPr>
            <w:tcW w:w="133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社会成本指标</w:t>
            </w:r>
          </w:p>
        </w:tc>
        <w:tc>
          <w:tcPr>
            <w:tcW w:w="151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hint="eastAsia" w:ascii="仿宋" w:hAnsi="仿宋" w:eastAsia="仿宋" w:cs="仿宋"/>
                <w:i w:val="0"/>
                <w:iCs w:val="0"/>
                <w:color w:val="000000"/>
                <w:kern w:val="0"/>
                <w:sz w:val="20"/>
                <w:szCs w:val="20"/>
                <w:u w:val="none"/>
                <w:lang w:val="en-US" w:eastAsia="zh-CN" w:bidi="ar"/>
              </w:rPr>
              <w:t>对社会发展可能造成的负面影响</w:t>
            </w:r>
          </w:p>
        </w:tc>
        <w:tc>
          <w:tcPr>
            <w:tcW w:w="76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hint="eastAsia" w:ascii="仿宋_GB2312" w:hAnsi="宋体" w:eastAsia="仿宋_GB2312" w:cs="仿宋_GB2312"/>
                <w:i w:val="0"/>
                <w:iCs w:val="0"/>
                <w:color w:val="000000"/>
                <w:kern w:val="0"/>
                <w:sz w:val="20"/>
                <w:szCs w:val="20"/>
                <w:u w:val="none"/>
                <w:lang w:val="en-US" w:eastAsia="zh-CN" w:bidi="ar"/>
              </w:rPr>
              <w:t>无影响</w:t>
            </w:r>
          </w:p>
        </w:tc>
        <w:tc>
          <w:tcPr>
            <w:tcW w:w="1269"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hint="eastAsia" w:ascii="仿宋_GB2312" w:hAnsi="宋体" w:eastAsia="仿宋_GB2312" w:cs="仿宋_GB2312"/>
                <w:i w:val="0"/>
                <w:iCs w:val="0"/>
                <w:color w:val="000000"/>
                <w:kern w:val="0"/>
                <w:sz w:val="20"/>
                <w:szCs w:val="20"/>
                <w:u w:val="none"/>
                <w:lang w:val="en-US" w:eastAsia="zh-CN" w:bidi="ar"/>
              </w:rPr>
              <w:t>无影响</w:t>
            </w:r>
          </w:p>
        </w:tc>
        <w:tc>
          <w:tcPr>
            <w:tcW w:w="716"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hint="eastAsia" w:ascii="仿宋_GB2312" w:hAnsi="宋体" w:eastAsia="仿宋_GB2312" w:cs="仿宋_GB2312"/>
                <w:i w:val="0"/>
                <w:iCs w:val="0"/>
                <w:color w:val="000000"/>
                <w:kern w:val="0"/>
                <w:sz w:val="20"/>
                <w:szCs w:val="20"/>
                <w:u w:val="none"/>
                <w:lang w:val="en-US" w:eastAsia="zh-CN" w:bidi="ar"/>
              </w:rPr>
              <w:t>5</w:t>
            </w:r>
          </w:p>
        </w:tc>
        <w:tc>
          <w:tcPr>
            <w:tcW w:w="873"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hint="eastAsia" w:ascii="仿宋_GB2312" w:hAnsi="宋体" w:eastAsia="仿宋_GB2312" w:cs="仿宋_GB2312"/>
                <w:i w:val="0"/>
                <w:iCs w:val="0"/>
                <w:color w:val="000000"/>
                <w:kern w:val="0"/>
                <w:sz w:val="20"/>
                <w:szCs w:val="20"/>
                <w:u w:val="none"/>
                <w:lang w:val="en-US" w:eastAsia="zh-CN" w:bidi="ar"/>
              </w:rPr>
              <w:t>5</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trHeight w:val="270" w:hRule="atLeast"/>
          <w:jc w:val="center"/>
        </w:trPr>
        <w:tc>
          <w:tcPr>
            <w:tcW w:w="7044" w:type="dxa"/>
            <w:gridSpan w:val="6"/>
            <w:tcBorders>
              <w:top w:val="single" w:color="auto" w:sz="4" w:space="0"/>
              <w:left w:val="single" w:color="auto" w:sz="4" w:space="0"/>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71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nil"/>
              <w:left w:val="nil"/>
              <w:bottom w:val="single" w:color="auto" w:sz="4" w:space="0"/>
              <w:right w:val="single" w:color="auto" w:sz="4" w:space="0"/>
            </w:tcBorders>
            <w:noWrap w:val="0"/>
            <w:vAlign w:val="center"/>
          </w:tcPr>
          <w:p>
            <w:pPr>
              <w:widowControl/>
              <w:spacing w:line="240" w:lineRule="exact"/>
              <w:ind w:firstLine="200" w:firstLineChars="1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tbl>
      <w:tblPr>
        <w:tblStyle w:val="9"/>
        <w:tblpPr w:leftFromText="180" w:rightFromText="180" w:vertAnchor="text" w:tblpX="10214" w:tblpY="-1060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4728" w:type="dxa"/>
          </w:tcPr>
          <w:p>
            <w:pPr>
              <w:widowControl/>
              <w:spacing w:line="600" w:lineRule="exact"/>
              <w:jc w:val="left"/>
              <w:rPr>
                <w:rFonts w:hint="default" w:ascii="Times New Roman" w:hAnsi="Times New Roman" w:eastAsia="仿宋_GB2312" w:cs="Times New Roman"/>
                <w:sz w:val="22"/>
                <w:highlight w:val="none"/>
                <w:vertAlign w:val="baseline"/>
              </w:rPr>
            </w:pPr>
          </w:p>
        </w:tc>
      </w:tr>
    </w:tbl>
    <w:p>
      <w:pPr>
        <w:widowControl/>
        <w:spacing w:line="600" w:lineRule="exact"/>
        <w:jc w:val="left"/>
        <w:rPr>
          <w:rFonts w:hint="eastAsia" w:ascii="Times New Roman" w:hAnsi="Times New Roman" w:eastAsia="黑体" w:cs="Times New Roman"/>
          <w:sz w:val="32"/>
          <w:szCs w:val="32"/>
          <w:highlight w:val="none"/>
          <w:lang w:eastAsia="zh-CN"/>
        </w:rPr>
      </w:pPr>
      <w:r>
        <w:rPr>
          <w:rFonts w:hint="default" w:ascii="Times New Roman" w:hAnsi="Times New Roman" w:eastAsia="仿宋_GB2312" w:cs="Times New Roman"/>
          <w:sz w:val="22"/>
          <w:highlight w:val="none"/>
        </w:rPr>
        <w:t>填表人：</w:t>
      </w:r>
      <w:r>
        <w:rPr>
          <w:rFonts w:hint="eastAsia" w:ascii="Times New Roman" w:hAnsi="Times New Roman" w:eastAsia="仿宋_GB2312" w:cs="Times New Roman"/>
          <w:sz w:val="22"/>
          <w:highlight w:val="none"/>
          <w:lang w:val="en-US" w:eastAsia="zh-CN"/>
        </w:rPr>
        <w:t>付梦铃</w:t>
      </w:r>
      <w:r>
        <w:rPr>
          <w:rFonts w:hint="default" w:ascii="Times New Roman" w:hAnsi="Times New Roman" w:eastAsia="仿宋_GB2312" w:cs="Times New Roman"/>
          <w:sz w:val="22"/>
          <w:highlight w:val="none"/>
        </w:rPr>
        <w:t xml:space="preserve"> 填报日期：</w:t>
      </w:r>
      <w:r>
        <w:rPr>
          <w:rFonts w:hint="eastAsia" w:ascii="Times New Roman" w:hAnsi="Times New Roman" w:eastAsia="仿宋_GB2312" w:cs="Times New Roman"/>
          <w:sz w:val="22"/>
          <w:highlight w:val="none"/>
          <w:lang w:val="en-US" w:eastAsia="zh-CN"/>
        </w:rPr>
        <w:t>2023年6月13日</w:t>
      </w:r>
      <w:r>
        <w:rPr>
          <w:rFonts w:hint="default" w:ascii="Times New Roman" w:hAnsi="Times New Roman" w:eastAsia="仿宋_GB2312" w:cs="Times New Roman"/>
          <w:sz w:val="22"/>
          <w:highlight w:val="none"/>
        </w:rPr>
        <w:t xml:space="preserve"> 联系电话：</w:t>
      </w:r>
      <w:r>
        <w:rPr>
          <w:rFonts w:hint="eastAsia" w:ascii="Times New Roman" w:hAnsi="Times New Roman" w:eastAsia="仿宋_GB2312" w:cs="Times New Roman"/>
          <w:sz w:val="22"/>
          <w:highlight w:val="none"/>
          <w:lang w:val="en-US" w:eastAsia="zh-CN"/>
        </w:rPr>
        <w:t xml:space="preserve">8758088 </w:t>
      </w:r>
      <w:r>
        <w:rPr>
          <w:rFonts w:hint="default" w:ascii="Times New Roman" w:hAnsi="Times New Roman" w:eastAsia="仿宋_GB2312" w:cs="Times New Roman"/>
          <w:sz w:val="22"/>
          <w:highlight w:val="none"/>
        </w:rPr>
        <w:t>单位负责人签字：</w:t>
      </w:r>
      <w:r>
        <w:rPr>
          <w:rFonts w:hint="default" w:ascii="Times New Roman" w:hAnsi="Times New Roman" w:eastAsia="仿宋_GB2312" w:cs="Times New Roman"/>
          <w:sz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w:t>
      </w:r>
    </w:p>
    <w:p>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8"/>
        <w:tblW w:w="9851" w:type="dxa"/>
        <w:jc w:val="center"/>
        <w:tblLayout w:type="fixed"/>
        <w:tblCellMar>
          <w:top w:w="0" w:type="dxa"/>
          <w:left w:w="108" w:type="dxa"/>
          <w:bottom w:w="0" w:type="dxa"/>
          <w:right w:w="108" w:type="dxa"/>
        </w:tblCellMar>
      </w:tblPr>
      <w:tblGrid>
        <w:gridCol w:w="1058"/>
        <w:gridCol w:w="1050"/>
        <w:gridCol w:w="1050"/>
        <w:gridCol w:w="1196"/>
        <w:gridCol w:w="242"/>
        <w:gridCol w:w="1110"/>
        <w:gridCol w:w="1080"/>
        <w:gridCol w:w="814"/>
        <w:gridCol w:w="870"/>
        <w:gridCol w:w="1381"/>
      </w:tblGrid>
      <w:tr>
        <w:tblPrEx>
          <w:tblCellMar>
            <w:top w:w="0" w:type="dxa"/>
            <w:left w:w="108" w:type="dxa"/>
            <w:bottom w:w="0" w:type="dxa"/>
            <w:right w:w="108" w:type="dxa"/>
          </w:tblCellMar>
        </w:tblPrEx>
        <w:trPr>
          <w:jc w:val="center"/>
        </w:trPr>
        <w:tc>
          <w:tcPr>
            <w:tcW w:w="10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93" w:type="dxa"/>
            <w:gridSpan w:val="9"/>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房产开发事务管理经费</w:t>
            </w:r>
          </w:p>
        </w:tc>
      </w:tr>
      <w:tr>
        <w:tblPrEx>
          <w:tblCellMar>
            <w:top w:w="0" w:type="dxa"/>
            <w:left w:w="108" w:type="dxa"/>
            <w:bottom w:w="0" w:type="dxa"/>
            <w:right w:w="108" w:type="dxa"/>
          </w:tblCellMar>
        </w:tblPrEx>
        <w:trPr>
          <w:jc w:val="center"/>
        </w:trPr>
        <w:tc>
          <w:tcPr>
            <w:tcW w:w="105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648"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岳阳市住房和城乡建设局</w:t>
            </w:r>
          </w:p>
        </w:tc>
        <w:tc>
          <w:tcPr>
            <w:tcW w:w="1080" w:type="dxa"/>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065"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岳阳市房地产市场服务中心</w:t>
            </w:r>
          </w:p>
        </w:tc>
      </w:tr>
      <w:tr>
        <w:tblPrEx>
          <w:tblCellMar>
            <w:top w:w="0" w:type="dxa"/>
            <w:left w:w="108" w:type="dxa"/>
            <w:bottom w:w="0" w:type="dxa"/>
            <w:right w:w="108" w:type="dxa"/>
          </w:tblCellMar>
        </w:tblPrEx>
        <w:trPr>
          <w:jc w:val="center"/>
        </w:trPr>
        <w:tc>
          <w:tcPr>
            <w:tcW w:w="1058"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项目资金</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（万元）</w:t>
            </w:r>
          </w:p>
        </w:tc>
        <w:tc>
          <w:tcPr>
            <w:tcW w:w="210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9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352"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执行数</w:t>
            </w:r>
          </w:p>
        </w:tc>
        <w:tc>
          <w:tcPr>
            <w:tcW w:w="8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执行率</w:t>
            </w:r>
          </w:p>
        </w:tc>
        <w:tc>
          <w:tcPr>
            <w:tcW w:w="138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r>
      <w:tr>
        <w:tblPrEx>
          <w:tblCellMar>
            <w:top w:w="0" w:type="dxa"/>
            <w:left w:w="108" w:type="dxa"/>
            <w:bottom w:w="0" w:type="dxa"/>
            <w:right w:w="108" w:type="dxa"/>
          </w:tblCellMar>
        </w:tblPrEx>
        <w:trPr>
          <w:jc w:val="center"/>
        </w:trPr>
        <w:tc>
          <w:tcPr>
            <w:tcW w:w="1058"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0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19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36</w:t>
            </w:r>
          </w:p>
        </w:tc>
        <w:tc>
          <w:tcPr>
            <w:tcW w:w="1352"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36</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16.48</w:t>
            </w:r>
          </w:p>
        </w:tc>
        <w:tc>
          <w:tcPr>
            <w:tcW w:w="8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38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58"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0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19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0</w:t>
            </w:r>
          </w:p>
        </w:tc>
        <w:tc>
          <w:tcPr>
            <w:tcW w:w="1352"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0</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0</w:t>
            </w:r>
          </w:p>
        </w:tc>
        <w:tc>
          <w:tcPr>
            <w:tcW w:w="8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38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58"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0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19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0</w:t>
            </w:r>
          </w:p>
        </w:tc>
        <w:tc>
          <w:tcPr>
            <w:tcW w:w="1352"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0</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0</w:t>
            </w:r>
          </w:p>
        </w:tc>
        <w:tc>
          <w:tcPr>
            <w:tcW w:w="8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38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58"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0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19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36</w:t>
            </w:r>
          </w:p>
        </w:tc>
        <w:tc>
          <w:tcPr>
            <w:tcW w:w="1352"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36</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lang w:val="en-US" w:eastAsia="zh-CN"/>
              </w:rPr>
              <w:t>16.48</w:t>
            </w:r>
          </w:p>
        </w:tc>
        <w:tc>
          <w:tcPr>
            <w:tcW w:w="8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45.78%</w:t>
            </w:r>
          </w:p>
        </w:tc>
        <w:tc>
          <w:tcPr>
            <w:tcW w:w="138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4.58</w:t>
            </w:r>
          </w:p>
        </w:tc>
      </w:tr>
      <w:tr>
        <w:tblPrEx>
          <w:tblCellMar>
            <w:top w:w="0" w:type="dxa"/>
            <w:left w:w="108" w:type="dxa"/>
            <w:bottom w:w="0" w:type="dxa"/>
            <w:right w:w="108" w:type="dxa"/>
          </w:tblCellMar>
        </w:tblPrEx>
        <w:trPr>
          <w:jc w:val="center"/>
        </w:trPr>
        <w:tc>
          <w:tcPr>
            <w:tcW w:w="1058"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648" w:type="dxa"/>
            <w:gridSpan w:val="5"/>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145"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trHeight w:val="230" w:hRule="atLeast"/>
          <w:jc w:val="center"/>
        </w:trPr>
        <w:tc>
          <w:tcPr>
            <w:tcW w:w="1058"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648" w:type="dxa"/>
            <w:gridSpan w:val="5"/>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完成省住建厅、市政府、市房地产工作协调机制下达的市中心城区房地产项目保交楼目标任务，完成市中心城区4519户可交楼目标；2、完成省政府推出新建商品房“交房即交证”改革实施方案的相关规定和市政府下达化解信访突出问题楼盘办证工作，化解房地产办证信访突出问题10个项目办证问题；3、稳定房地产市场激活消费，确保市中心城区新建商品房价格平稳。</w:t>
            </w:r>
          </w:p>
        </w:tc>
        <w:tc>
          <w:tcPr>
            <w:tcW w:w="4145"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促进房地产市场的健康、可持续发展。2、完成房地产企业统计数据督报、催报工作，协税互税工作和房地产开发企业资质、商品房预售许可初审、报批限时办结工作；3、严格做好商品房预售资金监管工作；4、保持房地产市场平稳健康发展；5、支持刚性和改善性住房需求，稳定房地产市场；6、针对房地产开发企业生产经营情况，开展双随机一抽查工作；7、为从业人员提供相关培训和教育，提高从业人员的专业素养；8、建立防范化解房地产“办证难”的长效机制，为登记部门实现“交房即交证”提供保障，化解房地产办证信访突出问题，化解房地产办证遗留问题；9、防范化解房地产项目风险。</w:t>
            </w:r>
          </w:p>
        </w:tc>
      </w:tr>
      <w:tr>
        <w:tblPrEx>
          <w:tblCellMar>
            <w:top w:w="0" w:type="dxa"/>
            <w:left w:w="108" w:type="dxa"/>
            <w:bottom w:w="0" w:type="dxa"/>
            <w:right w:w="108" w:type="dxa"/>
          </w:tblCellMar>
        </w:tblPrEx>
        <w:trPr>
          <w:trHeight w:val="4135" w:hRule="atLeast"/>
          <w:jc w:val="center"/>
        </w:trPr>
        <w:tc>
          <w:tcPr>
            <w:tcW w:w="1058"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5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5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43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11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38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0" w:type="dxa"/>
            <w:vMerge w:val="restart"/>
            <w:tcBorders>
              <w:top w:val="nil"/>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widowControl/>
              <w:spacing w:line="240" w:lineRule="exact"/>
              <w:jc w:val="both"/>
              <w:rPr>
                <w:rFonts w:hint="eastAsia" w:ascii="仿宋_GB2312" w:hAnsi="仿宋_GB2312" w:eastAsia="仿宋_GB2312" w:cs="仿宋_GB2312"/>
                <w:color w:val="000000"/>
                <w:sz w:val="20"/>
                <w:szCs w:val="20"/>
                <w:highlight w:val="none"/>
              </w:rPr>
            </w:pPr>
          </w:p>
        </w:tc>
        <w:tc>
          <w:tcPr>
            <w:tcW w:w="1050" w:type="dxa"/>
            <w:vMerge w:val="restart"/>
            <w:tcBorders>
              <w:top w:val="nil"/>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43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1、化解房地产办证信访突出问题。</w:t>
            </w:r>
          </w:p>
        </w:tc>
        <w:tc>
          <w:tcPr>
            <w:tcW w:w="111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10个项目</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10个项目</w:t>
            </w:r>
          </w:p>
        </w:tc>
        <w:tc>
          <w:tcPr>
            <w:tcW w:w="8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15</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15</w:t>
            </w:r>
          </w:p>
        </w:tc>
        <w:tc>
          <w:tcPr>
            <w:tcW w:w="138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0" w:type="dxa"/>
            <w:vMerge w:val="continue"/>
            <w:tcBorders>
              <w:left w:val="nil"/>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50" w:type="dxa"/>
            <w:vMerge w:val="continue"/>
            <w:tcBorders>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43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2、完成上级交办“保交楼、稳民生”工作；</w:t>
            </w:r>
          </w:p>
        </w:tc>
        <w:tc>
          <w:tcPr>
            <w:tcW w:w="111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4519户</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4519户</w:t>
            </w:r>
          </w:p>
        </w:tc>
        <w:tc>
          <w:tcPr>
            <w:tcW w:w="8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15</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15</w:t>
            </w:r>
          </w:p>
        </w:tc>
        <w:tc>
          <w:tcPr>
            <w:tcW w:w="138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0" w:type="dxa"/>
            <w:vMerge w:val="continue"/>
            <w:tcBorders>
              <w:left w:val="nil"/>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43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房地产办证及时率以及开发企业资质、商品房预售许可初审、报批限时办结</w:t>
            </w:r>
          </w:p>
        </w:tc>
        <w:tc>
          <w:tcPr>
            <w:tcW w:w="111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≥95%</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≥95%</w:t>
            </w:r>
          </w:p>
        </w:tc>
        <w:tc>
          <w:tcPr>
            <w:tcW w:w="8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138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0" w:type="dxa"/>
            <w:vMerge w:val="continue"/>
            <w:tcBorders>
              <w:left w:val="nil"/>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5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43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在当年度内完成</w:t>
            </w:r>
          </w:p>
        </w:tc>
        <w:tc>
          <w:tcPr>
            <w:tcW w:w="111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2023.12.31之前</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2023.12.31之前</w:t>
            </w:r>
          </w:p>
        </w:tc>
        <w:tc>
          <w:tcPr>
            <w:tcW w:w="8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lang w:val="en-US" w:eastAsia="zh-CN"/>
              </w:rPr>
              <w:t>10</w:t>
            </w:r>
          </w:p>
        </w:tc>
        <w:tc>
          <w:tcPr>
            <w:tcW w:w="138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0" w:type="dxa"/>
            <w:vMerge w:val="restart"/>
            <w:tcBorders>
              <w:top w:val="single" w:color="auto" w:sz="4" w:space="0"/>
              <w:left w:val="nil"/>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效益指标</w:t>
            </w:r>
          </w:p>
        </w:tc>
        <w:tc>
          <w:tcPr>
            <w:tcW w:w="1050" w:type="dxa"/>
            <w:vMerge w:val="restart"/>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43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1、建立防范和化解房地产“办证难”的长效机制为登记部门实现“交房即交证”提供保障。</w:t>
            </w:r>
          </w:p>
        </w:tc>
        <w:tc>
          <w:tcPr>
            <w:tcW w:w="111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1、有效保障</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1、有效保障</w:t>
            </w:r>
          </w:p>
        </w:tc>
        <w:tc>
          <w:tcPr>
            <w:tcW w:w="8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138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0" w:type="dxa"/>
            <w:vMerge w:val="continue"/>
            <w:tcBorders>
              <w:left w:val="nil"/>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50" w:type="dxa"/>
            <w:vMerge w:val="continue"/>
            <w:tcBorders>
              <w:left w:val="nil"/>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43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 xml:space="preserve"> 2、在2023年底市中心城区范围内基本化解房地产办证遗留问题。市中心城区范围内基本化解房地产办证遗留问题。</w:t>
            </w:r>
          </w:p>
        </w:tc>
        <w:tc>
          <w:tcPr>
            <w:tcW w:w="111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 xml:space="preserve">  2、有效解决 </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 xml:space="preserve">  2、有效解决 </w:t>
            </w:r>
          </w:p>
        </w:tc>
        <w:tc>
          <w:tcPr>
            <w:tcW w:w="8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138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0" w:type="dxa"/>
            <w:vMerge w:val="continue"/>
            <w:tcBorders>
              <w:left w:val="nil"/>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50" w:type="dxa"/>
            <w:vMerge w:val="continue"/>
            <w:tcBorders>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43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 xml:space="preserve"> 3、在2023年12月底前完成保交楼目标任务。</w:t>
            </w:r>
          </w:p>
        </w:tc>
        <w:tc>
          <w:tcPr>
            <w:tcW w:w="111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3、有效解决</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3、有效解决</w:t>
            </w:r>
          </w:p>
        </w:tc>
        <w:tc>
          <w:tcPr>
            <w:tcW w:w="8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38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0" w:type="dxa"/>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widowControl/>
              <w:spacing w:line="240" w:lineRule="exact"/>
              <w:jc w:val="both"/>
              <w:rPr>
                <w:rFonts w:hint="eastAsia" w:ascii="仿宋_GB2312" w:hAnsi="仿宋_GB2312" w:eastAsia="仿宋_GB2312" w:cs="仿宋_GB2312"/>
                <w:color w:val="000000"/>
                <w:sz w:val="20"/>
                <w:szCs w:val="20"/>
                <w:highlight w:val="none"/>
              </w:rPr>
            </w:pPr>
          </w:p>
        </w:tc>
        <w:tc>
          <w:tcPr>
            <w:tcW w:w="10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43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受益对象满意度</w:t>
            </w:r>
          </w:p>
        </w:tc>
        <w:tc>
          <w:tcPr>
            <w:tcW w:w="111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≥95%</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≥95%</w:t>
            </w:r>
          </w:p>
        </w:tc>
        <w:tc>
          <w:tcPr>
            <w:tcW w:w="8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5</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5</w:t>
            </w:r>
          </w:p>
        </w:tc>
        <w:tc>
          <w:tcPr>
            <w:tcW w:w="138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　</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0" w:type="dxa"/>
            <w:tcBorders>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成本指标</w:t>
            </w:r>
          </w:p>
        </w:tc>
        <w:tc>
          <w:tcPr>
            <w:tcW w:w="10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经济成本指标</w:t>
            </w:r>
          </w:p>
        </w:tc>
        <w:tc>
          <w:tcPr>
            <w:tcW w:w="143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在预算内完成</w:t>
            </w:r>
          </w:p>
        </w:tc>
        <w:tc>
          <w:tcPr>
            <w:tcW w:w="111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≤360000</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279689.15</w:t>
            </w:r>
          </w:p>
        </w:tc>
        <w:tc>
          <w:tcPr>
            <w:tcW w:w="8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5</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5</w:t>
            </w:r>
          </w:p>
        </w:tc>
        <w:tc>
          <w:tcPr>
            <w:tcW w:w="138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highlight w:val="none"/>
                <w:lang w:val="en-US" w:eastAsia="zh-CN" w:bidi="ar-SA"/>
              </w:rPr>
            </w:pPr>
          </w:p>
        </w:tc>
      </w:tr>
      <w:tr>
        <w:tblPrEx>
          <w:tblCellMar>
            <w:top w:w="0" w:type="dxa"/>
            <w:left w:w="108" w:type="dxa"/>
            <w:bottom w:w="0" w:type="dxa"/>
            <w:right w:w="108" w:type="dxa"/>
          </w:tblCellMar>
        </w:tblPrEx>
        <w:trPr>
          <w:jc w:val="center"/>
        </w:trPr>
        <w:tc>
          <w:tcPr>
            <w:tcW w:w="6786" w:type="dxa"/>
            <w:gridSpan w:val="7"/>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97.65</w:t>
            </w:r>
          </w:p>
        </w:tc>
        <w:tc>
          <w:tcPr>
            <w:tcW w:w="138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rPr>
          <w:rFonts w:hint="default" w:ascii="Times New Roman" w:hAnsi="Times New Roman" w:eastAsia="仿宋_GB2312" w:cs="Times New Roman"/>
          <w:sz w:val="18"/>
          <w:szCs w:val="18"/>
          <w:highlight w:val="none"/>
        </w:rPr>
      </w:pPr>
    </w:p>
    <w:p>
      <w:pPr>
        <w:rPr>
          <w:rFonts w:hint="default" w:ascii="Times New Roman" w:hAnsi="Times New Roman" w:eastAsia="仿宋_GB2312" w:cs="Times New Roman"/>
          <w:szCs w:val="21"/>
          <w:highlight w:val="none"/>
        </w:rPr>
      </w:pPr>
      <w:r>
        <w:rPr>
          <w:rFonts w:hint="default" w:ascii="Times New Roman" w:hAnsi="Times New Roman" w:eastAsia="仿宋_GB2312" w:cs="Times New Roman"/>
          <w:sz w:val="18"/>
          <w:szCs w:val="18"/>
          <w:highlight w:val="none"/>
        </w:rPr>
        <w:t>备注：一个一级项目支出一张表。</w:t>
      </w:r>
      <w:r>
        <w:rPr>
          <w:rFonts w:hint="eastAsia" w:ascii="Times New Roman" w:hAnsi="Times New Roman" w:eastAsia="仿宋_GB2312" w:cs="Times New Roman"/>
          <w:sz w:val="18"/>
          <w:szCs w:val="18"/>
          <w:highlight w:val="none"/>
          <w:lang w:eastAsia="zh-CN"/>
        </w:rPr>
        <w:t>如，</w:t>
      </w:r>
      <w:r>
        <w:rPr>
          <w:rFonts w:hint="default" w:ascii="Times New Roman" w:hAnsi="Times New Roman" w:eastAsia="仿宋_GB2312" w:cs="Times New Roman"/>
          <w:sz w:val="18"/>
          <w:szCs w:val="18"/>
          <w:highlight w:val="none"/>
        </w:rPr>
        <w:t>业务工作经费</w:t>
      </w:r>
      <w:r>
        <w:rPr>
          <w:rFonts w:hint="eastAsia" w:ascii="Times New Roman" w:hAnsi="Times New Roman" w:eastAsia="仿宋_GB2312" w:cs="Times New Roman"/>
          <w:sz w:val="18"/>
          <w:szCs w:val="18"/>
          <w:highlight w:val="none"/>
          <w:lang w:eastAsia="zh-CN"/>
        </w:rPr>
        <w:t>，</w:t>
      </w:r>
      <w:r>
        <w:rPr>
          <w:rFonts w:hint="default" w:ascii="Times New Roman" w:hAnsi="Times New Roman" w:eastAsia="仿宋_GB2312" w:cs="Times New Roman"/>
          <w:sz w:val="18"/>
          <w:szCs w:val="18"/>
          <w:highlight w:val="none"/>
        </w:rPr>
        <w:t>运行维护经费</w:t>
      </w:r>
      <w:r>
        <w:rPr>
          <w:rFonts w:hint="eastAsia" w:ascii="Times New Roman" w:hAnsi="Times New Roman" w:eastAsia="仿宋_GB2312" w:cs="Times New Roman"/>
          <w:sz w:val="18"/>
          <w:szCs w:val="18"/>
          <w:highlight w:val="none"/>
          <w:lang w:eastAsia="zh-CN"/>
        </w:rPr>
        <w:t>，其他事业发展类资金…各一张表。</w:t>
      </w:r>
    </w:p>
    <w:p>
      <w:pPr>
        <w:jc w:val="center"/>
        <w:rPr>
          <w:rFonts w:hint="default" w:ascii="Times New Roman" w:hAnsi="Times New Roman" w:eastAsia="仿宋_GB2312" w:cs="Times New Roman"/>
          <w:sz w:val="22"/>
          <w:highlight w:val="none"/>
        </w:rPr>
        <w:sectPr>
          <w:pgSz w:w="11906" w:h="16838"/>
          <w:pgMar w:top="1440" w:right="1800" w:bottom="1440" w:left="1800" w:header="851" w:footer="992" w:gutter="0"/>
          <w:cols w:space="425" w:num="1"/>
          <w:docGrid w:type="lines" w:linePitch="312" w:charSpace="0"/>
        </w:sectPr>
      </w:pPr>
      <w:r>
        <w:rPr>
          <w:rFonts w:hint="default" w:ascii="Times New Roman" w:hAnsi="Times New Roman" w:eastAsia="仿宋_GB2312" w:cs="Times New Roman"/>
          <w:sz w:val="22"/>
          <w:highlight w:val="none"/>
        </w:rPr>
        <w:t>填表人：</w:t>
      </w:r>
      <w:r>
        <w:rPr>
          <w:rFonts w:hint="eastAsia" w:ascii="Times New Roman" w:hAnsi="Times New Roman" w:eastAsia="仿宋_GB2312" w:cs="Times New Roman"/>
          <w:sz w:val="22"/>
          <w:highlight w:val="none"/>
          <w:lang w:val="en-US" w:eastAsia="zh-CN"/>
        </w:rPr>
        <w:t>付梦铃</w:t>
      </w:r>
      <w:r>
        <w:rPr>
          <w:rFonts w:hint="default" w:ascii="Times New Roman" w:hAnsi="Times New Roman" w:eastAsia="仿宋_GB2312" w:cs="Times New Roman"/>
          <w:sz w:val="22"/>
          <w:highlight w:val="none"/>
        </w:rPr>
        <w:t xml:space="preserve"> 填报日期：</w:t>
      </w:r>
      <w:r>
        <w:rPr>
          <w:rFonts w:hint="eastAsia" w:ascii="Times New Roman" w:hAnsi="Times New Roman" w:eastAsia="仿宋_GB2312" w:cs="Times New Roman"/>
          <w:sz w:val="22"/>
          <w:highlight w:val="none"/>
          <w:lang w:val="en-US" w:eastAsia="zh-CN"/>
        </w:rPr>
        <w:t>2023年6月13日</w:t>
      </w:r>
      <w:r>
        <w:rPr>
          <w:rFonts w:hint="default" w:ascii="Times New Roman" w:hAnsi="Times New Roman" w:eastAsia="仿宋_GB2312" w:cs="Times New Roman"/>
          <w:sz w:val="22"/>
          <w:highlight w:val="none"/>
        </w:rPr>
        <w:t xml:space="preserve"> 联系电话：</w:t>
      </w:r>
      <w:r>
        <w:rPr>
          <w:rFonts w:hint="eastAsia" w:ascii="Times New Roman" w:hAnsi="Times New Roman" w:eastAsia="仿宋_GB2312" w:cs="Times New Roman"/>
          <w:sz w:val="22"/>
          <w:highlight w:val="none"/>
          <w:lang w:val="en-US" w:eastAsia="zh-CN"/>
        </w:rPr>
        <w:t xml:space="preserve">8758088 </w:t>
      </w:r>
      <w:r>
        <w:rPr>
          <w:rFonts w:hint="default" w:ascii="Times New Roman" w:hAnsi="Times New Roman" w:eastAsia="仿宋_GB2312" w:cs="Times New Roman"/>
          <w:sz w:val="22"/>
          <w:highlight w:val="none"/>
        </w:rPr>
        <w:t>单位负责人签字：</w:t>
      </w:r>
    </w:p>
    <w:p>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8"/>
        <w:tblW w:w="9851" w:type="dxa"/>
        <w:jc w:val="center"/>
        <w:tblLayout w:type="fixed"/>
        <w:tblCellMar>
          <w:top w:w="0" w:type="dxa"/>
          <w:left w:w="108" w:type="dxa"/>
          <w:bottom w:w="0" w:type="dxa"/>
          <w:right w:w="108" w:type="dxa"/>
        </w:tblCellMar>
      </w:tblPr>
      <w:tblGrid>
        <w:gridCol w:w="1058"/>
        <w:gridCol w:w="1050"/>
        <w:gridCol w:w="1050"/>
        <w:gridCol w:w="1033"/>
        <w:gridCol w:w="163"/>
        <w:gridCol w:w="1352"/>
        <w:gridCol w:w="1080"/>
        <w:gridCol w:w="814"/>
        <w:gridCol w:w="870"/>
        <w:gridCol w:w="1381"/>
      </w:tblGrid>
      <w:tr>
        <w:tblPrEx>
          <w:tblCellMar>
            <w:top w:w="0" w:type="dxa"/>
            <w:left w:w="108" w:type="dxa"/>
            <w:bottom w:w="0" w:type="dxa"/>
            <w:right w:w="108" w:type="dxa"/>
          </w:tblCellMar>
        </w:tblPrEx>
        <w:trPr>
          <w:jc w:val="center"/>
        </w:trPr>
        <w:tc>
          <w:tcPr>
            <w:tcW w:w="10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93" w:type="dxa"/>
            <w:gridSpan w:val="9"/>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项目资本金</w:t>
            </w:r>
          </w:p>
        </w:tc>
      </w:tr>
      <w:tr>
        <w:tblPrEx>
          <w:tblCellMar>
            <w:top w:w="0" w:type="dxa"/>
            <w:left w:w="108" w:type="dxa"/>
            <w:bottom w:w="0" w:type="dxa"/>
            <w:right w:w="108" w:type="dxa"/>
          </w:tblCellMar>
        </w:tblPrEx>
        <w:trPr>
          <w:jc w:val="center"/>
        </w:trPr>
        <w:tc>
          <w:tcPr>
            <w:tcW w:w="105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648"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岳阳市住房和城乡建设局</w:t>
            </w:r>
          </w:p>
        </w:tc>
        <w:tc>
          <w:tcPr>
            <w:tcW w:w="1080" w:type="dxa"/>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065"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岳阳市房地产市场服务中心</w:t>
            </w:r>
          </w:p>
        </w:tc>
      </w:tr>
      <w:tr>
        <w:tblPrEx>
          <w:tblCellMar>
            <w:top w:w="0" w:type="dxa"/>
            <w:left w:w="108" w:type="dxa"/>
            <w:bottom w:w="0" w:type="dxa"/>
            <w:right w:w="108" w:type="dxa"/>
          </w:tblCellMar>
        </w:tblPrEx>
        <w:trPr>
          <w:jc w:val="center"/>
        </w:trPr>
        <w:tc>
          <w:tcPr>
            <w:tcW w:w="1058"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项目资金</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（万元）</w:t>
            </w:r>
          </w:p>
        </w:tc>
        <w:tc>
          <w:tcPr>
            <w:tcW w:w="210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9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35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执行数</w:t>
            </w:r>
          </w:p>
        </w:tc>
        <w:tc>
          <w:tcPr>
            <w:tcW w:w="8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执行率</w:t>
            </w:r>
          </w:p>
        </w:tc>
        <w:tc>
          <w:tcPr>
            <w:tcW w:w="138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r>
      <w:tr>
        <w:tblPrEx>
          <w:tblCellMar>
            <w:top w:w="0" w:type="dxa"/>
            <w:left w:w="108" w:type="dxa"/>
            <w:bottom w:w="0" w:type="dxa"/>
            <w:right w:w="108" w:type="dxa"/>
          </w:tblCellMar>
        </w:tblPrEx>
        <w:trPr>
          <w:jc w:val="center"/>
        </w:trPr>
        <w:tc>
          <w:tcPr>
            <w:tcW w:w="1058"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0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19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152</w:t>
            </w:r>
          </w:p>
        </w:tc>
        <w:tc>
          <w:tcPr>
            <w:tcW w:w="135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152</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lang w:val="en-US" w:eastAsia="zh-CN"/>
              </w:rPr>
              <w:t>60.48</w:t>
            </w:r>
          </w:p>
        </w:tc>
        <w:tc>
          <w:tcPr>
            <w:tcW w:w="8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38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58"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0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19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0</w:t>
            </w:r>
          </w:p>
        </w:tc>
        <w:tc>
          <w:tcPr>
            <w:tcW w:w="135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0</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0</w:t>
            </w:r>
          </w:p>
        </w:tc>
        <w:tc>
          <w:tcPr>
            <w:tcW w:w="8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38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58"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0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19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0</w:t>
            </w:r>
          </w:p>
        </w:tc>
        <w:tc>
          <w:tcPr>
            <w:tcW w:w="135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0</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0</w:t>
            </w:r>
          </w:p>
        </w:tc>
        <w:tc>
          <w:tcPr>
            <w:tcW w:w="8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38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58"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0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19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152</w:t>
            </w:r>
          </w:p>
        </w:tc>
        <w:tc>
          <w:tcPr>
            <w:tcW w:w="135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152</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lang w:val="en-US" w:eastAsia="zh-CN"/>
              </w:rPr>
              <w:t>60.48</w:t>
            </w:r>
          </w:p>
        </w:tc>
        <w:tc>
          <w:tcPr>
            <w:tcW w:w="8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39.79%</w:t>
            </w:r>
          </w:p>
        </w:tc>
        <w:tc>
          <w:tcPr>
            <w:tcW w:w="138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3.98</w:t>
            </w:r>
          </w:p>
        </w:tc>
      </w:tr>
      <w:tr>
        <w:tblPrEx>
          <w:tblCellMar>
            <w:top w:w="0" w:type="dxa"/>
            <w:left w:w="108" w:type="dxa"/>
            <w:bottom w:w="0" w:type="dxa"/>
            <w:right w:w="108" w:type="dxa"/>
          </w:tblCellMar>
        </w:tblPrEx>
        <w:trPr>
          <w:jc w:val="center"/>
        </w:trPr>
        <w:tc>
          <w:tcPr>
            <w:tcW w:w="1058"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648" w:type="dxa"/>
            <w:gridSpan w:val="5"/>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145"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trHeight w:val="230" w:hRule="atLeast"/>
          <w:jc w:val="center"/>
        </w:trPr>
        <w:tc>
          <w:tcPr>
            <w:tcW w:w="1058"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648" w:type="dxa"/>
            <w:gridSpan w:val="5"/>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足额解控项目资本金并退还项目资本金利息。</w:t>
            </w:r>
          </w:p>
        </w:tc>
        <w:tc>
          <w:tcPr>
            <w:tcW w:w="4145"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此为项目资本金，是按企业实际情况分批次返还的存量资金。我中心已按实际情况将应还、可还部分进行返还，未达返还要求的资本金正在督促相关企业完成相关工作。</w:t>
            </w:r>
          </w:p>
        </w:tc>
      </w:tr>
      <w:tr>
        <w:tblPrEx>
          <w:tblCellMar>
            <w:top w:w="0" w:type="dxa"/>
            <w:left w:w="108" w:type="dxa"/>
            <w:bottom w:w="0" w:type="dxa"/>
            <w:right w:w="108" w:type="dxa"/>
          </w:tblCellMar>
        </w:tblPrEx>
        <w:trPr>
          <w:trHeight w:val="885" w:hRule="atLeast"/>
          <w:jc w:val="center"/>
        </w:trPr>
        <w:tc>
          <w:tcPr>
            <w:tcW w:w="1058"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5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5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03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515"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38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0" w:type="dxa"/>
            <w:vMerge w:val="restart"/>
            <w:tcBorders>
              <w:top w:val="nil"/>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widowControl/>
              <w:spacing w:line="240" w:lineRule="exact"/>
              <w:jc w:val="both"/>
              <w:rPr>
                <w:rFonts w:hint="eastAsia" w:ascii="仿宋_GB2312" w:hAnsi="仿宋_GB2312" w:eastAsia="仿宋_GB2312" w:cs="仿宋_GB2312"/>
                <w:color w:val="000000"/>
                <w:sz w:val="20"/>
                <w:szCs w:val="20"/>
                <w:highlight w:val="none"/>
              </w:rPr>
            </w:pPr>
          </w:p>
        </w:tc>
        <w:tc>
          <w:tcPr>
            <w:tcW w:w="1050" w:type="dxa"/>
            <w:vMerge w:val="restart"/>
            <w:tcBorders>
              <w:top w:val="nil"/>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03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不适用</w:t>
            </w:r>
          </w:p>
        </w:tc>
        <w:tc>
          <w:tcPr>
            <w:tcW w:w="1515"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不适用</w:t>
            </w:r>
          </w:p>
        </w:tc>
        <w:tc>
          <w:tcPr>
            <w:tcW w:w="108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不适用</w:t>
            </w:r>
          </w:p>
        </w:tc>
        <w:tc>
          <w:tcPr>
            <w:tcW w:w="8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0</w:t>
            </w:r>
          </w:p>
        </w:tc>
        <w:tc>
          <w:tcPr>
            <w:tcW w:w="138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highlight w:val="none"/>
                <w:lang w:val="en-US" w:eastAsia="zh-CN" w:bidi="ar-SA"/>
              </w:rPr>
              <w:t>　</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0" w:type="dxa"/>
            <w:vMerge w:val="continue"/>
            <w:tcBorders>
              <w:left w:val="nil"/>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50" w:type="dxa"/>
            <w:vMerge w:val="continue"/>
            <w:tcBorders>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03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不适用</w:t>
            </w:r>
          </w:p>
        </w:tc>
        <w:tc>
          <w:tcPr>
            <w:tcW w:w="1515"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不适用</w:t>
            </w:r>
          </w:p>
        </w:tc>
        <w:tc>
          <w:tcPr>
            <w:tcW w:w="108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不适用</w:t>
            </w:r>
          </w:p>
        </w:tc>
        <w:tc>
          <w:tcPr>
            <w:tcW w:w="8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0</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0</w:t>
            </w:r>
          </w:p>
        </w:tc>
        <w:tc>
          <w:tcPr>
            <w:tcW w:w="138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highlight w:val="none"/>
                <w:lang w:val="en-US" w:eastAsia="zh-CN" w:bidi="ar-SA"/>
              </w:rPr>
              <w:t>　</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0" w:type="dxa"/>
            <w:vMerge w:val="continue"/>
            <w:tcBorders>
              <w:left w:val="nil"/>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03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不适用</w:t>
            </w:r>
          </w:p>
        </w:tc>
        <w:tc>
          <w:tcPr>
            <w:tcW w:w="1515"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不适用</w:t>
            </w:r>
          </w:p>
        </w:tc>
        <w:tc>
          <w:tcPr>
            <w:tcW w:w="108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不适用</w:t>
            </w:r>
          </w:p>
        </w:tc>
        <w:tc>
          <w:tcPr>
            <w:tcW w:w="8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0</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0</w:t>
            </w:r>
          </w:p>
        </w:tc>
        <w:tc>
          <w:tcPr>
            <w:tcW w:w="138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highlight w:val="none"/>
                <w:lang w:val="en-US" w:eastAsia="zh-CN" w:bidi="ar-SA"/>
              </w:rPr>
              <w:t>　</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0" w:type="dxa"/>
            <w:vMerge w:val="continue"/>
            <w:tcBorders>
              <w:left w:val="nil"/>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5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03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不适用</w:t>
            </w:r>
          </w:p>
        </w:tc>
        <w:tc>
          <w:tcPr>
            <w:tcW w:w="1515"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不适用</w:t>
            </w:r>
          </w:p>
        </w:tc>
        <w:tc>
          <w:tcPr>
            <w:tcW w:w="108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不适用</w:t>
            </w:r>
          </w:p>
        </w:tc>
        <w:tc>
          <w:tcPr>
            <w:tcW w:w="8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0</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lang w:val="en-US" w:eastAsia="zh-CN"/>
              </w:rPr>
              <w:t>0</w:t>
            </w:r>
          </w:p>
        </w:tc>
        <w:tc>
          <w:tcPr>
            <w:tcW w:w="138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highlight w:val="none"/>
                <w:lang w:val="en-US" w:eastAsia="zh-CN" w:bidi="ar-SA"/>
              </w:rPr>
              <w:t>　</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0" w:type="dxa"/>
            <w:vMerge w:val="restart"/>
            <w:tcBorders>
              <w:top w:val="single" w:color="auto" w:sz="4" w:space="0"/>
              <w:left w:val="nil"/>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效益指标</w:t>
            </w:r>
          </w:p>
        </w:tc>
        <w:tc>
          <w:tcPr>
            <w:tcW w:w="1050" w:type="dxa"/>
            <w:vMerge w:val="restart"/>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03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不适用</w:t>
            </w:r>
          </w:p>
        </w:tc>
        <w:tc>
          <w:tcPr>
            <w:tcW w:w="1515"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不适用</w:t>
            </w:r>
          </w:p>
        </w:tc>
        <w:tc>
          <w:tcPr>
            <w:tcW w:w="108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不适用</w:t>
            </w:r>
          </w:p>
        </w:tc>
        <w:tc>
          <w:tcPr>
            <w:tcW w:w="8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0</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0</w:t>
            </w:r>
          </w:p>
        </w:tc>
        <w:tc>
          <w:tcPr>
            <w:tcW w:w="138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highlight w:val="none"/>
                <w:lang w:val="en-US" w:eastAsia="zh-CN" w:bidi="ar-SA"/>
              </w:rPr>
              <w:t>　</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0" w:type="dxa"/>
            <w:vMerge w:val="continue"/>
            <w:tcBorders>
              <w:left w:val="nil"/>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50" w:type="dxa"/>
            <w:vMerge w:val="continue"/>
            <w:tcBorders>
              <w:left w:val="nil"/>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03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不适用</w:t>
            </w:r>
          </w:p>
        </w:tc>
        <w:tc>
          <w:tcPr>
            <w:tcW w:w="1515"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不适用</w:t>
            </w:r>
          </w:p>
        </w:tc>
        <w:tc>
          <w:tcPr>
            <w:tcW w:w="108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不适用</w:t>
            </w:r>
          </w:p>
        </w:tc>
        <w:tc>
          <w:tcPr>
            <w:tcW w:w="8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0</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0</w:t>
            </w:r>
          </w:p>
        </w:tc>
        <w:tc>
          <w:tcPr>
            <w:tcW w:w="138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highlight w:val="none"/>
                <w:lang w:val="en-US" w:eastAsia="zh-CN" w:bidi="ar-SA"/>
              </w:rPr>
              <w:t>　</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0" w:type="dxa"/>
            <w:vMerge w:val="continue"/>
            <w:tcBorders>
              <w:left w:val="nil"/>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50" w:type="dxa"/>
            <w:vMerge w:val="continue"/>
            <w:tcBorders>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03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1515"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108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8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138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kern w:val="0"/>
                <w:sz w:val="20"/>
                <w:szCs w:val="20"/>
                <w:highlight w:val="none"/>
                <w:lang w:val="en-US" w:eastAsia="zh-CN" w:bidi="ar-SA"/>
              </w:rPr>
              <w:t>　</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widowControl/>
              <w:spacing w:line="240" w:lineRule="exact"/>
              <w:jc w:val="both"/>
              <w:rPr>
                <w:rFonts w:hint="eastAsia" w:ascii="仿宋_GB2312" w:hAnsi="仿宋_GB2312" w:eastAsia="仿宋_GB2312" w:cs="仿宋_GB2312"/>
                <w:color w:val="000000"/>
                <w:sz w:val="20"/>
                <w:szCs w:val="20"/>
                <w:highlight w:val="none"/>
              </w:rPr>
            </w:pPr>
          </w:p>
        </w:tc>
        <w:tc>
          <w:tcPr>
            <w:tcW w:w="10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03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受益对象满意度</w:t>
            </w:r>
          </w:p>
        </w:tc>
        <w:tc>
          <w:tcPr>
            <w:tcW w:w="1515"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≥95%</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≥95%</w:t>
            </w:r>
          </w:p>
        </w:tc>
        <w:tc>
          <w:tcPr>
            <w:tcW w:w="8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20</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20</w:t>
            </w:r>
          </w:p>
        </w:tc>
        <w:tc>
          <w:tcPr>
            <w:tcW w:w="138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　</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0" w:type="dxa"/>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成本指标</w:t>
            </w:r>
          </w:p>
        </w:tc>
        <w:tc>
          <w:tcPr>
            <w:tcW w:w="10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经济成本指标</w:t>
            </w:r>
          </w:p>
        </w:tc>
        <w:tc>
          <w:tcPr>
            <w:tcW w:w="103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152万元</w:t>
            </w:r>
          </w:p>
        </w:tc>
        <w:tc>
          <w:tcPr>
            <w:tcW w:w="1515"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≤152万元</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60.49</w:t>
            </w:r>
          </w:p>
        </w:tc>
        <w:tc>
          <w:tcPr>
            <w:tcW w:w="8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70</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70</w:t>
            </w:r>
          </w:p>
        </w:tc>
        <w:tc>
          <w:tcPr>
            <w:tcW w:w="138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rPr>
              <w:t>此为项目资本金，是按企业实际情况分批次返还的存量资金。我中心已按实际情况将应还、可还部分进行返还</w:t>
            </w:r>
            <w:r>
              <w:rPr>
                <w:rFonts w:hint="eastAsia" w:ascii="仿宋_GB2312" w:hAnsi="仿宋_GB2312" w:eastAsia="仿宋_GB2312" w:cs="仿宋_GB2312"/>
                <w:color w:val="000000"/>
                <w:sz w:val="20"/>
                <w:szCs w:val="20"/>
                <w:highlight w:val="none"/>
                <w:lang w:eastAsia="zh-CN"/>
              </w:rPr>
              <w:t>。</w:t>
            </w:r>
          </w:p>
        </w:tc>
      </w:tr>
      <w:tr>
        <w:tblPrEx>
          <w:tblCellMar>
            <w:top w:w="0" w:type="dxa"/>
            <w:left w:w="108" w:type="dxa"/>
            <w:bottom w:w="0" w:type="dxa"/>
            <w:right w:w="108" w:type="dxa"/>
          </w:tblCellMar>
        </w:tblPrEx>
        <w:trPr>
          <w:jc w:val="center"/>
        </w:trPr>
        <w:tc>
          <w:tcPr>
            <w:tcW w:w="6786" w:type="dxa"/>
            <w:gridSpan w:val="7"/>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93.98</w:t>
            </w:r>
          </w:p>
        </w:tc>
        <w:tc>
          <w:tcPr>
            <w:tcW w:w="138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rPr>
          <w:rFonts w:hint="default" w:ascii="Times New Roman" w:hAnsi="Times New Roman" w:eastAsia="仿宋_GB2312" w:cs="Times New Roman"/>
          <w:sz w:val="18"/>
          <w:szCs w:val="18"/>
          <w:highlight w:val="none"/>
        </w:rPr>
      </w:pPr>
    </w:p>
    <w:p>
      <w:pPr>
        <w:rPr>
          <w:rFonts w:hint="default" w:ascii="Times New Roman" w:hAnsi="Times New Roman" w:eastAsia="仿宋_GB2312" w:cs="Times New Roman"/>
          <w:szCs w:val="21"/>
          <w:highlight w:val="none"/>
        </w:rPr>
      </w:pPr>
      <w:r>
        <w:rPr>
          <w:rFonts w:hint="default" w:ascii="Times New Roman" w:hAnsi="Times New Roman" w:eastAsia="仿宋_GB2312" w:cs="Times New Roman"/>
          <w:sz w:val="18"/>
          <w:szCs w:val="18"/>
          <w:highlight w:val="none"/>
        </w:rPr>
        <w:t>备注：一个一级项目支出一张表。</w:t>
      </w:r>
      <w:r>
        <w:rPr>
          <w:rFonts w:hint="eastAsia" w:ascii="Times New Roman" w:hAnsi="Times New Roman" w:eastAsia="仿宋_GB2312" w:cs="Times New Roman"/>
          <w:sz w:val="18"/>
          <w:szCs w:val="18"/>
          <w:highlight w:val="none"/>
          <w:lang w:eastAsia="zh-CN"/>
        </w:rPr>
        <w:t>如，</w:t>
      </w:r>
      <w:r>
        <w:rPr>
          <w:rFonts w:hint="default" w:ascii="Times New Roman" w:hAnsi="Times New Roman" w:eastAsia="仿宋_GB2312" w:cs="Times New Roman"/>
          <w:sz w:val="18"/>
          <w:szCs w:val="18"/>
          <w:highlight w:val="none"/>
        </w:rPr>
        <w:t>业务工作经费</w:t>
      </w:r>
      <w:r>
        <w:rPr>
          <w:rFonts w:hint="eastAsia" w:ascii="Times New Roman" w:hAnsi="Times New Roman" w:eastAsia="仿宋_GB2312" w:cs="Times New Roman"/>
          <w:sz w:val="18"/>
          <w:szCs w:val="18"/>
          <w:highlight w:val="none"/>
          <w:lang w:eastAsia="zh-CN"/>
        </w:rPr>
        <w:t>，</w:t>
      </w:r>
      <w:r>
        <w:rPr>
          <w:rFonts w:hint="default" w:ascii="Times New Roman" w:hAnsi="Times New Roman" w:eastAsia="仿宋_GB2312" w:cs="Times New Roman"/>
          <w:sz w:val="18"/>
          <w:szCs w:val="18"/>
          <w:highlight w:val="none"/>
        </w:rPr>
        <w:t>运行维护经费</w:t>
      </w:r>
      <w:r>
        <w:rPr>
          <w:rFonts w:hint="eastAsia" w:ascii="Times New Roman" w:hAnsi="Times New Roman" w:eastAsia="仿宋_GB2312" w:cs="Times New Roman"/>
          <w:sz w:val="18"/>
          <w:szCs w:val="18"/>
          <w:highlight w:val="none"/>
          <w:lang w:eastAsia="zh-CN"/>
        </w:rPr>
        <w:t>，其他事业发展类资金…各一张表。</w:t>
      </w:r>
    </w:p>
    <w:p>
      <w:pPr>
        <w:jc w:val="center"/>
        <w:rPr>
          <w:rFonts w:hint="default" w:ascii="Times New Roman" w:hAnsi="Times New Roman" w:eastAsia="仿宋_GB2312" w:cs="Times New Roman"/>
          <w:sz w:val="22"/>
          <w:highlight w:val="none"/>
        </w:rPr>
        <w:sectPr>
          <w:pgSz w:w="11906" w:h="16838"/>
          <w:pgMar w:top="1440" w:right="1800" w:bottom="1440" w:left="1800" w:header="851" w:footer="992" w:gutter="0"/>
          <w:cols w:space="425" w:num="1"/>
          <w:docGrid w:type="lines" w:linePitch="312" w:charSpace="0"/>
        </w:sectPr>
      </w:pPr>
      <w:r>
        <w:rPr>
          <w:rFonts w:hint="default" w:ascii="Times New Roman" w:hAnsi="Times New Roman" w:eastAsia="仿宋_GB2312" w:cs="Times New Roman"/>
          <w:sz w:val="22"/>
          <w:highlight w:val="none"/>
        </w:rPr>
        <w:t>填表人：</w:t>
      </w:r>
      <w:r>
        <w:rPr>
          <w:rFonts w:hint="eastAsia" w:ascii="Times New Roman" w:hAnsi="Times New Roman" w:eastAsia="仿宋_GB2312" w:cs="Times New Roman"/>
          <w:sz w:val="22"/>
          <w:highlight w:val="none"/>
          <w:lang w:val="en-US" w:eastAsia="zh-CN"/>
        </w:rPr>
        <w:t>付梦铃</w:t>
      </w:r>
      <w:r>
        <w:rPr>
          <w:rFonts w:hint="default" w:ascii="Times New Roman" w:hAnsi="Times New Roman" w:eastAsia="仿宋_GB2312" w:cs="Times New Roman"/>
          <w:sz w:val="22"/>
          <w:highlight w:val="none"/>
        </w:rPr>
        <w:t xml:space="preserve"> 填报日期：</w:t>
      </w:r>
      <w:r>
        <w:rPr>
          <w:rFonts w:hint="eastAsia" w:ascii="Times New Roman" w:hAnsi="Times New Roman" w:eastAsia="仿宋_GB2312" w:cs="Times New Roman"/>
          <w:sz w:val="22"/>
          <w:highlight w:val="none"/>
          <w:lang w:val="en-US" w:eastAsia="zh-CN"/>
        </w:rPr>
        <w:t>2023年6月13日</w:t>
      </w:r>
      <w:r>
        <w:rPr>
          <w:rFonts w:hint="default" w:ascii="Times New Roman" w:hAnsi="Times New Roman" w:eastAsia="仿宋_GB2312" w:cs="Times New Roman"/>
          <w:sz w:val="22"/>
          <w:highlight w:val="none"/>
        </w:rPr>
        <w:t xml:space="preserve"> 联系电话：</w:t>
      </w:r>
      <w:r>
        <w:rPr>
          <w:rFonts w:hint="eastAsia" w:ascii="Times New Roman" w:hAnsi="Times New Roman" w:eastAsia="仿宋_GB2312" w:cs="Times New Roman"/>
          <w:sz w:val="22"/>
          <w:highlight w:val="none"/>
          <w:lang w:val="en-US" w:eastAsia="zh-CN"/>
        </w:rPr>
        <w:t xml:space="preserve">8758088 </w:t>
      </w:r>
      <w:r>
        <w:rPr>
          <w:rFonts w:hint="default" w:ascii="Times New Roman" w:hAnsi="Times New Roman" w:eastAsia="仿宋_GB2312" w:cs="Times New Roman"/>
          <w:sz w:val="22"/>
          <w:highlight w:val="none"/>
        </w:rPr>
        <w:t>单位负责人签字</w:t>
      </w:r>
    </w:p>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5</w:t>
      </w:r>
    </w:p>
    <w:p>
      <w:pPr>
        <w:spacing w:before="120" w:beforeLines="50" w:after="120" w:afterLines="50"/>
        <w:jc w:val="center"/>
        <w:rPr>
          <w:rFonts w:hint="eastAsia" w:ascii="方正小标宋简体" w:hAnsi="方正小标宋简体" w:eastAsia="方正小标宋简体" w:cs="方正小标宋简体"/>
          <w:spacing w:val="-6"/>
          <w:sz w:val="36"/>
          <w:szCs w:val="36"/>
          <w:highlight w:val="none"/>
        </w:rPr>
      </w:pPr>
      <w:r>
        <w:rPr>
          <w:rFonts w:hint="eastAsia" w:ascii="方正小标宋简体" w:hAnsi="方正小标宋简体" w:eastAsia="方正小标宋简体" w:cs="方正小标宋简体"/>
          <w:sz w:val="36"/>
          <w:szCs w:val="36"/>
          <w:highlight w:val="none"/>
        </w:rPr>
        <w:t>部门整体支出</w:t>
      </w:r>
      <w:r>
        <w:rPr>
          <w:rFonts w:hint="eastAsia" w:ascii="方正小标宋简体" w:hAnsi="方正小标宋简体" w:eastAsia="方正小标宋简体" w:cs="方正小标宋简体"/>
          <w:spacing w:val="-6"/>
          <w:sz w:val="36"/>
          <w:szCs w:val="36"/>
          <w:highlight w:val="none"/>
        </w:rPr>
        <w:t>绩效自评工作考核评分表</w:t>
      </w:r>
    </w:p>
    <w:tbl>
      <w:tblPr>
        <w:tblStyle w:val="8"/>
        <w:tblW w:w="9941" w:type="dxa"/>
        <w:jc w:val="center"/>
        <w:tblLayout w:type="fixed"/>
        <w:tblCellMar>
          <w:top w:w="0" w:type="dxa"/>
          <w:left w:w="108" w:type="dxa"/>
          <w:bottom w:w="0" w:type="dxa"/>
          <w:right w:w="108" w:type="dxa"/>
        </w:tblCellMar>
      </w:tblPr>
      <w:tblGrid>
        <w:gridCol w:w="745"/>
        <w:gridCol w:w="1174"/>
        <w:gridCol w:w="5000"/>
        <w:gridCol w:w="3022"/>
      </w:tblGrid>
      <w:tr>
        <w:tblPrEx>
          <w:tblCellMar>
            <w:top w:w="0" w:type="dxa"/>
            <w:left w:w="108" w:type="dxa"/>
            <w:bottom w:w="0" w:type="dxa"/>
            <w:right w:w="108" w:type="dxa"/>
          </w:tblCellMar>
        </w:tblPrEx>
        <w:trPr>
          <w:tblHeader/>
          <w:jc w:val="center"/>
        </w:trPr>
        <w:tc>
          <w:tcPr>
            <w:tcW w:w="74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sz w:val="21"/>
                <w:szCs w:val="21"/>
                <w:highlight w:val="none"/>
              </w:rPr>
            </w:pPr>
            <w:r>
              <w:rPr>
                <w:rFonts w:hint="default" w:ascii="Times New Roman" w:hAnsi="Times New Roman" w:eastAsia="黑体" w:cs="Times New Roman"/>
                <w:bCs/>
                <w:sz w:val="21"/>
                <w:szCs w:val="21"/>
                <w:highlight w:val="none"/>
              </w:rPr>
              <w:t>一级指标</w:t>
            </w: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sz w:val="21"/>
                <w:szCs w:val="21"/>
                <w:highlight w:val="none"/>
              </w:rPr>
            </w:pPr>
            <w:r>
              <w:rPr>
                <w:rFonts w:hint="default" w:ascii="Times New Roman" w:hAnsi="Times New Roman" w:eastAsia="黑体" w:cs="Times New Roman"/>
                <w:bCs/>
                <w:sz w:val="21"/>
                <w:szCs w:val="21"/>
                <w:highlight w:val="none"/>
              </w:rPr>
              <w:t>二级指标</w:t>
            </w:r>
          </w:p>
        </w:tc>
        <w:tc>
          <w:tcPr>
            <w:tcW w:w="5000"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sz w:val="21"/>
                <w:szCs w:val="21"/>
                <w:highlight w:val="none"/>
              </w:rPr>
            </w:pPr>
            <w:r>
              <w:rPr>
                <w:rFonts w:hint="default" w:ascii="Times New Roman" w:hAnsi="Times New Roman" w:eastAsia="黑体" w:cs="Times New Roman"/>
                <w:bCs/>
                <w:sz w:val="21"/>
                <w:szCs w:val="21"/>
                <w:highlight w:val="none"/>
              </w:rPr>
              <w:t>评分标准</w:t>
            </w:r>
          </w:p>
        </w:tc>
        <w:tc>
          <w:tcPr>
            <w:tcW w:w="3022"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sz w:val="21"/>
                <w:szCs w:val="21"/>
                <w:highlight w:val="none"/>
              </w:rPr>
            </w:pPr>
            <w:r>
              <w:rPr>
                <w:rFonts w:hint="default" w:ascii="Times New Roman" w:hAnsi="Times New Roman" w:eastAsia="黑体" w:cs="Times New Roman"/>
                <w:bCs/>
                <w:sz w:val="21"/>
                <w:szCs w:val="21"/>
                <w:highlight w:val="none"/>
              </w:rPr>
              <w:t>所需佐证材料</w:t>
            </w:r>
          </w:p>
        </w:tc>
      </w:tr>
      <w:tr>
        <w:tblPrEx>
          <w:tblCellMar>
            <w:top w:w="0" w:type="dxa"/>
            <w:left w:w="108" w:type="dxa"/>
            <w:bottom w:w="0" w:type="dxa"/>
            <w:right w:w="108" w:type="dxa"/>
          </w:tblCellMar>
        </w:tblPrEx>
        <w:trPr>
          <w:jc w:val="center"/>
        </w:trPr>
        <w:tc>
          <w:tcPr>
            <w:tcW w:w="745" w:type="dxa"/>
            <w:vMerge w:val="restart"/>
            <w:tcBorders>
              <w:top w:val="single" w:color="auto" w:sz="4" w:space="0"/>
              <w:left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布置工作</w:t>
            </w:r>
          </w:p>
          <w:p>
            <w:pPr>
              <w:spacing w:line="300" w:lineRule="exact"/>
              <w:jc w:val="center"/>
              <w:rPr>
                <w:rFonts w:hint="default" w:ascii="Times New Roman" w:hAnsi="Times New Roman" w:eastAsia="仿宋_GB2312" w:cs="Times New Roman"/>
                <w:sz w:val="20"/>
                <w:szCs w:val="20"/>
                <w:highlight w:val="none"/>
              </w:rPr>
            </w:pPr>
          </w:p>
          <w:p>
            <w:pPr>
              <w:spacing w:line="300" w:lineRule="exact"/>
              <w:jc w:val="lef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10分</w:t>
            </w:r>
          </w:p>
        </w:tc>
        <w:tc>
          <w:tcPr>
            <w:tcW w:w="1174" w:type="dxa"/>
            <w:tcBorders>
              <w:top w:val="single" w:color="auto" w:sz="4" w:space="0"/>
              <w:left w:val="nil"/>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自评通知</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（8分）</w:t>
            </w:r>
          </w:p>
        </w:tc>
        <w:tc>
          <w:tcPr>
            <w:tcW w:w="5000"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印发绩效自评通知的得2分，否则不得分。</w:t>
            </w:r>
          </w:p>
          <w:p>
            <w:p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按照本规程规定，绩效自评通知包括自评范围、自评主要依据、自评主要内容、自评程序和步骤、有关要求等内容，并附有本通知要求的附件的，得6分；否则缺1项扣1分，最多扣6分。</w:t>
            </w:r>
          </w:p>
        </w:tc>
        <w:tc>
          <w:tcPr>
            <w:tcW w:w="3022"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绩效自评通知盖章的电子版</w:t>
            </w:r>
          </w:p>
        </w:tc>
      </w:tr>
      <w:tr>
        <w:tblPrEx>
          <w:tblCellMar>
            <w:top w:w="0" w:type="dxa"/>
            <w:left w:w="108" w:type="dxa"/>
            <w:bottom w:w="0" w:type="dxa"/>
            <w:right w:w="108" w:type="dxa"/>
          </w:tblCellMar>
        </w:tblPrEx>
        <w:trPr>
          <w:jc w:val="center"/>
        </w:trPr>
        <w:tc>
          <w:tcPr>
            <w:tcW w:w="745" w:type="dxa"/>
            <w:vMerge w:val="continue"/>
            <w:tcBorders>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工作小组</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（2分）</w:t>
            </w:r>
          </w:p>
        </w:tc>
        <w:tc>
          <w:tcPr>
            <w:tcW w:w="5000"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成立绩效自评工作小组的得2分，否则不得分。</w:t>
            </w:r>
          </w:p>
        </w:tc>
        <w:tc>
          <w:tcPr>
            <w:tcW w:w="3022"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本部门、本单位预算绩效管理领导小组</w:t>
            </w:r>
            <w:r>
              <w:rPr>
                <w:rFonts w:hint="default" w:ascii="Times New Roman" w:hAnsi="Times New Roman" w:eastAsia="仿宋_GB2312" w:cs="Times New Roman"/>
                <w:spacing w:val="0"/>
                <w:sz w:val="20"/>
                <w:szCs w:val="20"/>
                <w:highlight w:val="none"/>
                <w:lang w:val="en-US" w:eastAsia="zh-CN"/>
              </w:rPr>
              <w:t>/</w:t>
            </w:r>
            <w:r>
              <w:rPr>
                <w:rFonts w:hint="default" w:ascii="Times New Roman" w:hAnsi="Times New Roman" w:eastAsia="仿宋_GB2312" w:cs="Times New Roman"/>
                <w:sz w:val="20"/>
                <w:szCs w:val="20"/>
                <w:highlight w:val="none"/>
              </w:rPr>
              <w:t>绩效评价工作小组</w:t>
            </w:r>
            <w:r>
              <w:rPr>
                <w:rFonts w:hint="default" w:ascii="Times New Roman" w:hAnsi="Times New Roman" w:eastAsia="仿宋_GB2312" w:cs="Times New Roman"/>
                <w:sz w:val="20"/>
                <w:szCs w:val="20"/>
                <w:highlight w:val="none"/>
                <w:lang w:eastAsia="zh-CN"/>
              </w:rPr>
              <w:t>有关</w:t>
            </w:r>
            <w:r>
              <w:rPr>
                <w:rFonts w:hint="default" w:ascii="Times New Roman" w:hAnsi="Times New Roman" w:eastAsia="仿宋_GB2312" w:cs="Times New Roman"/>
                <w:spacing w:val="0"/>
                <w:sz w:val="20"/>
                <w:szCs w:val="20"/>
                <w:highlight w:val="none"/>
              </w:rPr>
              <w:t>文件</w:t>
            </w:r>
            <w:r>
              <w:rPr>
                <w:rFonts w:hint="default" w:ascii="Times New Roman" w:hAnsi="Times New Roman" w:eastAsia="仿宋_GB2312" w:cs="Times New Roman"/>
                <w:sz w:val="20"/>
                <w:szCs w:val="20"/>
                <w:highlight w:val="none"/>
              </w:rPr>
              <w:t>盖章的电子版</w:t>
            </w:r>
          </w:p>
        </w:tc>
      </w:tr>
      <w:tr>
        <w:tblPrEx>
          <w:tblCellMar>
            <w:top w:w="0" w:type="dxa"/>
            <w:left w:w="108" w:type="dxa"/>
            <w:bottom w:w="0" w:type="dxa"/>
            <w:right w:w="108" w:type="dxa"/>
          </w:tblCellMar>
        </w:tblPrEx>
        <w:trPr>
          <w:jc w:val="center"/>
        </w:trPr>
        <w:tc>
          <w:tcPr>
            <w:tcW w:w="745" w:type="dxa"/>
            <w:vMerge w:val="restart"/>
            <w:tcBorders>
              <w:top w:val="single" w:color="auto" w:sz="4" w:space="0"/>
              <w:left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实施评价</w:t>
            </w:r>
          </w:p>
          <w:p>
            <w:pPr>
              <w:spacing w:line="300" w:lineRule="exact"/>
              <w:jc w:val="center"/>
              <w:rPr>
                <w:rFonts w:hint="default" w:ascii="Times New Roman" w:hAnsi="Times New Roman" w:eastAsia="仿宋_GB2312" w:cs="Times New Roman"/>
                <w:sz w:val="20"/>
                <w:szCs w:val="20"/>
                <w:highlight w:val="none"/>
              </w:rPr>
            </w:pP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20分</w:t>
            </w: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单位自查</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（10分）</w:t>
            </w:r>
          </w:p>
        </w:tc>
        <w:tc>
          <w:tcPr>
            <w:tcW w:w="5000"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r>
              <w:rPr>
                <w:rFonts w:hint="eastAsia" w:ascii="Times New Roman" w:hAnsi="Times New Roman" w:eastAsia="仿宋_GB2312" w:cs="Times New Roman"/>
                <w:sz w:val="20"/>
                <w:szCs w:val="20"/>
                <w:highlight w:val="none"/>
                <w:lang w:eastAsia="zh-CN"/>
              </w:rPr>
              <w:t>市级</w:t>
            </w:r>
            <w:r>
              <w:rPr>
                <w:rFonts w:hint="default" w:ascii="Times New Roman" w:hAnsi="Times New Roman" w:eastAsia="仿宋_GB2312" w:cs="Times New Roman"/>
                <w:sz w:val="20"/>
                <w:szCs w:val="20"/>
                <w:highlight w:val="none"/>
              </w:rPr>
              <w:t>预算部门本级和所属单位都要开展绩效自查，转移支付项目单位都要开展绩效自查，</w:t>
            </w:r>
            <w:r>
              <w:rPr>
                <w:rFonts w:hint="eastAsia" w:ascii="Times New Roman" w:hAnsi="Times New Roman" w:eastAsia="仿宋_GB2312" w:cs="Times New Roman"/>
                <w:sz w:val="20"/>
                <w:szCs w:val="20"/>
                <w:highlight w:val="none"/>
                <w:lang w:eastAsia="zh-CN"/>
              </w:rPr>
              <w:t>县、区</w:t>
            </w:r>
            <w:r>
              <w:rPr>
                <w:rFonts w:hint="default" w:ascii="Times New Roman" w:hAnsi="Times New Roman" w:eastAsia="仿宋_GB2312" w:cs="Times New Roman"/>
                <w:sz w:val="20"/>
                <w:szCs w:val="20"/>
                <w:highlight w:val="none"/>
              </w:rPr>
              <w:t>级主管部门都要汇总本区域转移支付情况；以上各项每发现一个单位没有做相应工作的，扣1分，最多扣10分。</w:t>
            </w:r>
          </w:p>
        </w:tc>
        <w:tc>
          <w:tcPr>
            <w:tcW w:w="3022" w:type="dxa"/>
            <w:tcBorders>
              <w:top w:val="single" w:color="auto" w:sz="4" w:space="0"/>
              <w:left w:val="nil"/>
              <w:bottom w:val="single" w:color="auto" w:sz="4" w:space="0"/>
              <w:right w:val="single" w:color="auto" w:sz="4" w:space="0"/>
            </w:tcBorders>
            <w:noWrap w:val="0"/>
            <w:vAlign w:val="center"/>
          </w:tcPr>
          <w:p>
            <w:pPr>
              <w:numPr>
                <w:ilvl w:val="0"/>
                <w:numId w:val="5"/>
              </w:num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转移支付项目单位名称和资</w:t>
            </w:r>
            <w:r>
              <w:rPr>
                <w:rFonts w:hint="eastAsia" w:ascii="Times New Roman" w:hAnsi="Times New Roman" w:eastAsia="仿宋_GB2312" w:cs="Times New Roman"/>
                <w:sz w:val="20"/>
                <w:szCs w:val="20"/>
                <w:highlight w:val="none"/>
                <w:lang w:val="en-US" w:eastAsia="zh-CN"/>
              </w:rPr>
              <w:t xml:space="preserve"> </w:t>
            </w:r>
            <w:r>
              <w:rPr>
                <w:rFonts w:hint="default" w:ascii="Times New Roman" w:hAnsi="Times New Roman" w:eastAsia="仿宋_GB2312" w:cs="Times New Roman"/>
                <w:sz w:val="20"/>
                <w:szCs w:val="20"/>
                <w:highlight w:val="none"/>
              </w:rPr>
              <w:t>金情况清单</w:t>
            </w:r>
          </w:p>
          <w:p>
            <w:pPr>
              <w:numPr>
                <w:ilvl w:val="0"/>
                <w:numId w:val="5"/>
              </w:num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有转移支付资金的各</w:t>
            </w:r>
            <w:r>
              <w:rPr>
                <w:rFonts w:hint="eastAsia" w:ascii="Times New Roman" w:hAnsi="Times New Roman" w:eastAsia="仿宋_GB2312" w:cs="Times New Roman"/>
                <w:sz w:val="20"/>
                <w:szCs w:val="20"/>
                <w:highlight w:val="none"/>
                <w:lang w:eastAsia="zh-CN"/>
              </w:rPr>
              <w:t>县区</w:t>
            </w:r>
            <w:r>
              <w:rPr>
                <w:rFonts w:hint="default" w:ascii="Times New Roman" w:hAnsi="Times New Roman" w:eastAsia="仿宋_GB2312" w:cs="Times New Roman"/>
                <w:sz w:val="20"/>
                <w:szCs w:val="20"/>
                <w:highlight w:val="none"/>
              </w:rPr>
              <w:t>主管部门汇总情况的盖章PDF版　</w:t>
            </w:r>
          </w:p>
        </w:tc>
      </w:tr>
      <w:tr>
        <w:tblPrEx>
          <w:tblCellMar>
            <w:top w:w="0" w:type="dxa"/>
            <w:left w:w="108" w:type="dxa"/>
            <w:bottom w:w="0" w:type="dxa"/>
            <w:right w:w="108" w:type="dxa"/>
          </w:tblCellMar>
        </w:tblPrEx>
        <w:trPr>
          <w:jc w:val="center"/>
        </w:trPr>
        <w:tc>
          <w:tcPr>
            <w:tcW w:w="745" w:type="dxa"/>
            <w:vMerge w:val="continue"/>
            <w:tcBorders>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p>
        </w:tc>
        <w:tc>
          <w:tcPr>
            <w:tcW w:w="1174" w:type="dxa"/>
            <w:tcBorders>
              <w:top w:val="nil"/>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提交报告</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（10分）</w:t>
            </w:r>
          </w:p>
        </w:tc>
        <w:tc>
          <w:tcPr>
            <w:tcW w:w="8022" w:type="dxa"/>
            <w:gridSpan w:val="2"/>
            <w:tcBorders>
              <w:top w:val="nil"/>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按时向</w:t>
            </w:r>
            <w:r>
              <w:rPr>
                <w:rFonts w:hint="eastAsia" w:ascii="Times New Roman" w:hAnsi="Times New Roman" w:eastAsia="仿宋_GB2312" w:cs="Times New Roman"/>
                <w:sz w:val="20"/>
                <w:szCs w:val="20"/>
                <w:highlight w:val="none"/>
                <w:lang w:eastAsia="zh-CN"/>
              </w:rPr>
              <w:t>市财政局</w:t>
            </w:r>
            <w:r>
              <w:rPr>
                <w:rFonts w:hint="default" w:ascii="Times New Roman" w:hAnsi="Times New Roman" w:eastAsia="仿宋_GB2312" w:cs="Times New Roman"/>
                <w:sz w:val="20"/>
                <w:szCs w:val="20"/>
                <w:highlight w:val="none"/>
              </w:rPr>
              <w:t>报送报告的得10分；每推迟一个工作日报送报告的扣1分，最多扣10分。</w:t>
            </w:r>
          </w:p>
        </w:tc>
      </w:tr>
      <w:tr>
        <w:tblPrEx>
          <w:tblCellMar>
            <w:top w:w="0" w:type="dxa"/>
            <w:left w:w="108" w:type="dxa"/>
            <w:bottom w:w="0" w:type="dxa"/>
            <w:right w:w="108" w:type="dxa"/>
          </w:tblCellMar>
        </w:tblPrEx>
        <w:trPr>
          <w:trHeight w:val="740" w:hRule="atLeast"/>
          <w:jc w:val="center"/>
        </w:trPr>
        <w:tc>
          <w:tcPr>
            <w:tcW w:w="745"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自评报告</w:t>
            </w:r>
          </w:p>
          <w:p>
            <w:pPr>
              <w:spacing w:line="300" w:lineRule="exact"/>
              <w:jc w:val="center"/>
              <w:rPr>
                <w:rFonts w:hint="default" w:ascii="Times New Roman" w:hAnsi="Times New Roman" w:eastAsia="仿宋_GB2312" w:cs="Times New Roman"/>
                <w:sz w:val="20"/>
                <w:szCs w:val="20"/>
                <w:highlight w:val="none"/>
              </w:rPr>
            </w:pP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70分</w:t>
            </w: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完整性</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（15分）</w:t>
            </w:r>
          </w:p>
        </w:tc>
        <w:tc>
          <w:tcPr>
            <w:tcW w:w="8022" w:type="dxa"/>
            <w:gridSpan w:val="2"/>
            <w:tcBorders>
              <w:top w:val="single" w:color="auto" w:sz="4" w:space="0"/>
              <w:left w:val="nil"/>
              <w:bottom w:val="single" w:color="auto" w:sz="4" w:space="0"/>
              <w:right w:val="single" w:color="auto" w:sz="4" w:space="0"/>
            </w:tcBorders>
            <w:noWrap w:val="0"/>
            <w:vAlign w:val="center"/>
          </w:tcPr>
          <w:p>
            <w:pPr>
              <w:spacing w:line="240" w:lineRule="auto"/>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绩效自评报告正文部分内容齐全的，得8分；否则每少一个部分扣2分，最多扣8分。</w:t>
            </w:r>
          </w:p>
          <w:p>
            <w:pPr>
              <w:spacing w:line="240" w:lineRule="auto"/>
              <w:jc w:val="lef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绩效自评报告附件部分内容齐全的，得7分；否则每少一个部分扣2分，最多扣7分。</w:t>
            </w:r>
          </w:p>
        </w:tc>
      </w:tr>
      <w:tr>
        <w:tblPrEx>
          <w:tblCellMar>
            <w:top w:w="0" w:type="dxa"/>
            <w:left w:w="108" w:type="dxa"/>
            <w:bottom w:w="0" w:type="dxa"/>
            <w:right w:w="108" w:type="dxa"/>
          </w:tblCellMar>
        </w:tblPrEx>
        <w:trPr>
          <w:trHeight w:val="2143"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p>
        </w:tc>
        <w:tc>
          <w:tcPr>
            <w:tcW w:w="1174" w:type="dxa"/>
            <w:tcBorders>
              <w:top w:val="single" w:color="auto" w:sz="4" w:space="0"/>
              <w:left w:val="nil"/>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绩效</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自评表</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（20分）</w:t>
            </w:r>
          </w:p>
        </w:tc>
        <w:tc>
          <w:tcPr>
            <w:tcW w:w="8022" w:type="dxa"/>
            <w:gridSpan w:val="2"/>
            <w:tcBorders>
              <w:top w:val="single" w:color="auto" w:sz="4" w:space="0"/>
              <w:left w:val="nil"/>
              <w:bottom w:val="single" w:color="auto" w:sz="4" w:space="0"/>
              <w:right w:val="single" w:color="auto" w:sz="4" w:space="0"/>
            </w:tcBorders>
            <w:noWrap w:val="0"/>
            <w:vAlign w:val="center"/>
          </w:tcPr>
          <w:p>
            <w:pPr>
              <w:spacing w:line="240" w:lineRule="auto"/>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1、部门整体支出和项目支出绩效指标反映产出、效益、服务对象满意度方面的指标和预算执行率的权重符合《</w:t>
            </w:r>
            <w:r>
              <w:rPr>
                <w:rFonts w:hint="eastAsia" w:ascii="Times New Roman" w:hAnsi="Times New Roman" w:eastAsia="仿宋_GB2312" w:cs="Times New Roman"/>
                <w:sz w:val="20"/>
                <w:szCs w:val="20"/>
                <w:highlight w:val="none"/>
                <w:lang w:eastAsia="zh-CN"/>
              </w:rPr>
              <w:t>岳阳市市级</w:t>
            </w:r>
            <w:r>
              <w:rPr>
                <w:rFonts w:hint="default" w:ascii="Times New Roman" w:hAnsi="Times New Roman" w:eastAsia="仿宋_GB2312" w:cs="Times New Roman"/>
                <w:sz w:val="20"/>
                <w:szCs w:val="20"/>
                <w:highlight w:val="none"/>
              </w:rPr>
              <w:t>预算部门绩效自评操作规程》要求的，得5分，否则按比例扣除相应的分数。</w:t>
            </w:r>
          </w:p>
          <w:p>
            <w:pPr>
              <w:spacing w:line="240" w:lineRule="auto"/>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部门整体支出和项目支出绩效指标全部细化到三级指标的，得5分；部分细化的，酌情扣分；没有细化的，不得分。</w:t>
            </w:r>
          </w:p>
          <w:p>
            <w:pPr>
              <w:spacing w:line="240" w:lineRule="auto"/>
              <w:jc w:val="lef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3</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部门整体支出和项目支出三级绩效指标内涵明确、具体、可衡量的得5分；突出核心指标，精简实用的得3分；指标与部门整体支出和项目支出密切相关，全面反映产出和效益的得2分；否则，每项酌情扣分，最多扣10分。</w:t>
            </w:r>
          </w:p>
        </w:tc>
      </w:tr>
      <w:tr>
        <w:tblPrEx>
          <w:tblCellMar>
            <w:top w:w="0" w:type="dxa"/>
            <w:left w:w="108" w:type="dxa"/>
            <w:bottom w:w="0" w:type="dxa"/>
            <w:right w:w="108" w:type="dxa"/>
          </w:tblCellMar>
        </w:tblPrEx>
        <w:trPr>
          <w:trHeight w:val="1197"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p>
        </w:tc>
        <w:tc>
          <w:tcPr>
            <w:tcW w:w="1174" w:type="dxa"/>
            <w:tcBorders>
              <w:top w:val="single" w:color="auto" w:sz="4" w:space="0"/>
              <w:left w:val="nil"/>
              <w:bottom w:val="single" w:color="auto" w:sz="4" w:space="0"/>
              <w:right w:val="single" w:color="auto" w:sz="4" w:space="0"/>
            </w:tcBorders>
            <w:noWrap w:val="0"/>
            <w:vAlign w:val="center"/>
          </w:tcPr>
          <w:p>
            <w:pPr>
              <w:jc w:val="center"/>
              <w:rPr>
                <w:rFonts w:hint="default" w:ascii="Times New Roman" w:hAnsi="Times New Roman" w:cs="Times New Roman"/>
                <w:highlight w:val="none"/>
              </w:rPr>
            </w:pPr>
          </w:p>
          <w:p>
            <w:pPr>
              <w:spacing w:line="240" w:lineRule="auto"/>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反映问</w:t>
            </w:r>
          </w:p>
          <w:p>
            <w:pPr>
              <w:spacing w:line="240" w:lineRule="auto"/>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题情况</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（20分）</w:t>
            </w:r>
          </w:p>
        </w:tc>
        <w:tc>
          <w:tcPr>
            <w:tcW w:w="8022" w:type="dxa"/>
            <w:gridSpan w:val="2"/>
            <w:tcBorders>
              <w:top w:val="single" w:color="auto" w:sz="4" w:space="0"/>
              <w:left w:val="nil"/>
              <w:bottom w:val="single" w:color="auto" w:sz="4" w:space="0"/>
              <w:right w:val="single" w:color="auto" w:sz="4" w:space="0"/>
            </w:tcBorders>
            <w:noWrap w:val="0"/>
            <w:vAlign w:val="center"/>
          </w:tcPr>
          <w:p>
            <w:pPr>
              <w:spacing w:line="240" w:lineRule="auto"/>
              <w:jc w:val="lef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从预算和预算绩效管理，部门履职效能，资金分配、使用和管理，资产和财务管理，政府采购等方面归纳问题、分析原因全面的，得20分；反映问题、分析原因较全面的，得16—18分；反映问题、分析原因不全面的，得13—15分；问题未归纳且过于简单的，得10—12分；只提出资金不足问题的不得分；其他情况酌情扣分。　</w:t>
            </w:r>
          </w:p>
        </w:tc>
      </w:tr>
      <w:tr>
        <w:tblPrEx>
          <w:tblCellMar>
            <w:top w:w="0" w:type="dxa"/>
            <w:left w:w="108" w:type="dxa"/>
            <w:bottom w:w="0" w:type="dxa"/>
            <w:right w:w="108" w:type="dxa"/>
          </w:tblCellMar>
        </w:tblPrEx>
        <w:trPr>
          <w:trHeight w:val="627"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建议情况</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（15分）</w:t>
            </w:r>
          </w:p>
        </w:tc>
        <w:tc>
          <w:tcPr>
            <w:tcW w:w="8022" w:type="dxa"/>
            <w:gridSpan w:val="2"/>
            <w:tcBorders>
              <w:top w:val="single" w:color="auto" w:sz="4" w:space="0"/>
              <w:left w:val="nil"/>
              <w:bottom w:val="single" w:color="auto" w:sz="4" w:space="0"/>
              <w:right w:val="single" w:color="auto" w:sz="4" w:space="0"/>
            </w:tcBorders>
            <w:noWrap w:val="0"/>
            <w:vAlign w:val="center"/>
          </w:tcPr>
          <w:p>
            <w:pPr>
              <w:spacing w:line="240" w:lineRule="auto"/>
              <w:jc w:val="lef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建议与问题对应且全面的得15分，建议比较全面的得12—14分，建议不全面的得9—11分，建议过于简单的得6—8分，只提出加大资金投入建议的不得分；其他情况酌情扣分。</w:t>
            </w:r>
          </w:p>
        </w:tc>
      </w:tr>
      <w:tr>
        <w:tblPrEx>
          <w:tblCellMar>
            <w:top w:w="0" w:type="dxa"/>
            <w:left w:w="108" w:type="dxa"/>
            <w:bottom w:w="0" w:type="dxa"/>
            <w:right w:w="108" w:type="dxa"/>
          </w:tblCellMar>
        </w:tblPrEx>
        <w:trPr>
          <w:trHeight w:val="495" w:hRule="atLeast"/>
          <w:jc w:val="center"/>
        </w:trPr>
        <w:tc>
          <w:tcPr>
            <w:tcW w:w="74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合计</w:t>
            </w:r>
          </w:p>
        </w:tc>
        <w:tc>
          <w:tcPr>
            <w:tcW w:w="1174"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100分</w:t>
            </w:r>
          </w:p>
        </w:tc>
        <w:tc>
          <w:tcPr>
            <w:tcW w:w="8022" w:type="dxa"/>
            <w:gridSpan w:val="2"/>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　</w:t>
            </w:r>
          </w:p>
        </w:tc>
      </w:tr>
    </w:tbl>
    <w:p>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p>
      <w:pPr>
        <w:pStyle w:val="2"/>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方正舒体"/>
    <w:panose1 w:val="02000000000000000000"/>
    <w:charset w:val="86"/>
    <w:family w:val="auto"/>
    <w:pitch w:val="default"/>
    <w:sig w:usb0="00000000" w:usb1="00000000"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4E7F0B"/>
    <w:multiLevelType w:val="singleLevel"/>
    <w:tmpl w:val="814E7F0B"/>
    <w:lvl w:ilvl="0" w:tentative="0">
      <w:start w:val="1"/>
      <w:numFmt w:val="chineseCounting"/>
      <w:suff w:val="nothing"/>
      <w:lvlText w:val="%1、"/>
      <w:lvlJc w:val="left"/>
      <w:rPr>
        <w:rFonts w:hint="eastAsia"/>
      </w:rPr>
    </w:lvl>
  </w:abstractNum>
  <w:abstractNum w:abstractNumId="1">
    <w:nsid w:val="C6515498"/>
    <w:multiLevelType w:val="singleLevel"/>
    <w:tmpl w:val="C6515498"/>
    <w:lvl w:ilvl="0" w:tentative="0">
      <w:start w:val="4"/>
      <w:numFmt w:val="chineseCounting"/>
      <w:suff w:val="nothing"/>
      <w:lvlText w:val="%1、"/>
      <w:lvlJc w:val="left"/>
      <w:rPr>
        <w:rFonts w:hint="eastAsia"/>
      </w:rPr>
    </w:lvl>
  </w:abstractNum>
  <w:abstractNum w:abstractNumId="2">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4E60772"/>
    <w:multiLevelType w:val="singleLevel"/>
    <w:tmpl w:val="44E60772"/>
    <w:lvl w:ilvl="0" w:tentative="0">
      <w:start w:val="2"/>
      <w:numFmt w:val="chineseCounting"/>
      <w:suff w:val="nothing"/>
      <w:lvlText w:val="（%1）"/>
      <w:lvlJc w:val="left"/>
      <w:rPr>
        <w:rFonts w:hint="eastAsia"/>
      </w:rPr>
    </w:lvl>
  </w:abstractNum>
  <w:abstractNum w:abstractNumId="4">
    <w:nsid w:val="5DDF8822"/>
    <w:multiLevelType w:val="singleLevel"/>
    <w:tmpl w:val="5DDF8822"/>
    <w:lvl w:ilvl="0" w:tentative="0">
      <w:start w:val="1"/>
      <w:numFmt w:val="decimal"/>
      <w:suff w:val="nothing"/>
      <w:lvlText w:val="%1、"/>
      <w:lvlJc w:val="left"/>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2NDI3Y2NiYTgyNWM4NTNlZGM1NDYwYTU3M2ZjYTUifQ=="/>
    <w:docVar w:name="KSO_WPS_MARK_KEY" w:val="4efebb2f-4849-4d17-87ec-16dc8f0955cc"/>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B4D8E"/>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59958AD"/>
    <w:rsid w:val="06C857E7"/>
    <w:rsid w:val="08C24A73"/>
    <w:rsid w:val="112C4BA6"/>
    <w:rsid w:val="12583BA5"/>
    <w:rsid w:val="13BA5B9C"/>
    <w:rsid w:val="14151024"/>
    <w:rsid w:val="1D97DEFF"/>
    <w:rsid w:val="1DFF72E5"/>
    <w:rsid w:val="1EFC6F07"/>
    <w:rsid w:val="1F0527A6"/>
    <w:rsid w:val="22AC03C2"/>
    <w:rsid w:val="2D284277"/>
    <w:rsid w:val="2FDF85B8"/>
    <w:rsid w:val="2FFFEE04"/>
    <w:rsid w:val="31C95635"/>
    <w:rsid w:val="34DF85B0"/>
    <w:rsid w:val="3B8F36BC"/>
    <w:rsid w:val="41786CD4"/>
    <w:rsid w:val="491FF225"/>
    <w:rsid w:val="4FFD214C"/>
    <w:rsid w:val="5352765A"/>
    <w:rsid w:val="5777D4F5"/>
    <w:rsid w:val="59DD8326"/>
    <w:rsid w:val="5C8943F9"/>
    <w:rsid w:val="5DEF592A"/>
    <w:rsid w:val="5EB341AE"/>
    <w:rsid w:val="5FC6BB1E"/>
    <w:rsid w:val="5FF720F1"/>
    <w:rsid w:val="67FF5C0B"/>
    <w:rsid w:val="6BAA4A2F"/>
    <w:rsid w:val="6EFC0924"/>
    <w:rsid w:val="6FB74722"/>
    <w:rsid w:val="6FEF8B7E"/>
    <w:rsid w:val="71A6591B"/>
    <w:rsid w:val="737D59BA"/>
    <w:rsid w:val="737F32B1"/>
    <w:rsid w:val="76B237AE"/>
    <w:rsid w:val="77C37683"/>
    <w:rsid w:val="79FF515B"/>
    <w:rsid w:val="7E9E1962"/>
    <w:rsid w:val="7E9F11B4"/>
    <w:rsid w:val="7F37EC1E"/>
    <w:rsid w:val="7F7DCD9D"/>
    <w:rsid w:val="7F970A6F"/>
    <w:rsid w:val="7FC1FFF3"/>
    <w:rsid w:val="7FC69637"/>
    <w:rsid w:val="7FDF8620"/>
    <w:rsid w:val="7FFB242F"/>
    <w:rsid w:val="7FFDB408"/>
    <w:rsid w:val="7FFE4EEB"/>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footnote text"/>
    <w:basedOn w:val="1"/>
    <w:next w:val="3"/>
    <w:semiHidden/>
    <w:qFormat/>
    <w:uiPriority w:val="0"/>
    <w:pPr>
      <w:snapToGrid w:val="0"/>
      <w:jc w:val="left"/>
    </w:pPr>
    <w:rPr>
      <w:sz w:val="18"/>
      <w:szCs w:val="18"/>
    </w:rPr>
  </w:style>
  <w:style w:type="paragraph" w:styleId="3">
    <w:name w:val="Body Text First Indent 2"/>
    <w:basedOn w:val="4"/>
    <w:next w:val="1"/>
    <w:unhideWhenUsed/>
    <w:qFormat/>
    <w:uiPriority w:val="99"/>
    <w:pPr>
      <w:ind w:firstLine="420" w:firstLineChars="200"/>
    </w:pPr>
  </w:style>
  <w:style w:type="paragraph" w:styleId="4">
    <w:name w:val="Body Text Indent"/>
    <w:basedOn w:val="1"/>
    <w:next w:val="3"/>
    <w:unhideWhenUsed/>
    <w:qFormat/>
    <w:uiPriority w:val="99"/>
    <w:pPr>
      <w:widowControl/>
      <w:spacing w:after="120"/>
      <w:ind w:left="420" w:leftChars="200"/>
      <w:jc w:val="left"/>
    </w:pPr>
    <w:rPr>
      <w:rFonts w:ascii="宋体" w:hAnsi="宋体" w:eastAsia="宋体" w:cs="宋体"/>
      <w:kern w:val="0"/>
      <w:sz w:val="24"/>
    </w:rPr>
  </w:style>
  <w:style w:type="paragraph" w:styleId="5">
    <w:name w:val="Balloon Text"/>
    <w:basedOn w:val="1"/>
    <w:link w:val="15"/>
    <w:semiHidden/>
    <w:unhideWhenUsed/>
    <w:qFormat/>
    <w:uiPriority w:val="99"/>
    <w:rPr>
      <w:sz w:val="18"/>
      <w:szCs w:val="18"/>
    </w:r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页眉 Char"/>
    <w:basedOn w:val="10"/>
    <w:link w:val="7"/>
    <w:qFormat/>
    <w:uiPriority w:val="99"/>
    <w:rPr>
      <w:sz w:val="18"/>
      <w:szCs w:val="18"/>
    </w:rPr>
  </w:style>
  <w:style w:type="character" w:customStyle="1" w:styleId="12">
    <w:name w:val="页脚 Char"/>
    <w:basedOn w:val="10"/>
    <w:link w:val="6"/>
    <w:qFormat/>
    <w:uiPriority w:val="99"/>
    <w:rPr>
      <w:sz w:val="18"/>
      <w:szCs w:val="18"/>
    </w:rPr>
  </w:style>
  <w:style w:type="paragraph" w:customStyle="1" w:styleId="13">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4">
    <w:name w:val="List Paragraph"/>
    <w:basedOn w:val="1"/>
    <w:qFormat/>
    <w:uiPriority w:val="34"/>
    <w:pPr>
      <w:ind w:firstLine="420" w:firstLineChars="200"/>
    </w:pPr>
  </w:style>
  <w:style w:type="character" w:customStyle="1" w:styleId="15">
    <w:name w:val="批注框文本 Char"/>
    <w:basedOn w:val="10"/>
    <w:link w:val="5"/>
    <w:semiHidden/>
    <w:qFormat/>
    <w:uiPriority w:val="99"/>
    <w:rPr>
      <w:sz w:val="18"/>
      <w:szCs w:val="18"/>
    </w:rPr>
  </w:style>
  <w:style w:type="character" w:customStyle="1" w:styleId="16">
    <w:name w:val="font01"/>
    <w:basedOn w:val="10"/>
    <w:qFormat/>
    <w:uiPriority w:val="0"/>
    <w:rPr>
      <w:rFonts w:hint="eastAsia" w:ascii="宋体" w:hAnsi="宋体" w:eastAsia="宋体" w:cs="宋体"/>
      <w:color w:val="000000"/>
      <w:sz w:val="22"/>
      <w:szCs w:val="22"/>
      <w:u w:val="none"/>
    </w:rPr>
  </w:style>
  <w:style w:type="character" w:customStyle="1" w:styleId="17">
    <w:name w:val="font21"/>
    <w:basedOn w:val="10"/>
    <w:qFormat/>
    <w:uiPriority w:val="0"/>
    <w:rPr>
      <w:rFonts w:hint="eastAsia" w:ascii="宋体" w:hAnsi="宋体" w:eastAsia="宋体" w:cs="宋体"/>
      <w:color w:val="000000"/>
      <w:sz w:val="24"/>
      <w:szCs w:val="24"/>
      <w:u w:val="none"/>
    </w:rPr>
  </w:style>
  <w:style w:type="character" w:customStyle="1" w:styleId="18">
    <w:name w:val="font11"/>
    <w:basedOn w:val="10"/>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29</Pages>
  <Words>10993</Words>
  <Characters>11911</Characters>
  <Lines>63</Lines>
  <Paragraphs>18</Paragraphs>
  <TotalTime>3</TotalTime>
  <ScaleCrop>false</ScaleCrop>
  <LinksUpToDate>false</LinksUpToDate>
  <CharactersWithSpaces>15139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2020-07-08T02:32:00Z</dcterms:created>
  <dc:creator>李航 null</dc:creator>
  <cp:lastModifiedBy>Yee.</cp:lastModifiedBy>
  <cp:lastPrinted>2024-08-08T10:20:00Z</cp:lastPrinted>
  <dcterms:modified xsi:type="dcterms:W3CDTF">2024-09-19T08:29:42Z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98623D6660B449428EB8E073C6C952EA</vt:lpwstr>
  </property>
</Properties>
</file>