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w:t>
      </w:r>
    </w:p>
    <w:p>
      <w:pPr>
        <w:spacing w:line="348" w:lineRule="auto"/>
        <w:rPr>
          <w:rFonts w:hint="eastAsia" w:ascii="黑体" w:hAnsi="黑体"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lang w:eastAsia="zh-CN"/>
        </w:rPr>
        <w:sym w:font="Wingdings 2" w:char="0052"/>
      </w:r>
      <w:r>
        <w:rPr>
          <w:rFonts w:hint="eastAsia" w:eastAsia="仿宋_GB2312"/>
          <w:sz w:val="32"/>
          <w:szCs w:val="32"/>
        </w:rPr>
        <w:t xml:space="preserve">   项目完成结果评价</w:t>
      </w:r>
      <w:r>
        <w:rPr>
          <w:rFonts w:hint="eastAsia" w:eastAsia="仿宋_GB2312"/>
          <w:sz w:val="32"/>
          <w:szCs w:val="32"/>
        </w:rPr>
        <w:sym w:font="Wingdings 2" w:char="00A3"/>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环境监察、监测等运行经费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岳阳市生态环境局君山分局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岳阳市生态环境局</w:t>
      </w:r>
      <w:r>
        <w:rPr>
          <w:rFonts w:hint="eastAsia" w:eastAsia="仿宋_GB2312"/>
          <w:sz w:val="32"/>
          <w:u w:val="single"/>
          <w:lang w:val="en-US" w:eastAsia="zh-CN"/>
        </w:rPr>
        <w:t xml:space="preserve">        </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 xml:space="preserve">   </w:t>
      </w:r>
      <w:r>
        <w:rPr>
          <w:rFonts w:hint="eastAsia" w:eastAsia="仿宋_GB2312"/>
          <w:sz w:val="32"/>
        </w:rPr>
        <w:t>年</w:t>
      </w:r>
      <w:r>
        <w:rPr>
          <w:rFonts w:hint="eastAsia" w:eastAsia="仿宋_GB2312"/>
          <w:sz w:val="32"/>
          <w:lang w:val="en-US" w:eastAsia="zh-CN"/>
        </w:rPr>
        <w:t xml:space="preserve">   </w:t>
      </w:r>
      <w:r>
        <w:rPr>
          <w:rFonts w:hint="eastAsia" w:eastAsia="仿宋_GB2312"/>
          <w:sz w:val="32"/>
        </w:rPr>
        <w:t>月</w:t>
      </w:r>
      <w:r>
        <w:rPr>
          <w:rFonts w:hint="eastAsia" w:eastAsia="仿宋_GB2312"/>
          <w:sz w:val="32"/>
          <w:lang w:val="en-US" w:eastAsia="zh-CN"/>
        </w:rPr>
        <w:t xml:space="preserve">  </w:t>
      </w:r>
      <w:r>
        <w:rPr>
          <w:rFonts w:hint="eastAsia" w:eastAsia="仿宋_GB2312"/>
          <w:sz w:val="32"/>
        </w:rPr>
        <w:t>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9"/>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602"/>
        <w:gridCol w:w="1742"/>
        <w:gridCol w:w="177"/>
        <w:gridCol w:w="413"/>
        <w:gridCol w:w="307"/>
        <w:gridCol w:w="677"/>
        <w:gridCol w:w="670"/>
        <w:gridCol w:w="409"/>
        <w:gridCol w:w="141"/>
        <w:gridCol w:w="467"/>
        <w:gridCol w:w="1620"/>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项目负责人</w:t>
            </w:r>
          </w:p>
        </w:tc>
        <w:tc>
          <w:tcPr>
            <w:tcW w:w="3241" w:type="dxa"/>
            <w:gridSpan w:val="5"/>
            <w:vAlign w:val="center"/>
          </w:tcPr>
          <w:p>
            <w:pPr>
              <w:rPr>
                <w:rFonts w:hint="eastAsia" w:eastAsia="仿宋_GB2312"/>
                <w:sz w:val="24"/>
                <w:lang w:eastAsia="zh-CN"/>
              </w:rPr>
            </w:pPr>
          </w:p>
        </w:tc>
        <w:tc>
          <w:tcPr>
            <w:tcW w:w="1347" w:type="dxa"/>
            <w:gridSpan w:val="2"/>
            <w:vAlign w:val="center"/>
          </w:tcPr>
          <w:p>
            <w:pPr>
              <w:rPr>
                <w:rFonts w:eastAsia="仿宋_GB2312"/>
                <w:sz w:val="24"/>
              </w:rPr>
            </w:pPr>
            <w:r>
              <w:rPr>
                <w:rFonts w:hint="eastAsia" w:eastAsia="仿宋_GB2312"/>
                <w:sz w:val="24"/>
              </w:rPr>
              <w:t>联系电话</w:t>
            </w:r>
          </w:p>
        </w:tc>
        <w:tc>
          <w:tcPr>
            <w:tcW w:w="3333" w:type="dxa"/>
            <w:gridSpan w:val="5"/>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项目地址</w:t>
            </w:r>
          </w:p>
        </w:tc>
        <w:tc>
          <w:tcPr>
            <w:tcW w:w="3241" w:type="dxa"/>
            <w:gridSpan w:val="5"/>
            <w:vAlign w:val="center"/>
          </w:tcPr>
          <w:p>
            <w:pPr>
              <w:rPr>
                <w:rFonts w:eastAsia="仿宋_GB2312"/>
                <w:sz w:val="24"/>
              </w:rPr>
            </w:pPr>
            <w:r>
              <w:rPr>
                <w:rFonts w:hint="eastAsia" w:eastAsia="仿宋_GB2312"/>
                <w:sz w:val="24"/>
                <w:lang w:eastAsia="zh-CN"/>
              </w:rPr>
              <w:t>岳阳市君山区</w:t>
            </w:r>
          </w:p>
        </w:tc>
        <w:tc>
          <w:tcPr>
            <w:tcW w:w="1347" w:type="dxa"/>
            <w:gridSpan w:val="2"/>
            <w:vAlign w:val="center"/>
          </w:tcPr>
          <w:p>
            <w:pPr>
              <w:rPr>
                <w:rFonts w:eastAsia="仿宋_GB2312"/>
                <w:sz w:val="24"/>
              </w:rPr>
            </w:pPr>
            <w:r>
              <w:rPr>
                <w:rFonts w:hint="eastAsia" w:eastAsia="仿宋_GB2312"/>
                <w:sz w:val="24"/>
              </w:rPr>
              <w:t>邮  编</w:t>
            </w:r>
          </w:p>
        </w:tc>
        <w:tc>
          <w:tcPr>
            <w:tcW w:w="3333" w:type="dxa"/>
            <w:gridSpan w:val="5"/>
            <w:vAlign w:val="center"/>
          </w:tcPr>
          <w:p>
            <w:pPr>
              <w:rPr>
                <w:rFonts w:eastAsia="仿宋_GB2312"/>
                <w:sz w:val="24"/>
              </w:rPr>
            </w:pPr>
            <w:r>
              <w:rPr>
                <w:rFonts w:hint="eastAsia" w:eastAsia="仿宋_GB2312"/>
                <w:sz w:val="24"/>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项目起止时间</w:t>
            </w:r>
          </w:p>
        </w:tc>
        <w:tc>
          <w:tcPr>
            <w:tcW w:w="7921" w:type="dxa"/>
            <w:gridSpan w:val="12"/>
            <w:vAlign w:val="center"/>
          </w:tcPr>
          <w:p>
            <w:pPr>
              <w:ind w:firstLine="1190" w:firstLineChars="496"/>
              <w:rPr>
                <w:rFonts w:eastAsia="仿宋_GB2312"/>
                <w:sz w:val="24"/>
              </w:rPr>
            </w:pPr>
            <w:r>
              <w:rPr>
                <w:rFonts w:hint="eastAsia" w:eastAsia="仿宋_GB2312"/>
                <w:sz w:val="24"/>
                <w:lang w:val="en-US" w:eastAsia="zh-CN"/>
              </w:rPr>
              <w:t>2022 年1月起至2022年12月止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602"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26</w:t>
            </w:r>
          </w:p>
        </w:tc>
        <w:tc>
          <w:tcPr>
            <w:tcW w:w="1919"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gridSpan w:val="2"/>
            <w:tcBorders>
              <w:bottom w:val="single" w:color="auto" w:sz="4" w:space="0"/>
            </w:tcBorders>
            <w:vAlign w:val="center"/>
          </w:tcPr>
          <w:p>
            <w:pPr>
              <w:spacing w:line="360" w:lineRule="exact"/>
              <w:jc w:val="center"/>
              <w:rPr>
                <w:rFonts w:hint="default" w:eastAsia="仿宋_GB2312"/>
                <w:w w:val="90"/>
                <w:sz w:val="24"/>
                <w:lang w:val="en-US" w:eastAsia="zh-CN"/>
              </w:rPr>
            </w:pPr>
            <w:r>
              <w:rPr>
                <w:rFonts w:hint="eastAsia" w:eastAsia="仿宋_GB2312"/>
                <w:w w:val="90"/>
                <w:sz w:val="24"/>
                <w:lang w:val="en-US" w:eastAsia="zh-CN"/>
              </w:rPr>
              <w:t>26</w:t>
            </w:r>
          </w:p>
        </w:tc>
        <w:tc>
          <w:tcPr>
            <w:tcW w:w="1756"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608" w:type="dxa"/>
            <w:gridSpan w:val="2"/>
            <w:tcBorders>
              <w:bottom w:val="single" w:color="auto" w:sz="4" w:space="0"/>
            </w:tcBorders>
            <w:vAlign w:val="center"/>
          </w:tcPr>
          <w:p>
            <w:pPr>
              <w:spacing w:line="360" w:lineRule="exact"/>
              <w:jc w:val="center"/>
              <w:rPr>
                <w:rFonts w:hint="default" w:eastAsia="仿宋_GB2312"/>
                <w:spacing w:val="-20"/>
                <w:w w:val="90"/>
                <w:sz w:val="24"/>
                <w:lang w:val="en-US" w:eastAsia="zh-CN"/>
              </w:rPr>
            </w:pPr>
            <w:r>
              <w:rPr>
                <w:rFonts w:hint="eastAsia" w:eastAsia="仿宋_GB2312"/>
                <w:spacing w:val="-20"/>
                <w:w w:val="90"/>
                <w:sz w:val="24"/>
                <w:lang w:val="en-US" w:eastAsia="zh-CN"/>
              </w:rPr>
              <w:t>26</w:t>
            </w:r>
          </w:p>
        </w:tc>
        <w:tc>
          <w:tcPr>
            <w:tcW w:w="1620"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602" w:type="dxa"/>
            <w:tcBorders>
              <w:bottom w:val="single" w:color="auto" w:sz="4" w:space="0"/>
            </w:tcBorders>
            <w:vAlign w:val="center"/>
          </w:tcPr>
          <w:p>
            <w:pPr>
              <w:rPr>
                <w:rFonts w:eastAsia="仿宋_GB2312"/>
                <w:spacing w:val="-6"/>
                <w:sz w:val="24"/>
              </w:rPr>
            </w:pPr>
          </w:p>
        </w:tc>
        <w:tc>
          <w:tcPr>
            <w:tcW w:w="1919" w:type="dxa"/>
            <w:gridSpan w:val="2"/>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gridSpan w:val="2"/>
            <w:tcBorders>
              <w:bottom w:val="single" w:color="auto" w:sz="4" w:space="0"/>
            </w:tcBorders>
            <w:vAlign w:val="center"/>
          </w:tcPr>
          <w:p>
            <w:pPr>
              <w:rPr>
                <w:rFonts w:eastAsia="仿宋_GB2312"/>
                <w:spacing w:val="-6"/>
                <w:sz w:val="24"/>
              </w:rPr>
            </w:pPr>
          </w:p>
        </w:tc>
        <w:tc>
          <w:tcPr>
            <w:tcW w:w="1756"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08" w:type="dxa"/>
            <w:gridSpan w:val="2"/>
            <w:tcBorders>
              <w:bottom w:val="single" w:color="auto" w:sz="4" w:space="0"/>
            </w:tcBorders>
            <w:vAlign w:val="center"/>
          </w:tcPr>
          <w:p>
            <w:pPr>
              <w:rPr>
                <w:rFonts w:eastAsia="仿宋_GB2312"/>
                <w:spacing w:val="-6"/>
                <w:sz w:val="24"/>
              </w:rPr>
            </w:pPr>
          </w:p>
        </w:tc>
        <w:tc>
          <w:tcPr>
            <w:tcW w:w="1620"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gridSpan w:val="2"/>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608" w:type="dxa"/>
            <w:gridSpan w:val="2"/>
            <w:tcBorders>
              <w:bottom w:val="single" w:color="auto" w:sz="4" w:space="0"/>
            </w:tcBorders>
            <w:vAlign w:val="center"/>
          </w:tcPr>
          <w:p>
            <w:pPr>
              <w:rPr>
                <w:rFonts w:eastAsia="仿宋_GB2312"/>
                <w:sz w:val="24"/>
              </w:rPr>
            </w:pPr>
          </w:p>
        </w:tc>
        <w:tc>
          <w:tcPr>
            <w:tcW w:w="1620"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602" w:type="dxa"/>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26</w:t>
            </w: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gridSpan w:val="2"/>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26</w:t>
            </w: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608" w:type="dxa"/>
            <w:gridSpan w:val="2"/>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26</w:t>
            </w:r>
          </w:p>
        </w:tc>
        <w:tc>
          <w:tcPr>
            <w:tcW w:w="1620"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gridSpan w:val="2"/>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608" w:type="dxa"/>
            <w:gridSpan w:val="2"/>
            <w:tcBorders>
              <w:bottom w:val="single" w:color="auto" w:sz="4" w:space="0"/>
            </w:tcBorders>
            <w:vAlign w:val="center"/>
          </w:tcPr>
          <w:p>
            <w:pPr>
              <w:rPr>
                <w:rFonts w:eastAsia="仿宋_GB2312"/>
                <w:sz w:val="24"/>
              </w:rPr>
            </w:pPr>
          </w:p>
        </w:tc>
        <w:tc>
          <w:tcPr>
            <w:tcW w:w="1620"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gridSpan w:val="2"/>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608" w:type="dxa"/>
            <w:gridSpan w:val="2"/>
            <w:tcBorders>
              <w:bottom w:val="single" w:color="auto" w:sz="4" w:space="0"/>
            </w:tcBorders>
            <w:vAlign w:val="center"/>
          </w:tcPr>
          <w:p>
            <w:pPr>
              <w:rPr>
                <w:rFonts w:eastAsia="仿宋_GB2312"/>
                <w:sz w:val="24"/>
              </w:rPr>
            </w:pPr>
          </w:p>
        </w:tc>
        <w:tc>
          <w:tcPr>
            <w:tcW w:w="1620"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lang w:eastAsia="zh-CN"/>
              </w:rPr>
              <w:t>二</w:t>
            </w:r>
            <w:r>
              <w:rPr>
                <w:rFonts w:hint="eastAsia" w:eastAsia="仿宋_GB2312"/>
                <w:b/>
                <w:sz w:val="24"/>
              </w:rPr>
              <w:t>、项目绩效自评情况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327" w:type="dxa"/>
            <w:gridSpan w:val="10"/>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w:t>
            </w:r>
            <w:r>
              <w:rPr>
                <w:rFonts w:eastAsia="仿宋_GB2312"/>
                <w:sz w:val="24"/>
              </w:rPr>
              <w:t xml:space="preserve"> </w:t>
            </w:r>
            <w:r>
              <w:rPr>
                <w:rFonts w:hint="eastAsia" w:eastAsia="仿宋_GB2312"/>
                <w:sz w:val="24"/>
              </w:rPr>
              <w:t>目</w:t>
            </w:r>
            <w:r>
              <w:rPr>
                <w:rFonts w:eastAsia="仿宋_GB2312"/>
                <w:sz w:val="24"/>
              </w:rPr>
              <w:t xml:space="preserve"> </w:t>
            </w:r>
            <w:r>
              <w:rPr>
                <w:rFonts w:hint="eastAsia" w:eastAsia="仿宋_GB2312"/>
                <w:sz w:val="24"/>
              </w:rPr>
              <w:t>标</w:t>
            </w:r>
          </w:p>
        </w:tc>
        <w:tc>
          <w:tcPr>
            <w:tcW w:w="2783"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2" w:type="dxa"/>
            <w:vMerge w:val="continue"/>
            <w:tcBorders>
              <w:bottom w:val="single" w:color="auto" w:sz="4" w:space="0"/>
            </w:tcBorders>
            <w:vAlign w:val="center"/>
          </w:tcPr>
          <w:p>
            <w:pPr>
              <w:jc w:val="center"/>
              <w:rPr>
                <w:rFonts w:eastAsia="仿宋_GB2312"/>
                <w:b/>
                <w:sz w:val="24"/>
              </w:rPr>
            </w:pPr>
          </w:p>
        </w:tc>
        <w:tc>
          <w:tcPr>
            <w:tcW w:w="5327" w:type="dxa"/>
            <w:gridSpan w:val="10"/>
            <w:tcBorders>
              <w:bottom w:val="single" w:color="auto" w:sz="4" w:space="0"/>
            </w:tcBorders>
            <w:vAlign w:val="center"/>
          </w:tcPr>
          <w:p>
            <w:pPr>
              <w:numPr>
                <w:ilvl w:val="0"/>
                <w:numId w:val="0"/>
              </w:numPr>
              <w:spacing w:line="240" w:lineRule="exact"/>
              <w:jc w:val="left"/>
              <w:rPr>
                <w:rFonts w:hint="eastAsia" w:eastAsia="仿宋_GB2312"/>
                <w:b w:val="0"/>
                <w:bCs/>
                <w:sz w:val="24"/>
              </w:rPr>
            </w:pPr>
            <w:r>
              <w:rPr>
                <w:rFonts w:hint="eastAsia" w:eastAsia="仿宋_GB2312"/>
                <w:b w:val="0"/>
                <w:bCs/>
                <w:sz w:val="24"/>
                <w:lang w:eastAsia="zh-CN"/>
              </w:rPr>
              <w:t>目标</w:t>
            </w:r>
            <w:r>
              <w:rPr>
                <w:rFonts w:hint="eastAsia" w:eastAsia="仿宋_GB2312"/>
                <w:b w:val="0"/>
                <w:bCs/>
                <w:sz w:val="24"/>
                <w:lang w:val="en-US" w:eastAsia="zh-CN"/>
              </w:rPr>
              <w:t>1、</w:t>
            </w:r>
            <w:r>
              <w:rPr>
                <w:rFonts w:hint="eastAsia" w:eastAsia="仿宋_GB2312"/>
                <w:b w:val="0"/>
                <w:bCs/>
                <w:sz w:val="24"/>
              </w:rPr>
              <w:t>日常环境监管、执法工作；</w:t>
            </w:r>
          </w:p>
          <w:p>
            <w:pPr>
              <w:numPr>
                <w:ilvl w:val="0"/>
                <w:numId w:val="0"/>
              </w:numPr>
              <w:spacing w:line="240" w:lineRule="exact"/>
              <w:jc w:val="left"/>
              <w:rPr>
                <w:rFonts w:eastAsia="仿宋_GB2312"/>
                <w:b/>
                <w:sz w:val="24"/>
              </w:rPr>
            </w:pPr>
            <w:r>
              <w:rPr>
                <w:rFonts w:hint="eastAsia" w:eastAsia="仿宋_GB2312"/>
                <w:b w:val="0"/>
                <w:bCs/>
                <w:sz w:val="24"/>
                <w:lang w:eastAsia="zh-CN"/>
              </w:rPr>
              <w:t>目标</w:t>
            </w:r>
            <w:r>
              <w:rPr>
                <w:rFonts w:hint="eastAsia" w:eastAsia="仿宋_GB2312"/>
                <w:b w:val="0"/>
                <w:bCs/>
                <w:sz w:val="24"/>
                <w:lang w:val="en-US" w:eastAsia="zh-CN"/>
              </w:rPr>
              <w:t>2、</w:t>
            </w:r>
            <w:r>
              <w:rPr>
                <w:rFonts w:hint="eastAsia" w:eastAsia="仿宋_GB2312"/>
                <w:b w:val="0"/>
                <w:bCs/>
                <w:sz w:val="24"/>
              </w:rPr>
              <w:t>委托第三方进行执法性监督监测；</w:t>
            </w:r>
          </w:p>
          <w:p>
            <w:pPr>
              <w:numPr>
                <w:ilvl w:val="0"/>
                <w:numId w:val="0"/>
              </w:numPr>
              <w:spacing w:line="240" w:lineRule="exact"/>
              <w:jc w:val="left"/>
              <w:rPr>
                <w:rFonts w:eastAsia="仿宋_GB2312"/>
                <w:b/>
                <w:sz w:val="24"/>
              </w:rPr>
            </w:pPr>
            <w:r>
              <w:rPr>
                <w:rFonts w:hint="eastAsia" w:eastAsia="仿宋_GB2312"/>
                <w:b w:val="0"/>
                <w:bCs/>
                <w:sz w:val="24"/>
                <w:lang w:eastAsia="zh-CN"/>
              </w:rPr>
              <w:t>目标</w:t>
            </w:r>
            <w:r>
              <w:rPr>
                <w:rFonts w:hint="eastAsia" w:eastAsia="仿宋_GB2312"/>
                <w:b w:val="0"/>
                <w:bCs/>
                <w:sz w:val="24"/>
                <w:lang w:val="en-US" w:eastAsia="zh-CN"/>
              </w:rPr>
              <w:t>3、</w:t>
            </w:r>
            <w:r>
              <w:rPr>
                <w:rFonts w:hint="eastAsia" w:eastAsia="仿宋_GB2312"/>
                <w:b w:val="0"/>
                <w:bCs/>
                <w:sz w:val="24"/>
              </w:rPr>
              <w:t>环保迎检、应急处置经费；</w:t>
            </w:r>
          </w:p>
          <w:p>
            <w:pPr>
              <w:numPr>
                <w:ilvl w:val="0"/>
                <w:numId w:val="0"/>
              </w:numPr>
              <w:spacing w:line="240" w:lineRule="exact"/>
              <w:jc w:val="left"/>
              <w:rPr>
                <w:rFonts w:hint="eastAsia" w:eastAsia="仿宋_GB2312"/>
                <w:b/>
                <w:sz w:val="24"/>
                <w:lang w:eastAsia="zh-CN"/>
              </w:rPr>
            </w:pPr>
            <w:r>
              <w:rPr>
                <w:rFonts w:hint="eastAsia" w:eastAsia="仿宋_GB2312"/>
                <w:b w:val="0"/>
                <w:bCs/>
                <w:sz w:val="24"/>
                <w:lang w:eastAsia="zh-CN"/>
              </w:rPr>
              <w:t>目标</w:t>
            </w:r>
            <w:r>
              <w:rPr>
                <w:rFonts w:hint="eastAsia" w:eastAsia="仿宋_GB2312"/>
                <w:b w:val="0"/>
                <w:bCs/>
                <w:sz w:val="24"/>
                <w:lang w:val="en-US" w:eastAsia="zh-CN"/>
              </w:rPr>
              <w:t>4、节能环保</w:t>
            </w:r>
            <w:r>
              <w:rPr>
                <w:rFonts w:hint="eastAsia" w:eastAsia="仿宋_GB2312"/>
                <w:b w:val="0"/>
                <w:bCs/>
                <w:sz w:val="24"/>
              </w:rPr>
              <w:t>宣传费用</w:t>
            </w:r>
            <w:r>
              <w:rPr>
                <w:rFonts w:hint="eastAsia" w:eastAsia="仿宋_GB2312"/>
                <w:b w:val="0"/>
                <w:bCs/>
                <w:sz w:val="24"/>
                <w:lang w:eastAsia="zh-CN"/>
              </w:rPr>
              <w:t>。</w:t>
            </w:r>
          </w:p>
        </w:tc>
        <w:tc>
          <w:tcPr>
            <w:tcW w:w="2783" w:type="dxa"/>
            <w:gridSpan w:val="3"/>
            <w:tcBorders>
              <w:bottom w:val="single" w:color="auto" w:sz="4" w:space="0"/>
            </w:tcBorders>
            <w:vAlign w:val="center"/>
          </w:tcPr>
          <w:p>
            <w:pPr>
              <w:jc w:val="center"/>
              <w:rPr>
                <w:rFonts w:eastAsia="仿宋_GB2312"/>
                <w:b/>
                <w:sz w:val="24"/>
              </w:rPr>
            </w:pPr>
            <w:r>
              <w:rPr>
                <w:rFonts w:hint="eastAsia" w:eastAsia="仿宋_GB2312"/>
                <w:b w:val="0"/>
                <w:bCs/>
                <w:sz w:val="24"/>
                <w:lang w:eastAsia="zh-CN"/>
              </w:rPr>
              <w:t>已完成预期目标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791" w:type="dxa"/>
            <w:gridSpan w:val="2"/>
            <w:vAlign w:val="center"/>
          </w:tcPr>
          <w:p>
            <w:pPr>
              <w:jc w:val="center"/>
              <w:rPr>
                <w:rFonts w:eastAsia="仿宋_GB2312"/>
                <w:sz w:val="24"/>
              </w:rPr>
            </w:pPr>
            <w:r>
              <w:rPr>
                <w:rFonts w:hint="eastAsia" w:eastAsia="仿宋_GB2312"/>
                <w:sz w:val="24"/>
              </w:rPr>
              <w:t>一级指标</w:t>
            </w:r>
          </w:p>
        </w:tc>
        <w:tc>
          <w:tcPr>
            <w:tcW w:w="1742"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574"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220"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2783"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项目产出指标</w:t>
            </w:r>
          </w:p>
        </w:tc>
        <w:tc>
          <w:tcPr>
            <w:tcW w:w="1742" w:type="dxa"/>
            <w:vAlign w:val="center"/>
          </w:tcPr>
          <w:p>
            <w:pPr>
              <w:spacing w:line="360" w:lineRule="exact"/>
              <w:jc w:val="center"/>
              <w:rPr>
                <w:rFonts w:eastAsia="仿宋_GB2312"/>
                <w:sz w:val="24"/>
              </w:rPr>
            </w:pPr>
            <w:r>
              <w:rPr>
                <w:rFonts w:hint="eastAsia" w:eastAsia="仿宋_GB2312"/>
                <w:sz w:val="24"/>
              </w:rPr>
              <w:t>数量指标</w:t>
            </w:r>
          </w:p>
        </w:tc>
        <w:tc>
          <w:tcPr>
            <w:tcW w:w="1574" w:type="dxa"/>
            <w:gridSpan w:val="4"/>
            <w:tcBorders>
              <w:bottom w:val="single" w:color="auto" w:sz="4" w:space="0"/>
            </w:tcBorders>
            <w:vAlign w:val="center"/>
          </w:tcPr>
          <w:p>
            <w:pPr>
              <w:widowControl/>
              <w:spacing w:line="240" w:lineRule="exact"/>
              <w:jc w:val="center"/>
              <w:rPr>
                <w:rFonts w:hint="default" w:eastAsia="仿宋_GB2312"/>
                <w:sz w:val="24"/>
                <w:lang w:val="en-US" w:eastAsia="zh-CN"/>
              </w:rPr>
            </w:pPr>
            <w:r>
              <w:rPr>
                <w:rFonts w:hint="eastAsia" w:ascii="仿宋_GB2312" w:hAnsi="宋体" w:eastAsia="仿宋_GB2312" w:cs="仿宋_GB2312"/>
                <w:i w:val="0"/>
                <w:iCs w:val="0"/>
                <w:color w:val="000000"/>
                <w:kern w:val="0"/>
                <w:sz w:val="20"/>
                <w:szCs w:val="20"/>
                <w:u w:val="none"/>
                <w:lang w:val="en-US" w:eastAsia="zh-CN" w:bidi="ar"/>
              </w:rPr>
              <w:t>完成排污权出让收入及环保税任务</w:t>
            </w:r>
          </w:p>
        </w:tc>
        <w:tc>
          <w:tcPr>
            <w:tcW w:w="1220" w:type="dxa"/>
            <w:gridSpan w:val="3"/>
            <w:tcBorders>
              <w:bottom w:val="single" w:color="auto" w:sz="4" w:space="0"/>
            </w:tcBorders>
            <w:vAlign w:val="center"/>
          </w:tcPr>
          <w:p>
            <w:pPr>
              <w:widowControl/>
              <w:spacing w:line="240" w:lineRule="exact"/>
              <w:jc w:val="center"/>
              <w:rPr>
                <w:rFonts w:hint="default" w:eastAsia="仿宋_GB2312"/>
                <w:sz w:val="24"/>
                <w:lang w:val="en-US" w:eastAsia="zh-CN"/>
              </w:rPr>
            </w:pPr>
            <w:r>
              <w:rPr>
                <w:rFonts w:hint="eastAsia" w:ascii="仿宋_GB2312" w:hAnsi="仿宋_GB2312" w:eastAsia="仿宋_GB2312" w:cs="仿宋_GB2312"/>
                <w:color w:val="000000"/>
                <w:sz w:val="20"/>
                <w:szCs w:val="20"/>
                <w:lang w:val="en-US" w:eastAsia="zh-CN"/>
              </w:rPr>
              <w:t>8</w:t>
            </w:r>
            <w:r>
              <w:rPr>
                <w:rFonts w:hint="eastAsia" w:ascii="仿宋_GB2312" w:hAnsi="宋体" w:eastAsia="仿宋_GB2312" w:cs="仿宋_GB2312"/>
                <w:i w:val="0"/>
                <w:iCs w:val="0"/>
                <w:color w:val="000000"/>
                <w:kern w:val="0"/>
                <w:sz w:val="20"/>
                <w:szCs w:val="20"/>
                <w:u w:val="none"/>
                <w:lang w:val="en-US" w:eastAsia="zh-CN" w:bidi="ar"/>
              </w:rPr>
              <w:t>万元</w:t>
            </w:r>
          </w:p>
        </w:tc>
        <w:tc>
          <w:tcPr>
            <w:tcW w:w="2783" w:type="dxa"/>
            <w:gridSpan w:val="3"/>
            <w:tcBorders>
              <w:bottom w:val="single" w:color="auto" w:sz="4" w:space="0"/>
            </w:tcBorders>
            <w:vAlign w:val="center"/>
          </w:tcPr>
          <w:p>
            <w:pPr>
              <w:jc w:val="center"/>
              <w:rPr>
                <w:rFonts w:hint="default" w:eastAsia="仿宋_GB2312"/>
                <w:sz w:val="24"/>
                <w:lang w:val="en-US" w:eastAsia="zh-CN"/>
              </w:rPr>
            </w:pPr>
            <w:r>
              <w:rPr>
                <w:rFonts w:hint="eastAsia" w:ascii="仿宋_GB2312" w:hAnsi="宋体" w:eastAsia="仿宋_GB2312" w:cs="仿宋_GB2312"/>
                <w:i w:val="0"/>
                <w:iCs w:val="0"/>
                <w:color w:val="000000"/>
                <w:kern w:val="0"/>
                <w:sz w:val="20"/>
                <w:szCs w:val="20"/>
                <w:u w:val="none"/>
                <w:lang w:val="en-US" w:eastAsia="zh-CN" w:bidi="ar"/>
              </w:rPr>
              <w:t>78.91万元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742" w:type="dxa"/>
            <w:vAlign w:val="center"/>
          </w:tcPr>
          <w:p>
            <w:pPr>
              <w:spacing w:line="360" w:lineRule="exact"/>
              <w:jc w:val="center"/>
              <w:rPr>
                <w:rFonts w:eastAsia="仿宋_GB2312"/>
                <w:sz w:val="24"/>
              </w:rPr>
            </w:pPr>
            <w:r>
              <w:rPr>
                <w:rFonts w:hint="eastAsia" w:eastAsia="仿宋_GB2312"/>
                <w:sz w:val="24"/>
              </w:rPr>
              <w:t>质量指标</w:t>
            </w:r>
          </w:p>
        </w:tc>
        <w:tc>
          <w:tcPr>
            <w:tcW w:w="1574" w:type="dxa"/>
            <w:gridSpan w:val="4"/>
            <w:tcBorders>
              <w:bottom w:val="single" w:color="auto" w:sz="4" w:space="0"/>
            </w:tcBorders>
            <w:vAlign w:val="center"/>
          </w:tcPr>
          <w:p>
            <w:pPr>
              <w:widowControl/>
              <w:spacing w:line="240" w:lineRule="exact"/>
              <w:jc w:val="center"/>
              <w:rPr>
                <w:rFonts w:eastAsia="仿宋_GB2312"/>
                <w:sz w:val="24"/>
              </w:rPr>
            </w:pPr>
            <w:r>
              <w:rPr>
                <w:rFonts w:hint="eastAsia" w:ascii="仿宋_GB2312" w:hAnsi="宋体" w:eastAsia="仿宋_GB2312" w:cs="仿宋_GB2312"/>
                <w:i w:val="0"/>
                <w:iCs w:val="0"/>
                <w:color w:val="000000"/>
                <w:kern w:val="0"/>
                <w:sz w:val="20"/>
                <w:szCs w:val="20"/>
                <w:u w:val="none"/>
                <w:lang w:val="en-US" w:eastAsia="zh-CN" w:bidi="ar"/>
              </w:rPr>
              <w:t>各种整治符合环保标准</w:t>
            </w:r>
          </w:p>
        </w:tc>
        <w:tc>
          <w:tcPr>
            <w:tcW w:w="1220" w:type="dxa"/>
            <w:gridSpan w:val="3"/>
            <w:tcBorders>
              <w:bottom w:val="single" w:color="auto" w:sz="4" w:space="0"/>
            </w:tcBorders>
            <w:vAlign w:val="center"/>
          </w:tcPr>
          <w:p>
            <w:pPr>
              <w:widowControl/>
              <w:spacing w:line="240" w:lineRule="exact"/>
              <w:jc w:val="center"/>
              <w:rPr>
                <w:rFonts w:hint="eastAsia" w:eastAsia="仿宋_GB2312"/>
                <w:sz w:val="24"/>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c>
          <w:tcPr>
            <w:tcW w:w="2783" w:type="dxa"/>
            <w:gridSpan w:val="3"/>
            <w:tcBorders>
              <w:bottom w:val="single" w:color="auto" w:sz="4" w:space="0"/>
            </w:tcBorders>
            <w:vAlign w:val="center"/>
          </w:tcPr>
          <w:p>
            <w:pPr>
              <w:widowControl/>
              <w:spacing w:line="240" w:lineRule="exact"/>
              <w:jc w:val="center"/>
              <w:rPr>
                <w:rFonts w:eastAsia="仿宋_GB2312"/>
                <w:sz w:val="24"/>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742" w:type="dxa"/>
            <w:vMerge w:val="restart"/>
            <w:vAlign w:val="center"/>
          </w:tcPr>
          <w:p>
            <w:pPr>
              <w:spacing w:line="360" w:lineRule="exact"/>
              <w:jc w:val="center"/>
              <w:rPr>
                <w:rFonts w:eastAsia="仿宋_GB2312"/>
                <w:sz w:val="24"/>
              </w:rPr>
            </w:pPr>
            <w:r>
              <w:rPr>
                <w:rFonts w:hint="eastAsia" w:eastAsia="仿宋_GB2312"/>
                <w:sz w:val="24"/>
              </w:rPr>
              <w:t>时效指标</w:t>
            </w:r>
          </w:p>
        </w:tc>
        <w:tc>
          <w:tcPr>
            <w:tcW w:w="1574" w:type="dxa"/>
            <w:gridSpan w:val="4"/>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val="en-US" w:eastAsia="zh-CN"/>
              </w:rPr>
              <w:t>突发事件</w:t>
            </w:r>
          </w:p>
        </w:tc>
        <w:tc>
          <w:tcPr>
            <w:tcW w:w="1220" w:type="dxa"/>
            <w:gridSpan w:val="3"/>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即时完成</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按时完成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742" w:type="dxa"/>
            <w:vMerge w:val="continue"/>
            <w:vAlign w:val="center"/>
          </w:tcPr>
          <w:p>
            <w:pPr>
              <w:spacing w:line="360" w:lineRule="exact"/>
              <w:jc w:val="center"/>
              <w:rPr>
                <w:rFonts w:eastAsia="仿宋_GB2312"/>
                <w:sz w:val="24"/>
              </w:rPr>
            </w:pPr>
          </w:p>
        </w:tc>
        <w:tc>
          <w:tcPr>
            <w:tcW w:w="1574" w:type="dxa"/>
            <w:gridSpan w:val="4"/>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工作按计划完成</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按年度计划时间内完成</w:t>
            </w:r>
          </w:p>
        </w:tc>
        <w:tc>
          <w:tcPr>
            <w:tcW w:w="2783" w:type="dxa"/>
            <w:gridSpan w:val="3"/>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按计划完成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742" w:type="dxa"/>
            <w:vAlign w:val="center"/>
          </w:tcPr>
          <w:p>
            <w:pPr>
              <w:spacing w:line="360" w:lineRule="exact"/>
              <w:jc w:val="center"/>
              <w:rPr>
                <w:rFonts w:eastAsia="仿宋_GB2312"/>
                <w:sz w:val="24"/>
              </w:rPr>
            </w:pPr>
            <w:r>
              <w:rPr>
                <w:rFonts w:hint="eastAsia" w:eastAsia="仿宋_GB2312"/>
                <w:sz w:val="24"/>
              </w:rPr>
              <w:t>成本指标</w:t>
            </w:r>
          </w:p>
        </w:tc>
        <w:tc>
          <w:tcPr>
            <w:tcW w:w="1574" w:type="dxa"/>
            <w:gridSpan w:val="4"/>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所有的支出控制在预算内</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rPr>
              <w:t>工作经费和专项治理经费按要求控制在预算内</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执行率为100%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项目效益指标</w:t>
            </w:r>
          </w:p>
        </w:tc>
        <w:tc>
          <w:tcPr>
            <w:tcW w:w="1742" w:type="dxa"/>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574" w:type="dxa"/>
            <w:gridSpan w:val="4"/>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实现节能减排，减少环保治理经费</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经济效益较好</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经济效益较好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742" w:type="dxa"/>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574" w:type="dxa"/>
            <w:gridSpan w:val="4"/>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改善辖区环境质量及群众生产生活环境，达到环境质量控制目标。</w:t>
            </w:r>
          </w:p>
        </w:tc>
        <w:tc>
          <w:tcPr>
            <w:tcW w:w="1220" w:type="dxa"/>
            <w:gridSpan w:val="3"/>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社会效益好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742" w:type="dxa"/>
            <w:vMerge w:val="restart"/>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574" w:type="dxa"/>
            <w:gridSpan w:val="4"/>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促进环境质量认知度</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有所改善</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有所改善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742" w:type="dxa"/>
            <w:vMerge w:val="continue"/>
            <w:vAlign w:val="center"/>
          </w:tcPr>
          <w:p>
            <w:pPr>
              <w:spacing w:line="360" w:lineRule="exact"/>
              <w:jc w:val="center"/>
              <w:rPr>
                <w:rFonts w:eastAsia="仿宋_GB2312"/>
                <w:sz w:val="24"/>
              </w:rPr>
            </w:pPr>
          </w:p>
        </w:tc>
        <w:tc>
          <w:tcPr>
            <w:tcW w:w="1574" w:type="dxa"/>
            <w:gridSpan w:val="4"/>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有可持续影响</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742" w:type="dxa"/>
            <w:vAlign w:val="center"/>
          </w:tcPr>
          <w:p>
            <w:pPr>
              <w:spacing w:line="360" w:lineRule="exact"/>
              <w:jc w:val="center"/>
              <w:rPr>
                <w:rFonts w:eastAsia="仿宋_GB2312"/>
                <w:sz w:val="24"/>
              </w:rPr>
            </w:pPr>
            <w:r>
              <w:rPr>
                <w:rFonts w:hint="eastAsia" w:eastAsia="仿宋_GB2312"/>
                <w:sz w:val="24"/>
              </w:rPr>
              <w:t>服务对象满意度指标</w:t>
            </w:r>
          </w:p>
        </w:tc>
        <w:tc>
          <w:tcPr>
            <w:tcW w:w="1574" w:type="dxa"/>
            <w:gridSpan w:val="4"/>
            <w:tcBorders>
              <w:bottom w:val="single" w:color="auto" w:sz="4" w:space="0"/>
            </w:tcBorders>
            <w:vAlign w:val="center"/>
          </w:tcPr>
          <w:p>
            <w:pPr>
              <w:widowControl/>
              <w:spacing w:line="240" w:lineRule="exact"/>
              <w:jc w:val="center"/>
              <w:rPr>
                <w:rFonts w:hint="default"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社会反响良好</w:t>
            </w:r>
          </w:p>
        </w:tc>
        <w:tc>
          <w:tcPr>
            <w:tcW w:w="1220"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群众满意率上升到95%</w:t>
            </w:r>
          </w:p>
        </w:tc>
        <w:tc>
          <w:tcPr>
            <w:tcW w:w="2783" w:type="dxa"/>
            <w:gridSpan w:val="3"/>
            <w:tcBorders>
              <w:bottom w:val="single" w:color="auto" w:sz="4" w:space="0"/>
            </w:tcBorders>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大于等于9</w:t>
            </w:r>
            <w:r>
              <w:rPr>
                <w:rFonts w:hint="eastAsia" w:ascii="仿宋_GB2312" w:hAnsi="宋体" w:eastAsia="仿宋_GB2312" w:cs="仿宋_GB2312"/>
                <w:i w:val="0"/>
                <w:iCs w:val="0"/>
                <w:color w:val="000000"/>
                <w:kern w:val="0"/>
                <w:sz w:val="20"/>
                <w:szCs w:val="20"/>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319" w:type="dxa"/>
            <w:gridSpan w:val="11"/>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319" w:type="dxa"/>
            <w:gridSpan w:val="11"/>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vAlign w:val="center"/>
          </w:tcPr>
          <w:p>
            <w:pPr>
              <w:jc w:val="center"/>
              <w:rPr>
                <w:rFonts w:eastAsia="仿宋_GB2312"/>
                <w:b/>
                <w:sz w:val="24"/>
              </w:rPr>
            </w:pPr>
            <w:r>
              <w:rPr>
                <w:rFonts w:hint="eastAsia" w:eastAsia="仿宋_GB2312"/>
                <w:b/>
                <w:sz w:val="24"/>
                <w:lang w:eastAsia="zh-CN"/>
              </w:rPr>
              <w:t>三</w:t>
            </w:r>
            <w:r>
              <w:rPr>
                <w:rFonts w:hint="eastAsia" w:eastAsia="仿宋_GB2312"/>
                <w:b/>
                <w:sz w:val="24"/>
              </w:rPr>
              <w:t>、评价人员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eastAsia="仿宋_GB2312"/>
                <w:sz w:val="24"/>
              </w:rPr>
            </w:pPr>
            <w:r>
              <w:rPr>
                <w:rFonts w:hint="eastAsia" w:eastAsia="仿宋_GB2312"/>
                <w:sz w:val="24"/>
              </w:rPr>
              <w:t>姓名</w:t>
            </w:r>
          </w:p>
        </w:tc>
        <w:tc>
          <w:tcPr>
            <w:tcW w:w="2332" w:type="dxa"/>
            <w:gridSpan w:val="3"/>
            <w:vAlign w:val="center"/>
          </w:tcPr>
          <w:p>
            <w:pPr>
              <w:jc w:val="center"/>
              <w:rPr>
                <w:rFonts w:eastAsia="仿宋_GB2312"/>
                <w:sz w:val="24"/>
              </w:rPr>
            </w:pPr>
            <w:r>
              <w:rPr>
                <w:rFonts w:hint="eastAsia" w:eastAsia="仿宋_GB2312"/>
                <w:sz w:val="24"/>
              </w:rPr>
              <w:t>职称/职务</w:t>
            </w:r>
          </w:p>
        </w:tc>
        <w:tc>
          <w:tcPr>
            <w:tcW w:w="2204" w:type="dxa"/>
            <w:gridSpan w:val="5"/>
            <w:vAlign w:val="center"/>
          </w:tcPr>
          <w:p>
            <w:pPr>
              <w:jc w:val="center"/>
              <w:rPr>
                <w:rFonts w:eastAsia="仿宋_GB2312"/>
                <w:sz w:val="24"/>
              </w:rPr>
            </w:pPr>
            <w:r>
              <w:rPr>
                <w:rFonts w:hint="eastAsia" w:eastAsia="仿宋_GB2312"/>
                <w:sz w:val="24"/>
              </w:rPr>
              <w:t>单  位</w:t>
            </w:r>
          </w:p>
        </w:tc>
        <w:tc>
          <w:tcPr>
            <w:tcW w:w="2783" w:type="dxa"/>
            <w:gridSpan w:val="3"/>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rPr>
                <w:rFonts w:hint="default" w:eastAsia="仿宋_GB2312"/>
                <w:sz w:val="24"/>
                <w:lang w:val="en-US" w:eastAsia="zh-CN"/>
              </w:rPr>
            </w:pPr>
          </w:p>
        </w:tc>
        <w:tc>
          <w:tcPr>
            <w:tcW w:w="2332" w:type="dxa"/>
            <w:gridSpan w:val="3"/>
            <w:vAlign w:val="center"/>
          </w:tcPr>
          <w:p>
            <w:pPr>
              <w:rPr>
                <w:rFonts w:hint="default" w:eastAsia="仿宋_GB2312"/>
                <w:sz w:val="24"/>
                <w:lang w:val="en-US" w:eastAsia="zh-CN"/>
              </w:rPr>
            </w:pPr>
          </w:p>
        </w:tc>
        <w:tc>
          <w:tcPr>
            <w:tcW w:w="2204" w:type="dxa"/>
            <w:gridSpan w:val="5"/>
            <w:vAlign w:val="center"/>
          </w:tcPr>
          <w:p>
            <w:pPr>
              <w:rPr>
                <w:rFonts w:eastAsia="仿宋_GB2312"/>
                <w:sz w:val="24"/>
              </w:rPr>
            </w:pP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rPr>
                <w:rFonts w:hint="eastAsia" w:eastAsia="仿宋_GB2312"/>
                <w:sz w:val="24"/>
                <w:lang w:eastAsia="zh-CN"/>
              </w:rPr>
            </w:pPr>
          </w:p>
        </w:tc>
        <w:tc>
          <w:tcPr>
            <w:tcW w:w="2332" w:type="dxa"/>
            <w:gridSpan w:val="3"/>
            <w:vAlign w:val="center"/>
          </w:tcPr>
          <w:p>
            <w:pPr>
              <w:rPr>
                <w:rFonts w:hint="eastAsia" w:eastAsia="仿宋_GB2312"/>
                <w:sz w:val="24"/>
                <w:lang w:eastAsia="zh-CN"/>
              </w:rPr>
            </w:pPr>
          </w:p>
        </w:tc>
        <w:tc>
          <w:tcPr>
            <w:tcW w:w="2204" w:type="dxa"/>
            <w:gridSpan w:val="5"/>
            <w:vAlign w:val="center"/>
          </w:tcPr>
          <w:p>
            <w:pPr>
              <w:rPr>
                <w:rFonts w:eastAsia="仿宋_GB2312"/>
                <w:sz w:val="24"/>
              </w:rPr>
            </w:pP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rPr>
                <w:rFonts w:hint="eastAsia" w:eastAsia="仿宋_GB2312"/>
                <w:sz w:val="24"/>
                <w:lang w:eastAsia="zh-CN"/>
              </w:rPr>
            </w:pPr>
          </w:p>
        </w:tc>
        <w:tc>
          <w:tcPr>
            <w:tcW w:w="2332" w:type="dxa"/>
            <w:gridSpan w:val="3"/>
            <w:vAlign w:val="center"/>
          </w:tcPr>
          <w:p>
            <w:pPr>
              <w:rPr>
                <w:rFonts w:hint="eastAsia" w:eastAsia="仿宋_GB2312"/>
                <w:sz w:val="24"/>
                <w:lang w:eastAsia="zh-CN"/>
              </w:rPr>
            </w:pPr>
          </w:p>
        </w:tc>
        <w:tc>
          <w:tcPr>
            <w:tcW w:w="2204" w:type="dxa"/>
            <w:gridSpan w:val="5"/>
            <w:vAlign w:val="center"/>
          </w:tcPr>
          <w:p>
            <w:pPr>
              <w:rPr>
                <w:rFonts w:eastAsia="仿宋_GB2312"/>
                <w:sz w:val="24"/>
              </w:rPr>
            </w:pP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exact"/>
          <w:jc w:val="center"/>
        </w:trPr>
        <w:tc>
          <w:tcPr>
            <w:tcW w:w="9582" w:type="dxa"/>
            <w:gridSpan w:val="14"/>
            <w:vAlign w:val="center"/>
          </w:tcPr>
          <w:p>
            <w:pPr>
              <w:spacing w:line="440" w:lineRule="exact"/>
              <w:rPr>
                <w:rFonts w:eastAsia="仿宋_GB2312"/>
                <w:sz w:val="24"/>
              </w:rPr>
            </w:pPr>
            <w:r>
              <w:rPr>
                <w:rFonts w:hint="eastAsia" w:eastAsia="仿宋_GB2312"/>
                <w:sz w:val="24"/>
              </w:rPr>
              <w:t xml:space="preserve">评价组组长（签字）：         </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exact"/>
          <w:jc w:val="center"/>
        </w:trPr>
        <w:tc>
          <w:tcPr>
            <w:tcW w:w="9582" w:type="dxa"/>
            <w:gridSpan w:val="14"/>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                          联系电话：</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b/>
                <w:bCs/>
                <w:sz w:val="28"/>
                <w:szCs w:val="28"/>
              </w:rPr>
            </w:pPr>
            <w:r>
              <w:rPr>
                <w:rFonts w:hint="eastAsia" w:eastAsia="仿宋_GB2312"/>
                <w:b/>
                <w:bCs/>
                <w:sz w:val="28"/>
                <w:szCs w:val="28"/>
                <w:lang w:eastAsia="zh-CN"/>
              </w:rPr>
              <w:t>四</w:t>
            </w:r>
            <w:r>
              <w:rPr>
                <w:rFonts w:hint="eastAsia" w:eastAsia="仿宋_GB2312"/>
                <w:b/>
                <w:bCs/>
                <w:sz w:val="28"/>
                <w:szCs w:val="28"/>
              </w:rPr>
              <w:t>、评价报告综述（文字部分）</w:t>
            </w:r>
          </w:p>
          <w:p>
            <w:pPr>
              <w:spacing w:line="440" w:lineRule="exact"/>
              <w:ind w:firstLine="640" w:firstLineChars="200"/>
              <w:rPr>
                <w:rFonts w:eastAsia="仿宋_GB2312"/>
                <w:sz w:val="32"/>
                <w:szCs w:val="32"/>
              </w:rPr>
            </w:pP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（一）项目基本概况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kern w:val="2"/>
                <w:sz w:val="28"/>
                <w:szCs w:val="28"/>
                <w:lang w:val="en-US" w:eastAsia="zh-CN" w:bidi="ar-SA"/>
              </w:rPr>
              <w:t>坚持问题导向、突出整治重点，全面打好打赢各项污染防治攻坚战，顺利开展了“利剑”专项整治行动、大气污染防治“特护期”攻坚，完成了2022年生态环境保护各项目标任务。</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（二）项目资金使用及管理情况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kern w:val="2"/>
                <w:sz w:val="28"/>
                <w:szCs w:val="28"/>
                <w:lang w:val="en-US" w:eastAsia="zh-CN" w:bidi="ar-SA"/>
              </w:rPr>
              <w:t>市财政安排本单位环境监察、监测等运行经费项目经费26万元，专款专用、专账核算、专项使用。</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（三）项目组织实施情况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kern w:val="2"/>
                <w:sz w:val="28"/>
                <w:szCs w:val="28"/>
                <w:lang w:val="en-US" w:eastAsia="zh-CN" w:bidi="ar-SA"/>
              </w:rPr>
              <w:t>为推进洞庭湖总磷削减等工作，制订并下发文件，按文件要求限时开展并完成职责内的水环境整治。为严格落实特护期管控、蓝藻水华防控等工作，对相关水域组织巡查和预警监测，对饮用水源进行第三方评估。制作长江入河排污口标识标牌，完成长江入河排污口专项整治。开展对农村生活污水治理项目，我区农村生活污水治理率达63.9%。不定期对辖区内工业企业废气排放情况、建筑工地扬尘防治、城市道路扬尘防治、堆场、裸露地块扬尘防治、餐饮油烟整治、秸秆、生活垃圾禁烧等方面情况进行巡查，做好重污染天气应急措施协调工作，加大大气污染监管力度。</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（四）综合评价情况及评价结论</w:t>
            </w:r>
          </w:p>
          <w:p>
            <w:pPr>
              <w:ind w:firstLine="560" w:firstLineChars="200"/>
              <w:rPr>
                <w:rFonts w:hint="eastAsia" w:ascii="仿宋_GB2312" w:eastAsia="仿宋_GB2312"/>
                <w:sz w:val="30"/>
                <w:szCs w:val="30"/>
              </w:rPr>
            </w:pPr>
            <w:r>
              <w:rPr>
                <w:rFonts w:hint="eastAsia" w:ascii="仿宋_GB2312" w:hAnsi="仿宋_GB2312" w:eastAsia="仿宋_GB2312" w:cs="仿宋_GB2312"/>
                <w:spacing w:val="0"/>
                <w:kern w:val="2"/>
                <w:sz w:val="28"/>
                <w:szCs w:val="28"/>
                <w:lang w:val="en-US" w:eastAsia="zh-CN" w:bidi="ar-SA"/>
              </w:rPr>
              <w:t>本单位及时发现问题，处理问题，全面加强环境执法监管，提高环境监测、监察及监控能力方面；高度重视生态环境保护工作，主要领导对突出环境问题整改、水和大气污染防治等工作提出明确指示要求，并深入一线调研督导。组织开展生态环保执法检查，积极开展监督性调研活动，持续深入开展专项行动，以强有力的监督助力打好污染防治攻坚战。各级各部门切实履职尽责，细化量化工作措施、通力协作，形成了齐抓共管生态环境保护工作的合力。在5.22生物多样性、6.5环境日、6.15节能宣传周等重要时间节点开展宣传活动，全年开展多项法律法规的主题宣教活动工作，现场发放各类宣传资料,营造了人人参与环境保护的浓厚氛围。</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（五）项目主要绩效情况分析</w:t>
            </w:r>
          </w:p>
          <w:p>
            <w:pPr>
              <w:ind w:firstLine="560" w:firstLineChars="200"/>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kern w:val="2"/>
                <w:sz w:val="28"/>
                <w:szCs w:val="28"/>
                <w:lang w:val="en-US" w:eastAsia="zh-CN" w:bidi="ar-SA"/>
              </w:rPr>
              <w:t>1、完成日常环境监管、执法工作；2、委托第三方进行执法性监督监测；3、环保迎检、应急处置经费；4、开展生态环保宣传</w:t>
            </w:r>
            <w:bookmarkStart w:id="0" w:name="_GoBack"/>
            <w:bookmarkEnd w:id="0"/>
            <w:r>
              <w:rPr>
                <w:rFonts w:hint="eastAsia" w:ascii="仿宋_GB2312" w:hAnsi="仿宋_GB2312" w:eastAsia="仿宋_GB2312" w:cs="仿宋_GB2312"/>
                <w:spacing w:val="0"/>
                <w:kern w:val="2"/>
                <w:sz w:val="28"/>
                <w:szCs w:val="28"/>
                <w:lang w:val="en-US" w:eastAsia="zh-CN" w:bidi="ar-SA"/>
              </w:rPr>
              <w:t>。</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（六）主要经验及做法、存在问题和建议</w:t>
            </w:r>
          </w:p>
          <w:p>
            <w:pPr>
              <w:pStyle w:val="8"/>
              <w:ind w:firstLine="560" w:firstLineChars="200"/>
              <w:jc w:val="both"/>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kern w:val="2"/>
                <w:sz w:val="28"/>
                <w:szCs w:val="28"/>
                <w:lang w:val="en-US" w:eastAsia="zh-CN" w:bidi="ar-SA"/>
              </w:rPr>
              <w:t>存在的主要问题：根据我单位工作职能的履行情况，节能减排、环境监察、监测等运行经费等专项资金的使用与我单位财政拨入行政运行经费等资金集合使用，未严格区分资金使用范围。</w:t>
            </w:r>
          </w:p>
          <w:p>
            <w:pPr>
              <w:pStyle w:val="8"/>
              <w:ind w:firstLine="560" w:firstLineChars="200"/>
              <w:jc w:val="both"/>
              <w:rPr>
                <w:rFonts w:eastAsia="楷体_GB2312"/>
                <w:bCs/>
                <w:sz w:val="28"/>
                <w:szCs w:val="28"/>
              </w:rPr>
            </w:pPr>
            <w:r>
              <w:rPr>
                <w:rFonts w:hint="eastAsia" w:ascii="仿宋_GB2312" w:hAnsi="仿宋_GB2312" w:eastAsia="仿宋_GB2312" w:cs="仿宋_GB2312"/>
                <w:spacing w:val="0"/>
                <w:kern w:val="2"/>
                <w:sz w:val="28"/>
                <w:szCs w:val="28"/>
                <w:lang w:val="en-US" w:eastAsia="zh-CN" w:bidi="ar-SA"/>
              </w:rPr>
              <w:t>改进措施和有关建议：1、加强财务管理，严格财务审批。在费用报账支付时，按照预算规定的费用项目和用途进行资金使用、审核，列报支付，财务核算杜绝超支现象的发生。2、进一步加快预算执行进度。一是改进预算安排，坚持当年形成支出的当年安排，当年不能形成支出的不予安排；二是盘活存量资金，对二级机构和派出机构的新增资金需求，能用存量结转（结余）资金解决的，用存量结转（结余）解决，努力盘活存量资金。三是加快预算执行，督促相关单位加快项目实施进度，加快资金结算进度，严控项目结转结余。</w:t>
            </w:r>
          </w:p>
        </w:tc>
      </w:tr>
    </w:tbl>
    <w:p>
      <w:pPr>
        <w:spacing w:before="156" w:beforeLines="5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8"/>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hM2RiODNhYzYwODk5ZTg2MTVmODIyMGIzNjA1OGY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2867"/>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34C5"/>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97A"/>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0113"/>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37DD2"/>
    <w:rsid w:val="00540C9D"/>
    <w:rsid w:val="0054794C"/>
    <w:rsid w:val="005530D1"/>
    <w:rsid w:val="00553902"/>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84A"/>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3CBF"/>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84803"/>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3E79"/>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1A02"/>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8F737D"/>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44D"/>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1C23"/>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36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6B"/>
    <w:rsid w:val="00CA51B6"/>
    <w:rsid w:val="00CA69DC"/>
    <w:rsid w:val="00CA7090"/>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237"/>
    <w:rsid w:val="00E43960"/>
    <w:rsid w:val="00E466E4"/>
    <w:rsid w:val="00E46FF3"/>
    <w:rsid w:val="00E51CA2"/>
    <w:rsid w:val="00E53278"/>
    <w:rsid w:val="00E5328E"/>
    <w:rsid w:val="00E55CE8"/>
    <w:rsid w:val="00E57083"/>
    <w:rsid w:val="00E57B64"/>
    <w:rsid w:val="00E6224F"/>
    <w:rsid w:val="00E6319B"/>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0F19"/>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3F81946"/>
    <w:rsid w:val="04723566"/>
    <w:rsid w:val="04D91D00"/>
    <w:rsid w:val="04EA2C78"/>
    <w:rsid w:val="07532D57"/>
    <w:rsid w:val="08321B5D"/>
    <w:rsid w:val="086957D3"/>
    <w:rsid w:val="08806C9E"/>
    <w:rsid w:val="092C1F5D"/>
    <w:rsid w:val="099F6F75"/>
    <w:rsid w:val="09BB340E"/>
    <w:rsid w:val="09D46F84"/>
    <w:rsid w:val="0A0B2BA1"/>
    <w:rsid w:val="0AE97DD7"/>
    <w:rsid w:val="0B1F3FDB"/>
    <w:rsid w:val="0BA6031D"/>
    <w:rsid w:val="0BCC4C65"/>
    <w:rsid w:val="0BEF049C"/>
    <w:rsid w:val="0C7A0E18"/>
    <w:rsid w:val="0CD27968"/>
    <w:rsid w:val="0D005B4E"/>
    <w:rsid w:val="0E875A86"/>
    <w:rsid w:val="10371B3F"/>
    <w:rsid w:val="10ED4807"/>
    <w:rsid w:val="111C4602"/>
    <w:rsid w:val="11751C07"/>
    <w:rsid w:val="11E64743"/>
    <w:rsid w:val="13013117"/>
    <w:rsid w:val="130C5B6F"/>
    <w:rsid w:val="139A36C9"/>
    <w:rsid w:val="13FD6BA3"/>
    <w:rsid w:val="16C26394"/>
    <w:rsid w:val="17A43566"/>
    <w:rsid w:val="17D62449"/>
    <w:rsid w:val="18166C57"/>
    <w:rsid w:val="18487256"/>
    <w:rsid w:val="18C66758"/>
    <w:rsid w:val="19995198"/>
    <w:rsid w:val="199A4E64"/>
    <w:rsid w:val="1A061399"/>
    <w:rsid w:val="1A816D32"/>
    <w:rsid w:val="1B451F82"/>
    <w:rsid w:val="1BC17DD9"/>
    <w:rsid w:val="1D5875E2"/>
    <w:rsid w:val="1F2C049F"/>
    <w:rsid w:val="20282F0E"/>
    <w:rsid w:val="20C05FEB"/>
    <w:rsid w:val="2150117A"/>
    <w:rsid w:val="230663AE"/>
    <w:rsid w:val="233E413C"/>
    <w:rsid w:val="234356F6"/>
    <w:rsid w:val="234D11AE"/>
    <w:rsid w:val="246444F3"/>
    <w:rsid w:val="248B0D70"/>
    <w:rsid w:val="24F47A9F"/>
    <w:rsid w:val="25362417"/>
    <w:rsid w:val="26910987"/>
    <w:rsid w:val="27831DEA"/>
    <w:rsid w:val="27F33C7F"/>
    <w:rsid w:val="282F1E8B"/>
    <w:rsid w:val="28B453D5"/>
    <w:rsid w:val="28B501B6"/>
    <w:rsid w:val="29920A20"/>
    <w:rsid w:val="29FF3454"/>
    <w:rsid w:val="2A024927"/>
    <w:rsid w:val="2AE422B4"/>
    <w:rsid w:val="2B571D3D"/>
    <w:rsid w:val="2D452C20"/>
    <w:rsid w:val="2E124D4B"/>
    <w:rsid w:val="2FAB3B39"/>
    <w:rsid w:val="30096031"/>
    <w:rsid w:val="31B47AAC"/>
    <w:rsid w:val="32F61BFE"/>
    <w:rsid w:val="33D81965"/>
    <w:rsid w:val="33FB79C4"/>
    <w:rsid w:val="340325DD"/>
    <w:rsid w:val="35327B23"/>
    <w:rsid w:val="3547731A"/>
    <w:rsid w:val="3662489D"/>
    <w:rsid w:val="366375D2"/>
    <w:rsid w:val="370C0803"/>
    <w:rsid w:val="379B40A4"/>
    <w:rsid w:val="384F457A"/>
    <w:rsid w:val="3ABA0F82"/>
    <w:rsid w:val="3B681D67"/>
    <w:rsid w:val="3CC6041E"/>
    <w:rsid w:val="3DB14044"/>
    <w:rsid w:val="3E446A1F"/>
    <w:rsid w:val="3F5B40F4"/>
    <w:rsid w:val="416C231C"/>
    <w:rsid w:val="4185518C"/>
    <w:rsid w:val="41DB497A"/>
    <w:rsid w:val="42F82A49"/>
    <w:rsid w:val="432C3BF6"/>
    <w:rsid w:val="44E67CEF"/>
    <w:rsid w:val="456A3C81"/>
    <w:rsid w:val="456F6819"/>
    <w:rsid w:val="47AC402E"/>
    <w:rsid w:val="488C1A5A"/>
    <w:rsid w:val="48DF11EB"/>
    <w:rsid w:val="497A5C9E"/>
    <w:rsid w:val="49CB1BAA"/>
    <w:rsid w:val="4A921CA8"/>
    <w:rsid w:val="4B0D129B"/>
    <w:rsid w:val="4BE478F9"/>
    <w:rsid w:val="4BFC2B26"/>
    <w:rsid w:val="4CAD6623"/>
    <w:rsid w:val="4CC47888"/>
    <w:rsid w:val="4D78026E"/>
    <w:rsid w:val="4EDF1ABC"/>
    <w:rsid w:val="4F0A0126"/>
    <w:rsid w:val="4FC86BB2"/>
    <w:rsid w:val="4FDF32BD"/>
    <w:rsid w:val="506942C1"/>
    <w:rsid w:val="50770BDE"/>
    <w:rsid w:val="51574B32"/>
    <w:rsid w:val="518665EC"/>
    <w:rsid w:val="51A900F2"/>
    <w:rsid w:val="52CB6318"/>
    <w:rsid w:val="531A0AE1"/>
    <w:rsid w:val="53810CBC"/>
    <w:rsid w:val="549A6402"/>
    <w:rsid w:val="54DA5AFE"/>
    <w:rsid w:val="54E96D2E"/>
    <w:rsid w:val="55737069"/>
    <w:rsid w:val="55742F2F"/>
    <w:rsid w:val="55A734CB"/>
    <w:rsid w:val="55C331B7"/>
    <w:rsid w:val="55CC7CA4"/>
    <w:rsid w:val="57D24C11"/>
    <w:rsid w:val="58924876"/>
    <w:rsid w:val="59876B61"/>
    <w:rsid w:val="5A8E583E"/>
    <w:rsid w:val="5C771920"/>
    <w:rsid w:val="5DA969F6"/>
    <w:rsid w:val="5DD123FC"/>
    <w:rsid w:val="5DE825D6"/>
    <w:rsid w:val="5E153581"/>
    <w:rsid w:val="6022537E"/>
    <w:rsid w:val="604844AC"/>
    <w:rsid w:val="60617302"/>
    <w:rsid w:val="60FF1D56"/>
    <w:rsid w:val="615F2210"/>
    <w:rsid w:val="62616160"/>
    <w:rsid w:val="639F5900"/>
    <w:rsid w:val="64452A14"/>
    <w:rsid w:val="656715B4"/>
    <w:rsid w:val="658658CD"/>
    <w:rsid w:val="6596001E"/>
    <w:rsid w:val="65D43BF4"/>
    <w:rsid w:val="6726668F"/>
    <w:rsid w:val="67A24393"/>
    <w:rsid w:val="689D49C6"/>
    <w:rsid w:val="6A3927E9"/>
    <w:rsid w:val="6A535F74"/>
    <w:rsid w:val="6B7E1985"/>
    <w:rsid w:val="6E394A98"/>
    <w:rsid w:val="6E81656F"/>
    <w:rsid w:val="6ED872FF"/>
    <w:rsid w:val="6F642AF4"/>
    <w:rsid w:val="70796201"/>
    <w:rsid w:val="70931C15"/>
    <w:rsid w:val="7261193B"/>
    <w:rsid w:val="74631FB5"/>
    <w:rsid w:val="74AF008E"/>
    <w:rsid w:val="74E413C5"/>
    <w:rsid w:val="759A216F"/>
    <w:rsid w:val="77253503"/>
    <w:rsid w:val="779E30CB"/>
    <w:rsid w:val="7801100A"/>
    <w:rsid w:val="78592FD3"/>
    <w:rsid w:val="78875A40"/>
    <w:rsid w:val="7ACE4250"/>
    <w:rsid w:val="7BC307D9"/>
    <w:rsid w:val="7C4A40EA"/>
    <w:rsid w:val="7EA06D55"/>
    <w:rsid w:val="7F0A3C90"/>
    <w:rsid w:val="7F854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toc 5"/>
    <w:basedOn w:val="1"/>
    <w:next w:val="1"/>
    <w:qFormat/>
    <w:uiPriority w:val="0"/>
    <w:pPr>
      <w:ind w:left="1680" w:leftChars="800"/>
    </w:pPr>
  </w:style>
  <w:style w:type="paragraph" w:styleId="4">
    <w:name w:val="Body Text Indent 2"/>
    <w:basedOn w:val="1"/>
    <w:link w:val="16"/>
    <w:unhideWhenUsed/>
    <w:qFormat/>
    <w:uiPriority w:val="99"/>
    <w:pPr>
      <w:ind w:firstLine="588" w:firstLineChars="200"/>
    </w:pPr>
    <w:rPr>
      <w:rFonts w:ascii="仿宋_GB2312" w:hAnsi="Calibri" w:eastAsia="仿宋_GB2312"/>
      <w:sz w:val="32"/>
    </w:rPr>
  </w:style>
  <w:style w:type="paragraph" w:styleId="5">
    <w:name w:val="Balloon Text"/>
    <w:basedOn w:val="1"/>
    <w:link w:val="19"/>
    <w:semiHidden/>
    <w:qFormat/>
    <w:uiPriority w:val="0"/>
    <w:rPr>
      <w:sz w:val="18"/>
      <w:szCs w:val="18"/>
    </w:rPr>
  </w:style>
  <w:style w:type="paragraph" w:styleId="6">
    <w:name w:val="footer"/>
    <w:basedOn w:val="1"/>
    <w:link w:val="13"/>
    <w:unhideWhenUsed/>
    <w:qFormat/>
    <w:uiPriority w:val="0"/>
    <w:pPr>
      <w:tabs>
        <w:tab w:val="center" w:pos="4153"/>
        <w:tab w:val="right" w:pos="8306"/>
      </w:tabs>
      <w:snapToGrid w:val="0"/>
      <w:jc w:val="left"/>
    </w:pPr>
    <w:rPr>
      <w:sz w:val="18"/>
      <w:szCs w:val="18"/>
    </w:rPr>
  </w:style>
  <w:style w:type="paragraph" w:styleId="7">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qFormat/>
    <w:uiPriority w:val="0"/>
    <w:pPr>
      <w:widowControl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Times New Roman" w:hAnsi="Times New Roman" w:eastAsia="宋体" w:cs="Times New Roman"/>
      <w:kern w:val="0"/>
      <w:sz w:val="24"/>
      <w:szCs w:val="24"/>
      <w:lang w:val="en-US" w:eastAsia="zh-CN" w:bidi="ar"/>
    </w:rPr>
  </w:style>
  <w:style w:type="character" w:styleId="11">
    <w:name w:val="page number"/>
    <w:qFormat/>
    <w:uiPriority w:val="0"/>
  </w:style>
  <w:style w:type="character" w:customStyle="1" w:styleId="12">
    <w:name w:val="页眉 字符"/>
    <w:basedOn w:val="10"/>
    <w:link w:val="7"/>
    <w:semiHidden/>
    <w:qFormat/>
    <w:uiPriority w:val="99"/>
    <w:rPr>
      <w:sz w:val="18"/>
      <w:szCs w:val="18"/>
    </w:rPr>
  </w:style>
  <w:style w:type="character" w:customStyle="1" w:styleId="13">
    <w:name w:val="页脚 字符"/>
    <w:basedOn w:val="10"/>
    <w:link w:val="6"/>
    <w:qFormat/>
    <w:uiPriority w:val="0"/>
    <w:rPr>
      <w:sz w:val="18"/>
      <w:szCs w:val="18"/>
    </w:rPr>
  </w:style>
  <w:style w:type="character" w:customStyle="1" w:styleId="14">
    <w:name w:val="标题 3 Char Char"/>
    <w:qFormat/>
    <w:uiPriority w:val="0"/>
    <w:rPr>
      <w:rFonts w:eastAsia="楷体_GB2312"/>
      <w:b/>
      <w:kern w:val="2"/>
      <w:sz w:val="32"/>
      <w:szCs w:val="24"/>
      <w:lang w:val="en-US" w:eastAsia="zh-CN" w:bidi="ar-SA"/>
    </w:rPr>
  </w:style>
  <w:style w:type="paragraph" w:customStyle="1" w:styleId="15">
    <w:name w:val="Char"/>
    <w:basedOn w:val="1"/>
    <w:qFormat/>
    <w:uiPriority w:val="0"/>
    <w:pPr>
      <w:autoSpaceDE w:val="0"/>
      <w:autoSpaceDN w:val="0"/>
      <w:adjustRightInd w:val="0"/>
    </w:pPr>
    <w:rPr>
      <w:rFonts w:ascii="宋体" w:cs="宋体"/>
      <w:kern w:val="0"/>
      <w:sz w:val="20"/>
      <w:szCs w:val="20"/>
      <w:lang w:val="zh-CN"/>
    </w:rPr>
  </w:style>
  <w:style w:type="character" w:customStyle="1" w:styleId="16">
    <w:name w:val="正文文本缩进 2 字符"/>
    <w:basedOn w:val="10"/>
    <w:link w:val="4"/>
    <w:qFormat/>
    <w:uiPriority w:val="99"/>
    <w:rPr>
      <w:rFonts w:ascii="仿宋_GB2312" w:hAnsi="Calibri" w:eastAsia="仿宋_GB2312" w:cs="Times New Roman"/>
      <w:sz w:val="32"/>
      <w:szCs w:val="24"/>
    </w:rPr>
  </w:style>
  <w:style w:type="paragraph" w:customStyle="1" w:styleId="17">
    <w:name w:val="Char1"/>
    <w:basedOn w:val="1"/>
    <w:qFormat/>
    <w:uiPriority w:val="0"/>
    <w:rPr>
      <w:rFonts w:ascii="仿宋_GB2312" w:eastAsia="仿宋_GB2312"/>
      <w:sz w:val="32"/>
    </w:rPr>
  </w:style>
  <w:style w:type="paragraph" w:customStyle="1" w:styleId="18">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9">
    <w:name w:val="批注框文本 字符"/>
    <w:basedOn w:val="10"/>
    <w:link w:val="5"/>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5239</Words>
  <Characters>5497</Characters>
  <Lines>47</Lines>
  <Paragraphs>13</Paragraphs>
  <TotalTime>0</TotalTime>
  <ScaleCrop>false</ScaleCrop>
  <LinksUpToDate>false</LinksUpToDate>
  <CharactersWithSpaces>6078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2021-06-24T12:17:00Z</dcterms:created>
  <dc:creator>蒋恒意</dc:creator>
  <cp:lastModifiedBy>Administrator</cp:lastModifiedBy>
  <cp:lastPrinted>2021-06-25T03:03:00Z</cp:lastPrinted>
  <dcterms:modified xsi:type="dcterms:W3CDTF">2023-09-27T03:29:53Z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E9AB61422BA345C6B3FEB1316985C953</vt:lpwstr>
  </property>
</Properties>
</file>