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</w:rPr>
        <w:t>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</w:rPr>
        <w:t>年度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岳阳市道路运输服务中心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</w:rPr>
        <w:t>部门（单位）整体支出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</w:rPr>
        <w:t>绩效自评报告</w:t>
      </w:r>
    </w:p>
    <w:p>
      <w:pPr>
        <w:jc w:val="center"/>
        <w:rPr>
          <w:rFonts w:hint="default" w:ascii="Times New Roman" w:hAnsi="Times New Roman" w:eastAsia="方正小标宋_GBK" w:cs="Times New Roman"/>
          <w:b/>
          <w:sz w:val="52"/>
          <w:szCs w:val="52"/>
          <w:highlight w:val="none"/>
        </w:rPr>
      </w:pPr>
    </w:p>
    <w:p>
      <w:pPr>
        <w:jc w:val="center"/>
        <w:rPr>
          <w:rFonts w:hint="default" w:ascii="Times New Roman" w:hAnsi="Times New Roman" w:eastAsia="楷体_GB2312" w:cs="Times New Roman"/>
          <w:b/>
          <w:sz w:val="32"/>
          <w:szCs w:val="32"/>
          <w:highlight w:val="none"/>
        </w:rPr>
      </w:pPr>
    </w:p>
    <w:p>
      <w:pPr>
        <w:jc w:val="center"/>
        <w:rPr>
          <w:rFonts w:hint="default" w:ascii="Times New Roman" w:hAnsi="Times New Roman" w:eastAsia="楷体_GB2312" w:cs="Times New Roman"/>
          <w:b/>
          <w:sz w:val="32"/>
          <w:szCs w:val="32"/>
          <w:highlight w:val="none"/>
        </w:rPr>
      </w:pPr>
    </w:p>
    <w:p>
      <w:pPr>
        <w:jc w:val="center"/>
        <w:rPr>
          <w:rFonts w:hint="default" w:ascii="Times New Roman" w:hAnsi="Times New Roman" w:eastAsia="楷体_GB2312" w:cs="Times New Roman"/>
          <w:b/>
          <w:sz w:val="32"/>
          <w:szCs w:val="32"/>
          <w:highlight w:val="none"/>
        </w:rPr>
      </w:pPr>
    </w:p>
    <w:p>
      <w:pPr>
        <w:jc w:val="center"/>
        <w:rPr>
          <w:rFonts w:hint="default" w:ascii="Times New Roman" w:hAnsi="Times New Roman" w:eastAsia="楷体_GB2312" w:cs="Times New Roman"/>
          <w:b/>
          <w:sz w:val="32"/>
          <w:szCs w:val="32"/>
          <w:highlight w:val="none"/>
        </w:rPr>
      </w:pPr>
    </w:p>
    <w:p>
      <w:pPr>
        <w:jc w:val="center"/>
        <w:rPr>
          <w:rFonts w:hint="default" w:ascii="Times New Roman" w:hAnsi="Times New Roman" w:eastAsia="楷体_GB2312" w:cs="Times New Roman"/>
          <w:b/>
          <w:sz w:val="32"/>
          <w:szCs w:val="32"/>
          <w:highlight w:val="none"/>
        </w:rPr>
      </w:pPr>
    </w:p>
    <w:p>
      <w:pPr>
        <w:jc w:val="center"/>
        <w:rPr>
          <w:rFonts w:hint="default" w:ascii="Times New Roman" w:hAnsi="Times New Roman" w:eastAsia="楷体_GB2312" w:cs="Times New Roman"/>
          <w:b/>
          <w:sz w:val="32"/>
          <w:szCs w:val="32"/>
          <w:highlight w:val="none"/>
        </w:rPr>
      </w:pPr>
    </w:p>
    <w:p>
      <w:pPr>
        <w:jc w:val="center"/>
        <w:rPr>
          <w:rFonts w:hint="default" w:ascii="Times New Roman" w:hAnsi="Times New Roman" w:eastAsia="黑体" w:cs="Times New Roman"/>
          <w:sz w:val="32"/>
          <w:szCs w:val="32"/>
          <w:highlight w:val="none"/>
        </w:rPr>
      </w:pPr>
    </w:p>
    <w:p>
      <w:pPr>
        <w:jc w:val="center"/>
        <w:rPr>
          <w:rFonts w:hint="default" w:ascii="Times New Roman" w:hAnsi="Times New Roman" w:eastAsia="黑体" w:cs="Times New Roman"/>
          <w:sz w:val="32"/>
          <w:szCs w:val="32"/>
          <w:highlight w:val="none"/>
        </w:rPr>
      </w:pPr>
    </w:p>
    <w:p>
      <w:pPr>
        <w:jc w:val="center"/>
        <w:rPr>
          <w:rFonts w:hint="default" w:ascii="Times New Roman" w:hAnsi="Times New Roman" w:eastAsia="黑体" w:cs="Times New Roman"/>
          <w:sz w:val="32"/>
          <w:szCs w:val="32"/>
          <w:highlight w:val="none"/>
        </w:rPr>
      </w:pPr>
    </w:p>
    <w:p>
      <w:pPr>
        <w:jc w:val="both"/>
        <w:rPr>
          <w:rFonts w:hint="default" w:ascii="Times New Roman" w:hAnsi="Times New Roman" w:eastAsia="黑体" w:cs="Times New Roman"/>
          <w:sz w:val="32"/>
          <w:szCs w:val="32"/>
          <w:highlight w:val="none"/>
        </w:rPr>
      </w:pPr>
    </w:p>
    <w:p>
      <w:pPr>
        <w:jc w:val="both"/>
        <w:rPr>
          <w:rFonts w:hint="default" w:ascii="Times New Roman" w:hAnsi="Times New Roman" w:eastAsia="黑体" w:cs="Times New Roman"/>
          <w:sz w:val="32"/>
          <w:szCs w:val="32"/>
          <w:highlight w:val="none"/>
        </w:rPr>
      </w:pPr>
    </w:p>
    <w:p>
      <w:pPr>
        <w:jc w:val="center"/>
        <w:rPr>
          <w:rFonts w:hint="default" w:ascii="Times New Roman" w:hAnsi="Times New Roman" w:eastAsia="黑体" w:cs="Times New Roman"/>
          <w:sz w:val="32"/>
          <w:szCs w:val="32"/>
          <w:highlight w:val="none"/>
        </w:rPr>
      </w:pPr>
    </w:p>
    <w:p>
      <w:pPr>
        <w:spacing w:line="600" w:lineRule="exact"/>
        <w:jc w:val="center"/>
        <w:rPr>
          <w:rFonts w:hint="default" w:ascii="Times New Roman" w:hAnsi="Times New Roman" w:eastAsia="仿宋_GB2312" w:cs="Times New Roman"/>
          <w:sz w:val="32"/>
          <w:szCs w:val="32"/>
          <w:highlight w:val="none"/>
          <w:u w:val="singl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部门（单位）名称：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u w:val="single"/>
        </w:rPr>
        <w:t>（盖章）</w:t>
      </w:r>
    </w:p>
    <w:p>
      <w:pPr>
        <w:spacing w:line="600" w:lineRule="exact"/>
        <w:jc w:val="center"/>
        <w:rPr>
          <w:rFonts w:hint="default" w:ascii="Times New Roman" w:hAnsi="Times New Roman" w:eastAsia="楷体_GB2312" w:cs="Times New Roman"/>
          <w:sz w:val="32"/>
          <w:szCs w:val="32"/>
          <w:highlight w:val="none"/>
        </w:rPr>
      </w:pPr>
      <w:r>
        <w:rPr>
          <w:rFonts w:hint="eastAsia" w:ascii="Times New Roman" w:hAnsi="Times New Roman" w:eastAsia="楷体_GB2312" w:cs="Times New Roman"/>
          <w:sz w:val="32"/>
          <w:szCs w:val="32"/>
          <w:highlight w:val="none"/>
          <w:lang w:val="en-US" w:eastAsia="zh-CN"/>
        </w:rPr>
        <w:t>2024</w:t>
      </w:r>
      <w:r>
        <w:rPr>
          <w:rFonts w:hint="default" w:ascii="Times New Roman" w:hAnsi="Times New Roman" w:eastAsia="楷体_GB2312" w:cs="Times New Roman"/>
          <w:sz w:val="32"/>
          <w:szCs w:val="32"/>
          <w:highlight w:val="none"/>
        </w:rPr>
        <w:t xml:space="preserve">年 </w:t>
      </w:r>
      <w:r>
        <w:rPr>
          <w:rFonts w:hint="eastAsia" w:ascii="Times New Roman" w:hAnsi="Times New Roman" w:eastAsia="楷体_GB2312" w:cs="Times New Roman"/>
          <w:sz w:val="32"/>
          <w:szCs w:val="32"/>
          <w:highlight w:val="none"/>
          <w:lang w:val="en-US" w:eastAsia="zh-CN"/>
        </w:rPr>
        <w:t>6</w:t>
      </w:r>
      <w:r>
        <w:rPr>
          <w:rFonts w:hint="default" w:ascii="Times New Roman" w:hAnsi="Times New Roman" w:eastAsia="楷体_GB2312" w:cs="Times New Roman"/>
          <w:sz w:val="32"/>
          <w:szCs w:val="32"/>
          <w:highlight w:val="none"/>
        </w:rPr>
        <w:t xml:space="preserve"> 月 </w:t>
      </w:r>
      <w:r>
        <w:rPr>
          <w:rFonts w:hint="eastAsia" w:ascii="Times New Roman" w:hAnsi="Times New Roman" w:eastAsia="楷体_GB2312" w:cs="Times New Roman"/>
          <w:sz w:val="32"/>
          <w:szCs w:val="32"/>
          <w:highlight w:val="none"/>
          <w:lang w:val="en-US" w:eastAsia="zh-CN"/>
        </w:rPr>
        <w:t>16</w:t>
      </w:r>
      <w:r>
        <w:rPr>
          <w:rFonts w:hint="default" w:ascii="Times New Roman" w:hAnsi="Times New Roman" w:eastAsia="楷体_GB2312" w:cs="Times New Roman"/>
          <w:sz w:val="32"/>
          <w:szCs w:val="32"/>
          <w:highlight w:val="none"/>
        </w:rPr>
        <w:t>日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（此页为封面）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br w:type="page"/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</w:rPr>
        <w:t>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</w:rPr>
        <w:t>年度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  <w:lang w:eastAsia="zh-CN"/>
        </w:rPr>
        <w:t>岳阳市道路运输服务中心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</w:rPr>
        <w:t>整体支出绩效自评报告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jc w:val="both"/>
        <w:textAlignment w:val="auto"/>
        <w:rPr>
          <w:rFonts w:hint="default" w:ascii="Times New Roman" w:hAnsi="Times New Roman" w:eastAsia="黑体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黑体" w:cs="Times New Roman"/>
          <w:sz w:val="32"/>
          <w:szCs w:val="32"/>
          <w:highlight w:val="none"/>
        </w:rPr>
        <w:t>部门（单位）基本情况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both"/>
        <w:textAlignment w:val="auto"/>
        <w:rPr>
          <w:rFonts w:hint="default" w:ascii="Times New Roman" w:hAnsi="Times New Roman" w:eastAsia="黑体" w:cs="Times New Roman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eastAsia="zh-CN"/>
        </w:rPr>
        <w:t>市道路运输服务中心</w:t>
      </w:r>
      <w:r>
        <w:rPr>
          <w:rFonts w:hint="eastAsia" w:ascii="仿宋_GB2312" w:hAnsi="仿宋_GB2312" w:eastAsia="仿宋_GB2312" w:cs="仿宋_GB2312"/>
          <w:sz w:val="32"/>
          <w:szCs w:val="40"/>
        </w:rPr>
        <w:t>核定全额拔款事业编制90名。</w:t>
      </w:r>
      <w:r>
        <w:rPr>
          <w:rFonts w:hint="eastAsia" w:ascii="仿宋_GB2312" w:hAnsi="仿宋_GB2312" w:eastAsia="仿宋_GB2312" w:cs="仿宋_GB2312"/>
          <w:sz w:val="32"/>
          <w:szCs w:val="40"/>
          <w:lang w:eastAsia="zh-CN"/>
        </w:rPr>
        <w:t>单位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经费渠道为财政全额拨款。</w:t>
      </w:r>
      <w:r>
        <w:rPr>
          <w:rFonts w:hint="eastAsia" w:ascii="仿宋_GB2312" w:hAnsi="仿宋_GB2312" w:eastAsia="仿宋_GB2312" w:cs="仿宋_GB2312"/>
          <w:sz w:val="32"/>
          <w:szCs w:val="40"/>
        </w:rPr>
        <w:t>单位现实有在编人员8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32"/>
          <w:szCs w:val="40"/>
        </w:rPr>
        <w:t>名</w:t>
      </w:r>
      <w:r>
        <w:rPr>
          <w:rFonts w:hint="eastAsia" w:ascii="仿宋_GB2312" w:hAnsi="仿宋_GB2312" w:eastAsia="仿宋_GB2312" w:cs="仿宋_GB2312"/>
          <w:sz w:val="32"/>
          <w:szCs w:val="40"/>
          <w:lang w:eastAsia="zh-CN"/>
        </w:rPr>
        <w:t>，其中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40"/>
        </w:rPr>
        <w:t>023年度招录公开招聘人员2人，招录四海揽才人员6人</w:t>
      </w:r>
      <w:r>
        <w:rPr>
          <w:rFonts w:hint="eastAsia" w:ascii="仿宋_GB2312" w:hAnsi="仿宋_GB2312" w:eastAsia="仿宋_GB2312" w:cs="仿宋_GB2312"/>
          <w:sz w:val="32"/>
          <w:szCs w:val="40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40"/>
        </w:rPr>
        <w:t>核定领导职数6名，设主任（副处级）1名，党委副职（正科级）5名（其中党委专职副书记1名）</w:t>
      </w:r>
      <w:r>
        <w:rPr>
          <w:rFonts w:hint="eastAsia" w:ascii="仿宋_GB2312" w:hAnsi="仿宋_GB2312" w:eastAsia="仿宋_GB2312" w:cs="仿宋_GB2312"/>
          <w:sz w:val="32"/>
          <w:szCs w:val="40"/>
          <w:lang w:eastAsia="zh-CN"/>
        </w:rPr>
        <w:t>；</w:t>
      </w:r>
      <w:r>
        <w:rPr>
          <w:rFonts w:hint="eastAsia" w:ascii="仿宋_GB2312" w:hAnsi="仿宋_GB2312" w:eastAsia="仿宋_GB2312" w:cs="仿宋_GB2312"/>
          <w:sz w:val="32"/>
          <w:szCs w:val="40"/>
        </w:rPr>
        <w:t>内设机构副科级领导职数11名（含党委办主任1名）；分支机构正科级领导职数3名、副科级领导职数6名。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jc w:val="both"/>
        <w:textAlignment w:val="auto"/>
        <w:rPr>
          <w:rFonts w:hint="default" w:ascii="Times New Roman" w:hAnsi="Times New Roman" w:eastAsia="黑体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黑体" w:cs="Times New Roman"/>
          <w:sz w:val="32"/>
          <w:szCs w:val="32"/>
          <w:highlight w:val="none"/>
        </w:rPr>
        <w:t>二、一般公共预算支出情况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3" w:firstLineChars="200"/>
        <w:jc w:val="both"/>
        <w:textAlignment w:val="auto"/>
        <w:rPr>
          <w:rFonts w:hint="default" w:ascii="Times New Roman" w:hAnsi="Times New Roman" w:eastAsia="楷体_GB2312" w:cs="Times New Roman"/>
          <w:b/>
          <w:sz w:val="32"/>
          <w:szCs w:val="32"/>
          <w:highlight w:val="none"/>
        </w:rPr>
      </w:pPr>
      <w:r>
        <w:rPr>
          <w:rFonts w:hint="default" w:ascii="Times New Roman" w:hAnsi="Times New Roman" w:eastAsia="楷体_GB2312" w:cs="Times New Roman"/>
          <w:b/>
          <w:sz w:val="32"/>
          <w:szCs w:val="32"/>
          <w:highlight w:val="none"/>
        </w:rPr>
        <w:t>（一）基本支出情况</w:t>
      </w:r>
    </w:p>
    <w:p>
      <w:pPr>
        <w:numPr>
          <w:ilvl w:val="0"/>
          <w:numId w:val="0"/>
        </w:numPr>
        <w:snapToGrid w:val="0"/>
        <w:spacing w:line="520" w:lineRule="exact"/>
        <w:ind w:left="840" w:leftChars="0" w:firstLine="0" w:firstLineChars="0"/>
        <w:rPr>
          <w:rFonts w:hint="eastAsia" w:ascii="仿宋_GB2312" w:hAnsi="仿宋" w:eastAsia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Times New Roman"/>
          <w:b w:val="0"/>
          <w:bCs/>
          <w:kern w:val="0"/>
          <w:sz w:val="32"/>
          <w:szCs w:val="32"/>
          <w:lang w:val="en-US" w:eastAsia="zh-CN" w:bidi="ar-SA"/>
        </w:rPr>
        <w:t>（1）</w:t>
      </w:r>
      <w:r>
        <w:rPr>
          <w:rFonts w:hint="eastAsia" w:ascii="仿宋_GB2312" w:hAnsi="仿宋" w:eastAsia="仿宋_GB2312"/>
          <w:b w:val="0"/>
          <w:bCs/>
          <w:sz w:val="32"/>
          <w:szCs w:val="32"/>
          <w:lang w:val="en-US" w:eastAsia="zh-CN"/>
        </w:rPr>
        <w:t>总体情况：2023年度部门支出数为1507.43万元，其中工资福利支出总数为1216.08万元，占总支出的80.6%；商品和服务支出总数为151.12万元，占总支出的10.2%；对个人和家庭的补助总数为106.22万元，占总支出的7.0%；资本性支出总数为34万元，占总支出的2.2%。</w:t>
      </w:r>
    </w:p>
    <w:p>
      <w:pPr>
        <w:numPr>
          <w:ilvl w:val="0"/>
          <w:numId w:val="0"/>
        </w:numPr>
        <w:snapToGrid w:val="0"/>
        <w:spacing w:line="520" w:lineRule="exact"/>
        <w:ind w:left="840" w:leftChars="0" w:firstLine="0" w:firstLineChars="0"/>
        <w:rPr>
          <w:rFonts w:hint="default" w:ascii="Times New Roman" w:hAnsi="Times New Roman" w:eastAsia="楷体_GB2312" w:cs="Times New Roman"/>
          <w:b/>
          <w:sz w:val="32"/>
          <w:szCs w:val="32"/>
          <w:highlight w:val="none"/>
        </w:rPr>
      </w:pPr>
      <w:r>
        <w:rPr>
          <w:rFonts w:hint="default" w:ascii="仿宋_GB2312" w:hAnsi="仿宋" w:eastAsia="仿宋_GB2312"/>
          <w:b w:val="0"/>
          <w:bCs/>
          <w:sz w:val="32"/>
          <w:szCs w:val="32"/>
          <w:lang w:val="en-US" w:eastAsia="zh-CN"/>
        </w:rPr>
        <w:t>（2）</w:t>
      </w:r>
      <w:r>
        <w:rPr>
          <w:rFonts w:hint="eastAsia" w:ascii="仿宋_GB2312" w:hAnsi="仿宋" w:eastAsia="仿宋_GB2312"/>
          <w:sz w:val="32"/>
          <w:szCs w:val="32"/>
        </w:rPr>
        <w:t>“三公”经费支出情况：“三公”经费财政拨款支出预算为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25.18</w:t>
      </w:r>
      <w:r>
        <w:rPr>
          <w:rFonts w:hint="eastAsia" w:ascii="仿宋_GB2312" w:hAnsi="仿宋" w:eastAsia="仿宋_GB2312"/>
          <w:sz w:val="32"/>
          <w:szCs w:val="32"/>
        </w:rPr>
        <w:t>万元，</w:t>
      </w:r>
      <w:r>
        <w:rPr>
          <w:rFonts w:hint="eastAsia" w:ascii="仿宋_GB2312" w:eastAsia="仿宋_GB2312"/>
          <w:sz w:val="32"/>
          <w:szCs w:val="32"/>
          <w:lang w:eastAsia="zh-CN"/>
        </w:rPr>
        <w:t>部门</w:t>
      </w:r>
      <w:r>
        <w:rPr>
          <w:rFonts w:hint="eastAsia" w:ascii="仿宋_GB2312" w:hAnsi="仿宋" w:eastAsia="仿宋_GB2312"/>
          <w:sz w:val="32"/>
          <w:szCs w:val="32"/>
        </w:rPr>
        <w:t>支出为2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.51</w:t>
      </w:r>
      <w:r>
        <w:rPr>
          <w:rFonts w:hint="eastAsia" w:ascii="仿宋_GB2312" w:hAnsi="仿宋" w:eastAsia="仿宋_GB2312"/>
          <w:sz w:val="32"/>
          <w:szCs w:val="32"/>
        </w:rPr>
        <w:t>万元，完成预算的100%，其中：公务用车运行维护费支出预算为2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.08</w:t>
      </w:r>
      <w:r>
        <w:rPr>
          <w:rFonts w:hint="eastAsia" w:ascii="仿宋_GB2312" w:hAnsi="仿宋" w:eastAsia="仿宋_GB2312"/>
          <w:sz w:val="32"/>
          <w:szCs w:val="32"/>
        </w:rPr>
        <w:t>万元，</w:t>
      </w:r>
      <w:r>
        <w:rPr>
          <w:rFonts w:hint="eastAsia" w:ascii="仿宋_GB2312" w:eastAsia="仿宋_GB2312"/>
          <w:sz w:val="32"/>
          <w:szCs w:val="32"/>
          <w:lang w:eastAsia="zh-CN"/>
        </w:rPr>
        <w:t>部门</w:t>
      </w:r>
      <w:r>
        <w:rPr>
          <w:rFonts w:hint="eastAsia" w:ascii="仿宋_GB2312" w:hAnsi="仿宋" w:eastAsia="仿宋_GB2312"/>
          <w:sz w:val="32"/>
          <w:szCs w:val="32"/>
        </w:rPr>
        <w:t>支出为2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0.83</w:t>
      </w:r>
      <w:r>
        <w:rPr>
          <w:rFonts w:hint="eastAsia" w:ascii="仿宋_GB2312" w:hAnsi="仿宋" w:eastAsia="仿宋_GB2312"/>
          <w:sz w:val="32"/>
          <w:szCs w:val="32"/>
        </w:rPr>
        <w:t>万元，完成预算的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10</w:t>
      </w:r>
      <w:r>
        <w:rPr>
          <w:rFonts w:hint="eastAsia" w:ascii="仿宋_GB2312" w:hAnsi="仿宋" w:eastAsia="仿宋_GB2312"/>
          <w:sz w:val="32"/>
          <w:szCs w:val="32"/>
        </w:rPr>
        <w:t>0%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。</w:t>
      </w:r>
      <w:r>
        <w:rPr>
          <w:rFonts w:hint="eastAsia" w:ascii="仿宋_GB2312" w:hAnsi="仿宋" w:eastAsia="仿宋_GB2312"/>
          <w:sz w:val="32"/>
          <w:szCs w:val="32"/>
        </w:rPr>
        <w:t>公务接待费支出预算为0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.43</w:t>
      </w:r>
      <w:r>
        <w:rPr>
          <w:rFonts w:hint="eastAsia" w:ascii="仿宋_GB2312" w:hAnsi="仿宋" w:eastAsia="仿宋_GB2312"/>
          <w:sz w:val="32"/>
          <w:szCs w:val="32"/>
        </w:rPr>
        <w:t>万元，</w:t>
      </w:r>
      <w:r>
        <w:rPr>
          <w:rFonts w:hint="eastAsia" w:ascii="仿宋_GB2312" w:eastAsia="仿宋_GB2312"/>
          <w:sz w:val="32"/>
          <w:szCs w:val="32"/>
          <w:lang w:eastAsia="zh-CN"/>
        </w:rPr>
        <w:t>部门</w:t>
      </w:r>
      <w:r>
        <w:rPr>
          <w:rFonts w:hint="eastAsia" w:ascii="仿宋_GB2312" w:hAnsi="仿宋" w:eastAsia="仿宋_GB2312"/>
          <w:sz w:val="32"/>
          <w:szCs w:val="32"/>
        </w:rPr>
        <w:t>支出为0.4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" w:eastAsia="仿宋_GB2312"/>
          <w:sz w:val="32"/>
          <w:szCs w:val="32"/>
        </w:rPr>
        <w:t>万元，完成预算的100%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。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3" w:firstLineChars="200"/>
        <w:jc w:val="both"/>
        <w:textAlignment w:val="auto"/>
        <w:rPr>
          <w:rFonts w:hint="default" w:ascii="Times New Roman" w:hAnsi="Times New Roman" w:eastAsia="楷体_GB2312" w:cs="Times New Roman"/>
          <w:b/>
          <w:sz w:val="32"/>
          <w:szCs w:val="32"/>
          <w:highlight w:val="none"/>
        </w:rPr>
      </w:pPr>
      <w:r>
        <w:rPr>
          <w:rFonts w:hint="default" w:ascii="Times New Roman" w:hAnsi="Times New Roman" w:eastAsia="楷体_GB2312" w:cs="Times New Roman"/>
          <w:b/>
          <w:sz w:val="32"/>
          <w:szCs w:val="32"/>
          <w:highlight w:val="none"/>
        </w:rPr>
        <w:t>项目支出情况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楷体_GB2312" w:cs="Times New Roman"/>
          <w:b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项目支出总数为22万元，分别为地方铁路安全监管专项14万元，非税收入直接征收成本8万元。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部门年度完成</w:t>
      </w:r>
      <w:r>
        <w:rPr>
          <w:rFonts w:hint="eastAsia" w:ascii="仿宋_GB2312" w:hAnsi="仿宋" w:eastAsia="仿宋_GB2312"/>
          <w:sz w:val="32"/>
          <w:szCs w:val="32"/>
        </w:rPr>
        <w:t>一级项目和二级项目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的</w:t>
      </w:r>
      <w:r>
        <w:rPr>
          <w:rFonts w:hint="eastAsia" w:ascii="仿宋_GB2312" w:hAnsi="仿宋" w:eastAsia="仿宋_GB2312"/>
          <w:sz w:val="32"/>
          <w:szCs w:val="32"/>
        </w:rPr>
        <w:t>绩效目标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，完成产出指标的数量指标值，客运、货运业务办理完成率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95%，完成地方铁路1450万吨货运量，完成从业人员2000人的培训；达成效益指标的经济效益，减税降费达到100万元。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jc w:val="both"/>
        <w:textAlignment w:val="auto"/>
        <w:rPr>
          <w:rFonts w:hint="default" w:ascii="Times New Roman" w:hAnsi="Times New Roman" w:eastAsia="黑体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黑体" w:cs="Times New Roman"/>
          <w:sz w:val="32"/>
          <w:szCs w:val="32"/>
          <w:highlight w:val="none"/>
        </w:rPr>
        <w:t>三、政府性基金预算支出情况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jc w:val="both"/>
        <w:textAlignment w:val="auto"/>
        <w:rPr>
          <w:rFonts w:hint="eastAsia" w:ascii="Times New Roman" w:hAnsi="Times New Roman" w:eastAsia="黑体" w:cs="Times New Roman"/>
          <w:sz w:val="32"/>
          <w:szCs w:val="32"/>
          <w:highlight w:val="none"/>
          <w:lang w:eastAsia="zh-CN"/>
        </w:rPr>
      </w:pPr>
      <w:r>
        <w:rPr>
          <w:rFonts w:hint="eastAsia" w:ascii="仿宋_GB2312" w:hAnsi="仿宋" w:eastAsia="仿宋_GB2312" w:cs="黑体"/>
          <w:color w:val="000000"/>
          <w:kern w:val="0"/>
          <w:sz w:val="32"/>
          <w:szCs w:val="32"/>
          <w:lang w:val="en-US" w:eastAsia="zh-CN" w:bidi="ar-SA"/>
        </w:rPr>
        <w:t>无政府性基金预算支出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jc w:val="both"/>
        <w:textAlignment w:val="auto"/>
        <w:rPr>
          <w:rFonts w:hint="default" w:ascii="Times New Roman" w:hAnsi="Times New Roman" w:eastAsia="黑体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黑体" w:cs="Times New Roman"/>
          <w:sz w:val="32"/>
          <w:szCs w:val="32"/>
          <w:highlight w:val="none"/>
        </w:rPr>
        <w:t>国有资本经营预算支出情况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both"/>
        <w:textAlignment w:val="auto"/>
        <w:rPr>
          <w:rFonts w:hint="default" w:ascii="仿宋_GB2312" w:hAnsi="仿宋" w:eastAsia="仿宋_GB2312" w:cs="黑体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黑体" w:cs="Times New Roman"/>
          <w:sz w:val="32"/>
          <w:szCs w:val="32"/>
          <w:highlight w:val="none"/>
          <w:lang w:val="en-US" w:eastAsia="zh-CN"/>
        </w:rPr>
        <w:t xml:space="preserve">   </w:t>
      </w:r>
      <w:r>
        <w:rPr>
          <w:rFonts w:hint="eastAsia" w:ascii="仿宋_GB2312" w:hAnsi="仿宋" w:eastAsia="仿宋_GB2312" w:cs="黑体"/>
          <w:color w:val="000000"/>
          <w:kern w:val="0"/>
          <w:sz w:val="32"/>
          <w:szCs w:val="32"/>
          <w:lang w:val="en-US" w:eastAsia="zh-CN" w:bidi="ar-SA"/>
        </w:rPr>
        <w:t xml:space="preserve"> 无</w:t>
      </w:r>
      <w:r>
        <w:rPr>
          <w:rFonts w:hint="default" w:ascii="仿宋_GB2312" w:hAnsi="仿宋" w:eastAsia="仿宋_GB2312" w:cs="黑体"/>
          <w:color w:val="000000"/>
          <w:kern w:val="0"/>
          <w:sz w:val="32"/>
          <w:szCs w:val="32"/>
          <w:lang w:val="en-US" w:eastAsia="zh-CN" w:bidi="ar-SA"/>
        </w:rPr>
        <w:t>国有资本经营预算支出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黑体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黑体" w:cs="Times New Roman"/>
          <w:sz w:val="32"/>
          <w:szCs w:val="32"/>
          <w:highlight w:val="none"/>
        </w:rPr>
        <w:t>社会保险基金预算支出情况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600" w:lineRule="exact"/>
        <w:ind w:firstLine="640" w:firstLineChars="200"/>
        <w:textAlignment w:val="auto"/>
        <w:rPr>
          <w:rFonts w:hint="eastAsia" w:ascii="仿宋_GB2312" w:hAnsi="仿宋" w:eastAsia="仿宋_GB2312"/>
          <w:sz w:val="32"/>
          <w:szCs w:val="32"/>
          <w:lang w:eastAsia="zh-CN"/>
        </w:rPr>
      </w:pPr>
      <w:r>
        <w:rPr>
          <w:rFonts w:hint="eastAsia" w:ascii="仿宋_GB2312" w:hAnsi="仿宋" w:eastAsia="仿宋_GB2312"/>
          <w:sz w:val="32"/>
          <w:szCs w:val="32"/>
          <w:lang w:eastAsia="zh-CN"/>
        </w:rPr>
        <w:t>无</w:t>
      </w:r>
      <w:r>
        <w:rPr>
          <w:rFonts w:hint="default" w:ascii="仿宋_GB2312" w:hAnsi="仿宋" w:eastAsia="仿宋_GB2312"/>
          <w:sz w:val="32"/>
          <w:szCs w:val="32"/>
          <w:lang w:eastAsia="zh-CN"/>
        </w:rPr>
        <w:t>社会保险基金预算支出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jc w:val="both"/>
        <w:textAlignment w:val="auto"/>
        <w:rPr>
          <w:rFonts w:hint="default" w:ascii="Times New Roman" w:hAnsi="Times New Roman" w:eastAsia="黑体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黑体" w:cs="Times New Roman"/>
          <w:sz w:val="32"/>
          <w:szCs w:val="32"/>
          <w:highlight w:val="none"/>
        </w:rPr>
        <w:t>六、部门整体支出绩效情况</w:t>
      </w:r>
    </w:p>
    <w:p>
      <w:pPr>
        <w:ind w:firstLine="960" w:firstLineChars="300"/>
        <w:rPr>
          <w:rFonts w:hint="eastAsia" w:eastAsia="仿宋"/>
          <w:szCs w:val="21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我中心较好地完成了202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设定的工作任务，各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部门工作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得到有序开展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" w:hAnsi="仿宋" w:eastAsia="仿宋"/>
          <w:sz w:val="32"/>
          <w:szCs w:val="32"/>
        </w:rPr>
        <w:t>坚持服务至上理念，推进运输结构调整,服务运输经济发展，</w:t>
      </w:r>
      <w:r>
        <w:rPr>
          <w:rFonts w:hint="eastAsia" w:ascii="仿宋" w:hAnsi="仿宋" w:eastAsia="仿宋"/>
          <w:sz w:val="32"/>
          <w:szCs w:val="32"/>
          <w:lang w:eastAsia="zh-CN"/>
        </w:rPr>
        <w:t>主要事业成效如下：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 w:bidi="ar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引导和支持客运站综合开发，鼓励和规范定制客运发展，全市开通线路9条、车辆118辆。</w:t>
      </w:r>
      <w:r>
        <w:rPr>
          <w:rFonts w:hint="eastAsia" w:ascii="仿宋" w:hAnsi="仿宋" w:eastAsia="仿宋" w:cs="仿宋"/>
          <w:sz w:val="32"/>
          <w:szCs w:val="32"/>
          <w:lang w:bidi="ar"/>
        </w:rPr>
        <w:t>碳达峰碳中和稳步推进，新上纯电网约车9</w:t>
      </w:r>
      <w:r>
        <w:rPr>
          <w:rFonts w:hint="eastAsia" w:ascii="仿宋" w:hAnsi="仿宋" w:eastAsia="仿宋" w:cs="仿宋"/>
          <w:sz w:val="32"/>
          <w:szCs w:val="32"/>
          <w:lang w:val="en-US" w:eastAsia="zh-CN" w:bidi="ar"/>
        </w:rPr>
        <w:t>39</w:t>
      </w:r>
      <w:r>
        <w:rPr>
          <w:rFonts w:hint="eastAsia" w:ascii="仿宋" w:hAnsi="仿宋" w:eastAsia="仿宋" w:cs="仿宋"/>
          <w:sz w:val="32"/>
          <w:szCs w:val="32"/>
          <w:lang w:bidi="ar"/>
        </w:rPr>
        <w:t>台，</w:t>
      </w:r>
      <w:r>
        <w:rPr>
          <w:rFonts w:hint="eastAsia" w:ascii="仿宋" w:hAnsi="仿宋" w:eastAsia="仿宋" w:cs="仿宋"/>
          <w:sz w:val="32"/>
          <w:szCs w:val="32"/>
          <w:lang w:eastAsia="zh-CN" w:bidi="ar"/>
        </w:rPr>
        <w:t>是</w:t>
      </w:r>
      <w:r>
        <w:rPr>
          <w:rFonts w:hint="eastAsia" w:ascii="仿宋" w:hAnsi="仿宋" w:eastAsia="仿宋" w:cs="仿宋"/>
          <w:sz w:val="32"/>
          <w:szCs w:val="32"/>
          <w:lang w:bidi="ar"/>
        </w:rPr>
        <w:t>2022 年底的 8倍多</w:t>
      </w:r>
      <w:r>
        <w:rPr>
          <w:rFonts w:hint="eastAsia" w:ascii="仿宋" w:hAnsi="仿宋" w:eastAsia="仿宋" w:cs="仿宋"/>
          <w:sz w:val="32"/>
          <w:szCs w:val="32"/>
          <w:lang w:eastAsia="zh-CN" w:bidi="ar"/>
        </w:rPr>
        <w:t>，</w:t>
      </w:r>
      <w:r>
        <w:rPr>
          <w:rFonts w:hint="eastAsia" w:ascii="仿宋" w:hAnsi="仿宋" w:eastAsia="仿宋" w:cs="仿宋"/>
          <w:sz w:val="32"/>
          <w:szCs w:val="32"/>
          <w:lang w:bidi="ar"/>
        </w:rPr>
        <w:t>全市 90 台出租车完成“油换电”</w:t>
      </w:r>
      <w:r>
        <w:rPr>
          <w:rFonts w:hint="eastAsia" w:ascii="仿宋" w:hAnsi="仿宋" w:eastAsia="仿宋" w:cs="仿宋"/>
          <w:sz w:val="32"/>
          <w:szCs w:val="32"/>
          <w:lang w:eastAsia="zh-CN" w:bidi="ar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 w:bidi="ar"/>
        </w:rPr>
      </w:pPr>
      <w:r>
        <w:rPr>
          <w:rFonts w:hint="eastAsia" w:ascii="仿宋" w:hAnsi="仿宋" w:eastAsia="仿宋" w:cs="仿宋"/>
          <w:sz w:val="32"/>
          <w:szCs w:val="32"/>
          <w:lang w:eastAsia="zh-CN" w:bidi="ar"/>
        </w:rPr>
        <w:t>办理出租车注册、注销服务监督卡3256张，续牌办理道路运输证228台。客运车辆年审513台次，审核换领旅游客运包车牌1.25万张;完成普货年审4448台，危货审验788台，办理电子运单19.78万条。举办客、危、出租车从业资格培训班32期，完成培训3171人，考核合格2435人。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 w:bidi="ar"/>
        </w:rPr>
        <w:t>解决中心城区“两客一危”企业日常巡查查摆隐患问题98个，整改98个，警示约谈企业负责人11次，安全巡查覆盖率100%，对全市14家涉铁企业32个道口开展“隐患清零”专项检查9次，整治铁路沿线安全隐患308处。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4、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项目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开展使得区域内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经济效益、社会效益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得以提升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，到年底完成全部项目的100%，资金拨付达到90%，完成项目验收率达到100%。区域内的铁路运输得到保障，为区域内经济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发展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创造了条件，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为当地带来较为良好的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生态效益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可持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续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影响当地经济发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展，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社会公众的满意度非常高。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jc w:val="both"/>
        <w:textAlignment w:val="auto"/>
        <w:rPr>
          <w:rFonts w:hint="default" w:ascii="Times New Roman" w:hAnsi="Times New Roman" w:eastAsia="黑体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黑体" w:cs="Times New Roman"/>
          <w:sz w:val="32"/>
          <w:szCs w:val="32"/>
          <w:highlight w:val="none"/>
        </w:rPr>
        <w:t>七、存在的问题及原因分析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缺乏明确的绩效评价指标，难以量化和细化，评价标准过于抽象，不易理解和执行；缺乏有效的预算执行监督机制。原因一是没有加强预算执行监督，提高财务透明度，二是没有简化绩效管理流程，没有优化跨部门协作，财务管理的信息化水平有待提高。</w:t>
      </w:r>
    </w:p>
    <w:p>
      <w:pPr>
        <w:keepNext w:val="0"/>
        <w:keepLines w:val="0"/>
        <w:pageBreakBefore w:val="0"/>
        <w:widowControl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jc w:val="both"/>
        <w:textAlignment w:val="auto"/>
        <w:rPr>
          <w:rFonts w:hint="default" w:ascii="Times New Roman" w:hAnsi="Times New Roman" w:eastAsia="黑体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黑体" w:cs="Times New Roman"/>
          <w:sz w:val="32"/>
          <w:szCs w:val="32"/>
          <w:highlight w:val="none"/>
        </w:rPr>
        <w:t>下一步改进措施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黑体" w:cs="Times New Roman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</w:rPr>
        <w:t>进一步促进和完善财务管理制度及内部控制，加强预算管理、严格预算执行，严格按照财政预算标准支付各项费用。加强日常</w:t>
      </w:r>
      <w:r>
        <w:rPr>
          <w:rFonts w:hint="eastAsia" w:eastAsia="仿宋" w:cs="仿宋"/>
          <w:sz w:val="32"/>
          <w:szCs w:val="32"/>
          <w:lang w:eastAsia="zh-CN"/>
        </w:rPr>
        <w:t>铁路监管</w:t>
      </w:r>
      <w:r>
        <w:rPr>
          <w:rFonts w:hint="eastAsia" w:ascii="仿宋" w:hAnsi="仿宋" w:eastAsia="仿宋" w:cs="仿宋"/>
          <w:sz w:val="32"/>
          <w:szCs w:val="32"/>
        </w:rPr>
        <w:t>的巡查力度，稳步提升</w:t>
      </w:r>
      <w:r>
        <w:rPr>
          <w:rFonts w:hint="eastAsia" w:eastAsia="仿宋" w:cs="仿宋"/>
          <w:sz w:val="32"/>
          <w:szCs w:val="32"/>
          <w:lang w:eastAsia="zh-CN"/>
        </w:rPr>
        <w:t>铁路交通运力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keepNext w:val="0"/>
        <w:keepLines w:val="0"/>
        <w:pageBreakBefore w:val="0"/>
        <w:widowControl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黑体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黑体" w:cs="Times New Roman"/>
          <w:sz w:val="32"/>
          <w:szCs w:val="32"/>
          <w:highlight w:val="none"/>
        </w:rPr>
        <w:t>部门整体支出绩效自评结果拟应用和公开情况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202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年本单位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根据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年初工作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计划与目标管理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，围绕市委、市政府以及省局的工作部署，积极履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职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，强化管理，较好地完成了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当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年工作目标，同时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严格执行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预算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制度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管理，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完善内控制度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，提升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单位整体支出效率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。在规定时限内对202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年部门整体支出绩效自评报告在岳阳市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交通运输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局门户网站进行公开。</w:t>
      </w:r>
    </w:p>
    <w:p>
      <w:pPr>
        <w:spacing w:line="560" w:lineRule="exact"/>
        <w:ind w:firstLine="640" w:firstLineChars="200"/>
        <w:rPr>
          <w:rFonts w:hint="eastAsia" w:eastAsia="仿宋" w:cs="仿宋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both"/>
        <w:textAlignment w:val="auto"/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Arial Unicode MS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77A59DE"/>
    <w:multiLevelType w:val="singleLevel"/>
    <w:tmpl w:val="877A59DE"/>
    <w:lvl w:ilvl="0" w:tentative="0">
      <w:start w:val="8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E44A13B8"/>
    <w:multiLevelType w:val="singleLevel"/>
    <w:tmpl w:val="E44A13B8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2">
    <w:nsid w:val="F251FBCE"/>
    <w:multiLevelType w:val="singleLevel"/>
    <w:tmpl w:val="F251FBCE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3">
    <w:nsid w:val="579A2A67"/>
    <w:multiLevelType w:val="singleLevel"/>
    <w:tmpl w:val="579A2A67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abstractNum w:abstractNumId="4">
    <w:nsid w:val="5F994676"/>
    <w:multiLevelType w:val="singleLevel"/>
    <w:tmpl w:val="5F994676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M5NGFkMDMyYjJlMTAzMmJlNzRlMjFjYzM1ZGE5YWUifQ=="/>
  </w:docVars>
  <w:rsids>
    <w:rsidRoot w:val="389728E6"/>
    <w:rsid w:val="281D62A2"/>
    <w:rsid w:val="389728E6"/>
    <w:rsid w:val="3F4F55FF"/>
    <w:rsid w:val="59F55223"/>
    <w:rsid w:val="60DA4050"/>
    <w:rsid w:val="62E6391C"/>
    <w:rsid w:val="7C6A2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qFormat="1" w:unhideWhenUsed="0" w:uiPriority="99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仿宋" w:hAnsi="仿宋" w:eastAsia="宋体" w:cs="Times New Roman"/>
      <w:kern w:val="0"/>
      <w:sz w:val="28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a heading"/>
    <w:basedOn w:val="1"/>
    <w:next w:val="1"/>
    <w:qFormat/>
    <w:uiPriority w:val="99"/>
    <w:pPr>
      <w:spacing w:before="120" w:after="200" w:line="276" w:lineRule="auto"/>
    </w:pPr>
    <w:rPr>
      <w:rFonts w:ascii="Arial" w:hAnsi="Arial"/>
      <w:sz w:val="24"/>
    </w:rPr>
  </w:style>
  <w:style w:type="paragraph" w:styleId="5">
    <w:name w:val="List Paragraph"/>
    <w:basedOn w:val="1"/>
    <w:autoRedefine/>
    <w:qFormat/>
    <w:uiPriority w:val="99"/>
    <w:pPr>
      <w:ind w:firstLine="420" w:firstLineChars="200"/>
    </w:pPr>
    <w:rPr>
      <w:rFonts w:ascii="Calibri" w:hAnsi="Calibri"/>
      <w:szCs w:val="22"/>
    </w:rPr>
  </w:style>
  <w:style w:type="paragraph" w:customStyle="1" w:styleId="6">
    <w:name w:val="Default"/>
    <w:qFormat/>
    <w:uiPriority w:val="0"/>
    <w:pPr>
      <w:widowControl w:val="0"/>
      <w:autoSpaceDE w:val="0"/>
      <w:autoSpaceDN w:val="0"/>
      <w:adjustRightInd w:val="0"/>
    </w:pPr>
    <w:rPr>
      <w:rFonts w:ascii="黑体" w:hAnsi="Calibri" w:eastAsia="黑体" w:cs="黑体"/>
      <w:color w:val="000000"/>
      <w:kern w:val="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2024-06-26T02:12:00Z</dcterms:created>
  <dc:creator>张萌</dc:creator>
  <cp:lastModifiedBy>张萌</cp:lastModifiedBy>
  <dcterms:modified xsi:type="dcterms:W3CDTF">2024-07-04T02:42:26Z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CFFE1300DC064D3BA1622C45CEF34D3B_13</vt:lpwstr>
  </property>
</Properties>
</file>