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黑体" w:eastAsia="黑体" w:cs="宋体"/>
          <w:color w:val="auto"/>
          <w:kern w:val="0"/>
          <w:sz w:val="32"/>
          <w:highlight w:val="none"/>
        </w:rPr>
      </w:pPr>
      <w:r>
        <w:rPr>
          <w:rFonts w:hint="eastAsia" w:ascii="黑体" w:hAnsi="Times New Roman" w:eastAsia="黑体"/>
          <w:color w:val="auto"/>
          <w:kern w:val="0"/>
          <w:sz w:val="32"/>
          <w:highlight w:val="none"/>
        </w:rPr>
        <w:t>附件2</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color w:val="auto"/>
          <w:kern w:val="0"/>
          <w:sz w:val="44"/>
          <w:szCs w:val="44"/>
          <w:highlight w:val="none"/>
        </w:rPr>
      </w:pPr>
      <w:r>
        <w:rPr>
          <w:rFonts w:hint="eastAsia" w:ascii="方正小标宋_GBK" w:hAnsi="方正小标宋_GBK" w:eastAsia="方正小标宋_GBK" w:cs="方正小标宋_GBK"/>
          <w:b w:val="0"/>
          <w:bCs w:val="0"/>
          <w:color w:val="auto"/>
          <w:kern w:val="0"/>
          <w:sz w:val="44"/>
          <w:szCs w:val="44"/>
          <w:highlight w:val="none"/>
        </w:rPr>
        <w:t>综合评估法</w:t>
      </w:r>
    </w:p>
    <w:p>
      <w:pPr>
        <w:widowControl/>
        <w:shd w:val="clear" w:color="auto" w:fill="FFFFFF"/>
        <w:ind w:firstLine="640" w:firstLineChars="200"/>
        <w:rPr>
          <w:rFonts w:hint="eastAsia" w:ascii="黑体" w:hAnsi="Times New Roman" w:eastAsia="黑体"/>
          <w:color w:val="auto"/>
          <w:kern w:val="0"/>
          <w:sz w:val="32"/>
          <w:highlight w:val="none"/>
        </w:rPr>
      </w:pPr>
    </w:p>
    <w:p>
      <w:pPr>
        <w:widowControl/>
        <w:shd w:val="clear" w:color="auto" w:fill="FFFFFF"/>
        <w:ind w:firstLine="640" w:firstLineChars="200"/>
        <w:rPr>
          <w:rFonts w:ascii="黑体" w:eastAsia="黑体"/>
          <w:color w:val="auto"/>
          <w:kern w:val="0"/>
          <w:sz w:val="32"/>
          <w:szCs w:val="32"/>
          <w:highlight w:val="none"/>
        </w:rPr>
      </w:pPr>
      <w:r>
        <w:rPr>
          <w:rFonts w:hint="eastAsia" w:ascii="黑体" w:hAnsi="Times New Roman" w:eastAsia="黑体"/>
          <w:color w:val="auto"/>
          <w:kern w:val="0"/>
          <w:sz w:val="32"/>
          <w:highlight w:val="none"/>
        </w:rPr>
        <w:t>一、适用范围</w:t>
      </w:r>
    </w:p>
    <w:p>
      <w:pPr>
        <w:widowControl/>
        <w:shd w:val="clear" w:color="auto" w:fill="FFFFFF"/>
        <w:ind w:firstLine="640" w:firstLineChars="200"/>
        <w:rPr>
          <w:rFonts w:ascii="Times New Roman" w:hAnsi="Times New Roman" w:eastAsia="仿宋_GB2312"/>
          <w:color w:val="auto"/>
          <w:kern w:val="0"/>
          <w:sz w:val="32"/>
          <w:highlight w:val="none"/>
        </w:rPr>
      </w:pPr>
      <w:r>
        <w:rPr>
          <w:rFonts w:ascii="仿宋_GB2312" w:hAnsi="仿宋_GB2312" w:eastAsia="仿宋_GB2312"/>
          <w:color w:val="auto"/>
          <w:kern w:val="0"/>
          <w:sz w:val="32"/>
          <w:highlight w:val="none"/>
        </w:rPr>
        <w:t>（一）符合下列情形之一的，</w:t>
      </w:r>
      <w:r>
        <w:rPr>
          <w:rFonts w:ascii="仿宋_GB2312" w:hAnsi="仿宋_GB2312" w:eastAsia="仿宋_GB2312"/>
          <w:color w:val="0000FF"/>
          <w:kern w:val="0"/>
          <w:sz w:val="32"/>
          <w:highlight w:val="none"/>
        </w:rPr>
        <w:t>可以</w:t>
      </w:r>
      <w:r>
        <w:rPr>
          <w:rFonts w:ascii="仿宋_GB2312" w:hAnsi="仿宋_GB2312" w:eastAsia="仿宋_GB2312"/>
          <w:color w:val="auto"/>
          <w:kern w:val="0"/>
          <w:sz w:val="32"/>
          <w:highlight w:val="none"/>
        </w:rPr>
        <w:t>采用综合评估法：</w:t>
      </w:r>
    </w:p>
    <w:p>
      <w:pPr>
        <w:widowControl/>
        <w:shd w:val="clear" w:color="auto" w:fill="FFFFFF"/>
        <w:ind w:firstLine="640" w:firstLineChars="200"/>
        <w:rPr>
          <w:rFonts w:ascii="Times New Roman" w:hAnsi="Times New Roman" w:eastAsia="仿宋_GB2312"/>
          <w:color w:val="0000FF"/>
          <w:kern w:val="0"/>
          <w:sz w:val="32"/>
          <w:highlight w:val="none"/>
        </w:rPr>
      </w:pPr>
      <w:r>
        <w:rPr>
          <w:rFonts w:ascii="Times New Roman" w:hAnsi="Times New Roman" w:eastAsia="仿宋_GB2312"/>
          <w:color w:val="auto"/>
          <w:kern w:val="0"/>
          <w:sz w:val="32"/>
          <w:highlight w:val="none"/>
        </w:rPr>
        <w:t xml:space="preserve">1. </w:t>
      </w:r>
      <w:r>
        <w:rPr>
          <w:rFonts w:ascii="仿宋_GB2312" w:hAnsi="仿宋_GB2312" w:eastAsia="仿宋_GB2312"/>
          <w:color w:val="auto"/>
          <w:kern w:val="0"/>
          <w:sz w:val="32"/>
          <w:highlight w:val="none"/>
        </w:rPr>
        <w:t>施工总承包</w:t>
      </w:r>
      <w:r>
        <w:rPr>
          <w:rFonts w:hint="eastAsia" w:ascii="仿宋_GB2312" w:hAnsi="Times New Roman" w:eastAsia="仿宋_GB2312"/>
          <w:color w:val="auto"/>
          <w:kern w:val="0"/>
          <w:sz w:val="32"/>
          <w:highlight w:val="none"/>
        </w:rPr>
        <w:t>工程</w:t>
      </w:r>
      <w:r>
        <w:rPr>
          <w:rFonts w:ascii="仿宋_GB2312" w:hAnsi="仿宋_GB2312" w:eastAsia="仿宋_GB2312"/>
          <w:color w:val="0000FF"/>
          <w:kern w:val="0"/>
          <w:sz w:val="32"/>
          <w:highlight w:val="none"/>
        </w:rPr>
        <w:t>单项最高投标限价</w:t>
      </w:r>
      <w:r>
        <w:rPr>
          <w:rFonts w:hint="eastAsia" w:ascii="仿宋_GB2312" w:hAnsi="Times New Roman" w:eastAsia="仿宋_GB2312"/>
          <w:color w:val="auto"/>
          <w:kern w:val="0"/>
          <w:sz w:val="32"/>
          <w:highlight w:val="none"/>
        </w:rPr>
        <w:t>超过</w:t>
      </w:r>
      <w:r>
        <w:rPr>
          <w:rFonts w:ascii="Times New Roman" w:hAnsi="Times New Roman" w:eastAsia="仿宋_GB2312"/>
          <w:color w:val="auto"/>
          <w:kern w:val="0"/>
          <w:sz w:val="32"/>
          <w:highlight w:val="none"/>
        </w:rPr>
        <w:t>2000</w:t>
      </w:r>
      <w:r>
        <w:rPr>
          <w:rFonts w:ascii="仿宋_GB2312" w:hAnsi="仿宋_GB2312" w:eastAsia="仿宋_GB2312"/>
          <w:color w:val="auto"/>
          <w:kern w:val="0"/>
          <w:sz w:val="32"/>
          <w:highlight w:val="none"/>
        </w:rPr>
        <w:t>万元</w:t>
      </w:r>
      <w:r>
        <w:rPr>
          <w:rFonts w:hint="eastAsia" w:ascii="仿宋_GB2312" w:hAnsi="仿宋_GB2312" w:eastAsia="仿宋_GB2312"/>
          <w:color w:val="auto"/>
          <w:kern w:val="0"/>
          <w:sz w:val="32"/>
          <w:highlight w:val="none"/>
        </w:rPr>
        <w:t>，</w:t>
      </w:r>
      <w:r>
        <w:rPr>
          <w:rFonts w:hint="eastAsia" w:ascii="仿宋_GB2312" w:hAnsi="仿宋_GB2312" w:eastAsia="仿宋_GB2312"/>
          <w:color w:val="0000FF"/>
          <w:kern w:val="0"/>
          <w:sz w:val="32"/>
          <w:highlight w:val="none"/>
        </w:rPr>
        <w:t>但在</w:t>
      </w:r>
      <w:r>
        <w:rPr>
          <w:rFonts w:ascii="Times New Roman" w:hAnsi="Times New Roman" w:eastAsia="仿宋_GB2312"/>
          <w:color w:val="0000FF"/>
          <w:kern w:val="0"/>
          <w:sz w:val="32"/>
          <w:highlight w:val="none"/>
        </w:rPr>
        <w:t>5000</w:t>
      </w:r>
      <w:r>
        <w:rPr>
          <w:rFonts w:ascii="仿宋_GB2312" w:hAnsi="仿宋_GB2312" w:eastAsia="仿宋_GB2312"/>
          <w:color w:val="0000FF"/>
          <w:kern w:val="0"/>
          <w:sz w:val="32"/>
          <w:highlight w:val="none"/>
        </w:rPr>
        <w:t>万元以下的；</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 xml:space="preserve">2. </w:t>
      </w:r>
      <w:r>
        <w:rPr>
          <w:rFonts w:ascii="仿宋_GB2312" w:hAnsi="仿宋_GB2312" w:eastAsia="仿宋_GB2312"/>
          <w:color w:val="auto"/>
          <w:kern w:val="0"/>
          <w:sz w:val="32"/>
          <w:highlight w:val="none"/>
        </w:rPr>
        <w:t>专业承包</w:t>
      </w:r>
      <w:r>
        <w:rPr>
          <w:rFonts w:hint="eastAsia" w:ascii="仿宋_GB2312" w:hAnsi="Times New Roman" w:eastAsia="仿宋_GB2312"/>
          <w:color w:val="auto"/>
          <w:kern w:val="0"/>
          <w:sz w:val="32"/>
          <w:highlight w:val="none"/>
        </w:rPr>
        <w:t>工程</w:t>
      </w:r>
      <w:r>
        <w:rPr>
          <w:rFonts w:ascii="仿宋_GB2312" w:hAnsi="仿宋_GB2312" w:eastAsia="仿宋_GB2312"/>
          <w:color w:val="auto"/>
          <w:kern w:val="0"/>
          <w:sz w:val="32"/>
          <w:highlight w:val="none"/>
        </w:rPr>
        <w:t>单项最高投标限价</w:t>
      </w:r>
      <w:r>
        <w:rPr>
          <w:rFonts w:hint="eastAsia" w:ascii="仿宋_GB2312" w:hAnsi="Times New Roman" w:eastAsia="仿宋_GB2312"/>
          <w:color w:val="auto"/>
          <w:kern w:val="0"/>
          <w:sz w:val="32"/>
          <w:highlight w:val="none"/>
        </w:rPr>
        <w:t>超过</w:t>
      </w:r>
      <w:r>
        <w:rPr>
          <w:rFonts w:ascii="Times New Roman" w:hAnsi="Times New Roman" w:eastAsia="仿宋_GB2312"/>
          <w:color w:val="auto"/>
          <w:kern w:val="0"/>
          <w:sz w:val="32"/>
          <w:highlight w:val="none"/>
        </w:rPr>
        <w:t>800</w:t>
      </w:r>
      <w:r>
        <w:rPr>
          <w:rFonts w:ascii="仿宋_GB2312" w:hAnsi="仿宋_GB2312" w:eastAsia="仿宋_GB2312"/>
          <w:color w:val="auto"/>
          <w:kern w:val="0"/>
          <w:sz w:val="32"/>
          <w:highlight w:val="none"/>
        </w:rPr>
        <w:t>万元</w:t>
      </w:r>
      <w:r>
        <w:rPr>
          <w:rFonts w:hint="eastAsia" w:ascii="仿宋_GB2312" w:hAnsi="仿宋_GB2312" w:eastAsia="仿宋_GB2312"/>
          <w:color w:val="auto"/>
          <w:kern w:val="0"/>
          <w:sz w:val="32"/>
          <w:highlight w:val="none"/>
        </w:rPr>
        <w:t>，但在</w:t>
      </w:r>
      <w:r>
        <w:rPr>
          <w:rFonts w:ascii="Times New Roman" w:hAnsi="Times New Roman" w:eastAsia="仿宋_GB2312"/>
          <w:color w:val="auto"/>
          <w:kern w:val="0"/>
          <w:sz w:val="32"/>
          <w:highlight w:val="none"/>
        </w:rPr>
        <w:t>1500</w:t>
      </w:r>
      <w:r>
        <w:rPr>
          <w:rFonts w:ascii="仿宋_GB2312" w:hAnsi="仿宋_GB2312" w:eastAsia="仿宋_GB2312"/>
          <w:color w:val="auto"/>
          <w:kern w:val="0"/>
          <w:sz w:val="32"/>
          <w:highlight w:val="none"/>
        </w:rPr>
        <w:t>万元以下的。</w:t>
      </w:r>
    </w:p>
    <w:p>
      <w:pPr>
        <w:widowControl/>
        <w:shd w:val="clear" w:color="auto" w:fill="FFFFFF"/>
        <w:ind w:firstLine="640" w:firstLineChars="200"/>
        <w:rPr>
          <w:rFonts w:ascii="Times New Roman" w:hAnsi="Times New Roman" w:eastAsia="仿宋_GB2312"/>
          <w:color w:val="auto"/>
          <w:kern w:val="0"/>
          <w:sz w:val="32"/>
          <w:highlight w:val="none"/>
        </w:rPr>
      </w:pPr>
      <w:r>
        <w:rPr>
          <w:rFonts w:ascii="仿宋_GB2312" w:hAnsi="仿宋_GB2312" w:eastAsia="仿宋_GB2312"/>
          <w:color w:val="auto"/>
          <w:kern w:val="0"/>
          <w:sz w:val="32"/>
          <w:highlight w:val="none"/>
        </w:rPr>
        <w:t>（二）符合下列情形之一的，</w:t>
      </w:r>
      <w:r>
        <w:rPr>
          <w:rFonts w:hint="eastAsia" w:ascii="仿宋_GB2312" w:hAnsi="仿宋_GB2312" w:eastAsia="仿宋_GB2312"/>
          <w:color w:val="0000FF"/>
          <w:kern w:val="0"/>
          <w:sz w:val="32"/>
          <w:highlight w:val="none"/>
        </w:rPr>
        <w:t>原则上</w:t>
      </w:r>
      <w:r>
        <w:rPr>
          <w:rFonts w:ascii="仿宋_GB2312" w:hAnsi="仿宋_GB2312" w:eastAsia="仿宋_GB2312"/>
          <w:color w:val="0000FF"/>
          <w:kern w:val="0"/>
          <w:sz w:val="32"/>
          <w:highlight w:val="none"/>
        </w:rPr>
        <w:t>采用</w:t>
      </w:r>
      <w:r>
        <w:rPr>
          <w:rFonts w:ascii="仿宋_GB2312" w:hAnsi="仿宋_GB2312" w:eastAsia="仿宋_GB2312"/>
          <w:color w:val="auto"/>
          <w:kern w:val="0"/>
          <w:sz w:val="32"/>
          <w:highlight w:val="none"/>
        </w:rPr>
        <w:t>综合评估法：</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1</w:t>
      </w:r>
      <w:r>
        <w:rPr>
          <w:rFonts w:ascii="仿宋_GB2312" w:hAnsi="仿宋_GB2312" w:eastAsia="仿宋_GB2312"/>
          <w:color w:val="auto"/>
          <w:kern w:val="0"/>
          <w:sz w:val="32"/>
          <w:highlight w:val="none"/>
        </w:rPr>
        <w:t>．施工总承包</w:t>
      </w:r>
      <w:r>
        <w:rPr>
          <w:rFonts w:hint="eastAsia" w:ascii="仿宋_GB2312" w:hAnsi="Times New Roman" w:eastAsia="仿宋_GB2312"/>
          <w:color w:val="auto"/>
          <w:kern w:val="0"/>
          <w:sz w:val="32"/>
          <w:highlight w:val="none"/>
        </w:rPr>
        <w:t>工程</w:t>
      </w:r>
      <w:r>
        <w:rPr>
          <w:rFonts w:ascii="仿宋_GB2312" w:hAnsi="仿宋_GB2312" w:eastAsia="仿宋_GB2312"/>
          <w:color w:val="0000FF"/>
          <w:kern w:val="0"/>
          <w:sz w:val="32"/>
          <w:highlight w:val="none"/>
        </w:rPr>
        <w:t>单项最高投标限价</w:t>
      </w:r>
      <w:r>
        <w:rPr>
          <w:rFonts w:hint="eastAsia" w:ascii="仿宋_GB2312" w:hAnsi="Times New Roman" w:eastAsia="仿宋_GB2312"/>
          <w:color w:val="0000FF"/>
          <w:kern w:val="0"/>
          <w:sz w:val="32"/>
          <w:highlight w:val="none"/>
        </w:rPr>
        <w:t>超过</w:t>
      </w:r>
      <w:r>
        <w:rPr>
          <w:rFonts w:ascii="Times New Roman" w:hAnsi="Times New Roman" w:eastAsia="仿宋_GB2312"/>
          <w:color w:val="0000FF"/>
          <w:kern w:val="0"/>
          <w:sz w:val="32"/>
          <w:highlight w:val="none"/>
        </w:rPr>
        <w:t>5000</w:t>
      </w:r>
      <w:r>
        <w:rPr>
          <w:rFonts w:ascii="仿宋_GB2312" w:hAnsi="仿宋_GB2312" w:eastAsia="仿宋_GB2312"/>
          <w:color w:val="0000FF"/>
          <w:kern w:val="0"/>
          <w:sz w:val="32"/>
          <w:highlight w:val="none"/>
        </w:rPr>
        <w:t>万元的</w:t>
      </w:r>
      <w:r>
        <w:rPr>
          <w:rFonts w:ascii="仿宋_GB2312" w:hAnsi="仿宋_GB2312" w:eastAsia="仿宋_GB2312"/>
          <w:color w:val="auto"/>
          <w:kern w:val="0"/>
          <w:sz w:val="32"/>
          <w:highlight w:val="none"/>
        </w:rPr>
        <w:t>；</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2</w:t>
      </w:r>
      <w:r>
        <w:rPr>
          <w:rFonts w:ascii="仿宋_GB2312" w:hAnsi="仿宋_GB2312" w:eastAsia="仿宋_GB2312"/>
          <w:color w:val="auto"/>
          <w:kern w:val="0"/>
          <w:sz w:val="32"/>
          <w:highlight w:val="none"/>
        </w:rPr>
        <w:t>．专业承包</w:t>
      </w:r>
      <w:r>
        <w:rPr>
          <w:rFonts w:hint="eastAsia" w:ascii="仿宋_GB2312" w:hAnsi="Times New Roman" w:eastAsia="仿宋_GB2312"/>
          <w:color w:val="auto"/>
          <w:kern w:val="0"/>
          <w:sz w:val="32"/>
          <w:highlight w:val="none"/>
        </w:rPr>
        <w:t>工程</w:t>
      </w:r>
      <w:r>
        <w:rPr>
          <w:rFonts w:ascii="仿宋_GB2312" w:hAnsi="仿宋_GB2312" w:eastAsia="仿宋_GB2312"/>
          <w:color w:val="auto"/>
          <w:kern w:val="0"/>
          <w:sz w:val="32"/>
          <w:highlight w:val="none"/>
        </w:rPr>
        <w:t>单项最高投标限价</w:t>
      </w:r>
      <w:r>
        <w:rPr>
          <w:rFonts w:hint="eastAsia" w:ascii="仿宋_GB2312" w:hAnsi="Times New Roman" w:eastAsia="仿宋_GB2312"/>
          <w:color w:val="auto"/>
          <w:kern w:val="0"/>
          <w:sz w:val="32"/>
          <w:highlight w:val="none"/>
        </w:rPr>
        <w:t>超过</w:t>
      </w:r>
      <w:r>
        <w:rPr>
          <w:rFonts w:ascii="Times New Roman" w:hAnsi="Times New Roman" w:eastAsia="仿宋_GB2312"/>
          <w:color w:val="auto"/>
          <w:kern w:val="0"/>
          <w:sz w:val="32"/>
          <w:highlight w:val="none"/>
        </w:rPr>
        <w:t>1500</w:t>
      </w:r>
      <w:r>
        <w:rPr>
          <w:rFonts w:ascii="仿宋_GB2312" w:hAnsi="仿宋_GB2312" w:eastAsia="仿宋_GB2312"/>
          <w:color w:val="auto"/>
          <w:kern w:val="0"/>
          <w:sz w:val="32"/>
          <w:highlight w:val="none"/>
        </w:rPr>
        <w:t>万元的。</w:t>
      </w:r>
    </w:p>
    <w:p>
      <w:pPr>
        <w:widowControl/>
        <w:shd w:val="clear" w:color="auto" w:fill="FFFFFF"/>
        <w:ind w:firstLine="640" w:firstLineChars="200"/>
        <w:rPr>
          <w:rFonts w:ascii="Times New Roman" w:hAnsi="Times New Roman" w:eastAsia="仿宋_GB2312"/>
          <w:color w:val="auto"/>
          <w:kern w:val="0"/>
          <w:sz w:val="32"/>
          <w:highlight w:val="none"/>
        </w:rPr>
      </w:pPr>
      <w:r>
        <w:rPr>
          <w:rFonts w:ascii="仿宋_GB2312" w:hAnsi="仿宋_GB2312" w:eastAsia="仿宋_GB2312"/>
          <w:color w:val="auto"/>
          <w:kern w:val="0"/>
          <w:sz w:val="32"/>
          <w:highlight w:val="none"/>
        </w:rPr>
        <w:t>（三）经批准的其他项目。</w:t>
      </w:r>
    </w:p>
    <w:p>
      <w:pPr>
        <w:widowControl/>
        <w:shd w:val="clear" w:color="auto" w:fill="FFFFFF"/>
        <w:ind w:firstLine="640" w:firstLineChars="200"/>
        <w:rPr>
          <w:rFonts w:ascii="黑体" w:hAnsi="Times New Roman" w:eastAsia="黑体"/>
          <w:color w:val="auto"/>
          <w:kern w:val="0"/>
          <w:sz w:val="32"/>
          <w:highlight w:val="none"/>
        </w:rPr>
      </w:pPr>
      <w:r>
        <w:rPr>
          <w:rFonts w:hint="eastAsia" w:ascii="黑体" w:hAnsi="Times New Roman" w:eastAsia="黑体"/>
          <w:color w:val="auto"/>
          <w:kern w:val="0"/>
          <w:sz w:val="32"/>
          <w:highlight w:val="none"/>
        </w:rPr>
        <w:t>二、评审程序</w:t>
      </w:r>
    </w:p>
    <w:p>
      <w:pPr>
        <w:shd w:val="clear" w:color="auto" w:fill="FFFFFF"/>
        <w:ind w:firstLine="640" w:firstLineChars="200"/>
        <w:rPr>
          <w:rFonts w:ascii="Times New Roman" w:hAnsi="Times New Roman" w:eastAsia="仿宋_GB2312"/>
          <w:bCs/>
          <w:color w:val="auto"/>
          <w:kern w:val="0"/>
          <w:sz w:val="32"/>
          <w:szCs w:val="32"/>
          <w:highlight w:val="none"/>
        </w:rPr>
      </w:pPr>
      <w:r>
        <w:rPr>
          <w:rFonts w:ascii="Times New Roman" w:hAnsi="Times New Roman" w:eastAsia="仿宋_GB2312"/>
          <w:bCs/>
          <w:color w:val="auto"/>
          <w:kern w:val="0"/>
          <w:sz w:val="32"/>
          <w:szCs w:val="32"/>
          <w:highlight w:val="none"/>
        </w:rPr>
        <w:t>评审程序如下：</w:t>
      </w:r>
    </w:p>
    <w:p>
      <w:pPr>
        <w:shd w:val="clear" w:color="auto" w:fill="FFFFFF"/>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1．施工组织设计</w:t>
      </w:r>
      <w:r>
        <w:rPr>
          <w:rFonts w:ascii="Times New Roman" w:hAnsi="Times New Roman" w:eastAsia="仿宋_GB2312"/>
          <w:color w:val="auto"/>
          <w:kern w:val="0"/>
          <w:sz w:val="32"/>
          <w:szCs w:val="32"/>
          <w:highlight w:val="none"/>
        </w:rPr>
        <w:t>评审。</w:t>
      </w:r>
      <w:r>
        <w:rPr>
          <w:rFonts w:hint="eastAsia" w:ascii="Times New Roman" w:hAnsi="Times New Roman" w:eastAsia="仿宋_GB2312"/>
          <w:color w:val="auto"/>
          <w:kern w:val="0"/>
          <w:sz w:val="32"/>
          <w:szCs w:val="32"/>
          <w:highlight w:val="none"/>
        </w:rPr>
        <w:t>按照本</w:t>
      </w:r>
      <w:r>
        <w:rPr>
          <w:rFonts w:hint="eastAsia" w:ascii="Times New Roman" w:hAnsi="Times New Roman" w:eastAsia="仿宋_GB2312"/>
          <w:color w:val="auto"/>
          <w:kern w:val="0"/>
          <w:sz w:val="32"/>
          <w:szCs w:val="32"/>
          <w:highlight w:val="none"/>
          <w:lang w:eastAsia="zh-CN"/>
        </w:rPr>
        <w:t>暂行办法</w:t>
      </w:r>
      <w:r>
        <w:rPr>
          <w:rFonts w:hint="eastAsia" w:ascii="Times New Roman" w:hAnsi="Times New Roman" w:eastAsia="仿宋_GB2312"/>
          <w:color w:val="auto"/>
          <w:kern w:val="0"/>
          <w:sz w:val="32"/>
          <w:szCs w:val="32"/>
          <w:highlight w:val="none"/>
        </w:rPr>
        <w:t>第</w:t>
      </w:r>
      <w:r>
        <w:rPr>
          <w:rFonts w:hint="eastAsia" w:ascii="Times New Roman" w:hAnsi="Times New Roman" w:eastAsia="仿宋_GB2312"/>
          <w:color w:val="auto"/>
          <w:kern w:val="0"/>
          <w:sz w:val="32"/>
          <w:szCs w:val="32"/>
          <w:highlight w:val="none"/>
          <w:lang w:val="en-US" w:eastAsia="zh-CN"/>
        </w:rPr>
        <w:t>十六</w:t>
      </w:r>
      <w:r>
        <w:rPr>
          <w:rFonts w:hint="eastAsia" w:ascii="Times New Roman" w:hAnsi="Times New Roman" w:eastAsia="仿宋_GB2312"/>
          <w:color w:val="auto"/>
          <w:kern w:val="0"/>
          <w:sz w:val="32"/>
          <w:szCs w:val="32"/>
          <w:highlight w:val="none"/>
        </w:rPr>
        <w:t>条以及</w:t>
      </w:r>
      <w:r>
        <w:rPr>
          <w:rFonts w:ascii="Times New Roman" w:hAnsi="Times New Roman" w:eastAsia="仿宋_GB2312"/>
          <w:color w:val="auto"/>
          <w:kern w:val="0"/>
          <w:sz w:val="32"/>
          <w:szCs w:val="32"/>
          <w:highlight w:val="none"/>
        </w:rPr>
        <w:t>相关评审表格和招标文件</w:t>
      </w:r>
      <w:r>
        <w:rPr>
          <w:rFonts w:hint="eastAsia" w:ascii="Times New Roman" w:hAnsi="Times New Roman" w:eastAsia="仿宋_GB2312"/>
          <w:color w:val="auto"/>
          <w:kern w:val="0"/>
          <w:sz w:val="32"/>
          <w:szCs w:val="32"/>
          <w:highlight w:val="none"/>
          <w:lang w:eastAsia="zh-CN"/>
        </w:rPr>
        <w:t>的规定</w:t>
      </w:r>
      <w:r>
        <w:rPr>
          <w:rFonts w:ascii="Times New Roman" w:hAnsi="Times New Roman" w:eastAsia="仿宋_GB2312"/>
          <w:color w:val="auto"/>
          <w:kern w:val="0"/>
          <w:sz w:val="32"/>
          <w:szCs w:val="32"/>
          <w:highlight w:val="none"/>
        </w:rPr>
        <w:t>进行评审。</w:t>
      </w:r>
    </w:p>
    <w:p>
      <w:pPr>
        <w:shd w:val="clear" w:color="auto" w:fill="FFFFFF"/>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2．</w:t>
      </w:r>
      <w:r>
        <w:rPr>
          <w:rFonts w:ascii="Times New Roman" w:hAnsi="Times New Roman" w:eastAsia="仿宋_GB2312"/>
          <w:color w:val="auto"/>
          <w:kern w:val="0"/>
          <w:sz w:val="32"/>
          <w:szCs w:val="32"/>
          <w:highlight w:val="none"/>
        </w:rPr>
        <w:t>按照本</w:t>
      </w:r>
      <w:r>
        <w:rPr>
          <w:rFonts w:hint="eastAsia" w:ascii="Times New Roman" w:hAnsi="Times New Roman" w:eastAsia="仿宋_GB2312"/>
          <w:color w:val="auto"/>
          <w:kern w:val="0"/>
          <w:sz w:val="32"/>
          <w:szCs w:val="32"/>
          <w:highlight w:val="none"/>
          <w:lang w:eastAsia="zh-CN"/>
        </w:rPr>
        <w:t>暂行办法</w:t>
      </w:r>
      <w:r>
        <w:rPr>
          <w:rFonts w:ascii="Times New Roman" w:hAnsi="Times New Roman" w:eastAsia="仿宋_GB2312"/>
          <w:color w:val="auto"/>
          <w:kern w:val="0"/>
          <w:sz w:val="32"/>
          <w:szCs w:val="32"/>
          <w:highlight w:val="none"/>
        </w:rPr>
        <w:t>第十</w:t>
      </w:r>
      <w:r>
        <w:rPr>
          <w:rFonts w:hint="eastAsia" w:ascii="Times New Roman" w:hAnsi="Times New Roman" w:eastAsia="仿宋_GB2312"/>
          <w:color w:val="auto"/>
          <w:kern w:val="0"/>
          <w:sz w:val="32"/>
          <w:szCs w:val="32"/>
          <w:highlight w:val="none"/>
        </w:rPr>
        <w:t>二</w:t>
      </w:r>
      <w:r>
        <w:rPr>
          <w:rFonts w:ascii="Times New Roman" w:hAnsi="Times New Roman" w:eastAsia="仿宋_GB2312"/>
          <w:color w:val="auto"/>
          <w:kern w:val="0"/>
          <w:sz w:val="32"/>
          <w:szCs w:val="32"/>
          <w:highlight w:val="none"/>
        </w:rPr>
        <w:t>条至</w:t>
      </w:r>
      <w:r>
        <w:rPr>
          <w:rFonts w:hint="eastAsia" w:ascii="Times New Roman" w:hAnsi="Times New Roman" w:eastAsia="仿宋_GB2312"/>
          <w:color w:val="auto"/>
          <w:kern w:val="0"/>
          <w:sz w:val="32"/>
          <w:szCs w:val="32"/>
          <w:highlight w:val="none"/>
        </w:rPr>
        <w:t>第十四</w:t>
      </w:r>
      <w:r>
        <w:rPr>
          <w:rFonts w:ascii="Times New Roman" w:hAnsi="Times New Roman" w:eastAsia="仿宋_GB2312"/>
          <w:color w:val="auto"/>
          <w:kern w:val="0"/>
          <w:sz w:val="32"/>
          <w:szCs w:val="32"/>
          <w:highlight w:val="none"/>
        </w:rPr>
        <w:t>条以及招标文件规定，对投标文件的形式、投标人资格和实质性响应招标文件情况进行评审。对不符合相关规定和要求的投标文件予以否决。</w:t>
      </w:r>
    </w:p>
    <w:p>
      <w:pPr>
        <w:shd w:val="clear" w:color="auto" w:fill="FFFFFF"/>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3.</w:t>
      </w:r>
      <w:r>
        <w:rPr>
          <w:rFonts w:ascii="Times New Roman" w:hAnsi="Times New Roman" w:eastAsia="仿宋_GB2312"/>
          <w:color w:val="auto"/>
          <w:kern w:val="0"/>
          <w:sz w:val="32"/>
          <w:szCs w:val="32"/>
          <w:highlight w:val="none"/>
        </w:rPr>
        <w:t>企业资信及履约能力评审。按照本</w:t>
      </w:r>
      <w:r>
        <w:rPr>
          <w:rFonts w:hint="eastAsia" w:ascii="Times New Roman" w:hAnsi="Times New Roman" w:eastAsia="仿宋_GB2312"/>
          <w:color w:val="auto"/>
          <w:kern w:val="0"/>
          <w:sz w:val="32"/>
          <w:szCs w:val="32"/>
          <w:highlight w:val="none"/>
          <w:lang w:eastAsia="zh-CN"/>
        </w:rPr>
        <w:t>暂行办法</w:t>
      </w:r>
      <w:r>
        <w:rPr>
          <w:rFonts w:ascii="Times New Roman" w:hAnsi="Times New Roman" w:eastAsia="仿宋_GB2312"/>
          <w:color w:val="auto"/>
          <w:kern w:val="0"/>
          <w:sz w:val="32"/>
          <w:szCs w:val="32"/>
          <w:highlight w:val="none"/>
        </w:rPr>
        <w:t>第</w:t>
      </w:r>
      <w:r>
        <w:rPr>
          <w:rFonts w:hint="eastAsia" w:ascii="Times New Roman" w:hAnsi="Times New Roman" w:eastAsia="仿宋_GB2312"/>
          <w:color w:val="auto"/>
          <w:kern w:val="0"/>
          <w:sz w:val="32"/>
          <w:szCs w:val="32"/>
          <w:highlight w:val="none"/>
          <w:lang w:val="en-US" w:eastAsia="zh-CN"/>
        </w:rPr>
        <w:t>十七</w:t>
      </w:r>
      <w:r>
        <w:rPr>
          <w:rFonts w:ascii="Times New Roman" w:hAnsi="Times New Roman" w:eastAsia="仿宋_GB2312"/>
          <w:color w:val="auto"/>
          <w:kern w:val="0"/>
          <w:sz w:val="32"/>
          <w:szCs w:val="32"/>
          <w:highlight w:val="none"/>
        </w:rPr>
        <w:t>条以及相关评审表格和招标文件</w:t>
      </w:r>
      <w:r>
        <w:rPr>
          <w:rFonts w:hint="eastAsia" w:ascii="Times New Roman" w:hAnsi="Times New Roman" w:eastAsia="仿宋_GB2312"/>
          <w:color w:val="auto"/>
          <w:kern w:val="0"/>
          <w:sz w:val="32"/>
          <w:szCs w:val="32"/>
          <w:highlight w:val="none"/>
          <w:lang w:eastAsia="zh-CN"/>
        </w:rPr>
        <w:t>的规定</w:t>
      </w:r>
      <w:r>
        <w:rPr>
          <w:rFonts w:ascii="Times New Roman" w:hAnsi="Times New Roman" w:eastAsia="仿宋_GB2312"/>
          <w:color w:val="auto"/>
          <w:kern w:val="0"/>
          <w:sz w:val="32"/>
          <w:szCs w:val="32"/>
          <w:highlight w:val="none"/>
        </w:rPr>
        <w:t>进行评审。</w:t>
      </w:r>
    </w:p>
    <w:p>
      <w:pPr>
        <w:shd w:val="clear" w:color="auto" w:fill="FFFFFF"/>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4</w:t>
      </w:r>
      <w:r>
        <w:rPr>
          <w:rFonts w:hint="eastAsia" w:ascii="Times New Roman" w:hAnsi="Times New Roman" w:eastAsia="仿宋_GB2312"/>
          <w:color w:val="auto"/>
          <w:kern w:val="0"/>
          <w:sz w:val="32"/>
          <w:szCs w:val="32"/>
          <w:highlight w:val="none"/>
        </w:rPr>
        <w:t>．确定进入投标报价评审的</w:t>
      </w:r>
      <w:r>
        <w:rPr>
          <w:rFonts w:ascii="Times New Roman" w:hAnsi="Times New Roman" w:eastAsia="仿宋_GB2312"/>
          <w:color w:val="auto"/>
          <w:kern w:val="0"/>
          <w:sz w:val="32"/>
          <w:szCs w:val="32"/>
          <w:highlight w:val="none"/>
        </w:rPr>
        <w:t>投标人。按照本</w:t>
      </w:r>
      <w:r>
        <w:rPr>
          <w:rFonts w:hint="eastAsia" w:ascii="Times New Roman" w:hAnsi="Times New Roman" w:eastAsia="仿宋_GB2312"/>
          <w:color w:val="auto"/>
          <w:kern w:val="0"/>
          <w:sz w:val="32"/>
          <w:szCs w:val="32"/>
          <w:highlight w:val="none"/>
          <w:lang w:eastAsia="zh-CN"/>
        </w:rPr>
        <w:t>暂行办法</w:t>
      </w:r>
      <w:r>
        <w:rPr>
          <w:rFonts w:ascii="Times New Roman" w:hAnsi="Times New Roman" w:eastAsia="仿宋_GB2312"/>
          <w:color w:val="auto"/>
          <w:kern w:val="0"/>
          <w:sz w:val="32"/>
          <w:szCs w:val="32"/>
          <w:highlight w:val="none"/>
        </w:rPr>
        <w:t>第</w:t>
      </w:r>
      <w:r>
        <w:rPr>
          <w:rFonts w:hint="eastAsia" w:ascii="Times New Roman" w:hAnsi="Times New Roman" w:eastAsia="仿宋_GB2312"/>
          <w:color w:val="auto"/>
          <w:kern w:val="0"/>
          <w:sz w:val="32"/>
          <w:szCs w:val="32"/>
          <w:highlight w:val="none"/>
        </w:rPr>
        <w:t>十五</w:t>
      </w:r>
      <w:r>
        <w:rPr>
          <w:rFonts w:ascii="Times New Roman" w:hAnsi="Times New Roman" w:eastAsia="仿宋_GB2312"/>
          <w:color w:val="auto"/>
          <w:kern w:val="0"/>
          <w:sz w:val="32"/>
          <w:szCs w:val="32"/>
          <w:highlight w:val="none"/>
        </w:rPr>
        <w:t>条规定</w:t>
      </w:r>
      <w:r>
        <w:rPr>
          <w:rFonts w:hint="eastAsia" w:ascii="Times New Roman" w:hAnsi="Times New Roman" w:eastAsia="仿宋_GB2312"/>
          <w:color w:val="auto"/>
          <w:kern w:val="0"/>
          <w:sz w:val="32"/>
          <w:szCs w:val="32"/>
          <w:highlight w:val="none"/>
        </w:rPr>
        <w:t>确定进入投标报价评审</w:t>
      </w:r>
      <w:r>
        <w:rPr>
          <w:rFonts w:ascii="Times New Roman" w:hAnsi="Times New Roman" w:eastAsia="仿宋_GB2312"/>
          <w:color w:val="auto"/>
          <w:kern w:val="0"/>
          <w:sz w:val="32"/>
          <w:szCs w:val="32"/>
          <w:highlight w:val="none"/>
        </w:rPr>
        <w:t>的投标人。</w:t>
      </w:r>
    </w:p>
    <w:p>
      <w:pPr>
        <w:shd w:val="clear" w:color="auto" w:fill="FFFFFF"/>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5</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报价评审。</w:t>
      </w:r>
    </w:p>
    <w:p>
      <w:pPr>
        <w:shd w:val="clear" w:color="auto" w:fill="FFFFFF"/>
        <w:ind w:firstLine="640" w:firstLineChars="200"/>
        <w:rPr>
          <w:rFonts w:hint="eastAsia" w:ascii="Times New Roman" w:hAnsi="Times New Roman" w:eastAsia="仿宋_GB2312"/>
          <w:color w:val="auto"/>
          <w:kern w:val="0"/>
          <w:sz w:val="32"/>
          <w:szCs w:val="32"/>
          <w:highlight w:val="none"/>
          <w:lang w:eastAsia="zh-CN"/>
        </w:rPr>
      </w:pPr>
      <w:r>
        <w:rPr>
          <w:rFonts w:hint="eastAsia" w:ascii="Times New Roman" w:hAnsi="Times New Roman" w:eastAsia="仿宋_GB2312"/>
          <w:color w:val="auto"/>
          <w:kern w:val="0"/>
          <w:sz w:val="32"/>
          <w:szCs w:val="32"/>
          <w:highlight w:val="none"/>
        </w:rPr>
        <w:t>5.1按照本</w:t>
      </w:r>
      <w:r>
        <w:rPr>
          <w:rFonts w:hint="eastAsia" w:ascii="Times New Roman" w:hAnsi="Times New Roman" w:eastAsia="仿宋_GB2312"/>
          <w:color w:val="auto"/>
          <w:kern w:val="0"/>
          <w:sz w:val="32"/>
          <w:szCs w:val="32"/>
          <w:highlight w:val="none"/>
          <w:lang w:eastAsia="zh-CN"/>
        </w:rPr>
        <w:t>暂行办法</w:t>
      </w:r>
      <w:r>
        <w:rPr>
          <w:rFonts w:hint="eastAsia" w:ascii="Times New Roman" w:hAnsi="Times New Roman" w:eastAsia="仿宋_GB2312"/>
          <w:color w:val="auto"/>
          <w:kern w:val="0"/>
          <w:sz w:val="32"/>
          <w:szCs w:val="32"/>
          <w:highlight w:val="none"/>
        </w:rPr>
        <w:t>第二十</w:t>
      </w:r>
      <w:r>
        <w:rPr>
          <w:rFonts w:hint="eastAsia" w:ascii="Times New Roman" w:hAnsi="Times New Roman" w:eastAsia="仿宋_GB2312"/>
          <w:color w:val="auto"/>
          <w:kern w:val="0"/>
          <w:sz w:val="32"/>
          <w:szCs w:val="32"/>
          <w:highlight w:val="none"/>
          <w:lang w:val="en-US" w:eastAsia="zh-CN"/>
        </w:rPr>
        <w:t>三</w:t>
      </w:r>
      <w:r>
        <w:rPr>
          <w:rFonts w:hint="eastAsia" w:ascii="Times New Roman" w:hAnsi="Times New Roman" w:eastAsia="仿宋_GB2312"/>
          <w:color w:val="auto"/>
          <w:kern w:val="0"/>
          <w:sz w:val="32"/>
          <w:szCs w:val="32"/>
          <w:highlight w:val="none"/>
        </w:rPr>
        <w:t>条至第二十</w:t>
      </w:r>
      <w:r>
        <w:rPr>
          <w:rFonts w:hint="eastAsia" w:ascii="Times New Roman" w:hAnsi="Times New Roman" w:eastAsia="仿宋_GB2312"/>
          <w:color w:val="auto"/>
          <w:kern w:val="0"/>
          <w:sz w:val="32"/>
          <w:szCs w:val="32"/>
          <w:highlight w:val="none"/>
          <w:lang w:val="en-US" w:eastAsia="zh-CN"/>
        </w:rPr>
        <w:t>五</w:t>
      </w:r>
      <w:r>
        <w:rPr>
          <w:rFonts w:hint="eastAsia" w:ascii="Times New Roman" w:hAnsi="Times New Roman" w:eastAsia="仿宋_GB2312"/>
          <w:color w:val="auto"/>
          <w:kern w:val="0"/>
          <w:sz w:val="32"/>
          <w:szCs w:val="32"/>
          <w:highlight w:val="none"/>
        </w:rPr>
        <w:t>条的规定进行评审对报价低于成本的投标人予以否决</w:t>
      </w:r>
      <w:r>
        <w:rPr>
          <w:rFonts w:hint="eastAsia" w:ascii="Times New Roman" w:hAnsi="Times New Roman" w:eastAsia="仿宋_GB2312"/>
          <w:color w:val="auto"/>
          <w:kern w:val="0"/>
          <w:sz w:val="32"/>
          <w:szCs w:val="32"/>
          <w:highlight w:val="none"/>
          <w:lang w:eastAsia="zh-CN"/>
        </w:rPr>
        <w:t>；</w:t>
      </w:r>
    </w:p>
    <w:p>
      <w:pPr>
        <w:shd w:val="clear" w:color="auto" w:fill="FFFFFF"/>
        <w:ind w:firstLine="640" w:firstLineChars="200"/>
        <w:rPr>
          <w:rFonts w:hint="eastAsia" w:ascii="Times New Roman" w:hAnsi="Times New Roman" w:eastAsia="仿宋_GB2312"/>
          <w:color w:val="auto"/>
          <w:kern w:val="0"/>
          <w:sz w:val="32"/>
          <w:szCs w:val="32"/>
          <w:highlight w:val="none"/>
          <w:lang w:eastAsia="zh-CN"/>
        </w:rPr>
      </w:pPr>
      <w:r>
        <w:rPr>
          <w:rFonts w:hint="eastAsia" w:ascii="Times New Roman" w:hAnsi="Times New Roman" w:eastAsia="仿宋_GB2312"/>
          <w:color w:val="auto"/>
          <w:kern w:val="0"/>
          <w:sz w:val="32"/>
          <w:szCs w:val="32"/>
          <w:highlight w:val="none"/>
        </w:rPr>
        <w:t>5.2按照附表6计算本次报价评审基准价</w:t>
      </w:r>
      <w:r>
        <w:rPr>
          <w:rFonts w:hint="eastAsia" w:ascii="Times New Roman" w:hAnsi="Times New Roman" w:eastAsia="仿宋_GB2312"/>
          <w:color w:val="auto"/>
          <w:kern w:val="0"/>
          <w:sz w:val="32"/>
          <w:szCs w:val="32"/>
          <w:highlight w:val="none"/>
          <w:lang w:eastAsia="zh-CN"/>
        </w:rPr>
        <w:t>；</w:t>
      </w:r>
    </w:p>
    <w:p>
      <w:pPr>
        <w:shd w:val="clear" w:color="auto" w:fill="FFFFFF"/>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5.3 计算各投标人投标报价得分。</w:t>
      </w:r>
    </w:p>
    <w:p>
      <w:pPr>
        <w:shd w:val="clear" w:color="auto" w:fill="FFFFFF"/>
        <w:ind w:firstLine="640" w:firstLineChars="200"/>
        <w:rPr>
          <w:rFonts w:hint="eastAsia" w:ascii="Times New Roman" w:hAnsi="Times New Roman" w:eastAsia="仿宋_GB2312"/>
          <w:color w:val="auto"/>
          <w:kern w:val="0"/>
          <w:sz w:val="32"/>
          <w:szCs w:val="32"/>
          <w:highlight w:val="none"/>
          <w:lang w:eastAsia="zh-CN"/>
        </w:rPr>
      </w:pPr>
      <w:r>
        <w:rPr>
          <w:rFonts w:hint="eastAsia" w:ascii="Times New Roman" w:hAnsi="Times New Roman" w:eastAsia="仿宋_GB2312"/>
          <w:color w:val="auto"/>
          <w:kern w:val="0"/>
          <w:sz w:val="32"/>
          <w:szCs w:val="32"/>
          <w:highlight w:val="none"/>
        </w:rPr>
        <w:t>投标报价小于基准价92%的，其投标报价评审得分计0分</w:t>
      </w:r>
      <w:r>
        <w:rPr>
          <w:rFonts w:hint="eastAsia" w:ascii="Times New Roman" w:hAnsi="Times New Roman" w:eastAsia="仿宋_GB2312"/>
          <w:color w:val="auto"/>
          <w:kern w:val="0"/>
          <w:sz w:val="32"/>
          <w:szCs w:val="32"/>
          <w:highlight w:val="none"/>
          <w:lang w:eastAsia="zh-CN"/>
        </w:rPr>
        <w:t>。</w:t>
      </w:r>
    </w:p>
    <w:p>
      <w:pPr>
        <w:widowControl/>
        <w:shd w:val="clear" w:color="auto" w:fill="FFFFFF"/>
        <w:ind w:firstLine="640" w:firstLineChars="200"/>
        <w:rPr>
          <w:rFonts w:ascii="Times New Roman" w:hAnsi="Times New Roman" w:eastAsia="仿宋_GB2312"/>
          <w:color w:val="auto"/>
          <w:kern w:val="0"/>
          <w:sz w:val="32"/>
          <w:highlight w:val="none"/>
        </w:rPr>
      </w:pPr>
      <w:r>
        <w:rPr>
          <w:rFonts w:hint="eastAsia" w:ascii="Times New Roman" w:hAnsi="Times New Roman" w:eastAsia="仿宋_GB2312"/>
          <w:color w:val="auto"/>
          <w:kern w:val="0"/>
          <w:sz w:val="32"/>
          <w:highlight w:val="none"/>
        </w:rPr>
        <w:t>6</w:t>
      </w:r>
      <w:r>
        <w:rPr>
          <w:rFonts w:ascii="仿宋_GB2312" w:hAnsi="仿宋_GB2312" w:eastAsia="仿宋_GB2312"/>
          <w:color w:val="auto"/>
          <w:kern w:val="0"/>
          <w:sz w:val="32"/>
          <w:highlight w:val="none"/>
        </w:rPr>
        <w:t>．汇总评分结果。</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C=J</w:t>
      </w:r>
      <w:r>
        <w:rPr>
          <w:rFonts w:ascii="Times New Roman" w:hAnsi="Times New Roman" w:eastAsia="仿宋_GB2312"/>
          <w:color w:val="auto"/>
          <w:kern w:val="0"/>
          <w:sz w:val="32"/>
          <w:highlight w:val="none"/>
          <w:vertAlign w:val="subscript"/>
        </w:rPr>
        <w:t>1</w:t>
      </w:r>
      <w:r>
        <w:rPr>
          <w:rFonts w:ascii="Times New Roman" w:hAnsi="Times New Roman" w:eastAsia="仿宋_GB2312"/>
          <w:color w:val="auto"/>
          <w:kern w:val="0"/>
          <w:sz w:val="32"/>
          <w:highlight w:val="none"/>
        </w:rPr>
        <w:t>×D+J</w:t>
      </w:r>
      <w:r>
        <w:rPr>
          <w:rFonts w:ascii="Times New Roman" w:hAnsi="Times New Roman" w:eastAsia="仿宋_GB2312"/>
          <w:color w:val="auto"/>
          <w:kern w:val="0"/>
          <w:sz w:val="32"/>
          <w:highlight w:val="none"/>
          <w:vertAlign w:val="subscript"/>
        </w:rPr>
        <w:t>2</w:t>
      </w:r>
      <w:r>
        <w:rPr>
          <w:rFonts w:ascii="Times New Roman" w:hAnsi="Times New Roman" w:eastAsia="仿宋_GB2312"/>
          <w:color w:val="auto"/>
          <w:kern w:val="0"/>
          <w:sz w:val="32"/>
          <w:highlight w:val="none"/>
        </w:rPr>
        <w:t>×E+J</w:t>
      </w:r>
      <w:r>
        <w:rPr>
          <w:rFonts w:ascii="Times New Roman" w:hAnsi="Times New Roman" w:eastAsia="仿宋_GB2312"/>
          <w:color w:val="auto"/>
          <w:kern w:val="0"/>
          <w:sz w:val="32"/>
          <w:highlight w:val="none"/>
          <w:vertAlign w:val="subscript"/>
        </w:rPr>
        <w:t>3</w:t>
      </w:r>
      <w:r>
        <w:rPr>
          <w:rFonts w:ascii="Times New Roman" w:hAnsi="Times New Roman" w:eastAsia="仿宋_GB2312"/>
          <w:color w:val="auto"/>
          <w:kern w:val="0"/>
          <w:sz w:val="32"/>
          <w:highlight w:val="none"/>
        </w:rPr>
        <w:t>×F</w:t>
      </w:r>
    </w:p>
    <w:p>
      <w:pPr>
        <w:widowControl/>
        <w:shd w:val="clear" w:color="auto" w:fill="FFFFFF"/>
        <w:ind w:firstLine="640" w:firstLineChars="200"/>
        <w:rPr>
          <w:rFonts w:ascii="仿宋_GB2312" w:hAnsi="仿宋_GB2312" w:eastAsia="仿宋_GB2312"/>
          <w:color w:val="auto"/>
          <w:kern w:val="0"/>
          <w:sz w:val="32"/>
          <w:highlight w:val="none"/>
        </w:rPr>
      </w:pPr>
      <w:r>
        <w:rPr>
          <w:rFonts w:ascii="仿宋_GB2312" w:hAnsi="仿宋_GB2312" w:eastAsia="仿宋_GB2312"/>
          <w:color w:val="auto"/>
          <w:kern w:val="0"/>
          <w:sz w:val="32"/>
          <w:highlight w:val="none"/>
        </w:rPr>
        <w:t>其中：</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C——</w:t>
      </w:r>
      <w:r>
        <w:rPr>
          <w:rFonts w:ascii="仿宋_GB2312" w:hAnsi="仿宋_GB2312" w:eastAsia="仿宋_GB2312"/>
          <w:color w:val="auto"/>
          <w:kern w:val="0"/>
          <w:sz w:val="32"/>
          <w:highlight w:val="none"/>
        </w:rPr>
        <w:t>评标总得分</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D——</w:t>
      </w:r>
      <w:r>
        <w:rPr>
          <w:rFonts w:ascii="仿宋_GB2312" w:hAnsi="仿宋_GB2312" w:eastAsia="仿宋_GB2312"/>
          <w:color w:val="auto"/>
          <w:kern w:val="0"/>
          <w:sz w:val="32"/>
          <w:highlight w:val="none"/>
        </w:rPr>
        <w:t>施工组织设计评审得分</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E——</w:t>
      </w:r>
      <w:r>
        <w:rPr>
          <w:rFonts w:ascii="仿宋_GB2312" w:hAnsi="仿宋_GB2312" w:eastAsia="仿宋_GB2312"/>
          <w:color w:val="auto"/>
          <w:kern w:val="0"/>
          <w:sz w:val="32"/>
          <w:highlight w:val="none"/>
        </w:rPr>
        <w:t>企业资信及履约能力评审得分</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F——</w:t>
      </w:r>
      <w:r>
        <w:rPr>
          <w:rFonts w:hint="eastAsia" w:ascii="Times New Roman" w:hAnsi="Times New Roman" w:eastAsia="仿宋_GB2312"/>
          <w:color w:val="auto"/>
          <w:kern w:val="0"/>
          <w:sz w:val="32"/>
          <w:highlight w:val="none"/>
        </w:rPr>
        <w:t>投标</w:t>
      </w:r>
      <w:r>
        <w:rPr>
          <w:rFonts w:ascii="仿宋_GB2312" w:hAnsi="仿宋_GB2312" w:eastAsia="仿宋_GB2312"/>
          <w:color w:val="auto"/>
          <w:kern w:val="0"/>
          <w:sz w:val="32"/>
          <w:highlight w:val="none"/>
        </w:rPr>
        <w:t>报价评审得分</w:t>
      </w:r>
    </w:p>
    <w:p>
      <w:pPr>
        <w:widowControl/>
        <w:shd w:val="clear" w:color="auto" w:fill="FFFFFF"/>
        <w:ind w:firstLine="640" w:firstLineChars="200"/>
        <w:rPr>
          <w:rFonts w:ascii="Times New Roman" w:hAnsi="Times New Roman" w:eastAsia="仿宋_GB2312"/>
          <w:color w:val="auto"/>
          <w:kern w:val="0"/>
          <w:sz w:val="32"/>
          <w:highlight w:val="none"/>
        </w:rPr>
      </w:pP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1</w:t>
      </w:r>
      <w:r>
        <w:rPr>
          <w:rFonts w:ascii="仿宋_GB2312" w:hAnsi="仿宋_GB2312" w:eastAsia="仿宋_GB2312"/>
          <w:color w:val="auto"/>
          <w:kern w:val="0"/>
          <w:sz w:val="32"/>
          <w:highlight w:val="none"/>
        </w:rPr>
        <w:t>、</w:t>
      </w: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2</w:t>
      </w:r>
      <w:r>
        <w:rPr>
          <w:rFonts w:ascii="仿宋_GB2312" w:hAnsi="仿宋_GB2312" w:eastAsia="仿宋_GB2312"/>
          <w:color w:val="auto"/>
          <w:kern w:val="0"/>
          <w:sz w:val="32"/>
          <w:highlight w:val="none"/>
        </w:rPr>
        <w:t>、</w:t>
      </w: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3</w:t>
      </w:r>
      <w:r>
        <w:rPr>
          <w:rFonts w:ascii="Times New Roman" w:hAnsi="Times New Roman" w:eastAsia="仿宋_GB2312"/>
          <w:color w:val="auto"/>
          <w:kern w:val="0"/>
          <w:sz w:val="32"/>
          <w:highlight w:val="none"/>
        </w:rPr>
        <w:t>——</w:t>
      </w:r>
      <w:r>
        <w:rPr>
          <w:rFonts w:ascii="仿宋_GB2312" w:hAnsi="仿宋_GB2312" w:eastAsia="仿宋_GB2312"/>
          <w:color w:val="auto"/>
          <w:kern w:val="0"/>
          <w:sz w:val="32"/>
          <w:highlight w:val="none"/>
        </w:rPr>
        <w:t>各项评审因素的权重</w:t>
      </w:r>
    </w:p>
    <w:p>
      <w:pPr>
        <w:widowControl/>
        <w:shd w:val="clear" w:color="auto" w:fill="FFFFFF"/>
        <w:ind w:firstLine="640" w:firstLineChars="200"/>
        <w:rPr>
          <w:rFonts w:ascii="黑体" w:hAnsi="Times New Roman" w:eastAsia="黑体"/>
          <w:color w:val="auto"/>
          <w:kern w:val="0"/>
          <w:sz w:val="32"/>
          <w:highlight w:val="none"/>
        </w:rPr>
      </w:pPr>
      <w:r>
        <w:rPr>
          <w:rFonts w:hint="eastAsia" w:ascii="黑体" w:hAnsi="Times New Roman" w:eastAsia="黑体"/>
          <w:color w:val="auto"/>
          <w:kern w:val="0"/>
          <w:sz w:val="32"/>
          <w:highlight w:val="none"/>
          <w:lang w:val="en-US" w:eastAsia="zh-CN"/>
        </w:rPr>
        <w:t>三</w:t>
      </w:r>
      <w:r>
        <w:rPr>
          <w:rFonts w:hint="eastAsia" w:ascii="黑体" w:hAnsi="Times New Roman" w:eastAsia="黑体"/>
          <w:color w:val="auto"/>
          <w:kern w:val="0"/>
          <w:sz w:val="32"/>
          <w:highlight w:val="none"/>
        </w:rPr>
        <w:t>、各项评审因素权重</w:t>
      </w:r>
    </w:p>
    <w:p>
      <w:pPr>
        <w:shd w:val="clear" w:color="auto" w:fill="FFFFFF"/>
        <w:adjustRightInd w:val="0"/>
        <w:snapToGrid w:val="0"/>
        <w:spacing w:line="440" w:lineRule="exact"/>
        <w:ind w:firstLine="640" w:firstLineChars="200"/>
        <w:rPr>
          <w:rFonts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招标人根据以下评审因素权重表在招标文件中明确所选评审因素权</w:t>
      </w:r>
      <w:r>
        <w:rPr>
          <w:rFonts w:hint="eastAsia" w:ascii="仿宋_GB2312" w:hAnsi="仿宋" w:eastAsia="仿宋_GB2312" w:cs="仿宋_GB2312"/>
          <w:color w:val="auto"/>
          <w:kern w:val="0"/>
          <w:sz w:val="32"/>
          <w:szCs w:val="32"/>
          <w:highlight w:val="none"/>
          <w:lang w:val="en-US" w:eastAsia="zh-CN"/>
        </w:rPr>
        <w:t>重</w:t>
      </w:r>
      <w:r>
        <w:rPr>
          <w:rFonts w:hint="eastAsia" w:ascii="仿宋_GB2312" w:hAnsi="仿宋" w:eastAsia="仿宋_GB2312" w:cs="仿宋_GB2312"/>
          <w:color w:val="auto"/>
          <w:kern w:val="0"/>
          <w:sz w:val="32"/>
          <w:szCs w:val="32"/>
          <w:highlight w:val="none"/>
        </w:rPr>
        <w:t>。</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3780"/>
        <w:gridCol w:w="3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2" w:type="dxa"/>
            <w:tcBorders>
              <w:top w:val="single" w:color="auto" w:sz="12" w:space="0"/>
              <w:left w:val="nil"/>
              <w:bottom w:val="single" w:color="auto" w:sz="6" w:space="0"/>
              <w:right w:val="single" w:color="auto" w:sz="6" w:space="0"/>
            </w:tcBorders>
            <w:vAlign w:val="center"/>
          </w:tcPr>
          <w:p>
            <w:pPr>
              <w:widowControl/>
              <w:jc w:val="center"/>
              <w:rPr>
                <w:rFonts w:ascii="仿宋_GB2312" w:eastAsia="仿宋_GB2312" w:cs="宋体"/>
                <w:color w:val="auto"/>
                <w:kern w:val="0"/>
                <w:sz w:val="32"/>
                <w:szCs w:val="32"/>
                <w:highlight w:val="none"/>
              </w:rPr>
            </w:pPr>
            <w:r>
              <w:rPr>
                <w:rFonts w:hint="eastAsia" w:ascii="仿宋_GB2312" w:hAnsi="Times New Roman" w:eastAsia="仿宋_GB2312"/>
                <w:color w:val="auto"/>
                <w:kern w:val="0"/>
                <w:sz w:val="32"/>
                <w:highlight w:val="none"/>
              </w:rPr>
              <w:t>序号</w:t>
            </w:r>
          </w:p>
        </w:tc>
        <w:tc>
          <w:tcPr>
            <w:tcW w:w="378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eastAsia="仿宋_GB2312" w:cs="宋体"/>
                <w:color w:val="auto"/>
                <w:kern w:val="0"/>
                <w:sz w:val="32"/>
                <w:szCs w:val="32"/>
                <w:highlight w:val="none"/>
              </w:rPr>
            </w:pPr>
            <w:r>
              <w:rPr>
                <w:rFonts w:hint="eastAsia" w:ascii="仿宋_GB2312" w:hAnsi="Times New Roman" w:eastAsia="仿宋_GB2312"/>
                <w:color w:val="auto"/>
                <w:kern w:val="0"/>
                <w:sz w:val="32"/>
                <w:highlight w:val="none"/>
              </w:rPr>
              <w:t>评审因素</w:t>
            </w:r>
          </w:p>
        </w:tc>
        <w:tc>
          <w:tcPr>
            <w:tcW w:w="3060" w:type="dxa"/>
            <w:tcBorders>
              <w:top w:val="single" w:color="auto" w:sz="12" w:space="0"/>
              <w:left w:val="single" w:color="auto" w:sz="6" w:space="0"/>
              <w:bottom w:val="single" w:color="auto" w:sz="6" w:space="0"/>
              <w:right w:val="nil"/>
            </w:tcBorders>
            <w:vAlign w:val="center"/>
          </w:tcPr>
          <w:p>
            <w:pPr>
              <w:widowControl/>
              <w:jc w:val="center"/>
              <w:rPr>
                <w:rFonts w:hint="eastAsia" w:ascii="仿宋_GB2312" w:eastAsia="仿宋_GB2312" w:cs="宋体"/>
                <w:color w:val="auto"/>
                <w:kern w:val="0"/>
                <w:sz w:val="32"/>
                <w:szCs w:val="32"/>
                <w:highlight w:val="none"/>
                <w:lang w:eastAsia="zh-CN"/>
              </w:rPr>
            </w:pPr>
            <w:r>
              <w:rPr>
                <w:rFonts w:hint="eastAsia" w:ascii="仿宋_GB2312" w:hAnsi="Times New Roman" w:eastAsia="仿宋_GB2312"/>
                <w:color w:val="auto"/>
                <w:kern w:val="0"/>
                <w:sz w:val="32"/>
                <w:highlight w:val="none"/>
              </w:rPr>
              <w:t>权</w:t>
            </w:r>
            <w:r>
              <w:rPr>
                <w:rFonts w:hint="eastAsia" w:ascii="仿宋_GB2312" w:hAnsi="Times New Roman" w:eastAsia="仿宋_GB2312"/>
                <w:color w:val="auto"/>
                <w:kern w:val="0"/>
                <w:sz w:val="32"/>
                <w:highlight w:val="none"/>
                <w:lang w:val="en-US" w:eastAsia="zh-CN"/>
              </w:rPr>
              <w:t>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2" w:type="dxa"/>
            <w:tcBorders>
              <w:top w:val="single" w:color="auto" w:sz="6" w:space="0"/>
              <w:left w:val="nil"/>
              <w:bottom w:val="single" w:color="auto" w:sz="6"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1</w:t>
            </w:r>
          </w:p>
        </w:tc>
        <w:tc>
          <w:tcPr>
            <w:tcW w:w="378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施工组织设计</w:t>
            </w: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1</w:t>
            </w:r>
          </w:p>
        </w:tc>
        <w:tc>
          <w:tcPr>
            <w:tcW w:w="3060" w:type="dxa"/>
            <w:tcBorders>
              <w:top w:val="single" w:color="auto" w:sz="6" w:space="0"/>
              <w:left w:val="single" w:color="auto" w:sz="6" w:space="0"/>
              <w:bottom w:val="single" w:color="auto" w:sz="6" w:space="0"/>
              <w:right w:val="nil"/>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0.00-0.30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2" w:type="dxa"/>
            <w:tcBorders>
              <w:top w:val="single" w:color="auto" w:sz="6" w:space="0"/>
              <w:left w:val="nil"/>
              <w:bottom w:val="single" w:color="auto" w:sz="6"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2</w:t>
            </w:r>
          </w:p>
        </w:tc>
        <w:tc>
          <w:tcPr>
            <w:tcW w:w="378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企业资信及履约能力</w:t>
            </w: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2</w:t>
            </w:r>
          </w:p>
        </w:tc>
        <w:tc>
          <w:tcPr>
            <w:tcW w:w="3060" w:type="dxa"/>
            <w:tcBorders>
              <w:top w:val="single" w:color="auto" w:sz="6" w:space="0"/>
              <w:left w:val="single" w:color="auto" w:sz="6" w:space="0"/>
              <w:bottom w:val="single" w:color="auto" w:sz="6" w:space="0"/>
              <w:right w:val="nil"/>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0.</w:t>
            </w:r>
            <w:r>
              <w:rPr>
                <w:rFonts w:ascii="仿宋_GB2312" w:hAnsi="Times New Roman" w:eastAsia="仿宋_GB2312"/>
                <w:color w:val="auto"/>
                <w:sz w:val="32"/>
                <w:highlight w:val="none"/>
              </w:rPr>
              <w:t>3</w:t>
            </w:r>
            <w:r>
              <w:rPr>
                <w:rFonts w:hint="eastAsia" w:ascii="仿宋_GB2312" w:hAnsi="Times New Roman" w:eastAsia="仿宋_GB2312"/>
                <w:color w:val="auto"/>
                <w:sz w:val="32"/>
                <w:highlight w:val="none"/>
              </w:rPr>
              <w:t>5-0.</w:t>
            </w:r>
            <w:r>
              <w:rPr>
                <w:rFonts w:ascii="仿宋_GB2312" w:hAnsi="Times New Roman" w:eastAsia="仿宋_GB2312"/>
                <w:color w:val="auto"/>
                <w:sz w:val="32"/>
                <w:highlight w:val="none"/>
              </w:rPr>
              <w:t>4</w:t>
            </w:r>
            <w:r>
              <w:rPr>
                <w:rFonts w:hint="eastAsia" w:ascii="仿宋_GB2312" w:hAnsi="Times New Roman" w:eastAsia="仿宋_GB2312"/>
                <w:color w:val="auto"/>
                <w:sz w:val="32"/>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32" w:type="dxa"/>
            <w:tcBorders>
              <w:top w:val="single" w:color="auto" w:sz="6" w:space="0"/>
              <w:left w:val="nil"/>
              <w:bottom w:val="single" w:color="auto" w:sz="6"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3</w:t>
            </w:r>
          </w:p>
        </w:tc>
        <w:tc>
          <w:tcPr>
            <w:tcW w:w="378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cs="宋体"/>
                <w:color w:val="auto"/>
                <w:spacing w:val="-14"/>
                <w:sz w:val="32"/>
                <w:szCs w:val="32"/>
                <w:highlight w:val="none"/>
              </w:rPr>
            </w:pPr>
            <w:r>
              <w:rPr>
                <w:rFonts w:hint="eastAsia" w:ascii="仿宋_GB2312" w:hAnsi="Times New Roman" w:eastAsia="仿宋_GB2312"/>
                <w:color w:val="auto"/>
                <w:sz w:val="32"/>
                <w:highlight w:val="none"/>
              </w:rPr>
              <w:t>投标报价</w:t>
            </w:r>
            <w:r>
              <w:rPr>
                <w:rFonts w:ascii="Times New Roman" w:hAnsi="Times New Roman" w:eastAsia="仿宋_GB2312"/>
                <w:color w:val="auto"/>
                <w:kern w:val="0"/>
                <w:sz w:val="32"/>
                <w:highlight w:val="none"/>
              </w:rPr>
              <w:t>J</w:t>
            </w:r>
            <w:r>
              <w:rPr>
                <w:rFonts w:ascii="Times New Roman" w:hAnsi="Times New Roman" w:eastAsia="仿宋_GB2312"/>
                <w:color w:val="auto"/>
                <w:kern w:val="0"/>
                <w:sz w:val="32"/>
                <w:highlight w:val="none"/>
                <w:vertAlign w:val="subscript"/>
              </w:rPr>
              <w:t>3</w:t>
            </w:r>
          </w:p>
        </w:tc>
        <w:tc>
          <w:tcPr>
            <w:tcW w:w="3060" w:type="dxa"/>
            <w:tcBorders>
              <w:top w:val="single" w:color="auto" w:sz="6" w:space="0"/>
              <w:left w:val="single" w:color="auto" w:sz="6" w:space="0"/>
              <w:bottom w:val="single" w:color="auto" w:sz="6" w:space="0"/>
              <w:right w:val="nil"/>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0.35-0.5</w:t>
            </w:r>
            <w:r>
              <w:rPr>
                <w:rFonts w:ascii="仿宋_GB2312" w:hAnsi="Times New Roman" w:eastAsia="仿宋_GB2312"/>
                <w:color w:val="auto"/>
                <w:sz w:val="32"/>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912" w:type="dxa"/>
            <w:gridSpan w:val="2"/>
            <w:tcBorders>
              <w:top w:val="single" w:color="auto" w:sz="6" w:space="0"/>
              <w:left w:val="nil"/>
              <w:bottom w:val="single" w:color="auto" w:sz="12" w:space="0"/>
              <w:right w:val="single" w:color="auto" w:sz="6" w:space="0"/>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合  计</w:t>
            </w:r>
          </w:p>
        </w:tc>
        <w:tc>
          <w:tcPr>
            <w:tcW w:w="3060" w:type="dxa"/>
            <w:tcBorders>
              <w:top w:val="single" w:color="auto" w:sz="6" w:space="0"/>
              <w:left w:val="single" w:color="auto" w:sz="6" w:space="0"/>
              <w:bottom w:val="single" w:color="auto" w:sz="12" w:space="0"/>
              <w:right w:val="nil"/>
            </w:tcBorders>
            <w:vAlign w:val="center"/>
          </w:tcPr>
          <w:p>
            <w:pPr>
              <w:jc w:val="center"/>
              <w:rPr>
                <w:rFonts w:ascii="仿宋_GB2312" w:eastAsia="仿宋_GB2312" w:cs="宋体"/>
                <w:color w:val="auto"/>
                <w:sz w:val="32"/>
                <w:szCs w:val="32"/>
                <w:highlight w:val="none"/>
              </w:rPr>
            </w:pPr>
            <w:r>
              <w:rPr>
                <w:rFonts w:hint="eastAsia" w:ascii="仿宋_GB2312" w:hAnsi="Times New Roman" w:eastAsia="仿宋_GB2312"/>
                <w:color w:val="auto"/>
                <w:sz w:val="32"/>
                <w:highlight w:val="none"/>
              </w:rPr>
              <w:t>1</w:t>
            </w:r>
          </w:p>
        </w:tc>
      </w:tr>
    </w:tbl>
    <w:p>
      <w:pPr>
        <w:shd w:val="clear" w:color="auto" w:fill="FFFFFF"/>
        <w:ind w:firstLine="640" w:firstLineChars="200"/>
        <w:rPr>
          <w:rFonts w:ascii="仿宋" w:hAnsi="仿宋" w:eastAsia="仿宋"/>
          <w:bCs/>
          <w:color w:val="auto"/>
          <w:kern w:val="0"/>
          <w:sz w:val="32"/>
          <w:szCs w:val="32"/>
          <w:highlight w:val="none"/>
        </w:rPr>
      </w:pPr>
      <w:r>
        <w:rPr>
          <w:rFonts w:hint="eastAsia" w:ascii="仿宋" w:hAnsi="仿宋" w:eastAsia="仿宋"/>
          <w:bCs/>
          <w:color w:val="auto"/>
          <w:kern w:val="0"/>
          <w:sz w:val="32"/>
          <w:szCs w:val="32"/>
          <w:highlight w:val="none"/>
        </w:rPr>
        <w:t>注：</w:t>
      </w:r>
      <w:r>
        <w:rPr>
          <w:rFonts w:hint="eastAsia" w:ascii="仿宋_GB2312" w:hAnsi="Times New Roman" w:eastAsia="仿宋_GB2312"/>
          <w:color w:val="auto"/>
          <w:sz w:val="32"/>
          <w:highlight w:val="none"/>
        </w:rPr>
        <w:t>施工组织设计</w:t>
      </w:r>
      <w:r>
        <w:rPr>
          <w:rFonts w:hint="eastAsia" w:ascii="仿宋" w:hAnsi="仿宋" w:eastAsia="仿宋"/>
          <w:bCs/>
          <w:color w:val="0000FF"/>
          <w:kern w:val="0"/>
          <w:sz w:val="32"/>
          <w:szCs w:val="32"/>
          <w:highlight w:val="none"/>
        </w:rPr>
        <w:t>采用</w:t>
      </w:r>
      <w:r>
        <w:rPr>
          <w:rFonts w:ascii="仿宋" w:hAnsi="仿宋" w:eastAsia="仿宋"/>
          <w:bCs/>
          <w:color w:val="0000FF"/>
          <w:kern w:val="0"/>
          <w:sz w:val="32"/>
          <w:szCs w:val="32"/>
          <w:highlight w:val="none"/>
        </w:rPr>
        <w:t>合格</w:t>
      </w:r>
      <w:r>
        <w:rPr>
          <w:rFonts w:hint="eastAsia" w:ascii="仿宋" w:hAnsi="仿宋" w:eastAsia="仿宋"/>
          <w:bCs/>
          <w:color w:val="0000FF"/>
          <w:kern w:val="0"/>
          <w:sz w:val="32"/>
          <w:szCs w:val="32"/>
          <w:highlight w:val="none"/>
        </w:rPr>
        <w:t>性</w:t>
      </w:r>
      <w:r>
        <w:rPr>
          <w:rFonts w:ascii="仿宋" w:hAnsi="仿宋" w:eastAsia="仿宋"/>
          <w:bCs/>
          <w:color w:val="0000FF"/>
          <w:kern w:val="0"/>
          <w:sz w:val="32"/>
          <w:szCs w:val="32"/>
          <w:highlight w:val="none"/>
        </w:rPr>
        <w:t>评审时</w:t>
      </w:r>
      <w:r>
        <w:rPr>
          <w:rFonts w:hint="eastAsia" w:ascii="仿宋" w:hAnsi="仿宋" w:eastAsia="仿宋"/>
          <w:bCs/>
          <w:color w:val="0000FF"/>
          <w:kern w:val="0"/>
          <w:sz w:val="32"/>
          <w:szCs w:val="32"/>
          <w:highlight w:val="none"/>
        </w:rPr>
        <w:t>，</w:t>
      </w:r>
      <w:r>
        <w:rPr>
          <w:rFonts w:ascii="仿宋" w:hAnsi="仿宋" w:eastAsia="仿宋"/>
          <w:bCs/>
          <w:color w:val="0000FF"/>
          <w:kern w:val="0"/>
          <w:sz w:val="32"/>
          <w:szCs w:val="32"/>
          <w:highlight w:val="none"/>
        </w:rPr>
        <w:t>其权</w:t>
      </w:r>
      <w:r>
        <w:rPr>
          <w:rFonts w:hint="eastAsia" w:ascii="仿宋" w:hAnsi="仿宋" w:eastAsia="仿宋"/>
          <w:bCs/>
          <w:color w:val="0000FF"/>
          <w:kern w:val="0"/>
          <w:sz w:val="32"/>
          <w:szCs w:val="32"/>
          <w:highlight w:val="none"/>
        </w:rPr>
        <w:t>数取值</w:t>
      </w:r>
      <w:r>
        <w:rPr>
          <w:rFonts w:ascii="仿宋" w:hAnsi="仿宋" w:eastAsia="仿宋"/>
          <w:bCs/>
          <w:color w:val="0000FF"/>
          <w:kern w:val="0"/>
          <w:sz w:val="32"/>
          <w:szCs w:val="32"/>
          <w:highlight w:val="none"/>
        </w:rPr>
        <w:t>为</w:t>
      </w:r>
      <w:r>
        <w:rPr>
          <w:rFonts w:hint="eastAsia" w:ascii="仿宋" w:hAnsi="仿宋" w:eastAsia="仿宋"/>
          <w:bCs/>
          <w:color w:val="0000FF"/>
          <w:kern w:val="0"/>
          <w:sz w:val="32"/>
          <w:szCs w:val="32"/>
          <w:highlight w:val="none"/>
        </w:rPr>
        <w:t>0</w:t>
      </w:r>
      <w:r>
        <w:rPr>
          <w:rFonts w:hint="eastAsia" w:ascii="仿宋" w:hAnsi="仿宋" w:eastAsia="仿宋"/>
          <w:bCs/>
          <w:color w:val="auto"/>
          <w:kern w:val="0"/>
          <w:sz w:val="32"/>
          <w:szCs w:val="32"/>
          <w:highlight w:val="none"/>
        </w:rPr>
        <w:t>。</w:t>
      </w:r>
    </w:p>
    <w:p>
      <w:pPr>
        <w:widowControl/>
        <w:shd w:val="clear" w:color="auto" w:fill="FFFFFF"/>
        <w:ind w:firstLine="640" w:firstLineChars="200"/>
        <w:rPr>
          <w:rFonts w:hint="eastAsia" w:ascii="黑体" w:hAnsi="Times New Roman" w:eastAsia="黑体"/>
          <w:color w:val="auto"/>
          <w:kern w:val="0"/>
          <w:sz w:val="32"/>
          <w:highlight w:val="none"/>
          <w:lang w:val="en-US" w:eastAsia="zh-CN"/>
        </w:rPr>
      </w:pPr>
    </w:p>
    <w:p>
      <w:pPr>
        <w:widowControl/>
        <w:shd w:val="clear" w:color="auto" w:fill="FFFFFF"/>
        <w:ind w:firstLine="640" w:firstLineChars="200"/>
        <w:rPr>
          <w:rFonts w:ascii="黑体" w:eastAsia="黑体"/>
          <w:color w:val="auto"/>
          <w:kern w:val="0"/>
          <w:sz w:val="32"/>
          <w:szCs w:val="32"/>
          <w:highlight w:val="none"/>
        </w:rPr>
      </w:pPr>
      <w:r>
        <w:rPr>
          <w:rFonts w:hint="eastAsia" w:ascii="黑体" w:hAnsi="Times New Roman" w:eastAsia="黑体"/>
          <w:color w:val="auto"/>
          <w:kern w:val="0"/>
          <w:sz w:val="32"/>
          <w:highlight w:val="none"/>
          <w:lang w:val="en-US" w:eastAsia="zh-CN"/>
        </w:rPr>
        <w:t>四</w:t>
      </w:r>
      <w:r>
        <w:rPr>
          <w:rFonts w:hint="eastAsia" w:ascii="黑体" w:hAnsi="Times New Roman" w:eastAsia="黑体"/>
          <w:color w:val="auto"/>
          <w:kern w:val="0"/>
          <w:sz w:val="32"/>
          <w:highlight w:val="none"/>
        </w:rPr>
        <w:t>、中标候选人的确定</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评标委员会按照评标总得分从高至低确定投标人排序，并按以下原则</w:t>
      </w:r>
      <w:r>
        <w:rPr>
          <w:rFonts w:hint="eastAsia" w:ascii="Times New Roman" w:hAnsi="Times New Roman" w:eastAsia="仿宋_GB2312"/>
          <w:color w:val="auto"/>
          <w:sz w:val="32"/>
          <w:szCs w:val="32"/>
          <w:highlight w:val="none"/>
          <w:lang w:val="en-US" w:eastAsia="zh-CN"/>
        </w:rPr>
        <w:t>之一</w:t>
      </w:r>
      <w:r>
        <w:rPr>
          <w:rFonts w:hint="eastAsia" w:ascii="Times New Roman" w:hAnsi="Times New Roman" w:eastAsia="仿宋_GB2312"/>
          <w:color w:val="auto"/>
          <w:sz w:val="32"/>
          <w:szCs w:val="32"/>
          <w:highlight w:val="none"/>
        </w:rPr>
        <w:t>推荐中标候选人，由招标人确定中标人：</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 按照评标总得分从高至低推荐不超过3个有排序的中标候选人，招标人按照中标候选人的排序确定中标人。</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 按照评标总得分从高至低推荐不超过3个不排序的中标候选人，由招标人确定中标人。</w:t>
      </w:r>
    </w:p>
    <w:p>
      <w:pPr>
        <w:ind w:firstLine="640" w:firstLineChars="200"/>
        <w:rPr>
          <w:rFonts w:ascii="仿宋_GB2312" w:hAnsi="仿宋_GB2312" w:eastAsia="仿宋_GB2312"/>
          <w:color w:val="auto"/>
          <w:sz w:val="32"/>
          <w:highlight w:val="none"/>
        </w:rPr>
      </w:pPr>
      <w:r>
        <w:rPr>
          <w:rFonts w:hint="eastAsia" w:ascii="Times New Roman" w:hAnsi="Times New Roman" w:eastAsia="仿宋_GB2312"/>
          <w:color w:val="auto"/>
          <w:sz w:val="32"/>
          <w:szCs w:val="32"/>
          <w:highlight w:val="none"/>
        </w:rPr>
        <w:t>采用第二种方式确定中标人的，应当在招标文件中公布相应评定分离工作方案。</w:t>
      </w:r>
    </w:p>
    <w:p>
      <w:pPr>
        <w:spacing w:after="120"/>
        <w:ind w:firstLine="300" w:firstLineChars="100"/>
        <w:rPr>
          <w:rFonts w:ascii="仿宋_GB2312" w:hAnsi="仿宋_GB2312"/>
          <w:color w:val="auto"/>
          <w:sz w:val="30"/>
          <w:highlight w:val="none"/>
        </w:rPr>
      </w:pP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附表1：施工组织设计评审表（合格性评审）</w:t>
      </w: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附表2：施工组织设计评审表（计分评审）</w:t>
      </w: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附表3：业绩及信用评审计分表</w:t>
      </w: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附表4：企业资信及履约能力评审计分表</w:t>
      </w: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附表5：投标报价评审表（经评审的最低投标法）</w:t>
      </w:r>
    </w:p>
    <w:p>
      <w:pPr>
        <w:ind w:firstLine="640" w:firstLineChars="200"/>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附表6：投标报价评审表（综合评估法）</w:t>
      </w:r>
    </w:p>
    <w:p>
      <w:pPr>
        <w:ind w:firstLine="640" w:firstLineChars="200"/>
        <w:rPr>
          <w:rFonts w:ascii="仿宋_GB2312" w:hAnsi="仿宋_GB2312" w:eastAsia="仿宋_GB2312"/>
          <w:color w:val="auto"/>
          <w:sz w:val="32"/>
          <w:highlight w:val="none"/>
        </w:rPr>
      </w:pPr>
    </w:p>
    <w:p>
      <w:pPr>
        <w:rPr>
          <w:color w:val="auto"/>
          <w:highlight w:val="none"/>
        </w:rPr>
        <w:sectPr>
          <w:headerReference r:id="rId3" w:type="default"/>
          <w:footerReference r:id="rId4" w:type="default"/>
          <w:pgSz w:w="11906" w:h="16838"/>
          <w:pgMar w:top="1440" w:right="1440" w:bottom="1440" w:left="1440" w:header="720" w:footer="720" w:gutter="0"/>
          <w:pgNumType w:start="3"/>
          <w:cols w:space="720" w:num="1"/>
          <w:docGrid w:type="lines" w:linePitch="574" w:charSpace="0"/>
        </w:sectPr>
      </w:pP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附表1：施工组织设计评审表（合格性评审）</w:t>
      </w:r>
    </w:p>
    <w:tbl>
      <w:tblPr>
        <w:tblStyle w:val="5"/>
        <w:tblW w:w="14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9"/>
        <w:gridCol w:w="2711"/>
        <w:gridCol w:w="1002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6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序号</w:t>
            </w:r>
          </w:p>
        </w:tc>
        <w:tc>
          <w:tcPr>
            <w:tcW w:w="271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评审因素</w:t>
            </w: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 xml:space="preserve">评审标准                                                      </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6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2711"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施工方案与技术措施</w:t>
            </w: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5" w:leftChars="50" w:right="105" w:rightChars="50"/>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rPr>
              <w:t>1.施工方案不完整，且缺少关键项目施工技术方案；或者市政项目缺少交通措施（除招标文件明确不需要外）</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缺少建筑垃圾现场减量、分类处置、扬尘污染防治等相关内容；</w:t>
            </w:r>
          </w:p>
          <w:p>
            <w:pPr>
              <w:spacing w:line="32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2.引用强制性技术标准错误，或明显违反国家和省有关规定。</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2711"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5" w:leftChars="50" w:right="105" w:rightChars="50"/>
              <w:jc w:val="center"/>
              <w:rPr>
                <w:rFonts w:ascii="宋体" w:hAnsi="宋体" w:cs="仿宋_GB2312"/>
                <w:color w:val="auto"/>
                <w:sz w:val="24"/>
                <w:highlight w:val="none"/>
              </w:rPr>
            </w:pPr>
            <w:r>
              <w:rPr>
                <w:rFonts w:hint="eastAsia" w:ascii="宋体" w:hAnsi="宋体" w:cs="仿宋_GB2312"/>
                <w:color w:val="auto"/>
                <w:sz w:val="24"/>
                <w:highlight w:val="none"/>
              </w:rPr>
              <w:t>无不合格内容</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6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2711"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质量管理体系与措施</w:t>
            </w: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1.质量目标不满足招标文件要求，缺少质量保证措施；</w:t>
            </w:r>
          </w:p>
          <w:p>
            <w:pPr>
              <w:spacing w:line="32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2.引用强制性技术标准错误，或明显违反国家和省有关规定。</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2711"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5" w:leftChars="50" w:right="105" w:rightChars="50"/>
              <w:jc w:val="center"/>
              <w:rPr>
                <w:rFonts w:ascii="宋体" w:hAnsi="宋体" w:cs="仿宋_GB2312"/>
                <w:color w:val="auto"/>
                <w:sz w:val="24"/>
                <w:highlight w:val="none"/>
              </w:rPr>
            </w:pPr>
            <w:r>
              <w:rPr>
                <w:rFonts w:hint="eastAsia" w:ascii="宋体" w:hAnsi="宋体" w:cs="仿宋_GB2312"/>
                <w:color w:val="auto"/>
                <w:sz w:val="24"/>
                <w:highlight w:val="none"/>
              </w:rPr>
              <w:t>无不合格内容</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6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2711"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安全管理体系与措施</w:t>
            </w: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1.安全目标不满足招标文件要求，缺少重大危险源识别和控制，缺少施工安全措施；</w:t>
            </w:r>
          </w:p>
          <w:p>
            <w:pPr>
              <w:spacing w:line="32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2.引用强制性技术标准错误，或明显违反国家和省有关规定。</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2711"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color w:val="auto"/>
                <w:sz w:val="24"/>
                <w:highlight w:val="none"/>
              </w:rPr>
            </w:pPr>
          </w:p>
        </w:tc>
        <w:tc>
          <w:tcPr>
            <w:tcW w:w="10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left="105" w:leftChars="50" w:right="105" w:rightChars="50"/>
              <w:jc w:val="center"/>
              <w:rPr>
                <w:rFonts w:ascii="宋体" w:hAnsi="宋体" w:cs="仿宋_GB2312"/>
                <w:color w:val="auto"/>
                <w:sz w:val="24"/>
                <w:highlight w:val="none"/>
              </w:rPr>
            </w:pPr>
            <w:r>
              <w:rPr>
                <w:rFonts w:hint="eastAsia" w:ascii="宋体" w:hAnsi="宋体" w:cs="仿宋_GB2312"/>
                <w:color w:val="auto"/>
                <w:sz w:val="24"/>
                <w:highlight w:val="none"/>
              </w:rPr>
              <w:t>无不合格内容</w:t>
            </w:r>
          </w:p>
        </w:tc>
        <w:tc>
          <w:tcPr>
            <w:tcW w:w="10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合格</w:t>
            </w:r>
          </w:p>
        </w:tc>
      </w:tr>
    </w:tbl>
    <w:p>
      <w:pPr>
        <w:widowControl/>
        <w:shd w:val="clear" w:color="auto" w:fill="FFFFFF"/>
        <w:ind w:left="-416" w:leftChars="-198" w:firstLine="633" w:firstLineChars="264"/>
        <w:rPr>
          <w:rFonts w:ascii="宋体" w:hAnsi="宋体" w:cs="仿宋_GB2312"/>
          <w:color w:val="auto"/>
          <w:sz w:val="24"/>
          <w:highlight w:val="none"/>
        </w:rPr>
      </w:pPr>
      <w:r>
        <w:rPr>
          <w:rFonts w:hint="eastAsia" w:ascii="宋体" w:hAnsi="宋体" w:cs="仿宋_GB2312"/>
          <w:color w:val="auto"/>
          <w:sz w:val="24"/>
          <w:highlight w:val="none"/>
        </w:rPr>
        <w:t>注：1.适用于施工组织设计采用合格性评审项目；</w:t>
      </w:r>
    </w:p>
    <w:p>
      <w:pPr>
        <w:widowControl/>
        <w:shd w:val="clear" w:color="auto" w:fill="FFFFFF"/>
        <w:ind w:left="-416" w:leftChars="-198" w:firstLine="1113" w:firstLineChars="464"/>
        <w:rPr>
          <w:rFonts w:hint="eastAsia" w:ascii="宋体" w:hAnsi="宋体" w:cs="仿宋_GB2312"/>
          <w:color w:val="auto"/>
          <w:sz w:val="24"/>
          <w:highlight w:val="none"/>
        </w:rPr>
      </w:pPr>
      <w:r>
        <w:rPr>
          <w:rFonts w:hint="eastAsia" w:ascii="宋体" w:hAnsi="宋体" w:cs="仿宋_GB2312"/>
          <w:color w:val="auto"/>
          <w:sz w:val="24"/>
          <w:highlight w:val="none"/>
        </w:rPr>
        <w:t>2.因施工组织设计缺项或者</w:t>
      </w:r>
      <w:r>
        <w:rPr>
          <w:rFonts w:hint="eastAsia" w:ascii="宋体" w:hAnsi="宋体" w:cs="仿宋_GB2312"/>
          <w:color w:val="auto"/>
          <w:sz w:val="24"/>
          <w:highlight w:val="none"/>
          <w:lang w:val="en-US" w:eastAsia="zh-CN"/>
        </w:rPr>
        <w:t>同</w:t>
      </w:r>
      <w:r>
        <w:rPr>
          <w:rFonts w:hint="eastAsia" w:ascii="宋体" w:hAnsi="宋体" w:cs="仿宋_GB2312"/>
          <w:color w:val="auto"/>
          <w:sz w:val="24"/>
          <w:highlight w:val="none"/>
        </w:rPr>
        <w:t>一项评审内容被</w:t>
      </w:r>
      <w:r>
        <w:rPr>
          <w:rFonts w:hint="eastAsia" w:ascii="宋体" w:hAnsi="宋体" w:cs="仿宋_GB2312"/>
          <w:color w:val="auto"/>
          <w:sz w:val="24"/>
          <w:highlight w:val="none"/>
          <w:lang w:val="en-US" w:eastAsia="zh-CN"/>
        </w:rPr>
        <w:t>超过一半</w:t>
      </w:r>
      <w:r>
        <w:rPr>
          <w:rFonts w:hint="eastAsia" w:ascii="宋体" w:hAnsi="宋体" w:cs="仿宋_GB2312"/>
          <w:color w:val="auto"/>
          <w:sz w:val="24"/>
          <w:highlight w:val="none"/>
        </w:rPr>
        <w:t>评标委员会</w:t>
      </w:r>
      <w:r>
        <w:rPr>
          <w:rFonts w:hint="eastAsia" w:ascii="宋体" w:hAnsi="宋体" w:cs="仿宋_GB2312"/>
          <w:color w:val="auto"/>
          <w:sz w:val="24"/>
          <w:highlight w:val="none"/>
          <w:lang w:val="en-US" w:eastAsia="zh-CN"/>
        </w:rPr>
        <w:t>成员</w:t>
      </w:r>
      <w:r>
        <w:rPr>
          <w:rFonts w:hint="eastAsia" w:ascii="宋体" w:hAnsi="宋体" w:cs="仿宋_GB2312"/>
          <w:color w:val="auto"/>
          <w:sz w:val="24"/>
          <w:highlight w:val="none"/>
        </w:rPr>
        <w:t>判定为不合格的，施工组织设计不合格，应当否决其投标。</w:t>
      </w:r>
    </w:p>
    <w:p>
      <w:pPr>
        <w:widowControl/>
        <w:shd w:val="clear" w:color="auto" w:fill="FFFFFF"/>
        <w:ind w:left="-416" w:leftChars="-198" w:firstLine="1113" w:firstLineChars="464"/>
        <w:rPr>
          <w:rFonts w:hint="eastAsia" w:ascii="宋体" w:hAnsi="宋体" w:cs="仿宋_GB2312"/>
          <w:color w:val="auto"/>
          <w:sz w:val="24"/>
          <w:highlight w:val="none"/>
        </w:rPr>
      </w:pPr>
      <w:r>
        <w:rPr>
          <w:rFonts w:ascii="宋体" w:hAnsi="宋体" w:cs="仿宋_GB2312"/>
          <w:color w:val="auto"/>
          <w:sz w:val="24"/>
          <w:highlight w:val="none"/>
        </w:rPr>
        <w:t>3.</w:t>
      </w:r>
      <w:r>
        <w:rPr>
          <w:rFonts w:hint="eastAsia" w:ascii="宋体" w:hAnsi="宋体" w:cs="仿宋_GB2312"/>
          <w:color w:val="auto"/>
          <w:sz w:val="24"/>
          <w:highlight w:val="none"/>
        </w:rPr>
        <w:t xml:space="preserve"> 施工组织设计</w:t>
      </w:r>
      <w:r>
        <w:rPr>
          <w:rFonts w:hint="eastAsia" w:ascii="宋体" w:hAnsi="宋体" w:cs="仿宋_GB2312"/>
          <w:color w:val="auto"/>
          <w:sz w:val="24"/>
          <w:highlight w:val="none"/>
          <w:lang w:val="en-US" w:eastAsia="zh-CN"/>
        </w:rPr>
        <w:t>评审</w:t>
      </w:r>
      <w:r>
        <w:rPr>
          <w:rFonts w:hint="eastAsia" w:ascii="宋体" w:hAnsi="宋体" w:cs="仿宋_GB2312"/>
          <w:color w:val="auto"/>
          <w:sz w:val="24"/>
          <w:highlight w:val="none"/>
        </w:rPr>
        <w:t>不合格的，评标委员会</w:t>
      </w:r>
      <w:r>
        <w:rPr>
          <w:rFonts w:ascii="宋体" w:hAnsi="宋体" w:cs="仿宋_GB2312"/>
          <w:color w:val="auto"/>
          <w:sz w:val="24"/>
          <w:highlight w:val="none"/>
        </w:rPr>
        <w:t>应当注明</w:t>
      </w:r>
      <w:r>
        <w:rPr>
          <w:rFonts w:hint="eastAsia" w:ascii="宋体" w:hAnsi="宋体" w:cs="仿宋_GB2312"/>
          <w:color w:val="auto"/>
          <w:sz w:val="24"/>
          <w:highlight w:val="none"/>
        </w:rPr>
        <w:t>理由</w:t>
      </w:r>
      <w:r>
        <w:rPr>
          <w:rFonts w:ascii="宋体" w:hAnsi="宋体" w:cs="仿宋_GB2312"/>
          <w:color w:val="auto"/>
          <w:sz w:val="24"/>
          <w:highlight w:val="none"/>
        </w:rPr>
        <w:t>和依据。</w:t>
      </w:r>
    </w:p>
    <w:p>
      <w:pPr>
        <w:pStyle w:val="2"/>
        <w:rPr>
          <w:color w:val="auto"/>
          <w:highlight w:val="none"/>
        </w:rPr>
      </w:pPr>
    </w:p>
    <w:p>
      <w:pPr>
        <w:jc w:val="center"/>
        <w:rPr>
          <w:rFonts w:ascii="楷体" w:hAnsi="楷体" w:eastAsia="楷体" w:cs="楷体"/>
          <w:b/>
          <w:bCs/>
          <w:color w:val="auto"/>
          <w:sz w:val="36"/>
          <w:szCs w:val="36"/>
          <w:highlight w:val="none"/>
        </w:rPr>
      </w:pPr>
      <w:r>
        <w:rPr>
          <w:rFonts w:hint="eastAsia" w:ascii="仿宋_GB2312" w:hAnsi="Times New Roman" w:eastAsia="仿宋_GB2312"/>
          <w:color w:val="auto"/>
          <w:sz w:val="32"/>
          <w:highlight w:val="none"/>
        </w:rPr>
        <w:br w:type="page"/>
      </w:r>
      <w:r>
        <w:rPr>
          <w:rFonts w:hint="eastAsia" w:ascii="楷体" w:hAnsi="楷体" w:eastAsia="楷体" w:cs="楷体"/>
          <w:b/>
          <w:bCs/>
          <w:color w:val="auto"/>
          <w:sz w:val="36"/>
          <w:szCs w:val="36"/>
          <w:highlight w:val="none"/>
        </w:rPr>
        <w:t>附表2：施工组织设计评审表（计分评审）</w:t>
      </w:r>
    </w:p>
    <w:tbl>
      <w:tblPr>
        <w:tblStyle w:val="5"/>
        <w:tblW w:w="14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0"/>
        <w:gridCol w:w="1526"/>
        <w:gridCol w:w="836"/>
        <w:gridCol w:w="10439"/>
        <w:gridCol w:w="77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blHeader/>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序号</w:t>
            </w:r>
          </w:p>
        </w:tc>
        <w:tc>
          <w:tcPr>
            <w:tcW w:w="1526" w:type="dxa"/>
            <w:tcMar>
              <w:top w:w="15" w:type="dxa"/>
              <w:left w:w="15" w:type="dxa"/>
              <w:bottom w:w="0" w:type="dxa"/>
              <w:right w:w="15" w:type="dxa"/>
            </w:tcMar>
            <w:vAlign w:val="center"/>
          </w:tcPr>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评审因素</w:t>
            </w:r>
          </w:p>
        </w:tc>
        <w:tc>
          <w:tcPr>
            <w:tcW w:w="836" w:type="dxa"/>
            <w:tcMar>
              <w:top w:w="15" w:type="dxa"/>
              <w:left w:w="15" w:type="dxa"/>
              <w:bottom w:w="0" w:type="dxa"/>
              <w:right w:w="15" w:type="dxa"/>
            </w:tcMar>
            <w:vAlign w:val="center"/>
          </w:tcPr>
          <w:p>
            <w:pPr>
              <w:spacing w:line="340" w:lineRule="exact"/>
              <w:jc w:val="center"/>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最高</w:t>
            </w:r>
          </w:p>
          <w:p>
            <w:pPr>
              <w:spacing w:line="340" w:lineRule="exact"/>
              <w:jc w:val="center"/>
              <w:rPr>
                <w:rFonts w:hint="eastAsia" w:ascii="宋体" w:hAnsi="宋体" w:eastAsia="宋体" w:cs="仿宋_GB2312"/>
                <w:b/>
                <w:bCs/>
                <w:color w:val="auto"/>
                <w:sz w:val="24"/>
                <w:highlight w:val="none"/>
                <w:lang w:eastAsia="zh-CN"/>
              </w:rPr>
            </w:pPr>
            <w:r>
              <w:rPr>
                <w:rFonts w:hint="eastAsia" w:ascii="宋体" w:hAnsi="宋体" w:cs="仿宋_GB2312"/>
                <w:b/>
                <w:bCs/>
                <w:color w:val="auto"/>
                <w:sz w:val="24"/>
                <w:highlight w:val="none"/>
                <w:lang w:val="en-US" w:eastAsia="zh-CN"/>
              </w:rPr>
              <w:t>分值</w:t>
            </w:r>
          </w:p>
        </w:tc>
        <w:tc>
          <w:tcPr>
            <w:tcW w:w="10439" w:type="dxa"/>
            <w:tcMar>
              <w:top w:w="15" w:type="dxa"/>
              <w:left w:w="15" w:type="dxa"/>
              <w:bottom w:w="0" w:type="dxa"/>
              <w:right w:w="15" w:type="dxa"/>
            </w:tcMar>
            <w:vAlign w:val="center"/>
          </w:tcPr>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评审标准</w:t>
            </w:r>
          </w:p>
        </w:tc>
        <w:tc>
          <w:tcPr>
            <w:tcW w:w="778" w:type="dxa"/>
            <w:tcMar>
              <w:top w:w="15" w:type="dxa"/>
              <w:left w:w="15" w:type="dxa"/>
              <w:bottom w:w="0" w:type="dxa"/>
              <w:right w:w="15" w:type="dxa"/>
            </w:tcMar>
            <w:vAlign w:val="center"/>
          </w:tcPr>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评审</w:t>
            </w:r>
          </w:p>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计分</w:t>
            </w:r>
          </w:p>
        </w:tc>
        <w:tc>
          <w:tcPr>
            <w:tcW w:w="778" w:type="dxa"/>
          </w:tcPr>
          <w:p>
            <w:pPr>
              <w:spacing w:line="340" w:lineRule="exact"/>
              <w:jc w:val="center"/>
              <w:rPr>
                <w:rFonts w:ascii="宋体" w:hAnsi="宋体" w:cs="仿宋_GB2312"/>
                <w:b/>
                <w:bCs/>
                <w:color w:val="auto"/>
                <w:sz w:val="24"/>
                <w:highlight w:val="none"/>
              </w:rPr>
            </w:pPr>
            <w:r>
              <w:rPr>
                <w:rFonts w:hint="eastAsia" w:ascii="宋体" w:hAnsi="宋体"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内容完整和</w:t>
            </w:r>
          </w:p>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编制水平</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版面是否整齐，表述是否清晰，内容是否全面、准确，是否图文并茂，是否出现格式等错误，是否超过招标人规定的页数。</w:t>
            </w:r>
          </w:p>
        </w:tc>
        <w:tc>
          <w:tcPr>
            <w:tcW w:w="778" w:type="dxa"/>
            <w:tcMar>
              <w:top w:w="15" w:type="dxa"/>
              <w:left w:w="15" w:type="dxa"/>
              <w:bottom w:w="0" w:type="dxa"/>
              <w:right w:w="15" w:type="dxa"/>
            </w:tcMar>
            <w:vAlign w:val="center"/>
          </w:tcPr>
          <w:p>
            <w:pPr>
              <w:spacing w:line="340" w:lineRule="exact"/>
              <w:jc w:val="center"/>
              <w:rPr>
                <w:rFonts w:ascii="宋体" w:hAnsi="宋体" w:cs="仿宋_GB2312"/>
                <w:strike/>
                <w:color w:val="auto"/>
                <w:sz w:val="24"/>
                <w:highlight w:val="none"/>
              </w:rPr>
            </w:pPr>
          </w:p>
        </w:tc>
        <w:tc>
          <w:tcPr>
            <w:tcW w:w="778" w:type="dxa"/>
          </w:tcPr>
          <w:p>
            <w:pPr>
              <w:spacing w:line="340" w:lineRule="exact"/>
              <w:jc w:val="center"/>
              <w:rPr>
                <w:rFonts w:ascii="宋体" w:hAnsi="宋体" w:cs="仿宋_GB2312"/>
                <w: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施工方案与        技术措施</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30</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对项目总体概况表述是否清晰、完整；部署及措施是否先进、可靠；针对项目的重点、难点分析是否透彻，解决方案是否切实可行；施工平面布置是否有针对性、合理，较好满足施工需要，是否符合安全、文明生产要求。市政基础设施项目，交通组织规划是否合理、可行，交通组织措施是否得力。</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质量管理体系与措施</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20</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质量目标是否明确，是否优于招标文件的要求；管理机构是否健全，职责分工是否明确；管理制度是否齐全；实施与监控措施是否全面、有效。</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4</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安全管理体系与措施</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20</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安全目标是否明确，是否优于招标文件的要求；管理机构是否健全，职责分工是否明确；管理制度是否齐全；实施与监控措施是否全面、有效。</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5</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环境保护管理体系与措施</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环境管理目标是否明确，是否优于招标文件的要求；是否管理机构健全，职责分工是否明确；管理制度是否齐全</w:t>
            </w:r>
            <w:r>
              <w:rPr>
                <w:rFonts w:hint="eastAsia" w:ascii="宋体" w:hAnsi="宋体" w:cs="仿宋_GB2312"/>
                <w:bCs/>
                <w:color w:val="auto"/>
                <w:sz w:val="24"/>
                <w:highlight w:val="none"/>
              </w:rPr>
              <w:t>（是否</w:t>
            </w:r>
            <w:r>
              <w:rPr>
                <w:rFonts w:ascii="宋体" w:hAnsi="宋体" w:cs="仿宋_GB2312"/>
                <w:bCs/>
                <w:color w:val="auto"/>
                <w:sz w:val="24"/>
                <w:highlight w:val="none"/>
              </w:rPr>
              <w:t>包含建筑垃圾源头减量、分类处置</w:t>
            </w:r>
            <w:r>
              <w:rPr>
                <w:rFonts w:hint="eastAsia" w:ascii="宋体" w:hAnsi="宋体" w:cs="仿宋_GB2312"/>
                <w:bCs/>
                <w:color w:val="auto"/>
                <w:sz w:val="24"/>
                <w:highlight w:val="none"/>
              </w:rPr>
              <w:t>及</w:t>
            </w:r>
            <w:r>
              <w:rPr>
                <w:rFonts w:ascii="宋体" w:hAnsi="宋体" w:cs="仿宋_GB2312"/>
                <w:bCs/>
                <w:color w:val="auto"/>
                <w:sz w:val="24"/>
                <w:highlight w:val="none"/>
              </w:rPr>
              <w:t>扬尘</w:t>
            </w:r>
            <w:r>
              <w:rPr>
                <w:rFonts w:hint="eastAsia" w:ascii="宋体" w:hAnsi="宋体" w:cs="仿宋_GB2312"/>
                <w:bCs/>
                <w:color w:val="auto"/>
                <w:sz w:val="24"/>
                <w:highlight w:val="none"/>
              </w:rPr>
              <w:t>污染</w:t>
            </w:r>
            <w:r>
              <w:rPr>
                <w:rFonts w:hint="eastAsia" w:ascii="宋体" w:hAnsi="宋体" w:cs="仿宋_GB2312"/>
                <w:bCs/>
                <w:color w:val="auto"/>
                <w:sz w:val="24"/>
                <w:highlight w:val="none"/>
                <w:lang w:val="en-US" w:eastAsia="zh-CN"/>
              </w:rPr>
              <w:t>防治</w:t>
            </w:r>
            <w:r>
              <w:rPr>
                <w:rFonts w:hint="eastAsia" w:ascii="宋体" w:hAnsi="宋体" w:cs="仿宋_GB2312"/>
                <w:bCs/>
                <w:color w:val="auto"/>
                <w:sz w:val="24"/>
                <w:highlight w:val="none"/>
              </w:rPr>
              <w:t>等</w:t>
            </w:r>
            <w:r>
              <w:rPr>
                <w:rFonts w:ascii="宋体" w:hAnsi="宋体" w:cs="仿宋_GB2312"/>
                <w:bCs/>
                <w:color w:val="auto"/>
                <w:sz w:val="24"/>
                <w:highlight w:val="none"/>
              </w:rPr>
              <w:t>相关内容）</w:t>
            </w:r>
            <w:r>
              <w:rPr>
                <w:rFonts w:hint="eastAsia" w:ascii="宋体" w:hAnsi="宋体" w:cs="仿宋_GB2312"/>
                <w:color w:val="auto"/>
                <w:sz w:val="24"/>
                <w:highlight w:val="none"/>
              </w:rPr>
              <w:t>；实施与监控措施是否全面、有效。</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6</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工程进度计划与保证措施</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总工期及节点工期是否满足招标文件要求；施工进度计划内容是否全面，线路是否清晰、准确、完整，计划编制是否合理、可行；措施是否有力、合理、可行。</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jc w:val="center"/>
        </w:trPr>
        <w:tc>
          <w:tcPr>
            <w:tcW w:w="530"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7</w:t>
            </w:r>
          </w:p>
        </w:tc>
        <w:tc>
          <w:tcPr>
            <w:tcW w:w="152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资源配备计划</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5</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资源投入计划与施工部署、施工方法及进度计划是否能够相互呼应并较好满足施工需要，调配投入计划是否合理、准确。</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530" w:type="dxa"/>
            <w:vAlign w:val="center"/>
          </w:tcPr>
          <w:p>
            <w:pPr>
              <w:spacing w:line="340" w:lineRule="exact"/>
              <w:jc w:val="center"/>
              <w:rPr>
                <w:rFonts w:ascii="宋体" w:hAnsi="宋体" w:cs="仿宋_GB2312"/>
                <w:color w:val="auto"/>
                <w:sz w:val="24"/>
                <w:highlight w:val="none"/>
              </w:rPr>
            </w:pPr>
            <w:r>
              <w:rPr>
                <w:rFonts w:ascii="宋体" w:hAnsi="宋体" w:cs="仿宋_GB2312"/>
                <w:color w:val="auto"/>
                <w:sz w:val="24"/>
                <w:highlight w:val="none"/>
              </w:rPr>
              <w:t>8</w:t>
            </w:r>
          </w:p>
        </w:tc>
        <w:tc>
          <w:tcPr>
            <w:tcW w:w="1526" w:type="dxa"/>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其他</w:t>
            </w:r>
          </w:p>
        </w:tc>
        <w:tc>
          <w:tcPr>
            <w:tcW w:w="836" w:type="dxa"/>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10439" w:type="dxa"/>
            <w:tcMar>
              <w:top w:w="15" w:type="dxa"/>
              <w:left w:w="15" w:type="dxa"/>
              <w:bottom w:w="0" w:type="dxa"/>
              <w:right w:w="15" w:type="dxa"/>
            </w:tcMar>
            <w:vAlign w:val="center"/>
          </w:tcPr>
          <w:p>
            <w:pPr>
              <w:spacing w:line="340" w:lineRule="exact"/>
              <w:ind w:left="105" w:leftChars="50" w:right="105" w:rightChars="50"/>
              <w:rPr>
                <w:rFonts w:ascii="宋体" w:hAnsi="宋体" w:cs="仿宋_GB2312"/>
                <w:color w:val="auto"/>
                <w:sz w:val="24"/>
                <w:highlight w:val="none"/>
              </w:rPr>
            </w:pPr>
            <w:r>
              <w:rPr>
                <w:rFonts w:hint="eastAsia" w:ascii="宋体" w:hAnsi="宋体" w:cs="仿宋_GB2312"/>
                <w:color w:val="auto"/>
                <w:sz w:val="24"/>
                <w:highlight w:val="none"/>
              </w:rPr>
              <w:t>招标人其他要求（如有）</w:t>
            </w:r>
          </w:p>
        </w:tc>
        <w:tc>
          <w:tcPr>
            <w:tcW w:w="778"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2056" w:type="dxa"/>
            <w:gridSpan w:val="2"/>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合计</w:t>
            </w:r>
          </w:p>
        </w:tc>
        <w:tc>
          <w:tcPr>
            <w:tcW w:w="836" w:type="dxa"/>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r>
              <w:rPr>
                <w:rFonts w:hint="eastAsia" w:ascii="宋体" w:hAnsi="宋体" w:cs="仿宋_GB2312"/>
                <w:color w:val="auto"/>
                <w:sz w:val="24"/>
                <w:highlight w:val="none"/>
              </w:rPr>
              <w:t>100</w:t>
            </w:r>
          </w:p>
        </w:tc>
        <w:tc>
          <w:tcPr>
            <w:tcW w:w="11217" w:type="dxa"/>
            <w:gridSpan w:val="2"/>
            <w:tcMar>
              <w:top w:w="15" w:type="dxa"/>
              <w:left w:w="15" w:type="dxa"/>
              <w:bottom w:w="0" w:type="dxa"/>
              <w:right w:w="15" w:type="dxa"/>
            </w:tcMar>
            <w:vAlign w:val="center"/>
          </w:tcPr>
          <w:p>
            <w:pPr>
              <w:spacing w:line="340" w:lineRule="exact"/>
              <w:jc w:val="center"/>
              <w:rPr>
                <w:rFonts w:ascii="宋体" w:hAnsi="宋体" w:cs="仿宋_GB2312"/>
                <w:color w:val="auto"/>
                <w:sz w:val="24"/>
                <w:highlight w:val="none"/>
              </w:rPr>
            </w:pPr>
          </w:p>
        </w:tc>
        <w:tc>
          <w:tcPr>
            <w:tcW w:w="778" w:type="dxa"/>
          </w:tcPr>
          <w:p>
            <w:pPr>
              <w:spacing w:line="340" w:lineRule="exact"/>
              <w:jc w:val="center"/>
              <w:rPr>
                <w:rFonts w:ascii="宋体" w:hAnsi="宋体" w:cs="仿宋_GB2312"/>
                <w:color w:val="auto"/>
                <w:sz w:val="24"/>
                <w:highlight w:val="none"/>
              </w:rPr>
            </w:pPr>
          </w:p>
        </w:tc>
      </w:tr>
    </w:tbl>
    <w:p>
      <w:pPr>
        <w:spacing w:line="480" w:lineRule="exact"/>
        <w:ind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注：</w:t>
      </w:r>
      <w:r>
        <w:rPr>
          <w:rFonts w:hint="eastAsia" w:ascii="宋体" w:hAnsi="宋体"/>
          <w:color w:val="auto"/>
          <w:highlight w:val="none"/>
        </w:rPr>
        <w:t>适用于</w:t>
      </w:r>
      <w:r>
        <w:rPr>
          <w:rFonts w:hint="eastAsia" w:ascii="宋体" w:hAnsi="宋体"/>
          <w:color w:val="auto"/>
          <w:highlight w:val="none"/>
          <w:lang w:val="en-US" w:eastAsia="zh-CN"/>
        </w:rPr>
        <w:t>施工组织设计</w:t>
      </w:r>
      <w:r>
        <w:rPr>
          <w:rFonts w:hint="eastAsia" w:ascii="宋体" w:hAnsi="宋体"/>
          <w:color w:val="auto"/>
          <w:highlight w:val="none"/>
        </w:rPr>
        <w:t>采用计分评审的项目</w:t>
      </w:r>
      <w:r>
        <w:rPr>
          <w:rFonts w:hint="eastAsia" w:ascii="宋体" w:hAnsi="宋体"/>
          <w:color w:val="auto"/>
          <w:highlight w:val="none"/>
          <w:lang w:eastAsia="zh-CN"/>
        </w:rPr>
        <w:t>。</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施工组织设计</w:t>
      </w:r>
      <w:r>
        <w:rPr>
          <w:rFonts w:hint="eastAsia" w:ascii="宋体" w:hAnsi="宋体"/>
          <w:color w:val="auto"/>
          <w:highlight w:val="none"/>
        </w:rPr>
        <w:t>评审标准编制要求</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 xml:space="preserve"> </w:t>
      </w:r>
      <w:r>
        <w:rPr>
          <w:rFonts w:hint="eastAsia" w:ascii="宋体" w:hAnsi="宋体"/>
          <w:color w:val="auto"/>
          <w:highlight w:val="none"/>
          <w:lang w:val="en-US" w:eastAsia="zh-CN"/>
        </w:rPr>
        <w:t>施工组织设计</w:t>
      </w:r>
      <w:r>
        <w:rPr>
          <w:rFonts w:hint="eastAsia" w:ascii="宋体" w:hAnsi="宋体"/>
          <w:color w:val="auto"/>
          <w:highlight w:val="none"/>
        </w:rPr>
        <w:t>采用暗标方式，招标人</w:t>
      </w:r>
      <w:r>
        <w:rPr>
          <w:rFonts w:ascii="宋体" w:hAnsi="宋体"/>
          <w:color w:val="auto"/>
          <w:highlight w:val="none"/>
        </w:rPr>
        <w:t>可以根据项目实际</w:t>
      </w:r>
      <w:r>
        <w:rPr>
          <w:rFonts w:hint="eastAsia" w:ascii="宋体" w:hAnsi="宋体"/>
          <w:color w:val="auto"/>
          <w:highlight w:val="none"/>
        </w:rPr>
        <w:t>，在招标文件中明确</w:t>
      </w:r>
      <w:r>
        <w:rPr>
          <w:rFonts w:hint="eastAsia" w:ascii="宋体" w:hAnsi="宋体"/>
          <w:color w:val="auto"/>
          <w:highlight w:val="none"/>
          <w:lang w:val="en-US" w:eastAsia="zh-CN"/>
        </w:rPr>
        <w:t>施工组织设计</w:t>
      </w:r>
      <w:r>
        <w:rPr>
          <w:rFonts w:hint="eastAsia" w:ascii="宋体" w:hAnsi="宋体"/>
          <w:color w:val="auto"/>
          <w:highlight w:val="none"/>
        </w:rPr>
        <w:t>具体页数要求；</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 xml:space="preserve"> 计分表中的评审标准为通用模板，招标人可根据项目的实际情况在评审标准的招标人其他要求中进行补充；</w:t>
      </w:r>
    </w:p>
    <w:p>
      <w:pPr>
        <w:spacing w:line="480" w:lineRule="exact"/>
        <w:ind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lang w:val="en-US" w:eastAsia="zh-CN"/>
        </w:rPr>
        <w:t>施工组织设计</w:t>
      </w:r>
      <w:r>
        <w:rPr>
          <w:rFonts w:ascii="宋体" w:hAnsi="宋体"/>
          <w:color w:val="auto"/>
          <w:highlight w:val="none"/>
        </w:rPr>
        <w:t>评审要求</w:t>
      </w:r>
    </w:p>
    <w:p>
      <w:pPr>
        <w:spacing w:line="480" w:lineRule="exact"/>
        <w:ind w:firstLine="420" w:firstLineChars="200"/>
        <w:rPr>
          <w:rFonts w:ascii="宋体" w:hAnsi="宋体"/>
          <w:color w:val="auto"/>
          <w:highlight w:val="none"/>
        </w:rPr>
      </w:pPr>
      <w:r>
        <w:rPr>
          <w:rFonts w:ascii="宋体" w:hAnsi="宋体"/>
          <w:color w:val="auto"/>
          <w:highlight w:val="none"/>
        </w:rPr>
        <w:t>2.1由评标委员会独立评审计分</w:t>
      </w:r>
      <w:r>
        <w:rPr>
          <w:rFonts w:hint="eastAsia" w:ascii="宋体" w:hAnsi="宋体"/>
          <w:color w:val="auto"/>
          <w:highlight w:val="none"/>
        </w:rPr>
        <w:t>；</w:t>
      </w:r>
    </w:p>
    <w:p>
      <w:pPr>
        <w:spacing w:line="480" w:lineRule="exact"/>
        <w:ind w:firstLine="420" w:firstLineChars="200"/>
        <w:rPr>
          <w:rFonts w:ascii="宋体" w:hAnsi="宋体"/>
          <w:color w:val="auto"/>
          <w:highlight w:val="none"/>
        </w:rPr>
      </w:pPr>
      <w:r>
        <w:rPr>
          <w:rFonts w:ascii="宋体" w:hAnsi="宋体"/>
          <w:color w:val="auto"/>
          <w:highlight w:val="none"/>
        </w:rPr>
        <w:t>2.2投标文件的“</w:t>
      </w:r>
      <w:r>
        <w:rPr>
          <w:rFonts w:hint="eastAsia" w:ascii="宋体" w:hAnsi="宋体"/>
          <w:color w:val="auto"/>
          <w:highlight w:val="none"/>
        </w:rPr>
        <w:t>施工组织设计</w:t>
      </w:r>
      <w:r>
        <w:rPr>
          <w:rFonts w:ascii="宋体" w:hAnsi="宋体"/>
          <w:color w:val="auto"/>
          <w:highlight w:val="none"/>
        </w:rPr>
        <w:t>暗标”内出现投标人名称或者出现任何能直接判断出投标人名称的内容的，</w:t>
      </w:r>
      <w:r>
        <w:rPr>
          <w:rFonts w:hint="eastAsia" w:ascii="宋体" w:hAnsi="宋体"/>
          <w:color w:val="auto"/>
          <w:highlight w:val="none"/>
          <w:lang w:val="en-US" w:eastAsia="zh-CN"/>
        </w:rPr>
        <w:t>施工组织设计</w:t>
      </w:r>
      <w:r>
        <w:rPr>
          <w:rFonts w:ascii="宋体" w:hAnsi="宋体"/>
          <w:color w:val="auto"/>
          <w:highlight w:val="none"/>
        </w:rPr>
        <w:t>评审计零分</w:t>
      </w:r>
      <w:r>
        <w:rPr>
          <w:rFonts w:hint="eastAsia" w:ascii="宋体" w:hAnsi="宋体"/>
          <w:color w:val="auto"/>
          <w:highlight w:val="none"/>
        </w:rPr>
        <w:t>；</w:t>
      </w:r>
    </w:p>
    <w:p>
      <w:pPr>
        <w:spacing w:line="480" w:lineRule="exact"/>
        <w:ind w:firstLine="420" w:firstLineChars="200"/>
        <w:rPr>
          <w:rFonts w:ascii="宋体" w:hAnsi="宋体"/>
          <w:color w:val="auto"/>
          <w:highlight w:val="none"/>
        </w:rPr>
      </w:pPr>
      <w:r>
        <w:rPr>
          <w:rFonts w:ascii="宋体" w:hAnsi="宋体"/>
          <w:color w:val="auto"/>
          <w:highlight w:val="none"/>
        </w:rPr>
        <w:t>2.3</w:t>
      </w:r>
      <w:r>
        <w:rPr>
          <w:rFonts w:hint="eastAsia" w:ascii="宋体" w:hAnsi="宋体"/>
          <w:color w:val="auto"/>
          <w:highlight w:val="none"/>
          <w:lang w:val="en-US" w:eastAsia="zh-CN"/>
        </w:rPr>
        <w:t>施工组织设计</w:t>
      </w:r>
      <w:r>
        <w:rPr>
          <w:rFonts w:ascii="宋体" w:hAnsi="宋体"/>
          <w:color w:val="auto"/>
          <w:highlight w:val="none"/>
        </w:rPr>
        <w:t>缺失某项评审项目</w:t>
      </w:r>
      <w:r>
        <w:rPr>
          <w:rFonts w:hint="eastAsia" w:ascii="宋体" w:hAnsi="宋体"/>
          <w:color w:val="auto"/>
          <w:highlight w:val="none"/>
        </w:rPr>
        <w:t>或者某项评审因素明显错误</w:t>
      </w:r>
      <w:r>
        <w:rPr>
          <w:rFonts w:ascii="宋体" w:hAnsi="宋体"/>
          <w:color w:val="auto"/>
          <w:highlight w:val="none"/>
        </w:rPr>
        <w:t>的，该项计零分；</w:t>
      </w:r>
    </w:p>
    <w:p>
      <w:pPr>
        <w:spacing w:line="480" w:lineRule="exact"/>
        <w:ind w:firstLine="420" w:firstLineChars="200"/>
        <w:rPr>
          <w:rFonts w:ascii="宋体" w:hAnsi="宋体"/>
          <w:color w:val="auto"/>
          <w:highlight w:val="none"/>
        </w:rPr>
      </w:pPr>
      <w:r>
        <w:rPr>
          <w:rFonts w:ascii="宋体" w:hAnsi="宋体"/>
          <w:color w:val="auto"/>
          <w:highlight w:val="none"/>
        </w:rPr>
        <w:t>2.4评标委员会成员对单项评审项目评审应当在规定的区间内计分，评标委员会成员对各项因素</w:t>
      </w:r>
      <w:r>
        <w:rPr>
          <w:rFonts w:hint="eastAsia" w:ascii="宋体" w:hAnsi="宋体"/>
          <w:color w:val="auto"/>
          <w:highlight w:val="none"/>
        </w:rPr>
        <w:t>（内容完整和编制水平除外）</w:t>
      </w:r>
      <w:r>
        <w:rPr>
          <w:rFonts w:ascii="宋体" w:hAnsi="宋体"/>
          <w:color w:val="auto"/>
          <w:highlight w:val="none"/>
        </w:rPr>
        <w:t>的评分不得低于招标文件规定该因素满分值的80%；评分低于满分值8</w:t>
      </w:r>
      <w:r>
        <w:rPr>
          <w:rFonts w:hint="eastAsia" w:ascii="宋体" w:hAnsi="宋体"/>
          <w:color w:val="auto"/>
          <w:highlight w:val="none"/>
          <w:lang w:val="en-US" w:eastAsia="zh-CN"/>
        </w:rPr>
        <w:t>5</w:t>
      </w:r>
      <w:r>
        <w:rPr>
          <w:rFonts w:ascii="宋体" w:hAnsi="宋体"/>
          <w:color w:val="auto"/>
          <w:highlight w:val="none"/>
        </w:rPr>
        <w:t>%的或高于满分分值9</w:t>
      </w:r>
      <w:r>
        <w:rPr>
          <w:rFonts w:hint="eastAsia" w:ascii="宋体" w:hAnsi="宋体"/>
          <w:color w:val="auto"/>
          <w:highlight w:val="none"/>
          <w:lang w:val="en-US" w:eastAsia="zh-CN"/>
        </w:rPr>
        <w:t>5</w:t>
      </w:r>
      <w:r>
        <w:rPr>
          <w:rFonts w:ascii="宋体" w:hAnsi="宋体"/>
          <w:color w:val="auto"/>
          <w:highlight w:val="none"/>
        </w:rPr>
        <w:t>%的，评标委员会成员应当在评标报告中作出说明</w:t>
      </w:r>
      <w:r>
        <w:rPr>
          <w:rFonts w:hint="eastAsia" w:ascii="宋体" w:hAnsi="宋体"/>
          <w:color w:val="auto"/>
          <w:highlight w:val="none"/>
        </w:rPr>
        <w:t>并注明详细理由和依据,不得采用笼统或简单的“好、一般、差”等表述；</w:t>
      </w:r>
    </w:p>
    <w:p>
      <w:pPr>
        <w:spacing w:line="480" w:lineRule="exact"/>
        <w:ind w:firstLine="420" w:firstLineChars="200"/>
        <w:rPr>
          <w:rFonts w:ascii="宋体" w:hAnsi="宋体"/>
          <w:color w:val="auto"/>
          <w:highlight w:val="none"/>
        </w:rPr>
      </w:pPr>
      <w:r>
        <w:rPr>
          <w:rFonts w:ascii="宋体" w:hAnsi="宋体"/>
          <w:color w:val="auto"/>
          <w:highlight w:val="none"/>
        </w:rPr>
        <w:t>2.5</w:t>
      </w:r>
      <w:r>
        <w:rPr>
          <w:rFonts w:hint="eastAsia" w:ascii="宋体" w:hAnsi="宋体"/>
          <w:color w:val="auto"/>
          <w:highlight w:val="none"/>
        </w:rPr>
        <w:t>投标文件</w:t>
      </w:r>
      <w:r>
        <w:rPr>
          <w:rFonts w:ascii="宋体" w:hAnsi="宋体"/>
          <w:color w:val="auto"/>
          <w:highlight w:val="none"/>
        </w:rPr>
        <w:t>页数超过招标文件规定页数的，</w:t>
      </w:r>
      <w:r>
        <w:rPr>
          <w:rFonts w:hint="eastAsia" w:ascii="宋体" w:hAnsi="宋体"/>
          <w:color w:val="auto"/>
          <w:highlight w:val="none"/>
        </w:rPr>
        <w:t>由</w:t>
      </w:r>
      <w:r>
        <w:rPr>
          <w:rFonts w:ascii="宋体" w:hAnsi="宋体"/>
          <w:color w:val="auto"/>
          <w:highlight w:val="none"/>
        </w:rPr>
        <w:t>评标委员会</w:t>
      </w:r>
      <w:r>
        <w:rPr>
          <w:rFonts w:hint="eastAsia" w:ascii="宋体" w:hAnsi="宋体"/>
          <w:color w:val="auto"/>
          <w:highlight w:val="none"/>
        </w:rPr>
        <w:t>对其必要性进行</w:t>
      </w:r>
      <w:r>
        <w:rPr>
          <w:rFonts w:ascii="宋体" w:hAnsi="宋体"/>
          <w:color w:val="auto"/>
          <w:highlight w:val="none"/>
        </w:rPr>
        <w:t>评审</w:t>
      </w:r>
      <w:r>
        <w:rPr>
          <w:rFonts w:hint="eastAsia" w:ascii="宋体" w:hAnsi="宋体"/>
          <w:color w:val="auto"/>
          <w:highlight w:val="none"/>
        </w:rPr>
        <w:t>，可在内容完整和编制水平</w:t>
      </w:r>
      <w:r>
        <w:rPr>
          <w:rFonts w:ascii="宋体" w:hAnsi="宋体"/>
          <w:color w:val="auto"/>
          <w:highlight w:val="none"/>
        </w:rPr>
        <w:t>中予以扣分</w:t>
      </w:r>
      <w:r>
        <w:rPr>
          <w:rFonts w:hint="eastAsia" w:ascii="宋体" w:hAnsi="宋体"/>
          <w:color w:val="auto"/>
          <w:highlight w:val="none"/>
        </w:rPr>
        <w:t>；</w:t>
      </w:r>
    </w:p>
    <w:p>
      <w:pPr>
        <w:spacing w:line="480" w:lineRule="exact"/>
        <w:ind w:firstLine="420" w:firstLineChars="200"/>
        <w:rPr>
          <w:rFonts w:ascii="宋体" w:hAnsi="宋体"/>
          <w:color w:val="auto"/>
          <w:highlight w:val="none"/>
        </w:rPr>
      </w:pPr>
      <w:r>
        <w:rPr>
          <w:rFonts w:ascii="宋体" w:hAnsi="宋体"/>
          <w:color w:val="auto"/>
          <w:highlight w:val="none"/>
        </w:rPr>
        <w:t>2.6</w:t>
      </w:r>
      <w:r>
        <w:rPr>
          <w:rFonts w:hint="eastAsia" w:ascii="宋体" w:hAnsi="宋体"/>
          <w:color w:val="auto"/>
          <w:highlight w:val="none"/>
        </w:rPr>
        <w:t>投标人的</w:t>
      </w:r>
      <w:r>
        <w:rPr>
          <w:rFonts w:hint="eastAsia" w:ascii="宋体" w:hAnsi="宋体"/>
          <w:color w:val="auto"/>
          <w:highlight w:val="none"/>
          <w:lang w:val="en-US" w:eastAsia="zh-CN"/>
        </w:rPr>
        <w:t>施工组织设计</w:t>
      </w:r>
      <w:r>
        <w:rPr>
          <w:rFonts w:hint="eastAsia" w:ascii="宋体" w:hAnsi="宋体"/>
          <w:color w:val="auto"/>
          <w:highlight w:val="none"/>
        </w:rPr>
        <w:t>得分为去掉评审总分的一个最高分和一个最低分后的算术平均值。</w:t>
      </w:r>
    </w:p>
    <w:p>
      <w:pPr>
        <w:widowControl/>
        <w:spacing w:line="360" w:lineRule="auto"/>
        <w:jc w:val="left"/>
        <w:rPr>
          <w:rFonts w:ascii="黑体" w:hAnsi="宋体" w:eastAsia="黑体" w:cs="仿宋_GB2312"/>
          <w:color w:val="auto"/>
          <w:kern w:val="0"/>
          <w:sz w:val="24"/>
          <w:highlight w:val="none"/>
        </w:rPr>
        <w:sectPr>
          <w:pgSz w:w="16838" w:h="11906" w:orient="landscape"/>
          <w:pgMar w:top="1417" w:right="1418" w:bottom="1247" w:left="1418" w:header="720" w:footer="720" w:gutter="0"/>
          <w:cols w:space="720" w:num="1"/>
          <w:docGrid w:type="lines" w:linePitch="318" w:charSpace="0"/>
        </w:sectPr>
      </w:pP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附表3：业绩及信用评审计分表</w:t>
      </w:r>
    </w:p>
    <w:tbl>
      <w:tblPr>
        <w:tblStyle w:val="5"/>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709"/>
        <w:gridCol w:w="1134"/>
        <w:gridCol w:w="567"/>
        <w:gridCol w:w="1276"/>
        <w:gridCol w:w="2825"/>
        <w:gridCol w:w="882"/>
        <w:gridCol w:w="707"/>
        <w:gridCol w:w="708"/>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序号</w:t>
            </w:r>
          </w:p>
        </w:tc>
        <w:tc>
          <w:tcPr>
            <w:tcW w:w="1843" w:type="dxa"/>
            <w:gridSpan w:val="2"/>
            <w:vMerge w:val="restart"/>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评审因素</w:t>
            </w:r>
          </w:p>
        </w:tc>
        <w:tc>
          <w:tcPr>
            <w:tcW w:w="567" w:type="dxa"/>
            <w:vMerge w:val="restart"/>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最高       分值</w:t>
            </w:r>
          </w:p>
        </w:tc>
        <w:tc>
          <w:tcPr>
            <w:tcW w:w="410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评审标准</w:t>
            </w:r>
          </w:p>
        </w:tc>
        <w:tc>
          <w:tcPr>
            <w:tcW w:w="882" w:type="dxa"/>
            <w:vMerge w:val="restart"/>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选取</w:t>
            </w:r>
          </w:p>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方式</w:t>
            </w:r>
          </w:p>
        </w:tc>
        <w:tc>
          <w:tcPr>
            <w:tcW w:w="2126" w:type="dxa"/>
            <w:gridSpan w:val="3"/>
            <w:tcBorders>
              <w:top w:val="single" w:color="auto" w:sz="4" w:space="0"/>
              <w:left w:val="nil"/>
              <w:bottom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0" w:type="auto"/>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1276"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类别</w:t>
            </w:r>
          </w:p>
        </w:tc>
        <w:tc>
          <w:tcPr>
            <w:tcW w:w="28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数量和分值</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707"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计分制</w:t>
            </w:r>
          </w:p>
        </w:tc>
        <w:tc>
          <w:tcPr>
            <w:tcW w:w="708"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最低分</w:t>
            </w:r>
          </w:p>
        </w:tc>
        <w:tc>
          <w:tcPr>
            <w:tcW w:w="711"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567"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w:t>
            </w:r>
          </w:p>
        </w:tc>
        <w:tc>
          <w:tcPr>
            <w:tcW w:w="709" w:type="dxa"/>
            <w:vMerge w:val="restart"/>
            <w:tcBorders>
              <w:top w:val="single" w:color="auto" w:sz="4" w:space="0"/>
              <w:left w:val="nil"/>
              <w:right w:val="single" w:color="auto" w:sz="4" w:space="0"/>
            </w:tcBorders>
            <w:vAlign w:val="center"/>
          </w:tcPr>
          <w:p>
            <w:pPr>
              <w:widowControl/>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投标企业</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类似工程业绩</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业绩</w:t>
            </w:r>
          </w:p>
        </w:tc>
        <w:tc>
          <w:tcPr>
            <w:tcW w:w="28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施工业绩，每个2.5分。</w:t>
            </w:r>
          </w:p>
        </w:tc>
        <w:tc>
          <w:tcPr>
            <w:tcW w:w="882" w:type="dxa"/>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招标人根据项目实际选择</w:t>
            </w:r>
          </w:p>
        </w:tc>
        <w:tc>
          <w:tcPr>
            <w:tcW w:w="707" w:type="dxa"/>
            <w:tcBorders>
              <w:top w:val="single" w:color="auto" w:sz="4" w:space="0"/>
              <w:left w:val="nil"/>
              <w:bottom w:val="single" w:color="auto" w:sz="4" w:space="0"/>
              <w:right w:val="single" w:color="auto" w:sz="4" w:space="0"/>
            </w:tcBorders>
            <w:vAlign w:val="center"/>
          </w:tcPr>
          <w:p>
            <w:pPr>
              <w:widowControl/>
              <w:ind w:left="-210" w:leftChars="-100"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567"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709"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1134" w:type="dxa"/>
            <w:vMerge w:val="restart"/>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优良</w:t>
            </w:r>
          </w:p>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信息</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施工招投标信用评价</w:t>
            </w:r>
          </w:p>
        </w:tc>
        <w:tc>
          <w:tcPr>
            <w:tcW w:w="28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施工招标投标信用评价得分×25%</w:t>
            </w:r>
          </w:p>
        </w:tc>
        <w:tc>
          <w:tcPr>
            <w:tcW w:w="882" w:type="dxa"/>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707"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56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709" w:type="dxa"/>
            <w:vMerge w:val="continue"/>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1134" w:type="dxa"/>
            <w:vMerge w:val="continue"/>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10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施工项目季度考评综合优良率</w:t>
            </w:r>
          </w:p>
        </w:tc>
        <w:tc>
          <w:tcPr>
            <w:tcW w:w="28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施工项目季度考评综合优良率得分</w:t>
            </w:r>
          </w:p>
        </w:tc>
        <w:tc>
          <w:tcPr>
            <w:tcW w:w="882"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707"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项目管理机构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项目经理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不良信用信息</w:t>
            </w:r>
          </w:p>
        </w:tc>
        <w:tc>
          <w:tcPr>
            <w:tcW w:w="2825"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Cs w:val="21"/>
                <w:highlight w:val="none"/>
              </w:rPr>
              <w:t>项目经理存在信用评价不良信用信息的，根据不良信用信息类型，按照表后注解对应的分值进行扣除。</w:t>
            </w:r>
          </w:p>
        </w:tc>
        <w:tc>
          <w:tcPr>
            <w:tcW w:w="882"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707"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扣分制</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10</w:t>
            </w:r>
          </w:p>
        </w:tc>
      </w:tr>
    </w:tbl>
    <w:p>
      <w:pPr>
        <w:spacing w:line="320" w:lineRule="exact"/>
        <w:jc w:val="left"/>
        <w:rPr>
          <w:rFonts w:hint="eastAsia" w:ascii="宋体" w:hAnsi="宋体" w:cs="仿宋_GB2312"/>
          <w:color w:val="auto"/>
          <w:sz w:val="24"/>
          <w:highlight w:val="none"/>
        </w:rPr>
      </w:pPr>
    </w:p>
    <w:p>
      <w:pPr>
        <w:spacing w:line="320" w:lineRule="exact"/>
        <w:jc w:val="left"/>
        <w:rPr>
          <w:rFonts w:hint="eastAsia" w:ascii="宋体" w:hAnsi="宋体" w:cs="仿宋_GB2312"/>
          <w:color w:val="auto"/>
          <w:sz w:val="24"/>
          <w:highlight w:val="none"/>
        </w:rPr>
      </w:pPr>
      <w:r>
        <w:rPr>
          <w:rFonts w:hint="eastAsia" w:ascii="宋体" w:hAnsi="宋体" w:cs="仿宋_GB2312"/>
          <w:color w:val="auto"/>
          <w:sz w:val="24"/>
          <w:highlight w:val="none"/>
        </w:rPr>
        <w:t>注：</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适用于经评审的最低投标价法。</w:t>
      </w:r>
    </w:p>
    <w:p>
      <w:pPr>
        <w:spacing w:line="320" w:lineRule="exact"/>
        <w:jc w:val="left"/>
        <w:rPr>
          <w:rFonts w:hint="default" w:ascii="宋体" w:hAnsi="宋体" w:cs="仿宋_GB2312"/>
          <w:color w:val="auto"/>
          <w:sz w:val="24"/>
          <w:highlight w:val="none"/>
          <w:lang w:val="en-US" w:eastAsia="zh-CN"/>
        </w:rPr>
      </w:pPr>
      <w:r>
        <w:rPr>
          <w:rFonts w:hint="eastAsia" w:ascii="宋体" w:hAnsi="宋体" w:cs="仿宋_GB2312"/>
          <w:color w:val="auto"/>
          <w:sz w:val="24"/>
          <w:highlight w:val="none"/>
        </w:rPr>
        <w:t xml:space="preserve"> </w:t>
      </w:r>
      <w:r>
        <w:rPr>
          <w:rFonts w:hint="eastAsia" w:ascii="宋体" w:hAnsi="宋体" w:cs="仿宋_GB2312"/>
          <w:color w:val="auto"/>
          <w:sz w:val="24"/>
          <w:highlight w:val="none"/>
          <w:lang w:val="en-US" w:eastAsia="zh-CN"/>
        </w:rPr>
        <w:t xml:space="preserve">   2.</w:t>
      </w:r>
      <w:r>
        <w:rPr>
          <w:rFonts w:hint="eastAsia" w:ascii="宋体" w:hAnsi="宋体" w:cs="仿宋_GB2312"/>
          <w:color w:val="auto"/>
          <w:sz w:val="24"/>
          <w:highlight w:val="none"/>
        </w:rPr>
        <w:t>类似工程业绩</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优良信息、项目经理不良信用信息评审要求同“附表4：企业资信及履约能力评审计分表”后附注。</w:t>
      </w:r>
    </w:p>
    <w:p>
      <w:pPr>
        <w:widowControl/>
        <w:shd w:val="clear" w:color="auto" w:fill="FFFFFF"/>
        <w:spacing w:line="480" w:lineRule="exact"/>
        <w:jc w:val="left"/>
        <w:rPr>
          <w:rFonts w:ascii="仿宋_GB2312" w:hAnsi="Times New Roman" w:eastAsia="仿宋_GB2312"/>
          <w:b/>
          <w:bCs/>
          <w:color w:val="auto"/>
          <w:kern w:val="0"/>
          <w:sz w:val="32"/>
          <w:highlight w:val="none"/>
        </w:rPr>
      </w:pPr>
      <w:r>
        <w:rPr>
          <w:rFonts w:hint="eastAsia" w:ascii="仿宋_GB2312" w:hAnsi="Times New Roman" w:eastAsia="仿宋_GB2312"/>
          <w:b/>
          <w:bCs/>
          <w:color w:val="auto"/>
          <w:kern w:val="0"/>
          <w:sz w:val="32"/>
          <w:highlight w:val="none"/>
        </w:rPr>
        <w:t xml:space="preserve"> </w:t>
      </w:r>
    </w:p>
    <w:p>
      <w:pPr>
        <w:widowControl/>
        <w:shd w:val="clear" w:color="auto" w:fill="FFFFFF"/>
        <w:spacing w:line="480" w:lineRule="exact"/>
        <w:jc w:val="left"/>
        <w:rPr>
          <w:rFonts w:ascii="仿宋_GB2312" w:hAnsi="Times New Roman" w:eastAsia="仿宋_GB2312"/>
          <w:b/>
          <w:bCs/>
          <w:color w:val="auto"/>
          <w:kern w:val="0"/>
          <w:sz w:val="32"/>
          <w:highlight w:val="none"/>
        </w:rPr>
      </w:pPr>
      <w:r>
        <w:rPr>
          <w:rFonts w:hint="eastAsia" w:ascii="仿宋_GB2312" w:hAnsi="Times New Roman" w:eastAsia="仿宋_GB2312"/>
          <w:b/>
          <w:bCs/>
          <w:color w:val="auto"/>
          <w:kern w:val="0"/>
          <w:sz w:val="32"/>
          <w:highlight w:val="none"/>
        </w:rPr>
        <w:t xml:space="preserve"> </w:t>
      </w:r>
    </w:p>
    <w:p>
      <w:pPr>
        <w:widowControl/>
        <w:shd w:val="clear" w:color="auto" w:fill="FFFFFF"/>
        <w:spacing w:line="480" w:lineRule="exact"/>
        <w:jc w:val="left"/>
        <w:rPr>
          <w:rFonts w:ascii="仿宋_GB2312" w:hAnsi="Times New Roman" w:eastAsia="仿宋_GB2312"/>
          <w:b/>
          <w:bCs/>
          <w:color w:val="auto"/>
          <w:kern w:val="0"/>
          <w:sz w:val="32"/>
          <w:highlight w:val="none"/>
        </w:rPr>
      </w:pPr>
      <w:r>
        <w:rPr>
          <w:rFonts w:hint="eastAsia" w:ascii="仿宋_GB2312" w:hAnsi="Times New Roman" w:eastAsia="仿宋_GB2312"/>
          <w:b/>
          <w:bCs/>
          <w:color w:val="auto"/>
          <w:kern w:val="0"/>
          <w:sz w:val="32"/>
          <w:highlight w:val="none"/>
        </w:rPr>
        <w:t xml:space="preserve"> </w:t>
      </w:r>
    </w:p>
    <w:p>
      <w:pPr>
        <w:widowControl/>
        <w:shd w:val="clear" w:color="auto" w:fill="FFFFFF"/>
        <w:spacing w:line="480" w:lineRule="exact"/>
        <w:jc w:val="left"/>
        <w:rPr>
          <w:rFonts w:ascii="仿宋_GB2312" w:hAnsi="Times New Roman" w:eastAsia="仿宋_GB2312"/>
          <w:b/>
          <w:bCs/>
          <w:color w:val="auto"/>
          <w:kern w:val="0"/>
          <w:sz w:val="32"/>
          <w:highlight w:val="none"/>
        </w:rPr>
      </w:pPr>
      <w:r>
        <w:rPr>
          <w:rFonts w:hint="eastAsia" w:ascii="仿宋_GB2312" w:hAnsi="Times New Roman" w:eastAsia="仿宋_GB2312"/>
          <w:b/>
          <w:bCs/>
          <w:color w:val="auto"/>
          <w:kern w:val="0"/>
          <w:sz w:val="32"/>
          <w:highlight w:val="none"/>
        </w:rPr>
        <w:t xml:space="preserve"> </w:t>
      </w:r>
    </w:p>
    <w:p>
      <w:pPr>
        <w:widowControl/>
        <w:shd w:val="clear" w:color="auto" w:fill="FFFFFF"/>
        <w:spacing w:line="480" w:lineRule="exact"/>
        <w:jc w:val="left"/>
        <w:rPr>
          <w:rFonts w:ascii="仿宋_GB2312" w:hAnsi="Times New Roman" w:eastAsia="仿宋_GB2312"/>
          <w:b/>
          <w:bCs/>
          <w:color w:val="auto"/>
          <w:kern w:val="0"/>
          <w:sz w:val="32"/>
          <w:highlight w:val="none"/>
        </w:rPr>
      </w:pPr>
      <w:r>
        <w:rPr>
          <w:rFonts w:hint="eastAsia" w:ascii="仿宋_GB2312" w:hAnsi="Times New Roman" w:eastAsia="仿宋_GB2312"/>
          <w:b/>
          <w:bCs/>
          <w:color w:val="auto"/>
          <w:kern w:val="0"/>
          <w:sz w:val="32"/>
          <w:highlight w:val="none"/>
        </w:rPr>
        <w:t xml:space="preserve"> </w:t>
      </w:r>
    </w:p>
    <w:p>
      <w:pPr>
        <w:widowControl/>
        <w:shd w:val="clear" w:color="auto" w:fill="FFFFFF"/>
        <w:spacing w:line="480" w:lineRule="exact"/>
        <w:jc w:val="left"/>
        <w:rPr>
          <w:rFonts w:ascii="仿宋_GB2312" w:hAnsi="Times New Roman" w:eastAsia="仿宋_GB2312"/>
          <w:b/>
          <w:bCs/>
          <w:color w:val="auto"/>
          <w:kern w:val="0"/>
          <w:sz w:val="32"/>
          <w:highlight w:val="none"/>
        </w:rPr>
        <w:sectPr>
          <w:pgSz w:w="11906" w:h="16838"/>
          <w:pgMar w:top="1417" w:right="1417" w:bottom="1417" w:left="1587" w:header="720" w:footer="720" w:gutter="0"/>
          <w:cols w:space="720" w:num="1"/>
          <w:docGrid w:type="lines" w:linePitch="312" w:charSpace="0"/>
        </w:sectPr>
      </w:pP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附表4：企业资信及履约能力评审计分表</w:t>
      </w:r>
    </w:p>
    <w:tbl>
      <w:tblPr>
        <w:tblStyle w:val="5"/>
        <w:tblW w:w="10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550"/>
        <w:gridCol w:w="930"/>
        <w:gridCol w:w="461"/>
        <w:gridCol w:w="880"/>
        <w:gridCol w:w="3588"/>
        <w:gridCol w:w="1505"/>
        <w:gridCol w:w="650"/>
        <w:gridCol w:w="691"/>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92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评审因素</w:t>
            </w:r>
          </w:p>
        </w:tc>
        <w:tc>
          <w:tcPr>
            <w:tcW w:w="461" w:type="dxa"/>
            <w:vMerge w:val="restart"/>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最高       分值</w:t>
            </w:r>
          </w:p>
        </w:tc>
        <w:tc>
          <w:tcPr>
            <w:tcW w:w="446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评审标准</w:t>
            </w:r>
          </w:p>
        </w:tc>
        <w:tc>
          <w:tcPr>
            <w:tcW w:w="1505" w:type="dxa"/>
            <w:vMerge w:val="restart"/>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选取</w:t>
            </w:r>
          </w:p>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方式</w:t>
            </w:r>
          </w:p>
        </w:tc>
        <w:tc>
          <w:tcPr>
            <w:tcW w:w="2022" w:type="dxa"/>
            <w:gridSpan w:val="3"/>
            <w:tcBorders>
              <w:top w:val="single" w:color="auto" w:sz="4" w:space="0"/>
              <w:left w:val="nil"/>
              <w:bottom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9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461"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880"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类别</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数量和分值</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50"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计分制</w:t>
            </w:r>
          </w:p>
        </w:tc>
        <w:tc>
          <w:tcPr>
            <w:tcW w:w="691"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最低分</w:t>
            </w:r>
          </w:p>
        </w:tc>
        <w:tc>
          <w:tcPr>
            <w:tcW w:w="681"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41" w:type="dxa"/>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w:t>
            </w:r>
          </w:p>
        </w:tc>
        <w:tc>
          <w:tcPr>
            <w:tcW w:w="550" w:type="dxa"/>
            <w:vMerge w:val="restart"/>
            <w:tcBorders>
              <w:top w:val="nil"/>
              <w:left w:val="nil"/>
              <w:right w:val="single" w:color="auto" w:sz="4" w:space="0"/>
            </w:tcBorders>
            <w:vAlign w:val="center"/>
          </w:tcPr>
          <w:p>
            <w:pPr>
              <w:widowControl/>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投标企业</w:t>
            </w:r>
          </w:p>
        </w:tc>
        <w:tc>
          <w:tcPr>
            <w:tcW w:w="930" w:type="dxa"/>
            <w:vMerge w:val="restart"/>
            <w:tcBorders>
              <w:top w:val="nil"/>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优良信息</w:t>
            </w:r>
          </w:p>
        </w:tc>
        <w:tc>
          <w:tcPr>
            <w:tcW w:w="461" w:type="dxa"/>
            <w:vMerge w:val="restart"/>
            <w:tcBorders>
              <w:top w:val="nil"/>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10</w:t>
            </w:r>
          </w:p>
        </w:tc>
        <w:tc>
          <w:tcPr>
            <w:tcW w:w="880" w:type="dxa"/>
            <w:vMerge w:val="restart"/>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奖项</w:t>
            </w:r>
          </w:p>
        </w:tc>
        <w:tc>
          <w:tcPr>
            <w:tcW w:w="3588"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鲁班奖，每个</w:t>
            </w:r>
            <w:r>
              <w:rPr>
                <w:rFonts w:ascii="仿宋_GB2312" w:hAnsi="仿宋_GB2312" w:eastAsia="仿宋_GB2312" w:cs="仿宋_GB2312"/>
                <w:color w:val="auto"/>
                <w:kern w:val="0"/>
                <w:szCs w:val="21"/>
                <w:highlight w:val="none"/>
              </w:rPr>
              <w:t>2.5</w:t>
            </w:r>
            <w:r>
              <w:rPr>
                <w:rFonts w:hint="eastAsia" w:ascii="仿宋_GB2312" w:hAnsi="仿宋_GB2312" w:eastAsia="仿宋_GB2312" w:cs="仿宋_GB2312"/>
                <w:color w:val="auto"/>
                <w:kern w:val="0"/>
                <w:szCs w:val="21"/>
                <w:highlight w:val="none"/>
              </w:rPr>
              <w:t>分；</w:t>
            </w:r>
          </w:p>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国家优质工程奖，每个2.</w:t>
            </w:r>
            <w:r>
              <w:rPr>
                <w:rFonts w:ascii="仿宋_GB2312" w:hAnsi="仿宋_GB2312" w:eastAsia="仿宋_GB2312" w:cs="仿宋_GB2312"/>
                <w:color w:val="auto"/>
                <w:kern w:val="0"/>
                <w:szCs w:val="21"/>
                <w:highlight w:val="none"/>
              </w:rPr>
              <w:t>2</w:t>
            </w:r>
            <w:r>
              <w:rPr>
                <w:rFonts w:hint="eastAsia" w:ascii="仿宋_GB2312" w:hAnsi="仿宋_GB2312" w:eastAsia="仿宋_GB2312" w:cs="仿宋_GB2312"/>
                <w:color w:val="auto"/>
                <w:kern w:val="0"/>
                <w:szCs w:val="21"/>
                <w:highlight w:val="none"/>
              </w:rPr>
              <w:t>分；</w:t>
            </w:r>
          </w:p>
        </w:tc>
        <w:tc>
          <w:tcPr>
            <w:tcW w:w="1505" w:type="dxa"/>
            <w:vMerge w:val="restart"/>
            <w:tcBorders>
              <w:top w:val="nil"/>
              <w:left w:val="nil"/>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招标人根据项目规模及评标办法相关规定选择</w:t>
            </w:r>
          </w:p>
        </w:tc>
        <w:tc>
          <w:tcPr>
            <w:tcW w:w="650" w:type="dxa"/>
            <w:vMerge w:val="restart"/>
            <w:tcBorders>
              <w:top w:val="nil"/>
              <w:left w:val="nil"/>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691" w:type="dxa"/>
            <w:tcBorders>
              <w:top w:val="single" w:color="auto" w:sz="4" w:space="0"/>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41"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rPr>
                <w:rFonts w:ascii="仿宋_GB2312" w:hAnsi="仿宋_GB2312" w:eastAsia="仿宋_GB2312" w:cs="仿宋_GB2312"/>
                <w:color w:val="auto"/>
                <w:kern w:val="0"/>
                <w:szCs w:val="21"/>
                <w:highlight w:val="none"/>
              </w:rPr>
            </w:pPr>
          </w:p>
        </w:tc>
        <w:tc>
          <w:tcPr>
            <w:tcW w:w="93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461" w:type="dxa"/>
            <w:vMerge w:val="continue"/>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880" w:type="dxa"/>
            <w:vMerge w:val="continue"/>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3588" w:type="dxa"/>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省级综合工程质量奖，每个2分；</w:t>
            </w:r>
          </w:p>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省级优质工程奖，每个</w:t>
            </w:r>
            <w:r>
              <w:rPr>
                <w:rFonts w:ascii="仿宋_GB2312" w:hAnsi="仿宋_GB2312" w:eastAsia="仿宋_GB2312" w:cs="仿宋_GB2312"/>
                <w:color w:val="auto"/>
                <w:kern w:val="0"/>
                <w:szCs w:val="21"/>
                <w:highlight w:val="none"/>
              </w:rPr>
              <w:t>1.5</w:t>
            </w:r>
            <w:r>
              <w:rPr>
                <w:rFonts w:hint="eastAsia" w:ascii="仿宋_GB2312" w:hAnsi="仿宋_GB2312" w:eastAsia="仿宋_GB2312" w:cs="仿宋_GB2312"/>
                <w:color w:val="auto"/>
                <w:kern w:val="0"/>
                <w:szCs w:val="21"/>
                <w:highlight w:val="none"/>
              </w:rPr>
              <w:t>分。</w:t>
            </w:r>
          </w:p>
        </w:tc>
        <w:tc>
          <w:tcPr>
            <w:tcW w:w="1505" w:type="dxa"/>
            <w:vMerge w:val="continue"/>
            <w:tcBorders>
              <w:left w:val="nil"/>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p>
        </w:tc>
        <w:tc>
          <w:tcPr>
            <w:tcW w:w="650" w:type="dxa"/>
            <w:vMerge w:val="continue"/>
            <w:tcBorders>
              <w:left w:val="nil"/>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p>
        </w:tc>
        <w:tc>
          <w:tcPr>
            <w:tcW w:w="69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41"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93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461" w:type="dxa"/>
            <w:vMerge w:val="restart"/>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10</w:t>
            </w:r>
          </w:p>
        </w:tc>
        <w:tc>
          <w:tcPr>
            <w:tcW w:w="880" w:type="dxa"/>
            <w:vMerge w:val="restart"/>
            <w:tcBorders>
              <w:top w:val="single" w:color="auto" w:sz="4" w:space="0"/>
              <w:left w:val="nil"/>
              <w:right w:val="single" w:color="auto" w:sz="4" w:space="0"/>
            </w:tcBorders>
            <w:vAlign w:val="center"/>
          </w:tcPr>
          <w:p>
            <w:pPr>
              <w:ind w:right="-80" w:rightChars="-3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标准化工地</w:t>
            </w:r>
          </w:p>
        </w:tc>
        <w:tc>
          <w:tcPr>
            <w:tcW w:w="3588" w:type="dxa"/>
            <w:tcBorders>
              <w:top w:val="single" w:color="auto" w:sz="4" w:space="0"/>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国家建设工程项目施工工地安全生产标准化学习交流项目每个2分；</w:t>
            </w:r>
          </w:p>
        </w:tc>
        <w:tc>
          <w:tcPr>
            <w:tcW w:w="1505"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91" w:type="dxa"/>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441"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93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461"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880" w:type="dxa"/>
            <w:vMerge w:val="continue"/>
            <w:tcBorders>
              <w:left w:val="nil"/>
              <w:right w:val="single" w:color="auto" w:sz="4" w:space="0"/>
            </w:tcBorders>
            <w:vAlign w:val="center"/>
          </w:tcPr>
          <w:p>
            <w:pPr>
              <w:ind w:right="-80" w:rightChars="-38"/>
              <w:jc w:val="center"/>
              <w:rPr>
                <w:rFonts w:ascii="仿宋_GB2312" w:hAnsi="仿宋_GB2312" w:eastAsia="仿宋_GB2312" w:cs="仿宋_GB2312"/>
                <w:color w:val="auto"/>
                <w:kern w:val="0"/>
                <w:szCs w:val="21"/>
                <w:highlight w:val="none"/>
              </w:rPr>
            </w:pPr>
          </w:p>
        </w:tc>
        <w:tc>
          <w:tcPr>
            <w:tcW w:w="3588"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省级建筑施工安全生产标准化年度项目考评优良工地，每个0.3分。</w:t>
            </w:r>
          </w:p>
        </w:tc>
        <w:tc>
          <w:tcPr>
            <w:tcW w:w="1505"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9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441"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93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461" w:type="dxa"/>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w:t>
            </w:r>
          </w:p>
        </w:tc>
        <w:tc>
          <w:tcPr>
            <w:tcW w:w="880" w:type="dxa"/>
            <w:tcBorders>
              <w:left w:val="nil"/>
              <w:right w:val="single" w:color="auto" w:sz="4" w:space="0"/>
            </w:tcBorders>
            <w:vAlign w:val="center"/>
          </w:tcPr>
          <w:p>
            <w:pPr>
              <w:ind w:right="-80" w:rightChars="-3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绿色科技创新指标</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三星级绿色建筑、AAA级装配式建筑,每个1分；</w:t>
            </w:r>
          </w:p>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二星级绿色建筑、AA级装配式建筑,每个0.8分；</w:t>
            </w:r>
          </w:p>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省级绿色施工工程，每个0.3分。</w:t>
            </w:r>
          </w:p>
        </w:tc>
        <w:tc>
          <w:tcPr>
            <w:tcW w:w="1505"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9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441"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93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461"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10</w:t>
            </w:r>
          </w:p>
        </w:tc>
        <w:tc>
          <w:tcPr>
            <w:tcW w:w="880" w:type="dxa"/>
            <w:tcBorders>
              <w:top w:val="single" w:color="auto" w:sz="4" w:space="0"/>
              <w:left w:val="nil"/>
              <w:right w:val="single" w:color="auto" w:sz="4" w:space="0"/>
            </w:tcBorders>
            <w:vAlign w:val="center"/>
          </w:tcPr>
          <w:p>
            <w:pPr>
              <w:ind w:right="-80" w:rightChars="-38"/>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施工项目季度考评综合优良率</w:t>
            </w:r>
          </w:p>
        </w:tc>
        <w:tc>
          <w:tcPr>
            <w:tcW w:w="3588" w:type="dxa"/>
            <w:tcBorders>
              <w:top w:val="single" w:color="auto" w:sz="4" w:space="0"/>
              <w:left w:val="nil"/>
              <w:right w:val="single" w:color="auto" w:sz="4" w:space="0"/>
            </w:tcBorders>
            <w:vAlign w:val="center"/>
          </w:tcPr>
          <w:p>
            <w:pPr>
              <w:ind w:right="-80" w:rightChars="-38"/>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施工项目季度考评综合优良率得分</w:t>
            </w:r>
          </w:p>
        </w:tc>
        <w:tc>
          <w:tcPr>
            <w:tcW w:w="1505" w:type="dxa"/>
            <w:tcBorders>
              <w:top w:val="single" w:color="auto" w:sz="4" w:space="0"/>
              <w:left w:val="nil"/>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650" w:type="dxa"/>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91"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ascii="仿宋_GB2312" w:hAnsi="仿宋_GB2312" w:eastAsia="仿宋_GB2312" w:cs="仿宋_GB2312"/>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atLeast"/>
          <w:jc w:val="center"/>
        </w:trPr>
        <w:tc>
          <w:tcPr>
            <w:tcW w:w="441" w:type="dxa"/>
            <w:vMerge w:val="continue"/>
            <w:tcBorders>
              <w:left w:val="single" w:color="auto" w:sz="4" w:space="0"/>
              <w:right w:val="single" w:color="auto" w:sz="4" w:space="0"/>
            </w:tcBorders>
            <w:vAlign w:val="center"/>
          </w:tcPr>
          <w:p>
            <w:pPr>
              <w:jc w:val="center"/>
              <w:rPr>
                <w:rFonts w:ascii="仿宋_GB2312" w:hAnsi="仿宋_GB2312" w:eastAsia="仿宋_GB2312" w:cs="仿宋_GB2312"/>
                <w:color w:val="auto"/>
                <w:kern w:val="0"/>
                <w:szCs w:val="21"/>
                <w:highlight w:val="none"/>
              </w:rPr>
            </w:pPr>
          </w:p>
        </w:tc>
        <w:tc>
          <w:tcPr>
            <w:tcW w:w="550" w:type="dxa"/>
            <w:vMerge w:val="continue"/>
            <w:tcBorders>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信用评价</w:t>
            </w:r>
          </w:p>
        </w:tc>
        <w:tc>
          <w:tcPr>
            <w:tcW w:w="46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40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施工招投标信用评价</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施工招标投标信用评价得分×40%</w:t>
            </w:r>
          </w:p>
        </w:tc>
        <w:tc>
          <w:tcPr>
            <w:tcW w:w="1505" w:type="dxa"/>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650"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6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441"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550"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类似工程业绩</w:t>
            </w:r>
          </w:p>
        </w:tc>
        <w:tc>
          <w:tcPr>
            <w:tcW w:w="46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9</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业绩</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施工业绩，每个3分。</w:t>
            </w:r>
          </w:p>
        </w:tc>
        <w:tc>
          <w:tcPr>
            <w:tcW w:w="1505" w:type="dxa"/>
            <w:tcBorders>
              <w:top w:val="single" w:color="auto" w:sz="4" w:space="0"/>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招标人根据项目实际选择</w:t>
            </w:r>
          </w:p>
        </w:tc>
        <w:tc>
          <w:tcPr>
            <w:tcW w:w="650" w:type="dxa"/>
            <w:tcBorders>
              <w:top w:val="single" w:color="auto" w:sz="4" w:space="0"/>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6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0" w:type="auto"/>
            <w:vMerge w:val="restart"/>
            <w:tcBorders>
              <w:top w:val="nil"/>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w:t>
            </w:r>
          </w:p>
        </w:tc>
        <w:tc>
          <w:tcPr>
            <w:tcW w:w="1480" w:type="dxa"/>
            <w:gridSpan w:val="2"/>
            <w:vMerge w:val="restart"/>
            <w:tcBorders>
              <w:top w:val="nil"/>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项目经理</w:t>
            </w:r>
          </w:p>
        </w:tc>
        <w:tc>
          <w:tcPr>
            <w:tcW w:w="461" w:type="dxa"/>
            <w:vMerge w:val="restart"/>
            <w:tcBorders>
              <w:top w:val="single" w:color="auto" w:sz="4" w:space="0"/>
              <w:left w:val="nil"/>
              <w:right w:val="single" w:color="auto" w:sz="4" w:space="0"/>
            </w:tcBorders>
            <w:vAlign w:val="center"/>
          </w:tcPr>
          <w:p>
            <w:pPr>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业绩</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承担过类似业绩，每个1.5分</w:t>
            </w:r>
          </w:p>
        </w:tc>
        <w:tc>
          <w:tcPr>
            <w:tcW w:w="0" w:type="auto"/>
            <w:vMerge w:val="restart"/>
            <w:tcBorders>
              <w:top w:val="nil"/>
              <w:left w:val="nil"/>
              <w:bottom w:val="single" w:color="auto" w:sz="4" w:space="0"/>
              <w:right w:val="single" w:color="auto" w:sz="4" w:space="0"/>
            </w:tcBorders>
            <w:vAlign w:val="center"/>
          </w:tcPr>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招标人根据项目</w:t>
            </w:r>
          </w:p>
          <w:p>
            <w:pPr>
              <w:widowControl/>
              <w:ind w:left="-80" w:leftChars="-38" w:right="-101" w:rightChars="-48"/>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实际选择</w:t>
            </w:r>
          </w:p>
        </w:tc>
        <w:tc>
          <w:tcPr>
            <w:tcW w:w="0" w:type="auto"/>
            <w:vMerge w:val="restart"/>
            <w:tcBorders>
              <w:top w:val="nil"/>
              <w:left w:val="nil"/>
              <w:bottom w:val="single" w:color="auto" w:sz="4" w:space="0"/>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加分制</w:t>
            </w:r>
          </w:p>
        </w:tc>
        <w:tc>
          <w:tcPr>
            <w:tcW w:w="6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0" w:type="auto"/>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1480" w:type="dxa"/>
            <w:gridSpan w:val="2"/>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461" w:type="dxa"/>
            <w:vMerge w:val="continue"/>
            <w:tcBorders>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p>
        </w:tc>
        <w:tc>
          <w:tcPr>
            <w:tcW w:w="88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奖项</w:t>
            </w:r>
          </w:p>
        </w:tc>
        <w:tc>
          <w:tcPr>
            <w:tcW w:w="358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国家级、省级每个1.5分</w:t>
            </w:r>
          </w:p>
        </w:tc>
        <w:tc>
          <w:tcPr>
            <w:tcW w:w="0" w:type="auto"/>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6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0" w:type="auto"/>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1480" w:type="dxa"/>
            <w:gridSpan w:val="2"/>
            <w:vMerge w:val="continue"/>
            <w:tcBorders>
              <w:left w:val="nil"/>
              <w:right w:val="single" w:color="auto" w:sz="4" w:space="0"/>
            </w:tcBorders>
            <w:vAlign w:val="center"/>
          </w:tcPr>
          <w:p>
            <w:pPr>
              <w:widowControl/>
              <w:jc w:val="left"/>
              <w:rPr>
                <w:rFonts w:ascii="仿宋_GB2312" w:hAnsi="仿宋_GB2312" w:eastAsia="仿宋_GB2312" w:cs="仿宋_GB2312"/>
                <w:color w:val="auto"/>
                <w:kern w:val="0"/>
                <w:szCs w:val="21"/>
                <w:highlight w:val="none"/>
              </w:rPr>
            </w:pPr>
          </w:p>
        </w:tc>
        <w:tc>
          <w:tcPr>
            <w:tcW w:w="461"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15</w:t>
            </w:r>
          </w:p>
        </w:tc>
        <w:tc>
          <w:tcPr>
            <w:tcW w:w="880"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不良信用信息</w:t>
            </w:r>
          </w:p>
        </w:tc>
        <w:tc>
          <w:tcPr>
            <w:tcW w:w="3588"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项目经理存在信用评价不良信用信息的，根据不良信用信息类型，按照表后注解对应的分值进行扣除。</w:t>
            </w:r>
          </w:p>
        </w:tc>
        <w:tc>
          <w:tcPr>
            <w:tcW w:w="1505" w:type="dxa"/>
            <w:tcBorders>
              <w:top w:val="single" w:color="auto" w:sz="4" w:space="0"/>
              <w:left w:val="nil"/>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必选项</w:t>
            </w:r>
          </w:p>
        </w:tc>
        <w:tc>
          <w:tcPr>
            <w:tcW w:w="650" w:type="dxa"/>
            <w:tcBorders>
              <w:top w:val="single" w:color="auto" w:sz="4" w:space="0"/>
              <w:left w:val="nil"/>
              <w:right w:val="single" w:color="auto" w:sz="4" w:space="0"/>
            </w:tcBorders>
            <w:vAlign w:val="center"/>
          </w:tcPr>
          <w:p>
            <w:pPr>
              <w:widowControl/>
              <w:ind w:left="-181" w:leftChars="-86" w:right="-134" w:rightChars="-64"/>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扣分制</w:t>
            </w:r>
          </w:p>
        </w:tc>
        <w:tc>
          <w:tcPr>
            <w:tcW w:w="691"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0</w:t>
            </w:r>
          </w:p>
        </w:tc>
        <w:tc>
          <w:tcPr>
            <w:tcW w:w="681" w:type="dxa"/>
            <w:tcBorders>
              <w:top w:val="single" w:color="auto" w:sz="4" w:space="0"/>
              <w:left w:val="nil"/>
              <w:right w:val="single" w:color="auto" w:sz="4" w:space="0"/>
            </w:tcBorders>
            <w:vAlign w:val="center"/>
          </w:tcPr>
          <w:p>
            <w:pPr>
              <w:widowControl/>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15</w:t>
            </w:r>
          </w:p>
        </w:tc>
      </w:tr>
    </w:tbl>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注：适用于综合评估法。</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 奖项和标准化工地：</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  选择规则</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1.1.1  最高投标限价≥20000万元的施工总承包项目、最高投标限价≥3000万元的施工专业承包项目，优良信息中的奖项和标准化工地应当按照下列规则选择评审数量：国家级和省级（省、自治区、直辖市，下同）奖项可由招标人根据项目实际情况分别从1-3个中进行选择；</w:t>
      </w:r>
      <w:r>
        <w:rPr>
          <w:rFonts w:hint="eastAsia" w:ascii="仿宋_GB2312" w:hAnsi="仿宋_GB2312" w:eastAsia="仿宋_GB2312" w:cs="仿宋_GB2312"/>
          <w:b w:val="0"/>
          <w:bCs w:val="0"/>
          <w:color w:val="auto"/>
          <w:sz w:val="24"/>
          <w:highlight w:val="none"/>
          <w:lang w:val="en-US" w:eastAsia="zh-CN"/>
        </w:rPr>
        <w:t>国家</w:t>
      </w:r>
      <w:r>
        <w:rPr>
          <w:rFonts w:hint="eastAsia" w:ascii="仿宋_GB2312" w:hAnsi="仿宋_GB2312" w:eastAsia="仿宋_GB2312" w:cs="仿宋_GB2312"/>
          <w:b w:val="0"/>
          <w:bCs w:val="0"/>
          <w:color w:val="auto"/>
          <w:sz w:val="24"/>
          <w:highlight w:val="none"/>
        </w:rPr>
        <w:t>建设工程项目施工工地安全生产标准化学习交流项目评审数量可由招标人根据项目实际情况从1-2个中进行选择；省级建筑施工安全生产标准化年度项目考评优良工地评审数量可由招标人根据项目实际情况从10-20个中进行选择；绿色科技创新指标评审数量可由招标人根据项目实际情况从0-3</w:t>
      </w:r>
      <w:r>
        <w:rPr>
          <w:rFonts w:hint="eastAsia" w:ascii="仿宋_GB2312" w:hAnsi="仿宋_GB2312" w:eastAsia="仿宋_GB2312" w:cs="仿宋_GB2312"/>
          <w:b w:val="0"/>
          <w:bCs w:val="0"/>
          <w:color w:val="auto"/>
          <w:sz w:val="24"/>
          <w:highlight w:val="none"/>
          <w:lang w:val="en-US" w:eastAsia="zh-CN"/>
        </w:rPr>
        <w:t>分</w:t>
      </w:r>
      <w:r>
        <w:rPr>
          <w:rFonts w:hint="eastAsia" w:ascii="仿宋_GB2312" w:hAnsi="仿宋_GB2312" w:eastAsia="仿宋_GB2312" w:cs="仿宋_GB2312"/>
          <w:b w:val="0"/>
          <w:bCs w:val="0"/>
          <w:color w:val="auto"/>
          <w:sz w:val="24"/>
          <w:highlight w:val="none"/>
        </w:rPr>
        <w:t>中进行选择；</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1.1.2  5000万元≤最高投标限价＜20000万元的施工总承包项目、1500万元≤最高投标限价＜3000万元的施工专业承包项目，优良信息中的奖项和标准化工地应当按照下列规则选择评审数量：国家级和省级奖项可由招标人根据项目实际情况分别从0-2个中进行选择；国家建设工程项目施工工地安全生产标准化学习交流项目评审数量可由招标人根据项目实际情况从0-2个中进行选择；省级建筑施工安全生产标准化年度项目考评优良工地评审数量可由招标人根据项目实际情况从0-10个中进行选择；绿色科技创新指标评审数量可由招标人根据项目实际情况从0-2</w:t>
      </w:r>
      <w:r>
        <w:rPr>
          <w:rFonts w:hint="eastAsia" w:ascii="仿宋_GB2312" w:hAnsi="仿宋_GB2312" w:eastAsia="仿宋_GB2312" w:cs="仿宋_GB2312"/>
          <w:b w:val="0"/>
          <w:bCs w:val="0"/>
          <w:color w:val="auto"/>
          <w:sz w:val="24"/>
          <w:highlight w:val="none"/>
          <w:lang w:val="en-US" w:eastAsia="zh-CN"/>
        </w:rPr>
        <w:t>分</w:t>
      </w:r>
      <w:r>
        <w:rPr>
          <w:rFonts w:hint="eastAsia" w:ascii="仿宋_GB2312" w:hAnsi="仿宋_GB2312" w:eastAsia="仿宋_GB2312" w:cs="仿宋_GB2312"/>
          <w:b w:val="0"/>
          <w:bCs w:val="0"/>
          <w:color w:val="auto"/>
          <w:sz w:val="24"/>
          <w:highlight w:val="none"/>
        </w:rPr>
        <w:t>中进行选择；</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1.1.3  最高投标限价＜5000万元的施工总承包项目、最高投标限价＜</w:t>
      </w:r>
      <w:r>
        <w:rPr>
          <w:rFonts w:hint="eastAsia" w:ascii="仿宋_GB2312" w:hAnsi="仿宋_GB2312" w:eastAsia="仿宋_GB2312" w:cs="仿宋_GB2312"/>
          <w:b w:val="0"/>
          <w:bCs w:val="0"/>
          <w:color w:val="auto"/>
          <w:sz w:val="24"/>
          <w:highlight w:val="none"/>
          <w:lang w:val="en-US" w:eastAsia="zh-CN"/>
        </w:rPr>
        <w:t>15</w:t>
      </w:r>
      <w:r>
        <w:rPr>
          <w:rFonts w:ascii="仿宋_GB2312" w:hAnsi="仿宋_GB2312" w:eastAsia="仿宋_GB2312" w:cs="仿宋_GB2312"/>
          <w:b w:val="0"/>
          <w:bCs w:val="0"/>
          <w:color w:val="auto"/>
          <w:sz w:val="24"/>
          <w:highlight w:val="none"/>
        </w:rPr>
        <w:t>00</w:t>
      </w:r>
      <w:r>
        <w:rPr>
          <w:rFonts w:hint="eastAsia" w:ascii="仿宋_GB2312" w:hAnsi="仿宋_GB2312" w:eastAsia="仿宋_GB2312" w:cs="仿宋_GB2312"/>
          <w:b w:val="0"/>
          <w:bCs w:val="0"/>
          <w:color w:val="auto"/>
          <w:sz w:val="24"/>
          <w:highlight w:val="none"/>
        </w:rPr>
        <w:t>万元的施工专业承包项目，优良信息中的奖项、标准化工地和绿色科技创新指标不得列入评审计分范围；</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1.1.4  对符合1.1.2条款规定的施工总承包项目，在选择国家级奖项列入评审计分范围时，须同时满足下述指标之一：（1）建筑面积5万平方米以上的住宅工程；（2）建筑面积2万平方米以上的其他单体建筑工程；（3）日供水10万吨以上的供水厂或日处理10万吨以上的污水处理厂；（4）路面面积20万平方米以上的城市道路工程或桥面面积3万平方米以上的城市立交桥工程；（5）最高投标限价在10000万元以上的工程。</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1.1.5  绿色发展及科技创新加分规定</w:t>
      </w:r>
    </w:p>
    <w:p>
      <w:pPr>
        <w:snapToGrid w:val="0"/>
        <w:ind w:firstLine="480" w:firstLineChars="200"/>
        <w:rPr>
          <w:rFonts w:hint="default"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rPr>
        <w:t>招标项目中包含绿色建筑</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rPr>
        <w:t>装配式建筑</w:t>
      </w:r>
      <w:r>
        <w:rPr>
          <w:rFonts w:hint="eastAsia" w:ascii="仿宋_GB2312" w:hAnsi="仿宋_GB2312" w:eastAsia="仿宋_GB2312" w:cs="仿宋_GB2312"/>
          <w:b w:val="0"/>
          <w:bCs w:val="0"/>
          <w:color w:val="auto"/>
          <w:sz w:val="24"/>
          <w:highlight w:val="none"/>
          <w:lang w:val="en-US" w:eastAsia="zh-CN"/>
        </w:rPr>
        <w:t>或者绿色施工</w:t>
      </w:r>
      <w:r>
        <w:rPr>
          <w:rFonts w:hint="eastAsia" w:ascii="仿宋_GB2312" w:hAnsi="仿宋_GB2312" w:eastAsia="仿宋_GB2312" w:cs="仿宋_GB2312"/>
          <w:b w:val="0"/>
          <w:bCs w:val="0"/>
          <w:color w:val="auto"/>
          <w:sz w:val="24"/>
          <w:highlight w:val="none"/>
        </w:rPr>
        <w:t>内容要求的，招标人可</w:t>
      </w:r>
      <w:r>
        <w:rPr>
          <w:rFonts w:hint="eastAsia" w:ascii="仿宋_GB2312" w:hAnsi="仿宋_GB2312" w:eastAsia="仿宋_GB2312" w:cs="仿宋_GB2312"/>
          <w:b w:val="0"/>
          <w:bCs w:val="0"/>
          <w:color w:val="auto"/>
          <w:sz w:val="24"/>
          <w:highlight w:val="none"/>
          <w:lang w:val="en-US" w:eastAsia="zh-CN"/>
        </w:rPr>
        <w:t>按照1.1.1-1.1.3规定选择</w:t>
      </w:r>
      <w:r>
        <w:rPr>
          <w:rFonts w:hint="eastAsia" w:ascii="仿宋_GB2312" w:hAnsi="仿宋_GB2312" w:eastAsia="仿宋_GB2312" w:cs="仿宋_GB2312"/>
          <w:b w:val="0"/>
          <w:bCs w:val="0"/>
          <w:color w:val="auto"/>
          <w:sz w:val="24"/>
          <w:highlight w:val="none"/>
        </w:rPr>
        <w:t>绿色建筑</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b w:val="0"/>
          <w:bCs w:val="0"/>
          <w:color w:val="auto"/>
          <w:sz w:val="24"/>
          <w:highlight w:val="none"/>
        </w:rPr>
        <w:t>三星级绿色建筑</w:t>
      </w:r>
      <w:r>
        <w:rPr>
          <w:rFonts w:hint="eastAsia" w:ascii="仿宋_GB2312" w:hAnsi="仿宋_GB2312" w:eastAsia="仿宋_GB2312" w:cs="仿宋_GB2312"/>
          <w:b w:val="0"/>
          <w:bCs w:val="0"/>
          <w:color w:val="auto"/>
          <w:sz w:val="24"/>
          <w:highlight w:val="none"/>
          <w:lang w:val="en-US" w:eastAsia="zh-CN"/>
        </w:rPr>
        <w:t>每个1分、二星级绿色建筑每个0.8分)、装配式建筑（</w:t>
      </w:r>
      <w:r>
        <w:rPr>
          <w:rFonts w:hint="eastAsia" w:ascii="仿宋_GB2312" w:hAnsi="仿宋_GB2312" w:eastAsia="仿宋_GB2312" w:cs="仿宋_GB2312"/>
          <w:b w:val="0"/>
          <w:bCs w:val="0"/>
          <w:color w:val="auto"/>
          <w:sz w:val="24"/>
          <w:highlight w:val="none"/>
        </w:rPr>
        <w:t>AAA级装配式建筑</w:t>
      </w:r>
      <w:r>
        <w:rPr>
          <w:rFonts w:hint="eastAsia" w:ascii="仿宋_GB2312" w:hAnsi="仿宋_GB2312" w:eastAsia="仿宋_GB2312" w:cs="仿宋_GB2312"/>
          <w:b w:val="0"/>
          <w:bCs w:val="0"/>
          <w:color w:val="auto"/>
          <w:sz w:val="24"/>
          <w:highlight w:val="none"/>
          <w:lang w:val="en-US" w:eastAsia="zh-CN"/>
        </w:rPr>
        <w:t>每个1分</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rPr>
        <w:t>AA级装配式建筑</w:t>
      </w:r>
      <w:r>
        <w:rPr>
          <w:rFonts w:hint="eastAsia" w:ascii="仿宋_GB2312" w:hAnsi="仿宋_GB2312" w:eastAsia="仿宋_GB2312" w:cs="仿宋_GB2312"/>
          <w:b w:val="0"/>
          <w:bCs w:val="0"/>
          <w:color w:val="auto"/>
          <w:sz w:val="24"/>
          <w:highlight w:val="none"/>
          <w:lang w:val="en-US" w:eastAsia="zh-CN"/>
        </w:rPr>
        <w:t>每个0.8分）、绿色施工（</w:t>
      </w:r>
      <w:r>
        <w:rPr>
          <w:rFonts w:hint="eastAsia" w:ascii="仿宋_GB2312" w:hAnsi="仿宋_GB2312" w:eastAsia="仿宋_GB2312" w:cs="仿宋_GB2312"/>
          <w:b w:val="0"/>
          <w:bCs w:val="0"/>
          <w:color w:val="auto"/>
          <w:sz w:val="24"/>
          <w:highlight w:val="none"/>
        </w:rPr>
        <w:t>省级绿色施工工程</w:t>
      </w:r>
      <w:r>
        <w:rPr>
          <w:rFonts w:hint="eastAsia" w:ascii="仿宋_GB2312" w:hAnsi="仿宋_GB2312" w:eastAsia="仿宋_GB2312" w:cs="仿宋_GB2312"/>
          <w:b w:val="0"/>
          <w:bCs w:val="0"/>
          <w:color w:val="auto"/>
          <w:sz w:val="24"/>
          <w:highlight w:val="none"/>
          <w:lang w:val="en-US" w:eastAsia="zh-CN"/>
        </w:rPr>
        <w:t>每个0.3分）加分，分别以</w:t>
      </w:r>
      <w:r>
        <w:rPr>
          <w:rFonts w:hint="eastAsia" w:ascii="仿宋_GB2312" w:hAnsi="仿宋_GB2312" w:eastAsia="仿宋_GB2312" w:cs="仿宋_GB2312"/>
          <w:b w:val="0"/>
          <w:bCs w:val="0"/>
          <w:color w:val="auto"/>
          <w:sz w:val="24"/>
          <w:highlight w:val="none"/>
        </w:rPr>
        <w:t>住房和城乡建设部</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rPr>
        <w:t>省级住房和城乡建设部门</w:t>
      </w:r>
      <w:r>
        <w:rPr>
          <w:rFonts w:hint="eastAsia" w:ascii="仿宋_GB2312" w:hAnsi="仿宋_GB2312" w:eastAsia="仿宋_GB2312" w:cs="仿宋_GB2312"/>
          <w:b w:val="0"/>
          <w:bCs w:val="0"/>
          <w:color w:val="auto"/>
          <w:sz w:val="24"/>
          <w:highlight w:val="none"/>
          <w:lang w:val="en-US" w:eastAsia="zh-CN"/>
        </w:rPr>
        <w:t>公布文件为准。</w:t>
      </w:r>
    </w:p>
    <w:p>
      <w:pPr>
        <w:ind w:firstLine="480" w:firstLineChars="200"/>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r>
        <w:rPr>
          <w:rFonts w:hint="eastAsia" w:ascii="仿宋_GB2312" w:hAnsi="仿宋_GB2312" w:eastAsia="仿宋_GB2312" w:cs="仿宋_GB2312"/>
          <w:b w:val="0"/>
          <w:bCs w:val="0"/>
          <w:color w:val="auto"/>
          <w:sz w:val="24"/>
          <w:highlight w:val="none"/>
          <w:lang w:val="en-US" w:eastAsia="zh-CN"/>
        </w:rPr>
        <w:t>2</w:t>
      </w:r>
      <w:r>
        <w:rPr>
          <w:rFonts w:hint="eastAsia" w:ascii="仿宋_GB2312" w:hAnsi="仿宋_GB2312" w:eastAsia="仿宋_GB2312" w:cs="仿宋_GB2312"/>
          <w:b w:val="0"/>
          <w:bCs w:val="0"/>
          <w:color w:val="auto"/>
          <w:sz w:val="24"/>
          <w:highlight w:val="none"/>
        </w:rPr>
        <w:t>评审期限和依据</w:t>
      </w:r>
    </w:p>
    <w:p>
      <w:pPr>
        <w:ind w:firstLine="480" w:firstLineChars="200"/>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国家级奖项计分有效期为提交投标文件截止时间前2年，省级奖项、标准化工地和绿色科技创新指标有效期为提交投标文件截止时间前1年，自发文次日计算起、止时间。</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val="0"/>
          <w:bCs w:val="0"/>
          <w:color w:val="auto"/>
          <w:sz w:val="24"/>
          <w:highlight w:val="none"/>
        </w:rPr>
        <w:t>奖项和标准化工地评审依据以</w:t>
      </w:r>
      <w:r>
        <w:rPr>
          <w:rFonts w:hint="eastAsia" w:ascii="仿宋_GB2312" w:hAnsi="仿宋_GB2312" w:eastAsia="仿宋_GB2312" w:cs="仿宋_GB2312"/>
          <w:b w:val="0"/>
          <w:bCs w:val="0"/>
          <w:color w:val="auto"/>
          <w:sz w:val="24"/>
          <w:highlight w:val="none"/>
          <w:lang w:val="en-US" w:eastAsia="zh-CN"/>
        </w:rPr>
        <w:t>公布</w:t>
      </w:r>
      <w:r>
        <w:rPr>
          <w:rFonts w:hint="eastAsia" w:ascii="仿宋_GB2312" w:hAnsi="仿宋_GB2312" w:eastAsia="仿宋_GB2312" w:cs="仿宋_GB2312"/>
          <w:b w:val="0"/>
          <w:bCs w:val="0"/>
          <w:color w:val="auto"/>
          <w:sz w:val="24"/>
          <w:highlight w:val="none"/>
        </w:rPr>
        <w:t>的文件为准。省内省级综合工程质量奖为芙蓉奖，省级优质工程奖为湖南省优质工程奖。省外由省级建设行政主管部门或省级建筑业协会评定的综合工程质量奖项，在当地省级</w:t>
      </w:r>
      <w:r>
        <w:rPr>
          <w:rFonts w:hint="eastAsia" w:ascii="仿宋_GB2312" w:hAnsi="仿宋_GB2312" w:eastAsia="仿宋_GB2312" w:cs="仿宋_GB2312"/>
          <w:color w:val="auto"/>
          <w:sz w:val="24"/>
          <w:highlight w:val="none"/>
        </w:rPr>
        <w:t>建设行政主管部门</w:t>
      </w:r>
      <w:r>
        <w:rPr>
          <w:rFonts w:hint="eastAsia" w:ascii="仿宋_GB2312" w:hAnsi="仿宋_GB2312" w:eastAsia="仿宋_GB2312" w:cs="仿宋_GB2312"/>
          <w:color w:val="auto"/>
          <w:sz w:val="24"/>
          <w:highlight w:val="none"/>
          <w:lang w:val="en-US" w:eastAsia="zh-CN"/>
        </w:rPr>
        <w:t>公布</w:t>
      </w:r>
      <w:r>
        <w:rPr>
          <w:rFonts w:hint="eastAsia" w:ascii="仿宋_GB2312" w:hAnsi="仿宋_GB2312" w:eastAsia="仿宋_GB2312" w:cs="仿宋_GB2312"/>
          <w:color w:val="auto"/>
          <w:sz w:val="24"/>
          <w:highlight w:val="none"/>
        </w:rPr>
        <w:t>的评标办法中加分的，按省级优质工程奖加分；投标人如能提供评奖当年省级优质工程奖项数量控制在 100 项以内 (含)的，则该获奖工程按省级综合工程质量奖加分。如该奖项年度内多批次公布的，奖项数量按上年度各批次累计总数为准。</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2024年及以后省内省级建筑施工安全生产标准化年度项目考评优良工地指标为湖南省建筑施工安全质量标准化年度项目考评优良工地。</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加分规则</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.1奖项</w:t>
      </w:r>
    </w:p>
    <w:p>
      <w:pPr>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招标项目为房屋建筑施工总承包或者市政施工总承包工程的，招标项目工程类型与获奖工程的工程类型不一致，则该获奖工程不予计分；以专业资质获得的奖项不予计分。同一标段承建单位有两个以上的，分别按照评审计分表中规定分值的1／2计取</w:t>
      </w:r>
      <w:r>
        <w:rPr>
          <w:rFonts w:hint="eastAsia" w:ascii="仿宋_GB2312" w:hAnsi="仿宋_GB2312" w:eastAsia="仿宋_GB2312" w:cs="仿宋_GB2312"/>
          <w:color w:val="auto"/>
          <w:sz w:val="24"/>
          <w:highlight w:val="none"/>
          <w:lang w:eastAsia="zh-CN"/>
        </w:rPr>
        <w:t>；</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bCs/>
          <w:color w:val="auto"/>
          <w:sz w:val="24"/>
          <w:highlight w:val="none"/>
        </w:rPr>
        <w:t>招标工程为园林绿化工程的，</w:t>
      </w:r>
      <w:r>
        <w:rPr>
          <w:rFonts w:hint="eastAsia" w:ascii="仿宋_GB2312" w:hAnsi="仿宋_GB2312" w:eastAsia="仿宋_GB2312" w:cs="仿宋_GB2312"/>
          <w:color w:val="auto"/>
          <w:sz w:val="24"/>
          <w:highlight w:val="none"/>
        </w:rPr>
        <w:t>国家级奖项仅对中国人居环境范例奖（园林绿化获奖项目）加分（每个2分），以住房和城乡建设部公布文件为准；省级奖项仅对省级园林绿化优质工程加分（每个1分），以省级园林绿化协会公布文件为准。</w:t>
      </w:r>
      <w:r>
        <w:rPr>
          <w:rFonts w:hint="eastAsia" w:ascii="仿宋_GB2312" w:hAnsi="仿宋_GB2312" w:eastAsia="仿宋_GB2312" w:cs="仿宋_GB2312"/>
          <w:bCs/>
          <w:color w:val="auto"/>
          <w:sz w:val="24"/>
          <w:highlight w:val="none"/>
        </w:rPr>
        <w:t>国家级、省级奖项规定的个数和对应最高分不变</w:t>
      </w:r>
      <w:r>
        <w:rPr>
          <w:rFonts w:hint="eastAsia" w:ascii="仿宋_GB2312" w:hAnsi="仿宋_GB2312" w:eastAsia="仿宋_GB2312" w:cs="仿宋_GB2312"/>
          <w:color w:val="auto"/>
          <w:sz w:val="24"/>
          <w:highlight w:val="none"/>
        </w:rPr>
        <w:t>；优良信息中的标准化工地、绿化科技创新指标不加分。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（3）招标项目为专业工程的，仅对以同专业资质获得的相应奖项计分，以总承包资质获得的奖项不予计分。专业工程获奖项目参建单位有两个以上的，按照评审计分表中的计分规则计取。</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.2标准化工地</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同一标段承建单位有两个以上的，分别按照评审计分表中规定分值的1／2计取；</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（2）招标项目为专业工程的，仅对以同专业资质获得的相应标准化工地计分专业工程获奖项目承建（参建）单位有两个以上的，按照评审计分表中的计分规则计取。以总承包资质获得的奖项不予计分。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.3  同一工程的奖项、标准化工地、绿色科技创新指标，分别按照得分最高的分值计算一次。</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 xml:space="preserve">  获得奖项、标准化工地的专业类别认定。获奖文件能够分辨专业类别的，以获奖文件为准；获奖文件中无法分辨专业类别的，以奖项申报材料（须提供省级相应行政主管部门或省级协会盖章的相应材料）中载明的专业类别为准；仍然无法辨别专业类别的，须提供获奖项目的中标通知书或合同作为证明材料；以上证明材料均无法辨别项目专业类别的，该奖项、标准化工地等不予计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投标人类似工程业绩</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招标人可以根据项目实际情况选取0-3个类似工程业绩纳入评审。</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2.2 </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依据：以投标文件中提供的中标通知书（招标工程提交）、 合同和竣工验收资料以及本项目答疑文件明确可以作为</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的资料的复印件为准，并提供“湖南省智慧住建云—湖南省建筑市场监管公共服务平台”或者“全国建筑市场监管公共服务平台”上体现其作为相应承包人的项目网页截图。相关指标不一致时，依次按照中标通知书、合同、竣工验收资料、项目答疑文件明确可以作为评审依据的资料顺序认定。竣工验收资料是指竣工验收备案表（经建设工程质量监督部门签字或盖章确认，下同）或者竣工验收证明（由建设单位、施工单位、监理单位、设计单位签字或盖章认可，下同）。</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投标人提供的类似工程业绩同时包含多个工程类别（专业）的，其工程类别（专业）所对应的工程量应当依次按照中标通知书、合同、竣工验收资料、项目答疑文件明确可以作为评审依据的资料进行认定。</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以上资料均不能明确区分的，由评标委员会进行认定。</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2.3 </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期限：3年，自工程竣工验收文件中建设单位签字或盖章之日起计算。类似工程业绩</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依据中竣工验收备案表未体现建设单位签字或盖章之日的，以竣工验收备案表“竣工验收日期”栏中注明的时间为准。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3．信用评价</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3.1  </w:t>
      </w:r>
      <w:r>
        <w:rPr>
          <w:rFonts w:hint="eastAsia" w:ascii="仿宋_GB2312" w:hAnsi="仿宋_GB2312" w:eastAsia="仿宋_GB2312" w:cs="仿宋_GB2312"/>
          <w:color w:val="auto"/>
          <w:sz w:val="24"/>
          <w:highlight w:val="none"/>
        </w:rPr>
        <w:t>施工单位信用评价以“湖南省智慧住建云—湖南省建筑市场监管公共服务平台”最新</w:t>
      </w:r>
      <w:r>
        <w:rPr>
          <w:rFonts w:hint="eastAsia" w:ascii="仿宋_GB2312" w:hAnsi="仿宋_GB2312" w:eastAsia="仿宋_GB2312" w:cs="仿宋_GB2312"/>
          <w:color w:val="auto"/>
          <w:sz w:val="24"/>
          <w:highlight w:val="none"/>
          <w:lang w:val="en-US" w:eastAsia="zh-CN"/>
        </w:rPr>
        <w:t>公布</w:t>
      </w:r>
      <w:r>
        <w:rPr>
          <w:rFonts w:hint="eastAsia" w:ascii="仿宋_GB2312" w:hAnsi="仿宋_GB2312" w:eastAsia="仿宋_GB2312" w:cs="仿宋_GB2312"/>
          <w:color w:val="auto"/>
          <w:sz w:val="24"/>
          <w:highlight w:val="none"/>
        </w:rPr>
        <w:t>的信息为准；无施工单位信用评价查询结果的，企业投标时按照施工单位信用评价得分处于末位的合格投标人的分值计取；省外企业无施工单位信用评价查询结果的，可以提供注册地省级住房和城乡建设部门提供的施工单位信用评价结果（百分制）作为评审依据。</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3.2</w:t>
      </w:r>
      <w:r>
        <w:rPr>
          <w:rFonts w:hint="eastAsia" w:ascii="仿宋_GB2312" w:hAnsi="仿宋_GB2312" w:eastAsia="仿宋_GB2312" w:cs="仿宋_GB2312"/>
          <w:color w:val="auto"/>
          <w:sz w:val="24"/>
          <w:highlight w:val="none"/>
        </w:rPr>
        <w:t xml:space="preserve">  未参加信用评价存在信用评价不良信用信息的施工单位，按照下列不良信用信息扣分标准扣分，严重失信行为名单（含失信黑名单，下同）每次扣8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3  招标项目为专业工程、园林绿化工程的，评标时投标人的信用评价分值统一计100分。</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4.施工项目季度考评综合优良率得分</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F=(K/A)×4＋ [1-K</w:t>
      </w:r>
      <w:r>
        <w:rPr>
          <w:rFonts w:hint="eastAsia" w:ascii="仿宋_GB2312" w:hAnsi="仿宋_GB2312" w:eastAsia="仿宋_GB2312" w:cs="仿宋_GB2312"/>
          <w:color w:val="auto"/>
          <w:sz w:val="24"/>
          <w:highlight w:val="none"/>
          <w:vertAlign w:val="subscript"/>
        </w:rPr>
        <w:t>P</w:t>
      </w:r>
      <w:r>
        <w:rPr>
          <w:rFonts w:hint="eastAsia" w:ascii="仿宋_GB2312" w:hAnsi="仿宋_GB2312" w:eastAsia="仿宋_GB2312" w:cs="仿宋_GB2312"/>
          <w:color w:val="auto"/>
          <w:sz w:val="24"/>
          <w:highlight w:val="none"/>
        </w:rPr>
        <w:t>/（K+K</w:t>
      </w:r>
      <w:r>
        <w:rPr>
          <w:rFonts w:hint="eastAsia" w:ascii="仿宋_GB2312" w:hAnsi="仿宋_GB2312" w:eastAsia="仿宋_GB2312" w:cs="仿宋_GB2312"/>
          <w:color w:val="auto"/>
          <w:sz w:val="24"/>
          <w:highlight w:val="none"/>
          <w:vertAlign w:val="subscript"/>
        </w:rPr>
        <w:t>P</w:t>
      </w:r>
      <w:r>
        <w:rPr>
          <w:rFonts w:hint="eastAsia" w:ascii="仿宋_GB2312" w:hAnsi="仿宋_GB2312" w:eastAsia="仿宋_GB2312" w:cs="仿宋_GB2312"/>
          <w:color w:val="auto"/>
          <w:sz w:val="24"/>
          <w:highlight w:val="none"/>
        </w:rPr>
        <w:t>）] ×4＋（A</w:t>
      </w:r>
      <w:r>
        <w:rPr>
          <w:rFonts w:hint="eastAsia" w:ascii="仿宋_GB2312" w:hAnsi="仿宋_GB2312" w:eastAsia="仿宋_GB2312" w:cs="仿宋_GB2312"/>
          <w:color w:val="auto"/>
          <w:sz w:val="24"/>
          <w:highlight w:val="none"/>
          <w:vertAlign w:val="subscript"/>
        </w:rPr>
        <w:t>P1</w:t>
      </w:r>
      <w:r>
        <w:rPr>
          <w:rFonts w:hint="eastAsia" w:ascii="仿宋_GB2312" w:hAnsi="仿宋_GB2312" w:eastAsia="仿宋_GB2312" w:cs="仿宋_GB2312"/>
          <w:color w:val="auto"/>
          <w:sz w:val="24"/>
          <w:highlight w:val="none"/>
        </w:rPr>
        <w:t>×0.1+A</w:t>
      </w:r>
      <w:r>
        <w:rPr>
          <w:rFonts w:hint="eastAsia" w:ascii="仿宋_GB2312" w:hAnsi="仿宋_GB2312" w:eastAsia="仿宋_GB2312" w:cs="仿宋_GB2312"/>
          <w:color w:val="auto"/>
          <w:sz w:val="24"/>
          <w:highlight w:val="none"/>
          <w:vertAlign w:val="subscript"/>
        </w:rPr>
        <w:t>P2</w:t>
      </w:r>
      <w:r>
        <w:rPr>
          <w:rFonts w:hint="eastAsia" w:ascii="仿宋_GB2312" w:hAnsi="仿宋_GB2312" w:eastAsia="仿宋_GB2312" w:cs="仿宋_GB2312"/>
          <w:color w:val="auto"/>
          <w:sz w:val="24"/>
          <w:highlight w:val="none"/>
        </w:rPr>
        <w:t>×0.2+A</w:t>
      </w:r>
      <w:r>
        <w:rPr>
          <w:rFonts w:hint="eastAsia" w:ascii="仿宋_GB2312" w:hAnsi="仿宋_GB2312" w:eastAsia="仿宋_GB2312" w:cs="仿宋_GB2312"/>
          <w:color w:val="auto"/>
          <w:sz w:val="24"/>
          <w:highlight w:val="none"/>
          <w:vertAlign w:val="subscript"/>
        </w:rPr>
        <w:t>P3</w:t>
      </w:r>
      <w:r>
        <w:rPr>
          <w:rFonts w:hint="eastAsia" w:ascii="仿宋_GB2312" w:hAnsi="仿宋_GB2312" w:eastAsia="仿宋_GB2312" w:cs="仿宋_GB2312"/>
          <w:color w:val="auto"/>
          <w:sz w:val="24"/>
          <w:highlight w:val="none"/>
        </w:rPr>
        <w:t>×0.3+A</w:t>
      </w:r>
      <w:r>
        <w:rPr>
          <w:rFonts w:hint="eastAsia" w:ascii="仿宋_GB2312" w:hAnsi="仿宋_GB2312" w:eastAsia="仿宋_GB2312" w:cs="仿宋_GB2312"/>
          <w:color w:val="auto"/>
          <w:sz w:val="24"/>
          <w:highlight w:val="none"/>
          <w:vertAlign w:val="subscript"/>
        </w:rPr>
        <w:t>P4</w:t>
      </w:r>
      <w:r>
        <w:rPr>
          <w:rFonts w:hint="eastAsia" w:ascii="仿宋_GB2312" w:hAnsi="仿宋_GB2312" w:eastAsia="仿宋_GB2312" w:cs="仿宋_GB2312"/>
          <w:color w:val="auto"/>
          <w:sz w:val="24"/>
          <w:highlight w:val="none"/>
        </w:rPr>
        <w:t>×0.4）×2</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F：施工项目季度考评综合优良率得分</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 企业季度考评在建工地宗数</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K: 企业季度考评优良工地宗数</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K</w:t>
      </w:r>
      <w:r>
        <w:rPr>
          <w:rFonts w:hint="eastAsia" w:ascii="仿宋_GB2312" w:hAnsi="仿宋_GB2312" w:eastAsia="仿宋_GB2312" w:cs="仿宋_GB2312"/>
          <w:color w:val="auto"/>
          <w:sz w:val="24"/>
          <w:highlight w:val="none"/>
          <w:vertAlign w:val="subscript"/>
        </w:rPr>
        <w:t>P</w:t>
      </w:r>
      <w:r>
        <w:rPr>
          <w:rFonts w:hint="eastAsia" w:ascii="仿宋_GB2312" w:hAnsi="仿宋_GB2312" w:eastAsia="仿宋_GB2312" w:cs="仿宋_GB2312"/>
          <w:color w:val="auto"/>
          <w:sz w:val="24"/>
          <w:highlight w:val="none"/>
        </w:rPr>
        <w:t>: 全省所有企业的季度考评优良工地平均数</w:t>
      </w:r>
    </w:p>
    <w:p>
      <w:pPr>
        <w:snapToGrid w:val="0"/>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w:t>
      </w:r>
      <w:r>
        <w:rPr>
          <w:rFonts w:hint="eastAsia" w:ascii="仿宋_GB2312" w:hAnsi="仿宋_GB2312" w:eastAsia="仿宋_GB2312" w:cs="仿宋_GB2312"/>
          <w:color w:val="auto"/>
          <w:sz w:val="24"/>
          <w:highlight w:val="none"/>
          <w:vertAlign w:val="subscript"/>
        </w:rPr>
        <w:t>P1</w:t>
      </w:r>
      <w:r>
        <w:rPr>
          <w:rFonts w:hint="eastAsia" w:ascii="仿宋_GB2312" w:hAnsi="仿宋_GB2312" w:eastAsia="仿宋_GB2312" w:cs="仿宋_GB2312"/>
          <w:color w:val="auto"/>
          <w:sz w:val="24"/>
          <w:highlight w:val="none"/>
        </w:rPr>
        <w:t xml:space="preserve"> 、A</w:t>
      </w:r>
      <w:r>
        <w:rPr>
          <w:rFonts w:hint="eastAsia" w:ascii="仿宋_GB2312" w:hAnsi="仿宋_GB2312" w:eastAsia="仿宋_GB2312" w:cs="仿宋_GB2312"/>
          <w:color w:val="auto"/>
          <w:sz w:val="24"/>
          <w:highlight w:val="none"/>
          <w:vertAlign w:val="subscript"/>
        </w:rPr>
        <w:t>P2</w:t>
      </w:r>
      <w:r>
        <w:rPr>
          <w:rFonts w:hint="eastAsia" w:ascii="仿宋_GB2312" w:hAnsi="仿宋_GB2312" w:eastAsia="仿宋_GB2312" w:cs="仿宋_GB2312"/>
          <w:color w:val="auto"/>
          <w:sz w:val="24"/>
          <w:highlight w:val="none"/>
        </w:rPr>
        <w:t xml:space="preserve"> 、A</w:t>
      </w:r>
      <w:r>
        <w:rPr>
          <w:rFonts w:hint="eastAsia" w:ascii="仿宋_GB2312" w:hAnsi="仿宋_GB2312" w:eastAsia="仿宋_GB2312" w:cs="仿宋_GB2312"/>
          <w:color w:val="auto"/>
          <w:sz w:val="24"/>
          <w:highlight w:val="none"/>
          <w:vertAlign w:val="subscript"/>
        </w:rPr>
        <w:t>P3</w:t>
      </w:r>
      <w:r>
        <w:rPr>
          <w:rFonts w:hint="eastAsia" w:ascii="仿宋_GB2312" w:hAnsi="仿宋_GB2312" w:eastAsia="仿宋_GB2312" w:cs="仿宋_GB2312"/>
          <w:color w:val="auto"/>
          <w:sz w:val="24"/>
          <w:highlight w:val="none"/>
        </w:rPr>
        <w:t xml:space="preserve"> 、A</w:t>
      </w:r>
      <w:r>
        <w:rPr>
          <w:rFonts w:hint="eastAsia" w:ascii="仿宋_GB2312" w:hAnsi="仿宋_GB2312" w:eastAsia="仿宋_GB2312" w:cs="仿宋_GB2312"/>
          <w:color w:val="auto"/>
          <w:sz w:val="24"/>
          <w:highlight w:val="none"/>
          <w:vertAlign w:val="subscript"/>
        </w:rPr>
        <w:t>P4</w:t>
      </w:r>
      <w:r>
        <w:rPr>
          <w:rFonts w:hint="eastAsia" w:ascii="仿宋_GB2312" w:hAnsi="仿宋_GB2312" w:eastAsia="仿宋_GB2312" w:cs="仿宋_GB2312"/>
          <w:color w:val="auto"/>
          <w:sz w:val="24"/>
          <w:highlight w:val="none"/>
        </w:rPr>
        <w:t>：企业考评季度之前连续四个季度考评优良比例（K/A，K或者A为0时，该项数据计0分）</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4.1  施工项目季度考评综合优良率得分以“湖南省智慧住建云—湖南省建筑市场监管公共服务平台”最新公布的信息为准，无查询结果的，投标时按照施工项目季度考评综合优良率得分处于末位的合格投标人的分值计取；省外企业无施工项目季度考评综合优良率得分查询结果的，可以提供注册地省级住房和城乡建设部门公开发布的用于计算施工项目季度考评综合优良率的相关基础数据作为评审依据。</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  招标项目为专业工程、园林绿化工程的，评标时投标人的施工项目季度考评综合优良率统一计满分。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 同一类型(专业)的施工企业组成的联合体,奖项、标准化工地、绿色科技创新指标、加分业绩、信用评价、综合优良率得分分别为该类型(专业)联合体各方得分的平均值。</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招标项目存在不同类型工程内容的,招标人应根据项目实际情况在招标文件中明确主要类型（专业）,奖项、标准化工地、绿色科技创新指标、加分业绩、信用评价、优良率得分均只考虑主要类型(专业),设置项目奖项、标准化工地、绿色科技创新指标、加分业绩的指标标准按照主要类型(专业)的规模,其他指标标准和相关要求按照整个招标项目的规模。奖项、标准化工地、绿色科技创新指标、加分业绩、信用评价、优良率得分为联合体主要类型(专业)单位的得分。</w:t>
      </w:r>
    </w:p>
    <w:p>
      <w:pPr>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6. </w:t>
      </w:r>
      <w:r>
        <w:rPr>
          <w:rFonts w:hint="eastAsia" w:ascii="仿宋_GB2312" w:hAnsi="仿宋_GB2312" w:eastAsia="仿宋_GB2312" w:cs="仿宋_GB2312"/>
          <w:color w:val="auto"/>
          <w:sz w:val="24"/>
          <w:highlight w:val="none"/>
          <w:lang w:val="en-US" w:eastAsia="zh-CN"/>
        </w:rPr>
        <w:t>项目经理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6.1</w:t>
      </w:r>
      <w:r>
        <w:rPr>
          <w:rFonts w:hint="eastAsia" w:ascii="仿宋_GB2312" w:hAnsi="仿宋_GB2312" w:eastAsia="仿宋_GB2312" w:cs="仿宋_GB2312"/>
          <w:color w:val="auto"/>
          <w:sz w:val="24"/>
          <w:highlight w:val="none"/>
          <w:lang w:val="en-US" w:eastAsia="zh-CN"/>
        </w:rPr>
        <w:t>项目经理</w:t>
      </w:r>
      <w:r>
        <w:rPr>
          <w:rFonts w:hint="eastAsia" w:ascii="仿宋_GB2312" w:hAnsi="仿宋_GB2312" w:eastAsia="仿宋_GB2312" w:cs="仿宋_GB2312"/>
          <w:color w:val="auto"/>
          <w:sz w:val="24"/>
          <w:highlight w:val="none"/>
        </w:rPr>
        <w:t>业绩：</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招标人可以根据项目实际情况选取0-1个项目经理类似工程业绩纳入评审。</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项目经理类似工程业绩以中标通知书（招标工程提交）、合同和竣工验收资料为准</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并提供“湖南省智慧住建云—湖南省建筑市场监管公共服务平台”或者“全国建筑市场监管公共服务平台”上体现其作为</w:t>
      </w:r>
      <w:r>
        <w:rPr>
          <w:rFonts w:hint="eastAsia" w:ascii="仿宋_GB2312" w:hAnsi="仿宋_GB2312" w:eastAsia="仿宋_GB2312" w:cs="仿宋_GB2312"/>
          <w:color w:val="auto"/>
          <w:sz w:val="24"/>
          <w:highlight w:val="none"/>
          <w:lang w:val="en-US" w:eastAsia="zh-CN"/>
        </w:rPr>
        <w:t>项目经理</w:t>
      </w:r>
      <w:r>
        <w:rPr>
          <w:rFonts w:hint="eastAsia" w:ascii="仿宋_GB2312" w:hAnsi="仿宋_GB2312" w:eastAsia="仿宋_GB2312" w:cs="仿宋_GB2312"/>
          <w:color w:val="auto"/>
          <w:sz w:val="24"/>
          <w:highlight w:val="none"/>
        </w:rPr>
        <w:t>的项目网页截图。项目经理姓名不一致时，依次按照竣工验收资料、合同和中标通知书的顺序认定。竣工验收资料、合同和中标通知书等任一</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依据上</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的项目经理超过一个的，仅对排序第一的项目经理计分。相关指标不一致时，依次按照中标通知书、合同、竣工验收资料的顺序认定。</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期限：3年，按工程竣工验收文件中建设单位签字之日起计算。类似工程业绩</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依据中竣工验收备案表未体现建设单位签字之日的，以竣工验收备案表“竣工验收日期”栏中注明的时间为准。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6.3奖项：</w:t>
      </w:r>
    </w:p>
    <w:p>
      <w:pPr>
        <w:ind w:firstLine="480" w:firstLineChars="200"/>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6.3.1 最高投标限价＜5000万元的施工总承包项目、最高投标限价＜1500万元的施工专业承包项目，</w:t>
      </w:r>
      <w:r>
        <w:rPr>
          <w:rFonts w:hint="eastAsia" w:ascii="仿宋_GB2312" w:hAnsi="仿宋_GB2312" w:eastAsia="仿宋_GB2312" w:cs="仿宋_GB2312"/>
          <w:bCs/>
          <w:color w:val="0000FF"/>
          <w:sz w:val="24"/>
          <w:highlight w:val="none"/>
          <w:lang w:val="en-US" w:eastAsia="zh-CN"/>
        </w:rPr>
        <w:t>项目经理奖项不得列入评审计分范围</w:t>
      </w:r>
      <w:r>
        <w:rPr>
          <w:rFonts w:hint="eastAsia" w:ascii="仿宋_GB2312" w:hAnsi="仿宋_GB2312" w:eastAsia="仿宋_GB2312" w:cs="仿宋_GB2312"/>
          <w:bCs/>
          <w:color w:val="auto"/>
          <w:sz w:val="24"/>
          <w:highlight w:val="none"/>
          <w:lang w:val="en-US" w:eastAsia="zh-CN"/>
        </w:rPr>
        <w:t>；5000万元≤最高投标限价＜20000万元的施工总承包项目、1500万元≤最高投标限价＜3000万元的施工专业承包项目，招标人根据项目实际情况</w:t>
      </w:r>
      <w:r>
        <w:rPr>
          <w:rFonts w:hint="eastAsia" w:ascii="仿宋_GB2312" w:hAnsi="仿宋_GB2312" w:eastAsia="仿宋_GB2312" w:cs="仿宋_GB2312"/>
          <w:bCs/>
          <w:color w:val="0000FF"/>
          <w:sz w:val="24"/>
          <w:highlight w:val="none"/>
          <w:lang w:val="en-US" w:eastAsia="zh-CN"/>
        </w:rPr>
        <w:t>选择0-1个省级奖项参与评审计分</w:t>
      </w:r>
      <w:r>
        <w:rPr>
          <w:rFonts w:hint="eastAsia" w:ascii="仿宋_GB2312" w:hAnsi="仿宋_GB2312" w:eastAsia="仿宋_GB2312" w:cs="仿宋_GB2312"/>
          <w:bCs/>
          <w:color w:val="auto"/>
          <w:sz w:val="24"/>
          <w:highlight w:val="none"/>
          <w:lang w:val="en-US" w:eastAsia="zh-CN"/>
        </w:rPr>
        <w:t>；最高投标限价≥20000万元的施工总承包项目、最高投标限价≥3000万元的施工</w:t>
      </w:r>
      <w:bookmarkStart w:id="0" w:name="_GoBack"/>
      <w:bookmarkEnd w:id="0"/>
      <w:r>
        <w:rPr>
          <w:rFonts w:hint="eastAsia" w:ascii="仿宋_GB2312" w:hAnsi="仿宋_GB2312" w:eastAsia="仿宋_GB2312" w:cs="仿宋_GB2312"/>
          <w:bCs/>
          <w:color w:val="auto"/>
          <w:sz w:val="24"/>
          <w:highlight w:val="none"/>
          <w:lang w:val="en-US" w:eastAsia="zh-CN"/>
        </w:rPr>
        <w:t>专业承包项目，招标人根据项目实际情况选择</w:t>
      </w:r>
      <w:r>
        <w:rPr>
          <w:rFonts w:hint="eastAsia" w:ascii="仿宋_GB2312" w:hAnsi="仿宋_GB2312" w:eastAsia="仿宋_GB2312" w:cs="仿宋_GB2312"/>
          <w:bCs/>
          <w:color w:val="0000FF"/>
          <w:sz w:val="24"/>
          <w:highlight w:val="none"/>
          <w:lang w:val="en-US" w:eastAsia="zh-CN"/>
        </w:rPr>
        <w:t>0-1个奖项（国家级和省级奖项）参与评审计分</w:t>
      </w:r>
      <w:r>
        <w:rPr>
          <w:rFonts w:hint="eastAsia" w:ascii="仿宋_GB2312" w:hAnsi="仿宋_GB2312" w:eastAsia="仿宋_GB2312" w:cs="仿宋_GB2312"/>
          <w:bCs/>
          <w:color w:val="auto"/>
          <w:sz w:val="24"/>
          <w:highlight w:val="none"/>
          <w:lang w:val="en-US" w:eastAsia="zh-CN"/>
        </w:rPr>
        <w:t>。</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6.3.2 奖项</w:t>
      </w:r>
      <w:r>
        <w:rPr>
          <w:rFonts w:hint="eastAsia" w:ascii="仿宋_GB2312" w:hAnsi="仿宋_GB2312" w:eastAsia="仿宋_GB2312" w:cs="仿宋_GB2312"/>
          <w:bCs/>
          <w:color w:val="auto"/>
          <w:sz w:val="24"/>
          <w:highlight w:val="none"/>
        </w:rPr>
        <w:t>评审</w:t>
      </w:r>
      <w:r>
        <w:rPr>
          <w:rFonts w:hint="eastAsia" w:ascii="仿宋_GB2312" w:hAnsi="仿宋_GB2312" w:eastAsia="仿宋_GB2312" w:cs="仿宋_GB2312"/>
          <w:color w:val="auto"/>
          <w:sz w:val="24"/>
          <w:highlight w:val="none"/>
        </w:rPr>
        <w:t>依据和期限与投标企业奖项一致</w:t>
      </w:r>
      <w:r>
        <w:rPr>
          <w:rFonts w:hint="eastAsia" w:ascii="仿宋_GB2312" w:hAnsi="仿宋_GB2312" w:eastAsia="仿宋_GB2312" w:cs="仿宋_GB2312"/>
          <w:color w:val="auto"/>
          <w:sz w:val="24"/>
          <w:highlight w:val="none"/>
          <w:lang w:val="en-US" w:eastAsia="zh-CN"/>
        </w:rPr>
        <w:t>。</w:t>
      </w:r>
    </w:p>
    <w:p>
      <w:pPr>
        <w:ind w:firstLine="480" w:firstLineChars="200"/>
        <w:rPr>
          <w:rFonts w:hint="default" w:ascii="仿宋_GB2312" w:hAnsi="仿宋_GB2312" w:eastAsia="仿宋_GB2312" w:cs="仿宋_GB2312"/>
          <w:color w:val="auto"/>
          <w:sz w:val="24"/>
          <w:highlight w:val="none"/>
          <w:lang w:val="en-US" w:eastAsia="zh-CN"/>
        </w:rPr>
      </w:pPr>
      <w:r>
        <w:rPr>
          <w:rFonts w:hint="default" w:ascii="仿宋_GB2312" w:hAnsi="仿宋_GB2312" w:eastAsia="仿宋_GB2312" w:cs="仿宋_GB2312"/>
          <w:color w:val="auto"/>
          <w:sz w:val="24"/>
          <w:highlight w:val="none"/>
          <w:lang w:val="en-US" w:eastAsia="zh-CN"/>
        </w:rPr>
        <w:t>(1)招标项目为房屋建筑施工总承包或者市政施工总承包工程的，招标项目工程类型应与获奖工程的工程类型一致;以专业资质获得的奖项和以参建单位获得的奖项均不予计分。</w:t>
      </w:r>
    </w:p>
    <w:p>
      <w:pPr>
        <w:ind w:firstLine="480" w:firstLineChars="200"/>
        <w:rPr>
          <w:rFonts w:hint="default" w:ascii="仿宋_GB2312" w:hAnsi="仿宋_GB2312" w:eastAsia="仿宋_GB2312" w:cs="仿宋_GB2312"/>
          <w:color w:val="auto"/>
          <w:sz w:val="24"/>
          <w:highlight w:val="none"/>
          <w:lang w:val="en-US" w:eastAsia="zh-CN"/>
        </w:rPr>
      </w:pPr>
      <w:r>
        <w:rPr>
          <w:rFonts w:hint="default" w:ascii="仿宋_GB2312" w:hAnsi="仿宋_GB2312" w:eastAsia="仿宋_GB2312" w:cs="仿宋_GB2312"/>
          <w:color w:val="auto"/>
          <w:sz w:val="24"/>
          <w:highlight w:val="none"/>
          <w:lang w:val="en-US" w:eastAsia="zh-CN"/>
        </w:rPr>
        <w:t>(2)招标工程为园林绿化工程的,仅对中国人居环境范例奖( 园林绿化获奖项目)省级园林绿化优质工程加分。</w:t>
      </w:r>
    </w:p>
    <w:p>
      <w:pPr>
        <w:ind w:firstLine="480" w:firstLineChars="200"/>
        <w:rPr>
          <w:rFonts w:hint="default" w:ascii="仿宋_GB2312" w:hAnsi="仿宋_GB2312" w:eastAsia="仿宋_GB2312" w:cs="仿宋_GB2312"/>
          <w:color w:val="auto"/>
          <w:sz w:val="24"/>
          <w:highlight w:val="none"/>
          <w:lang w:val="en-US" w:eastAsia="zh-CN"/>
        </w:rPr>
      </w:pPr>
      <w:r>
        <w:rPr>
          <w:rFonts w:hint="default" w:ascii="仿宋_GB2312" w:hAnsi="仿宋_GB2312" w:eastAsia="仿宋_GB2312" w:cs="仿宋_GB2312"/>
          <w:color w:val="auto"/>
          <w:sz w:val="24"/>
          <w:highlight w:val="none"/>
          <w:lang w:val="en-US" w:eastAsia="zh-CN"/>
        </w:rPr>
        <w:t>(3)招标项目为专业工程的，仅对以同专业资质获得的相应奖项计分，以总承包资质获得的奖项不予计分。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6.3.3 获奖文件</w:t>
      </w:r>
      <w:r>
        <w:rPr>
          <w:rFonts w:hint="eastAsia" w:ascii="仿宋_GB2312" w:hAnsi="仿宋_GB2312" w:eastAsia="仿宋_GB2312" w:cs="仿宋_GB2312"/>
          <w:color w:val="auto"/>
          <w:sz w:val="24"/>
          <w:highlight w:val="none"/>
        </w:rPr>
        <w:t>中</w:t>
      </w:r>
      <w:r>
        <w:rPr>
          <w:rFonts w:hint="eastAsia" w:ascii="仿宋_GB2312" w:hAnsi="仿宋_GB2312" w:eastAsia="仿宋_GB2312" w:cs="仿宋_GB2312"/>
          <w:color w:val="auto"/>
          <w:sz w:val="24"/>
          <w:highlight w:val="none"/>
          <w:lang w:val="en-US" w:eastAsia="zh-CN"/>
        </w:rPr>
        <w:t>已</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项目经理姓名</w:t>
      </w:r>
      <w:r>
        <w:rPr>
          <w:rFonts w:hint="eastAsia" w:ascii="仿宋_GB2312" w:hAnsi="仿宋_GB2312" w:eastAsia="仿宋_GB2312" w:cs="仿宋_GB2312"/>
          <w:color w:val="auto"/>
          <w:sz w:val="24"/>
          <w:highlight w:val="none"/>
          <w:lang w:val="en-US" w:eastAsia="zh-CN"/>
        </w:rPr>
        <w:t>的，以获奖文件中载明的项目经理为准；获奖文件</w:t>
      </w:r>
      <w:r>
        <w:rPr>
          <w:rFonts w:hint="eastAsia" w:ascii="仿宋_GB2312" w:hAnsi="仿宋_GB2312" w:eastAsia="仿宋_GB2312" w:cs="仿宋_GB2312"/>
          <w:color w:val="auto"/>
          <w:sz w:val="24"/>
          <w:highlight w:val="none"/>
        </w:rPr>
        <w:t>中未</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项目经理姓名的，以竣工验收资料中</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的项目经理为准；</w:t>
      </w:r>
      <w:r>
        <w:rPr>
          <w:rFonts w:hint="eastAsia" w:ascii="仿宋_GB2312" w:hAnsi="仿宋_GB2312" w:eastAsia="仿宋_GB2312" w:cs="仿宋_GB2312"/>
          <w:color w:val="auto"/>
          <w:sz w:val="24"/>
          <w:highlight w:val="none"/>
          <w:lang w:val="en-US" w:eastAsia="zh-CN"/>
        </w:rPr>
        <w:t>获奖文件或者</w:t>
      </w:r>
      <w:r>
        <w:rPr>
          <w:rFonts w:hint="eastAsia" w:ascii="仿宋_GB2312" w:hAnsi="仿宋_GB2312" w:eastAsia="仿宋_GB2312" w:cs="仿宋_GB2312"/>
          <w:color w:val="auto"/>
          <w:sz w:val="24"/>
          <w:highlight w:val="none"/>
        </w:rPr>
        <w:t>竣工验收资料中</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的项目经理超过一个的，仅对排序第一的项目经理计分；竣工验收资料中未</w:t>
      </w:r>
      <w:r>
        <w:rPr>
          <w:rFonts w:hint="eastAsia" w:ascii="仿宋_GB2312" w:hAnsi="仿宋_GB2312" w:eastAsia="仿宋_GB2312" w:cs="仿宋_GB2312"/>
          <w:color w:val="auto"/>
          <w:sz w:val="24"/>
          <w:highlight w:val="none"/>
          <w:lang w:eastAsia="zh-CN"/>
        </w:rPr>
        <w:t>载明</w:t>
      </w:r>
      <w:r>
        <w:rPr>
          <w:rFonts w:hint="eastAsia" w:ascii="仿宋_GB2312" w:hAnsi="仿宋_GB2312" w:eastAsia="仿宋_GB2312" w:cs="仿宋_GB2312"/>
          <w:color w:val="auto"/>
          <w:sz w:val="24"/>
          <w:highlight w:val="none"/>
        </w:rPr>
        <w:t>项目经理姓名，以及无法分辨工程类型的，不予计分。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6.4投标截止时间以前3年内，拟任项目经理在其他项目担任项目经理期间发生过变更撤换且在该项目完成合同约定工作量或合同约定本职工作之前，参与本项目投标的，不对该项目经理的类似工程业绩和奖项等计分；存在上述情形的，投标人应当在投标文件中如实说明，未如实说明的，招标人取消其中标候选人资格，并提请住房和城乡建设主管部门按规定予以信用评价扣分。（适用于：项目经理业绩、奖项加分的项目，且投标人在投标文件中已按招标文件规定提供符合加分的项目经理业绩或奖项证明材料的）</w:t>
      </w:r>
    </w:p>
    <w:p>
      <w:pPr>
        <w:ind w:firstLine="480" w:firstLineChars="2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6.</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 xml:space="preserve"> 拟任项目经理在建情况以投标截止时在“湖南省建筑工程监管信息平台”查</w:t>
      </w:r>
      <w:r>
        <w:rPr>
          <w:rFonts w:hint="eastAsia" w:ascii="仿宋_GB2312" w:hAnsi="仿宋_GB2312" w:eastAsia="仿宋_GB2312" w:cs="仿宋_GB2312"/>
          <w:color w:val="auto"/>
          <w:sz w:val="24"/>
          <w:highlight w:val="none"/>
          <w:lang w:val="en-US" w:eastAsia="zh-CN"/>
        </w:rPr>
        <w:t>询信息为准，有在其他项目任关键岗位人员情形的，评标委员会应当否决其投标。</w:t>
      </w:r>
    </w:p>
    <w:p>
      <w:pPr>
        <w:ind w:firstLine="480" w:firstLineChars="2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投标截止时，拟任项目经理在“湖南省建筑工程监管信息平台”之外有在其他项目任关键岗位人员情形的，其奖项、业绩不予计分，且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中标候选人公示明确的公示期满之前，拟任项目经理不能按时到岗履职的（含不能从其他项目按期撤离的），招标人取消其中标候选人资格，并提请住房和城乡建设主管部门按规定予以信用评价扣分。中标通知书发放后，拟任项目经理不能按时到岗履职的（含不能从其他项目按期撤离的），招标人取消其中标人资格，并提请住房和城乡建设主管部门按规定记录一般不良行为。</w:t>
      </w:r>
    </w:p>
    <w:p>
      <w:pPr>
        <w:numPr>
          <w:ilvl w:val="0"/>
          <w:numId w:val="1"/>
        </w:num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施工单位及拟任项目经理不良信用信息</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7.1  按照以下不良信用信息扣分标准扣分，严重失信行为名单（含失信黑名单，下同）每次扣8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ind w:firstLine="480" w:firstLineChars="2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7.2  评审依据及扣分有效期</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 失信被执行人：以中国执行信息公开网公布的信息为准，自结果公布之日起6个月有效；</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 不良行为记录：湖南省行政区域内的不良行为记录以湖南省住房和城乡建设厅公布的结果为准，有效期按照《湖南省建筑市场责任主体不良行为记录》规定执行;湖南省行政区域外的不良行为记录以全国建筑市场监管公共服务平台公布的信息为准，按严重不良行为记录扣分，有效期按照平台中注明的有效期执行。</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 行政处罚：以行政处罚决定书为准。罚款10万元以上处罚的，自结果公布之日起3个月有效；其他罚款以上行政处罚的，自结果公布之日起6个月有效；</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 刑事处罚：以刑事处罚决定书为准，自结果公布之日起1年有效；</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 严重失信行为名单：以省公管办或省住房和城乡建设厅公布的相关文件为准，自结果公布之日起1年有效。</w:t>
      </w:r>
    </w:p>
    <w:p>
      <w:pPr>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上述同一违法违规事项受到刑事处罚、行政处罚、不良行为记录的，按照最高处罚决定的分值扣分。</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 xml:space="preserve">. 加分项目以投标文件中提供的相应证明材料为准，未提供相应材料或材料提供不全或不符合要求的，不加分。 </w:t>
      </w:r>
    </w:p>
    <w:p>
      <w:pPr>
        <w:snapToGrid w:val="0"/>
        <w:ind w:firstLine="480" w:firstLineChars="200"/>
        <w:rPr>
          <w:rFonts w:hint="default" w:ascii="仿宋_GB2312" w:hAnsi="仿宋_GB2312" w:eastAsia="仿宋_GB2312" w:cs="仿宋_GB2312"/>
          <w:color w:val="auto"/>
          <w:sz w:val="24"/>
          <w:highlight w:val="none"/>
          <w:lang w:val="en-US" w:eastAsia="zh-CN"/>
        </w:rPr>
      </w:pPr>
    </w:p>
    <w:p>
      <w:pPr>
        <w:widowControl/>
        <w:jc w:val="left"/>
        <w:rPr>
          <w:rFonts w:ascii="黑体" w:hAnsi="宋体" w:eastAsia="黑体" w:cs="仿宋_GB2312"/>
          <w:color w:val="auto"/>
          <w:highlight w:val="none"/>
        </w:rPr>
        <w:sectPr>
          <w:pgSz w:w="11906" w:h="16838"/>
          <w:pgMar w:top="1417" w:right="1417" w:bottom="1417" w:left="1587" w:header="720" w:footer="720" w:gutter="0"/>
          <w:cols w:space="720" w:num="1"/>
          <w:docGrid w:type="lines" w:linePitch="312" w:charSpace="0"/>
        </w:sectPr>
      </w:pP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附表5：投标报价评审表（经评审的最低投标价法）</w:t>
      </w:r>
    </w:p>
    <w:tbl>
      <w:tblPr>
        <w:tblStyle w:val="5"/>
        <w:tblW w:w="14239"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158"/>
        <w:gridCol w:w="1431"/>
        <w:gridCol w:w="4119"/>
        <w:gridCol w:w="2540"/>
        <w:gridCol w:w="499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8" w:hRule="atLeast"/>
          <w:jc w:val="center"/>
        </w:trPr>
        <w:tc>
          <w:tcPr>
            <w:tcW w:w="1158" w:type="dxa"/>
            <w:tcBorders>
              <w:bottom w:val="single" w:color="auto" w:sz="4" w:space="0"/>
              <w:right w:val="single" w:color="auto" w:sz="4" w:space="0"/>
            </w:tcBorders>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序号</w:t>
            </w:r>
          </w:p>
        </w:tc>
        <w:tc>
          <w:tcPr>
            <w:tcW w:w="1431" w:type="dxa"/>
            <w:tcBorders>
              <w:left w:val="nil"/>
              <w:bottom w:val="single" w:color="auto" w:sz="4" w:space="0"/>
              <w:right w:val="single" w:color="auto" w:sz="4" w:space="0"/>
            </w:tcBorders>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评审因素</w:t>
            </w:r>
          </w:p>
        </w:tc>
        <w:tc>
          <w:tcPr>
            <w:tcW w:w="4119" w:type="dxa"/>
            <w:tcBorders>
              <w:left w:val="nil"/>
              <w:bottom w:val="single" w:color="auto" w:sz="4" w:space="0"/>
              <w:right w:val="single" w:color="auto" w:sz="4" w:space="0"/>
            </w:tcBorders>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评审标准</w:t>
            </w:r>
          </w:p>
        </w:tc>
        <w:tc>
          <w:tcPr>
            <w:tcW w:w="2540" w:type="dxa"/>
            <w:tcBorders>
              <w:left w:val="nil"/>
              <w:bottom w:val="single" w:color="auto" w:sz="4" w:space="0"/>
              <w:right w:val="single" w:color="auto" w:sz="4" w:space="0"/>
            </w:tcBorders>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计分方式</w:t>
            </w:r>
          </w:p>
        </w:tc>
        <w:tc>
          <w:tcPr>
            <w:tcW w:w="4991" w:type="dxa"/>
            <w:tcBorders>
              <w:left w:val="nil"/>
              <w:bottom w:val="single" w:color="auto" w:sz="4" w:space="0"/>
            </w:tcBorders>
            <w:vAlign w:val="center"/>
          </w:tcPr>
          <w:p>
            <w:pPr>
              <w:jc w:val="center"/>
              <w:rPr>
                <w:rFonts w:ascii="宋体" w:hAnsi="宋体" w:cs="仿宋_GB2312"/>
                <w:b/>
                <w:bCs/>
                <w:color w:val="auto"/>
                <w:sz w:val="24"/>
                <w:highlight w:val="none"/>
              </w:rPr>
            </w:pPr>
            <w:r>
              <w:rPr>
                <w:rFonts w:hint="eastAsia" w:ascii="宋体" w:hAnsi="宋体"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51" w:hRule="atLeast"/>
          <w:jc w:val="center"/>
        </w:trPr>
        <w:tc>
          <w:tcPr>
            <w:tcW w:w="1158" w:type="dxa"/>
            <w:tcBorders>
              <w:top w:val="nil"/>
              <w:bottom w:val="single" w:color="auto" w:sz="4" w:space="0"/>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1431" w:type="dxa"/>
            <w:vMerge w:val="restart"/>
            <w:tcBorders>
              <w:top w:val="nil"/>
              <w:left w:val="nil"/>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投标报价</w:t>
            </w:r>
          </w:p>
        </w:tc>
        <w:tc>
          <w:tcPr>
            <w:tcW w:w="4119" w:type="dxa"/>
            <w:tcBorders>
              <w:top w:val="nil"/>
              <w:left w:val="nil"/>
              <w:bottom w:val="single" w:color="auto" w:sz="4" w:space="0"/>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 xml:space="preserve">投标报价＞ 经评审的最低投标价                </w:t>
            </w:r>
          </w:p>
        </w:tc>
        <w:tc>
          <w:tcPr>
            <w:tcW w:w="2540" w:type="dxa"/>
            <w:tcBorders>
              <w:top w:val="nil"/>
              <w:left w:val="nil"/>
              <w:bottom w:val="single" w:color="auto" w:sz="4" w:space="0"/>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100-0.5L</w:t>
            </w:r>
          </w:p>
          <w:p>
            <w:pPr>
              <w:jc w:val="center"/>
              <w:rPr>
                <w:rFonts w:ascii="宋体" w:hAnsi="宋体" w:cs="仿宋_GB2312"/>
                <w:color w:val="auto"/>
                <w:sz w:val="24"/>
                <w:highlight w:val="none"/>
              </w:rPr>
            </w:pPr>
          </w:p>
        </w:tc>
        <w:tc>
          <w:tcPr>
            <w:tcW w:w="4991" w:type="dxa"/>
            <w:vMerge w:val="restart"/>
            <w:tcBorders>
              <w:top w:val="single" w:color="auto" w:sz="4" w:space="0"/>
              <w:left w:val="nil"/>
              <w:bottom w:val="single" w:color="auto" w:sz="4" w:space="0"/>
            </w:tcBorders>
            <w:vAlign w:val="center"/>
          </w:tcPr>
          <w:p>
            <w:pPr>
              <w:spacing w:line="320" w:lineRule="exact"/>
              <w:ind w:firstLine="840" w:firstLineChars="350"/>
              <w:rPr>
                <w:rFonts w:ascii="宋体" w:hAnsi="宋体" w:cs="仿宋_GB2312"/>
                <w:color w:val="auto"/>
                <w:sz w:val="24"/>
                <w:highlight w:val="none"/>
              </w:rPr>
            </w:pPr>
            <w:r>
              <w:rPr>
                <w:rFonts w:hint="eastAsia" w:ascii="宋体" w:hAnsi="宋体" w:cs="仿宋_GB2312"/>
                <w:color w:val="auto"/>
                <w:sz w:val="24"/>
                <w:highlight w:val="none"/>
              </w:rPr>
              <w:t xml:space="preserve">投标报价 </w:t>
            </w:r>
            <w:r>
              <w:rPr>
                <w:rFonts w:hint="eastAsia" w:ascii="宋体" w:hAnsi="宋体" w:cs="仿宋_GB2312"/>
                <w:b/>
                <w:bCs/>
                <w:color w:val="auto"/>
                <w:sz w:val="24"/>
                <w:highlight w:val="none"/>
              </w:rPr>
              <w:t>-</w:t>
            </w:r>
            <w:r>
              <w:rPr>
                <w:rFonts w:hint="eastAsia" w:ascii="宋体" w:hAnsi="宋体" w:cs="仿宋_GB2312"/>
                <w:color w:val="auto"/>
                <w:sz w:val="24"/>
                <w:highlight w:val="none"/>
              </w:rPr>
              <w:t xml:space="preserve"> 经评审的最低投标价</w:t>
            </w:r>
          </w:p>
          <w:p>
            <w:pPr>
              <w:spacing w:line="320" w:lineRule="exact"/>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L=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 xml:space="preserve">  ×100</w:t>
            </w:r>
          </w:p>
          <w:p>
            <w:pPr>
              <w:spacing w:line="320" w:lineRule="exact"/>
              <w:ind w:left="136" w:leftChars="65" w:firstLine="1200" w:firstLineChars="500"/>
              <w:jc w:val="left"/>
              <w:rPr>
                <w:rFonts w:ascii="宋体" w:hAnsi="宋体" w:cs="仿宋_GB2312"/>
                <w:color w:val="auto"/>
                <w:sz w:val="24"/>
                <w:highlight w:val="none"/>
              </w:rPr>
            </w:pPr>
            <w:r>
              <w:rPr>
                <w:rFonts w:hint="eastAsia" w:ascii="宋体" w:hAnsi="宋体" w:cs="仿宋_GB2312"/>
                <w:color w:val="auto"/>
                <w:sz w:val="24"/>
                <w:highlight w:val="none"/>
              </w:rPr>
              <w:t>经评审的最低投标价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35" w:hRule="atLeast"/>
          <w:jc w:val="center"/>
        </w:trPr>
        <w:tc>
          <w:tcPr>
            <w:tcW w:w="1158" w:type="dxa"/>
            <w:tcBorders>
              <w:top w:val="single" w:color="auto" w:sz="4" w:space="0"/>
              <w:bottom w:val="nil"/>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1431" w:type="dxa"/>
            <w:vMerge w:val="continue"/>
            <w:tcBorders>
              <w:left w:val="nil"/>
              <w:right w:val="single" w:color="auto" w:sz="4" w:space="0"/>
            </w:tcBorders>
            <w:vAlign w:val="center"/>
          </w:tcPr>
          <w:p>
            <w:pPr>
              <w:widowControl/>
              <w:jc w:val="left"/>
              <w:rPr>
                <w:rFonts w:ascii="宋体" w:hAnsi="宋体" w:cs="仿宋_GB2312"/>
                <w:color w:val="auto"/>
                <w:sz w:val="24"/>
                <w:highlight w:val="none"/>
              </w:rPr>
            </w:pPr>
          </w:p>
        </w:tc>
        <w:tc>
          <w:tcPr>
            <w:tcW w:w="4119" w:type="dxa"/>
            <w:tcBorders>
              <w:top w:val="single" w:color="auto" w:sz="4" w:space="0"/>
              <w:left w:val="nil"/>
              <w:bottom w:val="nil"/>
              <w:right w:val="single" w:color="auto" w:sz="4" w:space="0"/>
            </w:tcBorders>
            <w:vAlign w:val="center"/>
          </w:tcPr>
          <w:p>
            <w:pPr>
              <w:jc w:val="center"/>
              <w:rPr>
                <w:rFonts w:ascii="宋体" w:hAnsi="宋体" w:cs="仿宋_GB2312"/>
                <w:strike/>
                <w:color w:val="auto"/>
                <w:sz w:val="24"/>
                <w:highlight w:val="none"/>
              </w:rPr>
            </w:pPr>
            <w:r>
              <w:rPr>
                <w:rFonts w:hint="eastAsia" w:ascii="宋体" w:hAnsi="宋体" w:cs="仿宋_GB2312"/>
                <w:color w:val="auto"/>
                <w:sz w:val="24"/>
                <w:highlight w:val="none"/>
              </w:rPr>
              <w:t>投标报价=经评审的最低投标价</w:t>
            </w:r>
          </w:p>
        </w:tc>
        <w:tc>
          <w:tcPr>
            <w:tcW w:w="2540" w:type="dxa"/>
            <w:tcBorders>
              <w:top w:val="single" w:color="auto" w:sz="4" w:space="0"/>
              <w:left w:val="nil"/>
              <w:bottom w:val="nil"/>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100</w:t>
            </w:r>
          </w:p>
        </w:tc>
        <w:tc>
          <w:tcPr>
            <w:tcW w:w="4991" w:type="dxa"/>
            <w:vMerge w:val="restart"/>
            <w:tcBorders>
              <w:top w:val="nil"/>
              <w:left w:val="nil"/>
              <w:bottom w:val="nil"/>
            </w:tcBorders>
            <w:vAlign w:val="center"/>
          </w:tcPr>
          <w:p>
            <w:pPr>
              <w:spacing w:line="320" w:lineRule="exact"/>
              <w:ind w:firstLine="1440" w:firstLineChars="600"/>
              <w:jc w:val="left"/>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64" w:hRule="atLeast"/>
          <w:jc w:val="center"/>
        </w:trPr>
        <w:tc>
          <w:tcPr>
            <w:tcW w:w="1158" w:type="dxa"/>
            <w:tcBorders>
              <w:top w:val="single" w:color="auto" w:sz="4" w:space="0"/>
              <w:right w:val="single" w:color="auto" w:sz="4" w:space="0"/>
            </w:tcBorders>
            <w:vAlign w:val="center"/>
          </w:tcPr>
          <w:p>
            <w:pPr>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1431" w:type="dxa"/>
            <w:vMerge w:val="continue"/>
            <w:tcBorders>
              <w:left w:val="nil"/>
              <w:right w:val="single" w:color="auto" w:sz="4" w:space="0"/>
            </w:tcBorders>
            <w:vAlign w:val="center"/>
          </w:tcPr>
          <w:p>
            <w:pPr>
              <w:widowControl/>
              <w:jc w:val="left"/>
              <w:rPr>
                <w:rFonts w:ascii="宋体" w:hAnsi="宋体" w:cs="仿宋_GB2312"/>
                <w:color w:val="auto"/>
                <w:sz w:val="24"/>
                <w:highlight w:val="none"/>
              </w:rPr>
            </w:pPr>
          </w:p>
        </w:tc>
        <w:tc>
          <w:tcPr>
            <w:tcW w:w="4119" w:type="dxa"/>
            <w:tcBorders>
              <w:top w:val="single" w:color="auto" w:sz="4" w:space="0"/>
              <w:left w:val="nil"/>
              <w:right w:val="single" w:color="auto" w:sz="4" w:space="0"/>
            </w:tcBorders>
            <w:vAlign w:val="center"/>
          </w:tcPr>
          <w:p>
            <w:pPr>
              <w:jc w:val="center"/>
              <w:rPr>
                <w:rFonts w:ascii="宋体" w:hAnsi="宋体" w:cs="仿宋_GB2312"/>
                <w:strike/>
                <w:color w:val="auto"/>
                <w:sz w:val="24"/>
                <w:highlight w:val="none"/>
              </w:rPr>
            </w:pPr>
            <w:r>
              <w:rPr>
                <w:rFonts w:hint="eastAsia" w:ascii="宋体" w:hAnsi="宋体" w:cs="仿宋_GB2312"/>
                <w:color w:val="auto"/>
                <w:sz w:val="24"/>
                <w:highlight w:val="none"/>
              </w:rPr>
              <w:t>投标报价＜经评审的最低投标价</w:t>
            </w:r>
          </w:p>
        </w:tc>
        <w:tc>
          <w:tcPr>
            <w:tcW w:w="2540" w:type="dxa"/>
            <w:tcBorders>
              <w:top w:val="single" w:color="auto" w:sz="4" w:space="0"/>
              <w:left w:val="nil"/>
              <w:right w:val="single" w:color="auto" w:sz="4" w:space="0"/>
            </w:tcBorders>
            <w:vAlign w:val="center"/>
          </w:tcPr>
          <w:p>
            <w:pPr>
              <w:jc w:val="center"/>
              <w:rPr>
                <w:rFonts w:ascii="宋体" w:hAnsi="宋体" w:cs="仿宋_GB2312"/>
                <w:strike/>
                <w:color w:val="auto"/>
                <w:sz w:val="24"/>
                <w:highlight w:val="none"/>
              </w:rPr>
            </w:pPr>
            <w:r>
              <w:rPr>
                <w:rFonts w:hint="eastAsia" w:ascii="宋体" w:hAnsi="宋体" w:cs="仿宋_GB2312"/>
                <w:color w:val="auto"/>
                <w:sz w:val="24"/>
                <w:highlight w:val="none"/>
              </w:rPr>
              <w:t>0</w:t>
            </w:r>
          </w:p>
        </w:tc>
        <w:tc>
          <w:tcPr>
            <w:tcW w:w="4991" w:type="dxa"/>
            <w:vMerge w:val="continue"/>
            <w:tcBorders>
              <w:top w:val="nil"/>
              <w:left w:val="nil"/>
            </w:tcBorders>
            <w:vAlign w:val="center"/>
          </w:tcPr>
          <w:p>
            <w:pPr>
              <w:widowControl/>
              <w:jc w:val="left"/>
              <w:rPr>
                <w:rFonts w:ascii="宋体" w:hAnsi="宋体" w:cs="仿宋_GB2312"/>
                <w:color w:val="auto"/>
                <w:sz w:val="24"/>
                <w:highlight w:val="none"/>
              </w:rPr>
            </w:pPr>
          </w:p>
        </w:tc>
      </w:tr>
    </w:tbl>
    <w:p>
      <w:pPr>
        <w:widowControl/>
        <w:shd w:val="clear" w:color="auto" w:fill="FFFFFF"/>
        <w:snapToGrid w:val="0"/>
        <w:rPr>
          <w:rFonts w:ascii="宋体" w:hAnsi="宋体" w:cs="仿宋_GB2312"/>
          <w:color w:val="auto"/>
          <w:sz w:val="24"/>
          <w:highlight w:val="none"/>
        </w:rPr>
      </w:pPr>
    </w:p>
    <w:p>
      <w:pPr>
        <w:widowControl/>
        <w:shd w:val="clear" w:color="auto" w:fill="FFFFFF"/>
        <w:snapToGrid w:val="0"/>
        <w:rPr>
          <w:rFonts w:ascii="宋体" w:hAnsi="宋体" w:cs="仿宋_GB2312"/>
          <w:color w:val="auto"/>
          <w:sz w:val="24"/>
          <w:highlight w:val="none"/>
        </w:rPr>
      </w:pPr>
      <w:r>
        <w:rPr>
          <w:rFonts w:hint="eastAsia" w:ascii="宋体" w:hAnsi="宋体" w:cs="仿宋_GB2312"/>
          <w:color w:val="auto"/>
          <w:sz w:val="24"/>
          <w:highlight w:val="none"/>
        </w:rPr>
        <w:t>注：</w:t>
      </w:r>
    </w:p>
    <w:p>
      <w:pPr>
        <w:jc w:val="left"/>
        <w:rPr>
          <w:rFonts w:ascii="宋体" w:hAnsi="宋体" w:cs="仿宋_GB2312"/>
          <w:color w:val="auto"/>
          <w:sz w:val="24"/>
          <w:highlight w:val="none"/>
        </w:rPr>
      </w:pPr>
      <w:r>
        <w:rPr>
          <w:rFonts w:hint="eastAsia" w:ascii="宋体" w:hAnsi="宋体" w:cs="仿宋_GB2312"/>
          <w:color w:val="auto"/>
          <w:sz w:val="24"/>
          <w:highlight w:val="none"/>
        </w:rPr>
        <w:t xml:space="preserve">1．适用于经评审的最低投标价法； </w:t>
      </w:r>
    </w:p>
    <w:p>
      <w:pPr>
        <w:jc w:val="left"/>
        <w:rPr>
          <w:rFonts w:ascii="宋体" w:hAnsi="宋体" w:cs="仿宋_GB2312"/>
          <w:color w:val="auto"/>
          <w:sz w:val="24"/>
          <w:highlight w:val="none"/>
        </w:rPr>
      </w:pPr>
      <w:r>
        <w:rPr>
          <w:rFonts w:hint="eastAsia" w:ascii="宋体" w:hAnsi="宋体" w:cs="仿宋_GB2312"/>
          <w:color w:val="auto"/>
          <w:sz w:val="24"/>
          <w:highlight w:val="none"/>
        </w:rPr>
        <w:t>2．基准价：Y= A×（1-P）+B×(1-β)×P</w:t>
      </w:r>
    </w:p>
    <w:p>
      <w:pPr>
        <w:ind w:firstLine="420" w:firstLineChars="175"/>
        <w:jc w:val="left"/>
        <w:rPr>
          <w:rFonts w:ascii="宋体" w:hAnsi="宋体" w:cs="仿宋_GB2312"/>
          <w:color w:val="auto"/>
          <w:sz w:val="24"/>
          <w:highlight w:val="none"/>
        </w:rPr>
      </w:pPr>
      <w:r>
        <w:rPr>
          <w:rFonts w:hint="eastAsia" w:ascii="宋体" w:hAnsi="宋体" w:cs="仿宋_GB2312"/>
          <w:color w:val="auto"/>
          <w:sz w:val="24"/>
          <w:highlight w:val="none"/>
        </w:rPr>
        <w:t>A——进入报价评审环节且不低于成本的最低报价；</w:t>
      </w:r>
    </w:p>
    <w:p>
      <w:pPr>
        <w:ind w:firstLine="420" w:firstLineChars="175"/>
        <w:jc w:val="left"/>
        <w:rPr>
          <w:rFonts w:ascii="宋体" w:hAnsi="宋体" w:cs="仿宋_GB2312"/>
          <w:color w:val="auto"/>
          <w:sz w:val="24"/>
          <w:highlight w:val="none"/>
        </w:rPr>
      </w:pPr>
      <w:r>
        <w:rPr>
          <w:rFonts w:hint="eastAsia" w:ascii="宋体" w:hAnsi="宋体" w:cs="仿宋_GB2312"/>
          <w:color w:val="auto"/>
          <w:sz w:val="24"/>
          <w:highlight w:val="none"/>
        </w:rPr>
        <w:t>B——最高投标限价；</w:t>
      </w:r>
    </w:p>
    <w:p>
      <w:pPr>
        <w:ind w:firstLine="420" w:firstLineChars="175"/>
        <w:jc w:val="left"/>
        <w:rPr>
          <w:rFonts w:ascii="宋体" w:hAnsi="宋体" w:cs="仿宋_GB2312"/>
          <w:color w:val="auto"/>
          <w:kern w:val="0"/>
          <w:sz w:val="24"/>
          <w:highlight w:val="none"/>
        </w:rPr>
      </w:pPr>
      <w:r>
        <w:rPr>
          <w:rFonts w:hint="eastAsia" w:ascii="宋体" w:hAnsi="宋体" w:cs="仿宋_GB2312"/>
          <w:color w:val="auto"/>
          <w:sz w:val="24"/>
          <w:highlight w:val="none"/>
        </w:rPr>
        <w:t>P——招标人根据项目实际设定抽取区间后随机抽取，抽取区间(间隔0.5%)：60%～62.5%、62.5%～65%、65%～67.5%、67.5%～70%；</w:t>
      </w:r>
    </w:p>
    <w:p>
      <w:pPr>
        <w:ind w:firstLine="420" w:firstLineChars="175"/>
        <w:jc w:val="left"/>
        <w:rPr>
          <w:rFonts w:ascii="宋体" w:hAnsi="宋体" w:cs="仿宋_GB2312"/>
          <w:bCs/>
          <w:color w:val="auto"/>
          <w:sz w:val="24"/>
          <w:highlight w:val="none"/>
        </w:rPr>
      </w:pPr>
      <w:r>
        <w:rPr>
          <w:rFonts w:hint="eastAsia" w:ascii="宋体" w:hAnsi="宋体" w:cs="仿宋_GB2312"/>
          <w:color w:val="auto"/>
          <w:kern w:val="0"/>
          <w:sz w:val="24"/>
          <w:highlight w:val="none"/>
        </w:rPr>
        <w:t>β—— 4%、5%、6%、7%、8%</w:t>
      </w:r>
      <w:r>
        <w:rPr>
          <w:rFonts w:hint="eastAsia" w:ascii="宋体" w:hAnsi="宋体" w:cs="仿宋_GB2312"/>
          <w:color w:val="auto"/>
          <w:sz w:val="24"/>
          <w:highlight w:val="none"/>
        </w:rPr>
        <w:t xml:space="preserve"> ，</w:t>
      </w:r>
      <w:r>
        <w:rPr>
          <w:rFonts w:hint="eastAsia" w:ascii="宋体" w:hAnsi="宋体" w:cs="仿宋_GB2312"/>
          <w:color w:val="auto"/>
          <w:kern w:val="0"/>
          <w:sz w:val="24"/>
          <w:highlight w:val="none"/>
        </w:rPr>
        <w:t>开标时随机抽取确定；</w:t>
      </w:r>
    </w:p>
    <w:p>
      <w:pPr>
        <w:widowControl/>
        <w:shd w:val="clear" w:color="auto" w:fill="FFFFFF"/>
        <w:rPr>
          <w:rFonts w:ascii="宋体" w:hAnsi="宋体" w:cs="仿宋_GB2312"/>
          <w:color w:val="auto"/>
          <w:sz w:val="24"/>
          <w:highlight w:val="none"/>
        </w:rPr>
        <w:sectPr>
          <w:pgSz w:w="16838" w:h="11906" w:orient="landscape"/>
          <w:pgMar w:top="1587" w:right="1417" w:bottom="1417" w:left="1417" w:header="720" w:footer="720" w:gutter="0"/>
          <w:cols w:space="720" w:num="1"/>
          <w:docGrid w:type="lines" w:linePitch="312" w:charSpace="0"/>
        </w:sectPr>
      </w:pPr>
      <w:r>
        <w:rPr>
          <w:rFonts w:hint="eastAsia" w:ascii="宋体" w:hAnsi="宋体" w:cs="仿宋_GB2312"/>
          <w:bCs/>
          <w:color w:val="auto"/>
          <w:sz w:val="24"/>
          <w:highlight w:val="none"/>
        </w:rPr>
        <w:t>3</w:t>
      </w:r>
      <w:r>
        <w:rPr>
          <w:rFonts w:hint="eastAsia" w:ascii="宋体" w:hAnsi="宋体" w:cs="仿宋_GB2312"/>
          <w:color w:val="auto"/>
          <w:sz w:val="24"/>
          <w:highlight w:val="none"/>
        </w:rPr>
        <w:t>．经评审的最低投标价，为进入报价评审环节的有效投标报价中大于或者等于基准价的投标报价中的最低报价。</w:t>
      </w: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附表6：投标报价评审表（综合评估法）</w:t>
      </w:r>
    </w:p>
    <w:tbl>
      <w:tblPr>
        <w:tblStyle w:val="5"/>
        <w:tblW w:w="9355" w:type="dxa"/>
        <w:jc w:val="center"/>
        <w:tblLayout w:type="fixed"/>
        <w:tblCellMar>
          <w:top w:w="0" w:type="dxa"/>
          <w:left w:w="0" w:type="dxa"/>
          <w:bottom w:w="0" w:type="dxa"/>
          <w:right w:w="0" w:type="dxa"/>
        </w:tblCellMar>
      </w:tblPr>
      <w:tblGrid>
        <w:gridCol w:w="709"/>
        <w:gridCol w:w="1113"/>
        <w:gridCol w:w="1983"/>
        <w:gridCol w:w="1746"/>
        <w:gridCol w:w="3804"/>
      </w:tblGrid>
      <w:tr>
        <w:tblPrEx>
          <w:tblCellMar>
            <w:top w:w="0" w:type="dxa"/>
            <w:left w:w="0" w:type="dxa"/>
            <w:bottom w:w="0" w:type="dxa"/>
            <w:right w:w="0" w:type="dxa"/>
          </w:tblCellMar>
        </w:tblPrEx>
        <w:trPr>
          <w:trHeight w:val="6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bCs/>
                <w:color w:val="auto"/>
                <w:szCs w:val="21"/>
                <w:highlight w:val="none"/>
              </w:rPr>
            </w:pPr>
            <w:r>
              <w:rPr>
                <w:rFonts w:hint="eastAsia" w:ascii="宋体" w:hAnsi="宋体" w:cs="仿宋_GB2312"/>
                <w:b/>
                <w:bCs/>
                <w:color w:val="auto"/>
                <w:szCs w:val="21"/>
                <w:highlight w:val="none"/>
              </w:rPr>
              <w:t>序号</w:t>
            </w:r>
          </w:p>
        </w:tc>
        <w:tc>
          <w:tcPr>
            <w:tcW w:w="1113" w:type="dxa"/>
            <w:tcBorders>
              <w:top w:val="single" w:color="auto" w:sz="4" w:space="0"/>
              <w:left w:val="nil"/>
              <w:bottom w:val="single" w:color="auto" w:sz="4" w:space="0"/>
              <w:right w:val="single" w:color="auto" w:sz="4" w:space="0"/>
            </w:tcBorders>
            <w:vAlign w:val="center"/>
          </w:tcPr>
          <w:p>
            <w:pPr>
              <w:jc w:val="center"/>
              <w:rPr>
                <w:rFonts w:ascii="宋体" w:hAnsi="宋体" w:cs="仿宋_GB2312"/>
                <w:b/>
                <w:bCs/>
                <w:color w:val="auto"/>
                <w:szCs w:val="21"/>
                <w:highlight w:val="none"/>
              </w:rPr>
            </w:pPr>
            <w:r>
              <w:rPr>
                <w:rFonts w:hint="eastAsia" w:ascii="宋体" w:hAnsi="宋体" w:cs="仿宋_GB2312"/>
                <w:b/>
                <w:bCs/>
                <w:color w:val="auto"/>
                <w:szCs w:val="21"/>
                <w:highlight w:val="none"/>
              </w:rPr>
              <w:t>评审因素</w:t>
            </w:r>
          </w:p>
        </w:tc>
        <w:tc>
          <w:tcPr>
            <w:tcW w:w="1983" w:type="dxa"/>
            <w:tcBorders>
              <w:top w:val="single" w:color="auto" w:sz="4" w:space="0"/>
              <w:left w:val="nil"/>
              <w:bottom w:val="single" w:color="auto" w:sz="4" w:space="0"/>
              <w:right w:val="single" w:color="auto" w:sz="4" w:space="0"/>
            </w:tcBorders>
            <w:vAlign w:val="center"/>
          </w:tcPr>
          <w:p>
            <w:pPr>
              <w:jc w:val="center"/>
              <w:rPr>
                <w:rFonts w:ascii="宋体" w:hAnsi="宋体" w:cs="仿宋_GB2312"/>
                <w:b/>
                <w:bCs/>
                <w:color w:val="auto"/>
                <w:szCs w:val="21"/>
                <w:highlight w:val="none"/>
              </w:rPr>
            </w:pPr>
            <w:r>
              <w:rPr>
                <w:rFonts w:hint="eastAsia" w:ascii="宋体" w:hAnsi="宋体" w:cs="仿宋_GB2312"/>
                <w:b/>
                <w:bCs/>
                <w:color w:val="auto"/>
                <w:szCs w:val="21"/>
                <w:highlight w:val="none"/>
              </w:rPr>
              <w:t>评审标准</w:t>
            </w:r>
          </w:p>
        </w:tc>
        <w:tc>
          <w:tcPr>
            <w:tcW w:w="1746" w:type="dxa"/>
            <w:tcBorders>
              <w:top w:val="single" w:color="auto" w:sz="4" w:space="0"/>
              <w:left w:val="nil"/>
              <w:bottom w:val="single" w:color="auto" w:sz="4" w:space="0"/>
              <w:right w:val="single" w:color="auto" w:sz="4" w:space="0"/>
            </w:tcBorders>
            <w:vAlign w:val="center"/>
          </w:tcPr>
          <w:p>
            <w:pPr>
              <w:jc w:val="center"/>
              <w:rPr>
                <w:rFonts w:ascii="宋体" w:hAnsi="宋体" w:cs="仿宋_GB2312"/>
                <w:b/>
                <w:bCs/>
                <w:color w:val="auto"/>
                <w:szCs w:val="21"/>
                <w:highlight w:val="none"/>
              </w:rPr>
            </w:pPr>
            <w:r>
              <w:rPr>
                <w:rFonts w:hint="eastAsia" w:ascii="宋体" w:hAnsi="宋体" w:cs="仿宋_GB2312"/>
                <w:b/>
                <w:bCs/>
                <w:color w:val="auto"/>
                <w:szCs w:val="21"/>
                <w:highlight w:val="none"/>
              </w:rPr>
              <w:t>计分方式</w:t>
            </w:r>
          </w:p>
        </w:tc>
        <w:tc>
          <w:tcPr>
            <w:tcW w:w="3804" w:type="dxa"/>
            <w:tcBorders>
              <w:top w:val="single" w:color="auto" w:sz="4" w:space="0"/>
              <w:left w:val="nil"/>
              <w:bottom w:val="single" w:color="auto" w:sz="4" w:space="0"/>
              <w:right w:val="single" w:color="auto" w:sz="4" w:space="0"/>
            </w:tcBorders>
            <w:vAlign w:val="center"/>
          </w:tcPr>
          <w:p>
            <w:pPr>
              <w:jc w:val="center"/>
              <w:rPr>
                <w:rFonts w:ascii="宋体" w:hAnsi="宋体" w:cs="仿宋_GB2312"/>
                <w:b/>
                <w:bCs/>
                <w:color w:val="auto"/>
                <w:szCs w:val="21"/>
                <w:highlight w:val="none"/>
              </w:rPr>
            </w:pPr>
            <w:r>
              <w:rPr>
                <w:rFonts w:hint="eastAsia" w:ascii="宋体" w:hAnsi="宋体" w:cs="仿宋_GB2312"/>
                <w:b/>
                <w:bCs/>
                <w:color w:val="auto"/>
                <w:szCs w:val="21"/>
                <w:highlight w:val="none"/>
              </w:rPr>
              <w:t>备注</w:t>
            </w:r>
          </w:p>
        </w:tc>
      </w:tr>
      <w:tr>
        <w:tblPrEx>
          <w:tblCellMar>
            <w:top w:w="0" w:type="dxa"/>
            <w:left w:w="0" w:type="dxa"/>
            <w:bottom w:w="0" w:type="dxa"/>
            <w:right w:w="0" w:type="dxa"/>
          </w:tblCellMar>
        </w:tblPrEx>
        <w:trPr>
          <w:trHeight w:val="705" w:hRule="atLeast"/>
          <w:jc w:val="center"/>
        </w:trPr>
        <w:tc>
          <w:tcPr>
            <w:tcW w:w="709" w:type="dxa"/>
            <w:tcBorders>
              <w:top w:val="nil"/>
              <w:left w:val="single" w:color="auto" w:sz="4" w:space="0"/>
              <w:bottom w:val="single" w:color="auto" w:sz="4" w:space="0"/>
              <w:right w:val="nil"/>
            </w:tcBorders>
            <w:vAlign w:val="center"/>
          </w:tcPr>
          <w:p>
            <w:pPr>
              <w:jc w:val="center"/>
              <w:rPr>
                <w:rFonts w:ascii="宋体" w:hAnsi="宋体" w:cs="仿宋_GB2312"/>
                <w:color w:val="auto"/>
                <w:szCs w:val="21"/>
                <w:highlight w:val="none"/>
              </w:rPr>
            </w:pPr>
            <w:r>
              <w:rPr>
                <w:rFonts w:ascii="宋体" w:hAnsi="宋体" w:cs="仿宋_GB2312"/>
                <w:color w:val="auto"/>
                <w:szCs w:val="21"/>
                <w:highlight w:val="none"/>
              </w:rPr>
              <w:drawing>
                <wp:inline distT="0" distB="0" distL="114300" distR="114300">
                  <wp:extent cx="19050" cy="8255"/>
                  <wp:effectExtent l="0" t="0" r="0" b="0"/>
                  <wp:docPr id="21" name="图片 21"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ps7"/>
                          <pic:cNvPicPr>
                            <a:picLocks noChangeAspect="1"/>
                          </pic:cNvPicPr>
                        </pic:nvPicPr>
                        <pic:blipFill>
                          <a:blip r:embed="rId6"/>
                          <a:stretch>
                            <a:fillRect/>
                          </a:stretch>
                        </pic:blipFill>
                        <pic:spPr>
                          <a:xfrm>
                            <a:off x="0" y="0"/>
                            <a:ext cx="19050" cy="8255"/>
                          </a:xfrm>
                          <a:prstGeom prst="rect">
                            <a:avLst/>
                          </a:prstGeom>
                          <a:noFill/>
                          <a:ln>
                            <a:noFill/>
                          </a:ln>
                        </pic:spPr>
                      </pic:pic>
                    </a:graphicData>
                  </a:graphic>
                </wp:inline>
              </w:drawing>
            </w:r>
            <w:r>
              <w:rPr>
                <w:rFonts w:hint="eastAsia" w:ascii="宋体" w:hAnsi="宋体" w:cs="仿宋_GB2312"/>
                <w:color w:val="auto"/>
                <w:szCs w:val="21"/>
                <w:highlight w:val="none"/>
              </w:rPr>
              <w:t>1</w:t>
            </w:r>
          </w:p>
        </w:tc>
        <w:tc>
          <w:tcPr>
            <w:tcW w:w="111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投标报价</w:t>
            </w:r>
          </w:p>
        </w:tc>
        <w:tc>
          <w:tcPr>
            <w:tcW w:w="1983"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投标报价＞基准价</w:t>
            </w:r>
          </w:p>
        </w:tc>
        <w:tc>
          <w:tcPr>
            <w:tcW w:w="1746"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100-100L</w:t>
            </w:r>
          </w:p>
        </w:tc>
        <w:tc>
          <w:tcPr>
            <w:tcW w:w="3804" w:type="dxa"/>
            <w:vMerge w:val="restart"/>
            <w:tcBorders>
              <w:top w:val="nil"/>
              <w:left w:val="nil"/>
              <w:bottom w:val="single" w:color="auto" w:sz="4" w:space="0"/>
              <w:right w:val="single" w:color="auto" w:sz="4" w:space="0"/>
            </w:tcBorders>
            <w:vAlign w:val="center"/>
          </w:tcPr>
          <w:p>
            <w:pPr>
              <w:spacing w:line="280" w:lineRule="exact"/>
              <w:rPr>
                <w:rFonts w:ascii="宋体" w:hAnsi="宋体" w:cs="仿宋_GB2312"/>
                <w:color w:val="auto"/>
                <w:szCs w:val="21"/>
                <w:highlight w:val="none"/>
              </w:rPr>
            </w:pPr>
            <w:r>
              <w:rPr>
                <w:rFonts w:hint="eastAsia" w:ascii="宋体" w:hAnsi="宋体" w:cs="仿宋_GB2312"/>
                <w:color w:val="auto"/>
                <w:szCs w:val="21"/>
                <w:highlight w:val="none"/>
              </w:rPr>
              <w:t xml:space="preserve">        投标报价 - 基准价</w:t>
            </w:r>
          </w:p>
          <w:p>
            <w:pPr>
              <w:spacing w:line="280" w:lineRule="exact"/>
              <w:rPr>
                <w:rFonts w:ascii="宋体" w:hAnsi="宋体" w:cs="仿宋_GB2312"/>
                <w:color w:val="auto"/>
                <w:szCs w:val="21"/>
                <w:highlight w:val="none"/>
              </w:rPr>
            </w:pPr>
            <w:r>
              <w:rPr>
                <w:rFonts w:hint="eastAsia" w:ascii="宋体" w:hAnsi="宋体" w:cs="仿宋_GB2312"/>
                <w:color w:val="auto"/>
                <w:szCs w:val="21"/>
                <w:highlight w:val="none"/>
              </w:rPr>
              <w:t xml:space="preserve">   L=︱ </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 ×100%</w:t>
            </w:r>
          </w:p>
          <w:p>
            <w:pPr>
              <w:spacing w:line="280" w:lineRule="exact"/>
              <w:rPr>
                <w:rFonts w:ascii="宋体" w:hAnsi="宋体" w:cs="仿宋_GB2312"/>
                <w:color w:val="auto"/>
                <w:szCs w:val="21"/>
                <w:highlight w:val="none"/>
              </w:rPr>
            </w:pPr>
            <w:r>
              <w:rPr>
                <w:rFonts w:hint="eastAsia" w:ascii="宋体" w:hAnsi="宋体" w:cs="仿宋_GB2312"/>
                <w:color w:val="auto"/>
                <w:szCs w:val="21"/>
                <w:highlight w:val="none"/>
              </w:rPr>
              <w:t xml:space="preserve">              基准价</w:t>
            </w:r>
          </w:p>
        </w:tc>
      </w:tr>
      <w:tr>
        <w:tblPrEx>
          <w:tblCellMar>
            <w:top w:w="0" w:type="dxa"/>
            <w:left w:w="0" w:type="dxa"/>
            <w:bottom w:w="0" w:type="dxa"/>
            <w:right w:w="0" w:type="dxa"/>
          </w:tblCellMar>
        </w:tblPrEx>
        <w:trPr>
          <w:trHeight w:val="6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2</w:t>
            </w:r>
          </w:p>
        </w:tc>
        <w:tc>
          <w:tcPr>
            <w:tcW w:w="11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auto"/>
                <w:szCs w:val="21"/>
                <w:highlight w:val="none"/>
              </w:rPr>
            </w:pPr>
          </w:p>
        </w:tc>
        <w:tc>
          <w:tcPr>
            <w:tcW w:w="1983"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投标报价=基准价</w:t>
            </w:r>
          </w:p>
        </w:tc>
        <w:tc>
          <w:tcPr>
            <w:tcW w:w="1746"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100分</w:t>
            </w:r>
          </w:p>
        </w:tc>
        <w:tc>
          <w:tcPr>
            <w:tcW w:w="3804"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color w:val="auto"/>
                <w:szCs w:val="21"/>
                <w:highlight w:val="none"/>
              </w:rPr>
            </w:pPr>
          </w:p>
        </w:tc>
      </w:tr>
      <w:tr>
        <w:tblPrEx>
          <w:tblCellMar>
            <w:top w:w="0" w:type="dxa"/>
            <w:left w:w="0" w:type="dxa"/>
            <w:bottom w:w="0" w:type="dxa"/>
            <w:right w:w="0" w:type="dxa"/>
          </w:tblCellMar>
        </w:tblPrEx>
        <w:trPr>
          <w:trHeight w:val="584" w:hRule="atLeas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3</w:t>
            </w:r>
          </w:p>
        </w:tc>
        <w:tc>
          <w:tcPr>
            <w:tcW w:w="11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auto"/>
                <w:szCs w:val="21"/>
                <w:highlight w:val="none"/>
              </w:rPr>
            </w:pPr>
          </w:p>
        </w:tc>
        <w:tc>
          <w:tcPr>
            <w:tcW w:w="1983"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投标报价＜基准价</w:t>
            </w:r>
          </w:p>
        </w:tc>
        <w:tc>
          <w:tcPr>
            <w:tcW w:w="1746" w:type="dxa"/>
            <w:tcBorders>
              <w:top w:val="nil"/>
              <w:left w:val="nil"/>
              <w:bottom w:val="single" w:color="auto" w:sz="4" w:space="0"/>
              <w:right w:val="single" w:color="auto" w:sz="4" w:space="0"/>
            </w:tcBorders>
            <w:vAlign w:val="center"/>
          </w:tcPr>
          <w:p>
            <w:pPr>
              <w:jc w:val="center"/>
              <w:rPr>
                <w:rFonts w:ascii="宋体" w:hAnsi="宋体" w:cs="仿宋_GB2312"/>
                <w:color w:val="auto"/>
                <w:szCs w:val="21"/>
                <w:highlight w:val="none"/>
              </w:rPr>
            </w:pPr>
            <w:r>
              <w:rPr>
                <w:rFonts w:hint="eastAsia" w:ascii="宋体" w:hAnsi="宋体" w:cs="仿宋_GB2312"/>
                <w:color w:val="auto"/>
                <w:szCs w:val="21"/>
                <w:highlight w:val="none"/>
              </w:rPr>
              <w:t>100</w:t>
            </w:r>
            <w:r>
              <w:rPr>
                <w:rFonts w:ascii="宋体" w:hAnsi="宋体" w:cs="仿宋_GB2312"/>
                <w:color w:val="auto"/>
                <w:szCs w:val="21"/>
                <w:highlight w:val="none"/>
              </w:rPr>
              <w:t>-</w:t>
            </w:r>
            <w:r>
              <w:rPr>
                <w:rFonts w:hint="eastAsia" w:ascii="宋体" w:hAnsi="宋体" w:cs="仿宋_GB2312"/>
                <w:color w:val="auto"/>
                <w:szCs w:val="21"/>
                <w:highlight w:val="none"/>
              </w:rPr>
              <w:t>0.5×100L</w:t>
            </w:r>
          </w:p>
        </w:tc>
        <w:tc>
          <w:tcPr>
            <w:tcW w:w="3804"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color w:val="auto"/>
                <w:szCs w:val="21"/>
                <w:highlight w:val="none"/>
              </w:rPr>
            </w:pPr>
          </w:p>
        </w:tc>
      </w:tr>
    </w:tbl>
    <w:p>
      <w:pPr>
        <w:widowControl/>
        <w:shd w:val="clear" w:color="auto" w:fill="FFFFFF"/>
        <w:snapToGrid w:val="0"/>
        <w:rPr>
          <w:rFonts w:ascii="宋体" w:hAnsi="宋体" w:cs="仿宋_GB2312"/>
          <w:color w:val="auto"/>
          <w:sz w:val="24"/>
          <w:highlight w:val="none"/>
        </w:rPr>
      </w:pPr>
    </w:p>
    <w:p>
      <w:pPr>
        <w:widowControl/>
        <w:shd w:val="clear" w:color="auto" w:fill="FFFFFF"/>
        <w:snapToGrid w:val="0"/>
        <w:rPr>
          <w:rFonts w:ascii="宋体" w:hAnsi="宋体" w:cs="仿宋_GB2312"/>
          <w:color w:val="auto"/>
          <w:sz w:val="24"/>
          <w:highlight w:val="none"/>
        </w:rPr>
      </w:pPr>
      <w:r>
        <w:rPr>
          <w:rFonts w:hint="eastAsia" w:ascii="宋体" w:hAnsi="宋体" w:cs="仿宋_GB2312"/>
          <w:color w:val="auto"/>
          <w:sz w:val="24"/>
          <w:highlight w:val="none"/>
        </w:rPr>
        <w:t>注：</w:t>
      </w:r>
    </w:p>
    <w:p>
      <w:pPr>
        <w:widowControl/>
        <w:shd w:val="clear" w:color="auto" w:fill="FFFFFF"/>
        <w:snapToGrid w:val="0"/>
        <w:rPr>
          <w:rFonts w:ascii="宋体" w:hAnsi="宋体" w:cs="仿宋_GB2312"/>
          <w:color w:val="auto"/>
          <w:kern w:val="0"/>
          <w:sz w:val="24"/>
          <w:highlight w:val="none"/>
        </w:rPr>
      </w:pPr>
      <w:r>
        <w:rPr>
          <w:rFonts w:hint="eastAsia" w:ascii="宋体" w:hAnsi="宋体" w:cs="仿宋_GB2312"/>
          <w:color w:val="auto"/>
          <w:sz w:val="24"/>
          <w:highlight w:val="none"/>
        </w:rPr>
        <w:t>1．适用于</w:t>
      </w:r>
      <w:r>
        <w:rPr>
          <w:rFonts w:hint="eastAsia" w:ascii="宋体" w:hAnsi="宋体" w:cs="仿宋_GB2312"/>
          <w:color w:val="auto"/>
          <w:kern w:val="0"/>
          <w:sz w:val="24"/>
          <w:highlight w:val="none"/>
        </w:rPr>
        <w:t>采用综合</w:t>
      </w:r>
      <w:r>
        <w:rPr>
          <w:rFonts w:ascii="宋体" w:hAnsi="宋体" w:cs="仿宋_GB2312"/>
          <w:color w:val="auto"/>
          <w:kern w:val="0"/>
          <w:sz w:val="24"/>
          <w:highlight w:val="none"/>
        </w:rPr>
        <w:t>评估法的项目</w:t>
      </w:r>
      <w:r>
        <w:rPr>
          <w:rFonts w:hint="eastAsia" w:ascii="宋体" w:hAnsi="宋体" w:cs="仿宋_GB2312"/>
          <w:color w:val="auto"/>
          <w:kern w:val="0"/>
          <w:sz w:val="24"/>
          <w:highlight w:val="none"/>
        </w:rPr>
        <w:t>；</w:t>
      </w:r>
    </w:p>
    <w:p>
      <w:pPr>
        <w:snapToGrid w:val="0"/>
        <w:jc w:val="left"/>
        <w:rPr>
          <w:rFonts w:ascii="宋体" w:hAnsi="宋体" w:cs="仿宋_GB2312"/>
          <w:strike/>
          <w:color w:val="auto"/>
          <w:sz w:val="24"/>
          <w:highlight w:val="none"/>
        </w:rPr>
      </w:pPr>
      <w:r>
        <w:rPr>
          <w:rFonts w:ascii="宋体" w:hAnsi="宋体" w:cs="仿宋_GB2312"/>
          <w:color w:val="auto"/>
          <w:sz w:val="24"/>
          <w:highlight w:val="none"/>
        </w:rPr>
        <w:t>2</w:t>
      </w:r>
      <w:r>
        <w:rPr>
          <w:rFonts w:hint="eastAsia" w:ascii="宋体" w:hAnsi="宋体" w:cs="仿宋_GB2312"/>
          <w:color w:val="auto"/>
          <w:sz w:val="24"/>
          <w:highlight w:val="none"/>
        </w:rPr>
        <w:t>.基准价： Y= A×(1-α)×60%+B×(1-β)×40%</w:t>
      </w:r>
    </w:p>
    <w:p>
      <w:pPr>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A——</w:t>
      </w:r>
      <w:r>
        <w:rPr>
          <w:rFonts w:hint="eastAsia" w:ascii="宋体" w:hAnsi="宋体" w:cs="仿宋_GB2312"/>
          <w:color w:val="auto"/>
          <w:sz w:val="24"/>
          <w:highlight w:val="none"/>
        </w:rPr>
        <w:t>进入报价评审环节的有效投标报价</w:t>
      </w:r>
      <w:r>
        <w:rPr>
          <w:rFonts w:hint="eastAsia" w:ascii="宋体" w:hAnsi="宋体" w:cs="仿宋_GB2312"/>
          <w:color w:val="auto"/>
          <w:kern w:val="0"/>
          <w:sz w:val="24"/>
          <w:highlight w:val="none"/>
        </w:rPr>
        <w:t>中，大于或等于X（1－10%）的报价的算术平均值</w:t>
      </w:r>
    </w:p>
    <w:p>
      <w:pPr>
        <w:snapToGrid w:val="0"/>
        <w:ind w:firstLine="480" w:firstLineChars="200"/>
        <w:jc w:val="left"/>
        <w:rPr>
          <w:rFonts w:ascii="宋体" w:hAnsi="宋体" w:cs="仿宋_GB2312"/>
          <w:color w:val="auto"/>
          <w:kern w:val="0"/>
          <w:sz w:val="24"/>
          <w:highlight w:val="none"/>
        </w:rPr>
      </w:pPr>
      <w:r>
        <w:rPr>
          <w:rFonts w:hint="eastAsia" w:ascii="宋体" w:hAnsi="宋体" w:cs="仿宋_GB2312"/>
          <w:color w:val="auto"/>
          <w:kern w:val="0"/>
          <w:sz w:val="24"/>
          <w:highlight w:val="none"/>
        </w:rPr>
        <w:t>X——</w:t>
      </w:r>
      <w:r>
        <w:rPr>
          <w:rFonts w:hint="eastAsia" w:ascii="宋体" w:hAnsi="宋体" w:cs="仿宋_GB2312"/>
          <w:color w:val="auto"/>
          <w:sz w:val="24"/>
          <w:highlight w:val="none"/>
        </w:rPr>
        <w:t>进入报价评审环节的有效投标报价</w:t>
      </w:r>
      <w:r>
        <w:rPr>
          <w:rFonts w:hint="eastAsia" w:ascii="宋体" w:hAnsi="宋体" w:cs="仿宋_GB2312"/>
          <w:color w:val="auto"/>
          <w:kern w:val="0"/>
          <w:sz w:val="24"/>
          <w:highlight w:val="none"/>
        </w:rPr>
        <w:t>算术平均值</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X=（X</w:t>
      </w:r>
      <w:r>
        <w:rPr>
          <w:rFonts w:hint="eastAsia" w:ascii="宋体" w:hAnsi="宋体" w:cs="仿宋_GB2312"/>
          <w:color w:val="auto"/>
          <w:kern w:val="0"/>
          <w:sz w:val="24"/>
          <w:highlight w:val="none"/>
          <w:vertAlign w:val="subscript"/>
        </w:rPr>
        <w:t>1</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2</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n</w:t>
      </w:r>
      <w:r>
        <w:rPr>
          <w:rFonts w:hint="eastAsia" w:ascii="宋体" w:hAnsi="宋体" w:cs="仿宋_GB2312"/>
          <w:color w:val="auto"/>
          <w:kern w:val="0"/>
          <w:sz w:val="24"/>
          <w:highlight w:val="none"/>
        </w:rPr>
        <w:t>-</w:t>
      </w:r>
      <w:r>
        <w:rPr>
          <w:rFonts w:hint="eastAsia" w:ascii="宋体" w:hAnsi="宋体" w:cs="仿宋_GB2312"/>
          <w:color w:val="auto"/>
          <w:kern w:val="0"/>
          <w:sz w:val="24"/>
          <w:highlight w:val="none"/>
          <w:vertAlign w:val="subscript"/>
        </w:rPr>
        <w:t>1</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n</w:t>
      </w:r>
      <w:r>
        <w:rPr>
          <w:rFonts w:hint="eastAsia" w:ascii="宋体" w:hAnsi="宋体" w:cs="仿宋_GB2312"/>
          <w:color w:val="auto"/>
          <w:kern w:val="0"/>
          <w:sz w:val="24"/>
          <w:highlight w:val="none"/>
        </w:rPr>
        <w:t>）／n</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n——</w:t>
      </w:r>
      <w:r>
        <w:rPr>
          <w:rFonts w:hint="eastAsia" w:ascii="宋体" w:hAnsi="宋体" w:cs="仿宋_GB2312"/>
          <w:color w:val="auto"/>
          <w:sz w:val="24"/>
          <w:highlight w:val="none"/>
        </w:rPr>
        <w:t>进入报价评审环节的有效投标报价</w:t>
      </w:r>
      <w:r>
        <w:rPr>
          <w:rFonts w:hint="eastAsia" w:ascii="宋体" w:hAnsi="宋体" w:cs="仿宋_GB2312"/>
          <w:color w:val="auto"/>
          <w:kern w:val="0"/>
          <w:sz w:val="24"/>
          <w:highlight w:val="none"/>
        </w:rPr>
        <w:t>个数</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1</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2</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n-1</w:t>
      </w:r>
      <w:r>
        <w:rPr>
          <w:rFonts w:hint="eastAsia" w:ascii="宋体" w:hAnsi="宋体" w:cs="仿宋_GB2312"/>
          <w:color w:val="auto"/>
          <w:kern w:val="0"/>
          <w:sz w:val="24"/>
          <w:highlight w:val="none"/>
        </w:rPr>
        <w:t>、X</w:t>
      </w:r>
      <w:r>
        <w:rPr>
          <w:rFonts w:hint="eastAsia" w:ascii="宋体" w:hAnsi="宋体" w:cs="仿宋_GB2312"/>
          <w:color w:val="auto"/>
          <w:kern w:val="0"/>
          <w:sz w:val="24"/>
          <w:highlight w:val="none"/>
          <w:vertAlign w:val="subscript"/>
        </w:rPr>
        <w:t>n</w:t>
      </w:r>
      <w:r>
        <w:rPr>
          <w:rFonts w:hint="eastAsia" w:ascii="宋体" w:hAnsi="宋体" w:cs="仿宋_GB2312"/>
          <w:color w:val="auto"/>
          <w:kern w:val="0"/>
          <w:sz w:val="24"/>
          <w:highlight w:val="none"/>
        </w:rPr>
        <w:t>——</w:t>
      </w:r>
      <w:r>
        <w:rPr>
          <w:rFonts w:hint="eastAsia" w:ascii="宋体" w:hAnsi="宋体" w:cs="仿宋_GB2312"/>
          <w:color w:val="auto"/>
          <w:sz w:val="24"/>
          <w:highlight w:val="none"/>
        </w:rPr>
        <w:t>进入报价评审环节的有效投标报价</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B——最高投标限价</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α——0、1%、2%、3%、4%，开标时随机抽取确定；</w:t>
      </w:r>
    </w:p>
    <w:p>
      <w:pPr>
        <w:widowControl/>
        <w:shd w:val="clear" w:color="auto" w:fill="FFFFFF"/>
        <w:snapToGrid w:val="0"/>
        <w:ind w:firstLine="480" w:firstLineChars="200"/>
        <w:rPr>
          <w:rFonts w:ascii="宋体" w:hAnsi="宋体" w:cs="仿宋_GB2312"/>
          <w:color w:val="auto"/>
          <w:kern w:val="0"/>
          <w:sz w:val="24"/>
          <w:highlight w:val="none"/>
        </w:rPr>
      </w:pPr>
      <w:r>
        <w:rPr>
          <w:rFonts w:hint="eastAsia" w:ascii="宋体" w:hAnsi="宋体" w:cs="仿宋_GB2312"/>
          <w:color w:val="auto"/>
          <w:kern w:val="0"/>
          <w:sz w:val="24"/>
          <w:highlight w:val="none"/>
        </w:rPr>
        <w:t>β—— 4%、5%、6%、7%、8%，开标时随机抽取确定。</w:t>
      </w:r>
    </w:p>
    <w:p>
      <w:pPr>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4366E"/>
    <w:multiLevelType w:val="singleLevel"/>
    <w:tmpl w:val="0A34366E"/>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ZjM5ODMxYjgzYWI4NjQ4ZDRiZTE2MjVhYTFlOWQifQ=="/>
  </w:docVars>
  <w:rsids>
    <w:rsidRoot w:val="00000000"/>
    <w:rsid w:val="0109674F"/>
    <w:rsid w:val="01201F55"/>
    <w:rsid w:val="0EA52248"/>
    <w:rsid w:val="12210F17"/>
    <w:rsid w:val="1CCE1B48"/>
    <w:rsid w:val="1F1D6E59"/>
    <w:rsid w:val="214F2B11"/>
    <w:rsid w:val="22791AD6"/>
    <w:rsid w:val="26D01818"/>
    <w:rsid w:val="26D435DE"/>
    <w:rsid w:val="2ACD52BD"/>
    <w:rsid w:val="310C3737"/>
    <w:rsid w:val="323F0E90"/>
    <w:rsid w:val="32EB081E"/>
    <w:rsid w:val="333C43C8"/>
    <w:rsid w:val="33A50D76"/>
    <w:rsid w:val="33AF0A2D"/>
    <w:rsid w:val="34754549"/>
    <w:rsid w:val="34B07684"/>
    <w:rsid w:val="39452648"/>
    <w:rsid w:val="39C73BEE"/>
    <w:rsid w:val="3C1A2DCC"/>
    <w:rsid w:val="3C1F4540"/>
    <w:rsid w:val="3F1143CF"/>
    <w:rsid w:val="41843811"/>
    <w:rsid w:val="437C3AD0"/>
    <w:rsid w:val="4A534D5E"/>
    <w:rsid w:val="4ADF14DA"/>
    <w:rsid w:val="4C6205A3"/>
    <w:rsid w:val="51EE4B33"/>
    <w:rsid w:val="5DA149C0"/>
    <w:rsid w:val="62067436"/>
    <w:rsid w:val="639D5F0D"/>
    <w:rsid w:val="643B3703"/>
    <w:rsid w:val="6C676941"/>
    <w:rsid w:val="6E3A1BF1"/>
    <w:rsid w:val="6E4C51DF"/>
    <w:rsid w:val="6E653AFF"/>
    <w:rsid w:val="715C248F"/>
    <w:rsid w:val="74581E5A"/>
    <w:rsid w:val="7A3F528C"/>
    <w:rsid w:val="7FCB3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endnote text"/>
    <w:basedOn w:val="1"/>
    <w:autoRedefine/>
    <w:qFormat/>
    <w:uiPriority w:val="0"/>
    <w:pPr>
      <w:snapToGrid w:val="0"/>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2024-03-01T04:00:00Z</dcterms:created>
  <dc:creator>ttlan</dc:creator>
  <cp:lastModifiedBy>Administrator</cp:lastModifiedBy>
  <cp:lastPrinted>2024-05-06T11:13:00Z</cp:lastPrinted>
  <dcterms:modified xsi:type="dcterms:W3CDTF">2024-05-15T06:58:24Z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554C2A374CCB4899BB1FAE04A54298C3_13</vt:lpwstr>
  </property>
</Properties>
</file>