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rPr>
          <w:rFonts w:hint="default"/>
          <w:sz w:val="2"/>
          <w:szCs w:val="24"/>
        </w:rPr>
      </w:pP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textAlignment w:val="auto"/>
        <w:rPr>
          <w:rFonts w:hint="default"/>
          <w:sz w:val="24"/>
          <w:szCs w:val="24"/>
        </w:rPr>
      </w:pP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textAlignment w:val="auto"/>
        <w:rPr>
          <w:rFonts w:hint="default"/>
          <w:sz w:val="24"/>
          <w:szCs w:val="24"/>
        </w:rPr>
      </w:pP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textAlignment w:val="auto"/>
        <w:rPr>
          <w:rFonts w:hint="default"/>
          <w:sz w:val="24"/>
          <w:szCs w:val="24"/>
        </w:rPr>
      </w:pP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textAlignment w:val="auto"/>
        <w:rPr>
          <w:rFonts w:hint="default"/>
          <w:sz w:val="24"/>
          <w:szCs w:val="24"/>
        </w:rPr>
      </w:pPr>
    </w:p>
    <w:p>
      <w:pPr>
        <w:pStyle w:val="2"/>
        <w:rPr>
          <w:rFonts w:hint="default"/>
          <w:sz w:val="24"/>
          <w:szCs w:val="24"/>
        </w:rPr>
      </w:pPr>
    </w:p>
    <w:p>
      <w:pPr>
        <w:rPr>
          <w:rFonts w:hint="default"/>
        </w:rPr>
      </w:pP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textAlignment w:val="auto"/>
        <w:rPr>
          <w:rFonts w:hint="default"/>
          <w:sz w:val="24"/>
          <w:szCs w:val="24"/>
        </w:rPr>
      </w:pPr>
    </w:p>
    <w:p>
      <w:pPr>
        <w:spacing w:beforeLines="0" w:afterLines="0" w:line="1110" w:lineRule="exact"/>
        <w:ind w:left="20"/>
        <w:jc w:val="center"/>
        <w:rPr>
          <w:rFonts w:hint="eastAsia" w:ascii="黑体" w:hAnsi="黑体" w:eastAsia="黑体" w:cs="黑体"/>
          <w:b w:val="0"/>
          <w:bCs/>
          <w:sz w:val="84"/>
          <w:szCs w:val="24"/>
        </w:rPr>
      </w:pPr>
      <w:r>
        <w:rPr>
          <w:rFonts w:hint="eastAsia" w:ascii="黑体" w:hAnsi="黑体" w:eastAsia="黑体" w:cs="黑体"/>
          <w:b w:val="0"/>
          <w:bCs/>
          <w:sz w:val="84"/>
          <w:szCs w:val="24"/>
        </w:rPr>
        <w:t>中共岳阳市委宣传部2023年度</w:t>
      </w:r>
    </w:p>
    <w:p>
      <w:pPr>
        <w:spacing w:beforeLines="0" w:afterLines="0" w:line="1110" w:lineRule="exact"/>
        <w:ind w:left="20"/>
        <w:jc w:val="center"/>
        <w:rPr>
          <w:rFonts w:hint="default" w:ascii="微软雅黑" w:hAnsi="微软雅黑" w:eastAsia="微软雅黑"/>
          <w:sz w:val="84"/>
          <w:szCs w:val="24"/>
        </w:rPr>
      </w:pPr>
      <w:r>
        <w:rPr>
          <w:rFonts w:hint="eastAsia" w:ascii="黑体" w:hAnsi="黑体" w:eastAsia="黑体" w:cs="黑体"/>
          <w:b w:val="0"/>
          <w:bCs/>
          <w:sz w:val="84"/>
          <w:szCs w:val="24"/>
        </w:rPr>
        <w:t>部门预算</w:t>
      </w:r>
    </w:p>
    <w:p>
      <w:pPr>
        <w:keepNext w:val="0"/>
        <w:keepLines w:val="0"/>
        <w:pageBreakBefore w:val="0"/>
        <w:widowControl w:val="0"/>
        <w:kinsoku/>
        <w:wordWrap/>
        <w:overflowPunct/>
        <w:topLinePunct w:val="0"/>
        <w:autoSpaceDE w:val="0"/>
        <w:autoSpaceDN w:val="0"/>
        <w:bidi w:val="0"/>
        <w:adjustRightInd w:val="0"/>
        <w:snapToGrid/>
        <w:spacing w:beforeLines="0" w:afterLines="0" w:line="400" w:lineRule="exact"/>
        <w:ind w:left="20"/>
        <w:jc w:val="center"/>
        <w:textAlignment w:val="auto"/>
        <w:rPr>
          <w:rFonts w:hint="default" w:ascii="宋体" w:hAnsi="Dialog"/>
          <w:sz w:val="44"/>
          <w:szCs w:val="24"/>
        </w:rPr>
      </w:pP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jc w:val="center"/>
        <w:textAlignment w:val="auto"/>
        <w:rPr>
          <w:rFonts w:hint="default" w:ascii="宋体" w:hAnsi="Dialog"/>
          <w:sz w:val="44"/>
          <w:szCs w:val="24"/>
        </w:rPr>
      </w:pPr>
    </w:p>
    <w:p>
      <w:pPr>
        <w:pStyle w:val="2"/>
        <w:rPr>
          <w:rFonts w:hint="default" w:ascii="宋体" w:hAnsi="Dialog"/>
          <w:sz w:val="44"/>
          <w:szCs w:val="24"/>
        </w:rPr>
      </w:pPr>
    </w:p>
    <w:p>
      <w:pPr>
        <w:keepNext w:val="0"/>
        <w:keepLines w:val="0"/>
        <w:pageBreakBefore/>
        <w:widowControl w:val="0"/>
        <w:kinsoku/>
        <w:wordWrap/>
        <w:overflowPunct/>
        <w:topLinePunct w:val="0"/>
        <w:autoSpaceDE w:val="0"/>
        <w:autoSpaceDN w:val="0"/>
        <w:bidi w:val="0"/>
        <w:adjustRightInd w:val="0"/>
        <w:snapToGrid/>
        <w:textAlignment w:val="auto"/>
        <w:rPr>
          <w:rFonts w:hint="default"/>
        </w:rPr>
        <w:sectPr>
          <w:pgSz w:w="16838" w:h="11905" w:orient="landscape"/>
          <w:pgMar w:top="1417" w:right="1134" w:bottom="1134" w:left="1134" w:header="720" w:footer="720" w:gutter="0"/>
          <w:lnNumType w:countBy="0" w:distance="360"/>
          <w:cols w:space="0" w:num="1"/>
          <w:rtlGutter w:val="0"/>
          <w:docGrid w:linePitch="0" w:charSpace="0"/>
        </w:sectPr>
      </w:pPr>
    </w:p>
    <w:p>
      <w:pPr>
        <w:pStyle w:val="2"/>
        <w:rPr>
          <w:rFonts w:hint="default"/>
        </w:rPr>
      </w:pP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jc w:val="center"/>
        <w:textAlignment w:val="auto"/>
        <w:rPr>
          <w:rFonts w:hint="default" w:ascii="宋体" w:hAnsi="Dialog" w:cs="Times New Roman"/>
          <w:b/>
          <w:bCs/>
          <w:color w:val="000000"/>
          <w:sz w:val="36"/>
          <w:szCs w:val="36"/>
        </w:rPr>
      </w:pPr>
      <w:r>
        <w:rPr>
          <w:rFonts w:hint="default" w:ascii="宋体" w:hAnsi="Dialog" w:cs="Times New Roman"/>
          <w:b/>
          <w:bCs/>
          <w:color w:val="000000"/>
          <w:sz w:val="36"/>
          <w:szCs w:val="36"/>
        </w:rPr>
        <w:t>目</w:t>
      </w:r>
      <w:r>
        <w:rPr>
          <w:rFonts w:hint="eastAsia" w:ascii="宋体" w:hAnsi="Dialog" w:cs="Times New Roman"/>
          <w:b/>
          <w:bCs/>
          <w:color w:val="000000"/>
          <w:sz w:val="36"/>
          <w:szCs w:val="36"/>
          <w:lang w:val="en-US" w:eastAsia="zh-CN"/>
        </w:rPr>
        <w:t xml:space="preserve">    </w:t>
      </w:r>
      <w:r>
        <w:rPr>
          <w:rFonts w:hint="default" w:ascii="宋体" w:hAnsi="Dialog" w:cs="Times New Roman"/>
          <w:b/>
          <w:bCs/>
          <w:color w:val="000000"/>
          <w:sz w:val="36"/>
          <w:szCs w:val="36"/>
        </w:rPr>
        <w:t>录</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textAlignment w:val="auto"/>
        <w:rPr>
          <w:rFonts w:hint="default"/>
          <w:sz w:val="24"/>
          <w:szCs w:val="24"/>
        </w:rPr>
      </w:pP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第一部分  2023年部门预算说明</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第二部分  2023年部门预算公开表格</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1、收支总表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2、收入总表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3、支出总表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4、支出预算分类汇总表（按政府预算经济分类）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5、支出预算分类汇总表（按部门预算经济分类）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6、财政拨款收支总表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7、一般公共预算支出表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8、一般公共预算基本支出表-人员经费（工资福利支出）（按政府预算经济分类）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9、一般公共预算基本支出表-人员经费（工资福利支出）（按部门预算经济分类）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10、一般公共预算基本支出表-人员经费（对个人和家庭的补助）（按政府预算经济分类）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11、一般公共预算基本支出表-人员经费（对个人和家庭的补助）（按部门预算经济分类）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12、一般公共预算基本支出表-公用经费（商品和服务支出）（按政府预算经济分类）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13、一般公共预算基本支出表-公用经费（商品和服务支出）（按部门预算经济分类）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14、一般公共预算“三公”经费支出表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15、政府性基金预算支出表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16、政府性基金预算支出分类汇总表（按政府预算经济分类）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17、政府性基金预算支出分类汇总表（按部门预算经济分类）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18、国有资本经营预算支出表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19、财政专户管理资金预算支出表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20、专项资金预算汇总表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21、项目支出绩效目标表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22、部门整体支出绩效目标表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sz w:val="32"/>
          <w:szCs w:val="24"/>
        </w:rPr>
      </w:pPr>
      <w:r>
        <w:rPr>
          <w:rFonts w:hint="default" w:ascii="宋体" w:hAnsi="Dialog"/>
          <w:sz w:val="32"/>
          <w:szCs w:val="24"/>
        </w:rPr>
        <w:t>23、一般公共预算基本支出表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Dialog"/>
          <w:color w:val="FF0000"/>
          <w:sz w:val="32"/>
          <w:szCs w:val="24"/>
        </w:rPr>
      </w:pPr>
      <w:r>
        <w:rPr>
          <w:rFonts w:hint="default" w:ascii="宋体" w:hAnsi="Dialog"/>
          <w:color w:val="FF0000"/>
          <w:sz w:val="32"/>
          <w:szCs w:val="24"/>
        </w:rPr>
        <w:t>注：以上部门预算公开报表中，空表表示本部门无相关收支情况。</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textAlignment w:val="auto"/>
        <w:rPr>
          <w:rFonts w:hint="default"/>
          <w:sz w:val="24"/>
          <w:szCs w:val="24"/>
        </w:rPr>
      </w:pPr>
    </w:p>
    <w:p>
      <w:pPr>
        <w:keepNext w:val="0"/>
        <w:keepLines w:val="0"/>
        <w:pageBreakBefore/>
        <w:widowControl w:val="0"/>
        <w:kinsoku/>
        <w:wordWrap/>
        <w:overflowPunct/>
        <w:topLinePunct w:val="0"/>
        <w:autoSpaceDE w:val="0"/>
        <w:autoSpaceDN w:val="0"/>
        <w:bidi w:val="0"/>
        <w:adjustRightInd w:val="0"/>
        <w:snapToGrid/>
        <w:spacing w:beforeLines="0" w:afterLines="0" w:line="480" w:lineRule="exact"/>
        <w:textAlignment w:val="auto"/>
        <w:rPr>
          <w:rFonts w:hint="default"/>
          <w:sz w:val="24"/>
          <w:szCs w:val="24"/>
        </w:rPr>
      </w:pP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jc w:val="center"/>
        <w:textAlignment w:val="auto"/>
        <w:rPr>
          <w:rFonts w:hint="default" w:ascii="宋体" w:hAnsi="Dialog"/>
          <w:b/>
          <w:bCs/>
          <w:sz w:val="36"/>
          <w:szCs w:val="36"/>
        </w:rPr>
      </w:pPr>
      <w:r>
        <w:rPr>
          <w:rFonts w:hint="default" w:ascii="宋体" w:hAnsi="Dialog"/>
          <w:b/>
          <w:bCs/>
          <w:sz w:val="36"/>
          <w:szCs w:val="36"/>
        </w:rPr>
        <w:t>第一部分  2023年部门预算说明</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textAlignment w:val="auto"/>
        <w:rPr>
          <w:rFonts w:hint="default"/>
          <w:sz w:val="24"/>
          <w:szCs w:val="24"/>
        </w:rPr>
      </w:pP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Dialog"/>
          <w:sz w:val="32"/>
          <w:szCs w:val="24"/>
        </w:rPr>
      </w:pPr>
      <w:r>
        <w:rPr>
          <w:rFonts w:hint="default" w:ascii="宋体" w:hAnsi="Dialog"/>
          <w:sz w:val="32"/>
          <w:szCs w:val="24"/>
        </w:rPr>
        <w:t xml:space="preserve">  一、部门基本概况</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rPr>
      </w:pPr>
      <w:r>
        <w:rPr>
          <w:rFonts w:hint="default" w:ascii="宋体" w:hAnsi="宋体"/>
          <w:sz w:val="32"/>
          <w:szCs w:val="24"/>
        </w:rPr>
        <w:t xml:space="preserve">  （一）职能职责</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rPr>
      </w:pPr>
      <w:r>
        <w:rPr>
          <w:rFonts w:hint="default" w:ascii="宋体" w:hAnsi="宋体"/>
          <w:sz w:val="32"/>
          <w:szCs w:val="24"/>
        </w:rPr>
        <w:t xml:space="preserve">  中共岳阳市委宣传部（以下简称市委宣传部）是市委主管意识形态方面工作的职能部门,加挂市新闻出版局（市版权局）、市精神文明建设指导委员会办公室、市政府新闻办公室牌子。因主要职能内容涉密，依法不予公开。</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rPr>
      </w:pPr>
      <w:r>
        <w:rPr>
          <w:rFonts w:hint="default" w:ascii="宋体" w:hAnsi="宋体"/>
          <w:sz w:val="32"/>
          <w:szCs w:val="24"/>
        </w:rPr>
        <w:t xml:space="preserve">  （二）机构设置</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rPr>
      </w:pPr>
      <w:r>
        <w:rPr>
          <w:rFonts w:hint="default" w:ascii="宋体" w:hAnsi="宋体"/>
          <w:sz w:val="32"/>
          <w:szCs w:val="24"/>
        </w:rPr>
        <w:t xml:space="preserve">  根据编委核定，市委宣传部由18个内设科室，1个正科级事业单位构成，正科级事业单位是新时代文明实践服务中心。我部在职</w:t>
      </w:r>
      <w:r>
        <w:rPr>
          <w:rFonts w:hint="eastAsia" w:ascii="宋体" w:hAnsi="宋体"/>
          <w:sz w:val="32"/>
          <w:szCs w:val="24"/>
          <w:lang w:eastAsia="zh-CN"/>
        </w:rPr>
        <w:t>在编</w:t>
      </w:r>
      <w:r>
        <w:rPr>
          <w:rFonts w:hint="default" w:ascii="宋体" w:hAnsi="宋体"/>
          <w:sz w:val="32"/>
          <w:szCs w:val="24"/>
        </w:rPr>
        <w:t>人员数为</w:t>
      </w:r>
      <w:r>
        <w:rPr>
          <w:rFonts w:hint="eastAsia" w:ascii="宋体" w:hAnsi="宋体"/>
          <w:sz w:val="32"/>
          <w:szCs w:val="24"/>
          <w:lang w:val="en-US" w:eastAsia="zh-CN"/>
        </w:rPr>
        <w:t>45</w:t>
      </w:r>
      <w:r>
        <w:rPr>
          <w:rFonts w:hint="default" w:ascii="宋体" w:hAnsi="宋体"/>
          <w:sz w:val="32"/>
          <w:szCs w:val="24"/>
        </w:rPr>
        <w:t>人。全部纳入2023年部门预算编制范围。</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Dialog"/>
          <w:sz w:val="32"/>
          <w:szCs w:val="24"/>
        </w:rPr>
      </w:pPr>
      <w:r>
        <w:rPr>
          <w:rFonts w:hint="default" w:ascii="宋体" w:hAnsi="Dialog"/>
          <w:sz w:val="32"/>
          <w:szCs w:val="24"/>
        </w:rPr>
        <w:t xml:space="preserve">  二、部门预算构成</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rPr>
      </w:pPr>
      <w:r>
        <w:rPr>
          <w:rFonts w:hint="default" w:ascii="宋体" w:hAnsi="宋体"/>
          <w:sz w:val="32"/>
          <w:szCs w:val="24"/>
        </w:rPr>
        <w:t xml:space="preserve">  本单位只有本级，无其他二级预算单位，因此，纳入2023年部门预算编制范围的只有市委宣传部本级。</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Dialog"/>
          <w:sz w:val="32"/>
          <w:szCs w:val="24"/>
        </w:rPr>
      </w:pPr>
      <w:r>
        <w:rPr>
          <w:rFonts w:hint="default" w:ascii="宋体" w:hAnsi="Dialog"/>
          <w:sz w:val="32"/>
          <w:szCs w:val="24"/>
        </w:rPr>
        <w:t xml:space="preserve">  三、部门收支总体情况</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rPr>
      </w:pPr>
      <w:r>
        <w:rPr>
          <w:rFonts w:hint="default" w:ascii="宋体" w:hAnsi="宋体"/>
          <w:sz w:val="32"/>
          <w:szCs w:val="24"/>
        </w:rPr>
        <w:t xml:space="preserve">  本部门2023年没有政府性基金预算拨款、国有资本经营预算收入和纳入专户管理的非税收入拨款收入，也没有使用政府性基金预算拨款、国有资本经营预算收入和纳入专户管理的非税收入拨款安排的支出，所以公开的附件15、16、17、18、19表均为空。</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Dialog"/>
          <w:sz w:val="32"/>
          <w:szCs w:val="24"/>
        </w:rPr>
      </w:pPr>
      <w:r>
        <w:rPr>
          <w:rFonts w:hint="default" w:ascii="宋体" w:hAnsi="Dialog"/>
          <w:sz w:val="32"/>
          <w:szCs w:val="24"/>
        </w:rPr>
        <w:t xml:space="preserve">  （一）收入预算</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lang w:val="en" w:eastAsia="zh-CN"/>
        </w:rPr>
      </w:pPr>
      <w:r>
        <w:rPr>
          <w:rFonts w:hint="default" w:ascii="宋体" w:hAnsi="宋体"/>
          <w:sz w:val="32"/>
          <w:szCs w:val="24"/>
        </w:rPr>
        <w:t xml:space="preserve">  包括一般公共预算、政府性基金、国有资本经营预算等财政拨款收入，以及经营收入、事业收入等单位资金。2023年度本部门收入预算1158.60万元，其中，一般公共预算拨款1158.60万元，政府性基金预算资金0.00万元(所以公开的附件17为空)，国有资本经营预算资金0.00万元(所以公开的附件18为空)，财政专户管理资金0.00万元(所以公开的附件19为空)，上级补助收入资金0.00万元，事业单位经营收入资金0.00万元，上年结转结余0.00万元。(数据来源见表2)本部门2023年收入较去年增加264.03万元，主要是因为人员异动以及机构调整新增职能</w:t>
      </w:r>
      <w:r>
        <w:rPr>
          <w:rFonts w:hint="default" w:ascii="宋体" w:hAnsi="宋体"/>
          <w:sz w:val="32"/>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Dialog"/>
          <w:sz w:val="32"/>
          <w:szCs w:val="24"/>
        </w:rPr>
      </w:pPr>
      <w:r>
        <w:rPr>
          <w:rFonts w:hint="default" w:ascii="宋体" w:hAnsi="Dialog"/>
          <w:sz w:val="32"/>
          <w:szCs w:val="24"/>
        </w:rPr>
        <w:t xml:space="preserve">  （二）支出预算</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rPr>
      </w:pPr>
      <w:r>
        <w:rPr>
          <w:rFonts w:hint="default" w:ascii="宋体" w:hAnsi="宋体"/>
          <w:sz w:val="32"/>
          <w:szCs w:val="24"/>
        </w:rPr>
        <w:t xml:space="preserve">  2023年本部门支出预算1158.60万元，其中，201一般公共服务支出1045.17万元，208社会保障和就业支出51.96万元，210卫生健康支出10.62万元，221住房保障支出50.85万元，支出较去年增加264.03万元，主要是因为机构调整新增职能和新进人员增加的工资福利及养老保险缴费、公务员医疗补助、住房公积金等。</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Dialog"/>
          <w:sz w:val="32"/>
          <w:szCs w:val="24"/>
        </w:rPr>
      </w:pPr>
      <w:r>
        <w:rPr>
          <w:rFonts w:hint="default" w:ascii="宋体" w:hAnsi="Dialog"/>
          <w:sz w:val="32"/>
          <w:szCs w:val="24"/>
        </w:rPr>
        <w:t xml:space="preserve">  四、一般公共预算拨款支出预算</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rPr>
      </w:pPr>
      <w:r>
        <w:rPr>
          <w:rFonts w:hint="default" w:ascii="宋体" w:hAnsi="宋体"/>
          <w:sz w:val="32"/>
          <w:szCs w:val="24"/>
        </w:rPr>
        <w:t xml:space="preserve">  2023年一般公共预算拨款支出预算1158.60万元，其中，201一般公共服务支出1045.17万元，占90.21%；208社会保障和就业支出51.96万元，占4.48%；210卫生健康支出10.62万元，占.92%；221住房保障支出50.85万元，占4.39%；具体安排情况如下：</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rPr>
      </w:pPr>
      <w:r>
        <w:rPr>
          <w:rFonts w:hint="default" w:ascii="宋体" w:hAnsi="宋体"/>
          <w:sz w:val="32"/>
          <w:szCs w:val="24"/>
        </w:rPr>
        <w:t xml:space="preserve">  （一）基本支出：2023年基本支出年初预算数为835.58万元（数据来源见表23），是指为保障单位机构正常运转、完成日常工作任务而发生的各项支出，包括用于基本工资、津贴补贴等人员经费以及办公费、印刷费、水电费、差旅费等日常公用经费。</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rPr>
      </w:pPr>
      <w:r>
        <w:rPr>
          <w:rFonts w:hint="default" w:ascii="宋体" w:hAnsi="宋体"/>
          <w:sz w:val="32"/>
          <w:szCs w:val="24"/>
        </w:rPr>
        <w:t xml:space="preserve">  （二）项目支出：2023年项目支出年初预算数为323.02万元（数据来源见表20），是指部门为完成特定行政工作任务或事业发展目标而发生的支出，包括有关业务工作经费、运行维护经费、其他事业发展资金等。其中：非税收入征收成本专项支出0.42万元，主要用于</w:t>
      </w:r>
      <w:r>
        <w:rPr>
          <w:rFonts w:hint="default" w:ascii="宋体" w:hAnsi="宋体"/>
          <w:sz w:val="32"/>
          <w:szCs w:val="24"/>
          <w:lang w:eastAsia="zh-CN"/>
        </w:rPr>
        <w:t>开展政工师考试</w:t>
      </w:r>
      <w:r>
        <w:rPr>
          <w:rFonts w:hint="default" w:ascii="宋体" w:hAnsi="宋体"/>
          <w:sz w:val="32"/>
          <w:szCs w:val="24"/>
        </w:rPr>
        <w:t>,国防教育经费专项支出40.00万元，主要用于</w:t>
      </w:r>
      <w:r>
        <w:rPr>
          <w:rFonts w:hint="default" w:ascii="宋体" w:hAnsi="宋体"/>
          <w:sz w:val="32"/>
          <w:szCs w:val="24"/>
          <w:lang w:eastAsia="zh-CN"/>
        </w:rPr>
        <w:t>国防教育</w:t>
      </w:r>
      <w:r>
        <w:rPr>
          <w:rFonts w:hint="default" w:ascii="宋体" w:hAnsi="宋体"/>
          <w:sz w:val="32"/>
          <w:szCs w:val="24"/>
        </w:rPr>
        <w:t>方面,外宣专项经费专项支出31.50万元，主要用于</w:t>
      </w:r>
      <w:r>
        <w:rPr>
          <w:rFonts w:hint="default" w:ascii="宋体" w:hAnsi="宋体"/>
          <w:sz w:val="32"/>
          <w:szCs w:val="24"/>
          <w:lang w:eastAsia="zh-CN"/>
        </w:rPr>
        <w:t>对外宣传</w:t>
      </w:r>
      <w:r>
        <w:rPr>
          <w:rFonts w:hint="default" w:ascii="宋体" w:hAnsi="宋体"/>
          <w:sz w:val="32"/>
          <w:szCs w:val="24"/>
        </w:rPr>
        <w:t>方面,文化事业产业发展专项专项支出16.20万元，主要用于</w:t>
      </w:r>
      <w:r>
        <w:rPr>
          <w:rFonts w:hint="default" w:ascii="宋体" w:hAnsi="宋体"/>
          <w:sz w:val="32"/>
          <w:szCs w:val="24"/>
          <w:lang w:eastAsia="zh-CN"/>
        </w:rPr>
        <w:t>文化事业产业发展</w:t>
      </w:r>
      <w:r>
        <w:rPr>
          <w:rFonts w:hint="default" w:ascii="宋体" w:hAnsi="宋体"/>
          <w:sz w:val="32"/>
          <w:szCs w:val="24"/>
        </w:rPr>
        <w:t>方面,新闻出版工作经费专项支出6.00万元，主要用于</w:t>
      </w:r>
      <w:r>
        <w:rPr>
          <w:rFonts w:hint="default" w:ascii="宋体" w:hAnsi="宋体"/>
          <w:sz w:val="32"/>
          <w:szCs w:val="24"/>
          <w:lang w:eastAsia="zh-CN"/>
        </w:rPr>
        <w:t>新闻出版</w:t>
      </w:r>
      <w:r>
        <w:rPr>
          <w:rFonts w:hint="default" w:ascii="宋体" w:hAnsi="宋体"/>
          <w:sz w:val="32"/>
          <w:szCs w:val="24"/>
        </w:rPr>
        <w:t>方面,新闻舆论工作经费专项支出200.00万元，主要用于</w:t>
      </w:r>
      <w:r>
        <w:rPr>
          <w:rFonts w:hint="default" w:ascii="宋体" w:hAnsi="宋体"/>
          <w:sz w:val="32"/>
          <w:szCs w:val="24"/>
          <w:lang w:eastAsia="zh-CN"/>
        </w:rPr>
        <w:t>新闻舆论工作</w:t>
      </w:r>
      <w:r>
        <w:rPr>
          <w:rFonts w:hint="default" w:ascii="宋体" w:hAnsi="宋体"/>
          <w:sz w:val="32"/>
          <w:szCs w:val="24"/>
        </w:rPr>
        <w:t>方面,学习型党组织建设和理论教育专项经费专项支出28.90万元，主要用于学习型党组织建设和理论教育方面。</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Dialog"/>
          <w:sz w:val="32"/>
          <w:szCs w:val="24"/>
        </w:rPr>
      </w:pPr>
      <w:r>
        <w:rPr>
          <w:rFonts w:hint="default" w:ascii="宋体" w:hAnsi="Dialog"/>
          <w:sz w:val="32"/>
          <w:szCs w:val="24"/>
        </w:rPr>
        <w:t xml:space="preserve">  五、政府性基金预算支出</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rPr>
      </w:pPr>
      <w:r>
        <w:rPr>
          <w:rFonts w:hint="default" w:ascii="宋体" w:hAnsi="宋体"/>
          <w:sz w:val="32"/>
          <w:szCs w:val="24"/>
        </w:rPr>
        <w:t xml:space="preserve">  2023年度本部门无政府性基金安排的支出，所以公开的附件15-17（政府性基金预算）为空。</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Dialog"/>
          <w:sz w:val="32"/>
          <w:szCs w:val="24"/>
        </w:rPr>
      </w:pPr>
      <w:r>
        <w:rPr>
          <w:rFonts w:hint="default" w:ascii="宋体" w:hAnsi="Dialog"/>
          <w:sz w:val="32"/>
          <w:szCs w:val="24"/>
        </w:rPr>
        <w:t xml:space="preserve">  六、其他重要事项的情况说明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Dialog"/>
          <w:sz w:val="32"/>
          <w:szCs w:val="24"/>
        </w:rPr>
      </w:pPr>
      <w:r>
        <w:rPr>
          <w:rFonts w:hint="default" w:ascii="宋体" w:hAnsi="Dialog"/>
          <w:sz w:val="32"/>
          <w:szCs w:val="24"/>
        </w:rPr>
        <w:t xml:space="preserve">  （一）机关运行经费</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lang w:eastAsia="zh-CN"/>
        </w:rPr>
      </w:pPr>
      <w:r>
        <w:rPr>
          <w:rFonts w:hint="default" w:ascii="宋体" w:hAnsi="宋体"/>
          <w:sz w:val="32"/>
          <w:szCs w:val="24"/>
        </w:rPr>
        <w:t xml:space="preserve">  本部门2023年机关运行经费当年一般公共预算拨款140.30万元（数据来源见表12），比上一年增加</w:t>
      </w:r>
      <w:r>
        <w:rPr>
          <w:rFonts w:hint="default" w:ascii="宋体" w:hAnsi="宋体"/>
          <w:sz w:val="32"/>
          <w:szCs w:val="24"/>
          <w:lang w:val="en-US" w:eastAsia="zh-CN"/>
        </w:rPr>
        <w:t>33.07</w:t>
      </w:r>
      <w:r>
        <w:rPr>
          <w:rFonts w:hint="default" w:ascii="宋体" w:hAnsi="宋体"/>
          <w:sz w:val="32"/>
          <w:szCs w:val="24"/>
        </w:rPr>
        <w:t>万元，增加</w:t>
      </w:r>
      <w:r>
        <w:rPr>
          <w:rFonts w:hint="default" w:ascii="宋体" w:hAnsi="宋体"/>
          <w:sz w:val="32"/>
          <w:szCs w:val="24"/>
          <w:lang w:val="en-US" w:eastAsia="zh-CN"/>
        </w:rPr>
        <w:t>30.84</w:t>
      </w:r>
      <w:r>
        <w:rPr>
          <w:rFonts w:hint="default" w:ascii="宋体" w:hAnsi="宋体"/>
          <w:sz w:val="32"/>
          <w:szCs w:val="24"/>
        </w:rPr>
        <w:t>%。主要原因是人员</w:t>
      </w:r>
      <w:r>
        <w:rPr>
          <w:rFonts w:hint="default" w:ascii="宋体" w:hAnsi="宋体"/>
          <w:sz w:val="32"/>
          <w:szCs w:val="24"/>
          <w:lang w:eastAsia="zh-CN"/>
        </w:rPr>
        <w:t>异动、职能新增。</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Dialog"/>
          <w:sz w:val="32"/>
          <w:szCs w:val="24"/>
        </w:rPr>
      </w:pPr>
      <w:r>
        <w:rPr>
          <w:rFonts w:hint="default" w:ascii="宋体" w:hAnsi="Dialog"/>
          <w:sz w:val="32"/>
          <w:szCs w:val="24"/>
        </w:rPr>
        <w:t xml:space="preserve">  （二）“三公”经费预算</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cs="Times New Roman"/>
          <w:sz w:val="32"/>
          <w:szCs w:val="24"/>
          <w:lang w:eastAsia="zh-CN"/>
        </w:rPr>
      </w:pPr>
      <w:r>
        <w:rPr>
          <w:rFonts w:hint="default" w:ascii="宋体" w:hAnsi="宋体" w:cs="Times New Roman"/>
          <w:sz w:val="32"/>
          <w:szCs w:val="24"/>
        </w:rPr>
        <w:t xml:space="preserve">  本部门2023年“三公”经费预算数</w:t>
      </w:r>
      <w:r>
        <w:rPr>
          <w:rFonts w:hint="default" w:ascii="宋体" w:hAnsi="宋体" w:cs="Times New Roman"/>
          <w:sz w:val="32"/>
          <w:szCs w:val="24"/>
          <w:lang w:val="en-US" w:eastAsia="zh-CN"/>
        </w:rPr>
        <w:t>55</w:t>
      </w:r>
      <w:r>
        <w:rPr>
          <w:rFonts w:hint="default" w:ascii="宋体" w:hAnsi="宋体" w:cs="Times New Roman"/>
          <w:sz w:val="32"/>
          <w:szCs w:val="24"/>
        </w:rPr>
        <w:t>.00万元（数据来源见表14），其中，公务接待费</w:t>
      </w:r>
      <w:r>
        <w:rPr>
          <w:rFonts w:hint="default" w:ascii="宋体" w:hAnsi="宋体" w:cs="Times New Roman"/>
          <w:sz w:val="32"/>
          <w:szCs w:val="24"/>
          <w:lang w:val="en-US" w:eastAsia="zh-CN"/>
        </w:rPr>
        <w:t>2</w:t>
      </w:r>
      <w:r>
        <w:rPr>
          <w:rFonts w:hint="default" w:ascii="宋体" w:hAnsi="宋体" w:cs="Times New Roman"/>
          <w:sz w:val="32"/>
          <w:szCs w:val="24"/>
        </w:rPr>
        <w:t>7.00万元，因公出国（境）费</w:t>
      </w:r>
      <w:r>
        <w:rPr>
          <w:rFonts w:hint="default" w:ascii="宋体" w:hAnsi="宋体" w:cs="Times New Roman"/>
          <w:sz w:val="32"/>
          <w:szCs w:val="24"/>
          <w:lang w:val="en-US" w:eastAsia="zh-CN"/>
        </w:rPr>
        <w:t>1</w:t>
      </w:r>
      <w:r>
        <w:rPr>
          <w:rFonts w:hint="default" w:ascii="宋体" w:hAnsi="宋体" w:cs="Times New Roman"/>
          <w:sz w:val="32"/>
          <w:szCs w:val="24"/>
        </w:rPr>
        <w:t>0.00万元，公务用车购置及运行费</w:t>
      </w:r>
      <w:r>
        <w:rPr>
          <w:rFonts w:hint="default" w:ascii="宋体" w:hAnsi="宋体" w:cs="Times New Roman"/>
          <w:sz w:val="32"/>
          <w:szCs w:val="24"/>
          <w:lang w:val="en-US" w:eastAsia="zh-CN"/>
        </w:rPr>
        <w:t>18</w:t>
      </w:r>
      <w:r>
        <w:rPr>
          <w:rFonts w:hint="default" w:ascii="宋体" w:hAnsi="宋体" w:cs="Times New Roman"/>
          <w:sz w:val="32"/>
          <w:szCs w:val="24"/>
        </w:rPr>
        <w:t>.00万元（其中，公务用车购置费0.00万元，公务用车运行费</w:t>
      </w:r>
      <w:r>
        <w:rPr>
          <w:rFonts w:hint="default" w:ascii="宋体" w:hAnsi="宋体" w:cs="Times New Roman"/>
          <w:sz w:val="32"/>
          <w:szCs w:val="24"/>
          <w:lang w:val="en-US" w:eastAsia="zh-CN"/>
        </w:rPr>
        <w:t>18</w:t>
      </w:r>
      <w:r>
        <w:rPr>
          <w:rFonts w:hint="default" w:ascii="宋体" w:hAnsi="宋体" w:cs="Times New Roman"/>
          <w:sz w:val="32"/>
          <w:szCs w:val="24"/>
        </w:rPr>
        <w:t>.00万元）。2023年三公经费预算较上年减少</w:t>
      </w:r>
      <w:r>
        <w:rPr>
          <w:rFonts w:hint="default" w:ascii="宋体" w:hAnsi="宋体" w:cs="Times New Roman"/>
          <w:sz w:val="32"/>
          <w:szCs w:val="24"/>
          <w:lang w:val="en-US" w:eastAsia="zh-CN"/>
        </w:rPr>
        <w:t>2</w:t>
      </w:r>
      <w:r>
        <w:rPr>
          <w:rFonts w:hint="default" w:ascii="宋体" w:hAnsi="宋体" w:cs="Times New Roman"/>
          <w:sz w:val="32"/>
          <w:szCs w:val="24"/>
        </w:rPr>
        <w:t>万元，主要原因是厉行节约</w:t>
      </w:r>
      <w:r>
        <w:rPr>
          <w:rFonts w:hint="default" w:ascii="宋体" w:hAnsi="宋体" w:cs="Times New Roman"/>
          <w:sz w:val="32"/>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cs="Times New Roman"/>
          <w:sz w:val="32"/>
          <w:szCs w:val="24"/>
        </w:rPr>
      </w:pPr>
      <w:r>
        <w:rPr>
          <w:rFonts w:hint="default" w:ascii="宋体" w:hAnsi="宋体" w:cs="Times New Roman"/>
          <w:sz w:val="32"/>
          <w:szCs w:val="24"/>
        </w:rPr>
        <w:t xml:space="preserve">  （三）一般性支出情况</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firstLine="320" w:firstLineChars="100"/>
        <w:textAlignment w:val="auto"/>
        <w:rPr>
          <w:rFonts w:hint="default" w:ascii="宋体" w:hAnsi="宋体" w:cs="Times New Roman"/>
          <w:sz w:val="32"/>
          <w:szCs w:val="24"/>
        </w:rPr>
      </w:pPr>
      <w:r>
        <w:rPr>
          <w:rFonts w:hint="default" w:ascii="宋体" w:hAnsi="宋体" w:cs="Times New Roman"/>
          <w:sz w:val="32"/>
          <w:szCs w:val="24"/>
        </w:rPr>
        <w:t>2023年度本部门未计划安排会议、培训，未计划举办节庆、晚会、论坛、赛事活动。</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cs="Times New Roman"/>
          <w:sz w:val="32"/>
          <w:szCs w:val="24"/>
        </w:rPr>
      </w:pPr>
      <w:r>
        <w:rPr>
          <w:rFonts w:hint="default" w:ascii="宋体" w:hAnsi="宋体" w:cs="Times New Roman"/>
          <w:sz w:val="32"/>
          <w:szCs w:val="24"/>
        </w:rPr>
        <w:t xml:space="preserve">  （四）政府采购情况</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cs="Times New Roman"/>
          <w:sz w:val="32"/>
          <w:szCs w:val="24"/>
        </w:rPr>
      </w:pPr>
      <w:r>
        <w:rPr>
          <w:rFonts w:hint="default" w:ascii="宋体" w:hAnsi="宋体" w:cs="Times New Roman"/>
          <w:sz w:val="32"/>
          <w:szCs w:val="24"/>
        </w:rPr>
        <w:t xml:space="preserve">  2023年度本部门未安排政府采购预算。</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cs="Times New Roman"/>
          <w:sz w:val="32"/>
          <w:szCs w:val="24"/>
        </w:rPr>
      </w:pPr>
      <w:r>
        <w:rPr>
          <w:rFonts w:hint="default" w:ascii="宋体" w:hAnsi="宋体" w:cs="Times New Roman"/>
          <w:sz w:val="32"/>
          <w:szCs w:val="24"/>
        </w:rPr>
        <w:t xml:space="preserve">  （五）国有资产占有使用及新增资产配置情况</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rPr>
      </w:pPr>
      <w:r>
        <w:rPr>
          <w:rFonts w:hint="default" w:ascii="宋体" w:hAnsi="宋体"/>
          <w:sz w:val="32"/>
          <w:szCs w:val="24"/>
        </w:rPr>
        <w:t xml:space="preserve">  截至上年底，本部门共有车辆</w:t>
      </w:r>
      <w:r>
        <w:rPr>
          <w:rFonts w:hint="default" w:ascii="宋体" w:hAnsi="宋体"/>
          <w:sz w:val="32"/>
          <w:szCs w:val="24"/>
          <w:lang w:val="en-US" w:eastAsia="zh-CN"/>
        </w:rPr>
        <w:t>3</w:t>
      </w:r>
      <w:r>
        <w:rPr>
          <w:rFonts w:hint="default" w:ascii="宋体" w:hAnsi="宋体"/>
          <w:sz w:val="32"/>
          <w:szCs w:val="24"/>
        </w:rPr>
        <w:t>辆，其中领导干部用车</w:t>
      </w:r>
      <w:r>
        <w:rPr>
          <w:rFonts w:hint="default" w:ascii="宋体" w:hAnsi="宋体"/>
          <w:sz w:val="32"/>
          <w:szCs w:val="24"/>
          <w:lang w:val="en-US" w:eastAsia="zh-CN"/>
        </w:rPr>
        <w:t>0</w:t>
      </w:r>
      <w:r>
        <w:rPr>
          <w:rFonts w:hint="default" w:ascii="宋体" w:hAnsi="宋体"/>
          <w:sz w:val="32"/>
          <w:szCs w:val="24"/>
        </w:rPr>
        <w:t>辆，一般公务用车</w:t>
      </w:r>
      <w:r>
        <w:rPr>
          <w:rFonts w:hint="default" w:ascii="宋体" w:hAnsi="宋体"/>
          <w:sz w:val="32"/>
          <w:szCs w:val="24"/>
          <w:lang w:val="en-US" w:eastAsia="zh-CN"/>
        </w:rPr>
        <w:t>3</w:t>
      </w:r>
      <w:r>
        <w:rPr>
          <w:rFonts w:hint="default" w:ascii="宋体" w:hAnsi="宋体"/>
          <w:sz w:val="32"/>
          <w:szCs w:val="24"/>
        </w:rPr>
        <w:t>辆，其他用车</w:t>
      </w:r>
      <w:r>
        <w:rPr>
          <w:rFonts w:hint="default" w:ascii="宋体" w:hAnsi="宋体"/>
          <w:sz w:val="32"/>
          <w:szCs w:val="24"/>
          <w:lang w:val="en-US" w:eastAsia="zh-CN"/>
        </w:rPr>
        <w:t>0</w:t>
      </w:r>
      <w:r>
        <w:rPr>
          <w:rFonts w:hint="default" w:ascii="宋体" w:hAnsi="宋体"/>
          <w:sz w:val="32"/>
          <w:szCs w:val="24"/>
        </w:rPr>
        <w:t>辆。单位价值50万元以上通用设备</w:t>
      </w:r>
      <w:r>
        <w:rPr>
          <w:rFonts w:hint="default" w:ascii="宋体" w:hAnsi="宋体"/>
          <w:sz w:val="32"/>
          <w:szCs w:val="24"/>
          <w:lang w:val="en-US" w:eastAsia="zh-CN"/>
        </w:rPr>
        <w:t>0</w:t>
      </w:r>
      <w:r>
        <w:rPr>
          <w:rFonts w:hint="default" w:ascii="宋体" w:hAnsi="宋体"/>
          <w:sz w:val="32"/>
          <w:szCs w:val="24"/>
        </w:rPr>
        <w:t>台，单位价值100万元以上专用设备</w:t>
      </w:r>
      <w:r>
        <w:rPr>
          <w:rFonts w:hint="default" w:ascii="宋体" w:hAnsi="宋体"/>
          <w:sz w:val="32"/>
          <w:szCs w:val="24"/>
          <w:lang w:val="en-US" w:eastAsia="zh-CN"/>
        </w:rPr>
        <w:t>0</w:t>
      </w:r>
      <w:r>
        <w:rPr>
          <w:rFonts w:hint="default" w:ascii="宋体" w:hAnsi="宋体"/>
          <w:sz w:val="32"/>
          <w:szCs w:val="24"/>
        </w:rPr>
        <w:t xml:space="preserve">台。 </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firstLine="320" w:firstLineChars="100"/>
        <w:textAlignment w:val="auto"/>
        <w:rPr>
          <w:rFonts w:hint="default" w:ascii="宋体" w:hAnsi="宋体"/>
          <w:sz w:val="32"/>
          <w:szCs w:val="24"/>
        </w:rPr>
      </w:pPr>
      <w:r>
        <w:rPr>
          <w:rFonts w:hint="default" w:ascii="宋体" w:hAnsi="宋体"/>
          <w:sz w:val="32"/>
          <w:szCs w:val="24"/>
        </w:rPr>
        <w:t>2023年度本部门未计划处置或新增车辆、设备等。</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textAlignment w:val="auto"/>
        <w:rPr>
          <w:rFonts w:hint="default" w:ascii="宋体" w:hAnsi="Dialog"/>
          <w:sz w:val="32"/>
          <w:szCs w:val="24"/>
        </w:rPr>
      </w:pPr>
      <w:r>
        <w:rPr>
          <w:rFonts w:hint="default" w:ascii="宋体" w:hAnsi="Dialog"/>
          <w:sz w:val="32"/>
          <w:szCs w:val="24"/>
        </w:rPr>
        <w:t xml:space="preserve"> （六）预算绩效目标说明</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rPr>
      </w:pPr>
      <w:r>
        <w:rPr>
          <w:rFonts w:hint="default" w:ascii="宋体" w:hAnsi="宋体"/>
          <w:sz w:val="32"/>
          <w:szCs w:val="24"/>
        </w:rPr>
        <w:t xml:space="preserve">    本部门所有支出实行绩效目标管理。纳入2023年部门整体支出绩效目标的金额为1158.60万元，其中，基本支出835.58万元，项目支出323.02万元，详见文尾附表中部门预算公开表格的表21-22。</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Dialog"/>
          <w:sz w:val="32"/>
          <w:szCs w:val="24"/>
        </w:rPr>
      </w:pPr>
      <w:r>
        <w:rPr>
          <w:rFonts w:hint="default" w:ascii="宋体" w:hAnsi="Dialog"/>
          <w:sz w:val="32"/>
          <w:szCs w:val="24"/>
        </w:rPr>
        <w:t xml:space="preserve">  七、名词解释</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rPr>
      </w:pPr>
      <w:r>
        <w:rPr>
          <w:rFonts w:hint="default" w:ascii="宋体" w:hAnsi="宋体"/>
          <w:sz w:val="32"/>
          <w:szCs w:val="24"/>
        </w:rPr>
        <w:t xml:space="preserve">  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val="0"/>
        <w:autoSpaceDN w:val="0"/>
        <w:bidi w:val="0"/>
        <w:adjustRightInd w:val="0"/>
        <w:snapToGrid/>
        <w:spacing w:beforeLines="0" w:afterLines="0" w:line="480" w:lineRule="exact"/>
        <w:ind w:left="20"/>
        <w:textAlignment w:val="auto"/>
        <w:rPr>
          <w:rFonts w:hint="default" w:ascii="宋体" w:hAnsi="宋体"/>
          <w:sz w:val="32"/>
          <w:szCs w:val="24"/>
        </w:rPr>
      </w:pPr>
      <w:r>
        <w:rPr>
          <w:rFonts w:hint="default" w:ascii="宋体" w:hAnsi="宋体"/>
          <w:sz w:val="32"/>
          <w:szCs w:val="24"/>
        </w:rPr>
        <w:t xml:space="preserve">  2、“三公”经费：纳入财政预算管理的“三公“经费，是指用一般公共预算拨款安排的公务接待费、公务用车购置及运行维护费和因公出国（境）费。其中，公务接待费反映部门按规定开支的各类公务接待支出；公务用车购置及运行费反映部门公务用车车辆购置支出（含车辆购置税），以及燃料费、维修费、保险费等支出；因公出国（境）费反映部门公务出国（境）的国际旅费、国外城市间交通费、食宿费等支出。</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textAlignment w:val="auto"/>
        <w:rPr>
          <w:rFonts w:hint="default"/>
          <w:sz w:val="24"/>
          <w:szCs w:val="24"/>
        </w:rPr>
      </w:pPr>
    </w:p>
    <w:p>
      <w:pPr>
        <w:keepNext w:val="0"/>
        <w:keepLines w:val="0"/>
        <w:pageBreakBefore/>
        <w:widowControl w:val="0"/>
        <w:kinsoku/>
        <w:wordWrap/>
        <w:overflowPunct/>
        <w:topLinePunct w:val="0"/>
        <w:autoSpaceDE w:val="0"/>
        <w:autoSpaceDN w:val="0"/>
        <w:bidi w:val="0"/>
        <w:adjustRightInd w:val="0"/>
        <w:snapToGrid/>
        <w:spacing w:beforeLines="0" w:afterLines="0" w:line="500" w:lineRule="exact"/>
        <w:textAlignment w:val="auto"/>
        <w:rPr>
          <w:rFonts w:hint="default"/>
          <w:sz w:val="24"/>
          <w:szCs w:val="24"/>
        </w:rPr>
      </w:pP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jc w:val="center"/>
        <w:textAlignment w:val="auto"/>
        <w:rPr>
          <w:rFonts w:hint="default" w:ascii="宋体" w:hAnsi="Dialog" w:cs="Times New Roman"/>
          <w:b/>
          <w:bCs/>
          <w:color w:val="000000"/>
          <w:sz w:val="36"/>
          <w:szCs w:val="36"/>
        </w:rPr>
      </w:pPr>
      <w:r>
        <w:rPr>
          <w:rFonts w:hint="default" w:ascii="宋体" w:hAnsi="Dialog" w:cs="Times New Roman"/>
          <w:b/>
          <w:bCs/>
          <w:color w:val="000000"/>
          <w:sz w:val="36"/>
          <w:szCs w:val="36"/>
        </w:rPr>
        <w:t>第二部分  2023年部门预算公开表格</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1、收支总表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2、收入总表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3、支出总表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4、支出预算分类汇总表（按政府预算经济分类）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5、支出预算分类汇总表（按部门预算经济分类）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6、财政拨款收支总表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7、一般公共预算支出表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8、一般公共预算基本支出表-人员经费（工资福利支出）（按政府预算经济分类）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9、一般公共预算基本支出表-人员经费（工资福利支出）（按部门预算经济分类）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10、一般公共预算基本支出表-人员经费（对个人和家庭的补助）（按政府预算经济分类）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11、一般公共预算基本支出表-人员经费（对个人和家庭的补助）（按部门预算经济分类）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12、一般公共预算基本支出表-公用经费（商品和服务支出）（按政府预算经济分类）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13、一般公共预算基本支出表-公用经费（商品和服务支出）（按部门预算经济分类）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14、一般公共预算“三公”经费支出表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15、政府性基金预算支出表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16、政府性基金预算支出分类汇总表（按政府预算经济分类）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17、政府性基金预算支出分类汇总表（按部门预算经济分类）</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18、国有资本经营预算支出表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19、财政专户管理资金预算支出表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20、专项资金预算汇总表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21、项目支出绩效目标表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22、部门整体支出绩效目标表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sz w:val="32"/>
          <w:szCs w:val="24"/>
        </w:rPr>
      </w:pPr>
      <w:r>
        <w:rPr>
          <w:rFonts w:hint="default" w:ascii="宋体" w:hAnsi="宋体"/>
          <w:sz w:val="32"/>
          <w:szCs w:val="24"/>
        </w:rPr>
        <w:t>23、一般公共预算基本支出表</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ind w:left="20"/>
        <w:textAlignment w:val="auto"/>
        <w:rPr>
          <w:rFonts w:hint="default" w:ascii="宋体" w:hAnsi="宋体"/>
          <w:color w:val="FF0000"/>
          <w:sz w:val="32"/>
          <w:szCs w:val="24"/>
        </w:rPr>
      </w:pPr>
      <w:r>
        <w:rPr>
          <w:rFonts w:hint="default" w:ascii="宋体" w:hAnsi="宋体"/>
          <w:b/>
          <w:color w:val="FF0000"/>
          <w:sz w:val="32"/>
          <w:szCs w:val="24"/>
        </w:rPr>
        <w:t>注：以上部门预算公开报表中，空表表示本部门无相关收支情况。</w:t>
      </w:r>
    </w:p>
    <w:p>
      <w:pPr>
        <w:keepNext w:val="0"/>
        <w:keepLines w:val="0"/>
        <w:pageBreakBefore w:val="0"/>
        <w:widowControl w:val="0"/>
        <w:kinsoku/>
        <w:wordWrap/>
        <w:overflowPunct/>
        <w:topLinePunct w:val="0"/>
        <w:autoSpaceDE w:val="0"/>
        <w:autoSpaceDN w:val="0"/>
        <w:bidi w:val="0"/>
        <w:adjustRightInd w:val="0"/>
        <w:snapToGrid/>
        <w:spacing w:beforeLines="0" w:afterLines="0" w:line="500" w:lineRule="exact"/>
        <w:textAlignment w:val="auto"/>
        <w:rPr>
          <w:rFonts w:hint="default"/>
          <w:sz w:val="24"/>
          <w:szCs w:val="24"/>
        </w:rPr>
      </w:pPr>
    </w:p>
    <w:sectPr>
      <w:footerReference r:id="rId3" w:type="default"/>
      <w:pgSz w:w="16838" w:h="11905" w:orient="landscape"/>
      <w:pgMar w:top="1417" w:right="1134" w:bottom="1134" w:left="1134" w:header="720" w:footer="720" w:gutter="0"/>
      <w:lnNumType w:countBy="0" w:distance="360"/>
      <w:pgNumType w:start="1"/>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roman"/>
    <w:pitch w:val="default"/>
    <w:sig w:usb0="00000000" w:usb1="00000000" w:usb2="00000016" w:usb3="00000000" w:csb0="0004001F" w:csb1="00000000"/>
  </w:font>
  <w:font w:name="Dialog">
    <w:altName w:val="DejaVu Sans"/>
    <w:panose1 w:val="00000000000000000000"/>
    <w:charset w:val="00"/>
    <w:family w:val="roman"/>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true"/>
  <w:drawingGridHorizontalOrigin w:val="1701"/>
  <w:drawingGridVerticalOrigin w:val="1984"/>
  <w:doNotShadeFormData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YTM3N2UwNGU0N2U0MjhmY2NiYmU2YWY1ZTNiMzgifQ=="/>
  </w:docVars>
  <w:rsids>
    <w:rsidRoot w:val="00172A27"/>
    <w:rsid w:val="1AB6A822"/>
    <w:rsid w:val="25E45536"/>
    <w:rsid w:val="27750903"/>
    <w:rsid w:val="36F55909"/>
    <w:rsid w:val="484A5651"/>
    <w:rsid w:val="4A58367B"/>
    <w:rsid w:val="519FC868"/>
    <w:rsid w:val="55241835"/>
    <w:rsid w:val="67596B0C"/>
    <w:rsid w:val="6DF37002"/>
    <w:rsid w:val="7ADCD366"/>
    <w:rsid w:val="7FEB9FA1"/>
    <w:rsid w:val="7FFD45E7"/>
    <w:rsid w:val="DDFEB566"/>
    <w:rsid w:val="FEFFB8DF"/>
    <w:rsid w:val="FF7F79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semiHidden="0" w:name="Normal"/>
    <w:lsdException w:qFormat="1" w:uiPriority="99" w:semiHidden="0" w:name="heading 1"/>
    <w:lsdException w:qFormat="1" w:uiPriority="99" w:semiHidden="0" w:name="heading 2"/>
    <w:lsdException w:qFormat="1"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widowControl w:val="0"/>
      <w:autoSpaceDE w:val="0"/>
      <w:autoSpaceDN w:val="0"/>
      <w:adjustRightInd w:val="0"/>
      <w:spacing w:beforeLines="0" w:afterLines="0"/>
    </w:pPr>
    <w:rPr>
      <w:rFonts w:hint="default" w:ascii="Arial" w:hAnsi="Arial" w:eastAsia="宋体" w:cs="Times New Roman"/>
      <w:color w:val="000000"/>
      <w:sz w:val="24"/>
      <w:szCs w:val="24"/>
    </w:rPr>
  </w:style>
  <w:style w:type="paragraph" w:styleId="3">
    <w:name w:val="heading 1"/>
    <w:next w:val="1"/>
    <w:unhideWhenUsed/>
    <w:qFormat/>
    <w:uiPriority w:val="99"/>
    <w:pPr>
      <w:widowControl w:val="0"/>
      <w:autoSpaceDE w:val="0"/>
      <w:autoSpaceDN w:val="0"/>
      <w:adjustRightInd w:val="0"/>
      <w:spacing w:beforeLines="0" w:afterLines="0"/>
    </w:pPr>
    <w:rPr>
      <w:rFonts w:hint="default" w:ascii="Arial" w:hAnsi="Arial" w:eastAsia="宋体" w:cs="Times New Roman"/>
      <w:b/>
      <w:color w:val="000000"/>
      <w:sz w:val="32"/>
      <w:szCs w:val="24"/>
    </w:rPr>
  </w:style>
  <w:style w:type="paragraph" w:styleId="4">
    <w:name w:val="heading 2"/>
    <w:next w:val="1"/>
    <w:unhideWhenUsed/>
    <w:qFormat/>
    <w:uiPriority w:val="99"/>
    <w:pPr>
      <w:widowControl w:val="0"/>
      <w:autoSpaceDE w:val="0"/>
      <w:autoSpaceDN w:val="0"/>
      <w:adjustRightInd w:val="0"/>
      <w:spacing w:beforeLines="0" w:afterLines="0"/>
    </w:pPr>
    <w:rPr>
      <w:rFonts w:hint="default" w:ascii="Arial" w:hAnsi="Arial" w:eastAsia="宋体" w:cs="Times New Roman"/>
      <w:b/>
      <w:i/>
      <w:color w:val="000000"/>
      <w:sz w:val="28"/>
      <w:szCs w:val="24"/>
    </w:rPr>
  </w:style>
  <w:style w:type="paragraph" w:styleId="5">
    <w:name w:val="heading 3"/>
    <w:next w:val="1"/>
    <w:unhideWhenUsed/>
    <w:qFormat/>
    <w:uiPriority w:val="99"/>
    <w:pPr>
      <w:widowControl w:val="0"/>
      <w:autoSpaceDE w:val="0"/>
      <w:autoSpaceDN w:val="0"/>
      <w:adjustRightInd w:val="0"/>
      <w:spacing w:beforeLines="0" w:afterLines="0"/>
    </w:pPr>
    <w:rPr>
      <w:rFonts w:hint="default" w:ascii="Arial" w:hAnsi="Arial" w:eastAsia="宋体" w:cs="Times New Roman"/>
      <w:b/>
      <w:color w:val="000000"/>
      <w:sz w:val="26"/>
      <w:szCs w:val="24"/>
    </w:rPr>
  </w:style>
  <w:style w:type="character" w:default="1" w:styleId="9">
    <w:name w:val="Default Paragraph Font"/>
    <w:unhideWhenUsed/>
    <w:qFormat/>
    <w:uiPriority w:val="99"/>
    <w:rPr>
      <w:rFonts w:hint="default"/>
      <w:sz w:val="24"/>
      <w:szCs w:val="24"/>
    </w:rPr>
  </w:style>
  <w:style w:type="table" w:default="1" w:styleId="8">
    <w:name w:val="Normal Table"/>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beforeLines="0" w:after="200" w:afterLines="0" w:line="276" w:lineRule="auto"/>
    </w:pPr>
    <w:rPr>
      <w:rFonts w:hint="default"/>
      <w:sz w:val="24"/>
      <w:szCs w:val="24"/>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2024-03-28T00:32:00Z</dcterms:created>
  <dc:creator>Administrator</dc:creator>
  <cp:lastModifiedBy>皮卡熊</cp:lastModifiedBy>
  <cp:lastPrinted>2024-04-02T11:40:25Z</cp:lastPrinted>
  <dcterms:modified xsi:type="dcterms:W3CDTF">2024-04-02T11:46:38Z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1127CC32ADAD411780FF1A5E49CE72C2_13</vt:lpwstr>
  </property>
</Properties>
</file>