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rPr>
          <w:rFonts w:hint="default"/>
          <w:sz w:val="2"/>
        </w:rPr>
      </w:pPr>
    </w:p>
    <w:tbl>
      <w:tblPr>
        <w:tblStyle w:val="5"/>
        <w:tblW w:w="15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81"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1110" w:lineRule="exact"/>
              <w:ind w:left="20"/>
              <w:jc w:val="center"/>
              <w:rPr>
                <w:rFonts w:hint="eastAsia" w:ascii="微软雅黑" w:hAnsi="微软雅黑" w:eastAsia="微软雅黑"/>
                <w:b/>
                <w:sz w:val="84"/>
              </w:rPr>
            </w:pPr>
            <w:r>
              <w:rPr>
                <w:rFonts w:hint="eastAsia" w:ascii="微软雅黑" w:hAnsi="微软雅黑" w:eastAsia="微软雅黑"/>
                <w:b/>
                <w:sz w:val="84"/>
              </w:rPr>
              <w:t>国家统计局岳阳调查队2023年度</w:t>
            </w:r>
          </w:p>
          <w:p>
            <w:pPr>
              <w:spacing w:beforeLines="0" w:afterLines="0" w:line="1110" w:lineRule="exact"/>
              <w:ind w:left="20"/>
              <w:jc w:val="center"/>
              <w:rPr>
                <w:rFonts w:hint="eastAsia" w:ascii="微软雅黑" w:hAnsi="微软雅黑" w:eastAsia="微软雅黑"/>
                <w:sz w:val="84"/>
              </w:rPr>
            </w:pPr>
            <w:r>
              <w:rPr>
                <w:rFonts w:hint="eastAsia" w:ascii="微软雅黑" w:hAnsi="微软雅黑" w:eastAsia="微软雅黑"/>
                <w:b/>
                <w:sz w:val="84"/>
              </w:rPr>
              <w:t>单位预算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525" w:lineRule="exact"/>
              <w:ind w:left="20"/>
              <w:jc w:val="center"/>
              <w:rPr>
                <w:rFonts w:hint="eastAsia" w:ascii="Dialog" w:hAnsi="Dialog"/>
                <w:sz w:val="44"/>
              </w:rPr>
            </w:pPr>
            <w:r>
              <w:rPr>
                <w:rFonts w:hint="eastAsia" w:ascii="Dialog" w:hAnsi="Dialog"/>
                <w:sz w:val="44"/>
              </w:rPr>
              <w:t>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第一部分  2023年单位预算说明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第二部分  2023年单位预算公开表格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2、收入总表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3、支出总表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4、支出预算分类汇总表（按政府预算经济分类）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5、支出预算分类汇总表（按部门预算经济分类）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6、财政拨款收支总表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7、一般公共预算支出表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8、一般公共预算基本支出表-人员经费（工资福利支出）（按政府预算经济分类）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9、一般公共预算基本支出表-人员经费（工资福利支出）（按部门预算经济分类）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10、一般公共预算基本支出表-人员经费（对个人和家庭的补助）（按政府预算经济分类）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11、一般公共预算基本支出表-人员经费（对个人和家庭的补助）（按部门预算经济分类）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12、一般公共预算基本支出表-公用经费（商品和服务支出）（按政府预算经济分类）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13、一般公共预算基本支出表-公用经费（商品和服务支出）（按部门预算经济分类）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14、一般公共预算“三公”经费支出表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15、政府性基金预算支出表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16、政府性基金预算支出分类汇总表（按政府预算经济分类）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17、政府性基金预算支出分类汇总表（按部门预算经济分类）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18、国有资本经营预算支出表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19、财政专户管理资金预算支出表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20、专项资金预算汇总表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21、项目支出绩效目标表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22、单位整体支出绩效目标表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23、一般公共预算基本支出表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color w:val="FF0000"/>
                <w:sz w:val="32"/>
              </w:rPr>
            </w:pPr>
            <w:r>
              <w:rPr>
                <w:rFonts w:hint="eastAsia" w:ascii="Dialog" w:hAnsi="Dialog"/>
                <w:color w:val="FF0000"/>
                <w:sz w:val="32"/>
              </w:rPr>
              <w:t>注：以上单位预算公开报表中，空表表示本单位无相关收支情况。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jc w:val="center"/>
              <w:rPr>
                <w:rFonts w:hint="eastAsia" w:ascii="Dialog" w:hAnsi="Dialog"/>
                <w:sz w:val="32"/>
              </w:rPr>
            </w:pPr>
            <w:r>
              <w:rPr>
                <w:rFonts w:hint="eastAsia" w:ascii="Dialog" w:hAnsi="Dialog"/>
                <w:sz w:val="32"/>
              </w:rPr>
              <w:t>第一部分  2023年单位预算说明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一、单位基本概况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（一）职能职责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国家统计局岳阳调查队主要工作职能是：（1）反映社情。主要是反映在岳阳市辖区内经济、社会发展基本情况，监测市场物价水平变化满足中央和地方国民经济核算，为地方GDP排名、城市综合竞争力排名、民政部门发放贫困补贴等提供重要依据，监测工业品价格、主要农产品价格及价格指数、固定资产投资价格、采购经理指数等反应地区经济社会发展形势和活力，监测房地产价格变化为政府针对房地产市场供给侧改革提供依据。（2）了解民情。通过抽样调查方式，在城、乡抽取样本居民户进行记账，反映城乡居民收入变化。其中农村住户收入调查业务根据国家统计局和省委省政府相关文件于2012年由地方统计局划归调查队负责，其全方位信息为各级党政机关了解民情服务。如城乡居民家庭人口、就业、住房、资产等基本情况、城乡居民收入、消费、劳动力就业与转移情况、贫困人口、贫困程度指数、农村社区基本情况、收入差距、基尼系数、城市发展、县域经济情况等，是小康社会建设达标重要指标。（3）把握商情。主要采用国际通行的抽样调查方法对地方经济运行情况进行描述，包括对工业、农业、建筑业、交通运输业、金融业、服务业等进行调查，为各级领导机关提供情报，并计算各种经济运行情况指数，为国家制定宏观经济政策提供依据。如主要农产品基本情况调查、居民消费倾向调查、限额以下批发零售贸易额、限额以下住宿和餐饮业基本情况及营业额、部分服务业基本情况及营业收入、企业集团、重点企业基本情况、产值及销售情况、规模以下工业企业产值及增加值等。（4）知晓民意。根据各级党政机关中心工作需要、社会经济运行热点焦点难点问题适时进行民意调查，向上级党政机关反映广大人民群众意向，及时向政府提出改进和发展建议，是政府领导部门了解情况作出决策的重要途径和依据。（5）专项监测。主要工作内容有：城乡居民小康社会建设、脱贫县农村住户监测调查、退耕还林监测、全省年度综合绩效考评民意调查、劳动力调查、文明城市测评、党风廉政建设测评、县域经济情况调查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（二）机构设置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国家统计局岳阳调查队成立于2007年12月26日，何宁担任党组书记、队长。岳阳调查队是经国务院批准设立、由国家统计局垂直管理的正处级政府统计调查机构。根据市编委核定，我队是独立编制机构，是独立核算机构。我单位现有地方编制数为9人，全部纳入2023年部门预算编制范围。内设7个科室，分别是办公室、综合与执法监督科、专项调查科、农业农村科、劳动力调查科、价格调查科、住户调查科。无所属事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二、单位预算单位构成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本单位预算仅含本级预算。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三、单位收支总体情况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本单位2023年没有政府性基金预算拨款、国有资本经营预算收入和纳入专户管理的非税收入拨款收入，也没有使用政府性基金预算拨款、国有资本经营预算收入和纳入专户管理的非税收入拨款安排的支出，所以公开的附件15、16、17、18、19表均为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（一）收入预算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2"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包括一般公共预算、政府性基金、国有资本经营预算等财政拨款收入，以及经营收入、事业收入等单位资金。2023年度本单位收入预算277.05万元，其中，一般公共预算拨款277.05万元，政府性基金预算资金0.00万元(所以公开的附件17为空)，国有资本经营预算资金0.00万元(所以公开的附件18为空)，财政专户管理资金0.00万元(所以公开的附件19为空)，上级补助收入资金0.00万元，事业单位经营收入资金0.00万元，上年结转结余0.00万元。(数据来源见表2)本单位2023年收入较去年增加</w:t>
            </w:r>
            <w:r>
              <w:rPr>
                <w:rFonts w:hint="eastAsia" w:ascii="宋体" w:hAnsi="宋体" w:eastAsia="宋体"/>
                <w:sz w:val="32"/>
                <w:lang w:val="en-US" w:eastAsia="zh-CN"/>
              </w:rPr>
              <w:t>8.3</w:t>
            </w:r>
            <w:r>
              <w:rPr>
                <w:rFonts w:hint="eastAsia" w:ascii="宋体" w:hAnsi="宋体" w:eastAsia="宋体"/>
                <w:sz w:val="32"/>
              </w:rPr>
              <w:t>万元，主要是因为</w:t>
            </w:r>
            <w:r>
              <w:rPr>
                <w:rFonts w:hint="eastAsia" w:ascii="宋体" w:hAnsi="宋体" w:eastAsia="宋体"/>
                <w:sz w:val="32"/>
                <w:lang w:val="en-US" w:eastAsia="zh-CN"/>
              </w:rPr>
              <w:t>统计抽样调查项目经费预算增加。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（二）支出预算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2023年本单位支出预算277.05万元，其中，201一般公共服务支出251.42万元，208社会保障和就业支出11.49万元，210卫生健康支出5.79万元，221住房保障支出8.34万元，支出较去年增加</w:t>
            </w:r>
            <w:r>
              <w:rPr>
                <w:rFonts w:hint="eastAsia" w:ascii="宋体" w:hAnsi="宋体" w:eastAsia="宋体"/>
                <w:sz w:val="32"/>
                <w:lang w:val="en-US" w:eastAsia="zh-CN"/>
              </w:rPr>
              <w:t>8.3</w:t>
            </w:r>
            <w:r>
              <w:rPr>
                <w:rFonts w:hint="eastAsia" w:ascii="宋体" w:hAnsi="宋体" w:eastAsia="宋体"/>
                <w:sz w:val="32"/>
              </w:rPr>
              <w:t>万元，主要是因为</w:t>
            </w:r>
            <w:r>
              <w:rPr>
                <w:rFonts w:hint="eastAsia" w:ascii="宋体" w:hAnsi="宋体" w:eastAsia="宋体"/>
                <w:sz w:val="32"/>
                <w:lang w:val="en-US" w:eastAsia="zh-CN"/>
              </w:rPr>
              <w:t>统计抽样调查项目经费支出增加。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四、一般公共预算拨款支出预算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2023年一般公共预算拨款支出预算277.05万元，其中，201一般公共服务支出251.42万元，占90.75%；208社会保障和就业支出11.49万元，占4.15%；210卫生健康支出5.79万元，占2.09%；221住房保障支出8.34万元，占3.01%；具体安排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一）基本支出：2023年基本支出年初预算数为106.45万元（数据来源见表23），是指为保障单位机构正常运转、完成日常工作任务而发生的各项支出，包括用于基本工资、津贴补贴等人员经费以及办公费、印刷费、水电费、差旅费等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2"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二）项目支出：2023年项目支出年初预算数为170.60万元（数据来源见表20），是指单位为完成特定行政工作任务或事业发展目标而发生的支出，包括有关业务工作经费、运行维护经费、其他事业发展资金等。其中：城乡住户调查专项支出62.60万元，主要用于</w:t>
            </w:r>
            <w:r>
              <w:rPr>
                <w:rFonts w:hint="eastAsia" w:ascii="宋体" w:hAnsi="宋体" w:eastAsia="宋体"/>
                <w:sz w:val="32"/>
                <w:lang w:val="en-US" w:eastAsia="zh-CN"/>
              </w:rPr>
              <w:t>城乡住户调查</w:t>
            </w:r>
            <w:r>
              <w:rPr>
                <w:rFonts w:hint="eastAsia" w:ascii="宋体" w:hAnsi="宋体" w:eastAsia="宋体"/>
                <w:sz w:val="32"/>
              </w:rPr>
              <w:t>方面,居民消费、低收入、房地产、工业品价格调查专项支出54.00万元，主要用于居民消费、低收入、房地产、工业品价格调查方面,粮食、畜禽、贫困监测调查专项支出36.00万元，主要用于粮食、畜禽、贫困监测调查方面,文明城市测评专项支出18.00万元，主要用于文明城市测评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五、政府性基金预算支出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2023年度本单位无政府性基金安排的支出，所以公开的附件15-17（政府性基金预算）为空。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六、其他重要事项的情况说明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（一）机关运行经费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1"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本单位2023年机关运行经费当年一般公共预算拨款15.67万元（数据来源见表12），比上一年增加0.99万元，增加6.74%。主要原因是</w:t>
            </w:r>
            <w:r>
              <w:rPr>
                <w:rFonts w:hint="eastAsia" w:ascii="宋体" w:hAnsi="宋体" w:eastAsia="宋体"/>
                <w:sz w:val="32"/>
                <w:lang w:val="en-US" w:eastAsia="zh-CN"/>
              </w:rPr>
              <w:t>人员</w:t>
            </w:r>
            <w:r>
              <w:rPr>
                <w:rFonts w:hint="eastAsia" w:ascii="宋体" w:hAnsi="宋体" w:eastAsia="宋体"/>
                <w:sz w:val="32"/>
              </w:rPr>
              <w:t>机关运行经费</w:t>
            </w:r>
            <w:r>
              <w:rPr>
                <w:rFonts w:hint="eastAsia" w:ascii="宋体" w:hAnsi="宋体" w:eastAsia="宋体"/>
                <w:sz w:val="32"/>
                <w:lang w:val="en-US" w:eastAsia="zh-CN"/>
              </w:rPr>
              <w:t>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（二）“三公”经费预算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lang w:eastAsia="zh-CN"/>
              </w:rPr>
            </w:pPr>
            <w:r>
              <w:rPr>
                <w:rFonts w:hint="eastAsia" w:ascii="宋体" w:hAnsi="宋体" w:eastAsia="宋体"/>
                <w:sz w:val="32"/>
              </w:rPr>
              <w:t xml:space="preserve">  本单位2023年“三公”经费预算数6.00万元（数据来源见表14），其中，公务接待费0.00万元，因公出国（境）费0.00万元，公务用车购置及运行费6.00万元（其中，公务用车购置费0.00万元，公务用车运行费6.00万元）。2023年三公经费预算较上年减少减少0.45万元，主要原因是公务接待费减少</w:t>
            </w:r>
            <w:r>
              <w:rPr>
                <w:rFonts w:hint="eastAsia" w:ascii="宋体" w:hAnsi="宋体"/>
                <w:sz w:val="32"/>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（三）一般性支出情况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rPr>
                <w:rFonts w:hint="eastAsia" w:ascii="宋体" w:hAnsi="宋体" w:eastAsia="宋体"/>
                <w:sz w:val="32"/>
                <w:lang w:eastAsia="zh-CN"/>
              </w:rPr>
            </w:pPr>
            <w:r>
              <w:rPr>
                <w:rFonts w:hint="eastAsia" w:ascii="宋体" w:hAnsi="宋体" w:eastAsia="宋体"/>
                <w:sz w:val="32"/>
              </w:rPr>
              <w:t xml:space="preserve">  2023年度本单位未计划安排会议、培训，未计划举办节庆、晚会、论坛、赛事活动</w:t>
            </w:r>
            <w:r>
              <w:rPr>
                <w:rFonts w:hint="eastAsia" w:ascii="宋体" w:hAnsi="宋体"/>
                <w:sz w:val="32"/>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（四）政府采购情况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firstLine="320" w:firstLineChars="100"/>
              <w:rPr>
                <w:rFonts w:hint="eastAsia" w:ascii="宋体" w:hAnsi="宋体" w:eastAsia="宋体"/>
                <w:sz w:val="32"/>
              </w:rPr>
            </w:pPr>
            <w:r>
              <w:rPr>
                <w:rFonts w:hint="eastAsia" w:ascii="宋体" w:hAnsi="宋体" w:eastAsia="宋体"/>
                <w:sz w:val="32"/>
              </w:rPr>
              <w:t>202</w:t>
            </w:r>
            <w:r>
              <w:rPr>
                <w:rFonts w:hint="eastAsia" w:ascii="宋体" w:hAnsi="宋体" w:eastAsia="宋体"/>
                <w:sz w:val="32"/>
                <w:lang w:val="en-US" w:eastAsia="zh-CN"/>
              </w:rPr>
              <w:t>3</w:t>
            </w:r>
            <w:r>
              <w:rPr>
                <w:rFonts w:hint="eastAsia" w:ascii="宋体" w:hAnsi="宋体" w:eastAsia="宋体"/>
                <w:sz w:val="32"/>
              </w:rPr>
              <w:t>年度本单位未安排政府采购预算。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（五）国有资产占有使用及新增资产配置情况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0"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firstLine="320" w:firstLineChars="100"/>
              <w:rPr>
                <w:rFonts w:hint="eastAsia" w:ascii="宋体" w:hAnsi="宋体" w:eastAsia="宋体"/>
                <w:sz w:val="32"/>
              </w:rPr>
            </w:pPr>
            <w:r>
              <w:rPr>
                <w:rFonts w:hint="eastAsia" w:ascii="宋体" w:hAnsi="宋体" w:eastAsia="宋体"/>
                <w:sz w:val="32"/>
              </w:rPr>
              <w:t>截至上年底，本单位共有车辆2辆，其中领导干部用车0辆，一般公务用车0辆，其他用车1辆，粮食测产的特种技术专用车1辆。单位价值50万元以上通用设备0台，单位价值100万元以上专用设备0台。</w:t>
            </w:r>
          </w:p>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2023年拟报废处置公务用车1辆，拟新增配置车辆0辆，其中领导干部用车0辆，一般公务用车0辆，其他用车</w:t>
            </w:r>
            <w:r>
              <w:rPr>
                <w:rFonts w:hint="eastAsia" w:ascii="宋体" w:hAnsi="宋体"/>
                <w:sz w:val="32"/>
                <w:lang w:val="en-US" w:eastAsia="zh-CN"/>
              </w:rPr>
              <w:t>1</w:t>
            </w:r>
            <w:r>
              <w:rPr>
                <w:rFonts w:hint="eastAsia" w:ascii="宋体" w:hAnsi="宋体" w:eastAsia="宋体"/>
                <w:sz w:val="32"/>
              </w:rPr>
              <w:t>辆。报废处置单位价值50万元以上通用设备0台，报废处置单位价值100万元以上通用设备0台。拟新增配置车辆0辆，其中领导干部用车0辆，一般公务用车0辆，其他用车0辆。</w:t>
            </w:r>
          </w:p>
          <w:p>
            <w:pPr>
              <w:spacing w:beforeLines="0" w:afterLines="0" w:line="375" w:lineRule="exact"/>
              <w:ind w:left="20"/>
              <w:rPr>
                <w:rFonts w:hint="eastAsia" w:ascii="宋体" w:hAnsi="宋体" w:eastAsia="宋体"/>
                <w:sz w:val="32"/>
              </w:rPr>
            </w:pPr>
            <w:r>
              <w:rPr>
                <w:rFonts w:hint="eastAsia" w:ascii="宋体" w:hAnsi="宋体" w:eastAsia="宋体"/>
                <w:sz w:val="32"/>
              </w:rPr>
              <w:t>2023年度本单位未计划新增车辆、设备等。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（六）预算绩效目标说明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1"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本单位所有支出实行绩效目标管理。纳入2023年单位整体支出绩效目标的金额为277.05万元，其中，基本支出106.45万元，项目支出170.60万元，详见文尾附表中单</w:t>
            </w:r>
            <w:bookmarkStart w:id="0" w:name="_GoBack"/>
            <w:bookmarkEnd w:id="0"/>
            <w:r>
              <w:rPr>
                <w:rFonts w:hint="eastAsia" w:ascii="宋体" w:hAnsi="宋体" w:eastAsia="宋体"/>
                <w:sz w:val="32"/>
              </w:rPr>
              <w:t>位预算公开表格的表21-22。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Dialog" w:hAnsi="Dialog"/>
                <w:sz w:val="32"/>
              </w:rPr>
            </w:pPr>
            <w:r>
              <w:rPr>
                <w:rFonts w:hint="eastAsia" w:ascii="Dialog" w:hAnsi="Dialog"/>
                <w:sz w:val="32"/>
              </w:rPr>
              <w:t xml:space="preserve">  七、名词解释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5"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1、机关运行经费：是指各单位的公用经费，包括办公及印刷费、邮电费、差旅费、会议费、福利费、日常维修费、专用资料及一般设备购置费、办公用房水电费、办公用房取暖费、办公用房物业管理费、公务用车运行维护费以及其他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5"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jc w:val="center"/>
              <w:rPr>
                <w:rFonts w:hint="eastAsia" w:ascii="Dialog" w:hAnsi="Dialog"/>
                <w:sz w:val="32"/>
              </w:rPr>
            </w:pPr>
            <w:r>
              <w:rPr>
                <w:rFonts w:hint="eastAsia" w:ascii="Dialog" w:hAnsi="Dialog"/>
                <w:sz w:val="32"/>
              </w:rPr>
              <w:t>第二部分  2023年单位预算公开表格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2、收入总表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3、支出总表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4、支出预算分类汇总表（按政府预算经济分类）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5、支出预算分类汇总表（按部门预算经济分类）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6、财政拨款收支总表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7、一般公共预算支出表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8、一般公共预算基本支出表-人员经费（工资福利支出）（按政府预算经济分类）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9、一般公共预算基本支出表-人员经费（工资福利支出）（按部门预算经济分类）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10、一般公共预算基本支出表-人员经费（对个人和家庭的补助）（按政府预算经济分类）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11、一般公共预算基本支出表-人员经费（对个人和家庭的补助）（按部门预算经济分类）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12、一般公共预算基本支出表-公用经费（商品和服务支出）（按政府预算经济分类）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13、一般公共预算基本支出表-公用经费（商品和服务支出）（按部门预算经济分类）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14、一般公共预算“三公”经费支出表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15、政府性基金预算支出表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16、政府性基金预算支出分类汇总表（按政府预算经济分类）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17、政府性基金预算支出分类汇总表（按部门预算经济分类）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18、国有资本经营预算支出表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19、财政专户管理资金预算支出表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20、专项资金预算汇总表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21、项目支出绩效目标表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22、单位整体支出绩效目标表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sz w:val="32"/>
              </w:rPr>
            </w:pPr>
            <w:r>
              <w:rPr>
                <w:rFonts w:hint="eastAsia" w:ascii="宋体" w:hAnsi="宋体" w:eastAsia="宋体"/>
                <w:sz w:val="32"/>
              </w:rPr>
              <w:t>23、一般公共预算基本支出表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375" w:lineRule="exact"/>
              <w:ind w:left="20"/>
              <w:rPr>
                <w:rFonts w:hint="eastAsia" w:ascii="宋体" w:hAnsi="宋体" w:eastAsia="宋体"/>
                <w:color w:val="FF0000"/>
                <w:sz w:val="32"/>
              </w:rPr>
            </w:pPr>
            <w:r>
              <w:rPr>
                <w:rFonts w:hint="eastAsia" w:ascii="宋体" w:hAnsi="宋体" w:eastAsia="宋体"/>
                <w:b/>
                <w:color w:val="FF0000"/>
                <w:sz w:val="32"/>
              </w:rPr>
              <w:t>注：以上单位预算公开报表中，空表表示本单位无相关收支情况。</w:t>
            </w:r>
          </w:p>
        </w:tc>
      </w:tr>
    </w:tbl>
    <w:p/>
    <w:sectPr>
      <w:pgSz w:w="18708" w:h="15840"/>
      <w:pgMar w:top="388" w:right="1080" w:bottom="388" w:left="108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roman"/>
    <w:pitch w:val="default"/>
    <w:sig w:usb0="80000287" w:usb1="280F3C52" w:usb2="00000016" w:usb3="00000000" w:csb0="0004001F" w:csb1="00000000"/>
  </w:font>
  <w:font w:name="Dialog">
    <w:altName w:val="Times New Roman"/>
    <w:panose1 w:val="00000000000000000000"/>
    <w:charset w:val="86"/>
    <w:family w:val="roma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3Y2RmMWQ1ZWY2MmY1Y2M3ODA5ZWVlMjlkYzFmZDkifQ=="/>
  </w:docVars>
  <w:rsids>
    <w:rsidRoot w:val="00172A27"/>
    <w:rsid w:val="1D8278D6"/>
    <w:rsid w:val="49F21958"/>
    <w:rsid w:val="787C49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semiHidden="0" w:name="Normal"/>
    <w:lsdException w:uiPriority="99" w:semiHidden="0" w:name="heading 1"/>
    <w:lsdException w:uiPriority="99" w:semiHidden="0" w:name="heading 2"/>
    <w:lsdException w:uiPriority="99"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99"/>
    <w:pPr>
      <w:widowControl w:val="0"/>
      <w:autoSpaceDE w:val="0"/>
      <w:autoSpaceDN w:val="0"/>
      <w:adjustRightInd w:val="0"/>
      <w:spacing w:beforeLines="0" w:afterLines="0"/>
    </w:pPr>
    <w:rPr>
      <w:rFonts w:hint="default" w:ascii="Arial" w:hAnsi="Arial" w:eastAsia="宋体" w:cs="Times New Roman"/>
      <w:color w:val="000000"/>
      <w:sz w:val="24"/>
    </w:rPr>
  </w:style>
  <w:style w:type="paragraph" w:styleId="2">
    <w:name w:val="heading 1"/>
    <w:unhideWhenUsed/>
    <w:uiPriority w:val="99"/>
    <w:pPr>
      <w:widowControl w:val="0"/>
      <w:autoSpaceDE w:val="0"/>
      <w:autoSpaceDN w:val="0"/>
      <w:adjustRightInd w:val="0"/>
      <w:spacing w:beforeLines="0" w:afterLines="0"/>
    </w:pPr>
    <w:rPr>
      <w:rFonts w:hint="default" w:ascii="Arial" w:hAnsi="Arial" w:eastAsia="宋体" w:cs="Times New Roman"/>
      <w:b/>
      <w:color w:val="000000"/>
      <w:sz w:val="32"/>
    </w:rPr>
  </w:style>
  <w:style w:type="paragraph" w:styleId="3">
    <w:name w:val="heading 2"/>
    <w:unhideWhenUsed/>
    <w:uiPriority w:val="99"/>
    <w:pPr>
      <w:widowControl w:val="0"/>
      <w:autoSpaceDE w:val="0"/>
      <w:autoSpaceDN w:val="0"/>
      <w:adjustRightInd w:val="0"/>
      <w:spacing w:beforeLines="0" w:afterLines="0"/>
    </w:pPr>
    <w:rPr>
      <w:rFonts w:hint="default" w:ascii="Arial" w:hAnsi="Arial" w:eastAsia="宋体" w:cs="Times New Roman"/>
      <w:b/>
      <w:i/>
      <w:color w:val="000000"/>
      <w:sz w:val="28"/>
    </w:rPr>
  </w:style>
  <w:style w:type="paragraph" w:styleId="4">
    <w:name w:val="heading 3"/>
    <w:unhideWhenUsed/>
    <w:uiPriority w:val="99"/>
    <w:pPr>
      <w:widowControl w:val="0"/>
      <w:autoSpaceDE w:val="0"/>
      <w:autoSpaceDN w:val="0"/>
      <w:adjustRightInd w:val="0"/>
      <w:spacing w:beforeLines="0" w:afterLines="0"/>
    </w:pPr>
    <w:rPr>
      <w:rFonts w:hint="default" w:ascii="Arial" w:hAnsi="Arial" w:eastAsia="宋体" w:cs="Times New Roman"/>
      <w:b/>
      <w:color w:val="000000"/>
      <w:sz w:val="26"/>
    </w:rPr>
  </w:style>
  <w:style w:type="character" w:default="1" w:styleId="6">
    <w:name w:val="Default Paragraph Font"/>
    <w:semiHidden/>
    <w:unhideWhenUsed/>
    <w:uiPriority w:val="99"/>
  </w:style>
  <w:style w:type="table" w:default="1" w:styleId="5">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2024-04-02T09:18:00Z</dcterms:created>
  <dc:creator>Administrator</dc:creator>
  <cp:lastModifiedBy>已胡同志</cp:lastModifiedBy>
  <dcterms:modified xsi:type="dcterms:W3CDTF">2024-04-10T07:28:19Z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92E8BDAAEBBF45889776730840C7CB7B_12</vt:lpwstr>
  </property>
</Properties>
</file>