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"/>
        </w:rPr>
      </w:pPr>
    </w:p>
    <w:tbl>
      <w:tblPr>
        <w:tblStyle w:val="6"/>
        <w:tblW w:w="15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1110" w:lineRule="exact"/>
              <w:ind w:left="20"/>
              <w:jc w:val="center"/>
              <w:rPr>
                <w:rFonts w:hint="eastAsia" w:ascii="微软雅黑" w:hAnsi="微软雅黑" w:eastAsia="微软雅黑"/>
                <w:b/>
                <w:sz w:val="84"/>
              </w:rPr>
            </w:pPr>
            <w:r>
              <w:rPr>
                <w:rFonts w:hint="eastAsia" w:ascii="微软雅黑" w:hAnsi="微软雅黑" w:eastAsia="微软雅黑"/>
                <w:b/>
                <w:sz w:val="84"/>
              </w:rPr>
              <w:t>岳阳市洞庭湖大桥养护中心2023年度</w:t>
            </w:r>
          </w:p>
          <w:p>
            <w:pPr>
              <w:spacing w:beforeLines="0" w:afterLines="0" w:line="1110" w:lineRule="exact"/>
              <w:ind w:left="20"/>
              <w:jc w:val="center"/>
              <w:rPr>
                <w:rFonts w:hint="eastAsia" w:ascii="微软雅黑" w:hAnsi="微软雅黑" w:eastAsia="微软雅黑"/>
                <w:sz w:val="84"/>
              </w:rPr>
            </w:pPr>
            <w:r>
              <w:rPr>
                <w:rFonts w:hint="eastAsia" w:ascii="微软雅黑" w:hAnsi="微软雅黑" w:eastAsia="微软雅黑"/>
                <w:b/>
                <w:sz w:val="84"/>
              </w:rPr>
              <w:t>单位预算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525" w:lineRule="exact"/>
              <w:ind w:left="20"/>
              <w:jc w:val="center"/>
              <w:rPr>
                <w:rFonts w:hint="eastAsia" w:ascii="Dialog" w:hAnsi="Dialog"/>
                <w:sz w:val="44"/>
              </w:rPr>
            </w:pPr>
            <w:r>
              <w:rPr>
                <w:rFonts w:hint="eastAsia" w:ascii="Dialog" w:hAnsi="Dialog"/>
                <w:sz w:val="44"/>
              </w:rPr>
              <w:t>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第一部分  2023年单位预算说明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第二部分  2023年单位预算公开表格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22、单位整体支出绩效目标表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color w:val="FF0000"/>
                <w:sz w:val="32"/>
              </w:rPr>
            </w:pPr>
            <w:r>
              <w:rPr>
                <w:rFonts w:hint="eastAsia" w:ascii="Dialog" w:hAnsi="Dialog"/>
                <w:color w:val="FF0000"/>
                <w:sz w:val="32"/>
              </w:rPr>
              <w:t>注：以上单位预算公开报表中，空表表示本单位无相关收支情况。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jc w:val="center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第一部分  2023年单位预算说明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一、单位基本概况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（一）职能职责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afterAutospacing="0" w:line="240" w:lineRule="auto"/>
              <w:ind w:left="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</w:t>
            </w:r>
            <w:r>
              <w:rPr>
                <w:rFonts w:hint="eastAsia" w:ascii="宋体" w:hAnsi="宋体" w:eastAsia="宋体"/>
                <w:sz w:val="32"/>
                <w:szCs w:val="22"/>
              </w:rPr>
              <w:t>1、负责桥梁结构安全，桥面运营安全；负责组织桥梁经常性、定期特殊检测；负责大桥及附属设施设备的</w:t>
            </w:r>
          </w:p>
          <w:p>
            <w:pPr>
              <w:spacing w:beforeLines="0" w:beforeAutospacing="0" w:afterLines="0" w:line="240" w:lineRule="auto"/>
              <w:ind w:left="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  <w:szCs w:val="22"/>
              </w:rPr>
              <w:t>日常养护和维修，桥梁大中修、新建、改建工程的组织实施；负责大桥区域卫生保洁及美化亮化。</w:t>
            </w:r>
          </w:p>
          <w:p>
            <w:pPr>
              <w:spacing w:beforeLines="0" w:afterLines="0" w:afterAutospacing="0" w:line="240" w:lineRule="auto"/>
              <w:ind w:left="0" w:firstLine="320" w:firstLineChars="100"/>
              <w:rPr>
                <w:rFonts w:hint="eastAsia" w:ascii="宋体" w:hAnsi="宋体" w:eastAsia="宋体"/>
                <w:sz w:val="32"/>
                <w:szCs w:val="22"/>
              </w:rPr>
            </w:pPr>
            <w:r>
              <w:rPr>
                <w:rFonts w:hint="eastAsia" w:ascii="宋体" w:hAnsi="宋体" w:eastAsia="宋体"/>
                <w:sz w:val="32"/>
                <w:szCs w:val="22"/>
              </w:rPr>
              <w:t>2、负责大桥区域内监控及信息报送。</w:t>
            </w:r>
          </w:p>
          <w:p>
            <w:pPr>
              <w:spacing w:beforeLines="0" w:afterLines="0" w:line="240" w:lineRule="auto"/>
              <w:ind w:left="0" w:firstLine="320" w:firstLineChars="10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  <w:szCs w:val="22"/>
              </w:rPr>
              <w:t>3、负责大桥安全巡查、应急处理。</w:t>
            </w:r>
          </w:p>
          <w:p>
            <w:pPr>
              <w:spacing w:beforeLines="0" w:afterLines="0" w:afterAutospacing="0" w:line="240" w:lineRule="auto"/>
              <w:ind w:left="0" w:firstLine="320" w:firstLineChars="10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  <w:szCs w:val="22"/>
              </w:rPr>
              <w:t>4、承办市交通运输局交办的其他事项。</w:t>
            </w:r>
          </w:p>
          <w:p>
            <w:pPr>
              <w:spacing w:beforeLines="0" w:afterLines="0" w:line="240" w:lineRule="auto"/>
              <w:ind w:left="0"/>
              <w:rPr>
                <w:rFonts w:hint="eastAsia" w:ascii="宋体" w:hAnsi="宋体" w:eastAsia="宋体"/>
                <w:sz w:val="32"/>
              </w:rPr>
            </w:pPr>
          </w:p>
          <w:p>
            <w:pPr>
              <w:spacing w:beforeLines="0" w:afterLines="0" w:line="240" w:lineRule="auto"/>
              <w:ind w:left="0"/>
              <w:rPr>
                <w:rFonts w:hint="eastAsia" w:ascii="宋体" w:hAnsi="宋体" w:eastAsia="宋体"/>
                <w:sz w:val="32"/>
              </w:rPr>
            </w:pPr>
          </w:p>
          <w:p>
            <w:pPr>
              <w:spacing w:beforeLines="0" w:afterLines="0" w:line="240" w:lineRule="auto"/>
              <w:ind w:left="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（二）机构设置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afterAutospacing="0" w:line="240" w:lineRule="auto"/>
              <w:rPr>
                <w:rFonts w:hint="eastAsia" w:ascii="宋体" w:hAnsi="宋体" w:eastAsia="宋体"/>
                <w:sz w:val="32"/>
                <w:szCs w:val="22"/>
              </w:rPr>
            </w:pPr>
            <w:r>
              <w:rPr>
                <w:rFonts w:hint="eastAsia" w:ascii="宋体" w:hAnsi="宋体" w:eastAsia="宋体"/>
                <w:sz w:val="32"/>
                <w:szCs w:val="22"/>
              </w:rPr>
              <w:t xml:space="preserve">  根据编委核定，大桥养护中心设置7个部室及2个分支机构，其中：7个部室为综合部、财务部、工程技术部</w:t>
            </w:r>
            <w:r>
              <w:rPr>
                <w:rFonts w:hint="eastAsia" w:ascii="宋体" w:hAnsi="宋体"/>
                <w:sz w:val="32"/>
                <w:szCs w:val="22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32"/>
                <w:szCs w:val="22"/>
              </w:rPr>
              <w:t>安全生产部、人事部、应急部、维护养护部；2个分支机构为维护站、桥梁健康监测中心。</w:t>
            </w:r>
          </w:p>
          <w:p>
            <w:pPr>
              <w:spacing w:beforeLines="0" w:afterLines="0" w:afterAutospacing="0" w:line="240" w:lineRule="auto"/>
              <w:rPr>
                <w:rFonts w:hint="eastAsia" w:ascii="宋体" w:hAnsi="宋体" w:eastAsia="宋体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二、单位预算单位构成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本单位预算仅含本级预算。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三、单位收支总体情况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2023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（一）收入预算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包括一般公共预算、政府性基金、国有资本经营预算等财政拨款收入，以及经营收入、事业收入等单位资金。2023年度年本单位收入预算1377.40万元，其中，一般公共预算拨款1377.40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单位2023年收入较去年减少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247.67</w:t>
            </w:r>
            <w:r>
              <w:rPr>
                <w:rFonts w:hint="eastAsia" w:ascii="宋体" w:hAnsi="宋体" w:eastAsia="宋体"/>
                <w:sz w:val="32"/>
              </w:rPr>
              <w:t>万元，主要是因为单位改革，人员划转，基本支出减少</w:t>
            </w:r>
            <w:r>
              <w:rPr>
                <w:rFonts w:hint="eastAsia" w:ascii="宋体" w:hAnsi="宋体"/>
                <w:sz w:val="3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（二）支出预算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2023年本单位支出预算1377.40万元，其中，208社会保障和就业支出93.13万元，210卫生健康支出41.23万元，214交通运输支出1166.79万元，221住房保障支出76.24万元，支出较去年减少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247.67</w:t>
            </w:r>
            <w:r>
              <w:rPr>
                <w:rFonts w:hint="eastAsia" w:ascii="宋体" w:hAnsi="宋体" w:eastAsia="宋体"/>
                <w:sz w:val="32"/>
              </w:rPr>
              <w:t>万元，主要是因为</w:t>
            </w:r>
            <w:r>
              <w:rPr>
                <w:rFonts w:hint="eastAsia" w:ascii="宋体" w:hAnsi="宋体" w:eastAsia="宋体"/>
                <w:sz w:val="32"/>
                <w:lang w:eastAsia="zh-CN"/>
              </w:rPr>
              <w:t>单位改革，人员划转，基本支出减少。</w:t>
            </w:r>
          </w:p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四、一般公共预算拨款支出预算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2023年一般公共预算拨款支出预算1377.40万元，其中，208社会保障和就业支出93.13万元，占6.76%；210卫生健康支出41.23万元，占2.99%；214交通运输支出1166.79万元，占84.71%；221住房保障支出76.24万元，占5.54%；具体安排情况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一）基本支出：2023年基本支出年初预算数为1140.42万元（数据来源见表23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（二）项目支出：2023年项目支出年初预算数为236.98万元（数据来源见表20），是指单位为完成特定行政工作任务或事业发展目标而发生的支出，包括有关业务工作经费、运行维护经费、其他事业发展资金等。其中：大桥安全应急运维专项支出10.00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大桥应急抢救</w:t>
            </w:r>
            <w:r>
              <w:rPr>
                <w:rFonts w:hint="eastAsia" w:ascii="宋体" w:hAnsi="宋体" w:eastAsia="宋体"/>
                <w:sz w:val="32"/>
              </w:rPr>
              <w:t>方面,大桥保险专项支出32.00万元，主要用于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签订大桥保险合同</w:t>
            </w:r>
            <w:r>
              <w:rPr>
                <w:rFonts w:hint="eastAsia" w:ascii="宋体" w:hAnsi="宋体" w:eastAsia="宋体"/>
                <w:sz w:val="32"/>
              </w:rPr>
              <w:t>方面,大桥电费专项支出120.00万元，主要用于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大桥路灯和景观灯</w:t>
            </w:r>
            <w:r>
              <w:rPr>
                <w:rFonts w:hint="eastAsia" w:ascii="宋体" w:hAnsi="宋体" w:eastAsia="宋体"/>
                <w:sz w:val="32"/>
              </w:rPr>
              <w:t>方面,大桥防雷专项支出3.00万元，主要用于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大桥防雷</w:t>
            </w:r>
            <w:r>
              <w:rPr>
                <w:rFonts w:hint="eastAsia" w:ascii="宋体" w:hAnsi="宋体" w:eastAsia="宋体"/>
                <w:sz w:val="32"/>
              </w:rPr>
              <w:t>方面,大桥日常养护费专项支出58.00万元，主要用于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桥梁日常养护</w:t>
            </w:r>
            <w:r>
              <w:rPr>
                <w:rFonts w:hint="eastAsia" w:ascii="宋体" w:hAnsi="宋体" w:eastAsia="宋体"/>
                <w:sz w:val="32"/>
              </w:rPr>
              <w:t>方面,非税执收成本专项支出13.98万元，主要用于</w:t>
            </w:r>
            <w:r>
              <w:rPr>
                <w:rFonts w:hint="eastAsia" w:ascii="宋体" w:hAnsi="宋体"/>
                <w:sz w:val="32"/>
                <w:lang w:eastAsia="zh-CN"/>
              </w:rPr>
              <w:t>桥梁养护</w:t>
            </w:r>
            <w:r>
              <w:rPr>
                <w:rFonts w:hint="eastAsia" w:ascii="宋体" w:hAnsi="宋体" w:eastAsia="宋体"/>
                <w:sz w:val="32"/>
              </w:rPr>
              <w:t>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五、政府性基金预算支出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2023年度本单位无政府性基金安排的支出，所以公开的附件15-17（政府性基金预算）为空。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六、其他重要事项的情况说明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（一）机关运行经费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本单位2023年机关运行经费当年一般公共预算拨款121.71万元（数据来源见表12），比上一年增加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16.75</w:t>
            </w:r>
            <w:r>
              <w:rPr>
                <w:rFonts w:hint="eastAsia" w:ascii="宋体" w:hAnsi="宋体" w:eastAsia="宋体"/>
                <w:sz w:val="32"/>
              </w:rPr>
              <w:t>万元，增加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15.96</w:t>
            </w:r>
            <w:r>
              <w:rPr>
                <w:rFonts w:hint="eastAsia" w:ascii="宋体" w:hAnsi="宋体" w:eastAsia="宋体"/>
                <w:sz w:val="32"/>
              </w:rPr>
              <w:t>%。主要原因是</w:t>
            </w:r>
            <w:r>
              <w:rPr>
                <w:rFonts w:hint="eastAsia" w:ascii="宋体" w:hAnsi="宋体"/>
                <w:sz w:val="32"/>
                <w:lang w:eastAsia="zh-CN"/>
              </w:rPr>
              <w:t>桥梁日常养护和电费增加。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（二）“三公”经费预算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2023年“三公”经费预算数16.00万元（数据来源见表14），其中，公务接待费1.00万元，因公出国（境）费0.00万元，公务用车购置及运行费15.00万元（其中，公务用车购置费0.00万元，公务用车运行费15.00万元）。2023年三公经费预算较上年增加/减少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万元，主要原因是</w:t>
            </w:r>
            <w:r>
              <w:rPr>
                <w:rFonts w:hint="eastAsia" w:ascii="宋体" w:hAnsi="宋体"/>
                <w:sz w:val="32"/>
                <w:lang w:eastAsia="zh-CN"/>
              </w:rPr>
              <w:t>公务接待与去年持平，公务车辆没有变化。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（三）一般性支出情况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本单位2023年会议费预算0.00万元（数据来源见表13会议费、培训费），拟召开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次会议，人数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人；培训费预算3.20万元，拟开展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32"/>
              </w:rPr>
              <w:t>次培训，人数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67</w:t>
            </w:r>
            <w:r>
              <w:rPr>
                <w:rFonts w:hint="eastAsia" w:ascii="宋体" w:hAnsi="宋体" w:eastAsia="宋体"/>
                <w:sz w:val="32"/>
              </w:rPr>
              <w:t>人，内容为</w:t>
            </w:r>
            <w:r>
              <w:rPr>
                <w:rFonts w:hint="eastAsia" w:ascii="宋体" w:hAnsi="宋体"/>
                <w:sz w:val="32"/>
                <w:lang w:eastAsia="zh-CN"/>
              </w:rPr>
              <w:t>安全演练培训、党员教育培训和桥梁养护技术培训</w:t>
            </w:r>
            <w:r>
              <w:rPr>
                <w:rFonts w:hint="eastAsia" w:ascii="宋体" w:hAnsi="宋体" w:eastAsia="宋体"/>
                <w:sz w:val="32"/>
              </w:rPr>
              <w:t>；计划举办节庆、晚会、论坛、赛事活动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（四）政府采购情况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本单位2023年政府采购预算总额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266.5</w:t>
            </w:r>
            <w:r>
              <w:rPr>
                <w:rFonts w:hint="eastAsia" w:ascii="宋体" w:hAnsi="宋体" w:eastAsia="宋体"/>
                <w:sz w:val="32"/>
              </w:rPr>
              <w:t>万元，其中工程类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125.48</w:t>
            </w:r>
            <w:r>
              <w:rPr>
                <w:rFonts w:hint="eastAsia" w:ascii="宋体" w:hAnsi="宋体" w:eastAsia="宋体"/>
                <w:sz w:val="32"/>
              </w:rPr>
              <w:t>万元，货物类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15.3</w:t>
            </w:r>
            <w:r>
              <w:rPr>
                <w:rFonts w:hint="eastAsia" w:ascii="宋体" w:hAnsi="宋体" w:eastAsia="宋体"/>
                <w:sz w:val="32"/>
              </w:rPr>
              <w:t>万元，服务类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125.72</w:t>
            </w:r>
            <w:r>
              <w:rPr>
                <w:rFonts w:hint="eastAsia" w:ascii="宋体" w:hAnsi="宋体" w:eastAsia="宋体"/>
                <w:sz w:val="32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（五）国有资产占有使用及新增资产配置情况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截至上年底，本单位共有车辆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32"/>
              </w:rPr>
              <w:t>辆，其中领导干部用车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32"/>
              </w:rPr>
              <w:t>辆。单位价值50万元以上通用设备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台，单位价值100万元以上专用设备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32"/>
              </w:rPr>
              <w:t xml:space="preserve">台。 </w:t>
            </w:r>
          </w:p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2023年拟报废处置车辆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辆，其中：报废处置领导干部用车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辆，报废处置单位价值50万元以上通用设备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台，报废处置单位价值100万元以上通用设备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台。拟新增配置车辆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辆，其中领导干部用车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辆，一般公务用车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辆，其他用车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32"/>
              </w:rPr>
              <w:t>辆。</w:t>
            </w:r>
          </w:p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2023年度本单位未计划处置或新增车辆、设备等。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（六）预算绩效目标说明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  本单位所有支出实行绩效目标管理。纳入2023年单位整体支出绩效目标的金额为1377.40万元，其中，基本支出1140.42万元，项目支出236.98万元，详见文尾附表中单位预算公开表格的表21-22。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 xml:space="preserve">  七、名词解释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53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jc w:val="center"/>
              <w:rPr>
                <w:rFonts w:hint="eastAsia" w:ascii="Dialog" w:hAnsi="Dialog"/>
                <w:sz w:val="32"/>
              </w:rPr>
            </w:pPr>
            <w:r>
              <w:rPr>
                <w:rFonts w:hint="eastAsia" w:ascii="Dialog" w:hAnsi="Dialog"/>
                <w:sz w:val="32"/>
              </w:rPr>
              <w:t>第二部分  2023年单位预算公开表格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1、收支总表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2、收入总表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3、支出总表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4、支出预算分类汇总表（按政府预算经济分类）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5、支出预算分类汇总表（按部门预算经济分类）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6、财政拨款收支总表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7、一般公共预算支出表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8、一般公共预算基本支出表-人员经费（工资福利支出）（按政府预算经济分类）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9、一般公共预算基本支出表-人员经费（工资福利支出）（按部门预算经济分类）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10、一般公共预算基本支出表-人员经费（对个人和家庭的补助）（按政府预算经济分类）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11、一般公共预算基本支出表-人员经费（对个人和家庭的补助）（按部门预算经济分类）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12、一般公共预算基本支出表-公用经费（商品和服务支出）（按政府预算经济分类）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13、一般公共预算基本支出表-公用经费（商品和服务支出）（按部门预算经济分类）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14、一般公共预算“三公”经费支出表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15、政府性基金预算支出表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16、政府性基金预算支出分类汇总表（按政府预算经济分类）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17、政府性基金预算支出分类汇总表（按部门预算经济分类）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18、国有资本经营预算支出表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19、财政专户管理资金预算支出表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20、专项资金预算汇总表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21、项目支出绩效目标表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22、单位整体支出绩效目标表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23、一般公共预算基本支出表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3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eastAsia" w:ascii="宋体" w:hAnsi="宋体" w:eastAsia="宋体"/>
                <w:color w:val="FF0000"/>
                <w:sz w:val="32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</w:rPr>
              <w:t>注：以上单位预算公开报表中，空表表示本单位无相关收支情况。</w:t>
            </w:r>
          </w:p>
        </w:tc>
      </w:tr>
    </w:tbl>
    <w:p/>
    <w:sectPr>
      <w:pgSz w:w="18708" w:h="15840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6518F"/>
    <w:rsid w:val="07887094"/>
    <w:rsid w:val="0EC9302C"/>
    <w:rsid w:val="1CA20876"/>
    <w:rsid w:val="1F8C2DA6"/>
    <w:rsid w:val="31886935"/>
    <w:rsid w:val="34EF6973"/>
    <w:rsid w:val="373B6DCF"/>
    <w:rsid w:val="43A63A27"/>
    <w:rsid w:val="5C2403E6"/>
    <w:rsid w:val="5C676D1F"/>
    <w:rsid w:val="5D0017E4"/>
    <w:rsid w:val="5D333F6B"/>
    <w:rsid w:val="65FC719D"/>
    <w:rsid w:val="6CF945CF"/>
    <w:rsid w:val="73D17E8A"/>
    <w:rsid w:val="746F46E7"/>
    <w:rsid w:val="75DA005B"/>
    <w:rsid w:val="7E7C6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3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4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5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semiHidden/>
    <w:unhideWhenUsed/>
    <w:uiPriority w:val="99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2024-03-19T06:28:00Z</dcterms:created>
  <dc:creator>Administrator</dc:creator>
  <cp:lastModifiedBy>Administrator</cp:lastModifiedBy>
  <dcterms:modified xsi:type="dcterms:W3CDTF">2024-03-25T02:42:28Z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0B4162CFE86F4622A2438F11703709DB</vt:lpwstr>
  </property>
</Properties>
</file>