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5000" w:type="pc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岳阳市人民政府办公室2022年度部门预算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  2022年部门预算说明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  2022年部门预算公开表格</w:t>
            </w:r>
          </w:p>
        </w:tc>
      </w:tr>
      <w:tr>
        <w:tblPrEx>
          <w:tblCellMar>
            <w:top w:w="0" w:type="dxa"/>
            <w:left w:w="108" w:type="dxa"/>
            <w:bottom w:w="0" w:type="dxa"/>
            <w:right w:w="108" w:type="dxa"/>
          </w:tblCellMar>
        </w:tblPrEx>
        <w:trPr>
          <w:trHeight w:val="4519" w:hRule="atLeast"/>
        </w:trPr>
        <w:tc>
          <w:tcPr>
            <w:tcW w:w="5000" w:type="pct"/>
            <w:vMerge w:val="restart"/>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widowControl/>
              <w:jc w:val="left"/>
              <w:rPr>
                <w:rFonts w:ascii="仿宋_GB2312" w:hAnsi="宋体" w:eastAsia="仿宋_GB2312" w:cs="宋体"/>
                <w:color w:val="000000"/>
                <w:kern w:val="0"/>
                <w:sz w:val="28"/>
                <w:szCs w:val="28"/>
              </w:rPr>
            </w:pPr>
            <w:r>
              <w:rPr>
                <w:rFonts w:ascii="仿宋_GB2312" w:hAnsi="Times New Roman" w:eastAsia="仿宋_GB2312" w:cs="仿宋_GB2312"/>
                <w:kern w:val="0"/>
                <w:sz w:val="32"/>
                <w:szCs w:val="32"/>
                <w:lang w:val="zh-CN"/>
              </w:rPr>
              <w:t>23</w:t>
            </w:r>
            <w:r>
              <w:rPr>
                <w:rFonts w:hint="eastAsia" w:ascii="仿宋_GB2312" w:hAnsi="Times New Roman" w:eastAsia="仿宋_GB2312" w:cs="仿宋_GB2312"/>
                <w:kern w:val="0"/>
                <w:sz w:val="32"/>
                <w:szCs w:val="32"/>
                <w:lang w:val="zh-CN"/>
              </w:rPr>
              <w:t>、一般公共预算基本支出表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519"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  2022年部门预算说明</w:t>
            </w:r>
          </w:p>
        </w:tc>
      </w:tr>
      <w:tr>
        <w:tblPrEx>
          <w:tblCellMar>
            <w:top w:w="0" w:type="dxa"/>
            <w:left w:w="108" w:type="dxa"/>
            <w:bottom w:w="0" w:type="dxa"/>
            <w:right w:w="108" w:type="dxa"/>
          </w:tblCellMar>
        </w:tblPrEx>
        <w:trPr>
          <w:trHeight w:val="3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一、部门基本概况</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（一）职能职责</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（1）协助市政府领导同志审核或组织起草以市政府、市政府办公室名义发布的公文。</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（2）研究市政府各部门和各县市区人民政府请示市政府的事项，提出审核意见，报市政府领导同志审批。</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（3）负责市政府会议的组织和服务工作，协助实施会议决定事项。</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（4）根据市政府领导同志的指示或工作需要，对有关问题进行协调，提出处理意见，报市政府领导同志决定。</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（5）办理中央、省政府和市政府领导同志的批示，并督促落实。督促检查市政府各部门和各县市区政府对市政府决定事项的执行落实情况，及时向市政府报告。</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（6）组织开展人大代表建议、政协提案办理工作。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（7）负责向省政府和市政府领导同志报告重要信息和情况；负责市政府值班工作。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（8）指导、协调、推进全市行政审批制度改革、优化营商环境、政务公开（政府信息公开、办事公开）、电子政务工作。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（9）负责市政府机关大院的行政事务、综合治理和安全保卫工作。</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（10）承办市委和市政府交办的其他事项。</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（二）机构设置</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根据市委编办核定:市政府办内设科室19个，所属事业单位1个，下属管理单位5个。</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所属事业单位是机关事务管理中心。</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下属管理单位中，有正处级单位2个，为市政府驻北京联络处、市政府驻上海联络处；副处级单位2个，为市政府驻长沙联络处、市政府12345热线服务中心；正科级单位1个，市政府驻广州深圳联络办公室。</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本年度我单位预算编制在职人数为147人，退休171人，离休1人。</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二、部门预算单位构成</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本部门预算为汇总预算，纳入编制范围的预算单位仅为岳阳市人民政府办公室本级，无独立核算的二级机构。</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三、部门收支总体情况</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22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包括一般公共预算、政府性基金、国有资本经营预算等财政拨款收入，以及经营收入、事业收入等单位资金。2022年本部门收入预算4560.79万元，其中，一般公共预算拨款4560.79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619" w:hRule="atLeast"/>
        </w:trPr>
        <w:tc>
          <w:tcPr>
            <w:tcW w:w="5000" w:type="pct"/>
            <w:tcBorders>
              <w:top w:val="nil"/>
              <w:left w:val="nil"/>
              <w:bottom w:val="nil"/>
              <w:right w:val="nil"/>
            </w:tcBorders>
            <w:shd w:val="clear" w:color="auto" w:fill="auto"/>
            <w:vAlign w:val="center"/>
          </w:tcPr>
          <w:p>
            <w:pPr>
              <w:widowControl/>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收入较去年增加598.05万元，主要是因为新增工会经费等运转类专项。</w:t>
            </w:r>
          </w:p>
        </w:tc>
      </w:tr>
      <w:tr>
        <w:tblPrEx>
          <w:tblCellMar>
            <w:top w:w="0" w:type="dxa"/>
            <w:left w:w="108" w:type="dxa"/>
            <w:bottom w:w="0" w:type="dxa"/>
            <w:right w:w="108" w:type="dxa"/>
          </w:tblCellMar>
        </w:tblPrEx>
        <w:trPr>
          <w:trHeight w:val="402"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320" w:hRule="atLeast"/>
        </w:trPr>
        <w:tc>
          <w:tcPr>
            <w:tcW w:w="5000" w:type="pct"/>
            <w:tcBorders>
              <w:top w:val="nil"/>
              <w:left w:val="nil"/>
              <w:bottom w:val="nil"/>
              <w:right w:val="nil"/>
            </w:tcBorders>
            <w:shd w:val="clear" w:color="auto" w:fill="auto"/>
            <w:vAlign w:val="center"/>
          </w:tcPr>
          <w:p>
            <w:pPr>
              <w:widowControl/>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2022年本部门支出预算4560.79万元，其中，一般公共服务支出4147.28万元，占比90.93%，社会保障和就业支出179.76万元，占比3.94%，卫生健康支出110.38万元，占比2.42%，住房保障支出123.38万元，占比2.71%。支出较去年增加598.05万元，主要是因为新增工会福利等运转类支出。</w:t>
            </w:r>
          </w:p>
          <w:p>
            <w:pPr>
              <w:widowControl/>
              <w:ind w:firstLine="555"/>
              <w:jc w:val="left"/>
              <w:rPr>
                <w:rFonts w:ascii="仿宋_GB2312" w:hAnsi="宋体" w:eastAsia="仿宋_GB2312" w:cs="宋体"/>
                <w:kern w:val="0"/>
                <w:sz w:val="28"/>
                <w:szCs w:val="28"/>
              </w:rPr>
            </w:pPr>
            <w:r>
              <w:rPr>
                <w:rFonts w:ascii="仿宋_GB2312" w:hAnsi="Times New Roman" w:eastAsia="仿宋_GB2312" w:cs="仿宋_GB2312"/>
                <w:kern w:val="0"/>
                <w:sz w:val="32"/>
                <w:szCs w:val="32"/>
                <w:lang w:val="zh-CN"/>
              </w:rPr>
              <w:t>2022</w:t>
            </w:r>
            <w:r>
              <w:rPr>
                <w:rFonts w:hint="eastAsia" w:ascii="仿宋_GB2312" w:hAnsi="Times New Roman" w:eastAsia="仿宋_GB2312" w:cs="仿宋_GB2312"/>
                <w:kern w:val="0"/>
                <w:sz w:val="32"/>
                <w:szCs w:val="32"/>
                <w:lang w:val="zh-CN"/>
              </w:rPr>
              <w:t>年预算公开文档第三大点（对应表</w:t>
            </w:r>
            <w:r>
              <w:rPr>
                <w:rFonts w:ascii="仿宋_GB2312" w:hAnsi="Times New Roman" w:eastAsia="仿宋_GB2312" w:cs="仿宋_GB2312"/>
                <w:kern w:val="0"/>
                <w:sz w:val="32"/>
                <w:szCs w:val="32"/>
                <w:lang w:val="zh-CN"/>
              </w:rPr>
              <w:t>3</w:t>
            </w:r>
            <w:r>
              <w:rPr>
                <w:rFonts w:hint="eastAsia" w:ascii="仿宋_GB2312" w:hAnsi="Times New Roman" w:eastAsia="仿宋_GB2312" w:cs="仿宋_GB2312"/>
                <w:kern w:val="0"/>
                <w:sz w:val="32"/>
                <w:szCs w:val="32"/>
                <w:lang w:val="zh-CN"/>
              </w:rPr>
              <w:t>）、第四大点（对应表</w:t>
            </w:r>
            <w:r>
              <w:rPr>
                <w:rFonts w:ascii="仿宋_GB2312" w:hAnsi="Times New Roman" w:eastAsia="仿宋_GB2312" w:cs="仿宋_GB2312"/>
                <w:kern w:val="0"/>
                <w:sz w:val="32"/>
                <w:szCs w:val="32"/>
                <w:lang w:val="zh-CN"/>
              </w:rPr>
              <w:t>7</w:t>
            </w:r>
            <w:r>
              <w:rPr>
                <w:rFonts w:hint="eastAsia" w:ascii="仿宋_GB2312" w:hAnsi="Times New Roman" w:eastAsia="仿宋_GB2312" w:cs="仿宋_GB2312"/>
                <w:kern w:val="0"/>
                <w:sz w:val="32"/>
                <w:szCs w:val="32"/>
                <w:lang w:val="zh-CN"/>
              </w:rPr>
              <w:t>）中的金额和百分比，由于预算编制时金额明细到了</w:t>
            </w:r>
            <w:r>
              <w:rPr>
                <w:rFonts w:ascii="仿宋_GB2312" w:hAnsi="Times New Roman" w:eastAsia="仿宋_GB2312" w:cs="仿宋_GB2312"/>
                <w:kern w:val="0"/>
                <w:sz w:val="32"/>
                <w:szCs w:val="32"/>
                <w:lang w:val="zh-CN"/>
              </w:rPr>
              <w:t>“</w:t>
            </w:r>
            <w:r>
              <w:rPr>
                <w:rFonts w:hint="eastAsia" w:ascii="仿宋_GB2312" w:hAnsi="Times New Roman" w:eastAsia="仿宋_GB2312" w:cs="仿宋_GB2312"/>
                <w:kern w:val="0"/>
                <w:sz w:val="32"/>
                <w:szCs w:val="32"/>
                <w:lang w:val="zh-CN"/>
              </w:rPr>
              <w:t>分</w:t>
            </w:r>
            <w:r>
              <w:rPr>
                <w:rFonts w:ascii="仿宋_GB2312" w:hAnsi="Times New Roman" w:eastAsia="仿宋_GB2312" w:cs="仿宋_GB2312"/>
                <w:kern w:val="0"/>
                <w:sz w:val="32"/>
                <w:szCs w:val="32"/>
                <w:lang w:val="zh-CN"/>
              </w:rPr>
              <w:t>”</w:t>
            </w:r>
            <w:r>
              <w:rPr>
                <w:rFonts w:hint="eastAsia" w:ascii="仿宋_GB2312" w:hAnsi="Times New Roman" w:eastAsia="仿宋_GB2312" w:cs="仿宋_GB2312"/>
                <w:kern w:val="0"/>
                <w:sz w:val="32"/>
                <w:szCs w:val="32"/>
                <w:lang w:val="zh-CN"/>
              </w:rPr>
              <w:t>，而公开表格显示和公开文档取数只到</w:t>
            </w:r>
            <w:r>
              <w:rPr>
                <w:rFonts w:ascii="仿宋_GB2312" w:hAnsi="Times New Roman" w:eastAsia="仿宋_GB2312" w:cs="仿宋_GB2312"/>
                <w:kern w:val="0"/>
                <w:sz w:val="32"/>
                <w:szCs w:val="32"/>
                <w:lang w:val="zh-CN"/>
              </w:rPr>
              <w:t>“</w:t>
            </w:r>
            <w:r>
              <w:rPr>
                <w:rFonts w:hint="eastAsia" w:ascii="仿宋_GB2312" w:hAnsi="Times New Roman" w:eastAsia="仿宋_GB2312" w:cs="仿宋_GB2312"/>
                <w:kern w:val="0"/>
                <w:sz w:val="32"/>
                <w:szCs w:val="32"/>
                <w:lang w:val="zh-CN"/>
              </w:rPr>
              <w:t>百元</w:t>
            </w:r>
            <w:r>
              <w:rPr>
                <w:rFonts w:ascii="仿宋_GB2312" w:hAnsi="Times New Roman" w:eastAsia="仿宋_GB2312" w:cs="仿宋_GB2312"/>
                <w:kern w:val="0"/>
                <w:sz w:val="32"/>
                <w:szCs w:val="32"/>
                <w:lang w:val="zh-CN"/>
              </w:rPr>
              <w:t>”</w:t>
            </w:r>
            <w:r>
              <w:rPr>
                <w:rFonts w:hint="eastAsia" w:ascii="仿宋_GB2312" w:hAnsi="Times New Roman" w:eastAsia="仿宋_GB2312" w:cs="仿宋_GB2312"/>
                <w:kern w:val="0"/>
                <w:sz w:val="32"/>
                <w:szCs w:val="32"/>
                <w:lang w:val="zh-CN"/>
              </w:rPr>
              <w:t>，可能导致</w:t>
            </w:r>
            <w:r>
              <w:rPr>
                <w:rFonts w:ascii="仿宋_GB2312" w:hAnsi="Times New Roman" w:eastAsia="仿宋_GB2312" w:cs="仿宋_GB2312"/>
                <w:kern w:val="0"/>
                <w:sz w:val="32"/>
                <w:szCs w:val="32"/>
                <w:lang w:val="zh-CN"/>
              </w:rPr>
              <w:t>0.01</w:t>
            </w:r>
            <w:r>
              <w:rPr>
                <w:rFonts w:hint="eastAsia" w:ascii="仿宋_GB2312" w:hAnsi="Times New Roman" w:eastAsia="仿宋_GB2312" w:cs="仿宋_GB2312"/>
                <w:kern w:val="0"/>
                <w:sz w:val="32"/>
                <w:szCs w:val="32"/>
                <w:lang w:val="zh-CN"/>
              </w:rPr>
              <w:t>的尾数差异。</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四、一般公共预算拨款支出预算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本部门一般公共预算拨款支出预算4560.79万元，其中，一般公共服务支出4147.28万元，占比90.93%，社会保障和就业支出179.76万元，占比3.94%，卫生健康支出110.38万元，占比2.42%，住房保障支出123.38万元，占比2.71%。具体安排情况如下：</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基本支出：2022年基本支出年初预算数为1966.24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3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二）项目支出：2022年项目支出年初预算数为2594.55万元，是指单位为完成特定行政工作任务或事业发展目标而发生的支出，包括有关业务工作经费、运行维护经费等。其中：政府办(含归口管理单位)工作经费专项支出519.60万元，主要用于督察督办、应急管理、维稳、派驻机构工作等；机关运行经费专项支出678.60万元，主要用于机关运行服务等；12345水电及网格工作经费专项支出22.80万元，主要用于热线服务中心工作专项；湖南日报社岳阳记者站工作经费专项支出13.50万元，主要用于湖南日报社驻岳阳记者站工作专项；非税执收专项支出393.09万元，主要用于派驻机构工作专项等；工会经费专项支出94.80万元，主要用于职工工会经费开支；伙食补助专项支出126.40万元，主要用于职工伙食补助开支；物业补贴专项支出113.76万元，主要用于职工物业补贴开支；预安排绩效考核奖及平安建设奖专项支出632.00万元，主要是用于职工绩效考核奖励及平安建设奖励开支。</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2022年度本部门无政府性基金安排的支出，所以公开的附件15-17（政府性基金预算）为空。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2022年本部门岳阳市人民政府办公室机关本级共1家行政事业单位的机关运行经费503.71万元，比上一年增加40.53万元，增加8.75%。主要原因是公务交通补贴预算安排比例提高。</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FF0000"/>
                <w:kern w:val="0"/>
                <w:sz w:val="28"/>
                <w:szCs w:val="28"/>
              </w:rPr>
            </w:pPr>
            <w:r>
              <w:rPr>
                <w:rFonts w:hint="eastAsia" w:ascii="仿宋_GB2312" w:hAnsi="宋体" w:eastAsia="仿宋_GB2312" w:cs="宋体"/>
                <w:kern w:val="0"/>
                <w:sz w:val="28"/>
                <w:szCs w:val="28"/>
              </w:rPr>
              <w:t>2022年本部门机关本级合计1家行政事业单位“三公”经费预算数385.16万元，其中，公务接待费142.28万元，因公出国（境）费16.20万元，公务用车购置及运行费226.68万元（其中，公务用车购置费17.98万元，公务用车运行费208.70万元）。2022年三公经费预算较上年减少2.02万元，主要原因是本年度按照要求，厉行节约。</w:t>
            </w:r>
          </w:p>
        </w:tc>
      </w:tr>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22022年本部门会议费预算15万元，拟召开40次会议，人数2400人，内容为市政府办公会、优化营商环境会议等；培训费预算5.00万元，拟开展6次培训，人数300人，内容为公文知识及写作技巧、禁毒知识等相关培训；计划举办节庆、晚会、论坛、赛事活动0万元，2022年度本部门未计划举办节庆、晚会、论坛、赛事活动。</w:t>
            </w:r>
          </w:p>
        </w:tc>
      </w:tr>
      <w:tr>
        <w:tblPrEx>
          <w:tblCellMar>
            <w:top w:w="0" w:type="dxa"/>
            <w:left w:w="108" w:type="dxa"/>
            <w:bottom w:w="0" w:type="dxa"/>
            <w:right w:w="108" w:type="dxa"/>
          </w:tblCellMar>
        </w:tblPrEx>
        <w:trPr>
          <w:trHeight w:val="61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2022年本部门政府采购预算总额1805.00万元，其中工程类40.00万元，货物类400.00万元，服务类1365.00万元。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259" w:hRule="atLeast"/>
        </w:trPr>
        <w:tc>
          <w:tcPr>
            <w:tcW w:w="5000" w:type="pct"/>
            <w:tcBorders>
              <w:top w:val="nil"/>
              <w:left w:val="nil"/>
              <w:bottom w:val="nil"/>
              <w:right w:val="nil"/>
            </w:tcBorders>
            <w:shd w:val="clear" w:color="auto" w:fill="auto"/>
            <w:vAlign w:val="center"/>
          </w:tcPr>
          <w:p>
            <w:pPr>
              <w:widowControl/>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截至上年底，本部门共有车辆27辆，其中领导干部用车1辆，一般公务用车25辆，其他用车1辆。单位价值50万元以上通用设备11台，单位价值100万元以上专用设备0台。</w:t>
            </w:r>
          </w:p>
          <w:p>
            <w:pPr>
              <w:widowControl/>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2022年拟报废处置公务用车1辆，拟新增配置车辆1辆，其中领导干部用车0辆，一般公务用车1辆，其他用车0辆，主要用于机要通信，资金来源为财政拨款。</w:t>
            </w:r>
          </w:p>
          <w:p>
            <w:pPr>
              <w:widowControl/>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2022年拟新增配备领导干部用车0辆，一般公务用车1辆，其他用车0辆，新增配备单位价值50万元以上通用设备0台，单位价值100万元以上专用设备0台。</w:t>
            </w:r>
          </w:p>
          <w:p>
            <w:pPr>
              <w:widowControl/>
              <w:ind w:firstLine="280" w:firstLineChars="100"/>
              <w:jc w:val="left"/>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本部门所有支出实行绩效目标管理。纳入2022年部门整体支出绩效目标的金额为4560.79万元，其中，基本支出1966.24万元，项目支出2594.55万元，详见文尾附表中部门预算公开表格的表21-22。</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  2022年部门预算公开表格</w:t>
            </w:r>
          </w:p>
        </w:tc>
      </w:tr>
      <w:tr>
        <w:tblPrEx>
          <w:tblCellMar>
            <w:top w:w="0" w:type="dxa"/>
            <w:left w:w="108" w:type="dxa"/>
            <w:bottom w:w="0" w:type="dxa"/>
            <w:right w:w="108" w:type="dxa"/>
          </w:tblCellMar>
        </w:tblPrEx>
        <w:trPr>
          <w:trHeight w:val="4500" w:hRule="atLeast"/>
        </w:trPr>
        <w:tc>
          <w:tcPr>
            <w:tcW w:w="5000" w:type="pct"/>
            <w:vMerge w:val="restart"/>
            <w:tcBorders>
              <w:top w:val="nil"/>
              <w:left w:val="nil"/>
              <w:bottom w:val="nil"/>
              <w:right w:val="nil"/>
            </w:tcBorders>
            <w:shd w:val="clear" w:color="auto" w:fill="auto"/>
            <w:vAlign w:val="center"/>
          </w:tcPr>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val="en-US" w:eastAsia="zh-CN"/>
              </w:rPr>
              <w:t>公用</w:t>
            </w:r>
            <w:bookmarkStart w:id="0" w:name="_GoBack"/>
            <w:bookmarkEnd w:id="0"/>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widowControl/>
              <w:numPr>
                <w:numId w:val="0"/>
              </w:numPr>
              <w:jc w:val="left"/>
              <w:rPr>
                <w:rFonts w:ascii="仿宋_GB2312" w:hAnsi="宋体" w:eastAsia="仿宋_GB2312" w:cs="宋体"/>
                <w:color w:val="000000"/>
                <w:kern w:val="0"/>
                <w:sz w:val="28"/>
                <w:szCs w:val="28"/>
              </w:rPr>
            </w:pPr>
            <w:r>
              <w:rPr>
                <w:rFonts w:ascii="仿宋_GB2312" w:hAnsi="Times New Roman" w:eastAsia="仿宋_GB2312" w:cs="仿宋_GB2312"/>
                <w:kern w:val="0"/>
                <w:sz w:val="32"/>
                <w:szCs w:val="32"/>
                <w:lang w:val="zh-CN"/>
              </w:rPr>
              <w:t>23</w:t>
            </w:r>
            <w:r>
              <w:rPr>
                <w:rFonts w:hint="eastAsia" w:ascii="仿宋_GB2312" w:hAnsi="Times New Roman" w:eastAsia="仿宋_GB2312" w:cs="仿宋_GB2312"/>
                <w:kern w:val="0"/>
                <w:sz w:val="32"/>
                <w:szCs w:val="32"/>
                <w:lang w:val="zh-CN"/>
              </w:rPr>
              <w:t>、一般公共预算基本支出表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500"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A6F479"/>
    <w:multiLevelType w:val="singleLevel"/>
    <w:tmpl w:val="E9A6F47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ExYTk2ODNkM2JjMjhmOGQ1OTBkMDcxNmY3M2Y0OWUifQ=="/>
  </w:docVars>
  <w:rsids>
    <w:rsidRoot w:val="00D8290C"/>
    <w:rsid w:val="00395E29"/>
    <w:rsid w:val="003B3987"/>
    <w:rsid w:val="00404BAE"/>
    <w:rsid w:val="007D1570"/>
    <w:rsid w:val="008A341D"/>
    <w:rsid w:val="008D3E6D"/>
    <w:rsid w:val="00B91836"/>
    <w:rsid w:val="00B926BF"/>
    <w:rsid w:val="00D8290C"/>
    <w:rsid w:val="00EE4AA2"/>
    <w:rsid w:val="00F5133C"/>
    <w:rsid w:val="1EA272EA"/>
    <w:rsid w:val="3C5B3D59"/>
    <w:rsid w:val="4ECB6C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10</Pages>
  <Words>3850</Words>
  <Characters>4238</Characters>
  <Lines>31</Lines>
  <Paragraphs>8</Paragraphs>
  <TotalTime>1</TotalTime>
  <ScaleCrop>false</ScaleCrop>
  <LinksUpToDate>false</LinksUpToDate>
  <CharactersWithSpaces>4282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2023-09-05T03:22:00Z</dcterms:created>
  <dc:creator>微软用户</dc:creator>
  <cp:lastModifiedBy>zyh</cp:lastModifiedBy>
  <dcterms:modified xsi:type="dcterms:W3CDTF">2023-09-24T10:31:11Z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FD148F7A28D94F94BE663974252DADA6</vt:lpwstr>
  </property>
</Properties>
</file>