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8522" w:type="dxa"/>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岳阳市工商业联合会2022年度部门预算</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8522" w:type="dxa"/>
            <w:vMerge w:val="restart"/>
            <w:tcBorders>
              <w:top w:val="nil"/>
              <w:left w:val="nil"/>
              <w:bottom w:val="nil"/>
              <w:right w:val="nil"/>
            </w:tcBorders>
            <w:shd w:val="clear" w:color="auto" w:fill="auto"/>
            <w:vAlign w:val="center"/>
          </w:tcPr>
          <w:p>
            <w:pPr>
              <w:pStyle w:val="10"/>
              <w:widowControl/>
              <w:numPr>
                <w:ilvl w:val="0"/>
                <w:numId w:val="1"/>
              </w:numPr>
              <w:ind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widowControl/>
              <w:spacing w:beforeAutospacing="0" w:afterAutospacing="0" w:line="26" w:lineRule="atLeast"/>
              <w:ind w:firstLine="700" w:firstLineChars="250"/>
              <w:jc w:val="both"/>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23、一般公共预算基本支出表</w:t>
            </w:r>
            <w:r>
              <w:rPr>
                <w:rFonts w:hint="eastAsia" w:ascii="仿宋_GB2312" w:hAnsi="宋体" w:eastAsia="仿宋_GB2312" w:cs="宋体"/>
                <w:color w:val="000000"/>
                <w:sz w:val="28"/>
                <w:szCs w:val="28"/>
              </w:rPr>
              <w:br w:type="textWrapping"/>
            </w:r>
            <w:r>
              <w:rPr>
                <w:rFonts w:hint="eastAsia" w:ascii="仿宋_GB2312" w:hAnsi="宋体" w:eastAsia="仿宋_GB2312" w:cs="宋体"/>
                <w:color w:val="00000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8522" w:type="dxa"/>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8522" w:type="dxa"/>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一、部门基本概况</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市工商联是党领导下的以非公有制企业和非公有制经济人士为主体，具有统战性、经济性、民间性有机统一基本特征的人民团体和商会组织。</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1、加强和改进非公有制经济人士思想政治工作，宣传、贯彻党和国家的方针政策，提倡爱国敬业、守法经营、创业创新、回报社会，提高会员素质，培养积极分子队伍。</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2、参与政治协商，发挥民主监督作用，积极参政议政，负责非公有制经济代表人士政治安排的推荐工作。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3、协助政府管理和服务非公有制经济，引导会员积极参加国家经济建设，推动社会主义市场经济体制逐步完善，促进社会全面发展。</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4、促进行业协会商会改革发展。</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5、参与协调劳动关系，协同社会治理，促进社会和谐稳定。</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6、引导非公有制企业和非公有制经济人士依法诚信经营。</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7、依法加强会产管理和保护。 </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8、承办市委、市人民政府及有关部门其他委托事项。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根据编办核定，我联内设科室5个，行政编制14个，工勤编制2个，无所属事业单位，全部纳入2022年部门预算编制范围。 </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内设科室分别是办公室，会员科，经济科（维权科），宣教人事科（非公党建科），商会科。</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二、部门预算单位构成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本部门预算为汇总预算，纳入编制范围的预算单位仅包括市工商联本级预算，无所属事业单位。</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部门收入预算298.2万元，其中，一般公共预算拨款298.2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收入较去年增加51.12万元，主要是因为增加专项导致专项资金增加。</w:t>
            </w:r>
          </w:p>
        </w:tc>
      </w:tr>
      <w:tr>
        <w:tblPrEx>
          <w:tblCellMar>
            <w:top w:w="0" w:type="dxa"/>
            <w:left w:w="108" w:type="dxa"/>
            <w:bottom w:w="0" w:type="dxa"/>
            <w:right w:w="108" w:type="dxa"/>
          </w:tblCellMar>
        </w:tblPrEx>
        <w:trPr>
          <w:trHeight w:val="402"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8522" w:type="dxa"/>
            <w:tcBorders>
              <w:top w:val="nil"/>
              <w:left w:val="nil"/>
              <w:bottom w:val="nil"/>
              <w:right w:val="nil"/>
            </w:tcBorders>
            <w:shd w:val="clear" w:color="auto" w:fill="auto"/>
            <w:vAlign w:val="center"/>
          </w:tcPr>
          <w:p>
            <w:pPr>
              <w:widowControl/>
              <w:ind w:firstLine="5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部门支出预算298.2万元，其中，一般公共服务支出257.12万元，占比86.22%，社会保障和就业支出17.65万元，占比5.92%，卫生健康支出11.42万元，占比3.83%，住房保障支出12.02万元，占比4.03%。支出较去年增加51.12万元，其中基本支出增加4.74万元，项目支出增加46.38万元。其中基本支出较上年增加主要是因为基本工资调标导致工资福利支出略有增加，项目支出增加主要是因为按照预算编制要求增加专项项目导致专项资金增加。</w:t>
            </w:r>
          </w:p>
          <w:p>
            <w:pPr>
              <w:pStyle w:val="2"/>
              <w:ind w:firstLine="550"/>
              <w:rPr>
                <w:rFonts w:ascii="仿宋_GB2312" w:hAnsi="宋体" w:eastAsia="仿宋_GB2312" w:cs="宋体"/>
                <w:kern w:val="0"/>
                <w:sz w:val="28"/>
                <w:szCs w:val="28"/>
              </w:rPr>
            </w:pPr>
            <w:r>
              <w:rPr>
                <w:rFonts w:hint="eastAsia" w:ascii="仿宋_GB2312" w:hAnsi="宋体" w:eastAsia="仿宋_GB2312" w:cs="宋体"/>
                <w:kern w:val="0"/>
                <w:sz w:val="28"/>
                <w:szCs w:val="28"/>
              </w:rPr>
              <w:t>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298.2万元，其中，一般公共服务支出257.12万元，占比86.22%，社会保障和就业支出17.65万元，占比5.92%，卫生健康支出11.42万元，占比3.83%，住房保障支出12.02万元，占比4.03%。具体安排情况如下：</w:t>
            </w:r>
          </w:p>
        </w:tc>
      </w:tr>
      <w:tr>
        <w:tblPrEx>
          <w:tblCellMar>
            <w:top w:w="0" w:type="dxa"/>
            <w:left w:w="108" w:type="dxa"/>
            <w:bottom w:w="0" w:type="dxa"/>
            <w:right w:w="108" w:type="dxa"/>
          </w:tblCellMar>
        </w:tblPrEx>
        <w:trPr>
          <w:trHeight w:val="112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185.22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37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112.98万元，是指单位为完成特定行政工作任务或事业发展目标而发生的支出，包括有关业务工作经费、运行维护经费等。其中：工会经费补助6.90万元，主要用于行政补助工会经费；伙食补助9.20万元，主要用于支付食堂伙食费保障单位员工用餐；物业服务补贴8.28万元，主要用于补贴单位员工自行缴纳物业费；预安排综合绩效奖和平安岳阳建设奖46万元，主要用于发放综合绩效奖和平安岳阳建设奖。调研维权经费6.20万元，主要用于专项调研活动及为民营企业开展法律咨询和维权服务等开支；专项业务经费12.60万元，主要用于完成课题调研，撰写有分量的调研报告、完成年度招商引资任务、切实加强机关党建和非公党建、抓实“万企帮万村”精准扶贫行动等开支；原工商业者及其遗孀生活困难补助1.30万元，主要用于给原工商业者及其遗孀发放生活困难补助；总工会房屋物业管理费等支出22.50万元，主要用于租用市总工会办公楼缴纳房租等。</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2022年本部门只包含市工商联机关本级的机关运行经费21.90万元，比上一年减少9.58万元，降低30.43%。主要原因是厉行勤俭节约“过紧日子”，经费拨款减少。</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8522" w:type="dxa"/>
            <w:tcBorders>
              <w:top w:val="nil"/>
              <w:left w:val="nil"/>
              <w:bottom w:val="nil"/>
              <w:right w:val="nil"/>
            </w:tcBorders>
            <w:shd w:val="clear" w:color="auto" w:fill="auto"/>
            <w:vAlign w:val="center"/>
          </w:tcPr>
          <w:p>
            <w:pPr>
              <w:widowControl/>
              <w:spacing w:line="600" w:lineRule="atLeast"/>
              <w:ind w:firstLine="560" w:firstLineChars="200"/>
              <w:jc w:val="left"/>
              <w:rPr>
                <w:rFonts w:ascii="仿宋_GB2312" w:hAnsi="宋体" w:eastAsia="仿宋_GB2312" w:cs="宋体"/>
                <w:color w:val="FF0000"/>
                <w:kern w:val="0"/>
                <w:sz w:val="28"/>
                <w:szCs w:val="28"/>
              </w:rPr>
            </w:pPr>
            <w:r>
              <w:rPr>
                <w:rFonts w:hint="eastAsia" w:ascii="仿宋_GB2312" w:hAnsi="宋体" w:eastAsia="仿宋_GB2312" w:cs="宋体"/>
                <w:kern w:val="0"/>
                <w:sz w:val="28"/>
                <w:szCs w:val="28"/>
              </w:rPr>
              <w:t>2022年本部门只包含市工商联机关本级“三公”经费预算数26万元，其中，公务接待费17万元，因公出国（境）费4.5万元，公务用车购置及运行费4.5万元，其中公务用车购置费0万元，公务用车运行费4.5万元。2022年“三公”经费预算与2021年持平。</w:t>
            </w:r>
          </w:p>
        </w:tc>
      </w:tr>
      <w:tr>
        <w:tblPrEx>
          <w:tblCellMar>
            <w:top w:w="0" w:type="dxa"/>
            <w:left w:w="108" w:type="dxa"/>
            <w:bottom w:w="0" w:type="dxa"/>
            <w:right w:w="108" w:type="dxa"/>
          </w:tblCellMar>
        </w:tblPrEx>
        <w:trPr>
          <w:trHeight w:val="37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2022年本部门会议费预算0.6万元，拟召开3次会议，人数100人，内容为全市工商联系统工作会议；培训费预算0.2万元，拟开展2次培训，人数60人次，主要内容为法律风险培训班和商协会业务培训。</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未计划举办节庆、晚会、论坛、赛事活动。</w:t>
            </w:r>
          </w:p>
        </w:tc>
      </w:tr>
      <w:tr>
        <w:tblPrEx>
          <w:tblCellMar>
            <w:top w:w="0" w:type="dxa"/>
            <w:left w:w="108" w:type="dxa"/>
            <w:bottom w:w="0" w:type="dxa"/>
            <w:right w:w="108" w:type="dxa"/>
          </w:tblCellMar>
        </w:tblPrEx>
        <w:trPr>
          <w:trHeight w:val="61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2022年本部门政府采购预算总额71.5万元，其中工程类0万元，货物类53万元，服务类18.5万元。</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截至上年底，本单位共有车辆1辆，为一般公务用车。无单位价值50万元以上通用设备，无单位价值100万元以上专用设备。</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2022年拟报废处置公务用车1辆，拟新增配置车辆1辆，为一般公务用车，主要用于处理日常公共事务，资金来源为自筹。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2022年无新增配备单位价值50万元以上通用设备和单位价值100万元以上专用设备计划。</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本部门所有支出实行绩效目标管理。纳入2022年部门整体支出绩效目标的金额为298.2万元，其中，基本支出185.22万元，项目支出112.98万元，详见文尾附表中部门预算公开表格的表21-22。</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8522" w:type="dxa"/>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8522" w:type="dxa"/>
            <w:vMerge w:val="restart"/>
            <w:tcBorders>
              <w:top w:val="nil"/>
              <w:left w:val="nil"/>
              <w:bottom w:val="nil"/>
              <w:right w:val="nil"/>
            </w:tcBorders>
            <w:shd w:val="clear" w:color="auto" w:fill="auto"/>
            <w:vAlign w:val="center"/>
          </w:tcPr>
          <w:p>
            <w:pPr>
              <w:pStyle w:val="10"/>
              <w:widowControl/>
              <w:numPr>
                <w:ilvl w:val="0"/>
                <w:numId w:val="2"/>
              </w:numPr>
              <w:ind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bookmarkStart w:id="0" w:name="_GoBack"/>
            <w:bookmarkEnd w:id="0"/>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10"/>
              <w:widowControl/>
              <w:numPr>
                <w:ilvl w:val="1"/>
                <w:numId w:val="2"/>
              </w:numPr>
              <w:ind w:firstLineChars="0"/>
              <w:jc w:val="left"/>
              <w:rPr>
                <w:rFonts w:ascii="仿宋_GB2312" w:hAnsi="宋体" w:eastAsia="仿宋_GB2312" w:cs="宋体"/>
                <w:color w:val="000000"/>
                <w:kern w:val="0"/>
                <w:sz w:val="28"/>
                <w:szCs w:val="28"/>
              </w:rPr>
            </w:pPr>
            <w:r>
              <w:rPr>
                <w:rFonts w:hint="eastAsia" w:ascii="微软雅黑" w:hAnsi="微软雅黑" w:eastAsia="微软雅黑" w:cs="微软雅黑"/>
                <w:color w:val="333333"/>
                <w:sz w:val="28"/>
                <w:szCs w:val="28"/>
              </w:rPr>
              <w:t>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8522" w:type="dxa"/>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B4B2C"/>
    <w:multiLevelType w:val="multilevel"/>
    <w:tmpl w:val="022B4B2C"/>
    <w:lvl w:ilvl="0" w:tentative="0">
      <w:start w:val="1"/>
      <w:numFmt w:val="decimal"/>
      <w:lvlText w:val="%1、"/>
      <w:lvlJc w:val="left"/>
      <w:pPr>
        <w:ind w:left="720" w:hanging="720"/>
      </w:pPr>
      <w:rPr>
        <w:rFonts w:hint="default"/>
      </w:rPr>
    </w:lvl>
    <w:lvl w:ilvl="1" w:tentative="0">
      <w:start w:val="23"/>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517049"/>
    <w:multiLevelType w:val="multilevel"/>
    <w:tmpl w:val="0A517049"/>
    <w:lvl w:ilvl="0" w:tentative="0">
      <w:start w:val="1"/>
      <w:numFmt w:val="decimal"/>
      <w:lvlText w:val="%1、"/>
      <w:lvlJc w:val="left"/>
      <w:pPr>
        <w:ind w:left="720" w:hanging="720"/>
      </w:pPr>
      <w:rPr>
        <w:rFonts w:hint="default"/>
      </w:rPr>
    </w:lvl>
    <w:lvl w:ilvl="1" w:tentative="0">
      <w:start w:val="23"/>
      <w:numFmt w:val="decimal"/>
      <w:lvlText w:val="%2、"/>
      <w:lvlJc w:val="left"/>
      <w:pPr>
        <w:ind w:left="1140" w:hanging="720"/>
      </w:pPr>
      <w:rPr>
        <w:rFonts w:hint="default" w:ascii="微软雅黑" w:hAnsi="微软雅黑" w:eastAsia="微软雅黑" w:cs="微软雅黑"/>
        <w:color w:val="333333"/>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xYTk2ODNkM2JjMjhmOGQ1OTBkMDcxNmY3M2Y0OWUifQ=="/>
  </w:docVars>
  <w:rsids>
    <w:rsidRoot w:val="008F00F8"/>
    <w:rsid w:val="00175541"/>
    <w:rsid w:val="001B0693"/>
    <w:rsid w:val="002D528A"/>
    <w:rsid w:val="006234A9"/>
    <w:rsid w:val="008F00F8"/>
    <w:rsid w:val="00E91025"/>
    <w:rsid w:val="00EE1BBA"/>
    <w:rsid w:val="23CF22AB"/>
    <w:rsid w:val="3EF71606"/>
    <w:rsid w:val="65184D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Calibri" w:hAnsi="Calibri" w:eastAsia="宋体" w:cs="Times New Roman"/>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3679</Words>
  <Characters>3983</Characters>
  <Lines>29</Lines>
  <Paragraphs>8</Paragraphs>
  <TotalTime>5</TotalTime>
  <ScaleCrop>false</ScaleCrop>
  <LinksUpToDate>false</LinksUpToDate>
  <CharactersWithSpaces>4043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2023-09-21T07:00:00Z</dcterms:created>
  <dc:creator>PC</dc:creator>
  <cp:lastModifiedBy>zyh</cp:lastModifiedBy>
  <dcterms:modified xsi:type="dcterms:W3CDTF">2023-09-22T23:37:51Z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35659903CECB4FAAA810D34E6C63175D_12</vt:lpwstr>
  </property>
</Properties>
</file>