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中共岳阳市委组织部2022年度部门预算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2022年部门预算说明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2022年部门预算公开表格</w:t>
            </w:r>
          </w:p>
        </w:tc>
      </w:tr>
      <w:tr>
        <w:tblPrEx>
          <w:tblCellMar>
            <w:top w:w="0" w:type="dxa"/>
            <w:left w:w="108" w:type="dxa"/>
            <w:bottom w:w="0" w:type="dxa"/>
            <w:right w:w="108" w:type="dxa"/>
          </w:tblCellMar>
        </w:tblPrEx>
        <w:trPr>
          <w:trHeight w:val="4519" w:hRule="atLeast"/>
        </w:trPr>
        <w:tc>
          <w:tcPr>
            <w:tcW w:w="5000" w:type="pct"/>
            <w:vMerge w:val="restart"/>
            <w:tcBorders>
              <w:top w:val="nil"/>
              <w:left w:val="nil"/>
              <w:bottom w:val="nil"/>
              <w:right w:val="nil"/>
            </w:tcBorders>
            <w:shd w:val="clear" w:color="auto" w:fill="auto"/>
            <w:vAlign w:val="center"/>
          </w:tcPr>
          <w:p>
            <w:pPr>
              <w:pStyle w:val="9"/>
              <w:widowControl/>
              <w:numPr>
                <w:ilvl w:val="0"/>
                <w:numId w:val="1"/>
              </w:numPr>
              <w:ind w:firstLineChars="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9"/>
              <w:widowControl/>
              <w:ind w:left="720" w:firstLine="0" w:firstLineChars="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23</w:t>
            </w:r>
            <w:r>
              <w:rPr>
                <w:rFonts w:hint="eastAsia" w:ascii="宋体" w:hAnsi="宋体" w:eastAsia="宋体" w:cs="宋体"/>
                <w:color w:val="000000"/>
                <w:kern w:val="0"/>
                <w:sz w:val="28"/>
                <w:szCs w:val="28"/>
              </w:rPr>
              <w:t>、一般公共预算基本支出表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19"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2022年部门预算说明</w:t>
            </w: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（1）贯彻执行党中央有关组织工作的路线、方针、政策以及省委、市委有关组织工作的政策法规、决策部署、决定和指示，并组织实施。</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（2）研究和指导基层党组织建设，探索和指导基层以及各类经济组织、社会组织的党建工作；研究和提出党内生活制度建设的意见；协调、规划和指导党员教育工作，主管党员的管理和发展工作。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3）考察各县市区和市直各单位以及其他列入市委管理的领导班子、领导干部，提出调整、配备的意见和建议；负责审核办理市委协助省委管理的干部以及市管干部的职务任免、工资、待遇、退（离）休的呈报、审批工作；指导领导班子的思想政治建设；承办相关干部的调配、交流、安置事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（4）制订领导班子和干部队伍建设的规划、措施；综合管理培养选拔年轻干部、妇女干部、党外干部和后备干部工作。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（5）宏观指导党的组织制度和干部人事制度的改革，制订和参与制订组织、干部、人事工作的有关规定和制度，并组织实施。</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（6）检查、督促组织和干部工作，向市委反映重要情况、提出建议；承担市委管理和双重管理单位的领导班子、领导干部的监督；指导、检查、监督各级党委（党组）及组织人事部门选拔任用干部工作。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（7）制订干部教育工作的规划、措施，组织市管干部和一定层次干部的培训，协调、指导、检查各县市区和市直单位的干部教育培训工作。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（8）宏观管理退（离）休干部工作；检查、督促、协调退（离）休干部工作政策的落实。</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（9）负责全市公务员队伍建设的规划、协调和宏观指导；负责综合管理、组织指导全市各级机关实施公务员法和公务员日常管理工作；负责组织指导并实施全市公务员职位分类管理和职务与职级并行工作。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（10）承办市委和上级有关部门交办的其他事项。</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根据市委编办核定，我部所有内设机构和1个二级机构，全部纳入2022年部门预算编制范围。</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内设机构分别是办公室（新闻宣传办公室）、研究室（政策法规科）、干部一科、干部二科、干部三科、干部四科、干部队伍建设规划办公室、公务员一科、公务员二科、干部信息管理科、干部教育科、干部监督科（举报中心）、人才工作办公室、组织科、党代表联络办、政工科、市委非公有制经济组织和社会组织工作委员会办公室、机关纪委。</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二级机构是党员教育中心。</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三、部门收支总体情况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22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部门收入预算1228.34万元，其中，一般公共预算拨款1228.34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收入较去年增加187.85万元，主要是因为人员经费常规增加。</w:t>
            </w:r>
          </w:p>
        </w:tc>
      </w:tr>
      <w:tr>
        <w:tblPrEx>
          <w:tblCellMar>
            <w:top w:w="0" w:type="dxa"/>
            <w:left w:w="108" w:type="dxa"/>
            <w:bottom w:w="0" w:type="dxa"/>
            <w:right w:w="108" w:type="dxa"/>
          </w:tblCellMar>
        </w:tblPrEx>
        <w:trPr>
          <w:trHeight w:val="402"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320" w:hRule="atLeast"/>
        </w:trPr>
        <w:tc>
          <w:tcPr>
            <w:tcW w:w="5000" w:type="pct"/>
            <w:tcBorders>
              <w:top w:val="nil"/>
              <w:left w:val="nil"/>
              <w:bottom w:val="nil"/>
              <w:right w:val="nil"/>
            </w:tcBorders>
            <w:shd w:val="clear" w:color="auto" w:fill="auto"/>
            <w:vAlign w:val="center"/>
          </w:tcPr>
          <w:p>
            <w:pPr>
              <w:widowControl/>
              <w:ind w:firstLine="5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部门支出预算1228.34万元，其中，一般公共服务支出1023.41万元，占比83.32%，社会保障和就业支出112.65万元，占比9.17%，卫生健康支出44.96万元，占比3.66%，住房保障支出47.32万元，占比3.85%。支出较去年增加187.85万元，主要是因为人员经费常规增加</w:t>
            </w:r>
          </w:p>
          <w:p>
            <w:pPr>
              <w:pStyle w:val="2"/>
              <w:ind w:firstLine="550"/>
            </w:pPr>
            <w:r>
              <w:rPr>
                <w:rFonts w:hint="eastAsia" w:ascii="仿宋_GB2312" w:hAnsi="宋体" w:eastAsia="仿宋_GB2312" w:cs="宋体"/>
                <w:kern w:val="0"/>
                <w:sz w:val="28"/>
                <w:szCs w:val="28"/>
              </w:rPr>
              <w:t>2022年预算公开文档第三大点（对应表3）、第四大点（对应表7）中的金额和百分比，由于预算编制时金额明细到了“分”，而公开表格显示和公开文档取数只到“百元”，可能导致0.01的尾数差异。</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部门一般公共预算拨款支出预算1228.34万元，其中，一般公共服务支出1023.41万元，占比83.32%，社会保障和就业支出112.65万元，占比9.17%，卫生健康支出44.96万元，占比3.66%，住房保障支出47.32万元，占比3.85%。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709.7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2023年项目支出年初预算数为518.64万元，是指单位为完成特定行政工作任务或事业发展目标而发生的支出，包括有关业务工作经费、运行维护经费等。其中：党建工作项目经费专项支出27万元、党内关怀帮扶资金专项支出27万元、干部工作项目经费专项支54.4万元、工会经费补助23.7万元、伙食补助31.6万元、两新工委工作经费专项支出54万元、市党代表活动经费专项支出57万元、物业服务补贴28.44万元、援藏工作经费专项支出57.5万元、综合绩效奖和平安岳阳建设奖158万元，主要用于完成特定行政工作任务或事业发展目标而发生的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2022年度本部门无政府性基金安排的支出，所以公开的附件15-17（政府性基金预算）为空。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本单位2022年机关运行经费当年一般公共预算拨款87.54万元，比上一年减少39.02万元，降低30.8%。主要原因是公务交通补贴单独成项目支出。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kern w:val="0"/>
                <w:sz w:val="28"/>
                <w:szCs w:val="28"/>
              </w:rPr>
              <w:t>本单位2022年“三公”经费预算数92万元，其中，公务接待费60万元，因公出国（境）费4.5万元，公务用车购置及运行费27.5万元，其中公务用车购置费0万元，公务用车运行费27.5万元。比上一年减少20万元，降低17.9%，主要原因是进一步节约开支。</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本单位于2022年度公用经费中未计划安排会议、培训，未计划举办节庆、晚会、论坛、赛事活动。</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2022年度本单位未安排政府采购预算。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259"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截至上一年12月底，本单位共有车辆3辆，均为一般公务用车3辆，其他用车0辆。单位价值50万元以上通用设备0台，单位价值100万元以上专用设备0台。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本部门所有支出实行绩效目标管理。纳入2022年部门整体支出绩效目标的金额为1228.34万元，其中，基本支出709.7万元，项目支出518.64万元，详见文尾附表中部门预算公开表格的表21-22。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2022年部门预算公开表格</w:t>
            </w:r>
          </w:p>
        </w:tc>
      </w:tr>
      <w:tr>
        <w:tblPrEx>
          <w:tblCellMar>
            <w:top w:w="0" w:type="dxa"/>
            <w:left w:w="108" w:type="dxa"/>
            <w:bottom w:w="0" w:type="dxa"/>
            <w:right w:w="108" w:type="dxa"/>
          </w:tblCellMar>
        </w:tblPrEx>
        <w:trPr>
          <w:trHeight w:val="4500" w:hRule="atLeast"/>
        </w:trPr>
        <w:tc>
          <w:tcPr>
            <w:tcW w:w="5000" w:type="pct"/>
            <w:vMerge w:val="restart"/>
            <w:tcBorders>
              <w:top w:val="nil"/>
              <w:left w:val="nil"/>
              <w:bottom w:val="nil"/>
              <w:right w:val="nil"/>
            </w:tcBorders>
            <w:shd w:val="clear" w:color="auto" w:fill="auto"/>
            <w:vAlign w:val="center"/>
          </w:tcPr>
          <w:p>
            <w:pPr>
              <w:pStyle w:val="9"/>
              <w:widowControl/>
              <w:numPr>
                <w:ilvl w:val="0"/>
                <w:numId w:val="2"/>
              </w:numPr>
              <w:ind w:firstLineChars="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bookmarkStart w:id="0" w:name="_GoBack"/>
            <w:bookmarkEnd w:id="0"/>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ind w:firstLine="700" w:firstLineChars="25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23、一般公共预算基本支出表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00"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B5F7CA-D1AF-48F5-9709-97210121176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42068137-A4D2-4B55-A222-B7A49B27BE3F}"/>
  </w:font>
  <w:font w:name="仿宋_GB2312">
    <w:panose1 w:val="02010609030101010101"/>
    <w:charset w:val="86"/>
    <w:family w:val="auto"/>
    <w:pitch w:val="default"/>
    <w:sig w:usb0="00000001" w:usb1="080E0000" w:usb2="00000000" w:usb3="00000000" w:csb0="00040000" w:csb1="00000000"/>
    <w:embedRegular r:id="rId3" w:fontKey="{D12864BB-7342-48CE-B64C-9739DA4718B9}"/>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_GBK">
    <w:panose1 w:val="02000000000000000000"/>
    <w:charset w:val="86"/>
    <w:family w:val="roman"/>
    <w:pitch w:val="default"/>
    <w:sig w:usb0="A00002BF" w:usb1="38CF7CFA" w:usb2="00082016" w:usb3="00000000" w:csb0="00040001" w:csb1="00000000"/>
    <w:embedRegular r:id="rId4" w:fontKey="{3751E9F3-BB1E-4C1F-80FE-5982F20A556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D05302"/>
    <w:multiLevelType w:val="multilevel"/>
    <w:tmpl w:val="21D05302"/>
    <w:lvl w:ilvl="0" w:tentative="0">
      <w:start w:val="1"/>
      <w:numFmt w:val="decimal"/>
      <w:lvlText w:val="%1、"/>
      <w:lvlJc w:val="left"/>
      <w:pPr>
        <w:ind w:left="720" w:hanging="720"/>
      </w:pPr>
      <w:rPr>
        <w:rFonts w:hint="default"/>
      </w:rPr>
    </w:lvl>
    <w:lvl w:ilvl="1" w:tentative="0">
      <w:start w:val="23"/>
      <w:numFmt w:val="decimal"/>
      <w:lvlText w:val="%2、"/>
      <w:lvlJc w:val="left"/>
      <w:pPr>
        <w:ind w:left="1140" w:hanging="720"/>
      </w:pPr>
      <w:rPr>
        <w:rFonts w:hint="default" w:asci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AE748C"/>
    <w:multiLevelType w:val="multilevel"/>
    <w:tmpl w:val="45AE748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yMGFmMTJjZDc5MTY3YTY1N2I2YTE3ZGU3YTY2NDUifQ=="/>
  </w:docVars>
  <w:rsids>
    <w:rsidRoot w:val="00A47A72"/>
    <w:rsid w:val="0024778D"/>
    <w:rsid w:val="00386C50"/>
    <w:rsid w:val="00572CC9"/>
    <w:rsid w:val="005D24AB"/>
    <w:rsid w:val="005E67F4"/>
    <w:rsid w:val="006336D0"/>
    <w:rsid w:val="00A47A72"/>
    <w:rsid w:val="00C01C70"/>
    <w:rsid w:val="22992F44"/>
    <w:rsid w:val="5CB01B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3729</Words>
  <Characters>4015</Characters>
  <Lines>29</Lines>
  <Paragraphs>8</Paragraphs>
  <TotalTime>16</TotalTime>
  <ScaleCrop>false</ScaleCrop>
  <LinksUpToDate>false</LinksUpToDate>
  <CharactersWithSpaces>4059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2023-09-21T03:41:00Z</dcterms:created>
  <dc:creator>微软用户</dc:creator>
  <cp:lastModifiedBy>German Phillip</cp:lastModifiedBy>
  <dcterms:modified xsi:type="dcterms:W3CDTF">2023-09-22T11:43:41Z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4C0115078B604E1CAE792C436F6CE4A6</vt:lpwstr>
  </property>
</Properties>
</file>