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5000" w:type="pct"/>
        <w:tblInd w:w="0" w:type="dxa"/>
        <w:tblLayout w:type="autofit"/>
        <w:tblCellMar>
          <w:top w:w="0" w:type="dxa"/>
          <w:left w:w="108" w:type="dxa"/>
          <w:bottom w:w="0" w:type="dxa"/>
          <w:right w:w="108" w:type="dxa"/>
        </w:tblCellMar>
      </w:tblPr>
      <w:tblGrid>
        <w:gridCol w:w="8522"/>
      </w:tblGrid>
      <w:tr>
        <w:tblPrEx>
          <w:tblCellMar>
            <w:top w:w="0" w:type="dxa"/>
            <w:left w:w="108" w:type="dxa"/>
            <w:bottom w:w="0" w:type="dxa"/>
            <w:right w:w="108" w:type="dxa"/>
          </w:tblCellMar>
        </w:tblPrEx>
        <w:trPr>
          <w:trHeight w:val="1380" w:hRule="atLeast"/>
        </w:trPr>
        <w:tc>
          <w:tcPr>
            <w:tcW w:w="5000" w:type="pct"/>
            <w:tcBorders>
              <w:top w:val="nil"/>
              <w:left w:val="nil"/>
              <w:bottom w:val="nil"/>
              <w:right w:val="nil"/>
            </w:tcBorders>
            <w:shd w:val="clear" w:color="auto" w:fill="auto"/>
            <w:vAlign w:val="center"/>
          </w:tcPr>
          <w:p>
            <w:pPr>
              <w:widowControl/>
              <w:jc w:val="center"/>
              <w:rPr>
                <w:rFonts w:hint="eastAsia" w:ascii="方正小标宋_GBK" w:hAnsi="宋体" w:eastAsia="方正小标宋_GBK" w:cs="宋体"/>
                <w:color w:val="000000"/>
                <w:kern w:val="0"/>
                <w:sz w:val="40"/>
                <w:szCs w:val="40"/>
              </w:rPr>
            </w:pPr>
            <w:r>
              <w:rPr>
                <w:rFonts w:hint="eastAsia" w:ascii="方正小标宋_GBK" w:hAnsi="宋体" w:eastAsia="方正小标宋_GBK" w:cs="宋体"/>
                <w:color w:val="000000"/>
                <w:kern w:val="0"/>
                <w:sz w:val="40"/>
                <w:szCs w:val="40"/>
              </w:rPr>
              <w:t>岳阳市交通质量和安全监督站2022年度</w:t>
            </w:r>
          </w:p>
          <w:p>
            <w:pPr>
              <w:widowControl/>
              <w:jc w:val="center"/>
              <w:rPr>
                <w:rFonts w:ascii="方正小标宋_GBK" w:hAnsi="宋体" w:eastAsia="方正小标宋_GBK" w:cs="宋体"/>
                <w:color w:val="000000"/>
                <w:kern w:val="0"/>
                <w:sz w:val="40"/>
                <w:szCs w:val="40"/>
              </w:rPr>
            </w:pPr>
            <w:r>
              <w:rPr>
                <w:rFonts w:hint="eastAsia" w:ascii="方正小标宋_GBK" w:hAnsi="宋体" w:eastAsia="方正小标宋_GBK" w:cs="宋体"/>
                <w:color w:val="000000"/>
                <w:kern w:val="0"/>
                <w:sz w:val="40"/>
                <w:szCs w:val="40"/>
              </w:rPr>
              <w:t>单位预算</w:t>
            </w:r>
          </w:p>
        </w:tc>
      </w:tr>
      <w:tr>
        <w:tblPrEx>
          <w:tblCellMar>
            <w:top w:w="0" w:type="dxa"/>
            <w:left w:w="108" w:type="dxa"/>
            <w:bottom w:w="0" w:type="dxa"/>
            <w:right w:w="108" w:type="dxa"/>
          </w:tblCellMar>
        </w:tblPrEx>
        <w:trPr>
          <w:trHeight w:val="642" w:hRule="atLeast"/>
        </w:trPr>
        <w:tc>
          <w:tcPr>
            <w:tcW w:w="5000" w:type="pct"/>
            <w:tcBorders>
              <w:top w:val="nil"/>
              <w:left w:val="nil"/>
              <w:bottom w:val="nil"/>
              <w:right w:val="nil"/>
            </w:tcBorders>
            <w:shd w:val="clear" w:color="auto" w:fill="auto"/>
            <w:vAlign w:val="center"/>
          </w:tcPr>
          <w:p>
            <w:pPr>
              <w:widowControl/>
              <w:jc w:val="center"/>
              <w:rPr>
                <w:rFonts w:ascii="黑体" w:hAnsi="黑体" w:eastAsia="黑体" w:cs="宋体"/>
                <w:kern w:val="0"/>
                <w:sz w:val="36"/>
                <w:szCs w:val="36"/>
              </w:rPr>
            </w:pPr>
            <w:r>
              <w:rPr>
                <w:rFonts w:hint="eastAsia" w:ascii="黑体" w:hAnsi="黑体" w:eastAsia="黑体" w:cs="宋体"/>
                <w:kern w:val="0"/>
                <w:sz w:val="36"/>
                <w:szCs w:val="36"/>
              </w:rPr>
              <w:t>目录</w:t>
            </w:r>
          </w:p>
        </w:tc>
      </w:tr>
      <w:tr>
        <w:tblPrEx>
          <w:tblCellMar>
            <w:top w:w="0" w:type="dxa"/>
            <w:left w:w="108" w:type="dxa"/>
            <w:bottom w:w="0" w:type="dxa"/>
            <w:right w:w="108" w:type="dxa"/>
          </w:tblCellMar>
        </w:tblPrEx>
        <w:trPr>
          <w:trHeight w:val="375"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第一部分  2022年单位预算说明</w:t>
            </w:r>
          </w:p>
        </w:tc>
      </w:tr>
      <w:tr>
        <w:tblPrEx>
          <w:tblCellMar>
            <w:top w:w="0" w:type="dxa"/>
            <w:left w:w="108" w:type="dxa"/>
            <w:bottom w:w="0" w:type="dxa"/>
            <w:right w:w="108" w:type="dxa"/>
          </w:tblCellMar>
        </w:tblPrEx>
        <w:trPr>
          <w:trHeight w:val="60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第二部分  2022年单位预算公开表格</w:t>
            </w:r>
          </w:p>
        </w:tc>
      </w:tr>
      <w:tr>
        <w:tblPrEx>
          <w:tblCellMar>
            <w:top w:w="0" w:type="dxa"/>
            <w:left w:w="108" w:type="dxa"/>
            <w:bottom w:w="0" w:type="dxa"/>
            <w:right w:w="108" w:type="dxa"/>
          </w:tblCellMar>
        </w:tblPrEx>
        <w:trPr>
          <w:trHeight w:val="4482" w:hRule="atLeast"/>
        </w:trPr>
        <w:tc>
          <w:tcPr>
            <w:tcW w:w="5000" w:type="pct"/>
            <w:vMerge w:val="restart"/>
            <w:tcBorders>
              <w:top w:val="nil"/>
              <w:left w:val="nil"/>
              <w:bottom w:val="nil"/>
              <w:right w:val="nil"/>
            </w:tcBorders>
            <w:shd w:val="clear" w:color="auto" w:fill="auto"/>
            <w:vAlign w:val="center"/>
          </w:tcPr>
          <w:p>
            <w:pPr>
              <w:widowControl/>
              <w:numPr>
                <w:ilvl w:val="0"/>
                <w:numId w:val="1"/>
              </w:numPr>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收支总表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2、收入总表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3、支出总表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4、支出预算分类汇总表（按政府预算经济分类）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5、支出预算分类汇总表（按部门预算经济分类）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6、财政拨款收支总表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7、一般公共预算支出表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8、一般公共预算基本支出表-人员经费（工资福利支出）（按政府预算经济分类）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9、一般公共预算基本支出表-人员经费（工资福利支出）（按部门预算经济分类）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10、一般公共预算基本支出表-人员经费（对个人和家庭的补助）（按政府预算经济分类）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11、一般公共预算基本支出表-人员经费（对个人和家庭的补助）（按部门预算经济分类）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12、一般公共预算基本支出表-</w:t>
            </w:r>
            <w:r>
              <w:rPr>
                <w:rFonts w:hint="eastAsia" w:ascii="仿宋_GB2312" w:hAnsi="宋体" w:eastAsia="仿宋_GB2312" w:cs="宋体"/>
                <w:color w:val="000000"/>
                <w:kern w:val="0"/>
                <w:sz w:val="28"/>
                <w:szCs w:val="28"/>
                <w:lang w:eastAsia="zh-CN"/>
              </w:rPr>
              <w:t>公用</w:t>
            </w:r>
            <w:r>
              <w:rPr>
                <w:rFonts w:hint="eastAsia" w:ascii="仿宋_GB2312" w:hAnsi="宋体" w:eastAsia="仿宋_GB2312" w:cs="宋体"/>
                <w:color w:val="000000"/>
                <w:kern w:val="0"/>
                <w:sz w:val="28"/>
                <w:szCs w:val="28"/>
              </w:rPr>
              <w:t>经费（商品和服务支出）（按政府预算经济分类）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13、一般公共预算基本支出表-</w:t>
            </w:r>
            <w:r>
              <w:rPr>
                <w:rFonts w:hint="eastAsia" w:ascii="仿宋_GB2312" w:hAnsi="宋体" w:eastAsia="仿宋_GB2312" w:cs="宋体"/>
                <w:color w:val="000000"/>
                <w:kern w:val="0"/>
                <w:sz w:val="28"/>
                <w:szCs w:val="28"/>
                <w:lang w:eastAsia="zh-CN"/>
              </w:rPr>
              <w:t>公用</w:t>
            </w:r>
            <w:r>
              <w:rPr>
                <w:rFonts w:hint="eastAsia" w:ascii="仿宋_GB2312" w:hAnsi="宋体" w:eastAsia="仿宋_GB2312" w:cs="宋体"/>
                <w:color w:val="000000"/>
                <w:kern w:val="0"/>
                <w:sz w:val="28"/>
                <w:szCs w:val="28"/>
              </w:rPr>
              <w:t>经费（商品和服务支出）（按部门预算经济分类）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14、一般公共预算“三公”经费支出表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15、政府性基金预算支出表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16、政府性基金预算支出分类汇总表（按政府预算经济分类）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17、政府性基金预算支出分类汇总表（按部门预算经济分类）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18、国有资本经营预算支出表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19、财政专户管理资金预算支出表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20、专项资金预算汇总表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21、项目支出绩效目标表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22、整体支出绩效目标表</w:t>
            </w:r>
          </w:p>
          <w:p>
            <w:pPr>
              <w:widowControl/>
              <w:numPr>
                <w:ilvl w:val="0"/>
                <w:numId w:val="0"/>
              </w:numPr>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lang w:val="en-US" w:eastAsia="zh-CN"/>
              </w:rPr>
              <w:t>23、一般公共预算基本支出表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注：以上单位预算公开报表中，空表表示本单位无相关收支情况。</w:t>
            </w:r>
          </w:p>
        </w:tc>
      </w:tr>
      <w:tr>
        <w:tblPrEx>
          <w:tblCellMar>
            <w:top w:w="0" w:type="dxa"/>
            <w:left w:w="108" w:type="dxa"/>
            <w:bottom w:w="0" w:type="dxa"/>
            <w:right w:w="108" w:type="dxa"/>
          </w:tblCellMar>
        </w:tblPrEx>
        <w:trPr>
          <w:trHeight w:val="4482" w:hRule="atLeast"/>
        </w:trPr>
        <w:tc>
          <w:tcPr>
            <w:tcW w:w="5000" w:type="pct"/>
            <w:vMerge w:val="continue"/>
            <w:tcBorders>
              <w:top w:val="nil"/>
              <w:left w:val="nil"/>
              <w:bottom w:val="nil"/>
              <w:right w:val="nil"/>
            </w:tcBorders>
            <w:vAlign w:val="center"/>
          </w:tcPr>
          <w:p>
            <w:pPr>
              <w:widowControl/>
              <w:jc w:val="left"/>
              <w:rPr>
                <w:rFonts w:ascii="仿宋_GB2312" w:hAnsi="宋体" w:eastAsia="仿宋_GB2312" w:cs="宋体"/>
                <w:color w:val="000000"/>
                <w:kern w:val="0"/>
                <w:sz w:val="28"/>
                <w:szCs w:val="28"/>
              </w:rPr>
            </w:pPr>
          </w:p>
        </w:tc>
      </w:tr>
      <w:tr>
        <w:tblPrEx>
          <w:tblCellMar>
            <w:top w:w="0" w:type="dxa"/>
            <w:left w:w="108" w:type="dxa"/>
            <w:bottom w:w="0" w:type="dxa"/>
            <w:right w:w="108" w:type="dxa"/>
          </w:tblCellMar>
        </w:tblPrEx>
        <w:trPr>
          <w:trHeight w:val="840" w:hRule="atLeast"/>
        </w:trPr>
        <w:tc>
          <w:tcPr>
            <w:tcW w:w="5000" w:type="pct"/>
            <w:tcBorders>
              <w:top w:val="nil"/>
              <w:left w:val="nil"/>
              <w:bottom w:val="nil"/>
              <w:right w:val="nil"/>
            </w:tcBorders>
            <w:shd w:val="clear" w:color="auto" w:fill="auto"/>
            <w:vAlign w:val="center"/>
          </w:tcPr>
          <w:p>
            <w:pPr>
              <w:widowControl/>
              <w:jc w:val="center"/>
              <w:rPr>
                <w:rFonts w:ascii="黑体" w:hAnsi="黑体" w:eastAsia="黑体" w:cs="宋体"/>
                <w:color w:val="000000"/>
                <w:kern w:val="0"/>
                <w:sz w:val="36"/>
                <w:szCs w:val="36"/>
              </w:rPr>
            </w:pPr>
            <w:r>
              <w:rPr>
                <w:rFonts w:hint="eastAsia" w:ascii="黑体" w:hAnsi="黑体" w:eastAsia="黑体" w:cs="宋体"/>
                <w:color w:val="000000"/>
                <w:kern w:val="0"/>
                <w:sz w:val="36"/>
                <w:szCs w:val="36"/>
              </w:rPr>
              <w:t>第一部分  2022年单位预算说明</w:t>
            </w:r>
          </w:p>
        </w:tc>
      </w:tr>
      <w:tr>
        <w:tblPrEx>
          <w:tblCellMar>
            <w:top w:w="0" w:type="dxa"/>
            <w:left w:w="108" w:type="dxa"/>
            <w:bottom w:w="0" w:type="dxa"/>
            <w:right w:w="108" w:type="dxa"/>
          </w:tblCellMar>
        </w:tblPrEx>
        <w:trPr>
          <w:trHeight w:val="2625" w:hRule="atLeast"/>
        </w:trPr>
        <w:tc>
          <w:tcPr>
            <w:tcW w:w="5000" w:type="pct"/>
            <w:tcBorders>
              <w:top w:val="nil"/>
              <w:left w:val="nil"/>
              <w:bottom w:val="nil"/>
              <w:right w:val="nil"/>
            </w:tcBorders>
            <w:shd w:val="clear" w:color="auto" w:fill="auto"/>
            <w:vAlign w:val="center"/>
          </w:tcPr>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一、单位基本概况</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（一）职能职责</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1、负责拟定相关行业发展规划规范性文件并组织实施的行政辅助工作。</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2、负责权限内公路、水运等建设工程质量、安全生产、工程造价监督管理的事务性工作。</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3、负责权限内公路、水运等建设工程日常巡查和有关技术专项检查工作；协助开展行政检查工作。</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4、负责受监项目竣（交）工验收的质量鉴定和检测核验工作。</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5、负责交通建设项目投资估算、概算、预算、决算及招标标底审查的事务性工作。</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6、负责权限内公路、水运等建设工程质量、安全生产隐患、安全事故、失信行为和造价问题的投诉举报受理工作；参与质量、安全生产事故调查工作。</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7、负责权限内公路、水运等建设工程从业单位和人员信用评价管理的事务性工作；负责监理和检测单位及其从业人员资质资格情况和从业行为监督的行政辅助工作。</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8、负责交通建设行业从业单位和人员的培训、考核、认定等事务性工作。</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9、负责交通建设工程造价资料调查、收集、整理，为编制计价依据提供依据；负责定期发布各县市区交通建设工程材料参考价格。</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（二）机构设置</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我单位设综合部、公路工程质量监监督部、水运工程质量监督部、安全生产监督部、行业服务部、检测监理监督部、财务部、党办等8个内设机构，设市交通建设工程造价所1个分支机构。   </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二、单位预算单位构成</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 xml:space="preserve">    本单位预算仅含本级预算</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三、单位收支总体情况</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（一）收入预算</w:t>
            </w:r>
          </w:p>
        </w:tc>
      </w:tr>
      <w:tr>
        <w:tblPrEx>
          <w:tblCellMar>
            <w:top w:w="0" w:type="dxa"/>
            <w:left w:w="108" w:type="dxa"/>
            <w:bottom w:w="0" w:type="dxa"/>
            <w:right w:w="108" w:type="dxa"/>
          </w:tblCellMar>
        </w:tblPrEx>
        <w:trPr>
          <w:trHeight w:val="1875"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包括一般公共预算、政府性基金、国有资本经营预算等财政拨款收入，以及经营收入、事业收入等单位资金。2022年本单位收入预算437.64万元，其中，一般公共预算拨款437.64万元，政府性基金预算拨款0万元，所以公开的附件15-17（政府性基金预算）为空,国有资本经营预算拨款0万元，所以公开的附表18（国有资本经营预算）为空,财政专户管理资金0万元，所以公开的附表19表（财政专户管理资金预算）为空，上级补助收入0万元，事业单位经营收入0万元，上年结转结余0万元。</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收入较去年增加68.65万元，主要是因为一般公共预算拨款安排了人员奖金和福利支出的资金缺口。</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（二）支出预算</w:t>
            </w:r>
          </w:p>
        </w:tc>
      </w:tr>
      <w:tr>
        <w:tblPrEx>
          <w:tblCellMar>
            <w:top w:w="0" w:type="dxa"/>
            <w:left w:w="108" w:type="dxa"/>
            <w:bottom w:w="0" w:type="dxa"/>
            <w:right w:w="108" w:type="dxa"/>
          </w:tblCellMar>
        </w:tblPrEx>
        <w:trPr>
          <w:trHeight w:val="1125"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2022年本单位支出预算437.64万元，其中，社会保障和就业支出32.86万元，占比7.51%，卫生健康支出16.86万元，占比3.85%，交通运输支出363.29万元，占比83.01%，住房保障支出24.64万元，占比5.63%。支出较去年增加68.65万元，其中基本支出增加3.85万元，项目支出增加64.8万元。其中基本支出较去年增加主要是事业单位人员薪级工资晋级普调后基本工资及五险一金单位缴费部分都有所增加，项目支出增加主要是因为一般公共预算支出足额安排了人员奖金和福利支出。</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hint="default"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rPr>
              <w:t>说明：2022年预算公开文档第三大点（对应表3）、第四大点（对应表7）中的金额和百分比，由于预算编制时金额明细到了“分”，而公开表格显示和公开文档取数只到“百元”，可能导致0.01的尾数差异。</w:t>
            </w:r>
          </w:p>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四、一般公共预算拨款支出预算</w:t>
            </w:r>
          </w:p>
        </w:tc>
      </w:tr>
      <w:tr>
        <w:tblPrEx>
          <w:tblCellMar>
            <w:top w:w="0" w:type="dxa"/>
            <w:left w:w="108" w:type="dxa"/>
            <w:bottom w:w="0" w:type="dxa"/>
            <w:right w:w="108" w:type="dxa"/>
          </w:tblCellMar>
        </w:tblPrEx>
        <w:trPr>
          <w:trHeight w:val="126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2022年本单位一般公共预算拨款支出预算437.64万元，其中，社会保障和就业支出32.86万元，占比7.51%，卫生健康支出16.86万元，占比3.85%，交通运输支出363.29万元，占比83.01%，住房保障支出24.64万元，占比5.63%。具体安排情况如下：</w:t>
            </w:r>
          </w:p>
        </w:tc>
      </w:tr>
      <w:tr>
        <w:tblPrEx>
          <w:tblCellMar>
            <w:top w:w="0" w:type="dxa"/>
            <w:left w:w="108" w:type="dxa"/>
            <w:bottom w:w="0" w:type="dxa"/>
            <w:right w:w="108" w:type="dxa"/>
          </w:tblCellMar>
        </w:tblPrEx>
        <w:trPr>
          <w:trHeight w:val="1125"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一）基本支出：2022年基本支出年初预算数为318.84万元（数据来源见表7），是指为保障单位机构正常运转、完成日常工作任务而发生的各项支出，包括用于基本工资、津贴补贴等人员经费以及办公费、印刷费、水电费、差旅费等日常公用经费。</w:t>
            </w:r>
          </w:p>
        </w:tc>
      </w:tr>
      <w:tr>
        <w:tblPrEx>
          <w:tblCellMar>
            <w:top w:w="0" w:type="dxa"/>
            <w:left w:w="108" w:type="dxa"/>
            <w:bottom w:w="0" w:type="dxa"/>
            <w:right w:w="108" w:type="dxa"/>
          </w:tblCellMar>
        </w:tblPrEx>
        <w:trPr>
          <w:trHeight w:val="150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二）项目支出：2022年项目支出年初预算数为118.80万元，是指单位为完成特定行政工作任务或事业发展目标而发生的支出，包括有关业务工作经费、运行维护经费等。其中：业务工作经费支出36万元，主要用于受监工程实体质量专项抽检检测、受监工程施工安全专项及考评、受监工程质量监督等方面工作。运行维护经费82.8万元，主要用于按项目管理的工资福利支出及对个人和家庭的补助。</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五、政府性基金预算支出</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2022年度本单位无政府性基金安排的支出，所以公开的附件15-17（政府性基金预算）为空。</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六、其他重要事项的情况说明</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（一）机关运行经费</w:t>
            </w:r>
          </w:p>
        </w:tc>
      </w:tr>
      <w:tr>
        <w:tblPrEx>
          <w:tblCellMar>
            <w:top w:w="0" w:type="dxa"/>
            <w:left w:w="108" w:type="dxa"/>
            <w:bottom w:w="0" w:type="dxa"/>
            <w:right w:w="108" w:type="dxa"/>
          </w:tblCellMar>
        </w:tblPrEx>
        <w:trPr>
          <w:trHeight w:val="85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本单位2022年机关运行经费当年一般公共预算拨款38.96万元，比上一年增加3.48万元，增加9.81%。主要原因是人员调入增加公用经费。</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（二）“三公”经费预算</w:t>
            </w:r>
          </w:p>
        </w:tc>
      </w:tr>
      <w:tr>
        <w:tblPrEx>
          <w:tblCellMar>
            <w:top w:w="0" w:type="dxa"/>
            <w:left w:w="108" w:type="dxa"/>
            <w:bottom w:w="0" w:type="dxa"/>
            <w:right w:w="108" w:type="dxa"/>
          </w:tblCellMar>
        </w:tblPrEx>
        <w:trPr>
          <w:trHeight w:val="1125"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本单位2022年“三公”经费预算数9.4万元，其中，公务接待费0.7万元，因公出国（境）费0万元，公务用车购置及运行费8.7万元，其中公务用车购置费0万元，公务用车运行费8.7万元。比上一年减少2.6万元，降低21.67%，主要原因是厉行节约，严格把控压缩公务接待费用及公务用车运行费。</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（三）一般性支出情况</w:t>
            </w:r>
          </w:p>
        </w:tc>
      </w:tr>
      <w:tr>
        <w:tblPrEx>
          <w:tblCellMar>
            <w:top w:w="0" w:type="dxa"/>
            <w:left w:w="108" w:type="dxa"/>
            <w:bottom w:w="0" w:type="dxa"/>
            <w:right w:w="108" w:type="dxa"/>
          </w:tblCellMar>
        </w:tblPrEx>
        <w:trPr>
          <w:trHeight w:val="150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本单位2022年会议费预算0.6万元，拟召开4次会议，人数150人，内容为全市交通质量安全监督工作会议及相关业务工作会议；培训费预算0.</w:t>
            </w:r>
            <w:r>
              <w:rPr>
                <w:rFonts w:hint="eastAsia" w:ascii="仿宋_GB2312" w:hAnsi="宋体" w:eastAsia="仿宋_GB2312" w:cs="宋体"/>
                <w:kern w:val="0"/>
                <w:sz w:val="28"/>
                <w:szCs w:val="28"/>
                <w:lang w:val="en-US" w:eastAsia="zh-CN"/>
              </w:rPr>
              <w:t>4</w:t>
            </w:r>
            <w:r>
              <w:rPr>
                <w:rFonts w:hint="eastAsia" w:ascii="仿宋_GB2312" w:hAnsi="宋体" w:eastAsia="仿宋_GB2312" w:cs="宋体"/>
                <w:kern w:val="0"/>
                <w:sz w:val="28"/>
                <w:szCs w:val="28"/>
              </w:rPr>
              <w:t>万元，拟开展</w:t>
            </w:r>
            <w:r>
              <w:rPr>
                <w:rFonts w:hint="eastAsia" w:ascii="仿宋_GB2312" w:hAnsi="宋体" w:eastAsia="仿宋_GB2312" w:cs="宋体"/>
                <w:kern w:val="0"/>
                <w:sz w:val="28"/>
                <w:szCs w:val="28"/>
                <w:lang w:val="en-US" w:eastAsia="zh-CN"/>
              </w:rPr>
              <w:t>2</w:t>
            </w:r>
            <w:r>
              <w:rPr>
                <w:rFonts w:hint="eastAsia" w:ascii="仿宋_GB2312" w:hAnsi="宋体" w:eastAsia="仿宋_GB2312" w:cs="宋体"/>
                <w:kern w:val="0"/>
                <w:sz w:val="28"/>
                <w:szCs w:val="28"/>
              </w:rPr>
              <w:t>次培训，人数</w:t>
            </w:r>
            <w:r>
              <w:rPr>
                <w:rFonts w:hint="eastAsia" w:ascii="仿宋_GB2312" w:hAnsi="宋体" w:eastAsia="仿宋_GB2312" w:cs="宋体"/>
                <w:kern w:val="0"/>
                <w:sz w:val="28"/>
                <w:szCs w:val="28"/>
                <w:lang w:val="en-US" w:eastAsia="zh-CN"/>
              </w:rPr>
              <w:t>100</w:t>
            </w:r>
            <w:r>
              <w:rPr>
                <w:rFonts w:hint="eastAsia" w:ascii="仿宋_GB2312" w:hAnsi="宋体" w:eastAsia="仿宋_GB2312" w:cs="宋体"/>
                <w:kern w:val="0"/>
                <w:sz w:val="28"/>
                <w:szCs w:val="28"/>
              </w:rPr>
              <w:t>人，内容为有关工程技术规范的宣贯培训；未计划举办节庆、晚会、论坛、赛事活动。</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（四）政府采购情况</w:t>
            </w:r>
          </w:p>
        </w:tc>
      </w:tr>
      <w:tr>
        <w:tblPrEx>
          <w:tblCellMar>
            <w:top w:w="0" w:type="dxa"/>
            <w:left w:w="108" w:type="dxa"/>
            <w:bottom w:w="0" w:type="dxa"/>
            <w:right w:w="108" w:type="dxa"/>
          </w:tblCellMar>
        </w:tblPrEx>
        <w:trPr>
          <w:trHeight w:val="75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w:t>
            </w:r>
            <w:r>
              <w:rPr>
                <w:rFonts w:hint="eastAsia" w:ascii="仿宋_GB2312" w:hAnsi="宋体" w:eastAsia="仿宋_GB2312" w:cs="宋体"/>
                <w:kern w:val="0"/>
                <w:sz w:val="28"/>
                <w:szCs w:val="28"/>
                <w:lang w:val="en-US" w:eastAsia="zh-CN"/>
              </w:rPr>
              <w:t xml:space="preserve"> </w:t>
            </w:r>
            <w:r>
              <w:rPr>
                <w:rFonts w:hint="eastAsia" w:ascii="仿宋_GB2312" w:hAnsi="宋体" w:eastAsia="仿宋_GB2312" w:cs="宋体"/>
                <w:kern w:val="0"/>
                <w:sz w:val="28"/>
                <w:szCs w:val="28"/>
              </w:rPr>
              <w:t>本单位2022年政府采购预算总额50万元，其中工程类5万元，货物类30万元，服务类15万元。</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（五）国有资产占有使用及新增资产配置情况</w:t>
            </w:r>
          </w:p>
        </w:tc>
      </w:tr>
      <w:tr>
        <w:tblPrEx>
          <w:tblCellMar>
            <w:top w:w="0" w:type="dxa"/>
            <w:left w:w="108" w:type="dxa"/>
            <w:bottom w:w="0" w:type="dxa"/>
            <w:right w:w="108" w:type="dxa"/>
          </w:tblCellMar>
        </w:tblPrEx>
        <w:trPr>
          <w:trHeight w:val="3000" w:hRule="atLeast"/>
        </w:trPr>
        <w:tc>
          <w:tcPr>
            <w:tcW w:w="5000" w:type="pct"/>
            <w:tcBorders>
              <w:top w:val="nil"/>
              <w:left w:val="nil"/>
              <w:bottom w:val="nil"/>
              <w:right w:val="nil"/>
            </w:tcBorders>
            <w:shd w:val="clear" w:color="auto" w:fill="auto"/>
            <w:vAlign w:val="center"/>
          </w:tcPr>
          <w:p>
            <w:pPr>
              <w:widowControl/>
              <w:spacing w:line="600" w:lineRule="exact"/>
              <w:ind w:firstLine="560" w:firstLineChars="200"/>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 截至上一年12月底，本单位共有车辆2辆，其中一般公务用车2辆。单位价值50万元以上通用设备0台，单位价值100万元以上专用设备0台。</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 xml:space="preserve">    2022年度本单位未计划处置或新增车辆、设备等。</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（六）预算绩效目标说明</w:t>
            </w:r>
          </w:p>
        </w:tc>
      </w:tr>
      <w:tr>
        <w:tblPrEx>
          <w:tblCellMar>
            <w:top w:w="0" w:type="dxa"/>
            <w:left w:w="108" w:type="dxa"/>
            <w:bottom w:w="0" w:type="dxa"/>
            <w:right w:w="108" w:type="dxa"/>
          </w:tblCellMar>
        </w:tblPrEx>
        <w:trPr>
          <w:trHeight w:val="75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本单位所有支出实行绩效目标管理。纳入2022年部门整体支出绩效目标的金额为437.64万元，其中，基本支出318.84万元，项目支出118.8万元，详见文尾附表中单位预算公开表格的表21-22。</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七、名词解释</w:t>
            </w:r>
          </w:p>
        </w:tc>
      </w:tr>
      <w:tr>
        <w:tblPrEx>
          <w:tblCellMar>
            <w:top w:w="0" w:type="dxa"/>
            <w:left w:w="108" w:type="dxa"/>
            <w:bottom w:w="0" w:type="dxa"/>
            <w:right w:w="108" w:type="dxa"/>
          </w:tblCellMar>
        </w:tblPrEx>
        <w:trPr>
          <w:trHeight w:val="300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 xml:space="preserve">    2、“三公”经费：纳入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tc>
      </w:tr>
      <w:tr>
        <w:tblPrEx>
          <w:tblCellMar>
            <w:top w:w="0" w:type="dxa"/>
            <w:left w:w="108" w:type="dxa"/>
            <w:bottom w:w="0" w:type="dxa"/>
            <w:right w:w="108" w:type="dxa"/>
          </w:tblCellMar>
        </w:tblPrEx>
        <w:trPr>
          <w:trHeight w:val="900" w:hRule="atLeast"/>
        </w:trPr>
        <w:tc>
          <w:tcPr>
            <w:tcW w:w="5000" w:type="pct"/>
            <w:tcBorders>
              <w:top w:val="nil"/>
              <w:left w:val="nil"/>
              <w:bottom w:val="nil"/>
              <w:right w:val="nil"/>
            </w:tcBorders>
            <w:shd w:val="clear" w:color="auto" w:fill="auto"/>
            <w:vAlign w:val="center"/>
          </w:tcPr>
          <w:p>
            <w:pPr>
              <w:widowControl/>
              <w:jc w:val="center"/>
              <w:rPr>
                <w:rFonts w:ascii="黑体" w:hAnsi="黑体" w:eastAsia="黑体" w:cs="宋体"/>
                <w:color w:val="000000"/>
                <w:kern w:val="0"/>
                <w:sz w:val="36"/>
                <w:szCs w:val="36"/>
              </w:rPr>
            </w:pPr>
            <w:r>
              <w:rPr>
                <w:rFonts w:hint="eastAsia" w:ascii="黑体" w:hAnsi="黑体" w:eastAsia="黑体" w:cs="宋体"/>
                <w:color w:val="000000"/>
                <w:kern w:val="0"/>
                <w:sz w:val="36"/>
                <w:szCs w:val="36"/>
              </w:rPr>
              <w:t>第二部分  2022年单位预算公开表格</w:t>
            </w:r>
          </w:p>
        </w:tc>
      </w:tr>
      <w:tr>
        <w:tblPrEx>
          <w:tblCellMar>
            <w:top w:w="0" w:type="dxa"/>
            <w:left w:w="108" w:type="dxa"/>
            <w:bottom w:w="0" w:type="dxa"/>
            <w:right w:w="108" w:type="dxa"/>
          </w:tblCellMar>
        </w:tblPrEx>
        <w:trPr>
          <w:trHeight w:val="8190" w:hRule="atLeast"/>
        </w:trPr>
        <w:tc>
          <w:tcPr>
            <w:tcW w:w="5000" w:type="pct"/>
            <w:tcBorders>
              <w:top w:val="nil"/>
              <w:left w:val="nil"/>
              <w:bottom w:val="nil"/>
              <w:right w:val="nil"/>
            </w:tcBorders>
            <w:shd w:val="clear" w:color="auto" w:fill="auto"/>
            <w:vAlign w:val="center"/>
          </w:tcPr>
          <w:p>
            <w:pPr>
              <w:widowControl/>
              <w:numPr>
                <w:ilvl w:val="0"/>
                <w:numId w:val="2"/>
              </w:numPr>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收支总表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2、收入总表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3、支出总表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4、支出预算分类汇总表（按政府预算经济分类）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5、支出预算分类汇总表（按部门预算经济分类）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6、财政拨款收支总表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7、一般公共预算支出表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8、一般公共预算基本支出表-人员经费（工资福利支出）（按政府预算经济分类）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9、一般公共预算基本支出表-人员经费（工资福利支出）（按部门预算经济分类）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10、一般公共预算基本支出表-人员经费（对个人和家庭的补助）（按政府预算经济分类）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11、一般公共预算基本支出表-人员经费（对个人和家庭的补助）（按部门预算经济分类）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12、一般公共预算基本支出表-</w:t>
            </w:r>
            <w:r>
              <w:rPr>
                <w:rFonts w:hint="eastAsia" w:ascii="仿宋_GB2312" w:hAnsi="宋体" w:eastAsia="仿宋_GB2312" w:cs="宋体"/>
                <w:color w:val="000000"/>
                <w:kern w:val="0"/>
                <w:sz w:val="28"/>
                <w:szCs w:val="28"/>
                <w:lang w:eastAsia="zh-CN"/>
              </w:rPr>
              <w:t>公用</w:t>
            </w:r>
            <w:bookmarkStart w:id="0" w:name="_GoBack"/>
            <w:bookmarkEnd w:id="0"/>
            <w:r>
              <w:rPr>
                <w:rFonts w:hint="eastAsia" w:ascii="仿宋_GB2312" w:hAnsi="宋体" w:eastAsia="仿宋_GB2312" w:cs="宋体"/>
                <w:color w:val="000000"/>
                <w:kern w:val="0"/>
                <w:sz w:val="28"/>
                <w:szCs w:val="28"/>
              </w:rPr>
              <w:t>经费（商品和服务支出）（按政府预算经济分类）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13、一般公共预算基本支出表-</w:t>
            </w:r>
            <w:r>
              <w:rPr>
                <w:rFonts w:hint="eastAsia" w:ascii="仿宋_GB2312" w:hAnsi="宋体" w:eastAsia="仿宋_GB2312" w:cs="宋体"/>
                <w:color w:val="000000"/>
                <w:kern w:val="0"/>
                <w:sz w:val="28"/>
                <w:szCs w:val="28"/>
                <w:lang w:eastAsia="zh-CN"/>
              </w:rPr>
              <w:t>公用</w:t>
            </w:r>
            <w:r>
              <w:rPr>
                <w:rFonts w:hint="eastAsia" w:ascii="仿宋_GB2312" w:hAnsi="宋体" w:eastAsia="仿宋_GB2312" w:cs="宋体"/>
                <w:color w:val="000000"/>
                <w:kern w:val="0"/>
                <w:sz w:val="28"/>
                <w:szCs w:val="28"/>
              </w:rPr>
              <w:t>经费（商品和服务支出）（按部门预算经济分类）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14、一般公共预算“三公”经费支出表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15、政府性基金预算支出表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16、政府性基金预算支出分类汇总表（按政府预算经济分类）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17、政府性基金预算支出分类汇总表（按部门预算经济分类）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18、国有资本经营预算支出表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19、财政专户管理资金预算支出表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20、专项资金预算汇总表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21、项目支出绩效目标表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22、整体支出绩效目标表</w:t>
            </w:r>
          </w:p>
          <w:p>
            <w:pPr>
              <w:widowControl/>
              <w:numPr>
                <w:ilvl w:val="0"/>
                <w:numId w:val="0"/>
              </w:numPr>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lang w:val="en-US" w:eastAsia="zh-CN"/>
              </w:rPr>
              <w:t>23、一般公共预算基本支出表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注：以上单位预算公开报表中，空表表示本单位无相关收支情况。</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宋体"/>
    <w:panose1 w:val="00000000000000000000"/>
    <w:charset w:val="86"/>
    <w:family w:val="roman"/>
    <w:pitch w:val="default"/>
    <w:sig w:usb0="00000000" w:usb1="00000000" w:usb2="00000010" w:usb3="00000000" w:csb0="00040000" w:csb1="0000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7F8696"/>
    <w:multiLevelType w:val="singleLevel"/>
    <w:tmpl w:val="977F8696"/>
    <w:lvl w:ilvl="0" w:tentative="0">
      <w:start w:val="1"/>
      <w:numFmt w:val="decimal"/>
      <w:suff w:val="nothing"/>
      <w:lvlText w:val="%1、"/>
      <w:lvlJc w:val="left"/>
    </w:lvl>
  </w:abstractNum>
  <w:abstractNum w:abstractNumId="1">
    <w:nsid w:val="046FD8E1"/>
    <w:multiLevelType w:val="singleLevel"/>
    <w:tmpl w:val="046FD8E1"/>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64BB1"/>
    <w:rsid w:val="00664BB1"/>
    <w:rsid w:val="00DE14BF"/>
    <w:rsid w:val="23A83A0D"/>
    <w:rsid w:val="310751BF"/>
    <w:rsid w:val="3DC41688"/>
    <w:rsid w:val="42E145CD"/>
    <w:rsid w:val="5EB569F5"/>
    <w:rsid w:val="6C334D13"/>
    <w:rsid w:val="6CE23B62"/>
    <w:rsid w:val="77A90831"/>
    <w:rsid w:val="7E2F1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9</Pages>
  <Words>592</Words>
  <Characters>3381</Characters>
  <Lines>28</Lines>
  <Paragraphs>7</Paragraphs>
  <TotalTime>25</TotalTime>
  <ScaleCrop>false</ScaleCrop>
  <LinksUpToDate>false</LinksUpToDate>
  <CharactersWithSpaces>3966</CharactersWithSpaces>
  <Application>WPS Office_11.8.2.11707_F1E327BC-269C-435d-A152-05C5408002CA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2023-06-08T08:39:00Z</dcterms:created>
  <dc:creator>PC</dc:creator>
  <cp:lastModifiedBy>Administrator</cp:lastModifiedBy>
  <dcterms:modified xsi:type="dcterms:W3CDTF">2023-09-22T09:38:50Z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2052-11.8.2.11707</vt:lpwstr>
  </property>
  <property fmtid="{D5CDD505-2E9C-101B-9397-08002B2CF9AE}" pid="3" name="ICV">
    <vt:lpwstr>36C024D3C67645778F7B43FB1625A815</vt:lpwstr>
  </property>
</Properties>
</file>