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ascii="Calibri" w:hAnsi="Calibri" w:cs="Calibri"/>
          <w:sz w:val="21"/>
          <w:szCs w:val="21"/>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After w:w="0" w:type="auto"/>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widowControl/>
              <w:ind w:firstLine="0" w:firstLineChars="0"/>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岳阳市人民政府金融工作办公室2022年度</w:t>
            </w:r>
            <w:r>
              <w:rPr>
                <w:rFonts w:hint="eastAsia" w:ascii="方正小标宋_GBK" w:hAnsi="宋体" w:eastAsia="方正小标宋_GBK" w:cs="宋体"/>
                <w:color w:val="000000"/>
                <w:kern w:val="0"/>
                <w:sz w:val="40"/>
                <w:szCs w:val="40"/>
                <w:lang w:val="en-US" w:eastAsia="zh-CN"/>
              </w:rPr>
              <w:t>部门</w:t>
            </w:r>
            <w:r>
              <w:rPr>
                <w:rFonts w:hint="eastAsia" w:ascii="方正小标宋_GBK" w:hAnsi="宋体" w:eastAsia="方正小标宋_GBK" w:cs="宋体"/>
                <w:color w:val="000000"/>
                <w:kern w:val="0"/>
                <w:sz w:val="40"/>
                <w:szCs w:val="40"/>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wAfter w:w="0" w:type="auto"/>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widowControl/>
              <w:ind w:firstLine="0" w:firstLineChars="0"/>
              <w:jc w:val="center"/>
              <w:rPr>
                <w:rFonts w:hint="default" w:ascii="黑体" w:hAnsi="黑体" w:eastAsia="黑体" w:cs="宋体"/>
                <w:kern w:val="0"/>
                <w:sz w:val="36"/>
                <w:szCs w:val="36"/>
              </w:rPr>
            </w:pPr>
            <w:r>
              <w:rPr>
                <w:rFonts w:hint="eastAsia" w:ascii="黑体" w:hAnsi="黑体" w:eastAsia="黑体" w:cs="宋体"/>
                <w:kern w:val="0"/>
                <w:sz w:val="36"/>
                <w:szCs w:val="36"/>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wAfter w:w="0" w:type="auto"/>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widowControl/>
              <w:ind w:firstLine="0" w:firstLineChars="0"/>
              <w:jc w:val="center"/>
              <w:rPr>
                <w:rFonts w:hint="eastAsia" w:ascii="黑体" w:hAnsi="黑体" w:eastAsia="黑体" w:cs="宋体"/>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ascii="Calibri" w:hAnsi="Calibri" w:cs="Calibri"/>
                <w:sz w:val="21"/>
                <w:szCs w:val="21"/>
              </w:rPr>
            </w:pPr>
            <w:r>
              <w:rPr>
                <w:rFonts w:ascii="仿宋_GB2312" w:hAnsi="Calibri" w:eastAsia="仿宋_GB2312" w:cs="仿宋_GB2312"/>
                <w:i w:val="0"/>
                <w:iCs w:val="0"/>
                <w:caps w:val="0"/>
                <w:color w:val="000000"/>
                <w:spacing w:val="0"/>
                <w:kern w:val="0"/>
                <w:sz w:val="28"/>
                <w:szCs w:val="28"/>
                <w:bdr w:val="none" w:color="auto" w:sz="0" w:space="0"/>
                <w:lang w:val="en-US" w:eastAsia="zh-CN" w:bidi="ar"/>
              </w:rPr>
              <w:t>第一部分</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第二部分  2022年部门预算公开表格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19" w:hRule="atLeast"/>
        </w:trPr>
        <w:tc>
          <w:tcPr>
            <w:tcW w:w="0" w:type="auto"/>
            <w:vMerge w:val="restart"/>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1、收支总表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2、收入总表</w:t>
            </w:r>
            <w:bookmarkStart w:id="0" w:name="_GoBack"/>
            <w:bookmarkEnd w:id="0"/>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3、支出总表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4、支出预算分类汇总表（按政府预算经济分类）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5、支出预算分类汇总表（按部门预算经济分类）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6、财政拨款收支总表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7、一般公共预算支出表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8、一般公共预算基本支出表-人员经费（工资福利支出）（按政府预算经济分类）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9、一般公共预算基本支出表-人员经费（工资福利支出）（按部门预算经济分类）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10、一般公共预算基本支出表-人员经费（对个人和家庭的补助）（按政府预算经济分类）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11、一般公共预算基本支出表-人员经费（对个人和家庭的补助）（按部门预算经济分类）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12、一般公共预算基本支出表-人员经费（商品和服务支出）（按政府预算经济分类）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13、一般公共预算基本支出表-人员经费（商品和服务支出）（按部门预算经济分类）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14、一般公共预算“三公”经费支出表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15、政府性基金预算支出表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16、政府性基金预算支出分类汇总表（按政府预算经济分类）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17、政府性基金预算支出分类汇总表（按部门预算经济分类）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18、国有资本经营预算支出表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19、财政专户管理资金预算支出表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20、专项资金预算汇总表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21、项目支出绩效目标表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22、整体支出绩效目标表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注：以上单位预算公开报表中，空表表示本单位无相关收支情况。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19" w:hRule="atLeast"/>
        </w:trPr>
        <w:tc>
          <w:tcPr>
            <w:tcW w:w="0" w:type="auto"/>
            <w:vMerge w:val="continue"/>
            <w:tcBorders>
              <w:top w:val="nil"/>
              <w:left w:val="nil"/>
              <w:bottom w:val="nil"/>
              <w:right w:val="nil"/>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40"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1"/>
                <w:szCs w:val="21"/>
              </w:rPr>
            </w:pPr>
            <w:r>
              <w:rPr>
                <w:rFonts w:ascii="黑体" w:hAnsi="宋体" w:eastAsia="黑体" w:cs="黑体"/>
                <w:i w:val="0"/>
                <w:iCs w:val="0"/>
                <w:caps w:val="0"/>
                <w:color w:val="000000"/>
                <w:spacing w:val="0"/>
                <w:kern w:val="0"/>
                <w:sz w:val="36"/>
                <w:szCs w:val="36"/>
                <w:bdr w:val="none" w:color="auto" w:sz="0" w:space="0"/>
                <w:lang w:val="en-US" w:eastAsia="zh-CN" w:bidi="ar"/>
              </w:rPr>
              <w:t>第一部分</w:t>
            </w:r>
            <w:r>
              <w:rPr>
                <w:rFonts w:hint="eastAsia" w:ascii="黑体" w:hAnsi="宋体" w:eastAsia="黑体" w:cs="黑体"/>
                <w:i w:val="0"/>
                <w:iCs w:val="0"/>
                <w:caps w:val="0"/>
                <w:color w:val="000000"/>
                <w:spacing w:val="0"/>
                <w:kern w:val="0"/>
                <w:sz w:val="36"/>
                <w:szCs w:val="36"/>
                <w:bdr w:val="none" w:color="auto" w:sz="0" w:space="0"/>
                <w:lang w:val="en-US" w:eastAsia="zh-CN" w:bidi="ar"/>
              </w:rPr>
              <w:t>  2022年部门预算说明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75"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一、部门基本概况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（一）职能职责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贯彻执行国家有关金融工作的方针、政策和法律、法规，组织拟订金融领域有关地方性文件草案；组织拟订全市金融业发展战略、中长期规划；组织拟订加强全市金融行业服务、促进金融行业发展的意见和政策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（2）研究分析国家金融政策、宏观金融形势和全市金融运行情况，负责推动全市金融改革创新，完善金融业整体布局，指导推进全市金融市场体系建设，引进金融机构及培育金融人才，促进全市金融发展。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3）负责联系国务院、省驻岳金融管理部门、各类金融机构；协助国务院、省驻岳金融管理部门依法对我市金融机构进行监管；组织开展政府与金融机构合作、金融机构和企业对接，引导协调和鼓励金融机构加大对全市经济社会发展的支持力度并组织目标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4）组织协调实施金融突发事件应急工作，会同有关部门查处和打击非法金融机构和非法金融业务活动，打击和处置非法集资活动，整顿和规范全市金融市场秩序，防范化解、处置各类金融风险，维护金融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（5）会同有关部门推进全市社会信用体系建设和金融安全区建设，推进改善金融生态环境。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（6）组织推动全市全方位多层次资本市场建设与发展；指导和推进企业改制上市等直接融资工作；指导协调上市公司资产重组及兼并收购，负责全市上市后备资源培育工作。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7）负责对辖区内融资担保公司、小额贷款公司、区域性股权市场、典当行、融资租赁公司、商业保理公司、地方资产管理公司等金融机构实施监督，强化对辖区内投资公司、开展信用互助的农民专业合作社、社会众筹机构、地方各类交易场所等的监管；协调相关部门加强对互联网金融的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（8）负责地方金融监管职责范围内的金融消费者（投资者）权益保护工作，负责金融知识宣传和投资者风险教育工作。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（9）指导地方性金融业等行业协会的自律建设作。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（10）承办市委、市人民政府和上级部门交办的其他事项。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根据市委编办核定，市政府金融工作办公室内设科室4个。 内设科室分别是:综合科（人事科）、银行科保险、资本市场科、金融监管科（金融稳定科）。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我单位无二级预算单位，因此，纳入2022年部门预算编制范围的为岳阳市人民政府金融工作办公室本级。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三、部门收支总体情况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（一）收入预算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75"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包括一般公共预算、政府性基金、国有资本经营预算等财政拨款收入，以及经营收入、事业收入等单位资金。2022年本部门收入预算338.31万元，其中，一般公共预算拨款338.31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收入较去年增加102.36万元，主要是因为人员工资增加和对个人和家庭的补助增加等。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2"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20"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本部门支出预算338.31万元，其中，一般公共服务支出297.48万元，占比87.93%，社会保障和就业支出16.58万元，占比4.90%，卫生健康支出11.82万元，占比3.49%，住房保障支出12.43万元，占比3.67%。支出较去年增加102.36万元，主要是人员工资增加和对个人和家庭的补助增加等，其中一般公共服务增加105.66万元，社会保障和就业支出减少1.34万元，卫生健康支出减少0.96万元，住房保障支出减少1.01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本部门一般公共预算拨款支出预算338.31万元，其中，一般公共服务支出297.48万元，占比87.93%，社会保障和就业支出16.58万元，占比4.90%，卫生健康支出11.82万元，占比3.49%，住房保障支出12.43万元，占比3.67%。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一）基本支出：2022年基本支出年初预算数为185.31万元（数据来源见表7），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75"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二）项目支出：2022年项目支出年初预算数为153万元，是指单位为完成特定行政工作任务或事业发展目标而发生的支出，包括有关业务工作经费、运行维护经费等。其中：打击和处置非法集资工作经费15.00万元、推进企业上市工作经费39.00万元、小额贷款融资担保公司监管7.20万元，物业服务补贴10.80万元，预安排综合绩效奖和平安岳阳建设奖60.00万元，职工伙食补助12.00万元，主要是用于开展金融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2022年度本部门无政府性基金安排的支出，所以公开的附件15-17（政府性基金预算）为空。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5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2022年我单位的机关运行经费当年一般公共预算拨款39.34万元，比2022年预算增加2.7万元，增加6.86%，主要原因是公用经费增加。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00"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FF0000"/>
                <w:spacing w:val="0"/>
                <w:kern w:val="0"/>
                <w:sz w:val="28"/>
                <w:szCs w:val="28"/>
                <w:bdr w:val="none" w:color="auto" w:sz="0" w:space="0"/>
                <w:lang w:val="en-US" w:eastAsia="zh-CN" w:bidi="ar"/>
              </w:rPr>
              <w:t>    </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本部门（单位）2022年“三公”经费预算数4.5万元（数据来源见表14），其中，公务接待费1万元，因公出国（境）费0万元，公务用车购置及运行费3.5万元（其中，公务用车购置费0万元，公务用车运行费3.5万元）。</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2022年三公经费预算较上年无变化。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75"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本部门会议费预算2.00万元，拟召开上市企业推进会等会议3次共计180人次；培训费预算1.00万元，拟开展上市企业培训等培训2次80人次，内容主要为企业上市相关内容培训；2022年度本部门未计划举办节庆、晚会、论坛、赛事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2022年本部门政府采购预算总额  39.34万元，其中，货物类采购预算23.67万元，主要是日常办公用品等货物采购；工程类采购预算0万元；服务类采购预算15.67万元，主要是印刷服务、会议服务等服务采购。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5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截至上年底，本部门共有车辆1辆，其中领导干部用车0辆，一般公务用车0辆，其他用车0辆。单位价值50万元以上通用设备0台，单位价值100万元以上专用设备0台。</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2022年拟报废处置公务用车0辆，拟新增配置车辆0辆，其中领导干部用车0辆，一般公务用车0辆，其他用车0辆。</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2022年拟新增配备领导干部用车0辆，一般公务用车0辆，其他用车0辆，新增配备单位价值50万元以上通用设备0台，单位价值100万元以上专用设备0台。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2022年度本部门未计划处置或新增车辆、设备等。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本部门所有支出实行绩效目标管理。纳入2022年部门整体支出绩效目标的金额为338.31万元，其中，基本支出185.31万元，项目支出153万元，详见文尾附表中部门预算公开表格的表21-22。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9"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00"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rPr>
        <w:tc>
          <w:tcPr>
            <w:tcW w:w="0" w:type="auto"/>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kern w:val="0"/>
                <w:sz w:val="36"/>
                <w:szCs w:val="36"/>
                <w:bdr w:val="none" w:color="auto" w:sz="0" w:space="0"/>
                <w:lang w:val="en-US" w:eastAsia="zh-CN" w:bidi="ar"/>
              </w:rPr>
              <w:t>第二部分  2022年部门预算公开表格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0" w:hRule="atLeast"/>
        </w:trPr>
        <w:tc>
          <w:tcPr>
            <w:tcW w:w="0" w:type="auto"/>
            <w:vMerge w:val="restart"/>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1、收支总表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2、收入总表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3、支出总表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4、支出预算分类汇总表（按政府预算经济分类）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5、支出预算分类汇总表（按部门预算经济分类）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6、财政拨款收支总表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7、一般公共预算支出表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8、一般公共预算基本支出表-人员经费（工资福利支出）（按政府预算经济分类）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9、一般公共预算基本支出表-人员经费（工资福利支出）（按部门预算经济分类）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10、一般公共预算基本支出表-人员经费（对个人和家庭的补助）（按政府预算经济分类）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11、一般公共预算基本支出表-人员经费（对个人和家庭的补助）（按部门预算经济分类）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12、一般公共预算基本支出表-人员经费（商品和服务支出）（按政府预算经济分类）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13、一般公共预算基本支出表-人员经费（商品和服务支出）（按部门预算经济分类）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14、一般公共预算“三公”经费支出表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15、政府性基金预算支出表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16、政府性基金预算支出分类汇总表（按政府预算经济分类）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17、政府性基金预算支出分类汇总表（按部门预算经济分类）</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18、国有资本经营预算支出表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19、财政专户管理资金预算支出表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20、专项资金预算汇总表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21、项目支出绩效目标表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22、整体支出绩效目标表</w:t>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br w:type="textWrapping"/>
            </w: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注：以上单位预算公开报表中，空表表示本单位无相关收支情况。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0" w:hRule="atLeast"/>
        </w:trPr>
        <w:tc>
          <w:tcPr>
            <w:tcW w:w="0" w:type="auto"/>
            <w:vMerge w:val="continue"/>
            <w:tcBorders>
              <w:top w:val="nil"/>
              <w:left w:val="nil"/>
              <w:bottom w:val="nil"/>
              <w:right w:val="nil"/>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000000"/>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B8F79B-2A9E-46FB-AE9F-16E9D7DA85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DE2697B2-157A-4088-A5F4-D7007A270CDA}"/>
  </w:font>
  <w:font w:name="仿宋_GB2312">
    <w:panose1 w:val="02010609030101010101"/>
    <w:charset w:val="86"/>
    <w:family w:val="auto"/>
    <w:pitch w:val="default"/>
    <w:sig w:usb0="00000001" w:usb1="080E0000" w:usb2="00000000" w:usb3="00000000" w:csb0="00040000" w:csb1="00000000"/>
    <w:embedRegular r:id="rId3" w:fontKey="{6C95D3C3-99AB-4E9A-A520-B742AB916856}"/>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roman"/>
    <w:pitch w:val="default"/>
    <w:sig w:usb0="A00002BF" w:usb1="38CF7CFA" w:usb2="00082016" w:usb3="00000000" w:csb0="00040001" w:csb1="00000000"/>
    <w:embedRegular r:id="rId4" w:fontKey="{D4238831-A4B9-4154-896E-D1722624216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GFmMTJjZDc5MTY3YTY1N2I2YTE3ZGU3YTY2NDUifQ=="/>
  </w:docVars>
  <w:rsids>
    <w:rsidRoot w:val="79975538"/>
    <w:rsid w:val="060F4036"/>
    <w:rsid w:val="312E36D8"/>
    <w:rsid w:val="3B51265F"/>
    <w:rsid w:val="4E542F0D"/>
    <w:rsid w:val="79975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80" w:lineRule="exact"/>
      <w:ind w:firstLine="0" w:firstLineChars="0"/>
      <w:jc w:val="both"/>
    </w:pPr>
    <w:rPr>
      <w:rFonts w:ascii="Times New Roman" w:hAnsi="Times New Roman" w:eastAsia="仿宋_GB2312" w:cstheme="minorBidi"/>
      <w:kern w:val="2"/>
      <w:sz w:val="28"/>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ind w:firstLine="643" w:firstLineChars="200"/>
      <w:outlineLvl w:val="1"/>
    </w:pPr>
    <w:rPr>
      <w:rFonts w:ascii="Arial" w:hAnsi="Arial" w:eastAsia="黑体" w:cs="Times New Roman"/>
      <w:b/>
      <w:sz w:val="32"/>
    </w:rPr>
  </w:style>
  <w:style w:type="paragraph" w:styleId="4">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rFonts w:ascii="Calibri" w:hAnsi="Calibri" w:eastAsia="楷体_GB2312" w:cs="Arial"/>
      <w:b/>
      <w:sz w:val="32"/>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character" w:customStyle="1" w:styleId="7">
    <w:name w:val="标题 3 Char"/>
    <w:link w:val="4"/>
    <w:qFormat/>
    <w:uiPriority w:val="0"/>
    <w:rPr>
      <w:rFonts w:ascii="Calibri" w:hAnsi="Calibri" w:eastAsia="楷体_GB2312" w:cs="Arial"/>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2023-09-06T09:27:00Z</dcterms:created>
  <dc:creator>German Phillip</dc:creator>
  <cp:lastModifiedBy>German Phillip</cp:lastModifiedBy>
  <dcterms:modified xsi:type="dcterms:W3CDTF">2023-09-06T09:31:04Z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03515137D6704CF9A4BBA43F26AE8C12_11</vt:lpwstr>
  </property>
</Properties>
</file>