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年度部门整体</w:t>
      </w:r>
      <w:bookmarkStart w:id="0" w:name="_GoBack"/>
      <w:bookmarkEnd w:id="0"/>
      <w:r>
        <w:rPr>
          <w:rFonts w:hint="eastAsia" w:ascii="方正小标宋简体" w:hAnsi="方正小标宋简体" w:eastAsia="方正小标宋简体" w:cs="方正小标宋简体"/>
          <w:sz w:val="36"/>
          <w:szCs w:val="36"/>
        </w:rPr>
        <w:t>支出绩效评价基础数据表</w:t>
      </w:r>
    </w:p>
    <w:tbl>
      <w:tblPr>
        <w:tblStyle w:val="8"/>
        <w:tblW w:w="9917" w:type="dxa"/>
        <w:jc w:val="center"/>
        <w:tblLayout w:type="fixed"/>
        <w:tblCellMar>
          <w:top w:w="0" w:type="dxa"/>
          <w:left w:w="108" w:type="dxa"/>
          <w:bottom w:w="0" w:type="dxa"/>
          <w:right w:w="108" w:type="dxa"/>
        </w:tblCellMar>
      </w:tblPr>
      <w:tblGrid>
        <w:gridCol w:w="3679"/>
        <w:gridCol w:w="1074"/>
        <w:gridCol w:w="1008"/>
        <w:gridCol w:w="968"/>
        <w:gridCol w:w="1257"/>
        <w:gridCol w:w="1072"/>
        <w:gridCol w:w="859"/>
      </w:tblGrid>
      <w:tr>
        <w:tblPrEx>
          <w:tblCellMar>
            <w:top w:w="0" w:type="dxa"/>
            <w:left w:w="108" w:type="dxa"/>
            <w:bottom w:w="0" w:type="dxa"/>
            <w:right w:w="108" w:type="dxa"/>
          </w:tblCellMar>
        </w:tblPrEx>
        <w:trPr>
          <w:trHeight w:val="446" w:hRule="atLeast"/>
          <w:jc w:val="center"/>
        </w:trPr>
        <w:tc>
          <w:tcPr>
            <w:tcW w:w="367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8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193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446" w:hRule="atLeast"/>
          <w:jc w:val="center"/>
        </w:trPr>
        <w:tc>
          <w:tcPr>
            <w:tcW w:w="367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25</w:t>
            </w:r>
            <w:r>
              <w:rPr>
                <w:rFonts w:hint="eastAsia" w:ascii="仿宋_GB2312" w:hAnsi="仿宋_GB2312" w:eastAsia="仿宋_GB2312" w:cs="仿宋_GB2312"/>
                <w:sz w:val="20"/>
                <w:szCs w:val="20"/>
              </w:rPr>
              <w:t>　</w:t>
            </w:r>
          </w:p>
        </w:tc>
        <w:tc>
          <w:tcPr>
            <w:tcW w:w="22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25</w:t>
            </w:r>
          </w:p>
        </w:tc>
        <w:tc>
          <w:tcPr>
            <w:tcW w:w="193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100%</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3.69</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4.14</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3.69</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4.14</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232.98</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213</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198.12</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污水处理事务经费</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232.98</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213</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198.12</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专项资金（一个专项一行）</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47.13</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lang w:val="en-US" w:eastAsia="zh-CN"/>
              </w:rPr>
              <w:t>28.37</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23.86</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FF0000"/>
                <w:sz w:val="20"/>
                <w:szCs w:val="20"/>
              </w:rPr>
            </w:pP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2.65</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2.65</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FF0000"/>
                <w:sz w:val="20"/>
                <w:szCs w:val="20"/>
              </w:rPr>
            </w:pP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FF0000"/>
                <w:sz w:val="20"/>
                <w:szCs w:val="20"/>
                <w:lang w:val="en-US" w:eastAsia="zh-CN"/>
              </w:rPr>
            </w:pP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446"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93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889" w:hRule="atLeast"/>
          <w:jc w:val="center"/>
        </w:trPr>
        <w:tc>
          <w:tcPr>
            <w:tcW w:w="367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07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10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9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2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446" w:hRule="atLeast"/>
          <w:jc w:val="center"/>
        </w:trPr>
        <w:tc>
          <w:tcPr>
            <w:tcW w:w="36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p>
        </w:tc>
        <w:tc>
          <w:tcPr>
            <w:tcW w:w="107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0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9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p>
        </w:tc>
        <w:tc>
          <w:tcPr>
            <w:tcW w:w="12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485" w:hRule="atLeast"/>
          <w:jc w:val="center"/>
        </w:trPr>
        <w:tc>
          <w:tcPr>
            <w:tcW w:w="36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238"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bl>
    <w:p>
      <w:pPr>
        <w:widowControl/>
        <w:spacing w:afterLines="0" w:line="400" w:lineRule="exact"/>
        <w:jc w:val="left"/>
        <w:rPr>
          <w:rFonts w:hint="default" w:ascii="Times New Roman" w:hAnsi="Times New Roman" w:eastAsia="仿宋_GB2312" w:cs="Times New Roman"/>
          <w:sz w:val="22"/>
        </w:rPr>
      </w:pPr>
      <w:r>
        <w:rPr>
          <w:rFonts w:hint="default" w:ascii="Times New Roman" w:hAnsi="Times New Roman" w:eastAsia="仿宋_GB2312" w:cs="Times New Roman"/>
          <w:sz w:val="22"/>
        </w:rPr>
        <w:t>说明：“项目支出”需要填报基本支出以外的所有项目支出情况，“公用经费”填报基本支出中的一般商品和服务支出。</w:t>
      </w:r>
    </w:p>
    <w:p>
      <w:pPr>
        <w:widowControl/>
        <w:spacing w:after="0" w:afterLines="0" w:line="400" w:lineRule="exact"/>
        <w:jc w:val="left"/>
        <w:rPr>
          <w:rFonts w:hint="eastAsia" w:ascii="黑体" w:hAnsi="黑体" w:eastAsia="黑体" w:cs="黑体"/>
          <w:sz w:val="32"/>
          <w:szCs w:val="32"/>
          <w:lang w:eastAsia="zh-CN"/>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val="en-US" w:eastAsia="zh-CN"/>
        </w:rPr>
        <w:t>李枚</w:t>
      </w:r>
      <w:r>
        <w:rPr>
          <w:rFonts w:hint="default"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填报日期：</w:t>
      </w:r>
      <w:r>
        <w:rPr>
          <w:rFonts w:hint="eastAsia" w:ascii="Times New Roman" w:hAnsi="Times New Roman" w:eastAsia="仿宋_GB2312" w:cs="Times New Roman"/>
          <w:sz w:val="22"/>
          <w:lang w:val="en-US" w:eastAsia="zh-CN"/>
        </w:rPr>
        <w:t xml:space="preserve">7月14日 </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 xml:space="preserve">13873096607 </w:t>
      </w:r>
      <w:r>
        <w:rPr>
          <w:rFonts w:hint="default" w:ascii="Times New Roman" w:hAnsi="Times New Roman" w:eastAsia="仿宋_GB2312" w:cs="Times New Roman"/>
          <w:sz w:val="22"/>
        </w:rPr>
        <w:t>单位负责人签字：</w:t>
      </w:r>
      <w:r>
        <w:rPr>
          <w:rFonts w:hint="eastAsia" w:ascii="Times New Roman" w:hAnsi="Times New Roman" w:eastAsia="仿宋_GB2312" w:cs="Times New Roman"/>
          <w:sz w:val="22"/>
          <w:lang w:val="en-US" w:eastAsia="zh-CN"/>
        </w:rPr>
        <w:t>胡斌</w:t>
      </w:r>
      <w:r>
        <w:rPr>
          <w:rFonts w:hint="default" w:ascii="Times New Roman" w:hAnsi="Times New Roman" w:eastAsia="仿宋_GB2312" w:cs="Times New Roman"/>
          <w:sz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年度部门整体支出绩效自评表</w:t>
      </w:r>
    </w:p>
    <w:tbl>
      <w:tblPr>
        <w:tblStyle w:val="8"/>
        <w:tblW w:w="10159" w:type="dxa"/>
        <w:jc w:val="center"/>
        <w:tblLayout w:type="fixed"/>
        <w:tblCellMar>
          <w:top w:w="0" w:type="dxa"/>
          <w:left w:w="108" w:type="dxa"/>
          <w:bottom w:w="0" w:type="dxa"/>
          <w:right w:w="108" w:type="dxa"/>
        </w:tblCellMar>
      </w:tblPr>
      <w:tblGrid>
        <w:gridCol w:w="1080"/>
        <w:gridCol w:w="1080"/>
        <w:gridCol w:w="990"/>
        <w:gridCol w:w="330"/>
        <w:gridCol w:w="1051"/>
        <w:gridCol w:w="1247"/>
        <w:gridCol w:w="1080"/>
        <w:gridCol w:w="840"/>
        <w:gridCol w:w="570"/>
        <w:gridCol w:w="471"/>
        <w:gridCol w:w="159"/>
        <w:gridCol w:w="1261"/>
      </w:tblGrid>
      <w:tr>
        <w:tblPrEx>
          <w:tblCellMar>
            <w:top w:w="0" w:type="dxa"/>
            <w:left w:w="108" w:type="dxa"/>
            <w:bottom w:w="0" w:type="dxa"/>
            <w:right w:w="108" w:type="dxa"/>
          </w:tblCellMar>
        </w:tblPrEx>
        <w:trPr>
          <w:trHeight w:val="481"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9079"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岳阳市污水处理监督中心</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81"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p>
        </w:tc>
        <w:tc>
          <w:tcPr>
            <w:tcW w:w="1381"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24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920"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630"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26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trHeight w:val="246" w:hRule="atLeast"/>
          <w:jc w:val="center"/>
        </w:trPr>
        <w:tc>
          <w:tcPr>
            <w:tcW w:w="1080" w:type="dxa"/>
            <w:vMerge w:val="continue"/>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381"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339.79</w:t>
            </w:r>
          </w:p>
        </w:tc>
        <w:tc>
          <w:tcPr>
            <w:tcW w:w="124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606.19</w:t>
            </w:r>
          </w:p>
        </w:tc>
        <w:tc>
          <w:tcPr>
            <w:tcW w:w="1920"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605.76</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c>
          <w:tcPr>
            <w:tcW w:w="630"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100%</w:t>
            </w:r>
          </w:p>
        </w:tc>
        <w:tc>
          <w:tcPr>
            <w:tcW w:w="126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trHeight w:val="24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4698"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按收入性质分：</w:t>
            </w:r>
          </w:p>
        </w:tc>
        <w:tc>
          <w:tcPr>
            <w:tcW w:w="4381" w:type="dxa"/>
            <w:gridSpan w:val="6"/>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按支出性质分：</w:t>
            </w:r>
          </w:p>
        </w:tc>
      </w:tr>
      <w:tr>
        <w:tblPrEx>
          <w:tblCellMar>
            <w:top w:w="0" w:type="dxa"/>
            <w:left w:w="108" w:type="dxa"/>
            <w:bottom w:w="0" w:type="dxa"/>
            <w:right w:w="108" w:type="dxa"/>
          </w:tblCellMar>
        </w:tblPrEx>
        <w:trPr>
          <w:trHeight w:val="24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4698"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xml:space="preserve">  其中：  一般公共预算：</w:t>
            </w:r>
            <w:r>
              <w:rPr>
                <w:rFonts w:hint="eastAsia" w:ascii="仿宋_GB2312" w:hAnsi="仿宋_GB2312" w:eastAsia="仿宋_GB2312" w:cs="仿宋_GB2312"/>
                <w:color w:val="000000"/>
                <w:sz w:val="20"/>
                <w:szCs w:val="20"/>
                <w:lang w:val="en-US" w:eastAsia="zh-CN"/>
              </w:rPr>
              <w:t>606.19</w:t>
            </w:r>
          </w:p>
        </w:tc>
        <w:tc>
          <w:tcPr>
            <w:tcW w:w="4381" w:type="dxa"/>
            <w:gridSpan w:val="6"/>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其中：基本支出：</w:t>
            </w:r>
            <w:r>
              <w:rPr>
                <w:rFonts w:hint="eastAsia" w:ascii="仿宋_GB2312" w:hAnsi="仿宋_GB2312" w:eastAsia="仿宋_GB2312" w:cs="仿宋_GB2312"/>
                <w:color w:val="000000"/>
                <w:sz w:val="20"/>
                <w:szCs w:val="20"/>
                <w:lang w:val="en-US" w:eastAsia="zh-CN"/>
              </w:rPr>
              <w:t>407.65</w:t>
            </w:r>
          </w:p>
        </w:tc>
      </w:tr>
      <w:tr>
        <w:tblPrEx>
          <w:tblCellMar>
            <w:top w:w="0" w:type="dxa"/>
            <w:left w:w="108" w:type="dxa"/>
            <w:bottom w:w="0" w:type="dxa"/>
            <w:right w:w="108" w:type="dxa"/>
          </w:tblCellMar>
        </w:tblPrEx>
        <w:trPr>
          <w:trHeight w:val="24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4698"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800" w:firstLineChars="4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政府性基金拨款：</w:t>
            </w:r>
            <w:r>
              <w:rPr>
                <w:rFonts w:hint="eastAsia" w:ascii="仿宋_GB2312" w:hAnsi="仿宋_GB2312" w:eastAsia="仿宋_GB2312" w:cs="仿宋_GB2312"/>
                <w:color w:val="000000"/>
                <w:sz w:val="20"/>
                <w:szCs w:val="20"/>
                <w:lang w:val="en-US" w:eastAsia="zh-CN"/>
              </w:rPr>
              <w:t>0</w:t>
            </w:r>
          </w:p>
        </w:tc>
        <w:tc>
          <w:tcPr>
            <w:tcW w:w="4381" w:type="dxa"/>
            <w:gridSpan w:val="6"/>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600" w:firstLineChars="3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项目支出：</w:t>
            </w:r>
            <w:r>
              <w:rPr>
                <w:rFonts w:hint="eastAsia" w:ascii="仿宋_GB2312" w:hAnsi="仿宋_GB2312" w:eastAsia="仿宋_GB2312" w:cs="仿宋_GB2312"/>
                <w:color w:val="000000"/>
                <w:sz w:val="20"/>
                <w:szCs w:val="20"/>
                <w:lang w:val="en-US" w:eastAsia="zh-CN"/>
              </w:rPr>
              <w:t>198.12</w:t>
            </w:r>
          </w:p>
        </w:tc>
      </w:tr>
      <w:tr>
        <w:tblPrEx>
          <w:tblCellMar>
            <w:top w:w="0" w:type="dxa"/>
            <w:left w:w="108" w:type="dxa"/>
            <w:bottom w:w="0" w:type="dxa"/>
            <w:right w:w="108" w:type="dxa"/>
          </w:tblCellMar>
        </w:tblPrEx>
        <w:trPr>
          <w:trHeight w:val="24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4698"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纳入专户管理的非税收入拨款：</w:t>
            </w:r>
            <w:r>
              <w:rPr>
                <w:rFonts w:hint="eastAsia" w:ascii="仿宋_GB2312" w:hAnsi="仿宋_GB2312" w:eastAsia="仿宋_GB2312" w:cs="仿宋_GB2312"/>
                <w:color w:val="000000"/>
                <w:sz w:val="20"/>
                <w:szCs w:val="20"/>
                <w:lang w:val="en-US" w:eastAsia="zh-CN"/>
              </w:rPr>
              <w:t>0</w:t>
            </w:r>
          </w:p>
        </w:tc>
        <w:tc>
          <w:tcPr>
            <w:tcW w:w="4381" w:type="dxa"/>
            <w:gridSpan w:val="6"/>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246"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4698"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1400" w:firstLineChars="7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其他资金：</w:t>
            </w:r>
          </w:p>
        </w:tc>
        <w:tc>
          <w:tcPr>
            <w:tcW w:w="4381" w:type="dxa"/>
            <w:gridSpan w:val="6"/>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246"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98"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81"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1424"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4698"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1、抓好对市中心城区污水厂的运行监管；</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2、抓好移动式污水处理设备的运行监管；</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3、认真开展日常水质监督检测工作；</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4、污泥无害化处置达到100%；</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5、抓好羊角山垃圾场渗滤液处置日常运行管理；</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6、污水处理费足额完成年度征缴任务。</w:t>
            </w:r>
          </w:p>
        </w:tc>
        <w:tc>
          <w:tcPr>
            <w:tcW w:w="4381"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严格按照预期目标和计划完成</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rPr>
              <w:t>各项指标任务</w:t>
            </w:r>
          </w:p>
        </w:tc>
      </w:tr>
      <w:tr>
        <w:tblPrEx>
          <w:tblCellMar>
            <w:top w:w="0" w:type="dxa"/>
            <w:left w:w="108" w:type="dxa"/>
            <w:bottom w:w="0" w:type="dxa"/>
            <w:right w:w="108" w:type="dxa"/>
          </w:tblCellMar>
        </w:tblPrEx>
        <w:trPr>
          <w:trHeight w:val="481"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48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5</w:t>
            </w:r>
            <w:r>
              <w:rPr>
                <w:rFonts w:hint="eastAsia" w:ascii="仿宋_GB2312" w:hAnsi="仿宋_GB2312" w:eastAsia="仿宋_GB2312" w:cs="仿宋_GB2312"/>
                <w:color w:val="000000"/>
                <w:sz w:val="20"/>
                <w:szCs w:val="20"/>
              </w:rPr>
              <w:t>0分)</w:t>
            </w:r>
          </w:p>
        </w:tc>
        <w:tc>
          <w:tcPr>
            <w:tcW w:w="1320" w:type="dxa"/>
            <w:gridSpan w:val="2"/>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抓好市中心城区污水厂运行监管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7家</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7家</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1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320" w:type="dxa"/>
            <w:gridSpan w:val="2"/>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污泥无害化处置率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8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320" w:type="dxa"/>
            <w:gridSpan w:val="2"/>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污水处理费完成年度征缴任务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7500</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万元</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7500</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万元</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8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320" w:type="dxa"/>
            <w:gridSpan w:val="2"/>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抓好市中心城区污水厂的运行监管</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rPr>
              <w:t>认真抓好各项任务的日常监管工作</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合格</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8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320" w:type="dxa"/>
            <w:gridSpan w:val="2"/>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抓好移动式污水处理设备的运行监管</w:t>
            </w: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lang w:val="en-US" w:eastAsia="zh-CN"/>
              </w:rPr>
            </w:pP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合格</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8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320" w:type="dxa"/>
            <w:gridSpan w:val="2"/>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认真开展日常水质监督检测工作</w:t>
            </w: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合格</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12"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320" w:type="dxa"/>
            <w:gridSpan w:val="2"/>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抓好羊角山垃圾场渗滤液处置日常运行管理</w:t>
            </w: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合格</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8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按时完成年度绩效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目标任务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年底前</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2022年底前</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8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3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全年成本控制</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≤全年实际拨款</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606.19</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万元</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8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4</w:t>
            </w:r>
            <w:r>
              <w:rPr>
                <w:rFonts w:hint="eastAsia" w:ascii="仿宋_GB2312" w:hAnsi="仿宋_GB2312" w:eastAsia="仿宋_GB2312" w:cs="仿宋_GB2312"/>
                <w:color w:val="000000"/>
                <w:sz w:val="20"/>
                <w:szCs w:val="20"/>
              </w:rPr>
              <w:t>0分）</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有效促进城市经济发展</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有效促进</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有效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促进</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8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3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推动全市污水处理监管工作正常进行</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正常推动</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正常</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推动</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8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3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推动改善岳阳市民</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生活环境</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有所改善</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有所</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改善</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8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22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提升岳阳形象，</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美化城市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影响</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w:t>
            </w: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w:t>
            </w:r>
          </w:p>
        </w:tc>
        <w:tc>
          <w:tcPr>
            <w:tcW w:w="1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1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3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污水处理监管单位</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≧80%</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≧80%</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85" w:hRule="atLeast"/>
          <w:jc w:val="center"/>
        </w:trPr>
        <w:tc>
          <w:tcPr>
            <w:tcW w:w="7698" w:type="dxa"/>
            <w:gridSpan w:val="8"/>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4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14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r>
    </w:tbl>
    <w:p>
      <w:pPr>
        <w:widowControl/>
        <w:spacing w:line="6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val="en-US" w:eastAsia="zh-CN"/>
        </w:rPr>
        <w:t>李枚</w:t>
      </w:r>
      <w:r>
        <w:rPr>
          <w:rFonts w:hint="default" w:ascii="Times New Roman" w:hAnsi="Times New Roman" w:eastAsia="仿宋_GB2312" w:cs="Times New Roman"/>
          <w:sz w:val="22"/>
          <w:szCs w:val="22"/>
        </w:rPr>
        <w:t xml:space="preserve">  填报日期：</w:t>
      </w:r>
      <w:r>
        <w:rPr>
          <w:rFonts w:hint="eastAsia" w:ascii="Times New Roman" w:hAnsi="Times New Roman" w:eastAsia="仿宋_GB2312" w:cs="Times New Roman"/>
          <w:sz w:val="22"/>
          <w:szCs w:val="22"/>
          <w:lang w:val="en-US" w:eastAsia="zh-CN"/>
        </w:rPr>
        <w:t xml:space="preserve">7月14日 </w:t>
      </w:r>
      <w:r>
        <w:rPr>
          <w:rFonts w:hint="default" w:ascii="Times New Roman" w:hAnsi="Times New Roman" w:eastAsia="仿宋_GB2312" w:cs="Times New Roman"/>
          <w:sz w:val="22"/>
          <w:szCs w:val="22"/>
        </w:rPr>
        <w:t>联系电话：</w:t>
      </w:r>
      <w:r>
        <w:rPr>
          <w:rFonts w:hint="eastAsia" w:ascii="Times New Roman" w:hAnsi="Times New Roman" w:eastAsia="仿宋_GB2312" w:cs="Times New Roman"/>
          <w:sz w:val="22"/>
          <w:szCs w:val="22"/>
          <w:lang w:val="en-US" w:eastAsia="zh-CN"/>
        </w:rPr>
        <w:t xml:space="preserve">13873096607 </w:t>
      </w:r>
      <w:r>
        <w:rPr>
          <w:rFonts w:hint="default" w:ascii="Times New Roman" w:hAnsi="Times New Roman" w:eastAsia="仿宋_GB2312" w:cs="Times New Roman"/>
          <w:sz w:val="22"/>
          <w:szCs w:val="22"/>
        </w:rPr>
        <w:t>单位负责人签字：</w:t>
      </w:r>
      <w:r>
        <w:rPr>
          <w:rFonts w:hint="eastAsia" w:ascii="Times New Roman" w:hAnsi="Times New Roman" w:eastAsia="仿宋_GB2312" w:cs="Times New Roman"/>
          <w:sz w:val="22"/>
          <w:szCs w:val="22"/>
          <w:lang w:val="en-US" w:eastAsia="zh-CN"/>
        </w:rPr>
        <w:t>胡斌</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8"/>
        <w:tblW w:w="9989" w:type="dxa"/>
        <w:jc w:val="center"/>
        <w:tblLayout w:type="fixed"/>
        <w:tblCellMar>
          <w:top w:w="0" w:type="dxa"/>
          <w:left w:w="108" w:type="dxa"/>
          <w:bottom w:w="0" w:type="dxa"/>
          <w:right w:w="108" w:type="dxa"/>
        </w:tblCellMar>
      </w:tblPr>
      <w:tblGrid>
        <w:gridCol w:w="1046"/>
        <w:gridCol w:w="1056"/>
        <w:gridCol w:w="1037"/>
        <w:gridCol w:w="1179"/>
        <w:gridCol w:w="520"/>
        <w:gridCol w:w="896"/>
        <w:gridCol w:w="235"/>
        <w:gridCol w:w="1125"/>
        <w:gridCol w:w="705"/>
        <w:gridCol w:w="708"/>
        <w:gridCol w:w="1482"/>
      </w:tblGrid>
      <w:tr>
        <w:tblPrEx>
          <w:tblCellMar>
            <w:top w:w="0" w:type="dxa"/>
            <w:left w:w="108" w:type="dxa"/>
            <w:bottom w:w="0" w:type="dxa"/>
            <w:right w:w="108" w:type="dxa"/>
          </w:tblCellMar>
        </w:tblPrEx>
        <w:trPr>
          <w:trHeight w:val="405"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943"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污水处理事务经费</w:t>
            </w:r>
          </w:p>
        </w:tc>
      </w:tr>
      <w:tr>
        <w:tblPrEx>
          <w:tblCellMar>
            <w:top w:w="0" w:type="dxa"/>
            <w:left w:w="108" w:type="dxa"/>
            <w:bottom w:w="0" w:type="dxa"/>
            <w:right w:w="108" w:type="dxa"/>
          </w:tblCellMar>
        </w:tblPrEx>
        <w:trPr>
          <w:trHeight w:val="335" w:hRule="atLeast"/>
          <w:jc w:val="center"/>
        </w:trPr>
        <w:tc>
          <w:tcPr>
            <w:tcW w:w="104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68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岳阳市住房和城乡建设局</w:t>
            </w:r>
          </w:p>
        </w:tc>
        <w:tc>
          <w:tcPr>
            <w:tcW w:w="136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289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岳阳市污水处理监督中心</w:t>
            </w:r>
          </w:p>
        </w:tc>
      </w:tr>
      <w:tr>
        <w:tblPrEx>
          <w:tblCellMar>
            <w:top w:w="0" w:type="dxa"/>
            <w:left w:w="108" w:type="dxa"/>
            <w:bottom w:w="0" w:type="dxa"/>
            <w:right w:w="108" w:type="dxa"/>
          </w:tblCellMar>
        </w:tblPrEx>
        <w:trPr>
          <w:jc w:val="center"/>
        </w:trPr>
        <w:tc>
          <w:tcPr>
            <w:tcW w:w="1046"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0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41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360"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4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1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213</w:t>
            </w:r>
          </w:p>
        </w:tc>
        <w:tc>
          <w:tcPr>
            <w:tcW w:w="141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213</w:t>
            </w:r>
          </w:p>
        </w:tc>
        <w:tc>
          <w:tcPr>
            <w:tcW w:w="13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198.12</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93%</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w:t>
            </w:r>
          </w:p>
        </w:tc>
      </w:tr>
      <w:tr>
        <w:tblPrEx>
          <w:tblCellMar>
            <w:top w:w="0" w:type="dxa"/>
            <w:left w:w="108" w:type="dxa"/>
            <w:bottom w:w="0" w:type="dxa"/>
            <w:right w:w="108" w:type="dxa"/>
          </w:tblCellMar>
        </w:tblPrEx>
        <w:trPr>
          <w:jc w:val="center"/>
        </w:trPr>
        <w:tc>
          <w:tcPr>
            <w:tcW w:w="104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1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213</w:t>
            </w:r>
          </w:p>
        </w:tc>
        <w:tc>
          <w:tcPr>
            <w:tcW w:w="141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213</w:t>
            </w:r>
          </w:p>
        </w:tc>
        <w:tc>
          <w:tcPr>
            <w:tcW w:w="13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198.12</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4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1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4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0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1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46"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88"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4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688"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1、对全市污水行业进行有效监管考核； 2、对我市中心城区7家污水处理厂的进、出水和污泥进行监测，使其达标排放； 3、全年有效处置羊角山垃圾渗滤液，确保正常运行及维护； 4、确保桃花源污水初处理站的正常运行及维护，有效处理片区内生活污水，日处理2000立方，避免生活污水直接流入南湖水域，严防造成二次污染； 5、加强对移动污水处理设备的监管力度，加快市中心城区污水处理厂回购进程。</w:t>
            </w:r>
          </w:p>
        </w:tc>
        <w:tc>
          <w:tcPr>
            <w:tcW w:w="42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1、对全市污水行业进行</w:t>
            </w:r>
            <w:r>
              <w:rPr>
                <w:rFonts w:hint="eastAsia" w:ascii="仿宋_GB2312" w:hAnsi="仿宋_GB2312" w:eastAsia="仿宋_GB2312" w:cs="仿宋_GB2312"/>
                <w:color w:val="000000"/>
                <w:sz w:val="20"/>
                <w:szCs w:val="20"/>
                <w:lang w:val="en-US" w:eastAsia="zh-CN"/>
              </w:rPr>
              <w:t>了</w:t>
            </w:r>
            <w:r>
              <w:rPr>
                <w:rFonts w:hint="eastAsia" w:ascii="仿宋_GB2312" w:hAnsi="仿宋_GB2312" w:eastAsia="仿宋_GB2312" w:cs="仿宋_GB2312"/>
                <w:color w:val="000000"/>
                <w:sz w:val="20"/>
                <w:szCs w:val="20"/>
              </w:rPr>
              <w:t>有效监管考核； 2、对我市中心城区7家污水处理厂的进、出水和污泥进行监测，使其达标排放； 3、全年有效处置羊角山垃圾渗滤液，确保正常运行及维护； 4、确保桃花源污水初处理站的正常运行及维护，有效处理片区内生活污水，日处理2000立方，避免生活污水直接流入南湖水域，严防造成二次污染； 5、加强对移动污水处理设备的监管力度，加快市中心城区污水处理厂回购进程。</w:t>
            </w:r>
          </w:p>
        </w:tc>
      </w:tr>
      <w:tr>
        <w:tblPrEx>
          <w:tblCellMar>
            <w:top w:w="0" w:type="dxa"/>
            <w:left w:w="108" w:type="dxa"/>
            <w:bottom w:w="0" w:type="dxa"/>
            <w:right w:w="108" w:type="dxa"/>
          </w:tblCellMar>
        </w:tblPrEx>
        <w:trPr>
          <w:jc w:val="center"/>
        </w:trPr>
        <w:tc>
          <w:tcPr>
            <w:tcW w:w="1046"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69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6"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6</w:t>
            </w:r>
            <w:r>
              <w:rPr>
                <w:rFonts w:hint="eastAsia" w:ascii="仿宋_GB2312" w:hAnsi="仿宋_GB2312" w:eastAsia="仿宋_GB2312" w:cs="仿宋_GB2312"/>
                <w:color w:val="000000"/>
                <w:sz w:val="20"/>
                <w:szCs w:val="20"/>
              </w:rPr>
              <w:t>0分)</w:t>
            </w:r>
          </w:p>
        </w:tc>
        <w:tc>
          <w:tcPr>
            <w:tcW w:w="1037"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69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对我市中心城区投入运行的污水处理厂的进、出水和污泥进行抽样检测</w:t>
            </w:r>
          </w:p>
        </w:tc>
        <w:tc>
          <w:tcPr>
            <w:tcW w:w="113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rPr>
              <w:t>污水厂数量</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lang w:val="en-US"/>
              </w:rPr>
              <w:t>7</w:t>
            </w:r>
            <w:r>
              <w:rPr>
                <w:rFonts w:hint="eastAsia" w:ascii="仿宋_GB2312" w:hAnsi="仿宋_GB2312" w:eastAsia="仿宋_GB2312" w:cs="仿宋_GB2312"/>
                <w:sz w:val="20"/>
                <w:szCs w:val="20"/>
              </w:rPr>
              <w:t>家</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80" w:hRule="atLeast"/>
          <w:jc w:val="center"/>
        </w:trPr>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6"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7"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69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rPr>
              <w:t>污水初处理站日处理量</w:t>
            </w:r>
          </w:p>
        </w:tc>
        <w:tc>
          <w:tcPr>
            <w:tcW w:w="113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按水量</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sz w:val="20"/>
                <w:szCs w:val="20"/>
              </w:rPr>
              <w:t>处理</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按水量</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sz w:val="20"/>
                <w:szCs w:val="20"/>
              </w:rPr>
              <w:t>处理</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70" w:hRule="atLeast"/>
          <w:jc w:val="center"/>
        </w:trPr>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6"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7"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69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rPr>
              <w:t>监管移动污水处理设备</w:t>
            </w:r>
          </w:p>
        </w:tc>
        <w:tc>
          <w:tcPr>
            <w:tcW w:w="113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sz w:val="20"/>
                <w:szCs w:val="20"/>
              </w:rPr>
              <w:t>移动污水处理设备数量</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sz w:val="20"/>
                <w:szCs w:val="20"/>
                <w:lang w:val="en-US"/>
              </w:rPr>
              <w:t>2</w:t>
            </w:r>
            <w:r>
              <w:rPr>
                <w:rFonts w:hint="eastAsia" w:ascii="仿宋_GB2312" w:hAnsi="仿宋_GB2312" w:eastAsia="仿宋_GB2312" w:cs="仿宋_GB2312"/>
                <w:sz w:val="20"/>
                <w:szCs w:val="20"/>
              </w:rPr>
              <w:t>处</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35" w:hRule="atLeast"/>
          <w:jc w:val="center"/>
        </w:trPr>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6"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7"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69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rPr>
              <w:t>羊角山垃圾渗滤液日处置量</w:t>
            </w:r>
          </w:p>
        </w:tc>
        <w:tc>
          <w:tcPr>
            <w:tcW w:w="113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sz w:val="20"/>
                <w:szCs w:val="20"/>
              </w:rPr>
              <w:t>按渗滤液量处理</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sz w:val="20"/>
                <w:szCs w:val="20"/>
              </w:rPr>
              <w:t>按渗滤液量处理</w:t>
            </w:r>
          </w:p>
        </w:tc>
        <w:tc>
          <w:tcPr>
            <w:tcW w:w="7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6"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7"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69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sz w:val="20"/>
                <w:szCs w:val="20"/>
              </w:rPr>
              <w:t>污水初处理站满足《城镇污水处理厂污染物排放标准》</w:t>
            </w:r>
          </w:p>
        </w:tc>
        <w:tc>
          <w:tcPr>
            <w:tcW w:w="113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rPr>
              <w:t>GB18919-</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sz w:val="20"/>
                <w:szCs w:val="20"/>
                <w:lang w:val="en-US"/>
              </w:rPr>
              <w:t>200</w:t>
            </w:r>
            <w:r>
              <w:rPr>
                <w:rFonts w:hint="eastAsia" w:ascii="仿宋_GB2312" w:hAnsi="仿宋_GB2312" w:eastAsia="仿宋_GB2312" w:cs="仿宋_GB2312"/>
                <w:sz w:val="20"/>
                <w:szCs w:val="20"/>
                <w:lang w:val="en-US" w:eastAsia="zh-CN"/>
              </w:rPr>
              <w:t>8</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全年按标准排放</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6"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7"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69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sz w:val="20"/>
                <w:szCs w:val="20"/>
              </w:rPr>
              <w:t>污水处理厂污染物排放达标率</w:t>
            </w:r>
          </w:p>
        </w:tc>
        <w:tc>
          <w:tcPr>
            <w:tcW w:w="113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lang w:val="en-US"/>
              </w:rPr>
              <w:t>100%</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6"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7"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69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sz w:val="20"/>
                <w:szCs w:val="20"/>
              </w:rPr>
              <w:t>羊角山垃圾渗滤液处置达标率</w:t>
            </w:r>
          </w:p>
        </w:tc>
        <w:tc>
          <w:tcPr>
            <w:tcW w:w="113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sz w:val="20"/>
                <w:szCs w:val="20"/>
                <w:lang w:val="en-US"/>
              </w:rPr>
              <w:t>100%</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40" w:hRule="atLeast"/>
          <w:jc w:val="center"/>
        </w:trPr>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6"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69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按时完成</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当年任务</w:t>
            </w:r>
          </w:p>
        </w:tc>
        <w:tc>
          <w:tcPr>
            <w:tcW w:w="113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年底前</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2022年底前</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90" w:hRule="atLeast"/>
          <w:jc w:val="center"/>
        </w:trPr>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6"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69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控制在预算</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范围内</w:t>
            </w:r>
          </w:p>
        </w:tc>
        <w:tc>
          <w:tcPr>
            <w:tcW w:w="113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213万元</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198.12</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万元</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6"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69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本项目为</w:t>
            </w:r>
            <w:r>
              <w:rPr>
                <w:rFonts w:hint="eastAsia" w:ascii="仿宋_GB2312" w:hAnsi="仿宋_GB2312" w:eastAsia="仿宋_GB2312" w:cs="仿宋_GB2312"/>
                <w:color w:val="000000"/>
                <w:sz w:val="20"/>
                <w:szCs w:val="20"/>
                <w:lang w:val="en-US" w:eastAsia="zh-CN"/>
              </w:rPr>
              <w:t>监督污水处理厂正常运行，达标排放的</w:t>
            </w:r>
            <w:r>
              <w:rPr>
                <w:rFonts w:hint="eastAsia" w:ascii="仿宋_GB2312" w:hAnsi="仿宋_GB2312" w:eastAsia="仿宋_GB2312" w:cs="仿宋_GB2312"/>
                <w:color w:val="000000"/>
                <w:sz w:val="20"/>
                <w:szCs w:val="20"/>
              </w:rPr>
              <w:t>公益项目，</w:t>
            </w:r>
            <w:r>
              <w:rPr>
                <w:rFonts w:hint="eastAsia" w:ascii="仿宋_GB2312" w:hAnsi="仿宋_GB2312" w:eastAsia="仿宋_GB2312" w:cs="仿宋_GB2312"/>
                <w:color w:val="000000"/>
                <w:sz w:val="20"/>
                <w:szCs w:val="20"/>
                <w:lang w:val="en-US" w:eastAsia="zh-CN"/>
              </w:rPr>
              <w:t>为减少全市的污染物排放，</w:t>
            </w:r>
            <w:r>
              <w:rPr>
                <w:rFonts w:hint="eastAsia" w:ascii="仿宋_GB2312" w:hAnsi="仿宋_GB2312" w:eastAsia="仿宋_GB2312" w:cs="仿宋_GB2312"/>
                <w:color w:val="000000"/>
                <w:sz w:val="20"/>
                <w:szCs w:val="20"/>
              </w:rPr>
              <w:t>非以盈利为目的</w:t>
            </w:r>
          </w:p>
        </w:tc>
        <w:tc>
          <w:tcPr>
            <w:tcW w:w="113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公益项目</w:t>
            </w:r>
            <w:r>
              <w:rPr>
                <w:rFonts w:hint="eastAsia" w:ascii="仿宋_GB2312" w:hAnsi="仿宋_GB2312" w:eastAsia="仿宋_GB2312" w:cs="仿宋_GB2312"/>
                <w:color w:val="000000"/>
                <w:sz w:val="20"/>
                <w:szCs w:val="20"/>
              </w:rPr>
              <w:t>　</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公益项目</w:t>
            </w:r>
            <w:r>
              <w:rPr>
                <w:rFonts w:hint="eastAsia" w:ascii="仿宋_GB2312" w:hAnsi="仿宋_GB2312" w:eastAsia="仿宋_GB2312" w:cs="仿宋_GB2312"/>
                <w:color w:val="000000"/>
                <w:sz w:val="20"/>
                <w:szCs w:val="20"/>
              </w:rPr>
              <w:t>　</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6"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69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改善社会</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人居环境</w:t>
            </w:r>
          </w:p>
        </w:tc>
        <w:tc>
          <w:tcPr>
            <w:tcW w:w="113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有效改善</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有效改善</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6"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69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改善岳阳</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水生态环境</w:t>
            </w:r>
          </w:p>
        </w:tc>
        <w:tc>
          <w:tcPr>
            <w:tcW w:w="113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有所改善</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有所改善</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54" w:hRule="atLeast"/>
          <w:jc w:val="center"/>
        </w:trPr>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6"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69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受益对象及监管单位满意度</w:t>
            </w:r>
          </w:p>
        </w:tc>
        <w:tc>
          <w:tcPr>
            <w:tcW w:w="113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90%以上</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90%以上</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7094" w:type="dxa"/>
            <w:gridSpan w:val="8"/>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4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eastAsia"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val="en-US" w:eastAsia="zh-CN"/>
        </w:rPr>
        <w:t>李枚</w:t>
      </w:r>
      <w:r>
        <w:rPr>
          <w:rFonts w:hint="default" w:ascii="Times New Roman" w:hAnsi="Times New Roman" w:eastAsia="仿宋_GB2312" w:cs="Times New Roman"/>
          <w:sz w:val="22"/>
          <w:szCs w:val="22"/>
        </w:rPr>
        <w:t xml:space="preserve"> 填报日期：</w:t>
      </w:r>
      <w:r>
        <w:rPr>
          <w:rFonts w:hint="eastAsia" w:ascii="Times New Roman" w:hAnsi="Times New Roman" w:eastAsia="仿宋_GB2312" w:cs="Times New Roman"/>
          <w:sz w:val="22"/>
          <w:szCs w:val="22"/>
          <w:lang w:val="en-US" w:eastAsia="zh-CN"/>
        </w:rPr>
        <w:t xml:space="preserve">7月14日 </w:t>
      </w:r>
      <w:r>
        <w:rPr>
          <w:rFonts w:hint="default" w:ascii="Times New Roman" w:hAnsi="Times New Roman" w:eastAsia="仿宋_GB2312" w:cs="Times New Roman"/>
          <w:sz w:val="22"/>
          <w:szCs w:val="22"/>
        </w:rPr>
        <w:t>联系电话：</w:t>
      </w:r>
      <w:r>
        <w:rPr>
          <w:rFonts w:hint="eastAsia" w:ascii="Times New Roman" w:hAnsi="Times New Roman" w:eastAsia="仿宋_GB2312" w:cs="Times New Roman"/>
          <w:sz w:val="22"/>
          <w:szCs w:val="22"/>
          <w:lang w:val="en-US" w:eastAsia="zh-CN"/>
        </w:rPr>
        <w:t xml:space="preserve">13873096607  </w:t>
      </w:r>
      <w:r>
        <w:rPr>
          <w:rFonts w:hint="default" w:ascii="Times New Roman" w:hAnsi="Times New Roman" w:eastAsia="仿宋_GB2312" w:cs="Times New Roman"/>
          <w:sz w:val="22"/>
          <w:szCs w:val="22"/>
        </w:rPr>
        <w:t>单位负责人签字：</w:t>
      </w:r>
      <w:r>
        <w:rPr>
          <w:rFonts w:hint="eastAsia" w:ascii="Times New Roman" w:hAnsi="Times New Roman" w:eastAsia="仿宋_GB2312" w:cs="Times New Roman"/>
          <w:sz w:val="22"/>
          <w:szCs w:val="22"/>
          <w:lang w:val="en-US" w:eastAsia="zh-CN"/>
        </w:rPr>
        <w:t>胡斌</w:t>
      </w: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w:t>
      </w:r>
      <w:r>
        <w:rPr>
          <w:rFonts w:hint="eastAsia" w:ascii="方正小标宋简体" w:hAnsi="方正小标宋简体" w:eastAsia="方正小标宋简体" w:cs="方正小标宋简体"/>
          <w:sz w:val="44"/>
          <w:szCs w:val="44"/>
          <w:lang w:val="en-US" w:eastAsia="zh-CN"/>
        </w:rPr>
        <w:t>岳阳市污水处理监督中心</w:t>
      </w:r>
      <w:r>
        <w:rPr>
          <w:rFonts w:hint="eastAsia" w:ascii="方正小标宋简体" w:hAnsi="方正小标宋简体" w:eastAsia="方正小标宋简体" w:cs="方正小标宋简体"/>
          <w:sz w:val="44"/>
          <w:szCs w:val="44"/>
        </w:rPr>
        <w:t>）</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2023</w:t>
      </w:r>
      <w:r>
        <w:rPr>
          <w:rFonts w:hint="default" w:ascii="Times New Roman" w:hAnsi="Times New Roman" w:eastAsia="楷体_GB2312" w:cs="Times New Roman"/>
          <w:sz w:val="32"/>
          <w:szCs w:val="32"/>
        </w:rPr>
        <w:t xml:space="preserve">年  </w:t>
      </w:r>
      <w:r>
        <w:rPr>
          <w:rFonts w:hint="eastAsia" w:ascii="Times New Roman" w:hAnsi="Times New Roman" w:eastAsia="楷体_GB2312" w:cs="Times New Roman"/>
          <w:sz w:val="32"/>
          <w:szCs w:val="32"/>
          <w:lang w:val="en-US" w:eastAsia="zh-CN"/>
        </w:rPr>
        <w:t>7</w:t>
      </w:r>
      <w:r>
        <w:rPr>
          <w:rFonts w:hint="default" w:ascii="Times New Roman" w:hAnsi="Times New Roman" w:eastAsia="楷体_GB2312" w:cs="Times New Roman"/>
          <w:sz w:val="32"/>
          <w:szCs w:val="32"/>
        </w:rPr>
        <w:t xml:space="preserve">月 </w:t>
      </w:r>
      <w:r>
        <w:rPr>
          <w:rFonts w:hint="eastAsia" w:ascii="Times New Roman" w:hAnsi="Times New Roman" w:eastAsia="楷体_GB2312" w:cs="Times New Roman"/>
          <w:sz w:val="32"/>
          <w:szCs w:val="32"/>
          <w:lang w:val="en-US" w:eastAsia="zh-CN"/>
        </w:rPr>
        <w:t>14</w:t>
      </w:r>
      <w:r>
        <w:rPr>
          <w:rFonts w:hint="default" w:ascii="Times New Roman" w:hAnsi="Times New Roman" w:eastAsia="楷体_GB2312" w:cs="Times New Roman"/>
          <w:sz w:val="32"/>
          <w:szCs w:val="32"/>
        </w:rPr>
        <w:t xml:space="preserve"> 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jc w:val="center"/>
        <w:rPr>
          <w:rFonts w:hint="eastAsia" w:ascii="方正小标宋简体" w:hAnsi="方正小标宋简体" w:eastAsia="方正小标宋简体" w:cs="方正小标宋简体"/>
          <w:sz w:val="44"/>
          <w:szCs w:val="44"/>
          <w:lang w:val="en-US" w:eastAsia="zh-CN"/>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岳阳市污水处理监督中心</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仿宋_GB2312" w:cs="Times New Roman"/>
          <w:sz w:val="21"/>
          <w:szCs w:val="21"/>
        </w:rPr>
      </w:pP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pStyle w:val="7"/>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岳阳市污水处理监督中心负责对全市污水处理厂行业的监督管理，其具体工作有：对污水处理厂运行的监管、水质检测达标排放、污泥处理无害化处置、污水处理费协助征缴、污水处理站运行管理、中心城区移动式（临时）污水处理设备的监管、协助处理污水处理厂回购谈判、污水处理与污泥处置服务费的核定、全市污水处理行业系统的数据统计与平台上报等。</w:t>
      </w:r>
    </w:p>
    <w:p>
      <w:pPr>
        <w:pStyle w:val="7"/>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机构情况：岳阳市污水处理监督中心为正科级公益性一类事业单位，隶属岳阳市住房和城乡建设局。</w:t>
      </w:r>
    </w:p>
    <w:p>
      <w:pPr>
        <w:pStyle w:val="11"/>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11"/>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（一）基本支出情况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lang w:val="en-US"/>
        </w:rPr>
      </w:pPr>
      <w:r>
        <w:rPr>
          <w:rFonts w:hint="eastAsia" w:ascii="Times New Roman" w:hAnsi="Times New Roman" w:eastAsia="仿宋_GB2312" w:cs="Times New Roman"/>
          <w:color w:val="000000"/>
          <w:sz w:val="32"/>
          <w:szCs w:val="32"/>
          <w:lang w:val="en-US" w:eastAsia="zh-CN"/>
        </w:rPr>
        <w:t>2022年我中心安排基本支出包括：</w:t>
      </w:r>
      <w:r>
        <w:rPr>
          <w:rFonts w:hint="default" w:ascii="Times New Roman" w:hAnsi="Times New Roman" w:eastAsia="仿宋_GB2312" w:cs="Times New Roman"/>
          <w:color w:val="000000"/>
          <w:sz w:val="32"/>
          <w:szCs w:val="32"/>
          <w:lang w:val="en-US" w:eastAsia="zh-CN"/>
        </w:rPr>
        <w:t>①</w:t>
      </w:r>
      <w:r>
        <w:rPr>
          <w:rFonts w:hint="eastAsia" w:ascii="Times New Roman" w:hAnsi="Times New Roman" w:eastAsia="仿宋_GB2312" w:cs="Times New Roman"/>
          <w:color w:val="000000"/>
          <w:sz w:val="32"/>
          <w:szCs w:val="32"/>
          <w:lang w:val="en-US" w:eastAsia="zh-CN"/>
        </w:rPr>
        <w:t>人员类项目支出：206.42万元，其中：基本工资89.31万元，绩效工资59.26万元，国家规定津补贴3.05万元，机关事业单位基本养老保险缴费24.23万元，职工基本医疗保险缴费10.6万元，工伤保险1.2万元，生育保险0.6万元，住房公积金18.17万元，</w:t>
      </w:r>
      <w:r>
        <w:rPr>
          <w:rFonts w:hint="default" w:ascii="Times New Roman" w:hAnsi="Times New Roman" w:eastAsia="仿宋_GB2312" w:cs="Times New Roman"/>
          <w:color w:val="000000"/>
          <w:sz w:val="32"/>
          <w:szCs w:val="32"/>
          <w:lang w:val="en-US" w:eastAsia="zh-CN"/>
        </w:rPr>
        <w:t>②</w:t>
      </w:r>
      <w:r>
        <w:rPr>
          <w:rFonts w:hint="eastAsia" w:ascii="Times New Roman" w:hAnsi="Times New Roman" w:eastAsia="仿宋_GB2312" w:cs="Times New Roman"/>
          <w:color w:val="000000"/>
          <w:sz w:val="32"/>
          <w:szCs w:val="32"/>
          <w:lang w:val="en-US" w:eastAsia="zh-CN"/>
        </w:rPr>
        <w:t>公用类项目支出：28.37万元，其中：办公费2.65万元，印刷费2万元，邮电费1.72万元，维修（护）费2万元，残保金2.35万元，工会经费4.22万元，福利费2.23万元，公务用车运维费3万元，其他交通费0.5万元，其他商品和服务支出7.7万元。</w:t>
      </w:r>
      <w:r>
        <w:rPr>
          <w:rFonts w:hint="default" w:ascii="Times New Roman" w:hAnsi="Times New Roman" w:eastAsia="仿宋_GB2312" w:cs="Times New Roman"/>
          <w:color w:val="000000"/>
          <w:sz w:val="32"/>
          <w:szCs w:val="32"/>
          <w:lang w:val="en-US" w:eastAsia="zh-CN"/>
        </w:rPr>
        <w:t>③</w:t>
      </w:r>
      <w:r>
        <w:rPr>
          <w:rFonts w:hint="eastAsia" w:ascii="Times New Roman" w:hAnsi="Times New Roman" w:eastAsia="仿宋_GB2312" w:cs="Times New Roman"/>
          <w:color w:val="000000"/>
          <w:sz w:val="32"/>
          <w:szCs w:val="32"/>
          <w:lang w:val="en-US" w:eastAsia="zh-CN"/>
        </w:rPr>
        <w:t>运转类（其他）项目支出：104.04万元，其中：工会节日福利10.2万元，基础绩效奖68万元，物业补贴12.24万元，伙食费补助13.6万元。</w:t>
      </w:r>
    </w:p>
    <w:p>
      <w:pPr>
        <w:pStyle w:val="11"/>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jc w:val="both"/>
        <w:textAlignment w:val="auto"/>
        <w:rPr>
          <w:rFonts w:hint="default" w:ascii="Times New Roman" w:hAnsi="Times New Roman" w:eastAsia="楷体_GB2312" w:cs="Times New Roman"/>
          <w:b w:val="0"/>
          <w:bCs/>
          <w:sz w:val="32"/>
          <w:szCs w:val="32"/>
        </w:rPr>
      </w:pPr>
      <w:r>
        <w:rPr>
          <w:rFonts w:hint="eastAsia" w:ascii="Times New Roman" w:hAnsi="Times New Roman" w:eastAsia="楷体_GB2312" w:cs="Times New Roman"/>
          <w:b w:val="0"/>
          <w:bCs/>
          <w:sz w:val="32"/>
          <w:szCs w:val="32"/>
          <w:lang w:eastAsia="zh-CN"/>
        </w:rPr>
        <w:t>（</w:t>
      </w:r>
      <w:r>
        <w:rPr>
          <w:rFonts w:hint="eastAsia" w:ascii="Times New Roman" w:hAnsi="Times New Roman" w:eastAsia="楷体_GB2312" w:cs="Times New Roman"/>
          <w:b w:val="0"/>
          <w:bCs/>
          <w:sz w:val="32"/>
          <w:szCs w:val="32"/>
          <w:lang w:val="en-US" w:eastAsia="zh-CN"/>
        </w:rPr>
        <w:t>二</w:t>
      </w:r>
      <w:r>
        <w:rPr>
          <w:rFonts w:hint="eastAsia" w:ascii="Times New Roman" w:hAnsi="Times New Roman" w:eastAsia="楷体_GB2312" w:cs="Times New Roman"/>
          <w:b w:val="0"/>
          <w:bCs/>
          <w:sz w:val="32"/>
          <w:szCs w:val="32"/>
          <w:lang w:eastAsia="zh-CN"/>
        </w:rPr>
        <w:t>）</w:t>
      </w:r>
      <w:r>
        <w:rPr>
          <w:rFonts w:hint="default" w:ascii="Times New Roman" w:hAnsi="Times New Roman" w:eastAsia="楷体_GB2312" w:cs="Times New Roman"/>
          <w:b w:val="0"/>
          <w:bCs/>
          <w:sz w:val="32"/>
          <w:szCs w:val="32"/>
        </w:rPr>
        <w:t>项目支出情况</w:t>
      </w:r>
    </w:p>
    <w:p>
      <w:pPr>
        <w:pStyle w:val="11"/>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    我中心专项资金为财政代编，2022年我中心项目预算资金213万元，实际支出198.12万元。</w:t>
      </w:r>
    </w:p>
    <w:p>
      <w:pPr>
        <w:pStyle w:val="11"/>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三、政府性基金预算支出情况</w:t>
      </w:r>
    </w:p>
    <w:p>
      <w:pPr>
        <w:pStyle w:val="11"/>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_GB2312" w:cs="Times New Roman"/>
          <w:kern w:val="0"/>
          <w:sz w:val="28"/>
          <w:szCs w:val="28"/>
          <w:lang w:val="en-US" w:eastAsia="zh-CN" w:bidi="ar"/>
        </w:rPr>
      </w:pPr>
      <w:r>
        <w:rPr>
          <w:rFonts w:hint="eastAsia" w:ascii="仿宋" w:hAnsi="仿宋" w:eastAsia="仿宋_GB2312" w:cs="Times New Roman"/>
          <w:kern w:val="0"/>
          <w:sz w:val="28"/>
          <w:szCs w:val="28"/>
          <w:lang w:val="en-US" w:eastAsia="zh-CN" w:bidi="ar"/>
        </w:rPr>
        <w:t>无</w:t>
      </w:r>
    </w:p>
    <w:p>
      <w:pPr>
        <w:pStyle w:val="11"/>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11"/>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_GB2312" w:cs="Times New Roman"/>
          <w:kern w:val="0"/>
          <w:sz w:val="28"/>
          <w:szCs w:val="28"/>
          <w:lang w:val="en-US" w:eastAsia="zh-CN" w:bidi="ar"/>
        </w:rPr>
      </w:pPr>
      <w:r>
        <w:rPr>
          <w:rFonts w:hint="eastAsia" w:ascii="仿宋" w:hAnsi="仿宋" w:eastAsia="仿宋_GB2312" w:cs="Times New Roman"/>
          <w:kern w:val="0"/>
          <w:sz w:val="28"/>
          <w:szCs w:val="28"/>
          <w:lang w:val="en-US" w:eastAsia="zh-CN" w:bidi="ar"/>
        </w:rPr>
        <w:t>无</w:t>
      </w:r>
    </w:p>
    <w:p>
      <w:pPr>
        <w:pStyle w:val="11"/>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11"/>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_GB2312" w:cs="Times New Roman"/>
          <w:kern w:val="0"/>
          <w:sz w:val="28"/>
          <w:szCs w:val="28"/>
          <w:lang w:val="en-US" w:eastAsia="zh-CN" w:bidi="ar"/>
        </w:rPr>
      </w:pPr>
      <w:r>
        <w:rPr>
          <w:rFonts w:hint="eastAsia" w:ascii="仿宋" w:hAnsi="仿宋" w:eastAsia="仿宋_GB2312" w:cs="Times New Roman"/>
          <w:kern w:val="0"/>
          <w:sz w:val="28"/>
          <w:szCs w:val="28"/>
          <w:lang w:val="en-US" w:eastAsia="zh-CN" w:bidi="ar"/>
        </w:rPr>
        <w:t>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六、部门整体支出绩效情况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（一）绩效评价实施过程情况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rPr>
        <w:t>我</w:t>
      </w:r>
      <w:r>
        <w:rPr>
          <w:rFonts w:hint="eastAsia" w:ascii="Times New Roman" w:hAnsi="Times New Roman" w:eastAsia="仿宋_GB2312" w:cs="Times New Roman"/>
          <w:color w:val="000000"/>
          <w:sz w:val="32"/>
          <w:szCs w:val="32"/>
          <w:lang w:val="en-US" w:eastAsia="zh-CN"/>
        </w:rPr>
        <w:t>中心</w:t>
      </w:r>
      <w:r>
        <w:rPr>
          <w:rFonts w:hint="eastAsia" w:ascii="Times New Roman" w:hAnsi="Times New Roman" w:eastAsia="仿宋_GB2312" w:cs="Times New Roman"/>
          <w:color w:val="000000"/>
          <w:sz w:val="32"/>
          <w:szCs w:val="32"/>
        </w:rPr>
        <w:t>领导对预算绩效管理工作十分重视。</w:t>
      </w:r>
      <w:r>
        <w:rPr>
          <w:rFonts w:hint="eastAsia" w:ascii="Times New Roman" w:hAnsi="Times New Roman" w:eastAsia="仿宋_GB2312" w:cs="Times New Roman"/>
          <w:color w:val="000000"/>
          <w:sz w:val="32"/>
          <w:szCs w:val="32"/>
          <w:lang w:val="en-US" w:eastAsia="zh-CN"/>
        </w:rPr>
        <w:t>中心</w:t>
      </w:r>
      <w:r>
        <w:rPr>
          <w:rFonts w:hint="eastAsia" w:ascii="Times New Roman" w:hAnsi="Times New Roman" w:eastAsia="仿宋_GB2312" w:cs="Times New Roman"/>
          <w:color w:val="000000"/>
          <w:sz w:val="32"/>
          <w:szCs w:val="32"/>
        </w:rPr>
        <w:t>专门成立了</w:t>
      </w:r>
      <w:r>
        <w:rPr>
          <w:rFonts w:hint="eastAsia" w:ascii="Times New Roman" w:hAnsi="Times New Roman" w:eastAsia="仿宋_GB2312" w:cs="Times New Roman"/>
          <w:color w:val="000000"/>
          <w:sz w:val="32"/>
          <w:szCs w:val="32"/>
          <w:lang w:val="en-US" w:eastAsia="zh-CN"/>
        </w:rPr>
        <w:t>绩效评价</w:t>
      </w:r>
      <w:r>
        <w:rPr>
          <w:rFonts w:hint="eastAsia" w:ascii="Times New Roman" w:hAnsi="Times New Roman" w:eastAsia="仿宋_GB2312" w:cs="Times New Roman"/>
          <w:color w:val="000000"/>
          <w:sz w:val="32"/>
          <w:szCs w:val="32"/>
        </w:rPr>
        <w:t>工作领导小组，建立了绩效跟踪监控制度。</w:t>
      </w:r>
      <w:r>
        <w:rPr>
          <w:rFonts w:hint="eastAsia" w:ascii="Times New Roman" w:hAnsi="Times New Roman" w:eastAsia="仿宋_GB2312" w:cs="Times New Roman"/>
          <w:color w:val="000000"/>
          <w:sz w:val="32"/>
          <w:szCs w:val="32"/>
          <w:lang w:val="en-US" w:eastAsia="zh-CN"/>
        </w:rPr>
        <w:t>中心主任胡斌</w:t>
      </w:r>
      <w:r>
        <w:rPr>
          <w:rFonts w:hint="eastAsia" w:ascii="Times New Roman" w:hAnsi="Times New Roman" w:eastAsia="仿宋_GB2312" w:cs="Times New Roman"/>
          <w:color w:val="000000"/>
          <w:sz w:val="32"/>
          <w:szCs w:val="32"/>
        </w:rPr>
        <w:t>亲任领导小组组长，</w:t>
      </w:r>
      <w:r>
        <w:rPr>
          <w:rFonts w:hint="eastAsia" w:ascii="Times New Roman" w:hAnsi="Times New Roman" w:eastAsia="仿宋_GB2312" w:cs="Times New Roman"/>
          <w:color w:val="000000"/>
          <w:sz w:val="32"/>
          <w:szCs w:val="32"/>
          <w:lang w:val="en-US" w:eastAsia="zh-CN"/>
        </w:rPr>
        <w:t>支部副书记付宾</w:t>
      </w:r>
      <w:r>
        <w:rPr>
          <w:rFonts w:hint="eastAsia" w:ascii="Times New Roman" w:hAnsi="Times New Roman" w:eastAsia="仿宋_GB2312" w:cs="Times New Roman"/>
          <w:color w:val="000000"/>
          <w:sz w:val="32"/>
          <w:szCs w:val="32"/>
        </w:rPr>
        <w:t>任副组长，</w:t>
      </w:r>
      <w:r>
        <w:rPr>
          <w:rFonts w:hint="eastAsia" w:ascii="Times New Roman" w:hAnsi="Times New Roman" w:eastAsia="仿宋_GB2312" w:cs="Times New Roman"/>
          <w:color w:val="000000"/>
          <w:sz w:val="32"/>
          <w:szCs w:val="32"/>
          <w:lang w:val="en-US" w:eastAsia="zh-CN"/>
        </w:rPr>
        <w:t>中心支部委员</w:t>
      </w:r>
      <w:r>
        <w:rPr>
          <w:rFonts w:hint="eastAsia" w:ascii="Times New Roman" w:hAnsi="Times New Roman" w:eastAsia="仿宋_GB2312" w:cs="Times New Roman"/>
          <w:color w:val="000000"/>
          <w:sz w:val="32"/>
          <w:szCs w:val="32"/>
        </w:rPr>
        <w:t>任小组成员，各部门分工明确，相互协调、监督</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我们采取调查分析相关文件资料及预决算报表、数据核查、询问查证等形式，对我中心2022年度部门整体支出实施了绩效评价。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val="en-US" w:eastAsia="zh-CN"/>
        </w:rPr>
        <w:t>（二）</w:t>
      </w:r>
      <w:r>
        <w:rPr>
          <w:rFonts w:hint="eastAsia" w:ascii="楷体_GB2312" w:hAnsi="楷体_GB2312" w:eastAsia="楷体_GB2312" w:cs="楷体_GB2312"/>
          <w:color w:val="000000"/>
          <w:sz w:val="32"/>
          <w:szCs w:val="32"/>
        </w:rPr>
        <w:t>预算资金安排基本原则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rPr>
        <w:t>按预算收入确定支出计划。原则上资金性质和用途不变，尽可能保障人员支出，压缩公用支出。</w:t>
      </w:r>
      <w:r>
        <w:rPr>
          <w:rFonts w:hint="eastAsia" w:ascii="Times New Roman" w:hAnsi="Times New Roman" w:eastAsia="仿宋_GB2312" w:cs="Times New Roman"/>
          <w:color w:val="000000"/>
          <w:sz w:val="32"/>
          <w:szCs w:val="32"/>
          <w:lang w:val="en-US" w:eastAsia="zh-CN"/>
        </w:rPr>
        <w:t>我中心基本支出339.79</w:t>
      </w:r>
      <w:r>
        <w:rPr>
          <w:rFonts w:hint="eastAsia" w:ascii="Times New Roman" w:hAnsi="Times New Roman" w:eastAsia="仿宋_GB2312" w:cs="Times New Roman"/>
          <w:color w:val="000000"/>
          <w:sz w:val="32"/>
          <w:szCs w:val="32"/>
        </w:rPr>
        <w:t>万元预算收入全部用于安排人员和公用支出</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工会经费</w:t>
      </w:r>
      <w:r>
        <w:rPr>
          <w:rFonts w:hint="eastAsia" w:ascii="Times New Roman" w:hAnsi="Times New Roman" w:eastAsia="仿宋_GB2312" w:cs="Times New Roman"/>
          <w:color w:val="000000"/>
          <w:sz w:val="32"/>
          <w:szCs w:val="32"/>
          <w:lang w:val="en-US" w:eastAsia="zh-CN"/>
        </w:rPr>
        <w:t>及离退休人员费用</w:t>
      </w:r>
      <w:r>
        <w:rPr>
          <w:rFonts w:hint="eastAsia"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rPr>
        <w:t>维护预算严肃性。严格按照下达的文件要求执行预算，不得随意变更，因特殊情况却需要变更和调整的，须</w:t>
      </w:r>
      <w:r>
        <w:rPr>
          <w:rFonts w:hint="eastAsia" w:ascii="Times New Roman" w:hAnsi="Times New Roman" w:eastAsia="仿宋_GB2312" w:cs="Times New Roman"/>
          <w:color w:val="000000"/>
          <w:sz w:val="32"/>
          <w:szCs w:val="32"/>
          <w:lang w:val="en-US" w:eastAsia="zh-CN"/>
        </w:rPr>
        <w:t>报中心领导</w:t>
      </w:r>
      <w:r>
        <w:rPr>
          <w:rFonts w:hint="eastAsia" w:ascii="Times New Roman" w:hAnsi="Times New Roman" w:eastAsia="仿宋_GB2312" w:cs="Times New Roman"/>
          <w:color w:val="000000"/>
          <w:sz w:val="32"/>
          <w:szCs w:val="32"/>
        </w:rPr>
        <w:t>批准后执行。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坚持厉行节约，勤俭办事原则。严格控制</w:t>
      </w:r>
      <w:r>
        <w:rPr>
          <w:rFonts w:hint="eastAsia" w:ascii="Times New Roman" w:hAnsi="Times New Roman" w:eastAsia="仿宋_GB2312" w:cs="Times New Roman"/>
          <w:color w:val="000000"/>
          <w:sz w:val="32"/>
          <w:szCs w:val="32"/>
          <w:lang w:val="en-US" w:eastAsia="zh-CN"/>
        </w:rPr>
        <w:t>三公经费</w:t>
      </w:r>
      <w:r>
        <w:rPr>
          <w:rFonts w:hint="eastAsia" w:ascii="Times New Roman" w:hAnsi="Times New Roman" w:eastAsia="仿宋_GB2312" w:cs="Times New Roman"/>
          <w:color w:val="000000"/>
          <w:sz w:val="32"/>
          <w:szCs w:val="32"/>
        </w:rPr>
        <w:t>支出，努力降低行政运行成本。</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三</w:t>
      </w: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rPr>
        <w:t>预算资金安排具体办法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按照</w:t>
      </w:r>
      <w:r>
        <w:rPr>
          <w:rFonts w:hint="eastAsia" w:ascii="Times New Roman" w:hAnsi="Times New Roman" w:eastAsia="仿宋_GB2312" w:cs="Times New Roman"/>
          <w:color w:val="000000"/>
          <w:sz w:val="32"/>
          <w:szCs w:val="32"/>
          <w:lang w:val="en-US" w:eastAsia="zh-CN"/>
        </w:rPr>
        <w:t>市编制办文件核定的我单位</w:t>
      </w:r>
      <w:r>
        <w:rPr>
          <w:rFonts w:hint="eastAsia" w:ascii="Times New Roman" w:hAnsi="Times New Roman" w:eastAsia="仿宋_GB2312" w:cs="Times New Roman"/>
          <w:color w:val="000000"/>
          <w:sz w:val="32"/>
          <w:szCs w:val="32"/>
        </w:rPr>
        <w:t>实际在编在岗人数，以</w:t>
      </w:r>
      <w:r>
        <w:rPr>
          <w:rFonts w:hint="eastAsia" w:ascii="Times New Roman" w:hAnsi="Times New Roman" w:eastAsia="仿宋_GB2312" w:cs="Times New Roman"/>
          <w:color w:val="000000"/>
          <w:sz w:val="32"/>
          <w:szCs w:val="32"/>
          <w:lang w:val="en-US" w:eastAsia="zh-CN"/>
        </w:rPr>
        <w:t>人秘科</w:t>
      </w:r>
      <w:r>
        <w:rPr>
          <w:rFonts w:hint="eastAsia" w:ascii="Times New Roman" w:hAnsi="Times New Roman" w:eastAsia="仿宋_GB2312" w:cs="Times New Roman"/>
          <w:color w:val="000000"/>
          <w:sz w:val="32"/>
          <w:szCs w:val="32"/>
        </w:rPr>
        <w:t>提供的报经市人事局审批后的在职职工基本工资和基础性绩效工资以及离退休职工基本离退休费和离退休补贴标准为依据，核定单位工资总额。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（四）绩效评价整体结果概况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根据设定的部门整体支出绩效评价指标规定的内容，经评价工作小组综合评价，我中心2022年度部门整体支出绩效评价得分96分。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1、预算编制和执行情况：2022年我中心全年收入606.19万元，2022年全年完成数为：605.76万元，预算完成率100%，达到目标值的优良水平。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三公经费控制情况：2022年三公经费预算数为3万元，2022年实际支付三公经费总额为4.14万元，超支原因为：单位特种技术用车维修、保养、保险等费用列支项目支出，但此费用必须使用公务用车运行维护费指标，故在决算数据中汇总至公务用车运行维护费费用中。</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3、项目支出管理规范和绩效情况：项目支出严格按照预算安排数和项目管理条例执行，绩效评定结果为优。</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Times New Roman"/>
          <w:b/>
          <w:bCs/>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项目绩效目标完成情况。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val="en-US" w:eastAsia="zh-CN"/>
        </w:rPr>
        <w:t xml:space="preserve"> 2022年市中心城区投入运营的七座污水处理厂累计处理污水10478.7661万吨(进水)，平均运行负荷率达63.1%。累计削减化学需氧量（COD）21639.946吨，确保了污水处理设施的正常运行。对污水处理设施运行和提标改造现场督办共200余次，针对运营所存在问题，共下发整改督办函和警告函5份，召开生产监管工作例会4次，确保了污水处理设施正常运转和运行效益的发挥。全年严格按照特许经营协议核定各污水运营单位污水处理服务费，合计核定污水处理服务费9543.9627万元，累计核减污水处理服务费165.0291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val="en-US" w:eastAsia="zh-CN"/>
        </w:rPr>
        <w:t>中心水质监测监督管理科每月不定期对中心城区投入运行的7家污水处理厂进水、出水及污泥进行抽样监测，2022年共计抽样监测58个批次，累计出具检测报告301份。严格要求各污水处理厂按照《城镇污水处理厂运行技术规范》做好化验室的基础建设、日常化验检测工作，以及各项化验检测数据的规范填写与上报工作，确保污水处理厂的正常生产及稳定运行，对不符合运行规范的污水厂进行了通报或通知整改，全年累计下发4份通报和2份整改通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val="en-US" w:eastAsia="zh-CN"/>
        </w:rPr>
        <w:t>在污泥处理处置监管方面，先后就污泥处理处置主体责任、污泥转移联单制度、污泥处置应急预案、报告制度、处置数量真实性和污泥处置费审核拨付召开污泥处理处置专题会议，每月建立报表、台账制度，实行每周至少一次对地磅计量进行跟踪督查，核准污泥处置量，严把污泥处置服务费审核关，及时纠正污泥处置过程中存在的问题。2022年度市中心城区共处置污泥51402.18吨，污泥无害化处置率达100%，按照污泥处置临时过渡协议核定污泥处置服务费1117.8906万元，核减污泥处置服务费0.8107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val="en-US" w:eastAsia="zh-CN"/>
        </w:rPr>
        <w:t>2022年度，我中心对羊角山垃圾渗滤液处置现场应急处理工程进行了改造，实现了封场植被浇淋喷头全覆盖，完成管道铺设2000余米，新增安装淋洒喷头100个和增压排污泵2台，全年365天安排专人值班抽水浇灌，每天抽水时间为6小时左右，保证调节池液位处在有效液位，避免渗滤液从调节池溢出，有效的杜绝了对北港河的污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val="en-US" w:eastAsia="zh-CN"/>
        </w:rPr>
        <w:t>）在鹏鹞公司</w:t>
      </w:r>
      <w:r>
        <w:rPr>
          <w:rFonts w:hint="eastAsia" w:ascii="Times New Roman" w:hAnsi="Times New Roman" w:eastAsia="仿宋_GB2312" w:cs="Times New Roman"/>
          <w:color w:val="000000"/>
          <w:sz w:val="32"/>
          <w:szCs w:val="32"/>
          <w:lang w:val="en-US" w:eastAsia="zh-CN"/>
        </w:rPr>
        <w:t>污水厂回购问题上积极发挥主力军作用。根据李挚市长在2022年10月25日主持召开的南津港和罗家坡（一期）污水处理厂资产回购专题会议精神， 积极配合市住建局实施和完成岳阳鹏鹞水务有限公司运营的罗家坡(一期)污水处理厂和南津港污水处理厂特许经营权的提前终止和历史未支付费用等遗留问题的工作任务。通过多渠道及对接多单位收集整理了两个污水处理厂有关建设和谈判所需的基础资料，通过电子卖场选定的第三方咨询机构济邦咨询公司，并为回购谈判提供实质性的建议帮助修改和完善谈判方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累计参与由住建局领导主持召开的谈判方案讨论十余次，并确定了回购工作的基本方向以及完成了终版谈判方案的制定。参与了两次由市政府领导主持召开的回购谈判工作组会议，以共同研究讨论谈判方案和回购工作。参与了与鹏鹞环保的两轮正式谈判工作会议，双方通过商谈就部分事项达成了一致意见。在此过程中协助完成了事实清晰，依据充分、争议较小的历史遗留费用内容和历史调差未支付服务费内容的双方对账工作，并做好了会议内容的记录和有关资料的整理与存档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12月3日前往江苏宜兴参与了与鹏鹞环保的第三轮正式谈判工作会议，双方就罗家坡(一期)污水处理厂和南津港污水处理厂特许经营权的提前终止和历史未支付费用等遗留问题均达成了一致，顺利协助完成了与鹏鹞环保的谈判工作任务。</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0" w:firstLineChars="0"/>
        <w:textAlignment w:val="auto"/>
        <w:rPr>
          <w:rFonts w:hint="default"/>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为加强县以上城市污水处理设施监管，全面提升我市生活污水处理设施运行管理水平，确保设施安全、稳定、高效运行，污水达标排放。根据《湖南省县以下城市生活污水处理厂运行管理评价办法》，2022年5月6至18日对全市县以上城市17座污水处理厂在运行效能、基本要求、工艺运行管理、污泥处理处置、化验质量管理、设备管理、中央控制系统、安全管理、环境影响控制等9个方面进行了等级评价，并出具《关于岳阳市县以上生活污水处理厂运营管理评价情况通报》，同时为配合湖南省住建厅2022年县以上城市生活污水处理厂运行管理评价工作，我中心组织开展了企业自评、县级复核、市州初评等工作，并将工作完成内容上传至全省智慧排水与污水处理信息系统，11月在省厅专家组对中心城区污水处理厂进行等级评价复查工作中发挥了主导作用。</w:t>
      </w:r>
    </w:p>
    <w:p>
      <w:pPr>
        <w:pStyle w:val="11"/>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（一）预算编制和执行缺乏准确性。由于项目执行中不确定因素较多，因而造成预算编制数和实际发生数存在差异，影响了预算收支的准确性。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（二）足额安排公用支出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近年来单位具体职能工作有所增加，上级部门交办的临时性任务繁杂，但预算中未有相关经费安排，建议能提高公用支出预算比例，保障我中心相关工作的有效开展。</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（一）提高思想认识。增强各科室人员对绩效考核的重视度。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（二）建立良好的沟通和反馈机制。建立健全规范的制度保障系统，可以使各类信息能上传下达，相互协调，提高工作效率和效能，增强各科室之间的沟通，了解各科室的基本情况与其相关需求。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default"/>
        </w:rPr>
      </w:pPr>
      <w:r>
        <w:rPr>
          <w:rFonts w:hint="eastAsia" w:ascii="Times New Roman" w:hAnsi="Times New Roman" w:eastAsia="仿宋_GB2312" w:cs="Times New Roman"/>
          <w:color w:val="000000"/>
          <w:kern w:val="0"/>
          <w:sz w:val="32"/>
          <w:szCs w:val="32"/>
          <w:lang w:val="en-US" w:eastAsia="zh-CN" w:bidi="ar-SA"/>
        </w:rPr>
        <w:t>（三）加强单位预算的绩效评价。建立财政支出预算绩效考评制度是加强预算管理、提高财政资金使用效益的重要制度保障，结合本单位的实际将绩效考评结果作为预算安排的依据，要不断完善绩效考评办法，提高财政资金使用的规范性、安全性和有效性。</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部门整体支出绩效自评结果拟应用和公开情况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（一）我中心根据整体支出绩效评定指标对各绩效指标量化评价，自评指标得分98分。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（二）我中心将项目支出后的实际状况与项目申报的绩效目标进行对比分析。按项目实际支出和项目申报绩效目标进行对比分析自评得分98分。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rPr>
      </w:pPr>
      <w:r>
        <w:rPr>
          <w:rFonts w:hint="eastAsia" w:ascii="Times New Roman" w:hAnsi="Times New Roman" w:eastAsia="仿宋_GB2312" w:cs="Times New Roman"/>
          <w:color w:val="000000"/>
          <w:kern w:val="0"/>
          <w:sz w:val="32"/>
          <w:szCs w:val="32"/>
          <w:lang w:val="en-US" w:eastAsia="zh-CN" w:bidi="ar-SA"/>
        </w:rPr>
        <w:t>（三）我中心将在本月将2022年度部门整体支出绩效自评交上级主管部门挂网公示。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其他需要说明的情况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587" w:right="1587" w:bottom="1134" w:left="1587" w:header="851" w:footer="992" w:gutter="0"/>
      <w:pgNumType w:fmt="decimal"/>
      <w:cols w:space="720" w:num="1"/>
      <w:rtlGutter w:val="0"/>
      <w:docGrid w:type="lines" w:linePitch="3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6E7E51"/>
    <w:multiLevelType w:val="singleLevel"/>
    <w:tmpl w:val="ED6E7E51"/>
    <w:lvl w:ilvl="0" w:tentative="0">
      <w:start w:val="4"/>
      <w:numFmt w:val="chineseCounting"/>
      <w:suff w:val="nothing"/>
      <w:lvlText w:val="%1、"/>
      <w:lvlJc w:val="left"/>
      <w:rPr>
        <w:rFonts w:hint="eastAsia"/>
      </w:rPr>
    </w:lvl>
  </w:abstractNum>
  <w:abstractNum w:abstractNumId="1">
    <w:nsid w:val="F6969868"/>
    <w:multiLevelType w:val="singleLevel"/>
    <w:tmpl w:val="F6969868"/>
    <w:lvl w:ilvl="0" w:tentative="0">
      <w:start w:val="1"/>
      <w:numFmt w:val="chineseCounting"/>
      <w:suff w:val="nothing"/>
      <w:lvlText w:val="%1、"/>
      <w:lvlJc w:val="left"/>
      <w:rPr>
        <w:rFonts w:hint="eastAsia"/>
      </w:rPr>
    </w:lvl>
  </w:abstractNum>
  <w:abstractNum w:abstractNumId="2">
    <w:nsid w:val="4A4EE1AA"/>
    <w:multiLevelType w:val="singleLevel"/>
    <w:tmpl w:val="4A4EE1AA"/>
    <w:lvl w:ilvl="0" w:tentative="0">
      <w:start w:val="8"/>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9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CFF8E41"/>
    <w:rsid w:val="00D37ED2"/>
    <w:rsid w:val="01443A1B"/>
    <w:rsid w:val="015F254D"/>
    <w:rsid w:val="02D13AA8"/>
    <w:rsid w:val="06494230"/>
    <w:rsid w:val="08345652"/>
    <w:rsid w:val="09485EFB"/>
    <w:rsid w:val="0B8C389F"/>
    <w:rsid w:val="0C0F0642"/>
    <w:rsid w:val="0C233266"/>
    <w:rsid w:val="115F78BB"/>
    <w:rsid w:val="15732C83"/>
    <w:rsid w:val="179D474C"/>
    <w:rsid w:val="17F7788B"/>
    <w:rsid w:val="1A893CD4"/>
    <w:rsid w:val="1AAB183B"/>
    <w:rsid w:val="21316710"/>
    <w:rsid w:val="21482B1C"/>
    <w:rsid w:val="21EB477C"/>
    <w:rsid w:val="2671171F"/>
    <w:rsid w:val="27744E56"/>
    <w:rsid w:val="2A6227AB"/>
    <w:rsid w:val="2B1144D8"/>
    <w:rsid w:val="2C4B14B4"/>
    <w:rsid w:val="2D46629B"/>
    <w:rsid w:val="2EB80FBF"/>
    <w:rsid w:val="33AD0A7E"/>
    <w:rsid w:val="36502E7E"/>
    <w:rsid w:val="37B327C8"/>
    <w:rsid w:val="37FC7C58"/>
    <w:rsid w:val="3ABF0799"/>
    <w:rsid w:val="3B807F2C"/>
    <w:rsid w:val="3CAF2100"/>
    <w:rsid w:val="3DC962FC"/>
    <w:rsid w:val="3E38680E"/>
    <w:rsid w:val="3E69364E"/>
    <w:rsid w:val="3F5F4FF7"/>
    <w:rsid w:val="47C45597"/>
    <w:rsid w:val="4B1936C2"/>
    <w:rsid w:val="4C455922"/>
    <w:rsid w:val="4F916E36"/>
    <w:rsid w:val="52E04F16"/>
    <w:rsid w:val="555A5BD5"/>
    <w:rsid w:val="576E26F4"/>
    <w:rsid w:val="57963E8B"/>
    <w:rsid w:val="59590A7F"/>
    <w:rsid w:val="5AF0176D"/>
    <w:rsid w:val="5B594951"/>
    <w:rsid w:val="5FDF9D25"/>
    <w:rsid w:val="65061835"/>
    <w:rsid w:val="6AF827CC"/>
    <w:rsid w:val="6BDE0866"/>
    <w:rsid w:val="6F7540DD"/>
    <w:rsid w:val="704E469D"/>
    <w:rsid w:val="70946D02"/>
    <w:rsid w:val="725F3101"/>
    <w:rsid w:val="751E3683"/>
    <w:rsid w:val="78AE7934"/>
    <w:rsid w:val="7A984115"/>
    <w:rsid w:val="7DDF84BA"/>
    <w:rsid w:val="7EA429DF"/>
    <w:rsid w:val="7F726DF2"/>
    <w:rsid w:val="7F9B7D6E"/>
    <w:rsid w:val="7FF65C39"/>
    <w:rsid w:val="B57639E9"/>
    <w:rsid w:val="B7DFD28A"/>
    <w:rsid w:val="CCFF8E41"/>
    <w:rsid w:val="F7FB0F6A"/>
    <w:rsid w:val="FB0FB09A"/>
    <w:rsid w:val="FB7F71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unhideWhenUsed/>
    <w:qFormat/>
    <w:uiPriority w:val="99"/>
    <w:pPr>
      <w:spacing w:after="120"/>
    </w:pPr>
  </w:style>
  <w:style w:type="paragraph" w:customStyle="1" w:styleId="4">
    <w:name w:val="正文首行缩进1"/>
    <w:basedOn w:val="1"/>
    <w:qFormat/>
    <w:uiPriority w:val="0"/>
    <w:pPr>
      <w:spacing w:after="120"/>
      <w:ind w:firstLine="420" w:firstLineChars="100"/>
    </w:pPr>
    <w:rPr>
      <w:rFonts w:ascii="Times New Roman" w:hAnsi="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10">
    <w:name w:val="列出段落1"/>
    <w:basedOn w:val="1"/>
    <w:qFormat/>
    <w:uiPriority w:val="34"/>
    <w:pPr>
      <w:ind w:firstLine="420" w:firstLineChars="200"/>
    </w:pPr>
  </w:style>
  <w:style w:type="paragraph" w:styleId="11">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2023-05-13T09:09:00Z</dcterms:created>
  <dc:creator>yyadmin</dc:creator>
  <cp:lastModifiedBy>李枚</cp:lastModifiedBy>
  <cp:lastPrinted>2023-07-18T09:24:10Z</cp:lastPrinted>
  <dcterms:modified xsi:type="dcterms:W3CDTF">2023-07-18T09:25:52Z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C4030453220C4180B10CE81442E080A5</vt:lpwstr>
  </property>
</Properties>
</file>