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sz w:val="56"/>
          <w:szCs w:val="56"/>
        </w:rPr>
      </w:pPr>
      <w:bookmarkStart w:id="0" w:name="_GoBack"/>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2021年度</w:t>
      </w:r>
    </w:p>
    <w:p>
      <w:pPr>
        <w:pStyle w:val="11"/>
        <w:jc w:val="center"/>
        <w:rPr>
          <w:sz w:val="84"/>
          <w:szCs w:val="84"/>
        </w:rPr>
      </w:pPr>
      <w:r>
        <w:rPr>
          <w:rFonts w:hint="eastAsia"/>
          <w:sz w:val="84"/>
          <w:szCs w:val="84"/>
          <w:lang w:val="en-US" w:eastAsia="zh-CN"/>
        </w:rPr>
        <w:t>岳阳市水利局</w:t>
      </w:r>
      <w:r>
        <w:rPr>
          <w:rFonts w:hint="eastAsia"/>
          <w:sz w:val="84"/>
          <w:szCs w:val="84"/>
        </w:rPr>
        <w:t>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keepNext w:val="0"/>
        <w:keepLines w:val="0"/>
        <w:pageBreakBefore w:val="0"/>
        <w:widowControl w:val="0"/>
        <w:kinsoku/>
        <w:wordWrap/>
        <w:overflowPunct/>
        <w:topLinePunct w:val="0"/>
        <w:bidi w:val="0"/>
        <w:snapToGrid/>
        <w:spacing w:line="480" w:lineRule="exact"/>
        <w:jc w:val="center"/>
        <w:textAlignment w:val="auto"/>
        <w:rPr>
          <w:b/>
          <w:sz w:val="36"/>
          <w:szCs w:val="28"/>
        </w:rPr>
      </w:pPr>
      <w:r>
        <w:rPr>
          <w:rFonts w:hint="eastAsia"/>
          <w:b/>
          <w:sz w:val="36"/>
          <w:szCs w:val="28"/>
        </w:rPr>
        <w:t>目录</w:t>
      </w:r>
    </w:p>
    <w:p>
      <w:pPr>
        <w:pStyle w:val="11"/>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w:t>
      </w:r>
      <w:r>
        <w:rPr>
          <w:rFonts w:hint="eastAsia"/>
          <w:b/>
          <w:sz w:val="28"/>
          <w:szCs w:val="28"/>
        </w:rPr>
        <w:t>单位概况</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21年度部门决算情况说明</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keepNext w:val="0"/>
        <w:keepLines w:val="0"/>
        <w:pageBreakBefore w:val="0"/>
        <w:widowControl w:val="0"/>
        <w:kinsoku/>
        <w:wordWrap/>
        <w:overflowPunct/>
        <w:topLinePunct w:val="0"/>
        <w:bidi w:val="0"/>
        <w:snapToGrid/>
        <w:spacing w:line="480" w:lineRule="exact"/>
        <w:ind w:firstLine="700" w:firstLineChars="250"/>
        <w:jc w:val="left"/>
        <w:textAlignment w:val="auto"/>
        <w:rPr>
          <w:rFonts w:ascii="仿宋_GB2312" w:hAnsi="仿宋_GB2312" w:cs="仿宋_GB2312"/>
          <w:sz w:val="28"/>
          <w:szCs w:val="28"/>
        </w:rPr>
      </w:pPr>
      <w:r>
        <w:rPr>
          <w:rFonts w:ascii="仿宋_GB2312" w:hAnsi="仿宋_GB2312" w:cs="仿宋_GB2312"/>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_GB2312" w:hAnsi="仿宋_GB2312" w:cs="仿宋_GB2312" w:eastAsiaTheme="minorEastAsia"/>
          <w:color w:val="000000"/>
          <w:kern w:val="0"/>
          <w:sz w:val="28"/>
          <w:szCs w:val="28"/>
          <w:lang w:eastAsia="zh-CN"/>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cs="仿宋_GB2312" w:asciiTheme="minorEastAsia" w:hAnsiTheme="minorEastAsia" w:eastAsiaTheme="minorEastAsia"/>
          <w:sz w:val="28"/>
          <w:szCs w:val="28"/>
        </w:rPr>
        <w:t>国有资本经营预算财政拨款支出决算</w:t>
      </w:r>
      <w:r>
        <w:rPr>
          <w:rFonts w:hint="eastAsia" w:cs="仿宋_GB2312" w:asciiTheme="minorEastAsia" w:hAnsiTheme="minorEastAsia"/>
          <w:sz w:val="28"/>
          <w:szCs w:val="28"/>
          <w:lang w:eastAsia="zh-CN"/>
        </w:rPr>
        <w:t>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十、机关运行经费支出说明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w:t>
      </w:r>
      <w:r>
        <w:rPr>
          <w:rFonts w:hint="eastAsia" w:ascii="仿宋_GB2312" w:hAnsi="仿宋_GB2312" w:cs="仿宋_GB2312"/>
          <w:color w:val="000000"/>
          <w:kern w:val="0"/>
          <w:sz w:val="28"/>
          <w:szCs w:val="28"/>
        </w:rPr>
        <w:t>政府采购支出说明</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rPr>
      </w:pPr>
      <w:r>
        <w:rPr>
          <w:rFonts w:hint="eastAsia" w:ascii="仿宋_GB2312" w:hAnsi="仿宋_GB2312" w:cs="仿宋_GB2312" w:eastAsiaTheme="minorEastAsia"/>
          <w:sz w:val="28"/>
          <w:szCs w:val="28"/>
        </w:rPr>
        <w:t>十三、国有资产占用情况说明</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lang w:eastAsia="zh-CN"/>
        </w:rPr>
      </w:pPr>
      <w:r>
        <w:rPr>
          <w:rFonts w:hint="eastAsia" w:ascii="仿宋_GB2312" w:hAnsi="仿宋_GB2312" w:cs="仿宋_GB2312" w:eastAsiaTheme="minorEastAsia"/>
          <w:sz w:val="28"/>
          <w:szCs w:val="28"/>
          <w:lang w:eastAsia="zh-CN"/>
        </w:rPr>
        <w:t>十四、</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keepNext w:val="0"/>
        <w:keepLines w:val="0"/>
        <w:pageBreakBefore w:val="0"/>
        <w:widowControl w:val="0"/>
        <w:kinsoku/>
        <w:wordWrap/>
        <w:overflowPunct/>
        <w:topLinePunct w:val="0"/>
        <w:bidi w:val="0"/>
        <w:snapToGrid/>
        <w:spacing w:line="620" w:lineRule="exact"/>
        <w:jc w:val="center"/>
        <w:textAlignment w:val="auto"/>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sz w:val="84"/>
          <w:szCs w:val="84"/>
        </w:rPr>
      </w:pPr>
      <w:r>
        <w:rPr>
          <w:rFonts w:hint="eastAsia"/>
          <w:sz w:val="84"/>
          <w:szCs w:val="84"/>
        </w:rPr>
        <w:t>第一部分</w:t>
      </w:r>
      <w:r>
        <w:rPr>
          <w:sz w:val="84"/>
          <w:szCs w:val="84"/>
        </w:rPr>
        <w:t xml:space="preserve"> </w:t>
      </w:r>
    </w:p>
    <w:p>
      <w:pPr>
        <w:pStyle w:val="11"/>
        <w:jc w:val="center"/>
        <w:rPr>
          <w:sz w:val="84"/>
          <w:szCs w:val="84"/>
        </w:rPr>
      </w:pPr>
    </w:p>
    <w:p>
      <w:pPr>
        <w:pStyle w:val="11"/>
        <w:jc w:val="center"/>
        <w:rPr>
          <w:sz w:val="84"/>
          <w:szCs w:val="84"/>
        </w:rPr>
      </w:pPr>
      <w:r>
        <w:rPr>
          <w:rFonts w:hint="eastAsia"/>
          <w:sz w:val="84"/>
          <w:szCs w:val="84"/>
          <w:lang w:val="en-US" w:eastAsia="zh-CN"/>
        </w:rPr>
        <w:t>岳阳市水利局</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（一）负责保障水资源的合理开发利用。拟订水利政策和规划，起草有关地方性法规、规章草案，组织编制全市水资源规划、市确定的重要江河湖泊流域综合规划、防洪规划等较大水利规划。</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二）负责生活、生产经营和生态环境用水的统筹和保障。组织实施最严格水资源管理制度，实施水资源的统一监督管理，拟订全市和跨区域水中长期供求规划、水量分配方案并监督实施。负责重要流域、区域以及较大调水工程的水资源调度。组织实施取水许可、水资源论证和防洪论证制度，指导开展水资源有偿使用工作。指导全市水利行业供水和乡镇供水工作。</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三）按规定制定水利工程建设和运行管理有关制度并组织实施，负责提出水利固定资产投资规模、方向、具体安排建议并组织指导实施，按市人民政府规定权限审批、核准规划内和年度计划规模内固定资产投资项目，提出水利资金安排建议并负责项目实施的监督管理。</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（四）指导水资源保护工作。组织编制实施水资源保护规划。指导饮用水水源保护有关工作。指导地下水开发利用、地下水资源管理保护。</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（五）负责节约用水工作。拟订节约用水政策，组织编制节约用水规划并监督实施，组织制定有关标准。组织实施用水总量控制等管理制度，指导和推动节水型社会建设工作。</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（六）按规定组织开展水资源、水能资源调查评价和水资源承载能力监测预警工作；负责编制并发布市级水资源公报。</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七）指导水利设施、水域及其岸线的管理、保护与综合利用。指导江河湖泊及河口的治理、开发和保护。指导河湖水生态保护与修复、河湖生态流量水量管理以及河湖水系连通工作。指导洞庭湖区水利管理工作。承担河（湖）长制组织实施具体工作。</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（八）指导监督水利工程建设与运行管理。组织指导水利基础设施网络建设和运行管理。指导水利建设市场的监督管理，组织实施水利工程建设的监督。</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（九）负责水土保持工作。拟订水土保持规划并监督实施， 组织实施水土流失的综合防治、监测预报并定期公告。负责建设项目水土保持监督管理工作，指导重点水土保持建设项目的实施。</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十）指导农村水利工作。组织开展较大型灌排工程建设与改造。指导农村饮水安全工程建设管理工作，指导节水灌溉有关工作。指导农村水利改革创新和社会化服务体系建设。指导农村水能资源开发、小水电改造和水电农村电气化工作。</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（十一）负责水库移民管理工作。贯彻落实水库移民有关政策，组织实施水库移民安置验收、监督评估等制度，指导监督水库移民后期扶持政策的实施；负责管理水库移民资金。</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十二）指导协调重大涉水违法事件的查处，协调跨县市区水事纠纷，负责市辖区范围内的水政监察和水行政执法，指导县市水政监察和水行政执法。依法负责水利行业安全生产工作，组织指导水库、水电站大坝等水利工程设施的安全监管。</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（十三）开展水利科技和外事工作。参与拟订水利行业的地方技术标准、规程规范并监督实施，组织开展水利行业质量监督工作。</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十四）负责落实综合防灾减灾规划相关要求，组织编制洪水干旱灾害防治规划和防护标准并指导实施。负责水情旱情预警工作。组织编制重要江河湖泊和重要水工程的防御洪水抗御旱灾调度及应急水量调度方案，按程序报批并组织实施。承担防御洪水应急抢险的技术支撑工作。承担台风防御期间重要水工程调度工作。</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（十五）完成市委和市政府交办的其他事项。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bCs/>
          <w:kern w:val="0"/>
          <w:sz w:val="32"/>
          <w:szCs w:val="32"/>
        </w:rPr>
      </w:pPr>
      <w:r>
        <w:rPr>
          <w:rFonts w:hint="eastAsia" w:asciiTheme="minorEastAsia" w:hAnsiTheme="minorEastAsia"/>
          <w:bCs/>
          <w:kern w:val="0"/>
          <w:sz w:val="32"/>
          <w:szCs w:val="32"/>
        </w:rPr>
        <w:t>我局内设科室1</w:t>
      </w:r>
      <w:r>
        <w:rPr>
          <w:rFonts w:hint="eastAsia" w:asciiTheme="minorEastAsia" w:hAnsiTheme="minorEastAsia"/>
          <w:bCs/>
          <w:kern w:val="0"/>
          <w:sz w:val="32"/>
          <w:szCs w:val="32"/>
          <w:lang w:val="en-US" w:eastAsia="zh-CN"/>
        </w:rPr>
        <w:t>7</w:t>
      </w:r>
      <w:r>
        <w:rPr>
          <w:rFonts w:hint="eastAsia" w:asciiTheme="minorEastAsia" w:hAnsiTheme="minorEastAsia"/>
          <w:bCs/>
          <w:kern w:val="0"/>
          <w:sz w:val="32"/>
          <w:szCs w:val="32"/>
        </w:rPr>
        <w:t>个，分别是办公室、规划计划与科技科、调研法规科、水资源管理科（市节约用水办公室）、水利工程建设科、运行管理与监督科、河湖管理科、水土保持科、农村水利水电科、移民后期扶持科、移民开发管理科、河长制工作科、行政审批科、财务科、人事科、机关党委（纪委）、离退休人员管理服务科。</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bCs/>
          <w:kern w:val="0"/>
          <w:sz w:val="32"/>
          <w:szCs w:val="32"/>
        </w:rPr>
      </w:pPr>
      <w:r>
        <w:rPr>
          <w:rFonts w:hint="eastAsia" w:asciiTheme="minorEastAsia" w:hAnsiTheme="minorEastAsia"/>
          <w:bCs/>
          <w:kern w:val="0"/>
          <w:sz w:val="32"/>
          <w:szCs w:val="32"/>
        </w:rPr>
        <w:t>（二）决算单位构成。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bCs/>
          <w:kern w:val="0"/>
          <w:sz w:val="32"/>
          <w:szCs w:val="32"/>
        </w:rPr>
      </w:pPr>
      <w:r>
        <w:rPr>
          <w:rFonts w:hint="eastAsia" w:asciiTheme="minorEastAsia" w:hAnsiTheme="minorEastAsia"/>
          <w:bCs/>
          <w:kern w:val="0"/>
          <w:sz w:val="32"/>
          <w:szCs w:val="32"/>
        </w:rPr>
        <w:t>2021年纳入部门预算编制范围的有水利局机关、洋溪湖管理处、防汛物资储备管理中心、水利水电规划勘测设计院、局机关后勤服务中心等</w:t>
      </w:r>
      <w:r>
        <w:rPr>
          <w:rFonts w:hint="eastAsia" w:asciiTheme="minorEastAsia" w:hAnsiTheme="minorEastAsia"/>
          <w:bCs/>
          <w:kern w:val="0"/>
          <w:sz w:val="32"/>
          <w:szCs w:val="32"/>
          <w:lang w:val="en-US" w:eastAsia="zh-CN"/>
        </w:rPr>
        <w:t>5</w:t>
      </w:r>
      <w:r>
        <w:rPr>
          <w:rFonts w:hint="eastAsia" w:asciiTheme="minorEastAsia" w:hAnsiTheme="minorEastAsia"/>
          <w:bCs/>
          <w:kern w:val="0"/>
          <w:sz w:val="32"/>
          <w:szCs w:val="32"/>
        </w:rPr>
        <w:t>个单位。</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rFonts w:hint="eastAsia"/>
          <w:sz w:val="72"/>
          <w:szCs w:val="72"/>
        </w:rPr>
      </w:pPr>
      <w:r>
        <w:rPr>
          <w:rFonts w:hint="eastAsia"/>
          <w:sz w:val="72"/>
          <w:szCs w:val="72"/>
        </w:rPr>
        <w:t>部门决算表</w:t>
      </w:r>
    </w:p>
    <w:p>
      <w:pPr>
        <w:rPr>
          <w:rFonts w:hint="eastAsia"/>
          <w:sz w:val="72"/>
          <w:szCs w:val="72"/>
          <w:lang w:eastAsia="zh-CN"/>
        </w:rPr>
      </w:pPr>
      <w:r>
        <w:rPr>
          <w:rFonts w:hint="eastAsia"/>
          <w:sz w:val="72"/>
          <w:szCs w:val="72"/>
          <w:lang w:eastAsia="zh-CN"/>
        </w:rPr>
        <w:br w:type="page"/>
      </w:r>
    </w:p>
    <w:p>
      <w:pPr>
        <w:jc w:val="center"/>
        <w:rPr>
          <w:rFonts w:hint="eastAsia"/>
          <w:sz w:val="72"/>
          <w:szCs w:val="72"/>
          <w:lang w:eastAsia="zh-CN"/>
        </w:rPr>
        <w:sectPr>
          <w:pgSz w:w="11906" w:h="16838"/>
          <w:pgMar w:top="720" w:right="720" w:bottom="720" w:left="720" w:header="851" w:footer="992" w:gutter="0"/>
          <w:cols w:space="425" w:num="1"/>
          <w:docGrid w:type="lines" w:linePitch="312" w:charSpace="0"/>
        </w:sectPr>
      </w:pPr>
    </w:p>
    <w:tbl>
      <w:tblPr>
        <w:tblStyle w:val="6"/>
        <w:tblpPr w:leftFromText="180" w:rightFromText="180" w:vertAnchor="text" w:horzAnchor="page" w:tblpX="1093" w:tblpY="277"/>
        <w:tblOverlap w:val="never"/>
        <w:tblW w:w="140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62"/>
        <w:gridCol w:w="819"/>
        <w:gridCol w:w="1368"/>
        <w:gridCol w:w="4387"/>
        <w:gridCol w:w="819"/>
        <w:gridCol w:w="20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b/>
                <w:bCs/>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662"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81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6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8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1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1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662"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部门：岳阳市水利局</w:t>
            </w:r>
          </w:p>
        </w:tc>
        <w:tc>
          <w:tcPr>
            <w:tcW w:w="81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6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8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1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1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84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7221" w:type="dxa"/>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3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4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19"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19"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3,005.17</w:t>
            </w:r>
          </w:p>
        </w:tc>
        <w:tc>
          <w:tcPr>
            <w:tcW w:w="4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38.00</w:t>
            </w:r>
          </w:p>
        </w:tc>
        <w:tc>
          <w:tcPr>
            <w:tcW w:w="4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0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0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0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0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0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3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0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3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200.92</w:t>
            </w:r>
          </w:p>
        </w:tc>
        <w:tc>
          <w:tcPr>
            <w:tcW w:w="4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3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3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3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5,746.75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3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0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3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0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3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0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3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3,244.08</w:t>
            </w:r>
          </w:p>
        </w:tc>
        <w:tc>
          <w:tcPr>
            <w:tcW w:w="4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6,267.45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3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124.09</w:t>
            </w:r>
          </w:p>
        </w:tc>
        <w:tc>
          <w:tcPr>
            <w:tcW w:w="4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3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3,835.11</w:t>
            </w:r>
          </w:p>
        </w:tc>
        <w:tc>
          <w:tcPr>
            <w:tcW w:w="4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387"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01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819"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3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7,203.28</w:t>
            </w:r>
          </w:p>
        </w:tc>
        <w:tc>
          <w:tcPr>
            <w:tcW w:w="4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8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2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70"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注：本表反映部门本年度的总收支和年末结转结余情况。本套报表金额单位转换时可能存在尾数误差。</w:t>
            </w:r>
          </w:p>
        </w:tc>
      </w:tr>
    </w:tbl>
    <w:p>
      <w:pPr>
        <w:jc w:val="center"/>
        <w:rPr>
          <w:rFonts w:hint="eastAsia"/>
          <w:sz w:val="72"/>
          <w:szCs w:val="72"/>
          <w:lang w:eastAsia="zh-CN"/>
        </w:rPr>
      </w:pPr>
    </w:p>
    <w:p>
      <w:pPr>
        <w:jc w:val="center"/>
        <w:rPr>
          <w:rFonts w:hint="eastAsia" w:eastAsiaTheme="minorEastAsia"/>
          <w:sz w:val="72"/>
          <w:szCs w:val="72"/>
          <w:lang w:eastAsia="zh-CN"/>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r>
        <w:rPr>
          <w:sz w:val="72"/>
          <w:szCs w:val="72"/>
        </w:rPr>
        <w:br w:type="page"/>
      </w:r>
    </w:p>
    <w:tbl>
      <w:tblPr>
        <w:tblStyle w:val="6"/>
        <w:tblW w:w="149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16"/>
        <w:gridCol w:w="222"/>
        <w:gridCol w:w="222"/>
        <w:gridCol w:w="3956"/>
        <w:gridCol w:w="1616"/>
        <w:gridCol w:w="1617"/>
        <w:gridCol w:w="890"/>
        <w:gridCol w:w="924"/>
        <w:gridCol w:w="920"/>
        <w:gridCol w:w="917"/>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1" w:hRule="atLeast"/>
        </w:trPr>
        <w:tc>
          <w:tcPr>
            <w:tcW w:w="14915" w:type="dxa"/>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b/>
                <w:bCs/>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部门：岳阳市水利局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1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61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89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941"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93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92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61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2448"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1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1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2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1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244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1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2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1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244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1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2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1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6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4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3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2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6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3,244.08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3,043.17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其他宣传事务支出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290.38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188.66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188.66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164.59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49.91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49.91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其他优抚支出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49.91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49.91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残疾人事业</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大中型水库移民后期扶持基金支出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2082202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基础设施建设和经济发展</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69.84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2,877.99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2,677.07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2,877.99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2,677.07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1,249.41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1,249.41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水利行业业务管理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41.42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水利工程建设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284.99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水利工程运行与维护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防汛</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大中型水库移民后期扶持专项支出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33.90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其他水利支出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1,157.72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956.80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jc w:val="center"/>
        <w:rPr>
          <w:sz w:val="72"/>
          <w:szCs w:val="72"/>
        </w:rPr>
      </w:pPr>
    </w:p>
    <w:p>
      <w:pPr>
        <w:rPr>
          <w:rFonts w:asciiTheme="minorEastAsia" w:hAnsiTheme="minorEastAsia"/>
          <w:sz w:val="32"/>
          <w:szCs w:val="32"/>
        </w:rPr>
      </w:pPr>
      <w:r>
        <w:rPr>
          <w:rFonts w:asciiTheme="minorEastAsia" w:hAnsiTheme="minorEastAsia"/>
          <w:sz w:val="32"/>
          <w:szCs w:val="32"/>
        </w:rPr>
        <w:br w:type="page"/>
      </w:r>
    </w:p>
    <w:tbl>
      <w:tblPr>
        <w:tblStyle w:val="6"/>
        <w:tblW w:w="154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16"/>
        <w:gridCol w:w="222"/>
        <w:gridCol w:w="222"/>
        <w:gridCol w:w="3956"/>
        <w:gridCol w:w="1750"/>
        <w:gridCol w:w="1750"/>
        <w:gridCol w:w="1750"/>
        <w:gridCol w:w="1072"/>
        <w:gridCol w:w="967"/>
        <w:gridCol w:w="1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trPr>
        <w:tc>
          <w:tcPr>
            <w:tcW w:w="1546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b/>
                <w:bCs/>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部门：岳阳市水利局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75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75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75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12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07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75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2404"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5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2404"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5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2404"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5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7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7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6,267.46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3,134.49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3,132.97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其他宣传事务支出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411.56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198.67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198.67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165.40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其他优抚支出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残疾人事业</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大中型水库移民后期扶持基金支出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2082202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基础设施建设和经济发展</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76.71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76.71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76.71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76.71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节能环保支出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能源节约利用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能源节约利用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可再生能源</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可再生能源</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5,746.74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2,779.59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2,967.15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5,746.29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2,779.59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2,966.70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1,496.95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1,496.95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水利行业业务管理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493.67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401.06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水利工程建设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994.70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939.71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水利工程运行与维护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102.76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水利前期工作</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744.07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744.07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水土保持</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水资源节约管理与保护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防汛</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农村水利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大中型水库移民后期扶持专项支出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其他水利支出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1,810.41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1,045.65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764.76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21369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国家重大水利工程建设基金安排的支出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2136902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三峡后续工作</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rPr>
          <w:rFonts w:asciiTheme="minorEastAsia" w:hAnsiTheme="minorEastAsia"/>
          <w:sz w:val="32"/>
          <w:szCs w:val="32"/>
        </w:rPr>
      </w:pPr>
      <w:r>
        <w:rPr>
          <w:rFonts w:asciiTheme="minorEastAsia" w:hAnsiTheme="minorEastAsia"/>
          <w:sz w:val="32"/>
          <w:szCs w:val="32"/>
        </w:rPr>
        <w:br w:type="page"/>
      </w:r>
    </w:p>
    <w:tbl>
      <w:tblPr>
        <w:tblStyle w:val="6"/>
        <w:tblW w:w="152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04"/>
        <w:gridCol w:w="517"/>
        <w:gridCol w:w="1322"/>
        <w:gridCol w:w="3998"/>
        <w:gridCol w:w="517"/>
        <w:gridCol w:w="1177"/>
        <w:gridCol w:w="1318"/>
        <w:gridCol w:w="1088"/>
        <w:gridCol w:w="18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trPr>
        <w:tc>
          <w:tcPr>
            <w:tcW w:w="15280"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b/>
                <w:bCs/>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部门：岳阳市水利局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trPr>
        <w:tc>
          <w:tcPr>
            <w:tcW w:w="344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3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9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5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15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80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4" w:hRule="atLeast"/>
        </w:trPr>
        <w:tc>
          <w:tcPr>
            <w:tcW w:w="34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2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6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2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2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5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3,005.17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411.55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263.04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76.71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76.71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5,469.06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5,468.61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3,043.17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5,989.77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5,840.81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148.95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3,699.15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752.54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732.75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3,568.40</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130.75</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6,742.31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6,742.31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6,573.57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168.75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5280" w:type="dxa"/>
            <w:gridSpan w:val="9"/>
            <w:vMerge w:val="restar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15280" w:type="dxa"/>
            <w:gridSpan w:val="9"/>
            <w:vMerge w:val="continue"/>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2"/>
                <w:szCs w:val="22"/>
                <w:u w:val="none"/>
              </w:rPr>
            </w:pPr>
          </w:p>
        </w:tc>
      </w:tr>
    </w:tbl>
    <w:p>
      <w:pPr>
        <w:rPr>
          <w:rFonts w:asciiTheme="minorEastAsia" w:hAnsiTheme="minorEastAsia"/>
          <w:sz w:val="32"/>
          <w:szCs w:val="32"/>
        </w:rPr>
      </w:pPr>
      <w:r>
        <w:rPr>
          <w:rFonts w:asciiTheme="minorEastAsia" w:hAnsiTheme="minorEastAsia"/>
          <w:sz w:val="32"/>
          <w:szCs w:val="32"/>
        </w:rPr>
        <w:br w:type="page"/>
      </w:r>
    </w:p>
    <w:tbl>
      <w:tblPr>
        <w:tblStyle w:val="6"/>
        <w:tblW w:w="148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50"/>
        <w:gridCol w:w="270"/>
        <w:gridCol w:w="270"/>
        <w:gridCol w:w="6046"/>
        <w:gridCol w:w="1685"/>
        <w:gridCol w:w="1685"/>
        <w:gridCol w:w="2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4880"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b/>
                <w:bCs/>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9"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9"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部门：岳阳市水利局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908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97"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087"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599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7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67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45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087"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99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7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7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5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8" w:hRule="atLeast"/>
        </w:trPr>
        <w:tc>
          <w:tcPr>
            <w:tcW w:w="3087"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99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7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7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5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9083"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9083"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5,840.81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3,048.64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2,792.18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其他宣传事务支出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263.05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198.67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198.67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165.40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其他优抚支出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残疾人事业</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76.71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76.71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76.71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76.71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节能环保支出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能源节约利用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能源节约利用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可再生能源</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可再生能源</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5,468.62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2,693.75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2,774.87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5,468.62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2,693.75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2,774.87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1,496.95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1,496.95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水利行业业务管理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493.67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水利工程建设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994.71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939.71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水利工程运行与维护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102.76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水利前期工作</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744.07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水土保持</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水资源节约管理与保护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防汛</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农村水利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大中型水库移民后期扶持专项支出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其他水利支出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1,532.73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rPr>
          <w:rFonts w:asciiTheme="minorEastAsia" w:hAnsiTheme="minorEastAsia"/>
          <w:sz w:val="32"/>
          <w:szCs w:val="32"/>
        </w:rPr>
      </w:pPr>
      <w:r>
        <w:rPr>
          <w:rFonts w:asciiTheme="minorEastAsia" w:hAnsiTheme="minorEastAsia"/>
          <w:sz w:val="32"/>
          <w:szCs w:val="32"/>
        </w:rPr>
        <w:br w:type="page"/>
      </w:r>
    </w:p>
    <w:tbl>
      <w:tblPr>
        <w:tblStyle w:val="6"/>
        <w:tblW w:w="152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03"/>
        <w:gridCol w:w="2758"/>
        <w:gridCol w:w="1359"/>
        <w:gridCol w:w="1084"/>
        <w:gridCol w:w="1672"/>
        <w:gridCol w:w="1281"/>
        <w:gridCol w:w="1119"/>
        <w:gridCol w:w="2044"/>
        <w:gridCol w:w="2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2" w:hRule="atLeast"/>
        </w:trPr>
        <w:tc>
          <w:tcPr>
            <w:tcW w:w="15200" w:type="dxa"/>
            <w:gridSpan w:val="9"/>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30"/>
                <w:szCs w:val="30"/>
                <w:u w:val="none"/>
              </w:rPr>
            </w:pPr>
            <w:r>
              <w:rPr>
                <w:rFonts w:asciiTheme="minorEastAsia" w:hAnsiTheme="minorEastAsia"/>
                <w:sz w:val="32"/>
                <w:szCs w:val="32"/>
              </w:rPr>
              <w:br w:type="page"/>
            </w:r>
            <w:r>
              <w:rPr>
                <w:rFonts w:hint="eastAsia" w:ascii="宋体" w:hAnsi="宋体" w:eastAsia="宋体" w:cs="宋体"/>
                <w:b/>
                <w:bCs/>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1103"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75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5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8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7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8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1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4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78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8" w:hRule="atLeast"/>
        </w:trPr>
        <w:tc>
          <w:tcPr>
            <w:tcW w:w="110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部门：岳阳市水利局</w:t>
            </w:r>
          </w:p>
        </w:tc>
        <w:tc>
          <w:tcPr>
            <w:tcW w:w="275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5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8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7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8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1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4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78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52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980" w:type="dxa"/>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10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275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5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08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167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8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11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204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78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1103"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75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5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7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8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1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4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7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4"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3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2,152.46</w:t>
            </w: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453.09</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3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659.97</w:t>
            </w: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36.60</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3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155.93</w:t>
            </w: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7.24</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3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607.40</w:t>
            </w: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12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2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3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100.76</w:t>
            </w: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11.18</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3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226.67</w:t>
            </w: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2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4"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3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169.28</w:t>
            </w: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63.90</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35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3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78.69</w:t>
            </w: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12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4"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35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9.50</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3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23.52</w:t>
            </w: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4"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3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67.88</w:t>
            </w: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12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3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43.99</w:t>
            </w: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63.18</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4"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3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18.36</w:t>
            </w: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3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427.43</w:t>
            </w: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12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3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15.41</w:t>
            </w: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0.33</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3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64.65</w:t>
            </w: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4"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35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12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3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50.48</w:t>
            </w: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12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3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8.15</w:t>
            </w: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12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35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4.74</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3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44.15</w:t>
            </w: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0.98</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4"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35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123.35</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3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244.58</w:t>
            </w: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26.85</w:t>
            </w: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4"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35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12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2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4"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35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50.15</w:t>
            </w:r>
          </w:p>
        </w:tc>
        <w:tc>
          <w:tcPr>
            <w:tcW w:w="1119"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044"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2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35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12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9"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044"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110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758"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35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12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40.06</w:t>
            </w:r>
          </w:p>
        </w:tc>
        <w:tc>
          <w:tcPr>
            <w:tcW w:w="1119"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044"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861"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3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2,579.89</w:t>
            </w:r>
          </w:p>
        </w:tc>
        <w:tc>
          <w:tcPr>
            <w:tcW w:w="72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2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5200"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rPr>
          <w:rFonts w:asciiTheme="minorEastAsia" w:hAnsiTheme="minorEastAsia"/>
          <w:sz w:val="32"/>
          <w:szCs w:val="32"/>
        </w:rPr>
      </w:pPr>
      <w:r>
        <w:rPr>
          <w:rFonts w:asciiTheme="minorEastAsia" w:hAnsiTheme="minorEastAsia"/>
          <w:sz w:val="32"/>
          <w:szCs w:val="32"/>
        </w:rPr>
        <w:br w:type="page"/>
      </w:r>
    </w:p>
    <w:tbl>
      <w:tblPr>
        <w:tblStyle w:val="6"/>
        <w:tblW w:w="152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80"/>
        <w:gridCol w:w="1353"/>
        <w:gridCol w:w="1194"/>
        <w:gridCol w:w="777"/>
        <w:gridCol w:w="1228"/>
        <w:gridCol w:w="1186"/>
        <w:gridCol w:w="1183"/>
        <w:gridCol w:w="1353"/>
        <w:gridCol w:w="1145"/>
        <w:gridCol w:w="789"/>
        <w:gridCol w:w="1139"/>
        <w:gridCol w:w="17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2" w:hRule="atLeast"/>
        </w:trPr>
        <w:tc>
          <w:tcPr>
            <w:tcW w:w="15280" w:type="dxa"/>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b/>
                <w:bCs/>
                <w:i w:val="0"/>
                <w:iCs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部门：岳阳市水利局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2"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0" w:type="auto"/>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218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5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199"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18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5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073"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75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94" w:hRule="atLeast"/>
        </w:trPr>
        <w:tc>
          <w:tcPr>
            <w:tcW w:w="21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5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7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2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8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8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5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7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75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18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8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18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3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1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1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7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7"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138.81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85.81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47.63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47.63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2" w:hRule="atLeast"/>
        </w:trPr>
        <w:tc>
          <w:tcPr>
            <w:tcW w:w="1528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rPr>
          <w:rFonts w:asciiTheme="minorEastAsia" w:hAnsiTheme="minorEastAsia"/>
          <w:sz w:val="32"/>
          <w:szCs w:val="32"/>
        </w:rPr>
      </w:pPr>
      <w:r>
        <w:rPr>
          <w:rFonts w:asciiTheme="minorEastAsia" w:hAnsiTheme="minorEastAsia"/>
          <w:sz w:val="32"/>
          <w:szCs w:val="32"/>
        </w:rPr>
        <w:br w:type="page"/>
      </w:r>
    </w:p>
    <w:tbl>
      <w:tblPr>
        <w:tblStyle w:val="6"/>
        <w:tblW w:w="152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70"/>
        <w:gridCol w:w="250"/>
        <w:gridCol w:w="250"/>
        <w:gridCol w:w="4536"/>
        <w:gridCol w:w="1342"/>
        <w:gridCol w:w="1200"/>
        <w:gridCol w:w="1342"/>
        <w:gridCol w:w="774"/>
        <w:gridCol w:w="1342"/>
        <w:gridCol w:w="18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trPr>
        <w:tc>
          <w:tcPr>
            <w:tcW w:w="1520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b/>
                <w:bCs/>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部门：岳阳市水利局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trPr>
        <w:tc>
          <w:tcPr>
            <w:tcW w:w="66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1501"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361"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3939"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74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6" w:hRule="atLeast"/>
        </w:trPr>
        <w:tc>
          <w:tcPr>
            <w:tcW w:w="2550"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1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0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6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9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5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74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trPr>
        <w:tc>
          <w:tcPr>
            <w:tcW w:w="6652"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trPr>
        <w:tc>
          <w:tcPr>
            <w:tcW w:w="6652"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  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130.75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148.95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148.95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大中型水库移民后期扶持基金支出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2082202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基础设施建设和经济发展</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21369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国家重大水利工程建设基金安排的支出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2136902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三峡后续工作</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bl>
    <w:p>
      <w:pPr>
        <w:rPr>
          <w:rFonts w:asciiTheme="minorEastAsia" w:hAnsiTheme="minorEastAsia"/>
          <w:sz w:val="32"/>
          <w:szCs w:val="32"/>
        </w:rPr>
      </w:pPr>
      <w:r>
        <w:rPr>
          <w:rFonts w:asciiTheme="minorEastAsia" w:hAnsiTheme="minorEastAsia"/>
          <w:sz w:val="32"/>
          <w:szCs w:val="32"/>
        </w:rPr>
        <w:br w:type="page"/>
      </w:r>
    </w:p>
    <w:tbl>
      <w:tblPr>
        <w:tblStyle w:val="6"/>
        <w:tblW w:w="151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44"/>
        <w:gridCol w:w="346"/>
        <w:gridCol w:w="346"/>
        <w:gridCol w:w="4043"/>
        <w:gridCol w:w="2206"/>
        <w:gridCol w:w="2035"/>
        <w:gridCol w:w="3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9" w:hRule="atLeast"/>
        </w:trPr>
        <w:tc>
          <w:tcPr>
            <w:tcW w:w="15180"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b/>
                <w:bCs/>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部门：岳阳市水利局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83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87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3556"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75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39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17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30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3556"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75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9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0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3556"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75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9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0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8306" w:type="dxa"/>
            <w:gridSpan w:val="4"/>
            <w:tcBorders>
              <w:top w:val="nil"/>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8306"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0" w:type="auto"/>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注：本表反映部门本年度国有资本经营预算财政拨款收入、支出及结转和结余情况。</w:t>
            </w: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jc w:val="left"/>
        <w:rPr>
          <w:rFonts w:asciiTheme="minorEastAsia" w:hAnsiTheme="minorEastAsia"/>
          <w:sz w:val="32"/>
          <w:szCs w:val="32"/>
        </w:rPr>
        <w:sectPr>
          <w:pgSz w:w="16838" w:h="11906" w:orient="landscape"/>
          <w:pgMar w:top="720" w:right="720" w:bottom="720" w:left="720" w:header="851" w:footer="992" w:gutter="0"/>
          <w:cols w:space="425" w:num="1"/>
          <w:docGrid w:type="lines" w:linePitch="312" w:charSpace="0"/>
        </w:sectPr>
      </w:pPr>
      <w:r>
        <w:rPr>
          <w:rFonts w:hint="eastAsia" w:asciiTheme="minorEastAsia" w:hAnsiTheme="minorEastAsia"/>
          <w:sz w:val="32"/>
          <w:szCs w:val="32"/>
        </w:rPr>
        <w:t>说明：我单位没有国有资本经营收入，也没有使用国有资本经营安排的支出，故本表无数据。</w:t>
      </w:r>
    </w:p>
    <w:p>
      <w:pPr>
        <w:pStyle w:val="11"/>
        <w:jc w:val="both"/>
        <w:rPr>
          <w:sz w:val="72"/>
          <w:szCs w:val="72"/>
        </w:r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1"/>
        <w:rPr>
          <w:rFonts w:asciiTheme="minorEastAsia" w:hAnsiTheme="minorEastAsia" w:eastAsiaTheme="minorEastAsia"/>
          <w:sz w:val="32"/>
          <w:szCs w:val="32"/>
        </w:rPr>
      </w:pPr>
    </w:p>
    <w:p>
      <w:pPr>
        <w:pStyle w:val="11"/>
        <w:rPr>
          <w:rFonts w:hAnsi="黑体"/>
          <w:b/>
          <w:sz w:val="32"/>
          <w:szCs w:val="32"/>
        </w:rPr>
      </w:pPr>
      <w:r>
        <w:rPr>
          <w:rFonts w:hint="eastAsia" w:hAnsi="黑体"/>
          <w:b/>
          <w:sz w:val="32"/>
          <w:szCs w:val="32"/>
        </w:rPr>
        <w:t>一、收入支出决算总体情况说明</w:t>
      </w:r>
    </w:p>
    <w:p>
      <w:pPr>
        <w:pStyle w:val="11"/>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2021年度收、支</w:t>
      </w:r>
      <w:r>
        <w:rPr>
          <w:rFonts w:hint="eastAsia" w:asciiTheme="minorEastAsia" w:hAnsiTheme="minorEastAsia" w:eastAsiaTheme="minorEastAsia"/>
          <w:sz w:val="32"/>
          <w:szCs w:val="32"/>
          <w:lang w:val="en-US" w:eastAsia="zh-CN"/>
        </w:rPr>
        <w:t>7203.28</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6132.76</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45.99%</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一是根据《国务院关于进一步深化预算管理制度改革的意见》（国发〔2021〕5号）和财政部《关于印发&lt;政府会计准则制度解释第4号&gt;的通知》（财会〔2021〕33号）文件精神，市县级财政国库集中支付结余不再按权责发生制列支，相关单位年末不再进行上述账务处理。本年未支出的指标不再作为单位当年收入列支，导致本年收入减少；二是由于本年部分项目指标下达较晚，未及时支付导致收入较上年减少；三是本年项目较上年减少，导致相应的项目经费较上年减少。</w:t>
      </w:r>
    </w:p>
    <w:p>
      <w:pPr>
        <w:pStyle w:val="11"/>
        <w:rPr>
          <w:rFonts w:hAnsi="黑体"/>
          <w:b/>
          <w:sz w:val="32"/>
          <w:szCs w:val="32"/>
        </w:rPr>
      </w:pPr>
      <w:r>
        <w:rPr>
          <w:rFonts w:hint="eastAsia" w:hAnsi="黑体"/>
          <w:b/>
          <w:sz w:val="32"/>
          <w:szCs w:val="32"/>
        </w:rPr>
        <w:t>二、收入决算情况说明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3244.08</w:t>
      </w:r>
      <w:r>
        <w:rPr>
          <w:rFonts w:hint="eastAsia" w:asciiTheme="minorEastAsia" w:hAnsiTheme="minorEastAsia" w:eastAsiaTheme="minorEastAsia"/>
          <w:sz w:val="32"/>
          <w:szCs w:val="32"/>
        </w:rPr>
        <w:t>万元，其中：</w:t>
      </w:r>
      <w:r>
        <w:rPr>
          <w:rFonts w:hint="eastAsia" w:asciiTheme="minorEastAsia" w:hAnsiTheme="minorEastAsia" w:eastAsiaTheme="minorEastAsia"/>
          <w:sz w:val="32"/>
          <w:szCs w:val="32"/>
          <w:lang w:eastAsia="zh-CN"/>
        </w:rPr>
        <w:t>财政拨款收入</w:t>
      </w:r>
      <w:r>
        <w:rPr>
          <w:rFonts w:hint="eastAsia" w:asciiTheme="minorEastAsia" w:hAnsiTheme="minorEastAsia" w:eastAsiaTheme="minorEastAsia"/>
          <w:sz w:val="32"/>
          <w:szCs w:val="32"/>
          <w:lang w:val="en-US" w:eastAsia="zh-CN"/>
        </w:rPr>
        <w:t>3043.17万元，占93.81%；</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200.92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6.19</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三、支出决算情况说明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6267.46</w:t>
      </w:r>
      <w:r>
        <w:rPr>
          <w:rFonts w:hint="eastAsia" w:asciiTheme="minorEastAsia" w:hAnsiTheme="minorEastAsia" w:eastAsiaTheme="minorEastAsia"/>
          <w:sz w:val="32"/>
          <w:szCs w:val="32"/>
        </w:rPr>
        <w:t>万元，其中：基本</w:t>
      </w:r>
      <w:r>
        <w:rPr>
          <w:rFonts w:hint="eastAsia" w:asciiTheme="minorEastAsia" w:hAnsiTheme="minorEastAsia" w:eastAsiaTheme="minorEastAsia"/>
          <w:sz w:val="32"/>
          <w:szCs w:val="32"/>
          <w:lang w:val="en-US" w:eastAsia="zh-CN"/>
        </w:rPr>
        <w:t>3134.49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50.01</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3132.97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49.99</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四、财政拨款收入支出决算总体情况说明</w:t>
      </w:r>
    </w:p>
    <w:p>
      <w:pPr>
        <w:pStyle w:val="11"/>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 xml:space="preserve"> 2021年度财政拨款收、支总计</w:t>
      </w:r>
      <w:r>
        <w:rPr>
          <w:rFonts w:hint="eastAsia" w:asciiTheme="minorEastAsia" w:hAnsiTheme="minorEastAsia" w:eastAsiaTheme="minorEastAsia"/>
          <w:sz w:val="32"/>
          <w:szCs w:val="32"/>
          <w:lang w:val="en-US" w:eastAsia="zh-CN"/>
        </w:rPr>
        <w:t>6742.31</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6294.83</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48.28</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一是由于本年部分项目指标下达较晚，未及时支付导致收入较上年减少；二是本年项目较上年减少，导致相应的项目经费较上年减少。</w:t>
      </w:r>
    </w:p>
    <w:p>
      <w:pPr>
        <w:pStyle w:val="11"/>
        <w:rPr>
          <w:rFonts w:hAnsi="黑体"/>
          <w:b/>
          <w:sz w:val="32"/>
          <w:szCs w:val="32"/>
        </w:rPr>
      </w:pPr>
      <w:r>
        <w:rPr>
          <w:rFonts w:hint="eastAsia" w:hAnsi="黑体"/>
          <w:b/>
          <w:sz w:val="32"/>
          <w:szCs w:val="32"/>
        </w:rPr>
        <w:t>五、一般公共预算财政拨款支出决算情况说明</w:t>
      </w:r>
    </w:p>
    <w:p>
      <w:pPr>
        <w:pStyle w:val="11"/>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5840.81</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86.63</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2552.23</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30.41</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一是由于本年部分项目指标下达较晚，未及时支付导致收入较上年减少；二是本年项目较上年减少，导致相应的项目经费较上年减少。</w:t>
      </w:r>
    </w:p>
    <w:p>
      <w:pPr>
        <w:pStyle w:val="11"/>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5840.81</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15.14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0.26</w:t>
      </w:r>
      <w:r>
        <w:rPr>
          <w:rFonts w:hint="eastAsia" w:asciiTheme="minorEastAsia" w:hAnsiTheme="minorEastAsia" w:eastAsiaTheme="minorEastAsia"/>
          <w:sz w:val="32"/>
          <w:szCs w:val="32"/>
        </w:rPr>
        <w:t>%；社会保障和就业支出</w:t>
      </w:r>
      <w:r>
        <w:rPr>
          <w:rFonts w:hint="eastAsia" w:asciiTheme="minorEastAsia" w:hAnsiTheme="minorEastAsia" w:eastAsiaTheme="minorEastAsia"/>
          <w:sz w:val="32"/>
          <w:szCs w:val="32"/>
          <w:lang w:val="en-US" w:eastAsia="zh-CN"/>
        </w:rPr>
        <w:t>263.05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；卫生健康支出76.71</w:t>
      </w:r>
      <w:r>
        <w:rPr>
          <w:rFonts w:hint="eastAsia" w:asciiTheme="minorEastAsia" w:hAnsiTheme="minorEastAsia" w:eastAsiaTheme="minorEastAsia"/>
          <w:sz w:val="32"/>
          <w:szCs w:val="32"/>
          <w:lang w:val="en-US" w:eastAsia="zh-CN"/>
        </w:rPr>
        <w:t>万元，占比1.31%；节能环保支出16.31万元，占比0.28%；城乡社区支出1万元，占比0.02%；农林水支出5468.62万元，占比93.63%。</w:t>
      </w:r>
    </w:p>
    <w:p>
      <w:pPr>
        <w:pStyle w:val="11"/>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1"/>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年度财政拨款支出年初预算为</w:t>
      </w:r>
      <w:r>
        <w:rPr>
          <w:rFonts w:hint="eastAsia" w:asciiTheme="minorEastAsia" w:hAnsiTheme="minorEastAsia" w:eastAsiaTheme="minorEastAsia"/>
          <w:sz w:val="32"/>
          <w:szCs w:val="32"/>
          <w:lang w:val="en-US" w:eastAsia="zh-CN"/>
        </w:rPr>
        <w:t>1903.81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5840.81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306.80</w:t>
      </w:r>
      <w:r>
        <w:rPr>
          <w:rFonts w:hint="eastAsia" w:asciiTheme="minorEastAsia" w:hAnsiTheme="minorEastAsia" w:eastAsiaTheme="minorEastAsia"/>
          <w:sz w:val="32"/>
          <w:szCs w:val="32"/>
        </w:rPr>
        <w:t>%。其中：</w:t>
      </w:r>
    </w:p>
    <w:p>
      <w:pPr>
        <w:pStyle w:val="11"/>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1、一般公共服务支出（类）宣传事务（款）其他宣传事务支出（项）。年初预算为0万元，支出决算为0.15万元，</w:t>
      </w:r>
      <w:r>
        <w:rPr>
          <w:rFonts w:hint="eastAsia" w:asciiTheme="minorEastAsia" w:hAnsiTheme="minorEastAsia" w:eastAsiaTheme="minorEastAsia"/>
          <w:sz w:val="32"/>
          <w:szCs w:val="32"/>
        </w:rPr>
        <w:t>决算数大于预算数的主要原因是</w:t>
      </w:r>
      <w:r>
        <w:rPr>
          <w:rFonts w:hint="eastAsia" w:asciiTheme="minorEastAsia" w:hAnsiTheme="minorEastAsia" w:eastAsiaTheme="minorEastAsia"/>
          <w:sz w:val="32"/>
          <w:szCs w:val="32"/>
          <w:lang w:val="en-US" w:eastAsia="zh-CN"/>
        </w:rPr>
        <w:t>本年所支出的一般公共服务支出（类）为上年结转结余资金，未列入年初预算。</w:t>
      </w:r>
    </w:p>
    <w:p>
      <w:pPr>
        <w:pStyle w:val="11"/>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一般公共服务支出（类）其他一般公共服务支出（款）其他一般公共服务支出（项）。年初预算为0万元，支出决算为</w:t>
      </w:r>
      <w:r>
        <w:rPr>
          <w:rFonts w:hint="eastAsia" w:asciiTheme="minorEastAsia" w:hAnsiTheme="minorEastAsia" w:eastAsiaTheme="minorEastAsia"/>
          <w:sz w:val="32"/>
          <w:szCs w:val="32"/>
          <w:lang w:val="en-US" w:eastAsia="zh-CN"/>
        </w:rPr>
        <w:t>14.99</w:t>
      </w:r>
      <w:r>
        <w:rPr>
          <w:rFonts w:hint="eastAsia" w:asciiTheme="minorEastAsia" w:hAnsiTheme="minorEastAsia" w:eastAsiaTheme="minorEastAsia"/>
          <w:sz w:val="32"/>
          <w:szCs w:val="32"/>
        </w:rPr>
        <w:t>万元，决算数大于预算数的主要原因是</w:t>
      </w:r>
      <w:r>
        <w:rPr>
          <w:rFonts w:hint="eastAsia" w:asciiTheme="minorEastAsia" w:hAnsiTheme="minorEastAsia" w:eastAsiaTheme="minorEastAsia"/>
          <w:sz w:val="32"/>
          <w:szCs w:val="32"/>
          <w:lang w:val="en-US" w:eastAsia="zh-CN"/>
        </w:rPr>
        <w:t>本年所支出的一般公共服务支出（类）为上年结转结余资金，未列入年初预算。</w:t>
      </w:r>
    </w:p>
    <w:p>
      <w:pPr>
        <w:pStyle w:val="11"/>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社会保障和就业支出（类）行政事业单位养老支出（款）行政单位离退休（项）。年初预算为</w:t>
      </w:r>
      <w:r>
        <w:rPr>
          <w:rFonts w:hint="eastAsia" w:asciiTheme="minorEastAsia" w:hAnsiTheme="minorEastAsia" w:eastAsiaTheme="minorEastAsia"/>
          <w:sz w:val="32"/>
          <w:szCs w:val="32"/>
          <w:lang w:val="en-US" w:eastAsia="zh-CN"/>
        </w:rPr>
        <w:t>23.46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32.66</w:t>
      </w:r>
      <w:r>
        <w:rPr>
          <w:rFonts w:hint="eastAsia" w:asciiTheme="minorEastAsia" w:hAnsiTheme="minorEastAsia" w:eastAsiaTheme="minorEastAsia"/>
          <w:sz w:val="32"/>
          <w:szCs w:val="32"/>
        </w:rPr>
        <w:t>万元，决算数</w:t>
      </w:r>
      <w:r>
        <w:rPr>
          <w:rFonts w:hint="eastAsia" w:asciiTheme="minorEastAsia" w:hAnsiTheme="minorEastAsia" w:eastAsiaTheme="minorEastAsia"/>
          <w:sz w:val="32"/>
          <w:szCs w:val="32"/>
          <w:lang w:val="en-US" w:eastAsia="zh-CN"/>
        </w:rPr>
        <w:t>大于</w:t>
      </w:r>
      <w:r>
        <w:rPr>
          <w:rFonts w:hint="eastAsia" w:asciiTheme="minorEastAsia" w:hAnsiTheme="minorEastAsia" w:eastAsiaTheme="minorEastAsia"/>
          <w:sz w:val="32"/>
          <w:szCs w:val="32"/>
        </w:rPr>
        <w:t>预算数的主要原因是</w:t>
      </w:r>
      <w:r>
        <w:rPr>
          <w:rFonts w:hint="eastAsia" w:asciiTheme="minorEastAsia" w:hAnsiTheme="minorEastAsia" w:eastAsiaTheme="minorEastAsia"/>
          <w:sz w:val="32"/>
          <w:szCs w:val="32"/>
          <w:lang w:val="en-US" w:eastAsia="zh-CN"/>
        </w:rPr>
        <w:t>2020年离休人员14月工资、及2020年离休人员护理费等2021年支出所致。</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4、社会保障和就业支出（类）行政事业单位养老支出（款）机关事业单位基本养老保险缴费支出（项）。年初预算为164.84万元，支出决算为165.40万元，决算数大于预算数的主要原因是本年中途有新进人员，但未列入年初预算。</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5、社会保障和就业支出（类）行政事业单位养老支出（款）其他行政事业单位养老支出（项）。年初预算为0万元，支出决算为0.61万元，</w:t>
      </w:r>
      <w:r>
        <w:rPr>
          <w:rFonts w:hint="eastAsia" w:asciiTheme="minorEastAsia" w:hAnsiTheme="minorEastAsia" w:eastAsiaTheme="minorEastAsia"/>
          <w:sz w:val="32"/>
          <w:szCs w:val="32"/>
        </w:rPr>
        <w:t>决算数大于预算数的主要原因是</w:t>
      </w:r>
      <w:r>
        <w:rPr>
          <w:rFonts w:hint="eastAsia" w:asciiTheme="minorEastAsia" w:hAnsiTheme="minorEastAsia" w:eastAsiaTheme="minorEastAsia"/>
          <w:sz w:val="32"/>
          <w:szCs w:val="32"/>
          <w:lang w:val="en-US" w:eastAsia="zh-CN"/>
        </w:rPr>
        <w:t>养老保险实缴数与预算数存在差额。</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6、社会保障和就业支出（类）抚恤（款）其他优抚支出（项）。年初预算为0万元，支出决算为50.57万元，决算数大于预算数的主要原因是本年所支出的其他优抚支出（类）为本年度过世人员抚恤金，未列入单位年初预算。 </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7、社会保障和就业支出（类）残疾人事业（款）其他残疾人事业支出（项）。年初预算为13.81万元，支出决算为13.81万元，决算数与预算数相同。</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8、卫生健康支出（类）行政事业单位医疗（款）行政单位医疗（项）。年初预算为71.69万元，支出决算为71.98万元，决算数大于预算数的主要原因是医疗保险实缴数与预算数存在差额。</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9、卫生健康支出（类）行政事业单位医疗（款）事业单位医疗（项）。年初预算为4.81万元，支出决算为4.73万元，决算数小于预算数的主要原因是医疗保险基础实缴数与预算数存在差额。</w:t>
      </w:r>
    </w:p>
    <w:p>
      <w:pPr>
        <w:pStyle w:val="11"/>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10、节能环保支出（类）能源节约利用（款）能源节约利用（项）。年初预算为0万元，支出决算为9万元，决算数大于预算数的主要原因是本年所支出的为上年度结转结余资金，未列入年初预算。</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11、节能环保支出（类）可再生能源（款）可再生能源（项）。年初预算为0万元，支出决算为7.31万元，决算数大于预算数的主要原因是本年所支出的为上年度结转结余资金，未列入年初预算。</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12、城乡社区支出（类）城乡社区管理事务（款）其他城乡社区管理事务支出（项）。年初预算为0万元，支出决算为1万元，决算数大于预算数的主要原因是本年所支出的为上年度结转结余资金，未列入年初预算。</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13、农林水支出（类）水利（款）行政运行（项）。年初预算为1501.58万元，支出决算为1496.95万元，决算数小于预算数的主要原因是部分支出未及时支付所致。</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14、农林水支出（类）水利（款）水利行业业务管理（项）。年初预算为45.07万元，支出决算为493.67万元，决算数大于预算数的主要原因一是由于部分支出为上年结余资金；二是由于本年上级下达的专项资金未列入年初部门一般预算。</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15、农林水支出（类）水利（款）水利工程建设（项）。年初预算为0万元，支出决算为994.71万元，决算数大于预算数的主要原因一是由于部分支出为上年结余资金；二是由于本年上级下达的专项资金未列入年初部门一般预算。</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16、农林水支出（类）水利（款）水利工程运行与维护（项）。年初预算为78.55万元，支出决算为102.76万元，决算数大于预算数的主要原因一是由于部分支出为上年结余资金；二是由于本年上级下达的专项资金未列入年初部门一般预算。</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17、农林水支出（类）水利（款）水利前期工作（项）。年初预算为0万元，支出决算为744.07万元，决算数大于预算数的主要原因一是由于部分支出为上年结余资金；二是由于本年上级下达的专项资金未列入年初部门一般预算。</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18、农林水支出（类）水利（款）水土保持（项）。年初预算为0万元，支出决算为5.14万元，决算数大于预算数的主要原因是该项支出为上年结余资金，未纳入年初部门一般预算。</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19、农林水支出（类）水利（款）水资源节约管理与保护（项）。年初预算为0万元，支出决算为20万元，决算数大于预算数的主要原因是该项支出为上年结余资金，未纳入年初部门一般预算。</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20、农林水支出（类）水利（款）防汛（项）。年初预算为0万元，支出决算为20.12万元，决算数大于预算数的主要原因是该项支出为上年结余资金，未纳入年初部门一般预算。</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21、农林水支出（类）水利（款）农村水利（项）。年初预算为0万元，支出决算为20.41万元，决算数大于预算数的主要原因是上级下达的专项资金，未列入年初部门一般预算。</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22、农林水支出（类）水利（款）大中型水库移民后期扶持专项支出（项）。年初预算为0万元，支出决算为38.06万元，决算数大于预算数的主要原因一是由于部分支出为上年结余资金；二是由于本年上级下达的专项资金未列入年初部门一般预算。</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23、农林水支出（类）水利（款）其他水利支出（项）。年初预算为0万元，支出决算为1532.73万元，决算数大于预算数的主要原因一是由于部分支出为上年结余资金；二是由于年终绩效奖等人员经费未列入年初预算；三是市本级二次分配专项未列入年初部门一般预算。</w:t>
      </w:r>
    </w:p>
    <w:p>
      <w:pPr>
        <w:pStyle w:val="11"/>
        <w:rPr>
          <w:rFonts w:hAnsi="黑体"/>
          <w:b/>
          <w:sz w:val="32"/>
          <w:szCs w:val="32"/>
        </w:rPr>
      </w:pPr>
      <w:r>
        <w:rPr>
          <w:rFonts w:hint="eastAsia" w:hAnsi="黑体"/>
          <w:b/>
          <w:sz w:val="32"/>
          <w:szCs w:val="32"/>
        </w:rPr>
        <w:t>六、一般公共预算财政拨款基本支出决算情况说明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3048.64</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2579.89</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84.62</w:t>
      </w:r>
      <w:r>
        <w:rPr>
          <w:rFonts w:hint="eastAsia" w:asciiTheme="minorEastAsia" w:hAnsiTheme="minorEastAsia" w:eastAsiaTheme="minorEastAsia"/>
          <w:sz w:val="32"/>
          <w:szCs w:val="32"/>
        </w:rPr>
        <w:t>%,主要包括主要包括基本工资、津贴补贴、</w:t>
      </w:r>
      <w:r>
        <w:rPr>
          <w:rFonts w:hint="eastAsia" w:asciiTheme="minorEastAsia" w:hAnsiTheme="minorEastAsia" w:eastAsiaTheme="minorEastAsia"/>
          <w:sz w:val="32"/>
          <w:szCs w:val="32"/>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468.75</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15.38</w:t>
      </w:r>
      <w:r>
        <w:rPr>
          <w:rFonts w:hint="eastAsia" w:asciiTheme="minorEastAsia" w:hAnsiTheme="minorEastAsia" w:eastAsiaTheme="minorEastAsia"/>
          <w:sz w:val="32"/>
          <w:szCs w:val="32"/>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pStyle w:val="11"/>
        <w:rPr>
          <w:rFonts w:hAnsi="黑体"/>
          <w:b/>
          <w:sz w:val="32"/>
          <w:szCs w:val="32"/>
        </w:rPr>
      </w:pPr>
      <w:r>
        <w:rPr>
          <w:rFonts w:hint="eastAsia" w:hAnsi="黑体"/>
          <w:b/>
          <w:sz w:val="32"/>
          <w:szCs w:val="32"/>
        </w:rPr>
        <w:t>七、一般公共预算财政拨款“三公”经费支出决算情况说明</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138.81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82.57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59.48</w:t>
      </w:r>
      <w:r>
        <w:rPr>
          <w:rFonts w:hint="eastAsia" w:asciiTheme="minorEastAsia" w:hAnsiTheme="minorEastAsia" w:eastAsiaTheme="minorEastAsia"/>
          <w:sz w:val="32"/>
          <w:szCs w:val="32"/>
        </w:rPr>
        <w:t>%，其中：</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决算数小于预算数的主要原因是本年无因公出国（境）事项；</w:t>
      </w:r>
      <w:r>
        <w:rPr>
          <w:rFonts w:hint="eastAsia" w:asciiTheme="minorEastAsia" w:hAnsiTheme="minorEastAsia" w:eastAsiaTheme="minorEastAsia"/>
          <w:sz w:val="32"/>
          <w:szCs w:val="32"/>
        </w:rPr>
        <w:t>与上年</w:t>
      </w:r>
      <w:r>
        <w:rPr>
          <w:rFonts w:hint="eastAsia" w:asciiTheme="minorEastAsia" w:hAnsiTheme="minorEastAsia" w:eastAsiaTheme="minorEastAsia"/>
          <w:sz w:val="32"/>
          <w:szCs w:val="32"/>
          <w:lang w:val="en-US" w:eastAsia="zh-CN"/>
        </w:rPr>
        <w:t>持平。</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85.81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34.94</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40.72</w:t>
      </w:r>
      <w:r>
        <w:rPr>
          <w:rFonts w:hint="eastAsia" w:asciiTheme="minorEastAsia" w:hAnsiTheme="minorEastAsia" w:eastAsiaTheme="minorEastAsia"/>
          <w:sz w:val="32"/>
          <w:szCs w:val="32"/>
        </w:rPr>
        <w:t>%，决算数小于预算数的主要原因是主要原因是</w:t>
      </w:r>
      <w:r>
        <w:rPr>
          <w:rFonts w:hint="eastAsia" w:asciiTheme="minorEastAsia" w:hAnsiTheme="minorEastAsia" w:eastAsiaTheme="minorEastAsia"/>
          <w:sz w:val="32"/>
          <w:szCs w:val="32"/>
          <w:lang w:val="en-US" w:eastAsia="zh-CN"/>
        </w:rPr>
        <w:t>单位</w:t>
      </w:r>
      <w:r>
        <w:rPr>
          <w:rFonts w:hint="eastAsia" w:asciiTheme="minorEastAsia" w:hAnsiTheme="minorEastAsia" w:eastAsiaTheme="minorEastAsia"/>
          <w:sz w:val="32"/>
          <w:szCs w:val="32"/>
        </w:rPr>
        <w:t>认真贯彻落实中央“八项规定”精神和厉行节约要求，从严控制“三公”经费开支，实际支出比预算有所节约</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10.91</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23.79</w:t>
      </w:r>
      <w:r>
        <w:rPr>
          <w:rFonts w:hint="eastAsia" w:asciiTheme="minorEastAsia" w:hAnsiTheme="minorEastAsia" w:eastAsiaTheme="minorEastAsia"/>
          <w:sz w:val="32"/>
          <w:szCs w:val="32"/>
        </w:rPr>
        <w:t>%,减少的主要原因</w:t>
      </w:r>
      <w:r>
        <w:rPr>
          <w:rFonts w:hint="eastAsia" w:asciiTheme="minorEastAsia" w:hAnsiTheme="minorEastAsia" w:eastAsiaTheme="minorEastAsia"/>
          <w:sz w:val="32"/>
          <w:szCs w:val="32"/>
          <w:lang w:val="en-US" w:eastAsia="zh-CN"/>
        </w:rPr>
        <w:t>一是由于单位认真贯彻落实中央“八项规定”精神和厉行节约要求所致；二是由于2020年防汛形势严峻，接待费有所增加</w:t>
      </w:r>
      <w:r>
        <w:rPr>
          <w:rFonts w:hint="eastAsia" w:asciiTheme="minorEastAsia" w:hAnsiTheme="minorEastAsia" w:eastAsiaTheme="minorEastAsia"/>
          <w:sz w:val="32"/>
          <w:szCs w:val="32"/>
        </w:rPr>
        <w:t>。</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等于</w:t>
      </w:r>
      <w:r>
        <w:rPr>
          <w:rFonts w:hint="eastAsia" w:asciiTheme="minorEastAsia" w:hAnsiTheme="minorEastAsia" w:eastAsiaTheme="minorEastAsia"/>
          <w:sz w:val="32"/>
          <w:szCs w:val="32"/>
        </w:rPr>
        <w:t>预算数的主要原因是</w:t>
      </w:r>
      <w:r>
        <w:rPr>
          <w:rFonts w:hint="eastAsia" w:asciiTheme="minorEastAsia" w:hAnsiTheme="minorEastAsia" w:eastAsiaTheme="minorEastAsia"/>
          <w:sz w:val="32"/>
          <w:szCs w:val="32"/>
          <w:lang w:val="en-US" w:eastAsia="zh-CN"/>
        </w:rPr>
        <w:t>本年单位没有购车计划（预算），实际也未发生车辆购置支出。与上年持平。</w:t>
      </w:r>
      <w:r>
        <w:rPr>
          <w:rFonts w:hint="eastAsia" w:asciiTheme="minorEastAsia" w:hAnsiTheme="minorEastAsia" w:eastAsiaTheme="minorEastAsia"/>
          <w:sz w:val="32"/>
          <w:szCs w:val="32"/>
        </w:rPr>
        <w:t>。</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48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47.63</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99.22</w:t>
      </w:r>
      <w:r>
        <w:rPr>
          <w:rFonts w:hint="eastAsia" w:asciiTheme="minorEastAsia" w:hAnsiTheme="minorEastAsia" w:eastAsiaTheme="minorEastAsia"/>
          <w:sz w:val="32"/>
          <w:szCs w:val="32"/>
        </w:rPr>
        <w:t>%，算数小于预算数的主要原因是</w:t>
      </w:r>
      <w:r>
        <w:rPr>
          <w:rFonts w:hint="eastAsia" w:asciiTheme="minorEastAsia" w:hAnsiTheme="minorEastAsia" w:eastAsiaTheme="minorEastAsia"/>
          <w:sz w:val="32"/>
          <w:szCs w:val="32"/>
          <w:lang w:val="en-US" w:eastAsia="zh-CN"/>
        </w:rPr>
        <w:t>单位</w:t>
      </w:r>
      <w:r>
        <w:rPr>
          <w:rFonts w:hint="eastAsia" w:asciiTheme="minorEastAsia" w:hAnsiTheme="minorEastAsia" w:eastAsiaTheme="minorEastAsia"/>
          <w:sz w:val="32"/>
          <w:szCs w:val="32"/>
        </w:rPr>
        <w:t>认真贯彻落实中央“八项规定”精神和厉行节约要求，从严控制“三公”经费开支，实际支出比预算有所节约</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与上年相比增加</w:t>
      </w:r>
      <w:r>
        <w:rPr>
          <w:rFonts w:hint="eastAsia" w:asciiTheme="minorEastAsia" w:hAnsiTheme="minorEastAsia" w:eastAsiaTheme="minorEastAsia"/>
          <w:sz w:val="32"/>
          <w:szCs w:val="32"/>
          <w:lang w:val="en-US" w:eastAsia="zh-CN"/>
        </w:rPr>
        <w:t>14.17</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42.35</w:t>
      </w:r>
      <w:r>
        <w:rPr>
          <w:rFonts w:hint="eastAsia" w:asciiTheme="minorEastAsia" w:hAnsiTheme="minorEastAsia" w:eastAsiaTheme="minorEastAsia"/>
          <w:sz w:val="32"/>
          <w:szCs w:val="32"/>
        </w:rPr>
        <w:t>%,增长的主要原因是</w:t>
      </w:r>
      <w:r>
        <w:rPr>
          <w:rFonts w:hint="eastAsia" w:asciiTheme="minorEastAsia" w:hAnsiTheme="minorEastAsia" w:eastAsiaTheme="minorEastAsia"/>
          <w:sz w:val="32"/>
          <w:szCs w:val="32"/>
          <w:lang w:val="en-US" w:eastAsia="zh-CN"/>
        </w:rPr>
        <w:t>由于机构改革，原铁山综合执法支队并入我局，该单位的2车一同并入，导致相应费用有所增加</w:t>
      </w:r>
      <w:r>
        <w:rPr>
          <w:rFonts w:hint="eastAsia" w:asciiTheme="minorEastAsia" w:hAnsiTheme="minorEastAsia" w:eastAsiaTheme="minorEastAsia"/>
          <w:sz w:val="32"/>
          <w:szCs w:val="32"/>
        </w:rPr>
        <w:t>。</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34.94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42.32</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47.63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57.68</w:t>
      </w:r>
      <w:r>
        <w:rPr>
          <w:rFonts w:hint="eastAsia" w:asciiTheme="minorEastAsia" w:hAnsiTheme="minorEastAsia" w:eastAsiaTheme="minorEastAsia"/>
          <w:sz w:val="32"/>
          <w:szCs w:val="32"/>
        </w:rPr>
        <w:t>%。其中：</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1、因公出国（境）费支出决算为0万元，全年安排因公出国（境）团组0个，累计0人次。</w:t>
      </w:r>
    </w:p>
    <w:p>
      <w:pPr>
        <w:pStyle w:val="11"/>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公务接待费支出决算为</w:t>
      </w:r>
      <w:r>
        <w:rPr>
          <w:rFonts w:hint="eastAsia" w:asciiTheme="minorEastAsia" w:hAnsiTheme="minorEastAsia" w:eastAsiaTheme="minorEastAsia"/>
          <w:sz w:val="32"/>
          <w:szCs w:val="32"/>
          <w:lang w:val="en-US" w:eastAsia="zh-CN"/>
        </w:rPr>
        <w:t>34.94</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306</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3070</w:t>
      </w:r>
      <w:r>
        <w:rPr>
          <w:rFonts w:hint="eastAsia" w:asciiTheme="minorEastAsia" w:hAnsiTheme="minorEastAsia" w:eastAsiaTheme="minorEastAsia"/>
          <w:sz w:val="32"/>
          <w:szCs w:val="32"/>
        </w:rPr>
        <w:t>人次，主要是防汛抗灾工作指导、河长制工作检查、河道采砂经验来访等发生的接待支出。</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、公务用车购置及运行费支出决算为</w:t>
      </w:r>
      <w:r>
        <w:rPr>
          <w:rFonts w:hint="eastAsia" w:asciiTheme="minorEastAsia" w:hAnsiTheme="minorEastAsia" w:eastAsiaTheme="minorEastAsia"/>
          <w:sz w:val="32"/>
          <w:szCs w:val="32"/>
          <w:lang w:val="en-US" w:eastAsia="zh-CN"/>
        </w:rPr>
        <w:t>47.63</w:t>
      </w:r>
      <w:r>
        <w:rPr>
          <w:rFonts w:hint="eastAsia" w:asciiTheme="minorEastAsia" w:hAnsiTheme="minorEastAsia" w:eastAsiaTheme="minorEastAsia"/>
          <w:sz w:val="32"/>
          <w:szCs w:val="32"/>
        </w:rPr>
        <w:t xml:space="preserve">万元，其中： </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公务用车运行支出</w:t>
      </w:r>
      <w:r>
        <w:rPr>
          <w:rFonts w:hint="eastAsia" w:asciiTheme="minorEastAsia" w:hAnsiTheme="minorEastAsia" w:eastAsiaTheme="minorEastAsia"/>
          <w:sz w:val="32"/>
          <w:szCs w:val="32"/>
          <w:lang w:val="en-US" w:eastAsia="zh-CN"/>
        </w:rPr>
        <w:t>47.63</w:t>
      </w:r>
      <w:r>
        <w:rPr>
          <w:rFonts w:hint="eastAsia" w:asciiTheme="minorEastAsia" w:hAnsiTheme="minorEastAsia" w:eastAsiaTheme="minorEastAsia"/>
          <w:sz w:val="32"/>
          <w:szCs w:val="32"/>
        </w:rPr>
        <w:t>万元。主要是按规定保留的公务用车的燃料费、维修费、过桥过路费、保险费、安全奖励费用等支出。截至202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年12月31日，机关单位开支财政拨款的公务用车保有量为</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辆。</w:t>
      </w:r>
    </w:p>
    <w:p>
      <w:pPr>
        <w:pStyle w:val="11"/>
        <w:rPr>
          <w:rFonts w:hAnsi="黑体"/>
          <w:b/>
          <w:sz w:val="32"/>
          <w:szCs w:val="32"/>
        </w:rPr>
      </w:pPr>
      <w:r>
        <w:rPr>
          <w:rFonts w:hint="eastAsia" w:hAnsi="黑体"/>
          <w:b/>
          <w:sz w:val="32"/>
          <w:szCs w:val="32"/>
        </w:rPr>
        <w:t>八、政府性基金预算收入支出决算情况</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2021年度政府性基金预算财政拨款收入</w:t>
      </w:r>
      <w:r>
        <w:rPr>
          <w:rFonts w:hint="eastAsia" w:asciiTheme="minorEastAsia" w:hAnsiTheme="minorEastAsia" w:eastAsiaTheme="minorEastAsia"/>
          <w:sz w:val="32"/>
          <w:szCs w:val="32"/>
          <w:lang w:val="en-US" w:eastAsia="zh-CN"/>
        </w:rPr>
        <w:t>38</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130.75</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148.95</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148.95</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19.79</w:t>
      </w:r>
      <w:r>
        <w:rPr>
          <w:rFonts w:hint="eastAsia" w:asciiTheme="minorEastAsia" w:hAnsiTheme="minorEastAsia" w:eastAsiaTheme="minorEastAsia"/>
          <w:sz w:val="32"/>
          <w:szCs w:val="32"/>
        </w:rPr>
        <w:t>万元。具体情况如下：</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val="en-US" w:eastAsia="zh-CN"/>
        </w:rPr>
        <w:t>社会保障和就业支出</w:t>
      </w:r>
      <w:r>
        <w:rPr>
          <w:rFonts w:hint="eastAsia" w:asciiTheme="minorEastAsia" w:hAnsiTheme="minorEastAsia" w:eastAsiaTheme="minorEastAsia"/>
          <w:sz w:val="32"/>
          <w:szCs w:val="32"/>
        </w:rPr>
        <w:t>（类）大中型水库移民后期扶持基金支出（款）基础设施建设和经济发展（项）。</w:t>
      </w:r>
    </w:p>
    <w:p>
      <w:pPr>
        <w:pStyle w:val="11"/>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148.51</w:t>
      </w:r>
      <w:r>
        <w:rPr>
          <w:rFonts w:hint="eastAsia" w:asciiTheme="minorEastAsia" w:hAnsiTheme="minorEastAsia" w:eastAsiaTheme="minorEastAsia"/>
          <w:sz w:val="32"/>
          <w:szCs w:val="32"/>
        </w:rPr>
        <w:t>万元，决算数大于年初预算数的主要原因</w:t>
      </w:r>
      <w:r>
        <w:rPr>
          <w:rFonts w:hint="eastAsia" w:asciiTheme="minorEastAsia" w:hAnsiTheme="minorEastAsia" w:eastAsiaTheme="minorEastAsia"/>
          <w:sz w:val="32"/>
          <w:szCs w:val="32"/>
          <w:lang w:val="en-US" w:eastAsia="zh-CN"/>
        </w:rPr>
        <w:t>一是由于本年部分支出为上年结余资金；二是部分资金为上级下达的专项资金，未列入年初部门一般预算。</w:t>
      </w:r>
    </w:p>
    <w:p>
      <w:pPr>
        <w:pStyle w:val="11"/>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2、农林水支出（类）国家重大水利工程建设基金安排的支出（款）三峡后续工作（项）。</w:t>
      </w:r>
    </w:p>
    <w:p>
      <w:pPr>
        <w:pStyle w:val="11"/>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年初预算为0万元，支出决算为7.47万元，决算数大于年初预算数的主要原因是该项支出为上年结余资金，未列入年初部门一般预算。</w:t>
      </w:r>
    </w:p>
    <w:p>
      <w:pPr>
        <w:pStyle w:val="11"/>
        <w:numPr>
          <w:ilvl w:val="0"/>
          <w:numId w:val="2"/>
        </w:numPr>
        <w:rPr>
          <w:rFonts w:hint="eastAsia" w:hAnsi="黑体"/>
          <w:b/>
          <w:sz w:val="32"/>
          <w:szCs w:val="32"/>
          <w:lang w:eastAsia="zh-CN"/>
        </w:rPr>
      </w:pPr>
      <w:r>
        <w:rPr>
          <w:rFonts w:hint="eastAsia" w:hAnsi="黑体"/>
          <w:b/>
          <w:sz w:val="32"/>
          <w:szCs w:val="32"/>
        </w:rPr>
        <w:t>国有资本经营预算财政拨款支出决算</w:t>
      </w:r>
      <w:r>
        <w:rPr>
          <w:rFonts w:hint="eastAsia" w:hAnsi="黑体"/>
          <w:b/>
          <w:sz w:val="32"/>
          <w:szCs w:val="32"/>
          <w:lang w:eastAsia="zh-CN"/>
        </w:rPr>
        <w:t>情况</w:t>
      </w:r>
    </w:p>
    <w:p>
      <w:pPr>
        <w:pStyle w:val="11"/>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本单位无国有资本经营预算财政拨款支出</w:t>
      </w:r>
    </w:p>
    <w:p>
      <w:pPr>
        <w:pStyle w:val="11"/>
        <w:rPr>
          <w:rFonts w:hAnsi="黑体"/>
          <w:b/>
          <w:sz w:val="32"/>
          <w:szCs w:val="32"/>
        </w:rPr>
      </w:pPr>
      <w:r>
        <w:rPr>
          <w:rFonts w:hint="eastAsia" w:hAnsi="黑体"/>
          <w:b/>
          <w:sz w:val="32"/>
          <w:szCs w:val="32"/>
        </w:rPr>
        <w:t>十、机关运行经费支出说明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2021年度机关运行经费支出334.05万元。比年初预算数减少85.84万元。下降20.44%。主要原因是</w:t>
      </w:r>
      <w:r>
        <w:rPr>
          <w:rFonts w:hint="eastAsia" w:asciiTheme="minorEastAsia" w:hAnsiTheme="minorEastAsia" w:eastAsiaTheme="minorEastAsia"/>
          <w:sz w:val="32"/>
          <w:szCs w:val="32"/>
          <w:lang w:val="en-US" w:eastAsia="zh-CN"/>
        </w:rPr>
        <w:t>单位认真贯彻落实中央、省、市进一步过紧日子的要求，压缩一般行政支出。</w:t>
      </w:r>
    </w:p>
    <w:p>
      <w:pPr>
        <w:pStyle w:val="11"/>
        <w:rPr>
          <w:rFonts w:hAnsi="黑体"/>
          <w:b/>
          <w:sz w:val="32"/>
          <w:szCs w:val="32"/>
        </w:rPr>
      </w:pPr>
      <w:r>
        <w:rPr>
          <w:rFonts w:hint="eastAsia" w:hAnsi="黑体"/>
          <w:b/>
          <w:sz w:val="32"/>
          <w:szCs w:val="32"/>
        </w:rPr>
        <w:t>十一、一般性支出情况说明</w:t>
      </w:r>
    </w:p>
    <w:p>
      <w:pPr>
        <w:pStyle w:val="11"/>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8.26</w:t>
      </w:r>
      <w:r>
        <w:rPr>
          <w:rFonts w:hint="eastAsia" w:asciiTheme="minorEastAsia" w:hAnsiTheme="minorEastAsia" w:eastAsiaTheme="minorEastAsia"/>
          <w:sz w:val="32"/>
          <w:szCs w:val="32"/>
        </w:rPr>
        <w:t>万元，用于召开防汛抗灾、河长制工作、</w:t>
      </w:r>
      <w:r>
        <w:rPr>
          <w:rFonts w:hint="eastAsia" w:asciiTheme="minorEastAsia" w:hAnsiTheme="minorEastAsia" w:eastAsiaTheme="minorEastAsia"/>
          <w:sz w:val="32"/>
          <w:szCs w:val="32"/>
          <w:lang w:val="en-US" w:eastAsia="zh-CN"/>
        </w:rPr>
        <w:t>水政执法、河道采砂、</w:t>
      </w:r>
      <w:r>
        <w:rPr>
          <w:rFonts w:hint="eastAsia" w:asciiTheme="minorEastAsia" w:hAnsiTheme="minorEastAsia" w:eastAsiaTheme="minorEastAsia"/>
          <w:sz w:val="32"/>
          <w:szCs w:val="32"/>
        </w:rPr>
        <w:t>全市水利工作等会议，人数</w:t>
      </w:r>
      <w:r>
        <w:rPr>
          <w:rFonts w:hint="eastAsia" w:asciiTheme="minorEastAsia" w:hAnsiTheme="minorEastAsia" w:eastAsiaTheme="minorEastAsia"/>
          <w:sz w:val="32"/>
          <w:szCs w:val="32"/>
          <w:lang w:val="en-US" w:eastAsia="zh-CN"/>
        </w:rPr>
        <w:t>278</w:t>
      </w:r>
      <w:r>
        <w:rPr>
          <w:rFonts w:hint="eastAsia" w:asciiTheme="minorEastAsia" w:hAnsiTheme="minorEastAsia" w:eastAsiaTheme="minorEastAsia"/>
          <w:sz w:val="32"/>
          <w:szCs w:val="32"/>
        </w:rPr>
        <w:t>人，内容为防汛</w:t>
      </w:r>
      <w:r>
        <w:rPr>
          <w:rFonts w:hint="eastAsia" w:asciiTheme="minorEastAsia" w:hAnsiTheme="minorEastAsia" w:eastAsiaTheme="minorEastAsia"/>
          <w:sz w:val="32"/>
          <w:szCs w:val="32"/>
          <w:lang w:val="en-US" w:eastAsia="zh-CN"/>
        </w:rPr>
        <w:t>抗旱</w:t>
      </w:r>
      <w:r>
        <w:rPr>
          <w:rFonts w:hint="eastAsia" w:asciiTheme="minorEastAsia" w:hAnsiTheme="minorEastAsia" w:eastAsiaTheme="minorEastAsia"/>
          <w:sz w:val="32"/>
          <w:szCs w:val="32"/>
        </w:rPr>
        <w:t>、河长制工作、</w:t>
      </w:r>
      <w:r>
        <w:rPr>
          <w:rFonts w:hint="eastAsia" w:asciiTheme="minorEastAsia" w:hAnsiTheme="minorEastAsia" w:eastAsiaTheme="minorEastAsia"/>
          <w:sz w:val="32"/>
          <w:szCs w:val="32"/>
          <w:lang w:val="en-US" w:eastAsia="zh-CN"/>
        </w:rPr>
        <w:t>水政执法、河道采砂、</w:t>
      </w:r>
      <w:r>
        <w:rPr>
          <w:rFonts w:hint="eastAsia" w:asciiTheme="minorEastAsia" w:hAnsiTheme="minorEastAsia" w:eastAsiaTheme="minorEastAsia"/>
          <w:sz w:val="32"/>
          <w:szCs w:val="32"/>
        </w:rPr>
        <w:t>全市水利工作等</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14.14</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val="en-US" w:eastAsia="zh-CN"/>
        </w:rPr>
        <w:t>库区移民后期扶持、农村饮水安全、河道采砂工作等</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260</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val="en-US" w:eastAsia="zh-CN"/>
        </w:rPr>
        <w:t>库区移民后期扶持、农村饮水安全、河道采砂工作等</w:t>
      </w:r>
      <w:r>
        <w:rPr>
          <w:rFonts w:hint="eastAsia" w:asciiTheme="minorEastAsia" w:hAnsiTheme="minorEastAsia" w:eastAsiaTheme="minorEastAsia"/>
          <w:sz w:val="32"/>
          <w:szCs w:val="32"/>
          <w:lang w:eastAsia="zh-CN"/>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lang w:eastAsia="zh-CN"/>
        </w:rPr>
        <w:t>年本部门各种庆典、晚会、论坛，赛事活动，开支是0</w:t>
      </w:r>
      <w:r>
        <w:rPr>
          <w:rFonts w:hint="eastAsia" w:asciiTheme="minorEastAsia" w:hAnsiTheme="minorEastAsia" w:eastAsiaTheme="minorEastAsia"/>
          <w:sz w:val="32"/>
          <w:szCs w:val="32"/>
          <w:lang w:val="en-US" w:eastAsia="zh-CN"/>
        </w:rPr>
        <w:t>万元</w:t>
      </w:r>
      <w:r>
        <w:rPr>
          <w:rFonts w:hint="eastAsia" w:asciiTheme="minorEastAsia" w:hAnsiTheme="minorEastAsia" w:eastAsiaTheme="minorEastAsia"/>
          <w:sz w:val="32"/>
          <w:szCs w:val="32"/>
          <w:lang w:eastAsia="zh-CN"/>
        </w:rPr>
        <w:t>，无此类支出。</w:t>
      </w:r>
    </w:p>
    <w:p>
      <w:pPr>
        <w:pStyle w:val="11"/>
        <w:rPr>
          <w:rFonts w:hAnsi="黑体"/>
          <w:b/>
          <w:sz w:val="32"/>
          <w:szCs w:val="32"/>
        </w:rPr>
      </w:pPr>
      <w:r>
        <w:rPr>
          <w:rFonts w:hint="eastAsia" w:hAnsi="黑体"/>
          <w:b/>
          <w:sz w:val="32"/>
          <w:szCs w:val="32"/>
        </w:rPr>
        <w:t>十二、政府采购支出说明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1244.09</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723.85</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520.24</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1244.09</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十三、国有资产占用情况说明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辆，其他用车主要是用于干部职工出差、办事等车辆；单位价值50万元以上通用设备0台（套）；单位价值100万元以上专用设备0台（套）。</w:t>
      </w:r>
    </w:p>
    <w:p>
      <w:pPr>
        <w:pStyle w:val="11"/>
        <w:rPr>
          <w:rFonts w:hAnsi="黑体"/>
          <w:b/>
          <w:sz w:val="32"/>
          <w:szCs w:val="32"/>
        </w:rPr>
      </w:pPr>
      <w:r>
        <w:rPr>
          <w:rFonts w:hint="eastAsia" w:hAnsi="黑体"/>
          <w:b/>
          <w:sz w:val="32"/>
          <w:szCs w:val="32"/>
          <w:lang w:eastAsia="zh-CN"/>
        </w:rPr>
        <w:t>十四、</w:t>
      </w:r>
      <w:r>
        <w:rPr>
          <w:rFonts w:hint="eastAsia" w:hAnsi="黑体"/>
          <w:b/>
          <w:sz w:val="32"/>
          <w:szCs w:val="32"/>
        </w:rPr>
        <w:t>2021年度预算绩效情况说明</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根据《2022年度岳阳市预算绩效管理工作方案》（岳财发〔2022〕6号）通知的要求，现对岳阳市水利局2021年度的部门整体支出开展绩效自评，现将情况汇报如下：</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一、部门（单位）概况</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（一）部门（单位）基本情况</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1、人员编制</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岳阳市水利局系市财政全额预算拨款单位。2021年编制部门核实岳阳市水利局编制170人，实有在职人数151人，其中机关本级行政编54人、工勤编1人，水旱灾害防御中心事业编27人、水政支队参公编37人、洞庭湖水利工程岳阳建设服务站事业编9人、水资源水利水电经济服务中心6人、河道湖泊事务中心11人、库区移民中心5人、长江补水工程事务中心1人，实有在职人数151人，离休2人，退休120人。</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2、机构设置</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（1）行政职能科室十七个</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办公室、规划计划与科技科、调研法规科、水资源管理科、水利工程建设科、河湖管理科、运行管理与监督科、、水土保持科、农村水利水电科、移民后期扶持科科、移民开发管理科、河长制工作科、行政审批科、财务科、人事科、铁山供水管理科、城市堤防管理科。</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另外，机关党委、机关纪委按章程设置，离退休人员管理服务科、机关工会按相关规定设置。</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（2）下属二级事业单位五个</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4个副处级单位：水旱灾害防御事务中心、水务综合执法支队、岳阳市长江洞庭湖水利事务中心、岳阳市铁山供水工程事务中心。1个差额拨款事业单位：岳阳市水利水电勘测设计院。</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（二）部门（单位）整体支出规模、使用方向和主要内容、涉及范围等</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关于批复2021年市本级部门预算的通知》，岳阳市水利局年度部门收支预算共计1667.46万元，其中一般预算拨款1667.46万元。其中在职人员和离休人员的正常工资开支、社会保障缴费等人员经费1343.33万元；按照财政规定的标准列支的公用经费280.23万元，水土保持补偿费执收成本10万元，水政执法办案经费9万元,移民经费23.4万元，铁山执法罚没收入1.5万元。</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二、部门（单位）整体支出管理及使用情况</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（一）部门整体经费支出情况分析</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2021年经费支出共计5883.19万元，其中：</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1、基本支出</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2021年度基本支出共计2808.33万元，其中人员经费2474.28万元，主要为在职及离退休人员工资、津补贴、社会保障缴费、抚恤金等支出；公用支出334.05万元，主要为用于保障机关正常运转所需开支的办公费、差旅费、招待费、会议费、培训费、公务用车运行维护费、物业管理费等。</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2、项目支出</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2021年度项目支出共计3074.86万元，主要用于水利工程建设、防汛抗旱工作经费支出、河道采砂规范管理工作经费、水资源管理保护工作经费、水土保持专项经费等。</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（二）“三公”经费支出情况分析</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2021年“三公”经费支出共计81.88万元，其中公务接待费34.25万元，占比41.83%；公务用车运行维护费47.63万元，占比58.17%；无公务车辆购置费和因公出国费。</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（三）固定资产情况分析</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截至2021年12月31日，固定资产总额为2364.48万元。。</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三、部门（单位）专项组织实施情况</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（一）专项组织情况分析</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按照绩效自评要求，我局组织成立了绩效评价工作小组，组织学习国家法律法规，贯彻落实相关政策，制定了部门整体支出绩效评价实施方案，设计了绩效评价指标体系。核查了2021年市级财政预算批复执行及部门整体支出情况，着重核查了“三公”经费及资产管理、内控制度。对内设机构，根据职能和年初制定的绩效考核目标，进行了实地绩效考评。</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（二）专项管理情况分析</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严格预算支出管理。在支出预算编制上，人员经费按照配置定额，逐人核定编制，公用经费分类分档，按定额编制；根据“总量控制、计划管理”的要求从严控制行政经费，压缩公务费开支，严格控制“三公”经费，资产的配置严格政府采购，按照预算科目和项目资金的规定使用财政资金，保障部门整体支出的规范化、制度化。</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2、财务管理按制度运行。根据国家法律法规，省市相关文件规定，重新修订了《岳阳市水利局财务管理制度》，各项支出并严格按照省市相关文件和《制度》执行，防范风险，保证财政资金的安全和高效运行。</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四、部门（单位）整体支出绩效情况</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精准防御，科学调度，防汛抗旱取得全面胜利。一是切实履行防汛主体责任，织牢“人防、物防、技防”保障网，全天候值班值守、全时段监测预警、全过程督查督导，城区4座电排累计开机3636小时，排水5952万立方，洋溪湖水利工程分洪调蓄水量620万立米，排水6800万立方。二是扎实做好防旱抗旱工作。目前全市水库塘坝蓄水10.7亿立米，长江补水泵船累计补水310台时，补水量320万立方，有效保障了华容、君山枯水期用水需求。</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紧盯目标，全力攻坚，河湖长制工作走在前列。一是基础工作实现四个100%：市县级河湖长巡河打卡率100%、河湖问题整改销号率100%、年度重点工作任务完成率100%、河湖网格化管理覆盖率100%。二是河湖保护实现四个全覆盖：洞庭湖交界断面全覆盖、农村小微水体整治全覆盖、大江大河跨界河湖联防联治全覆盖、“河小青”志愿服务市县乡全覆盖。三是管理机制实现四项创新：创新联动机制、创新督查机制、创新考核机制、创新宣传机制。</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3、聚焦短板，加责加力，水利项目建设提质增效。全市共争取水利建设项目资金19.95亿元，全市秋冬水利建设“9926”工程整体进度90%，大批重大水利工程扎实有序推进。“三大垸”蓄洪安全建设有序推进，钱粮湖垸、大通湖东垸分洪闸全面完工，华容县君山区安全区土方填筑工程基本完工；北部补水二期工程顺利开工；铁山灌区续建配套与现代化改造总投资4.03亿元，分5年实施，2021年投资7142万元，目前年度工程进度65%；76座小型水库除险加固总投资1.57亿元，整体形象进度81%；8个中型灌区节水配套改造投入中央资金4268万元，目前总体进度90%，改善灌溉面积10.7万亩；水土保持项目完成中央投资1800万元，实施生态清洁小流域治理项目3个，治理水土流失面积48.2平方公里。</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4、依法治水，从严从紧，水利行业监管落到实处。一是水法宣传全面开展，做好世界水日、中国水周的普法宣传。二是行政审批优质高效，办理行政许可事项57件，非行政许可事项62件。三是采砂收益大幅提升，全市河道砂石有偿收入26.99亿元，其中市级分成达3.14亿元，砂石开采入库税收3.64亿元。四是水政执法从严从紧，持续高压打击河道非法采砂，查处水事违法行为11起，查处各类渔政案件87起，行政处罚223万元上缴财政。五是运行管理有力有效，强力推进小型水库除险加固和安全生产达标建设。</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5、和衷共济，尽善尽美，民生水利工作全面发力。一是全面加强水资源管理，科学编制了《岳阳市水资源配置规划》，积极推进水资源费征收。二是全力保障农饮安全，投入资金2.77亿元，完成农村供水工程建设25处，受益农村人口达20.9万人。三是着力抓好移民帮扶，投入资金3.57亿元，实施后扶项目1563个，建设重点移民村20个，完成平江抽水蓄能电站搬迁移民178户，特困移民避险解困安置810人，完成移民培训4000人次。</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6、内强素质，外树形象，行业能力建设成效显著。一是党史学习学出了这真信仰。二是机关管理管出了高能效，办文办公精益求精，扎实做好食堂用餐、公务用车、机关管理等工作，严控“三公”经费，积极配合做好了省市审计和省级水利专项资金绩效评价工作。三是廉政建设建出了好作风。四是文明创建创出了新风尚。</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五、存在的主要问题</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是专项资金下拨不够及时，未完全按进度下拨；洞庭湖北部补水、蓄滞洪安全区建设、农饮水安全巩固提升工程、中央防汛抗旱物资仓库建设、王家河流域综合治理等水利工程建设，配套资金落实难，矛盾协调难度大。</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二是预算管理制度不够健全，相应的管理制度没有得到有效执行；</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三是资产管理不够规范，管理制度未得到有效执行，存在闲置资产；</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四是预算编制不够合理，一般预算经费较少，而支出较大，存在资金缺口。</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六、改进措施和有关建议</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一是完善相关管理制度，强化行政管理职能，确保制度贯彻落实；</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二是加强资产管理，提高固定资产使用效率；</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三是进一步控制“三公”经费支出，进一步细化“三公”经费管理；</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四是加强预算管理，定期做好预算执行情况分析。</w:t>
      </w:r>
    </w:p>
    <w:p>
      <w:pPr>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br w:type="page"/>
      </w:r>
    </w:p>
    <w:p>
      <w:pPr>
        <w:autoSpaceDE w:val="0"/>
        <w:autoSpaceDN w:val="0"/>
        <w:adjustRightInd w:val="0"/>
        <w:ind w:firstLine="640" w:firstLineChars="200"/>
        <w:jc w:val="left"/>
        <w:rPr>
          <w:rFonts w:hint="eastAsia" w:cs="黑体" w:asciiTheme="minorEastAsia" w:hAnsiTheme="minorEastAsia"/>
          <w:color w:val="000000"/>
          <w:kern w:val="0"/>
          <w:sz w:val="32"/>
          <w:szCs w:val="32"/>
        </w:rPr>
      </w:pPr>
    </w:p>
    <w:p>
      <w:pPr>
        <w:autoSpaceDE w:val="0"/>
        <w:autoSpaceDN w:val="0"/>
        <w:adjustRightInd w:val="0"/>
        <w:ind w:firstLine="640" w:firstLineChars="200"/>
        <w:jc w:val="left"/>
        <w:rPr>
          <w:rFonts w:hint="eastAsia" w:cs="黑体" w:asciiTheme="minorEastAsia" w:hAnsiTheme="minorEastAsia"/>
          <w:color w:val="000000"/>
          <w:kern w:val="0"/>
          <w:sz w:val="32"/>
          <w:szCs w:val="32"/>
        </w:rPr>
      </w:pPr>
    </w:p>
    <w:p>
      <w:pPr>
        <w:autoSpaceDE w:val="0"/>
        <w:autoSpaceDN w:val="0"/>
        <w:adjustRightInd w:val="0"/>
        <w:ind w:firstLine="640" w:firstLineChars="200"/>
        <w:jc w:val="left"/>
        <w:rPr>
          <w:rFonts w:hint="eastAsia" w:cs="黑体" w:asciiTheme="minorEastAsia" w:hAnsiTheme="minorEastAsia"/>
          <w:color w:val="000000"/>
          <w:kern w:val="0"/>
          <w:sz w:val="32"/>
          <w:szCs w:val="32"/>
        </w:rPr>
      </w:pPr>
    </w:p>
    <w:p>
      <w:pPr>
        <w:autoSpaceDE w:val="0"/>
        <w:autoSpaceDN w:val="0"/>
        <w:adjustRightInd w:val="0"/>
        <w:ind w:firstLine="640" w:firstLineChars="200"/>
        <w:jc w:val="left"/>
        <w:rPr>
          <w:rFonts w:hint="eastAsia" w:cs="黑体" w:asciiTheme="minorEastAsia" w:hAnsiTheme="minorEastAsia"/>
          <w:color w:val="000000"/>
          <w:kern w:val="0"/>
          <w:sz w:val="32"/>
          <w:szCs w:val="32"/>
        </w:rPr>
      </w:pPr>
    </w:p>
    <w:p>
      <w:pPr>
        <w:autoSpaceDE w:val="0"/>
        <w:autoSpaceDN w:val="0"/>
        <w:adjustRightInd w:val="0"/>
        <w:ind w:firstLine="640" w:firstLineChars="200"/>
        <w:jc w:val="left"/>
        <w:rPr>
          <w:rFonts w:hint="eastAsia" w:cs="黑体" w:asciiTheme="minorEastAsia" w:hAnsiTheme="minorEastAsia"/>
          <w:color w:val="000000"/>
          <w:kern w:val="0"/>
          <w:sz w:val="32"/>
          <w:szCs w:val="32"/>
        </w:rPr>
      </w:pPr>
    </w:p>
    <w:p>
      <w:pPr>
        <w:autoSpaceDE w:val="0"/>
        <w:autoSpaceDN w:val="0"/>
        <w:adjustRightInd w:val="0"/>
        <w:ind w:firstLine="640" w:firstLineChars="200"/>
        <w:jc w:val="left"/>
        <w:rPr>
          <w:rFonts w:hint="eastAsia" w:cs="黑体" w:asciiTheme="minorEastAsia" w:hAnsiTheme="minorEastAsia"/>
          <w:color w:val="000000"/>
          <w:kern w:val="0"/>
          <w:sz w:val="32"/>
          <w:szCs w:val="32"/>
        </w:rPr>
      </w:pPr>
    </w:p>
    <w:p>
      <w:pPr>
        <w:autoSpaceDE w:val="0"/>
        <w:autoSpaceDN w:val="0"/>
        <w:adjustRightInd w:val="0"/>
        <w:ind w:firstLine="640" w:firstLineChars="200"/>
        <w:jc w:val="left"/>
        <w:rPr>
          <w:rFonts w:hint="eastAsia" w:cs="黑体" w:asciiTheme="minorEastAsia" w:hAnsiTheme="minorEastAsia"/>
          <w:color w:val="000000"/>
          <w:kern w:val="0"/>
          <w:sz w:val="32"/>
          <w:szCs w:val="32"/>
        </w:rPr>
      </w:pPr>
    </w:p>
    <w:p>
      <w:pPr>
        <w:autoSpaceDE w:val="0"/>
        <w:autoSpaceDN w:val="0"/>
        <w:adjustRightInd w:val="0"/>
        <w:ind w:firstLine="640" w:firstLineChars="200"/>
        <w:jc w:val="left"/>
        <w:rPr>
          <w:rFonts w:hint="eastAsia" w:cs="黑体" w:asciiTheme="minorEastAsia" w:hAnsiTheme="minorEastAsia"/>
          <w:color w:val="000000"/>
          <w:kern w:val="0"/>
          <w:sz w:val="32"/>
          <w:szCs w:val="3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1、财政拨款收入：指本级财政当年拨付的资金。</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2、政府性基金预算财政拨款收入：指本级财政当年拨付的政府性基金预算资金。</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3、上年结转和结余：指以前年度尚未完成、结转到本年按有关规定继续使用的资金。</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4、年末结转和结余资金：指本年度或以前年度预算安排、因客观条件发生变化无法按原计划实施，需要延迟到以后年度按有关规定继续使用的资金。</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5、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联事务、群众团体事务、党委办公厅（室）及相关机构事务、组织事务、宣传事务、统战事务、其他一般公共服务等方面的支出，包括保障机构正常运转、完成日常和特定的工作任务或事业发展目标的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6、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7、卫生健康支出（类）：是指用于医疗卫生与计划生育方面的支出，包括保障机构正常运转、完成日常和特定的工作任务或事业发展目标的支出。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8、节能环保支出（类）：是指用于节能环保支出，包括保障机构正常运转、完成日常和特定的工作任务或事业发展目标的支出。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9、农林水支出（类）：是指用于农林水事务支出，包括保障机构正常运转、完成日常和特定的工作任务或事业发展目标的支出。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10、灾害防治及应急管理支出（类）：是指用于反映政府用于自然灾害防治、安全生产监管及应急管理等方面的支出，包括保障机构正常运转、完成日常和特定的工作任务或事业发展目标的支出。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11、基本支出：指保障机构正常运转、完成支日常工作任务而发生的人员支出和公用支出。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12</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项目支出：指在基本支出之外为完成特定行政任务和事业发展目标所发生的支出。</w:t>
      </w:r>
    </w:p>
    <w:p>
      <w:pPr>
        <w:numPr>
          <w:ilvl w:val="0"/>
          <w:numId w:val="3"/>
        </w:num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numPr>
          <w:ilvl w:val="0"/>
          <w:numId w:val="3"/>
        </w:num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机关运行经费</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w:t>
      </w:r>
      <w:r>
        <w:rPr>
          <w:rFonts w:hint="eastAsia" w:cs="黑体" w:asciiTheme="minorEastAsia" w:hAnsiTheme="minorEastAsia"/>
          <w:color w:val="000000"/>
          <w:kern w:val="0"/>
          <w:sz w:val="32"/>
          <w:szCs w:val="32"/>
          <w:lang w:val="en-US" w:eastAsia="zh-CN"/>
        </w:rPr>
        <w:t>5</w:t>
      </w:r>
      <w:r>
        <w:rPr>
          <w:rFonts w:hint="eastAsia" w:cs="黑体" w:asciiTheme="minorEastAsia" w:hAnsiTheme="minorEastAsia"/>
          <w:color w:val="000000"/>
          <w:kern w:val="0"/>
          <w:sz w:val="32"/>
          <w:szCs w:val="32"/>
        </w:rPr>
        <w:t>、工资福利支出：反映单位开支的在职职工和编制外长期聘用人员的各类劳动报酬，以及为上述人员缴纳的各项社会保险费等。</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w:t>
      </w:r>
      <w:r>
        <w:rPr>
          <w:rFonts w:hint="eastAsia" w:cs="黑体" w:asciiTheme="minorEastAsia" w:hAnsiTheme="minorEastAsia"/>
          <w:color w:val="000000"/>
          <w:kern w:val="0"/>
          <w:sz w:val="32"/>
          <w:szCs w:val="32"/>
          <w:lang w:val="en-US" w:eastAsia="zh-CN"/>
        </w:rPr>
        <w:t>6</w:t>
      </w:r>
      <w:r>
        <w:rPr>
          <w:rFonts w:hint="eastAsia" w:cs="黑体" w:asciiTheme="minorEastAsia" w:hAnsiTheme="minorEastAsia"/>
          <w:color w:val="000000"/>
          <w:kern w:val="0"/>
          <w:sz w:val="32"/>
          <w:szCs w:val="32"/>
        </w:rPr>
        <w:t>、津贴补贴：反映经国家批准建立的机关事业单位艰苦边远地区津贴、机关工作人员地区附加津贴、机关工作人员岗位津贴、事业单位工作人员特殊岗位津贴补贴等。</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w:t>
      </w:r>
      <w:r>
        <w:rPr>
          <w:rFonts w:hint="eastAsia" w:cs="黑体" w:asciiTheme="minorEastAsia" w:hAnsiTheme="minorEastAsia"/>
          <w:color w:val="000000"/>
          <w:kern w:val="0"/>
          <w:sz w:val="32"/>
          <w:szCs w:val="32"/>
          <w:lang w:val="en-US" w:eastAsia="zh-CN"/>
        </w:rPr>
        <w:t>7</w:t>
      </w:r>
      <w:r>
        <w:rPr>
          <w:rFonts w:hint="eastAsia" w:cs="黑体" w:asciiTheme="minorEastAsia" w:hAnsiTheme="minorEastAsia"/>
          <w:color w:val="000000"/>
          <w:kern w:val="0"/>
          <w:sz w:val="32"/>
          <w:szCs w:val="32"/>
        </w:rPr>
        <w:t>、奖金：反映机关工作人员年终一次性奖金。</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w:t>
      </w:r>
      <w:r>
        <w:rPr>
          <w:rFonts w:hint="eastAsia" w:cs="黑体" w:asciiTheme="minorEastAsia" w:hAnsiTheme="minorEastAsia"/>
          <w:color w:val="000000"/>
          <w:kern w:val="0"/>
          <w:sz w:val="32"/>
          <w:szCs w:val="32"/>
          <w:lang w:val="en-US" w:eastAsia="zh-CN"/>
        </w:rPr>
        <w:t>8</w:t>
      </w:r>
      <w:r>
        <w:rPr>
          <w:rFonts w:hint="eastAsia" w:cs="黑体" w:asciiTheme="minorEastAsia" w:hAnsiTheme="minorEastAsia"/>
          <w:color w:val="000000"/>
          <w:kern w:val="0"/>
          <w:sz w:val="32"/>
          <w:szCs w:val="32"/>
        </w:rPr>
        <w:t>、伙食补助费：反映单位发给职工的伙食补助费，如误餐补助等。</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w:t>
      </w:r>
      <w:r>
        <w:rPr>
          <w:rFonts w:hint="eastAsia" w:cs="黑体" w:asciiTheme="minorEastAsia" w:hAnsiTheme="minorEastAsia"/>
          <w:color w:val="000000"/>
          <w:kern w:val="0"/>
          <w:sz w:val="32"/>
          <w:szCs w:val="32"/>
          <w:lang w:val="en-US" w:eastAsia="zh-CN"/>
        </w:rPr>
        <w:t>9</w:t>
      </w:r>
      <w:r>
        <w:rPr>
          <w:rFonts w:hint="eastAsia" w:cs="黑体" w:asciiTheme="minorEastAsia" w:hAnsiTheme="minorEastAsia"/>
          <w:color w:val="000000"/>
          <w:kern w:val="0"/>
          <w:sz w:val="32"/>
          <w:szCs w:val="32"/>
        </w:rPr>
        <w:t>、绩效工资：反映事业单位工作人员的绩效工资。</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20</w:t>
      </w:r>
      <w:r>
        <w:rPr>
          <w:rFonts w:hint="eastAsia" w:cs="黑体" w:asciiTheme="minorEastAsia" w:hAnsiTheme="minorEastAsia"/>
          <w:color w:val="000000"/>
          <w:kern w:val="0"/>
          <w:sz w:val="32"/>
          <w:szCs w:val="32"/>
        </w:rPr>
        <w:t>、机关事业单位基本养老保险缴费：反映机关事业单位缴纳的基本养老保险费。由单位代扣的工作人员基本养老保险缴费，不在此科目反映。</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、职工基本医疗保险缴费：反映单位为职工缴纳的基本医疗保险费。</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w:t>
      </w:r>
      <w:r>
        <w:rPr>
          <w:rFonts w:hint="eastAsia" w:cs="黑体" w:asciiTheme="minorEastAsia" w:hAnsiTheme="minorEastAsia"/>
          <w:color w:val="000000"/>
          <w:kern w:val="0"/>
          <w:sz w:val="32"/>
          <w:szCs w:val="32"/>
          <w:lang w:val="en-US" w:eastAsia="zh-CN"/>
        </w:rPr>
        <w:t>2</w:t>
      </w:r>
      <w:r>
        <w:rPr>
          <w:rFonts w:hint="eastAsia" w:cs="黑体" w:asciiTheme="minorEastAsia" w:hAnsiTheme="minorEastAsia"/>
          <w:color w:val="000000"/>
          <w:kern w:val="0"/>
          <w:sz w:val="32"/>
          <w:szCs w:val="32"/>
        </w:rPr>
        <w:t>、其他社会保障缴费：反映单位为职工缴纳的基本医疗、失业、工伤、生育等社会保险费，残疾人就业保障金，军队（含武警）为军人缴纳的伤亡、退役医疗等社会保险费。</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w:t>
      </w:r>
      <w:r>
        <w:rPr>
          <w:rFonts w:hint="eastAsia" w:cs="黑体" w:asciiTheme="minorEastAsia" w:hAnsiTheme="minorEastAsia"/>
          <w:color w:val="000000"/>
          <w:kern w:val="0"/>
          <w:sz w:val="32"/>
          <w:szCs w:val="32"/>
          <w:lang w:val="en-US" w:eastAsia="zh-CN"/>
        </w:rPr>
        <w:t>3</w:t>
      </w:r>
      <w:r>
        <w:rPr>
          <w:rFonts w:hint="eastAsia" w:cs="黑体" w:asciiTheme="minorEastAsia" w:hAnsiTheme="minorEastAsia"/>
          <w:color w:val="000000"/>
          <w:kern w:val="0"/>
          <w:sz w:val="32"/>
          <w:szCs w:val="32"/>
        </w:rPr>
        <w:t>、住房公积金：反映行政事业单位按人力资源和社会保障部、财政部规定的基本工资和津贴补贴以及规定比例为职工缴纳的住房公积金。</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w:t>
      </w:r>
      <w:r>
        <w:rPr>
          <w:rFonts w:hint="eastAsia" w:cs="黑体" w:asciiTheme="minorEastAsia" w:hAnsiTheme="minorEastAsia"/>
          <w:color w:val="000000"/>
          <w:kern w:val="0"/>
          <w:sz w:val="32"/>
          <w:szCs w:val="32"/>
          <w:lang w:val="en-US" w:eastAsia="zh-CN"/>
        </w:rPr>
        <w:t>4</w:t>
      </w:r>
      <w:r>
        <w:rPr>
          <w:rFonts w:hint="eastAsia" w:cs="黑体" w:asciiTheme="minorEastAsia" w:hAnsiTheme="minorEastAsia"/>
          <w:color w:val="000000"/>
          <w:kern w:val="0"/>
          <w:sz w:val="32"/>
          <w:szCs w:val="32"/>
        </w:rPr>
        <w:t>、医疗费：反映未参加医疗保险单位的医疗经费和单位按规定为职工支出的其他医疗费用。</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w:t>
      </w:r>
      <w:r>
        <w:rPr>
          <w:rFonts w:hint="eastAsia" w:cs="黑体" w:asciiTheme="minorEastAsia" w:hAnsiTheme="minorEastAsia"/>
          <w:color w:val="000000"/>
          <w:kern w:val="0"/>
          <w:sz w:val="32"/>
          <w:szCs w:val="32"/>
          <w:lang w:val="en-US" w:eastAsia="zh-CN"/>
        </w:rPr>
        <w:t>5</w:t>
      </w:r>
      <w:r>
        <w:rPr>
          <w:rFonts w:hint="eastAsia" w:cs="黑体" w:asciiTheme="minorEastAsia" w:hAnsiTheme="minorEastAsia"/>
          <w:color w:val="000000"/>
          <w:kern w:val="0"/>
          <w:sz w:val="32"/>
          <w:szCs w:val="32"/>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w:t>
      </w:r>
      <w:r>
        <w:rPr>
          <w:rFonts w:hint="eastAsia" w:cs="黑体" w:asciiTheme="minorEastAsia" w:hAnsiTheme="minorEastAsia"/>
          <w:color w:val="000000"/>
          <w:kern w:val="0"/>
          <w:sz w:val="32"/>
          <w:szCs w:val="32"/>
          <w:lang w:val="en-US" w:eastAsia="zh-CN"/>
        </w:rPr>
        <w:t>6</w:t>
      </w:r>
      <w:r>
        <w:rPr>
          <w:rFonts w:hint="eastAsia" w:cs="黑体" w:asciiTheme="minorEastAsia" w:hAnsiTheme="minorEastAsia"/>
          <w:color w:val="000000"/>
          <w:kern w:val="0"/>
          <w:sz w:val="32"/>
          <w:szCs w:val="32"/>
        </w:rPr>
        <w:t>、商品和服务支出：反映单位购买商品和服务的支出（不包括用于购置固定资产的支出、战略性和应急储备支出）。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w:t>
      </w:r>
      <w:r>
        <w:rPr>
          <w:rFonts w:hint="eastAsia" w:cs="黑体" w:asciiTheme="minorEastAsia" w:hAnsiTheme="minorEastAsia"/>
          <w:color w:val="000000"/>
          <w:kern w:val="0"/>
          <w:sz w:val="32"/>
          <w:szCs w:val="32"/>
          <w:lang w:val="en-US" w:eastAsia="zh-CN"/>
        </w:rPr>
        <w:t>7</w:t>
      </w:r>
      <w:r>
        <w:rPr>
          <w:rFonts w:hint="eastAsia" w:cs="黑体" w:asciiTheme="minorEastAsia" w:hAnsiTheme="minorEastAsia"/>
          <w:color w:val="000000"/>
          <w:kern w:val="0"/>
          <w:sz w:val="32"/>
          <w:szCs w:val="32"/>
        </w:rPr>
        <w:t>、办公费：反映单位购买按财务会计制度规定不符合固定资产确认标准的日常办公用品、书报杂志等支出。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w:t>
      </w:r>
      <w:r>
        <w:rPr>
          <w:rFonts w:hint="eastAsia" w:cs="黑体" w:asciiTheme="minorEastAsia" w:hAnsiTheme="minorEastAsia"/>
          <w:color w:val="000000"/>
          <w:kern w:val="0"/>
          <w:sz w:val="32"/>
          <w:szCs w:val="32"/>
          <w:lang w:val="en-US" w:eastAsia="zh-CN"/>
        </w:rPr>
        <w:t>8</w:t>
      </w:r>
      <w:r>
        <w:rPr>
          <w:rFonts w:hint="eastAsia" w:cs="黑体" w:asciiTheme="minorEastAsia" w:hAnsiTheme="minorEastAsia"/>
          <w:color w:val="000000"/>
          <w:kern w:val="0"/>
          <w:sz w:val="32"/>
          <w:szCs w:val="32"/>
        </w:rPr>
        <w:t>、印刷费：反映单位的印刷费支出。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w:t>
      </w:r>
      <w:r>
        <w:rPr>
          <w:rFonts w:hint="eastAsia" w:cs="黑体" w:asciiTheme="minorEastAsia" w:hAnsiTheme="minorEastAsia"/>
          <w:color w:val="000000"/>
          <w:kern w:val="0"/>
          <w:sz w:val="32"/>
          <w:szCs w:val="32"/>
          <w:lang w:val="en-US" w:eastAsia="zh-CN"/>
        </w:rPr>
        <w:t>9</w:t>
      </w:r>
      <w:r>
        <w:rPr>
          <w:rFonts w:hint="eastAsia" w:cs="黑体" w:asciiTheme="minorEastAsia" w:hAnsiTheme="minorEastAsia"/>
          <w:color w:val="000000"/>
          <w:kern w:val="0"/>
          <w:sz w:val="32"/>
          <w:szCs w:val="32"/>
        </w:rPr>
        <w:t>、手续费：反映单位支付的各类手续费支出。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30</w:t>
      </w:r>
      <w:r>
        <w:rPr>
          <w:rFonts w:hint="eastAsia" w:cs="黑体" w:asciiTheme="minorEastAsia" w:hAnsiTheme="minorEastAsia"/>
          <w:color w:val="000000"/>
          <w:kern w:val="0"/>
          <w:sz w:val="32"/>
          <w:szCs w:val="32"/>
        </w:rPr>
        <w:t>、水费：反映单位支付的水费、污水处理费等支出。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3</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、电费：反映单位的电费支出。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3</w:t>
      </w:r>
      <w:r>
        <w:rPr>
          <w:rFonts w:hint="eastAsia" w:cs="黑体" w:asciiTheme="minorEastAsia" w:hAnsiTheme="minorEastAsia"/>
          <w:color w:val="000000"/>
          <w:kern w:val="0"/>
          <w:sz w:val="32"/>
          <w:szCs w:val="32"/>
          <w:lang w:val="en-US" w:eastAsia="zh-CN"/>
        </w:rPr>
        <w:t>2</w:t>
      </w:r>
      <w:r>
        <w:rPr>
          <w:rFonts w:hint="eastAsia" w:cs="黑体" w:asciiTheme="minorEastAsia" w:hAnsiTheme="minorEastAsia"/>
          <w:color w:val="000000"/>
          <w:kern w:val="0"/>
          <w:sz w:val="32"/>
          <w:szCs w:val="32"/>
        </w:rPr>
        <w:t>、邮电费：反映单位开支的信函、包裹、货物等物品的邮寄费及电话费、电报费、传真费、网络通讯费等。</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3</w:t>
      </w:r>
      <w:r>
        <w:rPr>
          <w:rFonts w:hint="eastAsia" w:cs="黑体" w:asciiTheme="minorEastAsia" w:hAnsiTheme="minorEastAsia"/>
          <w:color w:val="000000"/>
          <w:kern w:val="0"/>
          <w:sz w:val="32"/>
          <w:szCs w:val="32"/>
          <w:lang w:val="en-US" w:eastAsia="zh-CN"/>
        </w:rPr>
        <w:t>3</w:t>
      </w:r>
      <w:r>
        <w:rPr>
          <w:rFonts w:hint="eastAsia" w:cs="黑体" w:asciiTheme="minorEastAsia" w:hAnsiTheme="minorEastAsia"/>
          <w:color w:val="000000"/>
          <w:kern w:val="0"/>
          <w:sz w:val="32"/>
          <w:szCs w:val="32"/>
        </w:rPr>
        <w:t>、差旅费：反映单位工作人员出差发生的城市间交通费、住宿费、伙食补贴费和市内交通费。</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3</w:t>
      </w:r>
      <w:r>
        <w:rPr>
          <w:rFonts w:hint="eastAsia" w:cs="黑体" w:asciiTheme="minorEastAsia" w:hAnsiTheme="minorEastAsia"/>
          <w:color w:val="000000"/>
          <w:kern w:val="0"/>
          <w:sz w:val="32"/>
          <w:szCs w:val="32"/>
          <w:lang w:val="en-US" w:eastAsia="zh-CN"/>
        </w:rPr>
        <w:t>4</w:t>
      </w:r>
      <w:r>
        <w:rPr>
          <w:rFonts w:hint="eastAsia" w:cs="黑体" w:asciiTheme="minorEastAsia" w:hAnsiTheme="minorEastAsia"/>
          <w:color w:val="000000"/>
          <w:kern w:val="0"/>
          <w:sz w:val="32"/>
          <w:szCs w:val="32"/>
        </w:rPr>
        <w:t>、维修(护)费：反映单位日常开支的固定资产（不包括车船等交通工具）修理和维护费用，网络信息系统运行与维护费用，以及按规定提取的修购基金。</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3</w:t>
      </w:r>
      <w:r>
        <w:rPr>
          <w:rFonts w:hint="eastAsia" w:cs="黑体" w:asciiTheme="minorEastAsia" w:hAnsiTheme="minorEastAsia"/>
          <w:color w:val="000000"/>
          <w:kern w:val="0"/>
          <w:sz w:val="32"/>
          <w:szCs w:val="32"/>
          <w:lang w:val="en-US" w:eastAsia="zh-CN"/>
        </w:rPr>
        <w:t>5</w:t>
      </w:r>
      <w:r>
        <w:rPr>
          <w:rFonts w:hint="eastAsia" w:cs="黑体" w:asciiTheme="minorEastAsia" w:hAnsiTheme="minorEastAsia"/>
          <w:color w:val="000000"/>
          <w:kern w:val="0"/>
          <w:sz w:val="32"/>
          <w:szCs w:val="32"/>
        </w:rPr>
        <w:t>、租赁费：反映租赁办公用房、宿舍、专用通讯网以及其他设备等方面的费用。</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3</w:t>
      </w:r>
      <w:r>
        <w:rPr>
          <w:rFonts w:hint="eastAsia" w:cs="黑体" w:asciiTheme="minorEastAsia" w:hAnsiTheme="minorEastAsia"/>
          <w:color w:val="000000"/>
          <w:kern w:val="0"/>
          <w:sz w:val="32"/>
          <w:szCs w:val="32"/>
          <w:lang w:val="en-US" w:eastAsia="zh-CN"/>
        </w:rPr>
        <w:t>6</w:t>
      </w:r>
      <w:r>
        <w:rPr>
          <w:rFonts w:hint="eastAsia" w:cs="黑体" w:asciiTheme="minorEastAsia" w:hAnsiTheme="minorEastAsia"/>
          <w:color w:val="000000"/>
          <w:kern w:val="0"/>
          <w:sz w:val="32"/>
          <w:szCs w:val="32"/>
        </w:rPr>
        <w:t>、公务接待费：反映单位按规定开支的各类公务接待（含外宾接待）费用。</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3</w:t>
      </w:r>
      <w:r>
        <w:rPr>
          <w:rFonts w:hint="eastAsia" w:cs="黑体" w:asciiTheme="minorEastAsia" w:hAnsiTheme="minorEastAsia"/>
          <w:color w:val="000000"/>
          <w:kern w:val="0"/>
          <w:sz w:val="32"/>
          <w:szCs w:val="32"/>
          <w:lang w:val="en-US" w:eastAsia="zh-CN"/>
        </w:rPr>
        <w:t>7</w:t>
      </w:r>
      <w:r>
        <w:rPr>
          <w:rFonts w:hint="eastAsia" w:cs="黑体" w:asciiTheme="minorEastAsia" w:hAnsiTheme="minorEastAsia"/>
          <w:color w:val="000000"/>
          <w:kern w:val="0"/>
          <w:sz w:val="32"/>
          <w:szCs w:val="32"/>
        </w:rPr>
        <w:t>、专用燃料费：反映用作业务工作设备的车、船设施等的油料支出。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3</w:t>
      </w:r>
      <w:r>
        <w:rPr>
          <w:rFonts w:hint="eastAsia" w:cs="黑体" w:asciiTheme="minorEastAsia" w:hAnsiTheme="minorEastAsia"/>
          <w:color w:val="000000"/>
          <w:kern w:val="0"/>
          <w:sz w:val="32"/>
          <w:szCs w:val="32"/>
          <w:lang w:val="en-US" w:eastAsia="zh-CN"/>
        </w:rPr>
        <w:t>8</w:t>
      </w:r>
      <w:r>
        <w:rPr>
          <w:rFonts w:hint="eastAsia" w:cs="黑体" w:asciiTheme="minorEastAsia" w:hAnsiTheme="minorEastAsia"/>
          <w:color w:val="000000"/>
          <w:kern w:val="0"/>
          <w:sz w:val="32"/>
          <w:szCs w:val="32"/>
        </w:rPr>
        <w:t>、劳务费：反映支付给单位和个人的劳务费用，如临时聘用人员、钟点工工资，稿费、翻译费，评审费等。</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3</w:t>
      </w:r>
      <w:r>
        <w:rPr>
          <w:rFonts w:hint="eastAsia" w:cs="黑体" w:asciiTheme="minorEastAsia" w:hAnsiTheme="minorEastAsia"/>
          <w:color w:val="000000"/>
          <w:kern w:val="0"/>
          <w:sz w:val="32"/>
          <w:szCs w:val="32"/>
          <w:lang w:val="en-US" w:eastAsia="zh-CN"/>
        </w:rPr>
        <w:t>9</w:t>
      </w:r>
      <w:r>
        <w:rPr>
          <w:rFonts w:hint="eastAsia" w:cs="黑体" w:asciiTheme="minorEastAsia" w:hAnsiTheme="minorEastAsia"/>
          <w:color w:val="000000"/>
          <w:kern w:val="0"/>
          <w:sz w:val="32"/>
          <w:szCs w:val="32"/>
        </w:rPr>
        <w:t>、委托业务费：反映因委托外单位办理业务而支付的委托业务费。</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40</w:t>
      </w:r>
      <w:r>
        <w:rPr>
          <w:rFonts w:hint="eastAsia" w:cs="黑体" w:asciiTheme="minorEastAsia" w:hAnsiTheme="minorEastAsia"/>
          <w:color w:val="000000"/>
          <w:kern w:val="0"/>
          <w:sz w:val="32"/>
          <w:szCs w:val="32"/>
        </w:rPr>
        <w:t>、福利费：反映单位按规定提取的福利费。</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4</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、其他交通费用：反映单位除公务用车运行维护费以外的其他交通费用。如公务交通补贴，租车费用、出租车费用，飞机、船舶等的燃料费、维修费、保险费等。</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4</w:t>
      </w:r>
      <w:r>
        <w:rPr>
          <w:rFonts w:hint="eastAsia" w:cs="黑体" w:asciiTheme="minorEastAsia" w:hAnsiTheme="minorEastAsia"/>
          <w:color w:val="000000"/>
          <w:kern w:val="0"/>
          <w:sz w:val="32"/>
          <w:szCs w:val="32"/>
          <w:lang w:val="en-US" w:eastAsia="zh-CN"/>
        </w:rPr>
        <w:t>2</w:t>
      </w:r>
      <w:r>
        <w:rPr>
          <w:rFonts w:hint="eastAsia" w:cs="黑体" w:asciiTheme="minorEastAsia" w:hAnsiTheme="minorEastAsia"/>
          <w:color w:val="000000"/>
          <w:kern w:val="0"/>
          <w:sz w:val="32"/>
          <w:szCs w:val="32"/>
        </w:rPr>
        <w:t>、其他商品和服务支出：反映上述科目未包括的日常公用支出。如行政赔偿费和诉讼费、国内组织的会员费、来访费、广告宣传、其他劳务费及离休人员特需费、公用经费等。</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4</w:t>
      </w:r>
      <w:r>
        <w:rPr>
          <w:rFonts w:hint="eastAsia" w:cs="黑体" w:asciiTheme="minorEastAsia" w:hAnsiTheme="minorEastAsia"/>
          <w:color w:val="000000"/>
          <w:kern w:val="0"/>
          <w:sz w:val="32"/>
          <w:szCs w:val="32"/>
          <w:lang w:val="en-US" w:eastAsia="zh-CN"/>
        </w:rPr>
        <w:t>3</w:t>
      </w:r>
      <w:r>
        <w:rPr>
          <w:rFonts w:hint="eastAsia" w:cs="黑体" w:asciiTheme="minorEastAsia" w:hAnsiTheme="minorEastAsia"/>
          <w:color w:val="000000"/>
          <w:kern w:val="0"/>
          <w:sz w:val="32"/>
          <w:szCs w:val="32"/>
        </w:rPr>
        <w:t>、对个人和家庭的补助：反映政府用于对个人和家庭的补助支出。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4</w:t>
      </w:r>
      <w:r>
        <w:rPr>
          <w:rFonts w:hint="eastAsia" w:cs="黑体" w:asciiTheme="minorEastAsia" w:hAnsiTheme="minorEastAsia"/>
          <w:color w:val="000000"/>
          <w:kern w:val="0"/>
          <w:sz w:val="32"/>
          <w:szCs w:val="32"/>
          <w:lang w:val="en-US" w:eastAsia="zh-CN"/>
        </w:rPr>
        <w:t>4</w:t>
      </w:r>
      <w:r>
        <w:rPr>
          <w:rFonts w:hint="eastAsia" w:cs="黑体" w:asciiTheme="minorEastAsia" w:hAnsiTheme="minorEastAsia"/>
          <w:color w:val="000000"/>
          <w:kern w:val="0"/>
          <w:sz w:val="32"/>
          <w:szCs w:val="32"/>
        </w:rPr>
        <w:t>、离休费：反映行政事业单位和军队移交政府安置的离休人员的离休费、护理费和其他补贴。</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4</w:t>
      </w:r>
      <w:r>
        <w:rPr>
          <w:rFonts w:hint="eastAsia" w:cs="黑体" w:asciiTheme="minorEastAsia" w:hAnsiTheme="minorEastAsia"/>
          <w:color w:val="000000"/>
          <w:kern w:val="0"/>
          <w:sz w:val="32"/>
          <w:szCs w:val="32"/>
          <w:lang w:val="en-US" w:eastAsia="zh-CN"/>
        </w:rPr>
        <w:t>5</w:t>
      </w:r>
      <w:r>
        <w:rPr>
          <w:rFonts w:hint="eastAsia" w:cs="黑体" w:asciiTheme="minorEastAsia" w:hAnsiTheme="minorEastAsia"/>
          <w:color w:val="000000"/>
          <w:kern w:val="0"/>
          <w:sz w:val="32"/>
          <w:szCs w:val="32"/>
        </w:rPr>
        <w:t>、退休费：反映行政事业单位和军队移交政府安置的退休人员的退休费和其他补贴。</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4</w:t>
      </w:r>
      <w:r>
        <w:rPr>
          <w:rFonts w:hint="eastAsia" w:cs="黑体" w:asciiTheme="minorEastAsia" w:hAnsiTheme="minorEastAsia"/>
          <w:color w:val="000000"/>
          <w:kern w:val="0"/>
          <w:sz w:val="32"/>
          <w:szCs w:val="32"/>
          <w:lang w:val="en-US" w:eastAsia="zh-CN"/>
        </w:rPr>
        <w:t>6</w:t>
      </w:r>
      <w:r>
        <w:rPr>
          <w:rFonts w:hint="eastAsia" w:cs="黑体" w:asciiTheme="minorEastAsia" w:hAnsiTheme="minorEastAsia"/>
          <w:color w:val="000000"/>
          <w:kern w:val="0"/>
          <w:sz w:val="32"/>
          <w:szCs w:val="32"/>
        </w:rPr>
        <w:t>、抚恤金：反映按规定开支的烈士遗属、牺牲病故人员遗属的一次性和定期抚恤金，伤残人员的抚恤金，离退休人员等其他人员的各项抚恤金。</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4</w:t>
      </w:r>
      <w:r>
        <w:rPr>
          <w:rFonts w:hint="eastAsia" w:cs="黑体" w:asciiTheme="minorEastAsia" w:hAnsiTheme="minorEastAsia"/>
          <w:color w:val="000000"/>
          <w:kern w:val="0"/>
          <w:sz w:val="32"/>
          <w:szCs w:val="32"/>
          <w:lang w:val="en-US" w:eastAsia="zh-CN"/>
        </w:rPr>
        <w:t>7</w:t>
      </w:r>
      <w:r>
        <w:rPr>
          <w:rFonts w:hint="eastAsia" w:cs="黑体" w:asciiTheme="minorEastAsia" w:hAnsiTheme="minorEastAsia"/>
          <w:color w:val="000000"/>
          <w:kern w:val="0"/>
          <w:sz w:val="32"/>
          <w:szCs w:val="32"/>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4</w:t>
      </w:r>
      <w:r>
        <w:rPr>
          <w:rFonts w:hint="eastAsia" w:cs="黑体" w:asciiTheme="minorEastAsia" w:hAnsiTheme="minorEastAsia"/>
          <w:color w:val="000000"/>
          <w:kern w:val="0"/>
          <w:sz w:val="32"/>
          <w:szCs w:val="32"/>
          <w:lang w:val="en-US" w:eastAsia="zh-CN"/>
        </w:rPr>
        <w:t>8</w:t>
      </w:r>
      <w:r>
        <w:rPr>
          <w:rFonts w:hint="eastAsia" w:cs="黑体" w:asciiTheme="minorEastAsia" w:hAnsiTheme="minorEastAsia"/>
          <w:color w:val="000000"/>
          <w:kern w:val="0"/>
          <w:sz w:val="32"/>
          <w:szCs w:val="32"/>
        </w:rPr>
        <w:t>、医疗费：反映行政事业单位在职职工、离退休人员的医疗费，军队移交政府安置的离退休人员的医疗费，学生医疗费，优抚对象医疗补助，以及按国家规定资助农民参加新型农村合作医疗和城镇居民参加城镇居民基本医疗保险的支出和对城乡贫困家庭的医疗救助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4</w:t>
      </w:r>
      <w:r>
        <w:rPr>
          <w:rFonts w:hint="eastAsia" w:cs="黑体" w:asciiTheme="minorEastAsia" w:hAnsiTheme="minorEastAsia"/>
          <w:color w:val="000000"/>
          <w:kern w:val="0"/>
          <w:sz w:val="32"/>
          <w:szCs w:val="32"/>
          <w:lang w:val="en-US" w:eastAsia="zh-CN"/>
        </w:rPr>
        <w:t>9</w:t>
      </w:r>
      <w:r>
        <w:rPr>
          <w:rFonts w:hint="eastAsia" w:cs="黑体" w:asciiTheme="minorEastAsia" w:hAnsiTheme="minorEastAsia"/>
          <w:color w:val="000000"/>
          <w:kern w:val="0"/>
          <w:sz w:val="32"/>
          <w:szCs w:val="32"/>
        </w:rPr>
        <w:t>、奖励金：反映政府各部门的奖励支出，如对个体私营经济的奖励、计划生育目标责任奖励、独生子女父母奖励等。</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50</w:t>
      </w:r>
      <w:r>
        <w:rPr>
          <w:rFonts w:hint="eastAsia" w:cs="黑体" w:asciiTheme="minorEastAsia" w:hAnsiTheme="minorEastAsia"/>
          <w:color w:val="000000"/>
          <w:kern w:val="0"/>
          <w:sz w:val="32"/>
          <w:szCs w:val="32"/>
        </w:rPr>
        <w:t>、办公设备购置：反映用于购置并按财务会计制度规定纳入固定资产核算范围的办公家具和办公设备的支出，以及按规定提取的修购基金。</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left"/>
        <w:rPr>
          <w:rFonts w:hint="eastAsia" w:cs="黑体" w:asciiTheme="minorEastAsia" w:hAnsiTheme="minorEastAsia" w:eastAsiaTheme="minorEastAsia"/>
          <w:b/>
          <w:color w:val="000000"/>
          <w:kern w:val="0"/>
          <w:sz w:val="32"/>
          <w:szCs w:val="32"/>
          <w:lang w:val="en-US" w:eastAsia="zh-CN"/>
        </w:rPr>
      </w:pPr>
      <w:r>
        <w:rPr>
          <w:rFonts w:hint="eastAsia" w:cs="黑体" w:asciiTheme="minorEastAsia" w:hAnsiTheme="minorEastAsia"/>
          <w:b/>
          <w:color w:val="000000"/>
          <w:kern w:val="0"/>
          <w:sz w:val="32"/>
          <w:szCs w:val="32"/>
          <w:lang w:val="en-US" w:eastAsia="zh-CN"/>
        </w:rPr>
        <w:t>附件：1、2021年部门决算公开表格</w:t>
      </w:r>
    </w:p>
    <w:p>
      <w:pPr>
        <w:ind w:firstLine="640" w:firstLineChars="200"/>
        <w:jc w:val="left"/>
        <w:rPr>
          <w:rFonts w:hint="eastAsia" w:cs="黑体" w:asciiTheme="minorEastAsia" w:hAnsiTheme="minorEastAsia"/>
          <w:b/>
          <w:color w:val="000000"/>
          <w:kern w:val="0"/>
          <w:sz w:val="32"/>
          <w:szCs w:val="32"/>
        </w:rPr>
      </w:pPr>
      <w:r>
        <w:rPr>
          <w:rFonts w:hint="eastAsia" w:cs="黑体" w:asciiTheme="minorEastAsia" w:hAnsiTheme="minorEastAsia"/>
          <w:b/>
          <w:color w:val="000000"/>
          <w:kern w:val="0"/>
          <w:sz w:val="32"/>
          <w:szCs w:val="32"/>
          <w:lang w:val="en-US" w:eastAsia="zh-CN"/>
        </w:rPr>
        <w:t>附件：2、</w:t>
      </w:r>
      <w:r>
        <w:rPr>
          <w:rFonts w:hint="eastAsia" w:cs="黑体" w:asciiTheme="minorEastAsia" w:hAnsiTheme="minorEastAsia"/>
          <w:b/>
          <w:color w:val="000000"/>
          <w:kern w:val="0"/>
          <w:sz w:val="32"/>
          <w:szCs w:val="32"/>
        </w:rPr>
        <w:t>2021年度部门整体支出绩效评价报告</w:t>
      </w:r>
    </w:p>
    <w:p>
      <w:pPr>
        <w:ind w:firstLine="640" w:firstLineChars="200"/>
        <w:jc w:val="left"/>
        <w:rPr>
          <w:rFonts w:hint="eastAsia" w:cs="黑体" w:asciiTheme="minorEastAsia" w:hAnsiTheme="minorEastAsia"/>
          <w:b/>
          <w:color w:val="000000"/>
          <w:kern w:val="0"/>
          <w:sz w:val="32"/>
          <w:szCs w:val="32"/>
        </w:rPr>
      </w:pPr>
    </w:p>
    <w:p>
      <w:pPr>
        <w:keepNext w:val="0"/>
        <w:keepLines w:val="0"/>
        <w:widowControl/>
        <w:numPr>
          <w:ilvl w:val="0"/>
          <w:numId w:val="0"/>
        </w:numPr>
        <w:suppressLineNumbers w:val="0"/>
        <w:shd w:val="clear" w:fill="FFFFFF"/>
        <w:spacing w:before="0" w:beforeAutospacing="0" w:after="0" w:afterAutospacing="0"/>
        <w:ind w:left="640" w:leftChars="0" w:right="0" w:rightChars="0"/>
        <w:jc w:val="left"/>
        <w:rPr>
          <w:rFonts w:hint="eastAsia" w:ascii="宋体" w:hAnsi="宋体" w:eastAsia="宋体" w:cs="宋体"/>
          <w:i w:val="0"/>
          <w:caps w:val="0"/>
          <w:color w:val="000000"/>
          <w:spacing w:val="0"/>
          <w:kern w:val="0"/>
          <w:sz w:val="32"/>
          <w:szCs w:val="32"/>
          <w:shd w:val="clear" w:fill="FFFFFF"/>
          <w:lang w:val="en-US" w:eastAsia="zh-CN" w:bidi="ar"/>
        </w:rPr>
      </w:pPr>
    </w:p>
    <w:p>
      <w:pPr>
        <w:ind w:firstLine="640" w:firstLineChars="200"/>
        <w:jc w:val="left"/>
        <w:rPr>
          <w:rFonts w:hint="eastAsia" w:cs="黑体" w:asciiTheme="minorEastAsia" w:hAnsiTheme="minorEastAsia"/>
          <w:b/>
          <w:color w:val="000000"/>
          <w:kern w:val="0"/>
          <w:sz w:val="32"/>
          <w:szCs w:val="32"/>
        </w:rPr>
      </w:pPr>
    </w:p>
    <w:p>
      <w:pPr>
        <w:ind w:firstLine="640" w:firstLineChars="200"/>
        <w:jc w:val="left"/>
        <w:rPr>
          <w:rFonts w:cs="黑体" w:asciiTheme="minorEastAsia" w:hAnsiTheme="minorEastAsia"/>
          <w:color w:val="000000"/>
          <w:kern w:val="0"/>
          <w:sz w:val="32"/>
          <w:szCs w:val="32"/>
        </w:rPr>
      </w:pPr>
    </w:p>
    <w:bookmarkEnd w:id="0"/>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panose1 w:val="020B0604020202030204"/>
    <w:charset w:val="00"/>
    <w:family w:val="auto"/>
    <w:pitch w:val="default"/>
    <w:sig w:usb0="00000000" w:usb1="00000000" w:usb2="00000000" w:usb3="00000000" w:csb0="00000093"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6A298D"/>
    <w:multiLevelType w:val="singleLevel"/>
    <w:tmpl w:val="B16A298D"/>
    <w:lvl w:ilvl="0" w:tentative="0">
      <w:start w:val="9"/>
      <w:numFmt w:val="chineseCounting"/>
      <w:suff w:val="nothing"/>
      <w:lvlText w:val="%1、"/>
      <w:lvlJc w:val="left"/>
      <w:rPr>
        <w:rFonts w:hint="eastAsia"/>
      </w:rPr>
    </w:lvl>
  </w:abstractNum>
  <w:abstractNum w:abstractNumId="1">
    <w:nsid w:val="BFF4B91C"/>
    <w:multiLevelType w:val="singleLevel"/>
    <w:tmpl w:val="BFF4B91C"/>
    <w:lvl w:ilvl="0" w:tentative="0">
      <w:start w:val="13"/>
      <w:numFmt w:val="decimal"/>
      <w:suff w:val="nothing"/>
      <w:lvlText w:val="%1、"/>
      <w:lvlJc w:val="left"/>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iMWNiZThlMWU2MzRmYWJlODZiMTkwZmRmZjk3MjEifQ=="/>
  </w:docVars>
  <w:rsids>
    <w:rsidRoot w:val="00172A27"/>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18F5DCE"/>
    <w:rsid w:val="01BD35AB"/>
    <w:rsid w:val="02120D86"/>
    <w:rsid w:val="05166917"/>
    <w:rsid w:val="05633A58"/>
    <w:rsid w:val="06261308"/>
    <w:rsid w:val="06417385"/>
    <w:rsid w:val="06B411F0"/>
    <w:rsid w:val="06F53B42"/>
    <w:rsid w:val="07553C9E"/>
    <w:rsid w:val="087403E0"/>
    <w:rsid w:val="09020D5E"/>
    <w:rsid w:val="0A6646CA"/>
    <w:rsid w:val="0A9450C5"/>
    <w:rsid w:val="0B923CFA"/>
    <w:rsid w:val="0BE56081"/>
    <w:rsid w:val="0C960A6B"/>
    <w:rsid w:val="0EBA459B"/>
    <w:rsid w:val="11980F2D"/>
    <w:rsid w:val="11A4328B"/>
    <w:rsid w:val="120A70D0"/>
    <w:rsid w:val="12502B3A"/>
    <w:rsid w:val="126637BB"/>
    <w:rsid w:val="13420538"/>
    <w:rsid w:val="13BE003E"/>
    <w:rsid w:val="144162BD"/>
    <w:rsid w:val="15E1655D"/>
    <w:rsid w:val="16654C41"/>
    <w:rsid w:val="17A87124"/>
    <w:rsid w:val="18965547"/>
    <w:rsid w:val="189D7D93"/>
    <w:rsid w:val="18ED2570"/>
    <w:rsid w:val="1AB13ABA"/>
    <w:rsid w:val="1CE1063D"/>
    <w:rsid w:val="1D1451CF"/>
    <w:rsid w:val="1E055D64"/>
    <w:rsid w:val="1E8A6AB3"/>
    <w:rsid w:val="200059F9"/>
    <w:rsid w:val="20072BEB"/>
    <w:rsid w:val="20AD2D8E"/>
    <w:rsid w:val="212E778F"/>
    <w:rsid w:val="22EF1232"/>
    <w:rsid w:val="23C465C3"/>
    <w:rsid w:val="24F40167"/>
    <w:rsid w:val="26FD2518"/>
    <w:rsid w:val="274F1D44"/>
    <w:rsid w:val="275D6B12"/>
    <w:rsid w:val="27DB542D"/>
    <w:rsid w:val="28A23F93"/>
    <w:rsid w:val="2CBD3E58"/>
    <w:rsid w:val="2F055F5C"/>
    <w:rsid w:val="2F37233F"/>
    <w:rsid w:val="315A2315"/>
    <w:rsid w:val="3279060C"/>
    <w:rsid w:val="34CA4ED9"/>
    <w:rsid w:val="35654E87"/>
    <w:rsid w:val="363519EF"/>
    <w:rsid w:val="366364DD"/>
    <w:rsid w:val="366F4601"/>
    <w:rsid w:val="370B6762"/>
    <w:rsid w:val="37412D85"/>
    <w:rsid w:val="3810197F"/>
    <w:rsid w:val="38960E58"/>
    <w:rsid w:val="397B6C1F"/>
    <w:rsid w:val="39A00EDE"/>
    <w:rsid w:val="39EB26A4"/>
    <w:rsid w:val="39FE23D7"/>
    <w:rsid w:val="3DF00289"/>
    <w:rsid w:val="40121275"/>
    <w:rsid w:val="40E12D85"/>
    <w:rsid w:val="453F235E"/>
    <w:rsid w:val="45A02594"/>
    <w:rsid w:val="45F9639D"/>
    <w:rsid w:val="481247C1"/>
    <w:rsid w:val="48ED43E7"/>
    <w:rsid w:val="4AF2670E"/>
    <w:rsid w:val="4B62595E"/>
    <w:rsid w:val="4C856C4F"/>
    <w:rsid w:val="4DD13633"/>
    <w:rsid w:val="4E0B4C6B"/>
    <w:rsid w:val="4E653BEC"/>
    <w:rsid w:val="4FBE5D09"/>
    <w:rsid w:val="4FC41C51"/>
    <w:rsid w:val="529E60AD"/>
    <w:rsid w:val="530C74BB"/>
    <w:rsid w:val="53C03AE0"/>
    <w:rsid w:val="54AA2070"/>
    <w:rsid w:val="54D908AF"/>
    <w:rsid w:val="553C1BE2"/>
    <w:rsid w:val="575A04C6"/>
    <w:rsid w:val="57E71703"/>
    <w:rsid w:val="586E207E"/>
    <w:rsid w:val="5955323E"/>
    <w:rsid w:val="5A731BCE"/>
    <w:rsid w:val="5B107225"/>
    <w:rsid w:val="5B17235C"/>
    <w:rsid w:val="5BA364E3"/>
    <w:rsid w:val="600026B9"/>
    <w:rsid w:val="600734E4"/>
    <w:rsid w:val="60A907EA"/>
    <w:rsid w:val="60EF250B"/>
    <w:rsid w:val="6145544E"/>
    <w:rsid w:val="61856362"/>
    <w:rsid w:val="63C7005A"/>
    <w:rsid w:val="63DE2CBF"/>
    <w:rsid w:val="644E7D7C"/>
    <w:rsid w:val="645758A2"/>
    <w:rsid w:val="64963088"/>
    <w:rsid w:val="652A42E1"/>
    <w:rsid w:val="655645C6"/>
    <w:rsid w:val="66A141E5"/>
    <w:rsid w:val="697B0797"/>
    <w:rsid w:val="69EB6A0D"/>
    <w:rsid w:val="6A2842F3"/>
    <w:rsid w:val="6BE446D9"/>
    <w:rsid w:val="6D54588F"/>
    <w:rsid w:val="6DEA1D4F"/>
    <w:rsid w:val="6F3D61C6"/>
    <w:rsid w:val="6F5C6C7D"/>
    <w:rsid w:val="6F5F55D1"/>
    <w:rsid w:val="71FC102D"/>
    <w:rsid w:val="72124327"/>
    <w:rsid w:val="721A4D1C"/>
    <w:rsid w:val="72DA6D57"/>
    <w:rsid w:val="735A34D3"/>
    <w:rsid w:val="75263FB5"/>
    <w:rsid w:val="757903D2"/>
    <w:rsid w:val="76070197"/>
    <w:rsid w:val="77E21186"/>
    <w:rsid w:val="7840538D"/>
    <w:rsid w:val="786638B8"/>
    <w:rsid w:val="78E75809"/>
    <w:rsid w:val="790574D1"/>
    <w:rsid w:val="79222131"/>
    <w:rsid w:val="79C913B2"/>
    <w:rsid w:val="79D752A1"/>
    <w:rsid w:val="79F3642F"/>
    <w:rsid w:val="7A9F4CE9"/>
    <w:rsid w:val="7BE705BF"/>
    <w:rsid w:val="7BFB3FE8"/>
    <w:rsid w:val="7CEF1130"/>
    <w:rsid w:val="7CF332AC"/>
    <w:rsid w:val="7F800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uiPriority w:val="99"/>
    <w:pPr>
      <w:ind w:firstLine="420" w:firstLineChars="200"/>
    </w:p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semiHidden/>
    <w:unhideWhenUsed/>
    <w:qFormat/>
    <w:uiPriority w:val="99"/>
    <w:rPr>
      <w:color w:val="0000FF"/>
      <w:u w:val="single"/>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44</Pages>
  <Words>17415</Words>
  <Characters>20974</Characters>
  <Lines>69</Lines>
  <Paragraphs>19</Paragraphs>
  <TotalTime>62</TotalTime>
  <ScaleCrop>false</ScaleCrop>
  <LinksUpToDate>false</LinksUpToDate>
  <CharactersWithSpaces>21296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2020-07-02T10:32:00Z</dcterms:created>
  <dc:creator>李航 null</dc:creator>
  <cp:lastModifiedBy>月斜影孤</cp:lastModifiedBy>
  <cp:lastPrinted>2022-07-27T20:55:00Z</cp:lastPrinted>
  <dcterms:modified xsi:type="dcterms:W3CDTF">2023-05-18T06:18:09Z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06AA7F5AE0414A448C56C4AD5E0F3E3F_13</vt:lpwstr>
  </property>
</Properties>
</file>