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39"/>
          <w:szCs w:val="39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岳阳市社会科学界联合会2021年度单位预算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目录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第一部分  2021年单位预算说明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第二部分  单位预算公开表格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1、收支总表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2、收入总表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3、支出总表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4、支出预算分类汇总表（按政府预算经济分类）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5、支出预算分类汇总表（按部门预算经济分类）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6、财政拨款收支总表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7、一般公共预算支出表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8、一般公共预算基本支出表-人员经费（工资福利支出）（按政府预算经济分类）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9、一般公共预算基本支出表-人员经费（工资福利支出）（按部门预算经济分类）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10、一般公共预算基本支出表-人员经费（对个人和家庭的补助）（按政府预算经济分类）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11、一般公共预算基本支出表-人员经费（对个人和家庭的补助）（按部门预算经济分类）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12、一般公共预算基本支出表-人员经费（商品和服务支出）（按政府预算经济分类）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13、一般公共预算基本支出表-人员经费（商品和服务支出）（按部门预算经济分类）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14、一般公共预算“三公”经费支出表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15、政府性基金预算支出表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16、政府性基金预算支出分类汇总表（按政府预算经济分类）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17、政府性基金预算支出分类汇总表（按部门预算经济分类）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18、国有资本经营预算支出表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19、财政专户管理资金预算支出表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20、省级专项资金预算汇总表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21、项目支出绩效目标表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22、部门整体支出绩效目标表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23、其他资金绩效目标表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24、一般公共预算基本支出总表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注：以上单位预算公开报表中，空表表示本单位无相关收支情况。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第一部分  2021年单位预算说明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一、单位基本概况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（一）职能职责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推崇理论创新、提供决策参考、普及社科知识、管理社会组织、推进智库建设、服务岳阳发展。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（二）机构设置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根据市委编办核定，内设科室有2个，全部纳入2021年部门预算编制范围。内设科室分别是：办公室（科研组织科）、学会科。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2"/>
          <w:szCs w:val="22"/>
          <w:bdr w:val="none" w:color="auto" w:sz="0" w:space="0"/>
          <w:shd w:val="clear" w:fill="FFFFFF"/>
        </w:rPr>
        <w:t>二、部门预算单位构成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本部门无独立核算的二级预算单位，因此，纳入2021年部门预算编制范围的为本部门（单位）自己。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三、部门（单位）收支总体情况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2021年部门预算包括本级预算和所含预算单位在内的汇总情况。收入包括经费拨款，也包括行政事业性收费收入和国有资源有偿使用收入；支出包括保障单位基本运行的经费，也包括项目经费。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（一）收入预算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包括一般公共预算、政府性基金、国有资本经营预算等财政拨款收入，以及经营收入、事业收入等单位资金。2021年本单位收入预算180.48万元，其中，一般公共预算拨款180.48万元，政府性基金预算拨款0万元，国有资本经营预算拨款0万元，财政专户管理资金0万元，上级补助收入0万元，事业单位经营收入0万元，上年结转0万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单位2021年没有政府性基金预算拨款和纳入专户管理的非税收入拨款收入，也没有使用政府性基金预算拨款、国有资本经营预算收入和纳入专户管理的非税收入拨款安排的支出，所以公开的附件15-17（政府性基金预算）、18（国有资本经营预算）、19表（财政专户管理资金预算）均为空。收入较去年增加20.73万元，主要原因是本年度人员增加,专项经费增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（二）支出预算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2021年本单位支出预算180.48万元，其中，一般公共服务支出159.35万元，社会保障和就业支出8.98万元，卫生健康支出5.92，住房保障支出6.23（数据来源见表6）。支出较去年增加20.73万元，其中基本支出增加4.81万元，项目支出增加15.92万元（数据来源见表7、15、18、19）。无政府性基金安排的支出，所以公开的附件15-18为空。其中基本支出较上年增加主要是因为本年度人员增加，项目支出增加主要是因为专项经费增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四、一般公共预算拨款支出预算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2021年一般公共预算拨款支出预算180.48万元，其中，一般公共服务支出180.48万元，占100%；行政运行支出159.35万元，占88.3%； 机关事业单位基本养老保险缴费支出8.98，占5.0%；行政单位医疗支出5.92，占3.3%；住房公积金支出6.23，占3.5%；（数据来源见表7）。具体安排情况如下：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基本支出：2021年基本支出年初预算数为93.28万元（数据来源见表5），是指为保障单位机构正常运转、完成日常工作任务而发生的各项支出，包括用于基本工资、津贴补贴等人员经费以及办公费、印刷费、水电费、差旅费等日常公用经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（二）项目支出：2021年项目支出年初预算数为87.20万元（数据来源见表5），是指单位为完成特定行政工作任务或事业发展目标而发生的支出，包括有关业务工作经费、运行维护经费等。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五、政府性基金预算支出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2021年度本单位无政府性基金安排的支出，所以公开的附件15-17（政府性基金预算）为空。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六、其他重要事项的情况说明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（一）机关运行经费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本单位2021年机关运行经费当年一般公共预算拨款17.26万元（数据来源见表13），比上一年增加2.26万元，增加15%。主要原因是本年度人员增加。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（二）“三公”经费预算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单位2021年“三公”经费预算数10.62万元（数据来源见表14），其中，公务接待费5.22万元，因公出国（境）费0万元，公务用车购置及运行费5.40万元，其中公务用车购置费0万元，公务用车运行费5.40万元。比上一年减少0.65万元，减少5.8%，主要原因是单位厉行节约，公务接待费有所减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（三）一般性支出情况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单位2021年会议费预算1.2元（数据来源见表13会议费+培训费），拟召开1次会议，人数150人，内容为四届二次全会；培训费预算0万元，拟开展0次培训，人数0人；2021年度本单位未计划举办节庆、晚会、论坛、赛事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（四）政府采购情况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2021年度本单位未安排政府采购预算。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（五）国有资产占有使用及新增资产配置情况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截至上一年12月底，本单位共有车辆1辆，其中领导干部用车0辆，一般公务用车1辆，其他用车0辆。单位价值50万元以上通用设备0台，单位价值100万元以上专用设备0台。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2021年度本单位未计划处置或新增车辆、设备等。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（六）预算绩效目标说明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本单位所有支出实行绩效目标管理。纳入2021年单位整体支出绩效目标的金额为180.48万元，其中，基本支出93.28万元，项目支出87.20万元，详见文尾附表中单位预算公开表格的表21-23。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七、名词解释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、机关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第二部分  单位预算公开表格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1、收支总表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2、收入总表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3、支出总表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4、支出预算分类汇总表（按政府预算经济分类）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5、支出预算分类汇总表（按部门预算经济分类）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6、财政拨款收支总表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7、一般公共预算支出表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8、一般公共预算基本支出表-人员经费（工资福利支出）（按政府预算经济分类）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9、一般公共预算基本支出表-人员经费（工资福利支出）（按部门预算经济分类）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10、一般公共预算基本支出表-人员经费（对个人和家庭的补助）（按政府预算经济分类）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11、一般公共预算基本支出表-人员经费（对个人和家庭的补助）（按部门预算经济分类）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12、一般公共预算基本支出表-人员经费（商品和服务支出）（按政府预算经济分类）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13、一般公共预算基本支出表-人员经费（商品和服务支出）（按部门预算经济分类）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14、一般公共预算“三公”经费支出表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15、政府性基金预算支出表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16、政府性基金预算支出分类汇总表（按政府预算经济分类）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17、政府性基金预算支出分类汇总表（按部门预算经济分类）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18、国有资本经营预算支出表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19、财政专户管理资金预算支出表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20、省级专项资金预算汇总表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21、项目支出绩效目标表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22、部门整体支出绩效目标表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23、其他资金绩效目标表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24、一般公共预算基本支出总表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注：以上单位预算公开报表中，空表表示本单位无相关收支情况。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93C15"/>
    <w:rsid w:val="3FF722D0"/>
    <w:rsid w:val="73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样式1"/>
    <w:basedOn w:val="1"/>
    <w:uiPriority w:val="0"/>
    <w:pPr>
      <w:ind w:firstLine="2520" w:firstLineChars="900"/>
    </w:pPr>
    <w:rPr>
      <w:rFonts w:hint="eastAsia"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Office_11.8.6.11021_F1E327BC-269C-435d-A152-05C5408002CA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2022-09-08T07:44:00Z</dcterms:created>
  <dc:creator>猜想</dc:creator>
  <cp:lastModifiedBy>猜想</cp:lastModifiedBy>
  <cp:lastPrinted>2022-09-08T07:45:31Z</cp:lastPrinted>
  <dcterms:modified xsi:type="dcterms:W3CDTF">2022-09-08T08:39:05Z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2052-11.8.6.11021</vt:lpwstr>
  </property>
  <property fmtid="{D5CDD505-2E9C-101B-9397-08002B2CF9AE}" pid="3" name="ICV">
    <vt:lpwstr>57405C9C2B52422FB39ECEDD89C25857</vt:lpwstr>
  </property>
</Properties>
</file>