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政法委2021年度部门预算公开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我委三定方案职能具体如下：市委政法委是市委主管政法工作的职能部门。主要职责：1、深入贯彻习近平新时代中国特色社会主义思想，深入贯彻党的路线方针政策和决策部署；2、深入贯彻党中央决定和省委、市委决策，对全市政法工作研究提出全局性部署，推进平安岳阳、法治岳阳建设，加强过硬队伍建设，深化智能化建设，坚决维护国家政治安全、确保社会大局稳定、促进社会公平正义、保障人民安居乐业；3、了解掌握和分析研判政法工作情况动态；4、加强对政法工作的督查，统筹协调社会治安综合治理；5、组织开展政法领域的调查研究，研究拟订政法工作的重要措施；6、掌握分析政法舆情动态；7、监督和支持政法各部门依法行使职权；8、指导推动政法系统党的建设和政法队伍建设，代管市法学会；9、完成市委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内设科室：办公室、政治部、政策研究室、政治安全室、维稳指导室、综治督导室、基层社会治理室、反邪教协调室、执法监督室、法治室、宣传教育室。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机关党委（纪委）、机关工会按章程设置。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正科级群团机构：法学会办公室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公开范围的为本单位本级预算。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本部门无独立核算的二级预算单位，因此，纳入2021年部门预算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公开范围的为本单位本级预算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860.52万元，其中，一般公共预算拨款860.52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收入较去年减少10.91万元，降幅-1.3%，原因是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人员变动。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支出预算860.52万元，其中，一般公共服务支出723.32万元，社会保障和就业支出57.93万元，卫生健康支出38.60万元，住房保障支出40.67万元。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支出较去年减少10.91万元，其中基本支出较去年减少10.91万元，原因是人员调整和厉行节约；项目支出与去年持平。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2021年一般公共预算拨款支出预算860.52万元，其中，一般公共服务支出723.32万元，占84.1%，社会保障和就业支出57.93万元，占6.7%，卫生健康支出38.60万元，占4.5%，住房保障支出40.67万元，占4.7%。具体安排情况如下：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569.32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291.20万元，是指单位为完成特定行政工作任务或事业发展目标而发生的支出，包括有关业务工作经费、运行维护经费等。其中包括扫黑除恶专项斗争工作经费100.00万元、教育基地建设租金45.00万元、法制培训教育专项40.50万元、反邪教工作经费30.60万元、执法监督经费22.40万元、综治维稳工作项目13.00万元、高速公路及铁路治安联防护路、护线工作经费10.70万元、法学会工作经费10.00万元、见义勇为专项工作经费10.00万元、岳阳市网格化服务管理工作9.00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具体用于执法监督及涉法涉诉，法学研究交流活动及法学刊物等方面，用于全市矛盾纠纷排查、涉稳事件处置，见义勇为、铁路治安联防护路、护线，岳阳市网格化服务管理工作，法制培训教育、扫黑除恶专项斗争工作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2021年机关运行经费当年一般公共预算拨款87.17万元。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较去年减少2.63万元，降幅-2.9%，原因是</w:t>
            </w:r>
            <w:r>
              <w:rPr>
                <w:rFonts w:hint="eastAsia"/>
                <w:color w:val="auto"/>
                <w:lang w:eastAsia="zh-CN"/>
              </w:rPr>
              <w:t>厉行节约，压缩经费开支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2021年“三公”经费预算数98.18万元，其中公务接待费55.08万元，因公出国（境）费0.00万元，公务用车购置及运行费43.10万元（其中公务用车购置费0.00万元，公务用车运行费43.10万元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减少</w:t>
            </w:r>
            <w:r>
              <w:rPr>
                <w:rFonts w:hint="eastAsia"/>
                <w:color w:val="auto"/>
                <w:lang w:eastAsia="zh-CN"/>
              </w:rPr>
              <w:t>10.9万元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%，主要原因是</w:t>
            </w:r>
            <w:r>
              <w:rPr>
                <w:rFonts w:hint="eastAsia"/>
                <w:color w:val="auto"/>
                <w:lang w:eastAsia="zh-CN"/>
              </w:rPr>
              <w:t>继续过紧日子，厉行节约，压缩经费开支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，压减了公务接待费和</w:t>
            </w:r>
            <w:r>
              <w:rPr>
                <w:rFonts w:hint="eastAsia"/>
                <w:color w:val="auto"/>
                <w:lang w:eastAsia="zh-CN"/>
              </w:rPr>
              <w:t>公务用车维护运行费。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2021年会议费预算4.50万元，拟召开</w:t>
            </w:r>
            <w:r>
              <w:rPr>
                <w:rFonts w:hint="eastAsia"/>
                <w:color w:val="auto"/>
                <w:lang w:eastAsia="zh-CN"/>
              </w:rPr>
              <w:t>5次会议，人数600人，内容为全市政法工作会议及建党100周年维护稳定中心工作会议等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；培训费预算3.06万元，拟开展</w:t>
            </w:r>
            <w:r>
              <w:rPr>
                <w:rFonts w:hint="eastAsia"/>
                <w:color w:val="auto"/>
                <w:lang w:eastAsia="zh-CN"/>
              </w:rPr>
              <w:t>1次培训，人数200人，内容为全市政法系统领导干部学习提高培训。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所有支出实行绩效目标管理。纳入2021年单位整体支出绩效目标的金额为860.52万元，其中，基本支出569.32万元，项目支出291.20万元，绩效目标详见文尾附表中预算公开表格的表22-23。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96949"/>
    <w:multiLevelType w:val="singleLevel"/>
    <w:tmpl w:val="0569694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90DEF5F"/>
    <w:multiLevelType w:val="singleLevel"/>
    <w:tmpl w:val="490DEF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0300A03"/>
    <w:rsid w:val="039F1B46"/>
    <w:rsid w:val="060F4036"/>
    <w:rsid w:val="065E55AA"/>
    <w:rsid w:val="0A2170A6"/>
    <w:rsid w:val="0A3A07BE"/>
    <w:rsid w:val="0B9F01C5"/>
    <w:rsid w:val="14AF1479"/>
    <w:rsid w:val="1E4D585F"/>
    <w:rsid w:val="2055250B"/>
    <w:rsid w:val="20A774A8"/>
    <w:rsid w:val="20F21DF6"/>
    <w:rsid w:val="246D6C5B"/>
    <w:rsid w:val="258B383C"/>
    <w:rsid w:val="2AB00538"/>
    <w:rsid w:val="2B4D2B51"/>
    <w:rsid w:val="30A6239C"/>
    <w:rsid w:val="30FA6C7D"/>
    <w:rsid w:val="312E36D8"/>
    <w:rsid w:val="3AEC0481"/>
    <w:rsid w:val="3B51265F"/>
    <w:rsid w:val="406279CB"/>
    <w:rsid w:val="45CC5A6C"/>
    <w:rsid w:val="45D20C54"/>
    <w:rsid w:val="48885009"/>
    <w:rsid w:val="4E542F0D"/>
    <w:rsid w:val="501174D1"/>
    <w:rsid w:val="563034C0"/>
    <w:rsid w:val="578467E3"/>
    <w:rsid w:val="59670936"/>
    <w:rsid w:val="5D7C523D"/>
    <w:rsid w:val="5DDF5E8A"/>
    <w:rsid w:val="5FEF1CF6"/>
    <w:rsid w:val="61563A1F"/>
    <w:rsid w:val="67E728E0"/>
    <w:rsid w:val="68B91843"/>
    <w:rsid w:val="6B851761"/>
    <w:rsid w:val="707F6E1E"/>
    <w:rsid w:val="74D6506C"/>
    <w:rsid w:val="78D241A1"/>
    <w:rsid w:val="79E26C4A"/>
    <w:rsid w:val="7B576265"/>
    <w:rsid w:val="7F6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3667</Words>
  <Characters>3984</Characters>
  <Lines>0</Lines>
  <Paragraphs>0</Paragraphs>
  <TotalTime>5</TotalTime>
  <ScaleCrop>false</ScaleCrop>
  <LinksUpToDate>false</LinksUpToDate>
  <CharactersWithSpaces>4167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German Phillip</cp:lastModifiedBy>
  <dcterms:modified xsi:type="dcterms:W3CDTF">2022-09-05T05:36:32Z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8007D3BC73AA48FFBDBF0C725C873928</vt:lpwstr>
  </property>
</Properties>
</file>