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2020年度</w:t>
      </w:r>
    </w:p>
    <w:p>
      <w:pPr>
        <w:pStyle w:val="12"/>
        <w:ind w:firstLine="840" w:firstLineChars="100"/>
        <w:jc w:val="center"/>
        <w:rPr>
          <w:sz w:val="84"/>
          <w:szCs w:val="84"/>
        </w:rPr>
      </w:pPr>
      <w:r>
        <w:rPr>
          <w:rFonts w:hint="eastAsia"/>
          <w:sz w:val="84"/>
          <w:szCs w:val="84"/>
        </w:rPr>
        <w:t>岳阳市城市管理信息</w:t>
      </w:r>
    </w:p>
    <w:p>
      <w:pPr>
        <w:pStyle w:val="12"/>
        <w:ind w:firstLine="840" w:firstLineChars="100"/>
        <w:jc w:val="center"/>
        <w:rPr>
          <w:sz w:val="84"/>
          <w:szCs w:val="84"/>
        </w:rPr>
      </w:pPr>
      <w:r>
        <w:rPr>
          <w:rFonts w:hint="eastAsia"/>
          <w:sz w:val="84"/>
          <w:szCs w:val="84"/>
        </w:rPr>
        <w:t>中心决算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sectPr>
          <w:pgSz w:w="11906" w:h="16838"/>
          <w:pgMar w:top="720" w:right="1060" w:bottom="720" w:left="1060" w:header="851" w:footer="992" w:gutter="0"/>
          <w:pgNumType w:fmt="decimal"/>
          <w:cols w:space="425" w:num="1"/>
          <w:docGrid w:type="lines" w:linePitch="312" w:charSpace="0"/>
        </w:sectPr>
      </w:pPr>
    </w:p>
    <w:p>
      <w:pPr>
        <w:pStyle w:val="12"/>
        <w:spacing w:line="480" w:lineRule="exact"/>
        <w:ind w:firstLine="3614" w:firstLineChars="1000"/>
        <w:jc w:val="both"/>
        <w:rPr>
          <w:rFonts w:hint="eastAsia" w:ascii="仿宋" w:hAnsi="仿宋" w:eastAsia="仿宋" w:cs="仿宋"/>
          <w:b/>
          <w:sz w:val="36"/>
          <w:szCs w:val="28"/>
        </w:rPr>
      </w:pPr>
    </w:p>
    <w:p>
      <w:pPr>
        <w:pStyle w:val="12"/>
        <w:spacing w:line="480" w:lineRule="exact"/>
        <w:ind w:firstLine="3614" w:firstLineChars="1000"/>
        <w:jc w:val="both"/>
        <w:rPr>
          <w:rFonts w:hint="eastAsia" w:ascii="仿宋" w:hAnsi="仿宋" w:eastAsia="仿宋" w:cs="仿宋"/>
          <w:b/>
          <w:sz w:val="36"/>
          <w:szCs w:val="28"/>
        </w:rPr>
      </w:pPr>
      <w:r>
        <w:rPr>
          <w:rFonts w:hint="eastAsia" w:ascii="仿宋" w:hAnsi="仿宋" w:eastAsia="仿宋" w:cs="仿宋"/>
          <w:b/>
          <w:sz w:val="36"/>
          <w:szCs w:val="28"/>
        </w:rPr>
        <w:t>目</w:t>
      </w:r>
      <w:r>
        <w:rPr>
          <w:rFonts w:hint="eastAsia" w:ascii="仿宋" w:hAnsi="仿宋" w:eastAsia="仿宋" w:cs="仿宋"/>
          <w:b/>
          <w:sz w:val="36"/>
          <w:szCs w:val="28"/>
          <w:lang w:val="en-US" w:eastAsia="zh-CN"/>
        </w:rPr>
        <w:t xml:space="preserve"> </w:t>
      </w:r>
      <w:r>
        <w:rPr>
          <w:rFonts w:hint="eastAsia" w:ascii="仿宋" w:hAnsi="仿宋" w:eastAsia="仿宋" w:cs="仿宋"/>
          <w:b/>
          <w:sz w:val="36"/>
          <w:szCs w:val="28"/>
        </w:rPr>
        <w:t>录</w:t>
      </w:r>
    </w:p>
    <w:p>
      <w:pPr>
        <w:pStyle w:val="12"/>
        <w:spacing w:line="480" w:lineRule="exact"/>
        <w:ind w:firstLine="3614" w:firstLineChars="1000"/>
        <w:jc w:val="both"/>
        <w:rPr>
          <w:rFonts w:hint="eastAsia" w:ascii="仿宋" w:hAnsi="仿宋" w:eastAsia="仿宋" w:cs="仿宋"/>
          <w:b/>
          <w:sz w:val="36"/>
          <w:szCs w:val="28"/>
        </w:rPr>
      </w:pPr>
    </w:p>
    <w:p>
      <w:pPr>
        <w:pStyle w:val="12"/>
        <w:keepNext w:val="0"/>
        <w:keepLines w:val="0"/>
        <w:pageBreakBefore w:val="0"/>
        <w:widowControl w:val="0"/>
        <w:kinsoku/>
        <w:wordWrap/>
        <w:overflowPunct/>
        <w:topLinePunct w:val="0"/>
        <w:bidi w:val="0"/>
        <w:snapToGrid/>
        <w:spacing w:line="440" w:lineRule="exact"/>
        <w:ind w:firstLine="641" w:firstLineChars="228"/>
        <w:textAlignment w:val="auto"/>
        <w:rPr>
          <w:rFonts w:ascii="仿宋" w:hAnsi="仿宋" w:eastAsia="仿宋" w:cs="仿宋"/>
          <w:b/>
          <w:sz w:val="28"/>
          <w:szCs w:val="28"/>
        </w:rPr>
      </w:pPr>
      <w:r>
        <w:rPr>
          <w:rFonts w:hint="eastAsia" w:ascii="仿宋" w:hAnsi="仿宋" w:eastAsia="仿宋" w:cs="仿宋"/>
          <w:b/>
          <w:sz w:val="28"/>
          <w:szCs w:val="28"/>
        </w:rPr>
        <w:t xml:space="preserve">第一部分 </w:t>
      </w:r>
      <w:r>
        <w:rPr>
          <w:rFonts w:hint="eastAsia" w:ascii="仿宋" w:hAnsi="仿宋" w:eastAsia="仿宋" w:cs="仿宋"/>
          <w:b/>
          <w:bCs/>
          <w:sz w:val="28"/>
          <w:szCs w:val="28"/>
        </w:rPr>
        <w:t>岳阳市城市管理信息中心</w:t>
      </w:r>
      <w:r>
        <w:rPr>
          <w:rFonts w:hint="eastAsia" w:ascii="仿宋" w:hAnsi="仿宋" w:eastAsia="仿宋" w:cs="仿宋"/>
          <w:b/>
          <w:sz w:val="28"/>
          <w:szCs w:val="28"/>
        </w:rPr>
        <w:t>单位概况</w:t>
      </w:r>
    </w:p>
    <w:p>
      <w:pPr>
        <w:pStyle w:val="12"/>
        <w:keepNext w:val="0"/>
        <w:keepLines w:val="0"/>
        <w:pageBreakBefore w:val="0"/>
        <w:widowControl w:val="0"/>
        <w:kinsoku/>
        <w:wordWrap/>
        <w:overflowPunct/>
        <w:topLinePunct w:val="0"/>
        <w:bidi w:val="0"/>
        <w:snapToGrid/>
        <w:spacing w:line="440" w:lineRule="exact"/>
        <w:ind w:firstLine="1120" w:firstLineChars="400"/>
        <w:textAlignment w:val="auto"/>
        <w:rPr>
          <w:rFonts w:ascii="仿宋" w:hAnsi="仿宋" w:eastAsia="仿宋" w:cs="仿宋"/>
          <w:sz w:val="28"/>
          <w:szCs w:val="28"/>
        </w:rPr>
      </w:pPr>
      <w:r>
        <w:rPr>
          <w:rFonts w:hint="eastAsia" w:ascii="仿宋" w:hAnsi="仿宋" w:eastAsia="仿宋" w:cs="仿宋"/>
          <w:sz w:val="28"/>
          <w:szCs w:val="28"/>
        </w:rPr>
        <w:t xml:space="preserve"> 一、部门职责</w:t>
      </w:r>
    </w:p>
    <w:p>
      <w:pPr>
        <w:pStyle w:val="12"/>
        <w:keepNext w:val="0"/>
        <w:keepLines w:val="0"/>
        <w:pageBreakBefore w:val="0"/>
        <w:widowControl w:val="0"/>
        <w:kinsoku/>
        <w:wordWrap/>
        <w:overflowPunct/>
        <w:topLinePunct w:val="0"/>
        <w:bidi w:val="0"/>
        <w:snapToGrid/>
        <w:spacing w:line="440" w:lineRule="exact"/>
        <w:ind w:firstLine="1260" w:firstLineChars="450"/>
        <w:textAlignment w:val="auto"/>
        <w:rPr>
          <w:rFonts w:ascii="仿宋" w:hAnsi="仿宋" w:eastAsia="仿宋" w:cs="仿宋"/>
          <w:sz w:val="28"/>
          <w:szCs w:val="28"/>
        </w:rPr>
      </w:pPr>
      <w:r>
        <w:rPr>
          <w:rFonts w:hint="eastAsia" w:ascii="仿宋" w:hAnsi="仿宋" w:eastAsia="仿宋" w:cs="仿宋"/>
          <w:sz w:val="28"/>
          <w:szCs w:val="28"/>
        </w:rPr>
        <w:t>二、机构设置</w:t>
      </w:r>
    </w:p>
    <w:p>
      <w:pPr>
        <w:pStyle w:val="12"/>
        <w:keepNext w:val="0"/>
        <w:keepLines w:val="0"/>
        <w:pageBreakBefore w:val="0"/>
        <w:widowControl w:val="0"/>
        <w:kinsoku/>
        <w:wordWrap/>
        <w:overflowPunct/>
        <w:topLinePunct w:val="0"/>
        <w:bidi w:val="0"/>
        <w:snapToGrid/>
        <w:spacing w:line="440" w:lineRule="exact"/>
        <w:ind w:firstLine="641" w:firstLineChars="228"/>
        <w:textAlignment w:val="auto"/>
        <w:rPr>
          <w:rFonts w:ascii="仿宋" w:hAnsi="仿宋" w:eastAsia="仿宋" w:cs="仿宋"/>
          <w:b/>
          <w:sz w:val="28"/>
          <w:szCs w:val="28"/>
        </w:rPr>
      </w:pPr>
      <w:r>
        <w:rPr>
          <w:rFonts w:hint="eastAsia" w:ascii="仿宋" w:hAnsi="仿宋" w:eastAsia="仿宋" w:cs="仿宋"/>
          <w:b/>
          <w:sz w:val="28"/>
          <w:szCs w:val="28"/>
        </w:rPr>
        <w:t>第二部分 2020年度部门决算表</w:t>
      </w:r>
    </w:p>
    <w:p>
      <w:pPr>
        <w:pStyle w:val="12"/>
        <w:keepNext w:val="0"/>
        <w:keepLines w:val="0"/>
        <w:pageBreakBefore w:val="0"/>
        <w:widowControl w:val="0"/>
        <w:kinsoku/>
        <w:wordWrap/>
        <w:overflowPunct/>
        <w:topLinePunct w:val="0"/>
        <w:bidi w:val="0"/>
        <w:snapToGrid/>
        <w:spacing w:line="440" w:lineRule="exact"/>
        <w:ind w:firstLine="1260" w:firstLineChars="450"/>
        <w:textAlignment w:val="auto"/>
        <w:rPr>
          <w:rFonts w:ascii="仿宋" w:hAnsi="仿宋" w:eastAsia="仿宋" w:cs="仿宋"/>
          <w:sz w:val="28"/>
          <w:szCs w:val="28"/>
        </w:rPr>
      </w:pPr>
      <w:r>
        <w:rPr>
          <w:rFonts w:hint="eastAsia" w:ascii="仿宋" w:hAnsi="仿宋" w:eastAsia="仿宋" w:cs="仿宋"/>
          <w:sz w:val="28"/>
          <w:szCs w:val="28"/>
        </w:rPr>
        <w:t>一、收入支出决算总表</w:t>
      </w:r>
    </w:p>
    <w:p>
      <w:pPr>
        <w:pStyle w:val="12"/>
        <w:keepNext w:val="0"/>
        <w:keepLines w:val="0"/>
        <w:pageBreakBefore w:val="0"/>
        <w:widowControl w:val="0"/>
        <w:kinsoku/>
        <w:wordWrap/>
        <w:overflowPunct/>
        <w:topLinePunct w:val="0"/>
        <w:bidi w:val="0"/>
        <w:snapToGrid/>
        <w:spacing w:line="440" w:lineRule="exact"/>
        <w:ind w:firstLine="1260" w:firstLineChars="450"/>
        <w:textAlignment w:val="auto"/>
        <w:rPr>
          <w:rFonts w:ascii="仿宋" w:hAnsi="仿宋" w:eastAsia="仿宋" w:cs="仿宋"/>
          <w:sz w:val="28"/>
          <w:szCs w:val="28"/>
        </w:rPr>
      </w:pPr>
      <w:r>
        <w:rPr>
          <w:rFonts w:hint="eastAsia" w:ascii="仿宋" w:hAnsi="仿宋" w:eastAsia="仿宋" w:cs="仿宋"/>
          <w:sz w:val="28"/>
          <w:szCs w:val="28"/>
        </w:rPr>
        <w:t>二、收入决算表</w:t>
      </w:r>
    </w:p>
    <w:p>
      <w:pPr>
        <w:pStyle w:val="12"/>
        <w:keepNext w:val="0"/>
        <w:keepLines w:val="0"/>
        <w:pageBreakBefore w:val="0"/>
        <w:widowControl w:val="0"/>
        <w:kinsoku/>
        <w:wordWrap/>
        <w:overflowPunct/>
        <w:topLinePunct w:val="0"/>
        <w:bidi w:val="0"/>
        <w:snapToGrid/>
        <w:spacing w:line="440" w:lineRule="exact"/>
        <w:ind w:firstLine="1260" w:firstLineChars="450"/>
        <w:textAlignment w:val="auto"/>
        <w:rPr>
          <w:rFonts w:ascii="仿宋" w:hAnsi="仿宋" w:eastAsia="仿宋" w:cs="仿宋"/>
          <w:sz w:val="28"/>
          <w:szCs w:val="28"/>
        </w:rPr>
      </w:pPr>
      <w:r>
        <w:rPr>
          <w:rFonts w:hint="eastAsia" w:ascii="仿宋" w:hAnsi="仿宋" w:eastAsia="仿宋" w:cs="仿宋"/>
          <w:sz w:val="28"/>
          <w:szCs w:val="28"/>
        </w:rPr>
        <w:t>三、支出决算表</w:t>
      </w:r>
    </w:p>
    <w:p>
      <w:pPr>
        <w:pStyle w:val="12"/>
        <w:keepNext w:val="0"/>
        <w:keepLines w:val="0"/>
        <w:pageBreakBefore w:val="0"/>
        <w:widowControl w:val="0"/>
        <w:kinsoku/>
        <w:wordWrap/>
        <w:overflowPunct/>
        <w:topLinePunct w:val="0"/>
        <w:bidi w:val="0"/>
        <w:snapToGrid/>
        <w:spacing w:line="440" w:lineRule="exact"/>
        <w:ind w:firstLine="1260" w:firstLineChars="450"/>
        <w:textAlignment w:val="auto"/>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2"/>
        <w:keepNext w:val="0"/>
        <w:keepLines w:val="0"/>
        <w:pageBreakBefore w:val="0"/>
        <w:widowControl w:val="0"/>
        <w:kinsoku/>
        <w:wordWrap/>
        <w:overflowPunct/>
        <w:topLinePunct w:val="0"/>
        <w:bidi w:val="0"/>
        <w:snapToGrid/>
        <w:spacing w:line="440" w:lineRule="exact"/>
        <w:ind w:firstLine="1260" w:firstLineChars="450"/>
        <w:textAlignment w:val="auto"/>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2"/>
        <w:keepNext w:val="0"/>
        <w:keepLines w:val="0"/>
        <w:pageBreakBefore w:val="0"/>
        <w:widowControl w:val="0"/>
        <w:kinsoku/>
        <w:wordWrap/>
        <w:overflowPunct/>
        <w:topLinePunct w:val="0"/>
        <w:bidi w:val="0"/>
        <w:snapToGrid/>
        <w:spacing w:line="440" w:lineRule="exact"/>
        <w:ind w:firstLine="1260" w:firstLineChars="450"/>
        <w:textAlignment w:val="auto"/>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2"/>
        <w:keepNext w:val="0"/>
        <w:keepLines w:val="0"/>
        <w:pageBreakBefore w:val="0"/>
        <w:widowControl w:val="0"/>
        <w:kinsoku/>
        <w:wordWrap/>
        <w:overflowPunct/>
        <w:topLinePunct w:val="0"/>
        <w:bidi w:val="0"/>
        <w:snapToGrid/>
        <w:spacing w:line="440" w:lineRule="exact"/>
        <w:ind w:firstLine="1260" w:firstLineChars="450"/>
        <w:textAlignment w:val="auto"/>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2"/>
        <w:keepNext w:val="0"/>
        <w:keepLines w:val="0"/>
        <w:pageBreakBefore w:val="0"/>
        <w:widowControl w:val="0"/>
        <w:kinsoku/>
        <w:wordWrap/>
        <w:overflowPunct/>
        <w:topLinePunct w:val="0"/>
        <w:bidi w:val="0"/>
        <w:snapToGrid/>
        <w:spacing w:line="440" w:lineRule="exact"/>
        <w:ind w:firstLine="1260" w:firstLineChars="450"/>
        <w:textAlignment w:val="auto"/>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2"/>
        <w:keepNext w:val="0"/>
        <w:keepLines w:val="0"/>
        <w:pageBreakBefore w:val="0"/>
        <w:widowControl w:val="0"/>
        <w:kinsoku/>
        <w:wordWrap/>
        <w:overflowPunct/>
        <w:topLinePunct w:val="0"/>
        <w:bidi w:val="0"/>
        <w:snapToGrid/>
        <w:spacing w:line="440" w:lineRule="exact"/>
        <w:ind w:firstLine="1260" w:firstLineChars="450"/>
        <w:textAlignment w:val="auto"/>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2"/>
        <w:keepNext w:val="0"/>
        <w:keepLines w:val="0"/>
        <w:pageBreakBefore w:val="0"/>
        <w:widowControl w:val="0"/>
        <w:kinsoku/>
        <w:wordWrap/>
        <w:overflowPunct/>
        <w:topLinePunct w:val="0"/>
        <w:bidi w:val="0"/>
        <w:snapToGrid/>
        <w:spacing w:line="440" w:lineRule="exact"/>
        <w:ind w:firstLine="641" w:firstLineChars="228"/>
        <w:textAlignment w:val="auto"/>
        <w:rPr>
          <w:rFonts w:ascii="仿宋" w:hAnsi="仿宋" w:eastAsia="仿宋" w:cs="仿宋"/>
          <w:b/>
          <w:sz w:val="28"/>
          <w:szCs w:val="28"/>
        </w:rPr>
      </w:pPr>
      <w:r>
        <w:rPr>
          <w:rFonts w:hint="eastAsia" w:ascii="仿宋" w:hAnsi="仿宋" w:eastAsia="仿宋" w:cs="仿宋"/>
          <w:b/>
          <w:sz w:val="28"/>
          <w:szCs w:val="28"/>
        </w:rPr>
        <w:t>第三部分 2020年度部门决算情况说明</w:t>
      </w:r>
    </w:p>
    <w:p>
      <w:pPr>
        <w:pStyle w:val="12"/>
        <w:keepNext w:val="0"/>
        <w:keepLines w:val="0"/>
        <w:pageBreakBefore w:val="0"/>
        <w:widowControl w:val="0"/>
        <w:kinsoku/>
        <w:wordWrap/>
        <w:overflowPunct/>
        <w:topLinePunct w:val="0"/>
        <w:bidi w:val="0"/>
        <w:snapToGrid/>
        <w:spacing w:line="440" w:lineRule="exact"/>
        <w:ind w:firstLine="1260" w:firstLineChars="450"/>
        <w:textAlignment w:val="auto"/>
        <w:rPr>
          <w:rFonts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snapToGrid/>
        <w:spacing w:line="440" w:lineRule="exact"/>
        <w:ind w:firstLine="1260" w:firstLineChars="450"/>
        <w:jc w:val="left"/>
        <w:textAlignment w:val="auto"/>
        <w:rPr>
          <w:rFonts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1260" w:firstLineChars="45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1260" w:firstLineChars="45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1260" w:firstLineChars="45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1260" w:firstLineChars="45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1260" w:firstLineChars="45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1260" w:firstLineChars="45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1260" w:firstLineChars="45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九、国有资本经营预算财政拨款支出决算情况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1260" w:firstLineChars="45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1260" w:firstLineChars="45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十一、一般性支出情况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1260" w:firstLineChars="45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十二、关于政府采购支出说明</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十三、关于国有资产占用情况说明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1260" w:firstLineChars="45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十四、关于2020年度预算绩效情况的说明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1" w:firstLineChars="228"/>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 名词解释</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1" w:firstLineChars="228"/>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第五部分 附件</w:t>
      </w:r>
    </w:p>
    <w:p>
      <w:pPr>
        <w:rPr>
          <w:sz w:val="72"/>
          <w:szCs w:val="72"/>
        </w:rPr>
      </w:pPr>
    </w:p>
    <w:p>
      <w:pPr>
        <w:pStyle w:val="12"/>
        <w:jc w:val="center"/>
        <w:rPr>
          <w:rFonts w:hint="eastAsia"/>
          <w:b/>
          <w:bCs/>
          <w:sz w:val="48"/>
          <w:szCs w:val="48"/>
        </w:rPr>
      </w:pPr>
      <w:r>
        <w:rPr>
          <w:rFonts w:hint="eastAsia"/>
          <w:b/>
          <w:bCs/>
          <w:sz w:val="48"/>
          <w:szCs w:val="48"/>
        </w:rPr>
        <w:t>第一部分</w:t>
      </w:r>
    </w:p>
    <w:p>
      <w:pPr>
        <w:pStyle w:val="12"/>
        <w:jc w:val="center"/>
        <w:rPr>
          <w:rFonts w:hint="eastAsia"/>
          <w:b/>
          <w:bCs/>
          <w:sz w:val="48"/>
          <w:szCs w:val="48"/>
        </w:rPr>
      </w:pPr>
    </w:p>
    <w:p>
      <w:pPr>
        <w:pStyle w:val="12"/>
        <w:ind w:firstLine="607" w:firstLineChars="126"/>
        <w:jc w:val="center"/>
        <w:rPr>
          <w:b/>
          <w:bCs/>
          <w:sz w:val="48"/>
          <w:szCs w:val="48"/>
        </w:rPr>
      </w:pPr>
      <w:r>
        <w:rPr>
          <w:rFonts w:hint="eastAsia"/>
          <w:b/>
          <w:bCs/>
          <w:sz w:val="48"/>
          <w:szCs w:val="48"/>
        </w:rPr>
        <w:t>岳阳市城市管理信息中心概况</w:t>
      </w:r>
    </w:p>
    <w:p>
      <w:pPr>
        <w:jc w:val="left"/>
        <w:rPr>
          <w:rFonts w:ascii="黑体" w:hAnsi="黑体" w:eastAsia="黑体"/>
          <w:sz w:val="32"/>
          <w:szCs w:val="32"/>
        </w:rPr>
      </w:pPr>
    </w:p>
    <w:p>
      <w:pPr>
        <w:pStyle w:val="13"/>
        <w:spacing w:line="560" w:lineRule="exact"/>
        <w:ind w:left="420" w:leftChars="200" w:firstLine="321" w:firstLineChars="100"/>
        <w:jc w:val="left"/>
        <w:rPr>
          <w:rFonts w:hint="eastAsia" w:ascii="仿宋" w:hAnsi="仿宋" w:eastAsia="仿宋" w:cs="仿宋"/>
          <w:sz w:val="32"/>
          <w:szCs w:val="32"/>
        </w:rPr>
      </w:pPr>
      <w:r>
        <w:rPr>
          <w:rFonts w:hint="eastAsia" w:ascii="仿宋" w:hAnsi="仿宋" w:eastAsia="仿宋" w:cs="仿宋"/>
          <w:b/>
          <w:bCs/>
          <w:sz w:val="32"/>
          <w:szCs w:val="32"/>
        </w:rPr>
        <w:t>一、部门职责</w:t>
      </w:r>
    </w:p>
    <w:p>
      <w:pPr>
        <w:autoSpaceDN w:val="0"/>
        <w:spacing w:line="56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sz w:val="32"/>
          <w:szCs w:val="32"/>
        </w:rPr>
        <w:t>（一）</w:t>
      </w:r>
      <w:r>
        <w:rPr>
          <w:rFonts w:hint="eastAsia" w:ascii="仿宋" w:hAnsi="仿宋" w:eastAsia="仿宋" w:cs="仿宋"/>
          <w:color w:val="000000"/>
          <w:sz w:val="32"/>
          <w:szCs w:val="32"/>
        </w:rPr>
        <w:t>负责编制岳阳市城市管理信息化建设总体规划，并具体组织实施。</w:t>
      </w:r>
    </w:p>
    <w:p>
      <w:pPr>
        <w:autoSpaceDN w:val="0"/>
        <w:spacing w:line="56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负责统筹规划、建设、管理、维护、更新岳阳市城市管理信息网。</w:t>
      </w:r>
    </w:p>
    <w:p>
      <w:pPr>
        <w:autoSpaceDN w:val="0"/>
        <w:spacing w:line="560" w:lineRule="exact"/>
        <w:ind w:firstLine="960" w:firstLineChars="3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(三）负责岳阳市中心城区地下弱电综合管网建设管理相关工作。</w:t>
      </w:r>
    </w:p>
    <w:p>
      <w:pPr>
        <w:autoSpaceDN w:val="0"/>
        <w:spacing w:line="560" w:lineRule="exact"/>
        <w:ind w:firstLine="800" w:firstLineChars="25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（四）负责跟踪国外有关城市管理方面的信息网络和信息技术的发展动态，做好新技术、新产品的推广应用工作。</w:t>
      </w:r>
    </w:p>
    <w:p>
      <w:pPr>
        <w:autoSpaceDN w:val="0"/>
        <w:spacing w:line="560" w:lineRule="exact"/>
        <w:ind w:firstLine="960" w:firstLineChars="3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（五）承办主管部门交办的其他工作。</w:t>
      </w:r>
    </w:p>
    <w:p>
      <w:pPr>
        <w:widowControl/>
        <w:spacing w:line="560" w:lineRule="exact"/>
        <w:ind w:firstLine="643" w:firstLineChars="200"/>
        <w:rPr>
          <w:rFonts w:hint="eastAsia" w:ascii="仿宋" w:hAnsi="仿宋" w:eastAsia="仿宋" w:cs="仿宋"/>
          <w:bCs/>
          <w:kern w:val="0"/>
          <w:sz w:val="32"/>
          <w:szCs w:val="32"/>
        </w:rPr>
      </w:pPr>
      <w:r>
        <w:rPr>
          <w:rFonts w:hint="eastAsia" w:ascii="仿宋" w:hAnsi="仿宋" w:eastAsia="仿宋" w:cs="仿宋"/>
          <w:b/>
          <w:kern w:val="0"/>
          <w:sz w:val="32"/>
          <w:szCs w:val="32"/>
        </w:rPr>
        <w:t>二、机构设置及决算单位构成</w:t>
      </w:r>
    </w:p>
    <w:p>
      <w:pPr>
        <w:widowControl/>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（一）内设机构设置。单位内设机构包括：</w:t>
      </w:r>
      <w:r>
        <w:rPr>
          <w:rFonts w:hint="eastAsia" w:ascii="仿宋" w:hAnsi="仿宋" w:eastAsia="仿宋" w:cs="仿宋"/>
          <w:bCs/>
          <w:color w:val="auto"/>
          <w:kern w:val="0"/>
          <w:sz w:val="32"/>
          <w:szCs w:val="32"/>
        </w:rPr>
        <w:t>办公室和人事股。</w:t>
      </w:r>
    </w:p>
    <w:p>
      <w:pPr>
        <w:widowControl/>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（二）决算单位构成。岳阳市城市管理信息中心2020年部门决算公开仅包岳阳市城市管理信息中心本级决算（无下属机构）。</w:t>
      </w:r>
    </w:p>
    <w:p>
      <w:pPr>
        <w:spacing w:line="560" w:lineRule="exact"/>
        <w:jc w:val="left"/>
        <w:rPr>
          <w:rFonts w:hint="eastAsia" w:ascii="仿宋" w:hAnsi="仿宋" w:eastAsia="仿宋" w:cs="仿宋"/>
          <w:sz w:val="32"/>
          <w:szCs w:val="32"/>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黑体" w:hAnsi="黑体" w:eastAsia="黑体" w:cs="黑体"/>
          <w:b/>
          <w:bCs/>
          <w:sz w:val="48"/>
          <w:szCs w:val="48"/>
        </w:rPr>
      </w:pPr>
      <w:r>
        <w:rPr>
          <w:rFonts w:hint="eastAsia" w:ascii="黑体" w:hAnsi="黑体" w:eastAsia="黑体" w:cs="黑体"/>
          <w:b/>
          <w:bCs/>
          <w:sz w:val="48"/>
          <w:szCs w:val="48"/>
        </w:rPr>
        <w:t>第二部分</w:t>
      </w:r>
    </w:p>
    <w:p>
      <w:pPr>
        <w:jc w:val="center"/>
        <w:rPr>
          <w:rFonts w:hint="eastAsia" w:ascii="黑体" w:hAnsi="黑体" w:eastAsia="黑体" w:cs="黑体"/>
          <w:b/>
          <w:bCs/>
          <w:sz w:val="48"/>
          <w:szCs w:val="48"/>
        </w:rPr>
      </w:pPr>
    </w:p>
    <w:p>
      <w:pPr>
        <w:jc w:val="center"/>
        <w:rPr>
          <w:rFonts w:hint="eastAsia" w:ascii="黑体" w:hAnsi="黑体" w:eastAsia="黑体" w:cs="黑体"/>
          <w:b/>
          <w:bCs/>
          <w:sz w:val="48"/>
          <w:szCs w:val="48"/>
        </w:rPr>
      </w:pPr>
      <w:r>
        <w:rPr>
          <w:rFonts w:hint="eastAsia" w:ascii="黑体" w:hAnsi="黑体" w:eastAsia="黑体" w:cs="黑体"/>
          <w:b/>
          <w:bCs/>
          <w:sz w:val="48"/>
          <w:szCs w:val="48"/>
        </w:rPr>
        <w:t>部门决算表</w:t>
      </w:r>
    </w:p>
    <w:p>
      <w:pPr>
        <w:jc w:val="center"/>
        <w:rPr>
          <w:rFonts w:hint="eastAsia" w:ascii="黑体" w:hAnsi="黑体" w:eastAsia="黑体" w:cs="黑体"/>
          <w:b/>
          <w:bCs/>
          <w:sz w:val="48"/>
          <w:szCs w:val="48"/>
        </w:rPr>
        <w:sectPr>
          <w:footerReference r:id="rId3" w:type="default"/>
          <w:pgSz w:w="11906" w:h="16838"/>
          <w:pgMar w:top="720" w:right="1060" w:bottom="720" w:left="1060" w:header="851" w:footer="992" w:gutter="0"/>
          <w:pgNumType w:fmt="decimal" w:start="1"/>
          <w:cols w:space="425" w:num="1"/>
          <w:docGrid w:type="lines" w:linePitch="312" w:charSpace="0"/>
        </w:sectPr>
      </w:pPr>
      <w:r>
        <w:rPr>
          <w:rFonts w:hint="eastAsia" w:ascii="黑体" w:hAnsi="黑体" w:eastAsia="黑体" w:cs="黑体"/>
          <w:b/>
          <w:bCs/>
          <w:sz w:val="48"/>
          <w:szCs w:val="48"/>
        </w:rPr>
        <w:t>（见附表）</w:t>
      </w:r>
    </w:p>
    <w:p>
      <w:pPr>
        <w:pStyle w:val="12"/>
        <w:jc w:val="center"/>
        <w:rPr>
          <w:b/>
          <w:bCs/>
          <w:sz w:val="48"/>
          <w:szCs w:val="48"/>
        </w:rPr>
      </w:pPr>
      <w:r>
        <w:rPr>
          <w:rFonts w:hint="eastAsia"/>
          <w:b/>
          <w:bCs/>
          <w:sz w:val="48"/>
          <w:szCs w:val="48"/>
        </w:rPr>
        <w:t>第三部分</w:t>
      </w:r>
    </w:p>
    <w:p>
      <w:pPr>
        <w:pStyle w:val="12"/>
        <w:jc w:val="center"/>
        <w:rPr>
          <w:sz w:val="48"/>
          <w:szCs w:val="48"/>
        </w:rPr>
      </w:pPr>
      <w:r>
        <w:rPr>
          <w:b/>
          <w:bCs/>
          <w:sz w:val="48"/>
          <w:szCs w:val="48"/>
        </w:rPr>
        <w:t>20</w:t>
      </w:r>
      <w:r>
        <w:rPr>
          <w:rFonts w:hint="eastAsia"/>
          <w:b/>
          <w:bCs/>
          <w:sz w:val="48"/>
          <w:szCs w:val="48"/>
        </w:rPr>
        <w:t>20年度部门决算情况说明</w:t>
      </w:r>
    </w:p>
    <w:p>
      <w:pPr>
        <w:widowControl/>
        <w:jc w:val="left"/>
        <w:rPr>
          <w:sz w:val="70"/>
          <w:szCs w:val="70"/>
        </w:rPr>
      </w:pPr>
    </w:p>
    <w:p>
      <w:pPr>
        <w:widowControl/>
        <w:ind w:firstLine="628" w:firstLineChars="198"/>
        <w:jc w:val="left"/>
        <w:rPr>
          <w:rFonts w:ascii="黑体" w:eastAsia="黑体" w:cs="黑体"/>
          <w:color w:val="000000"/>
          <w:kern w:val="0"/>
          <w:sz w:val="70"/>
          <w:szCs w:val="70"/>
        </w:rPr>
      </w:pPr>
      <w:r>
        <w:rPr>
          <w:rFonts w:hint="eastAsia" w:ascii="仿宋" w:hAnsi="仿宋" w:eastAsia="仿宋" w:cs="仿宋"/>
          <w:b/>
          <w:sz w:val="32"/>
          <w:szCs w:val="32"/>
        </w:rPr>
        <w:t>一、收入支出决算总体情况说明</w:t>
      </w:r>
    </w:p>
    <w:p>
      <w:pPr>
        <w:pStyle w:val="12"/>
        <w:ind w:firstLine="634" w:firstLineChars="200"/>
        <w:rPr>
          <w:rFonts w:ascii="仿宋" w:hAnsi="仿宋" w:eastAsia="仿宋" w:cs="仿宋"/>
          <w:color w:val="auto"/>
          <w:sz w:val="32"/>
          <w:szCs w:val="32"/>
        </w:rPr>
      </w:pPr>
      <w:r>
        <w:rPr>
          <w:rFonts w:hint="eastAsia" w:ascii="仿宋" w:hAnsi="仿宋" w:eastAsia="仿宋" w:cs="仿宋"/>
          <w:sz w:val="32"/>
          <w:szCs w:val="32"/>
        </w:rPr>
        <w:t>2020年度收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支总计</w:t>
      </w:r>
      <w:r>
        <w:rPr>
          <w:rFonts w:hint="eastAsia" w:ascii="仿宋" w:hAnsi="仿宋" w:eastAsia="仿宋" w:cs="仿宋"/>
          <w:sz w:val="32"/>
          <w:szCs w:val="32"/>
        </w:rPr>
        <w:t>121.</w:t>
      </w:r>
      <w:r>
        <w:rPr>
          <w:rFonts w:hint="eastAsia" w:ascii="仿宋" w:hAnsi="仿宋" w:eastAsia="仿宋" w:cs="仿宋"/>
          <w:sz w:val="32"/>
          <w:szCs w:val="32"/>
          <w:lang w:val="en-US" w:eastAsia="zh-CN"/>
        </w:rPr>
        <w:t>68</w:t>
      </w:r>
      <w:r>
        <w:rPr>
          <w:rFonts w:hint="eastAsia" w:ascii="仿宋" w:hAnsi="仿宋" w:eastAsia="仿宋" w:cs="仿宋"/>
          <w:sz w:val="32"/>
          <w:szCs w:val="32"/>
        </w:rPr>
        <w:t>万元，与2019年相比，</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16.55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11.97</w:t>
      </w:r>
      <w:r>
        <w:rPr>
          <w:rFonts w:hint="eastAsia" w:ascii="仿宋" w:hAnsi="仿宋" w:eastAsia="仿宋" w:cs="仿宋"/>
          <w:color w:val="auto"/>
          <w:sz w:val="32"/>
          <w:szCs w:val="32"/>
        </w:rPr>
        <w:t>%，主要原因是本年</w:t>
      </w:r>
      <w:r>
        <w:rPr>
          <w:rFonts w:hint="eastAsia" w:ascii="仿宋" w:hAnsi="仿宋" w:eastAsia="仿宋" w:cs="仿宋"/>
          <w:color w:val="auto"/>
          <w:sz w:val="32"/>
          <w:szCs w:val="32"/>
          <w:lang w:eastAsia="zh-CN"/>
        </w:rPr>
        <w:t>工作人员较上年减少，人员经费支出减少</w:t>
      </w:r>
      <w:r>
        <w:rPr>
          <w:rFonts w:hint="eastAsia" w:ascii="仿宋" w:hAnsi="仿宋" w:eastAsia="仿宋" w:cs="仿宋"/>
          <w:color w:val="auto"/>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二、收入决算情况说明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本年收入合计121.11万元，其中：财政拨款收入115.31万元，占95.46%；</w:t>
      </w:r>
      <w:r>
        <w:rPr>
          <w:rFonts w:hint="eastAsia" w:ascii="仿宋" w:hAnsi="仿宋" w:eastAsia="仿宋" w:cs="仿宋"/>
          <w:sz w:val="32"/>
          <w:szCs w:val="32"/>
          <w:lang w:val="en-US" w:eastAsia="zh-CN"/>
        </w:rPr>
        <w:t>上级补助收入、事业收入、经营收入和附属单位上缴收入均为0万元；</w:t>
      </w:r>
      <w:r>
        <w:rPr>
          <w:rFonts w:hint="eastAsia" w:ascii="仿宋" w:hAnsi="仿宋" w:eastAsia="仿宋" w:cs="仿宋"/>
          <w:sz w:val="32"/>
          <w:szCs w:val="32"/>
        </w:rPr>
        <w:t>其他收入5.8万元，占4.54%。</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三、支出决算情况说明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本年支出合计119.14万元，其中：基本支出80.31万元，占67.41%；项目支出38.83万元，占32.59%</w:t>
      </w:r>
      <w:r>
        <w:rPr>
          <w:rFonts w:hint="eastAsia" w:ascii="仿宋" w:hAnsi="仿宋" w:eastAsia="仿宋" w:cs="仿宋"/>
          <w:sz w:val="32"/>
          <w:szCs w:val="32"/>
          <w:lang w:val="en-US" w:eastAsia="zh-CN"/>
        </w:rPr>
        <w:t>；上缴上级支出、经营支出和对附属单位补助支出均为0万元</w:t>
      </w:r>
      <w:r>
        <w:rPr>
          <w:rFonts w:hint="eastAsia" w:ascii="仿宋" w:hAnsi="仿宋" w:eastAsia="仿宋" w:cs="仿宋"/>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四、财政拨款收入支出决算总体情况说明</w:t>
      </w:r>
    </w:p>
    <w:p>
      <w:pPr>
        <w:pStyle w:val="12"/>
        <w:ind w:firstLine="634" w:firstLineChars="200"/>
        <w:rPr>
          <w:rFonts w:ascii="仿宋" w:hAnsi="仿宋" w:eastAsia="仿宋" w:cs="仿宋"/>
          <w:color w:val="auto"/>
          <w:sz w:val="32"/>
          <w:szCs w:val="32"/>
        </w:rPr>
      </w:pPr>
      <w:r>
        <w:rPr>
          <w:rFonts w:hint="eastAsia" w:ascii="仿宋" w:hAnsi="仿宋" w:eastAsia="仿宋" w:cs="仿宋"/>
          <w:sz w:val="32"/>
          <w:szCs w:val="32"/>
        </w:rPr>
        <w:t>2020年度财政拨款收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w:t>
      </w:r>
      <w:r>
        <w:rPr>
          <w:rFonts w:hint="eastAsia" w:ascii="仿宋" w:hAnsi="仿宋" w:eastAsia="仿宋" w:cs="仿宋"/>
          <w:sz w:val="32"/>
          <w:szCs w:val="32"/>
        </w:rPr>
        <w:t>总计115.</w:t>
      </w:r>
      <w:r>
        <w:rPr>
          <w:rFonts w:hint="eastAsia" w:ascii="仿宋" w:hAnsi="仿宋" w:eastAsia="仿宋" w:cs="仿宋"/>
          <w:sz w:val="32"/>
          <w:szCs w:val="32"/>
          <w:lang w:val="en-US" w:eastAsia="zh-CN"/>
        </w:rPr>
        <w:t>88</w:t>
      </w:r>
      <w:r>
        <w:rPr>
          <w:rFonts w:hint="eastAsia" w:ascii="仿宋" w:hAnsi="仿宋" w:eastAsia="仿宋" w:cs="仿宋"/>
          <w:sz w:val="32"/>
          <w:szCs w:val="32"/>
        </w:rPr>
        <w:t>万元，与2019年相比，</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22.35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16.17</w:t>
      </w:r>
      <w:r>
        <w:rPr>
          <w:rFonts w:hint="eastAsia" w:ascii="仿宋" w:hAnsi="仿宋" w:eastAsia="仿宋" w:cs="仿宋"/>
          <w:color w:val="auto"/>
          <w:sz w:val="32"/>
          <w:szCs w:val="32"/>
        </w:rPr>
        <w:t>%，主要原因是本年</w:t>
      </w:r>
      <w:r>
        <w:rPr>
          <w:rFonts w:hint="eastAsia" w:ascii="仿宋" w:hAnsi="仿宋" w:eastAsia="仿宋" w:cs="仿宋"/>
          <w:color w:val="auto"/>
          <w:sz w:val="32"/>
          <w:szCs w:val="32"/>
          <w:lang w:eastAsia="zh-CN"/>
        </w:rPr>
        <w:t>工作人员较上年减少，人员经费支出减少</w:t>
      </w:r>
      <w:r>
        <w:rPr>
          <w:rFonts w:hint="eastAsia" w:ascii="仿宋" w:hAnsi="仿宋" w:eastAsia="仿宋" w:cs="仿宋"/>
          <w:color w:val="auto"/>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五、一般公共预算财政拨款支出决算情况说明</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（一）财政拨款支出决算总体情况</w:t>
      </w:r>
    </w:p>
    <w:p>
      <w:pPr>
        <w:pStyle w:val="12"/>
        <w:ind w:firstLine="634" w:firstLineChars="200"/>
        <w:rPr>
          <w:rFonts w:ascii="仿宋" w:hAnsi="仿宋" w:eastAsia="仿宋" w:cs="仿宋"/>
          <w:color w:val="auto"/>
          <w:sz w:val="32"/>
          <w:szCs w:val="32"/>
        </w:rPr>
      </w:pPr>
      <w:r>
        <w:rPr>
          <w:rFonts w:hint="eastAsia" w:ascii="仿宋" w:hAnsi="仿宋" w:eastAsia="仿宋" w:cs="仿宋"/>
          <w:sz w:val="32"/>
          <w:szCs w:val="32"/>
        </w:rPr>
        <w:t>2020年度财政拨款支出115.22万元，占本年支出合计的96.71%，与上年相比，财政拨款支出</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19.80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14.66</w:t>
      </w:r>
      <w:r>
        <w:rPr>
          <w:rFonts w:hint="eastAsia" w:ascii="仿宋" w:hAnsi="仿宋" w:eastAsia="仿宋" w:cs="仿宋"/>
          <w:color w:val="auto"/>
          <w:sz w:val="32"/>
          <w:szCs w:val="32"/>
        </w:rPr>
        <w:t>%，主要原因是本年</w:t>
      </w:r>
      <w:r>
        <w:rPr>
          <w:rFonts w:hint="eastAsia" w:ascii="仿宋" w:hAnsi="仿宋" w:eastAsia="仿宋" w:cs="仿宋"/>
          <w:color w:val="auto"/>
          <w:sz w:val="32"/>
          <w:szCs w:val="32"/>
          <w:lang w:eastAsia="zh-CN"/>
        </w:rPr>
        <w:t>工作人员较上年减少，人员经费支出减少</w:t>
      </w:r>
      <w:r>
        <w:rPr>
          <w:rFonts w:hint="eastAsia" w:ascii="仿宋" w:hAnsi="仿宋" w:eastAsia="仿宋" w:cs="仿宋"/>
          <w:color w:val="auto"/>
          <w:sz w:val="32"/>
          <w:szCs w:val="32"/>
        </w:rPr>
        <w:t>。</w:t>
      </w:r>
    </w:p>
    <w:p>
      <w:pPr>
        <w:pStyle w:val="12"/>
        <w:ind w:firstLine="476" w:firstLineChars="150"/>
        <w:rPr>
          <w:rFonts w:ascii="仿宋" w:hAnsi="仿宋" w:eastAsia="仿宋" w:cs="仿宋"/>
          <w:b/>
          <w:sz w:val="32"/>
          <w:szCs w:val="32"/>
        </w:rPr>
      </w:pPr>
      <w:r>
        <w:rPr>
          <w:rFonts w:hint="eastAsia" w:ascii="仿宋" w:hAnsi="仿宋" w:eastAsia="仿宋" w:cs="仿宋"/>
          <w:b/>
          <w:sz w:val="32"/>
          <w:szCs w:val="32"/>
        </w:rPr>
        <w:t>（二）财政拨款支出决算结构情况</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2020年度财政拨款支出115.22万元，主要用于以下方面：社会保障和就业支出7.83万元，占6.80%；卫生健康支出3.32万元，占2.90%;城乡社区支出104.07万元，占90.30%。</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（三）财政拨款支出决算具体情况</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2020年度财政拨款支出年初预算数为103.76万元，支出决算数为115.22万元，完成年初预算的111.04%，其中：</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1、社会保障和就业（类）行政事业单位离退休（款）机关事业单位基本保险费支出（项）。</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年初预算为7.83万元，支出决算为7.83万元，完成年初预算的100%</w:t>
      </w:r>
      <w:r>
        <w:rPr>
          <w:rFonts w:hint="eastAsia" w:ascii="仿宋" w:hAnsi="仿宋" w:eastAsia="仿宋" w:cs="仿宋"/>
          <w:sz w:val="32"/>
          <w:szCs w:val="32"/>
          <w:lang w:eastAsia="zh-CN"/>
        </w:rPr>
        <w:t>，</w:t>
      </w:r>
      <w:r>
        <w:rPr>
          <w:rFonts w:hint="eastAsia" w:ascii="仿宋" w:hAnsi="仿宋" w:eastAsia="仿宋" w:cs="仿宋"/>
          <w:color w:val="000000"/>
          <w:kern w:val="0"/>
          <w:sz w:val="32"/>
          <w:szCs w:val="24"/>
          <w:highlight w:val="white"/>
        </w:rPr>
        <w:t>决算数与预算数持平</w:t>
      </w:r>
      <w:r>
        <w:rPr>
          <w:rFonts w:hint="eastAsia" w:ascii="仿宋" w:hAnsi="仿宋" w:eastAsia="仿宋" w:cs="仿宋"/>
          <w:sz w:val="32"/>
          <w:szCs w:val="32"/>
        </w:rPr>
        <w:t>。</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2、卫生健康（类）行政事业单位医疗（款）事业单位医疗（项）。</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年初预算为3.32万元，支出决算为3.32万元，完成年初预算的100%</w:t>
      </w:r>
      <w:r>
        <w:rPr>
          <w:rFonts w:hint="eastAsia" w:ascii="仿宋" w:hAnsi="仿宋" w:eastAsia="仿宋" w:cs="仿宋"/>
          <w:sz w:val="32"/>
          <w:szCs w:val="32"/>
          <w:lang w:eastAsia="zh-CN"/>
        </w:rPr>
        <w:t>，</w:t>
      </w:r>
      <w:r>
        <w:rPr>
          <w:rFonts w:hint="eastAsia" w:ascii="仿宋" w:hAnsi="仿宋" w:eastAsia="仿宋" w:cs="仿宋"/>
          <w:color w:val="000000"/>
          <w:kern w:val="0"/>
          <w:sz w:val="32"/>
          <w:szCs w:val="24"/>
          <w:highlight w:val="white"/>
        </w:rPr>
        <w:t>决算数与预算数持平</w:t>
      </w:r>
      <w:r>
        <w:rPr>
          <w:rFonts w:hint="eastAsia" w:ascii="仿宋" w:hAnsi="仿宋" w:eastAsia="仿宋" w:cs="仿宋"/>
          <w:sz w:val="32"/>
          <w:szCs w:val="32"/>
        </w:rPr>
        <w:t>。</w:t>
      </w:r>
    </w:p>
    <w:p>
      <w:pPr>
        <w:pStyle w:val="12"/>
        <w:numPr>
          <w:ilvl w:val="0"/>
          <w:numId w:val="1"/>
        </w:numPr>
        <w:ind w:firstLine="793" w:firstLineChars="250"/>
        <w:rPr>
          <w:rFonts w:ascii="仿宋" w:hAnsi="仿宋" w:eastAsia="仿宋" w:cs="仿宋"/>
          <w:sz w:val="32"/>
          <w:szCs w:val="32"/>
        </w:rPr>
      </w:pPr>
      <w:r>
        <w:rPr>
          <w:rFonts w:hint="eastAsia" w:ascii="仿宋" w:hAnsi="仿宋" w:eastAsia="仿宋" w:cs="仿宋"/>
          <w:sz w:val="32"/>
          <w:szCs w:val="32"/>
        </w:rPr>
        <w:t>城乡社区（类）行政运行（款）其他城乡社区管理事务支出（项）。</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年初预算为92.61万元，支出决算为104.07万元，完成年初预算的112.37%。决算数大于年初数的主要原因是综合绩效与平安建设奖未列入年初预算，年</w:t>
      </w:r>
      <w:r>
        <w:rPr>
          <w:rFonts w:hint="eastAsia" w:ascii="仿宋" w:hAnsi="仿宋" w:eastAsia="仿宋" w:cs="仿宋"/>
          <w:sz w:val="32"/>
          <w:szCs w:val="32"/>
          <w:lang w:val="en-US" w:eastAsia="zh-CN"/>
        </w:rPr>
        <w:t>中</w:t>
      </w:r>
      <w:r>
        <w:rPr>
          <w:rFonts w:hint="eastAsia" w:ascii="仿宋" w:hAnsi="仿宋" w:eastAsia="仿宋" w:cs="仿宋"/>
          <w:sz w:val="32"/>
          <w:szCs w:val="32"/>
        </w:rPr>
        <w:t>追加预算。</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六、一般公共预算财政拨款基本支出决算情况说明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2020年度财政拨款基本支出</w:t>
      </w:r>
      <w:r>
        <w:rPr>
          <w:rFonts w:hint="eastAsia" w:ascii="仿宋" w:hAnsi="仿宋" w:eastAsia="仿宋" w:cs="仿宋"/>
          <w:sz w:val="32"/>
          <w:szCs w:val="32"/>
          <w:lang w:val="en-US" w:eastAsia="zh-CN"/>
        </w:rPr>
        <w:t>80.31</w:t>
      </w:r>
      <w:r>
        <w:rPr>
          <w:rFonts w:hint="eastAsia" w:ascii="仿宋" w:hAnsi="仿宋" w:eastAsia="仿宋" w:cs="仿宋"/>
          <w:sz w:val="32"/>
          <w:szCs w:val="32"/>
        </w:rPr>
        <w:t>万元，其中：人员经费75.76万元，占基本支出的</w:t>
      </w:r>
      <w:r>
        <w:rPr>
          <w:rFonts w:hint="eastAsia" w:ascii="仿宋" w:hAnsi="仿宋" w:eastAsia="仿宋" w:cs="仿宋"/>
          <w:sz w:val="32"/>
          <w:szCs w:val="32"/>
          <w:lang w:val="en-US" w:eastAsia="zh-CN"/>
        </w:rPr>
        <w:t>94.33</w:t>
      </w:r>
      <w:r>
        <w:rPr>
          <w:rFonts w:hint="eastAsia" w:ascii="仿宋" w:hAnsi="仿宋" w:eastAsia="仿宋" w:cs="仿宋"/>
          <w:sz w:val="32"/>
          <w:szCs w:val="32"/>
        </w:rPr>
        <w:t>%,主要包括基本工资、绩效工资、奖金、机关事业单位基本养老保险缴费、职工基本医疗保险缴费、其他社会保障缴费、住房公积金等；公用经费4.55万元，占基本支出的</w:t>
      </w:r>
      <w:r>
        <w:rPr>
          <w:rFonts w:hint="eastAsia" w:ascii="仿宋" w:hAnsi="仿宋" w:eastAsia="仿宋" w:cs="仿宋"/>
          <w:sz w:val="32"/>
          <w:szCs w:val="32"/>
          <w:lang w:val="en-US" w:eastAsia="zh-CN"/>
        </w:rPr>
        <w:t>5.67</w:t>
      </w:r>
      <w:r>
        <w:rPr>
          <w:rFonts w:hint="eastAsia" w:ascii="仿宋" w:hAnsi="仿宋" w:eastAsia="仿宋" w:cs="仿宋"/>
          <w:sz w:val="32"/>
          <w:szCs w:val="32"/>
        </w:rPr>
        <w:t>%，主要包括办公费、邮电费、维修（护）费、工会经费、资本性支出等其他支出。</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七、一般公共预算财政拨款三公经费支出决算情况说明</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（一）“三公”经费财政拨款支出决算总体情况说明</w:t>
      </w:r>
    </w:p>
    <w:p>
      <w:pPr>
        <w:pStyle w:val="12"/>
        <w:ind w:firstLine="793" w:firstLineChars="250"/>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color w:val="auto"/>
          <w:sz w:val="32"/>
          <w:szCs w:val="32"/>
        </w:rPr>
        <w:t>0.45万</w:t>
      </w:r>
      <w:r>
        <w:rPr>
          <w:rFonts w:hint="eastAsia" w:ascii="仿宋" w:hAnsi="仿宋" w:eastAsia="仿宋" w:cs="仿宋"/>
          <w:sz w:val="32"/>
          <w:szCs w:val="32"/>
        </w:rPr>
        <w:t>元，支出决算为0万元，其中：</w:t>
      </w:r>
    </w:p>
    <w:p>
      <w:pPr>
        <w:pStyle w:val="12"/>
        <w:ind w:firstLine="793" w:firstLineChars="250"/>
        <w:rPr>
          <w:rFonts w:hint="eastAsia" w:ascii="仿宋" w:hAnsi="仿宋" w:eastAsia="仿宋" w:cs="仿宋"/>
          <w:color w:val="auto"/>
          <w:sz w:val="32"/>
          <w:szCs w:val="32"/>
        </w:rPr>
      </w:pPr>
      <w:r>
        <w:rPr>
          <w:rFonts w:hint="eastAsia" w:ascii="仿宋" w:hAnsi="仿宋" w:eastAsia="仿宋" w:cs="仿宋"/>
          <w:sz w:val="32"/>
          <w:szCs w:val="32"/>
        </w:rPr>
        <w:t>公务接待费支出预算为0.45万元，支出决算为0万元，</w:t>
      </w:r>
      <w:r>
        <w:rPr>
          <w:rFonts w:hint="eastAsia" w:ascii="仿宋" w:hAnsi="仿宋" w:eastAsia="仿宋" w:cs="仿宋"/>
          <w:color w:val="auto"/>
          <w:sz w:val="32"/>
          <w:szCs w:val="32"/>
        </w:rPr>
        <w:t>与上年相比</w:t>
      </w:r>
      <w:r>
        <w:rPr>
          <w:rFonts w:hint="eastAsia" w:ascii="仿宋" w:hAnsi="仿宋" w:eastAsia="仿宋" w:cs="仿宋"/>
          <w:color w:val="auto"/>
          <w:sz w:val="32"/>
          <w:szCs w:val="32"/>
          <w:lang w:eastAsia="zh-CN"/>
        </w:rPr>
        <w:t>持平</w:t>
      </w:r>
      <w:r>
        <w:rPr>
          <w:rFonts w:hint="eastAsia" w:ascii="仿宋" w:hAnsi="仿宋" w:eastAsia="仿宋" w:cs="仿宋"/>
          <w:color w:val="auto"/>
          <w:sz w:val="32"/>
          <w:szCs w:val="32"/>
        </w:rPr>
        <w:t>,主要原因是坚持了同城公务不接待开支，外地来岳必有公函方能按标准接待，坚决不超标接待</w:t>
      </w:r>
      <w:r>
        <w:rPr>
          <w:rFonts w:hint="eastAsia" w:ascii="仿宋" w:hAnsi="仿宋" w:eastAsia="仿宋" w:cs="仿宋"/>
          <w:color w:val="auto"/>
          <w:sz w:val="32"/>
          <w:szCs w:val="32"/>
          <w:lang w:val="en-US" w:eastAsia="zh-CN"/>
        </w:rPr>
        <w:t>等制度</w:t>
      </w:r>
      <w:r>
        <w:rPr>
          <w:rFonts w:hint="eastAsia" w:ascii="仿宋" w:hAnsi="仿宋" w:eastAsia="仿宋" w:cs="仿宋"/>
          <w:color w:val="auto"/>
          <w:sz w:val="32"/>
          <w:szCs w:val="32"/>
        </w:rPr>
        <w:t>。</w:t>
      </w:r>
    </w:p>
    <w:p>
      <w:pPr>
        <w:pStyle w:val="12"/>
        <w:ind w:firstLine="793" w:firstLineChars="250"/>
        <w:rPr>
          <w:rFonts w:hint="eastAsia" w:ascii="仿宋" w:hAnsi="仿宋" w:eastAsia="仿宋" w:cs="仿宋"/>
          <w:color w:val="auto"/>
          <w:sz w:val="32"/>
          <w:szCs w:val="32"/>
        </w:rPr>
      </w:pPr>
      <w:r>
        <w:rPr>
          <w:rFonts w:hint="eastAsia" w:ascii="仿宋" w:hAnsi="仿宋" w:eastAsia="仿宋" w:cs="仿宋"/>
          <w:color w:val="auto"/>
          <w:sz w:val="32"/>
          <w:szCs w:val="32"/>
        </w:rPr>
        <w:t>公务用车购置费及运行维护费支出预算为0万元，支出决算为0万元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与上年相比,</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100%（单位公务用车已于2019年底移交市机关事务局）</w:t>
      </w:r>
      <w:r>
        <w:rPr>
          <w:rFonts w:hint="eastAsia" w:ascii="仿宋" w:hAnsi="仿宋" w:eastAsia="仿宋" w:cs="仿宋"/>
          <w:color w:val="auto"/>
          <w:sz w:val="32"/>
          <w:szCs w:val="32"/>
        </w:rPr>
        <w:t>。</w:t>
      </w:r>
    </w:p>
    <w:p>
      <w:pPr>
        <w:pStyle w:val="12"/>
        <w:ind w:firstLine="793" w:firstLineChars="25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因公出国（境）费支出预算和决算均为0万元，与上年相同。</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numPr>
          <w:ilvl w:val="0"/>
          <w:numId w:val="0"/>
        </w:numPr>
        <w:ind w:firstLine="634" w:firstLineChars="200"/>
        <w:rPr>
          <w:rFonts w:ascii="仿宋" w:hAnsi="仿宋" w:eastAsia="仿宋" w:cs="仿宋"/>
          <w:color w:val="000000"/>
          <w:kern w:val="0"/>
          <w:sz w:val="32"/>
          <w:szCs w:val="32"/>
        </w:rPr>
      </w:pPr>
      <w:r>
        <w:rPr>
          <w:rFonts w:hint="eastAsia" w:ascii="仿宋" w:hAnsi="仿宋" w:eastAsia="仿宋" w:cs="仿宋"/>
          <w:sz w:val="32"/>
          <w:szCs w:val="32"/>
        </w:rPr>
        <w:t>2020年度“三公”经费财政拨款支出决算中，公务接待费支出决算0万元，</w:t>
      </w:r>
      <w:r>
        <w:rPr>
          <w:rFonts w:hint="eastAsia" w:ascii="仿宋_GB2312" w:hAnsi="仿宋_GB2312" w:eastAsia="仿宋_GB2312" w:cs="仿宋_GB2312"/>
          <w:sz w:val="32"/>
          <w:szCs w:val="32"/>
          <w:lang w:val="en-US" w:eastAsia="zh-CN" w:bidi="ar"/>
        </w:rPr>
        <w:t>因公出国（境）费支出决算0万元，公务用车购置费及运行维护费支出决算0万元。本年未购置公务用车，</w:t>
      </w:r>
      <w:r>
        <w:rPr>
          <w:rFonts w:hint="eastAsia" w:ascii="仿宋" w:hAnsi="仿宋" w:eastAsia="仿宋" w:cs="仿宋"/>
          <w:sz w:val="32"/>
          <w:szCs w:val="32"/>
        </w:rPr>
        <w:t>截止2020年12月31日，本单位开支财政拨款的公务用车保有量为0辆。</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八、政府性基金预算收入支出决算情况</w:t>
      </w:r>
    </w:p>
    <w:p>
      <w:pPr>
        <w:pStyle w:val="12"/>
        <w:rPr>
          <w:rFonts w:ascii="仿宋" w:hAnsi="仿宋" w:eastAsia="仿宋" w:cs="仿宋"/>
          <w:sz w:val="32"/>
          <w:szCs w:val="32"/>
        </w:rPr>
      </w:pPr>
      <w:r>
        <w:rPr>
          <w:rFonts w:hint="eastAsia" w:ascii="仿宋" w:hAnsi="仿宋" w:eastAsia="仿宋" w:cs="仿宋"/>
          <w:sz w:val="32"/>
          <w:szCs w:val="32"/>
        </w:rPr>
        <w:t xml:space="preserve">     2020年度政府性基金预算财政拨款收入0万元；年初结转和结余0万元；支出0万元，其中基本支出0万元，项目支出0万元；年末结转和结余0万元。</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九、国有资本经营预算财政拨款支出决算情况</w:t>
      </w:r>
    </w:p>
    <w:p>
      <w:pPr>
        <w:pStyle w:val="12"/>
        <w:ind w:firstLine="630"/>
        <w:rPr>
          <w:rFonts w:ascii="仿宋" w:hAnsi="仿宋" w:eastAsia="仿宋" w:cs="仿宋"/>
          <w:sz w:val="32"/>
          <w:szCs w:val="32"/>
        </w:rPr>
      </w:pPr>
      <w:r>
        <w:rPr>
          <w:rFonts w:hint="eastAsia" w:ascii="仿宋" w:hAnsi="仿宋" w:eastAsia="仿宋" w:cs="仿宋"/>
          <w:sz w:val="32"/>
          <w:szCs w:val="32"/>
        </w:rPr>
        <w:t>2020年度</w:t>
      </w:r>
      <w:r>
        <w:rPr>
          <w:rFonts w:hint="eastAsia" w:ascii="仿宋" w:hAnsi="仿宋" w:eastAsia="仿宋" w:cs="仿宋"/>
          <w:bCs/>
          <w:sz w:val="32"/>
          <w:szCs w:val="32"/>
        </w:rPr>
        <w:t>国有资本经营预算财政拨款支出</w:t>
      </w:r>
      <w:r>
        <w:rPr>
          <w:rFonts w:hint="eastAsia" w:ascii="仿宋" w:hAnsi="仿宋" w:eastAsia="仿宋" w:cs="仿宋"/>
          <w:sz w:val="32"/>
          <w:szCs w:val="32"/>
        </w:rPr>
        <w:t>0万元，其中基本支出0万元，项目支出0万元（岳阳市城市管理信息中心无国有资本经营预算财政拨款支出)。</w:t>
      </w:r>
    </w:p>
    <w:p>
      <w:pPr>
        <w:pStyle w:val="12"/>
        <w:ind w:firstLine="628" w:firstLineChars="198"/>
        <w:rPr>
          <w:rFonts w:ascii="仿宋" w:hAnsi="仿宋" w:eastAsia="仿宋"/>
          <w:b/>
          <w:sz w:val="32"/>
          <w:szCs w:val="32"/>
        </w:rPr>
      </w:pPr>
      <w:r>
        <w:rPr>
          <w:rFonts w:hint="eastAsia" w:ascii="仿宋" w:hAnsi="仿宋" w:eastAsia="仿宋"/>
          <w:b/>
          <w:sz w:val="32"/>
          <w:szCs w:val="32"/>
        </w:rPr>
        <w:t>十、关于机关运行经费支出说明</w:t>
      </w:r>
    </w:p>
    <w:p>
      <w:pPr>
        <w:pStyle w:val="12"/>
        <w:ind w:firstLine="634" w:firstLineChars="200"/>
        <w:rPr>
          <w:rFonts w:ascii="仿宋" w:hAnsi="仿宋" w:eastAsia="仿宋"/>
          <w:sz w:val="32"/>
          <w:szCs w:val="32"/>
        </w:rPr>
      </w:pPr>
      <w:r>
        <w:rPr>
          <w:rFonts w:ascii="仿宋" w:hAnsi="仿宋" w:eastAsia="仿宋"/>
          <w:sz w:val="32"/>
          <w:szCs w:val="32"/>
        </w:rPr>
        <w:t>本单位为全额拨款事业单位</w:t>
      </w:r>
      <w:r>
        <w:rPr>
          <w:rFonts w:hint="eastAsia" w:ascii="仿宋" w:hAnsi="仿宋" w:eastAsia="仿宋"/>
          <w:sz w:val="32"/>
          <w:szCs w:val="32"/>
        </w:rPr>
        <w:t>，2020年度机关运行经费支出0万元</w:t>
      </w:r>
      <w:r>
        <w:rPr>
          <w:rFonts w:ascii="仿宋" w:hAnsi="仿宋" w:eastAsia="仿宋"/>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十一、一般性支出情况</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2020年</w:t>
      </w:r>
      <w:r>
        <w:rPr>
          <w:rFonts w:hint="eastAsia" w:ascii="仿宋" w:hAnsi="仿宋" w:eastAsia="仿宋" w:cs="仿宋"/>
          <w:sz w:val="32"/>
          <w:szCs w:val="32"/>
          <w:lang w:val="en-US" w:eastAsia="zh-CN"/>
        </w:rPr>
        <w:t>度</w:t>
      </w:r>
      <w:r>
        <w:rPr>
          <w:rFonts w:hint="eastAsia" w:ascii="仿宋" w:hAnsi="仿宋" w:eastAsia="仿宋" w:cs="仿宋"/>
          <w:sz w:val="32"/>
          <w:szCs w:val="32"/>
        </w:rPr>
        <w:t>本单位开支会议费</w:t>
      </w:r>
      <w:r>
        <w:rPr>
          <w:rFonts w:hint="eastAsia" w:ascii="仿宋" w:hAnsi="仿宋" w:eastAsia="仿宋" w:cs="仿宋"/>
          <w:sz w:val="32"/>
          <w:szCs w:val="32"/>
          <w:lang w:eastAsia="zh-CN"/>
        </w:rPr>
        <w:t>、</w:t>
      </w:r>
      <w:r>
        <w:rPr>
          <w:rFonts w:hint="eastAsia" w:ascii="仿宋_GB2312" w:hAnsi="仿宋_GB2312" w:eastAsia="仿宋_GB2312" w:cs="仿宋_GB2312"/>
          <w:kern w:val="0"/>
          <w:sz w:val="32"/>
          <w:szCs w:val="32"/>
          <w:lang w:val="en-US" w:eastAsia="zh-CN" w:bidi="ar"/>
        </w:rPr>
        <w:t>培训费均为0万元，本年单位</w:t>
      </w:r>
      <w:r>
        <w:rPr>
          <w:rFonts w:hint="eastAsia" w:ascii="仿宋" w:hAnsi="仿宋" w:eastAsia="仿宋" w:cs="仿宋"/>
          <w:sz w:val="32"/>
          <w:szCs w:val="32"/>
        </w:rPr>
        <w:t>未举办节庆、晚会、论坛、赛事等活动</w:t>
      </w:r>
      <w:r>
        <w:rPr>
          <w:rFonts w:hint="eastAsia" w:ascii="仿宋" w:hAnsi="仿宋" w:eastAsia="仿宋" w:cs="仿宋"/>
          <w:sz w:val="32"/>
          <w:szCs w:val="32"/>
          <w:lang w:eastAsia="zh-CN"/>
        </w:rPr>
        <w:t>，开支</w:t>
      </w:r>
      <w:r>
        <w:rPr>
          <w:rFonts w:hint="eastAsia" w:ascii="仿宋" w:hAnsi="仿宋" w:eastAsia="仿宋" w:cs="仿宋"/>
          <w:sz w:val="32"/>
          <w:szCs w:val="32"/>
          <w:lang w:val="en-US" w:eastAsia="zh-CN"/>
        </w:rPr>
        <w:t>0万元</w:t>
      </w:r>
      <w:r>
        <w:rPr>
          <w:rFonts w:hint="eastAsia" w:ascii="仿宋" w:hAnsi="仿宋" w:eastAsia="仿宋" w:cs="仿宋"/>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十二、关于政府采购支出说明</w:t>
      </w:r>
      <w:bookmarkStart w:id="0" w:name="_GoBack"/>
      <w:bookmarkEnd w:id="0"/>
    </w:p>
    <w:p>
      <w:pPr>
        <w:pStyle w:val="12"/>
        <w:ind w:firstLine="634" w:firstLineChars="200"/>
        <w:rPr>
          <w:rFonts w:ascii="仿宋" w:hAnsi="仿宋" w:eastAsia="仿宋"/>
          <w:sz w:val="32"/>
          <w:szCs w:val="32"/>
        </w:rPr>
      </w:pPr>
      <w:r>
        <w:rPr>
          <w:rFonts w:hint="eastAsia" w:ascii="仿宋" w:hAnsi="仿宋" w:eastAsia="仿宋"/>
          <w:sz w:val="32"/>
          <w:szCs w:val="32"/>
        </w:rPr>
        <w:t>本单位2020年度政府采购支出总额0万元。</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十三、关于国有资产占用情况说明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截至2020年12月31日，本单位共有车辆0辆，单位价值50万元以上通用设备0台（套）；单位价值100万元以上专用设备0台（套）。</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十四、关于2020年度预算绩效情况的说明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本单位预算绩效管理开展情况、绩效目标和绩效评价报告见附件。</w:t>
      </w:r>
    </w:p>
    <w:p>
      <w:pPr>
        <w:pStyle w:val="12"/>
        <w:rPr>
          <w:rFonts w:hAnsi="黑体"/>
          <w:b/>
          <w:sz w:val="32"/>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rFonts w:hint="eastAsia"/>
          <w:b/>
          <w:bCs/>
          <w:sz w:val="48"/>
          <w:szCs w:val="48"/>
        </w:rPr>
      </w:pPr>
    </w:p>
    <w:p>
      <w:pPr>
        <w:pStyle w:val="12"/>
        <w:jc w:val="center"/>
        <w:rPr>
          <w:rFonts w:ascii="黑体" w:eastAsia="黑体" w:cs="黑体"/>
          <w:b/>
          <w:bCs/>
          <w:color w:val="000000"/>
          <w:kern w:val="0"/>
          <w:sz w:val="48"/>
          <w:szCs w:val="48"/>
        </w:rPr>
      </w:pPr>
      <w:r>
        <w:rPr>
          <w:rFonts w:hint="eastAsia"/>
          <w:b/>
          <w:bCs/>
          <w:sz w:val="48"/>
          <w:szCs w:val="48"/>
        </w:rPr>
        <w:t>第四部分</w:t>
      </w:r>
      <w:r>
        <w:rPr>
          <w:rFonts w:hint="eastAsia"/>
          <w:b/>
          <w:bCs/>
          <w:sz w:val="48"/>
          <w:szCs w:val="48"/>
          <w:lang w:val="en-US" w:eastAsia="zh-CN"/>
        </w:rPr>
        <w:t xml:space="preserve">  </w:t>
      </w:r>
      <w:r>
        <w:rPr>
          <w:rFonts w:hint="eastAsia" w:ascii="黑体" w:eastAsia="黑体" w:cs="黑体"/>
          <w:b/>
          <w:bCs/>
          <w:color w:val="000000"/>
          <w:kern w:val="0"/>
          <w:sz w:val="48"/>
          <w:szCs w:val="48"/>
        </w:rPr>
        <w:t>名词解释</w:t>
      </w:r>
    </w:p>
    <w:p>
      <w:pPr>
        <w:widowControl/>
        <w:ind w:firstLine="634" w:firstLineChars="200"/>
        <w:jc w:val="left"/>
        <w:rPr>
          <w:rFonts w:asciiTheme="minorEastAsia" w:hAnsiTheme="minorEastAsia" w:cstheme="minorEastAsia"/>
          <w:sz w:val="32"/>
          <w:szCs w:val="32"/>
        </w:rPr>
      </w:pPr>
    </w:p>
    <w:p>
      <w:pPr>
        <w:widowControl/>
        <w:ind w:firstLine="416" w:firstLineChars="131"/>
        <w:jc w:val="left"/>
        <w:rPr>
          <w:rFonts w:ascii="仿宋" w:hAnsi="仿宋" w:eastAsia="仿宋" w:cs="仿宋"/>
          <w:sz w:val="32"/>
          <w:szCs w:val="32"/>
        </w:rPr>
      </w:pPr>
      <w:r>
        <w:rPr>
          <w:rFonts w:hint="eastAsia" w:ascii="仿宋" w:hAnsi="仿宋" w:eastAsia="仿宋" w:cs="仿宋"/>
          <w:sz w:val="32"/>
          <w:szCs w:val="32"/>
        </w:rPr>
        <w:t>财政拨款收入：指本级财政当年拨付的资金。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其他收入：指除上述“财政拨款收入”、“上级补助收入”、“事业收入”、“经营收入”、“附属单位上缴收入”等以外的收入。</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上年结转和结余：指以前年度尚未完成、结转到本年按有关规定继续使用的资金。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年末结转和结余资金：指本年度或以前年度预算安排、因客观条件发生变化无法按原计划实施，需要延迟到以后年度按有关规定继续使用的资金。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社会保障和就业支出（类）：是指用于社会保障和就业方面的出，包括保障机构正常运转、完成日常和特定的工作任务或事业发展目标的支出。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城乡社区支出（类）：是指用于城乡社区事务支出，包括保障机构正常运转、完成日常和特定的工作任务或事业发展目标的支出。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基本支出：指保障机构正常运转、完成支日常工作任务而发生的人员支出和公用支出。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项目支出：指在基本支出之外为完成特定行政任务和事业发展目标所发生的支出。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工资福利支出：反映单位开支的在职职工和编制外长期聘用人员的各类劳动报酬，以及为上述人员缴纳的各项社会保险费等。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奖金：反映机关工作人员年终一次性奖金。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其他社会保障缴费：反映单位为职工缴纳的基本医疗、失业、工伤、生育等社会保险费，残疾人就业保障金，军队（含武警）为军人缴纳的伤亡、退役医疗等社会保险费。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伙食补助费：反映单位发给职工的伙食补助费，如误餐补助等。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绩效工资：反映事业单位工作人员的绩效工资。</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机关事业单位基本养老保险缴费：反映机关事业单位缴纳的基本养老保险费。由单位代扣的工作人员基本养老保险缴费，不在此科目反映。</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职业年金缴费：反映机关事业单位实际缴纳的职业年金支出。由单位代扣的工作人员职业年金缴费，不在此科目反映。</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商品和服务支出：反映单位购买商品和服务的支出（不包括用于购置固定资产的支出、战略性和应急储备支出）。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办公费：反映单位购买按财务会计制度规定不符合固定资产确认标准的日常办公用品、书报杂志等支出。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印刷费：反映单位的印刷费支出。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咨询费：反映单位咨询方面的支出。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手续费：反映单位支付的各类手续费支出。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水费：反映单位支付的水费、污水处理费等支出。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电费：反映单位的电费支出。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邮电费：反映单位开支的信函、包裹、货物等物品的邮寄费及电话费、电报费、传真费、网络通讯费等。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物业管理费：反映单位开支的办公用房以及未实行职工住宅物业服务改革的在职职工和离退休人员宿舍等的物业管理费，包括综合治理、绿化、卫生等方面的支出。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差旅费：反映单位工作人员出差发生的城市间交通费、住宿费、伙食补贴费和市内交通费。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维修(护)费：反映单位日常开支的固定资产（不包括车船等交通工具）修理和维护费用，网络信息系统运行与维护费用，以及按规定提取的修购基金。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租赁费：反映租赁办公用房、宿舍、专用通讯网以及其他设备等方面的费用。</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会议费：反映会议中按规定开支的住宿费、伙食费、会议室租金、交通费、文件印刷费、医药费等。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培训费：反映除因公出国（境）培训费以外的各类培训支出。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公务接待费：反映单位按规定开支的各类公务接待（含外宾接待）费用。</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劳务费：反映支付给单位和个人的劳务费用，如临时聘用人员、钟点工工资，稿费、翻译费，评审费等。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委托业务费：反映因委托外单位办理业务而支付的委托业务费。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工会经费：反映单位按规定提取的工会经费。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福利费：反映单位按规定提取的福利费。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公务用车运行维护费：反映单位按规定保留的公务用车燃料费、维修费、过桥过路费、保险费、安全奖励费用等支出。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其他交通费用：反映单位除公务用车运行维护费以外的其他交通费用。如公务交通补贴，租车费用、出租车费用，飞机、船舶等的燃料费、维修费、保险费等。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其他商品和服务支出：反映上述科目未包括的日常公用支出。如行政赔偿费和诉讼费、国内组织的会员费、来访费、广告宣传、其他劳务费及离休人员特需费、公用经费等。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对个人和家庭的补助：反映政府用于对个人和家庭的补助支出。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离休费：反映行政事业单位和军队移交政府安置的离休人员的离休费、护理费和其他补贴。</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退休费：反映行政事业单位和军队移交政府安置的退休人员的退休费和其他补贴。</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抚恤金：反映按规定开支的烈士遗属、牺牲病故人员遗属的一次性和定期抚恤金，伤残人员的抚恤金，离退休人员等其他人员的各项抚恤金。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奖励金：反映政府各部门的奖励支出，如对个体私营经济的奖励、计划生育目标责任奖励、独生子女父母奖励等。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住房公积金：反映行政事业单位按人力资源和社会保障部、财政部规定的基本工资和津贴补贴以及规定比例为职工缴纳的住房公积金。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提租补贴：反映按房改政策规定的标准，行政事业单位向职工（含离退休人员）发放的租金补贴。</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对企事业单位的补贴：反映政府对各类企业、事业单位及民间非营利组织的补贴。</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事业单位补贴：反映对事业单位的补贴支出。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其他资本性支出：反映发展与改革部门以外的其他部门安排的用于购置固定资产、战略性和应急性储备、土地和无形资产，以及购建基础设施、大型修缮和财政支持企业更新改造所发生的支出。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办公设备购置：反映用于购置并按财务会计制度规定纳入固定资产核算范围的办公家具和办公设备的支出，以及按规定提取的修购基金。</w:t>
      </w:r>
    </w:p>
    <w:p>
      <w:pPr>
        <w:pStyle w:val="6"/>
        <w:widowControl/>
        <w:spacing w:line="33" w:lineRule="atLeast"/>
        <w:ind w:firstLine="634" w:firstLineChars="200"/>
        <w:jc w:val="both"/>
        <w:rPr>
          <w:rFonts w:ascii="仿宋" w:hAnsi="仿宋" w:eastAsia="仿宋" w:cs="仿宋"/>
          <w:sz w:val="32"/>
          <w:szCs w:val="32"/>
        </w:rPr>
      </w:pPr>
      <w:r>
        <w:rPr>
          <w:rFonts w:hint="eastAsia" w:ascii="仿宋" w:hAnsi="仿宋" w:eastAsia="仿宋" w:cs="仿宋"/>
          <w:sz w:val="32"/>
          <w:szCs w:val="32"/>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pStyle w:val="6"/>
        <w:widowControl/>
        <w:spacing w:line="33" w:lineRule="atLeast"/>
        <w:ind w:firstLine="634" w:firstLineChars="200"/>
        <w:jc w:val="both"/>
        <w:rPr>
          <w:rFonts w:ascii="仿宋" w:hAnsi="仿宋" w:eastAsia="仿宋" w:cs="仿宋"/>
          <w:sz w:val="32"/>
          <w:szCs w:val="32"/>
        </w:rPr>
      </w:pPr>
      <w:r>
        <w:rPr>
          <w:rFonts w:hint="eastAsia" w:ascii="仿宋" w:hAnsi="仿宋" w:eastAsia="仿宋" w:cs="仿宋"/>
          <w:sz w:val="32"/>
          <w:szCs w:val="32"/>
        </w:rPr>
        <w:t>其他交通工具购置：反映单位除公务用车外的其他各类交通工具(如船舶、飞机等)购置支出（含车辆购置税）。</w:t>
      </w:r>
    </w:p>
    <w:p>
      <w:pPr>
        <w:pStyle w:val="12"/>
        <w:ind w:firstLine="416" w:firstLineChars="131"/>
        <w:rPr>
          <w:rFonts w:ascii="仿宋" w:hAnsi="仿宋" w:eastAsia="仿宋" w:cs="仿宋"/>
          <w:sz w:val="32"/>
          <w:szCs w:val="32"/>
        </w:rPr>
      </w:pPr>
      <w:r>
        <w:rPr>
          <w:rFonts w:hint="eastAsia" w:ascii="仿宋" w:hAnsi="仿宋" w:eastAsia="仿宋" w:cs="仿宋"/>
          <w:sz w:val="32"/>
          <w:szCs w:val="32"/>
        </w:rPr>
        <w:t>其他资本性支出：反映著作权、商标权、专利权等无形资产购置支出，以及其他上述科目中未包括的资本性支出。如娱乐、文化和艺术原作的使用权、购买国内外影片播映权、购置图书等。</w:t>
      </w:r>
    </w:p>
    <w:p>
      <w:pPr>
        <w:keepNext/>
        <w:keepLines/>
        <w:ind w:firstLine="640"/>
        <w:rPr>
          <w:rFonts w:hint="eastAsia" w:ascii="仿宋_GB2312" w:hAnsi="仿宋_GB2312" w:eastAsia="仿宋_GB2312" w:cs="仿宋_GB2312"/>
          <w:color w:val="000000"/>
          <w:kern w:val="0"/>
          <w:sz w:val="32"/>
          <w:szCs w:val="24"/>
          <w:highlight w:val="white"/>
        </w:rPr>
      </w:pPr>
      <w:r>
        <w:rPr>
          <w:rFonts w:hint="eastAsia" w:ascii="仿宋_GB2312" w:hAnsi="仿宋_GB2312" w:eastAsia="仿宋_GB2312" w:cs="仿宋_GB2312"/>
          <w:color w:val="000000"/>
          <w:kern w:val="0"/>
          <w:sz w:val="32"/>
          <w:szCs w:val="24"/>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12"/>
        <w:rPr>
          <w:rFonts w:ascii="仿宋" w:hAnsi="仿宋" w:eastAsia="仿宋" w:cs="仿宋"/>
          <w:sz w:val="32"/>
          <w:szCs w:val="32"/>
        </w:rPr>
      </w:pPr>
    </w:p>
    <w:p>
      <w:pPr>
        <w:pStyle w:val="12"/>
        <w:jc w:val="center"/>
        <w:rPr>
          <w:rFonts w:ascii="仿宋" w:hAnsi="仿宋" w:eastAsia="仿宋" w:cs="仿宋"/>
          <w:sz w:val="72"/>
          <w:szCs w:val="72"/>
        </w:rPr>
      </w:pPr>
    </w:p>
    <w:p>
      <w:pPr>
        <w:pStyle w:val="12"/>
        <w:jc w:val="center"/>
        <w:rPr>
          <w:rFonts w:ascii="仿宋" w:hAnsi="仿宋" w:eastAsia="仿宋" w:cs="仿宋"/>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b/>
          <w:bCs/>
          <w:sz w:val="48"/>
          <w:szCs w:val="48"/>
        </w:rPr>
      </w:pPr>
      <w:r>
        <w:rPr>
          <w:rFonts w:hint="eastAsia"/>
          <w:b/>
          <w:bCs/>
          <w:sz w:val="48"/>
          <w:szCs w:val="48"/>
        </w:rPr>
        <w:t>第五部分</w:t>
      </w:r>
    </w:p>
    <w:p>
      <w:pPr>
        <w:jc w:val="center"/>
        <w:rPr>
          <w:rFonts w:ascii="黑体" w:eastAsia="黑体" w:cs="黑体"/>
          <w:b/>
          <w:bCs/>
          <w:color w:val="000000"/>
          <w:kern w:val="0"/>
          <w:sz w:val="48"/>
          <w:szCs w:val="48"/>
        </w:rPr>
      </w:pPr>
      <w:r>
        <w:rPr>
          <w:rFonts w:hint="eastAsia" w:ascii="黑体" w:eastAsia="黑体" w:cs="黑体"/>
          <w:b/>
          <w:bCs/>
          <w:color w:val="000000"/>
          <w:kern w:val="0"/>
          <w:sz w:val="48"/>
          <w:szCs w:val="48"/>
        </w:rPr>
        <w:t>附</w:t>
      </w:r>
      <w:r>
        <w:rPr>
          <w:rFonts w:hint="eastAsia" w:ascii="黑体" w:eastAsia="黑体" w:cs="黑体"/>
          <w:b/>
          <w:bCs/>
          <w:color w:val="000000"/>
          <w:kern w:val="0"/>
          <w:sz w:val="48"/>
          <w:szCs w:val="48"/>
          <w:lang w:val="en-US" w:eastAsia="zh-CN"/>
        </w:rPr>
        <w:t xml:space="preserve">  </w:t>
      </w:r>
      <w:r>
        <w:rPr>
          <w:rFonts w:hint="eastAsia" w:ascii="黑体" w:eastAsia="黑体" w:cs="黑体"/>
          <w:b/>
          <w:bCs/>
          <w:color w:val="000000"/>
          <w:kern w:val="0"/>
          <w:sz w:val="48"/>
          <w:szCs w:val="48"/>
        </w:rPr>
        <w:t>件</w:t>
      </w:r>
    </w:p>
    <w:p>
      <w:pPr>
        <w:spacing w:line="348" w:lineRule="auto"/>
        <w:rPr>
          <w:rFonts w:ascii="黑体" w:hAnsi="黑体" w:eastAsia="黑体" w:cs="黑体"/>
          <w:bCs/>
          <w:sz w:val="32"/>
          <w:szCs w:val="32"/>
        </w:rPr>
      </w:pPr>
      <w:r>
        <w:rPr>
          <w:rFonts w:ascii="黑体" w:eastAsia="黑体" w:cs="黑体"/>
          <w:color w:val="000000"/>
          <w:kern w:val="0"/>
          <w:sz w:val="70"/>
          <w:szCs w:val="70"/>
        </w:rPr>
        <w:br w:type="page"/>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hint="eastAsia" w:eastAsia="方正小标宋简体"/>
          <w:bCs/>
          <w:sz w:val="46"/>
          <w:szCs w:val="46"/>
          <w:u w:color="FFFFFF"/>
        </w:rPr>
        <w:t>20</w:t>
      </w:r>
      <w:r>
        <w:rPr>
          <w:rFonts w:hint="eastAsia" w:eastAsia="方正小标宋简体"/>
          <w:bCs/>
          <w:sz w:val="46"/>
          <w:szCs w:val="46"/>
          <w:u w:val="single" w:color="FFFFFF"/>
        </w:rPr>
        <w:t>20</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岳阳市城市管理信息中心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90608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报告日期：2021年5月25日</w:t>
      </w:r>
    </w:p>
    <w:p>
      <w:pPr>
        <w:autoSpaceDN w:val="0"/>
        <w:jc w:val="center"/>
        <w:textAlignment w:val="center"/>
        <w:rPr>
          <w:rFonts w:eastAsia="仿宋_GB2312"/>
          <w:sz w:val="32"/>
          <w:szCs w:val="32"/>
        </w:rPr>
        <w:sectPr>
          <w:footerReference r:id="rId4" w:type="default"/>
          <w:footerReference r:id="rId5" w:type="even"/>
          <w:pgSz w:w="11906" w:h="16838"/>
          <w:pgMar w:top="1588" w:right="1588" w:bottom="1588" w:left="1588" w:header="851" w:footer="992" w:gutter="0"/>
          <w:pgNumType w:fmt="decimal"/>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胡腾</w:t>
            </w:r>
          </w:p>
        </w:tc>
        <w:tc>
          <w:tcPr>
            <w:tcW w:w="1479" w:type="dxa"/>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13357307779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479" w:type="dxa"/>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1:负责编制岳阳市城市管理信息化建设总体规划，并具体组织实施。</w:t>
            </w:r>
          </w:p>
          <w:p>
            <w:pPr>
              <w:autoSpaceDN w:val="0"/>
              <w:spacing w:line="4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2：负责统筹规划、建设、管理、维护、更新岳阳市城市管理信息网。</w:t>
            </w:r>
          </w:p>
          <w:p>
            <w:pPr>
              <w:autoSpaceDN w:val="0"/>
              <w:spacing w:line="4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3：负责岳阳市中心城区地下弱电综合管网建设管理相关工作。</w:t>
            </w: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4：负责跟踪国外有关城市管理方面的信息网络和信息技术的发展动态，做好新技术、新产品的推广应用工作。</w:t>
            </w: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5：承办主管部门交办的其他工作。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工作内容</w:t>
            </w:r>
          </w:p>
        </w:tc>
        <w:tc>
          <w:tcPr>
            <w:tcW w:w="8146" w:type="dxa"/>
            <w:gridSpan w:val="15"/>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1、继续围绕“不忘初心、牢记使命”主题教育及2020年度重点内容开展宣传报道；</w:t>
            </w: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2、开展党风廉政建设和反腐败工作，大力开展禁毒宣传工作；</w:t>
            </w: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3、城区地下弱电综合管廊建设与维护工作；</w:t>
            </w: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4、加强城管信息网宣传工作力度，及时更新和完善网站栏目； </w:t>
            </w: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5、加强城管微信平台信息推送，通过城管手机报版块，让市民更加了解和支持城管工作；</w:t>
            </w: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6、协助局机关安装维修监控和对机房系统进行维护升级；</w:t>
            </w:r>
          </w:p>
          <w:p>
            <w:pPr>
              <w:autoSpaceDN w:val="0"/>
              <w:spacing w:line="48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4"/>
              </w:rPr>
              <w:t>7、协助局机关会场电子设备使用，对局重点工作进行宣传报道。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FF0000"/>
                <w:spacing w:val="-6"/>
                <w:sz w:val="24"/>
              </w:rPr>
            </w:pPr>
            <w:r>
              <w:rPr>
                <w:rFonts w:hint="eastAsia" w:ascii="仿宋_GB2312" w:hAnsi="仿宋_GB2312" w:eastAsia="仿宋_GB2312" w:cs="仿宋_GB2312"/>
                <w:spacing w:val="-6"/>
                <w:sz w:val="24"/>
              </w:rPr>
              <w:t>年度部门（单位）总体运行情况及取得的成绩</w:t>
            </w:r>
          </w:p>
        </w:tc>
        <w:tc>
          <w:tcPr>
            <w:tcW w:w="8146" w:type="dxa"/>
            <w:gridSpan w:val="15"/>
            <w:vAlign w:val="center"/>
          </w:tcPr>
          <w:p>
            <w:pPr>
              <w:autoSpaceDN w:val="0"/>
              <w:spacing w:line="480" w:lineRule="exact"/>
              <w:ind w:firstLine="474" w:firstLineChars="200"/>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一、开展党风廉政建设和反腐败工作，组织所有党员干部参加了市城管局组织的反腐倡廉警示教育活动，赴岳阳市反腐倡廉警示教育基地参观学习。并定期组织干部职工学习《党风廉政建设》、《中国共产党纪律检察机关监督执纪工作规则》，发放《禁毒教育宣传手册》，组织学习观看禁毒教育影片。</w:t>
            </w:r>
          </w:p>
          <w:p>
            <w:pPr>
              <w:spacing w:line="480" w:lineRule="exact"/>
              <w:ind w:firstLine="474" w:firstLineChars="200"/>
              <w:rPr>
                <w:rFonts w:ascii="仿宋_GB2312" w:hAnsi="宋体" w:eastAsia="仿宋_GB2312"/>
                <w:sz w:val="24"/>
              </w:rPr>
            </w:pPr>
            <w:r>
              <w:rPr>
                <w:rFonts w:hint="eastAsia" w:ascii="仿宋_GB2312" w:hAnsi="宋体" w:eastAsia="仿宋_GB2312"/>
                <w:sz w:val="24"/>
              </w:rPr>
              <w:t>二、地下综合管廊建设工作开展有序，督促长沙城通基础管网建设有限公司完成了对五里牌路、东茅岭路、北辅道、德胜路的基础管网建设，共计2800米。</w:t>
            </w:r>
          </w:p>
          <w:p>
            <w:pPr>
              <w:spacing w:line="480" w:lineRule="exact"/>
              <w:ind w:firstLine="474" w:firstLineChars="200"/>
              <w:rPr>
                <w:rFonts w:ascii="仿宋_GB2312" w:eastAsia="仿宋_GB2312"/>
                <w:bCs/>
                <w:sz w:val="24"/>
              </w:rPr>
            </w:pPr>
            <w:r>
              <w:rPr>
                <w:rFonts w:hint="eastAsia" w:ascii="仿宋_GB2312" w:hAnsi="仿宋_GB2312" w:eastAsia="仿宋_GB2312" w:cs="仿宋_GB2312"/>
                <w:sz w:val="24"/>
              </w:rPr>
              <w:t>三、</w:t>
            </w:r>
            <w:r>
              <w:rPr>
                <w:rFonts w:hint="eastAsia" w:ascii="仿宋_GB2312" w:eastAsia="仿宋_GB2312"/>
                <w:sz w:val="24"/>
              </w:rPr>
              <w:t>通过城管信息网站</w:t>
            </w:r>
            <w:r>
              <w:rPr>
                <w:rFonts w:hint="eastAsia" w:ascii="仿宋_GB2312" w:hAnsi="仿宋" w:eastAsia="仿宋_GB2312" w:cs="仿宋"/>
                <w:sz w:val="24"/>
              </w:rPr>
              <w:t>和城管微信</w:t>
            </w:r>
            <w:r>
              <w:rPr>
                <w:rFonts w:hint="eastAsia" w:ascii="仿宋_GB2312" w:eastAsia="仿宋_GB2312"/>
                <w:sz w:val="24"/>
              </w:rPr>
              <w:t>平台，充分发挥网络媒体的优势，</w:t>
            </w:r>
            <w:r>
              <w:rPr>
                <w:rFonts w:hint="eastAsia" w:ascii="仿宋_GB2312" w:hAnsi="仿宋" w:eastAsia="仿宋_GB2312" w:cs="仿宋"/>
                <w:sz w:val="24"/>
              </w:rPr>
              <w:t>对局系统的各项重点工作进行报道，</w:t>
            </w:r>
            <w:r>
              <w:rPr>
                <w:rFonts w:hint="eastAsia" w:ascii="仿宋_GB2312" w:eastAsia="仿宋_GB2312"/>
                <w:sz w:val="24"/>
              </w:rPr>
              <w:t>城管信息网站与市政府网形成有效链接，完善和丰富网站各专题内容。目前，上述两个网络平台的对接，已成为我局宣传工作的重要窗口和推介我局工作成绩的重要阵地，</w:t>
            </w:r>
            <w:r>
              <w:rPr>
                <w:rFonts w:hint="eastAsia" w:ascii="仿宋_GB2312" w:hAnsi="仿宋" w:eastAsia="仿宋_GB2312" w:cs="仿宋"/>
                <w:sz w:val="24"/>
              </w:rPr>
              <w:t>让市民更加了解城管工作。</w:t>
            </w:r>
          </w:p>
          <w:p>
            <w:pPr>
              <w:spacing w:line="480" w:lineRule="exact"/>
              <w:ind w:firstLine="474" w:firstLineChars="200"/>
              <w:rPr>
                <w:rFonts w:ascii="仿宋_GB2312" w:hAnsi="仿宋" w:eastAsia="仿宋_GB2312" w:cs="仿宋"/>
                <w:color w:val="000000"/>
                <w:sz w:val="24"/>
              </w:rPr>
            </w:pPr>
            <w:r>
              <w:rPr>
                <w:rFonts w:hint="eastAsia" w:ascii="仿宋_GB2312" w:hAnsi="仿宋" w:eastAsia="仿宋_GB2312" w:cs="仿宋"/>
                <w:sz w:val="24"/>
              </w:rPr>
              <w:t>四、对机关办公楼监控设备进行维护和安装，新增监控摄像头8个，维修及保养12个，并对机关机房进行维护升级，新增服务器、控制台等设备。</w:t>
            </w:r>
          </w:p>
          <w:p>
            <w:pPr>
              <w:spacing w:line="480" w:lineRule="exact"/>
              <w:ind w:firstLine="474" w:firstLineChars="200"/>
              <w:rPr>
                <w:rFonts w:ascii="仿宋_GB2312" w:hAnsi="仿宋_GB2312" w:eastAsia="仿宋_GB2312" w:cs="仿宋_GB2312"/>
                <w:color w:val="000000"/>
                <w:sz w:val="24"/>
              </w:rPr>
            </w:pPr>
            <w:r>
              <w:rPr>
                <w:rFonts w:hint="eastAsia" w:ascii="仿宋_GB2312" w:hAnsi="仿宋" w:eastAsia="仿宋_GB2312" w:cs="仿宋"/>
                <w:color w:val="000000"/>
                <w:sz w:val="24"/>
              </w:rPr>
              <w:t>五、</w:t>
            </w:r>
            <w:r>
              <w:rPr>
                <w:rFonts w:hint="eastAsia" w:ascii="仿宋_GB2312" w:hAnsi="仿宋" w:eastAsia="仿宋_GB2312" w:cs="仿宋"/>
                <w:sz w:val="24"/>
              </w:rPr>
              <w:t>加大了对局重点工作的宣传力度，我中心积极参与局党委、机关、工会各项活动，共计拍摄照片6000余张，视频40余条，保障了各项活动的顺利进行及新闻发布。另外，派出专员针对巴陵大桥拆迁工作进行通宵跟踪拍摄，配合执法部门摄影取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124.32</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3.21</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115.31</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119.14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83.99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79.44</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4.55</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35.15</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1.97</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15.54</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15.54(净值）</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46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48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目标1：整体规划城区地下弱电综合管网建设，避免重复建设，减少资金投入。</w:t>
            </w:r>
          </w:p>
          <w:p>
            <w:pPr>
              <w:autoSpaceDN w:val="0"/>
              <w:spacing w:line="48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目标2：加强城管信息网宣传工作力度，及时更新和完善网站栏目。</w:t>
            </w:r>
          </w:p>
          <w:p>
            <w:pPr>
              <w:autoSpaceDN w:val="0"/>
              <w:spacing w:line="480" w:lineRule="exact"/>
              <w:jc w:val="left"/>
              <w:textAlignment w:val="center"/>
              <w:rPr>
                <w:rFonts w:ascii="仿宋_GB2312" w:hAnsi="仿宋_GB2312" w:eastAsia="仿宋_GB2312" w:cs="仿宋_GB2312"/>
                <w:sz w:val="24"/>
              </w:rPr>
            </w:pPr>
          </w:p>
          <w:p>
            <w:pPr>
              <w:autoSpaceDN w:val="0"/>
              <w:spacing w:line="48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目标3：</w:t>
            </w:r>
            <w:r>
              <w:rPr>
                <w:rFonts w:hint="eastAsia" w:ascii="仿宋_GB2312" w:eastAsia="仿宋_GB2312"/>
                <w:sz w:val="24"/>
              </w:rPr>
              <w:t>通过城管信息网站平台，充分发挥网络媒体的优势，</w:t>
            </w:r>
            <w:r>
              <w:rPr>
                <w:rFonts w:hint="eastAsia" w:ascii="仿宋_GB2312" w:hAnsi="仿宋_GB2312" w:eastAsia="仿宋_GB2312" w:cs="仿宋_GB2312"/>
                <w:sz w:val="24"/>
              </w:rPr>
              <w:t>加大了对局重点工作的宣传力度。</w:t>
            </w:r>
          </w:p>
          <w:p>
            <w:pPr>
              <w:autoSpaceDN w:val="0"/>
              <w:spacing w:line="480" w:lineRule="exact"/>
              <w:jc w:val="left"/>
              <w:textAlignment w:val="center"/>
              <w:rPr>
                <w:rFonts w:ascii="仿宋_GB2312" w:hAnsi="仿宋_GB2312" w:eastAsia="仿宋_GB2312" w:cs="仿宋_GB2312"/>
                <w:sz w:val="24"/>
              </w:rPr>
            </w:pPr>
          </w:p>
          <w:p>
            <w:pPr>
              <w:autoSpaceDN w:val="0"/>
              <w:spacing w:line="480" w:lineRule="exact"/>
              <w:jc w:val="left"/>
              <w:textAlignment w:val="center"/>
              <w:rPr>
                <w:rFonts w:ascii="仿宋_GB2312" w:eastAsia="仿宋_GB2312"/>
                <w:sz w:val="24"/>
              </w:rPr>
            </w:pPr>
            <w:r>
              <w:rPr>
                <w:rFonts w:hint="eastAsia" w:ascii="仿宋_GB2312" w:hAnsi="仿宋_GB2312" w:eastAsia="仿宋_GB2312" w:cs="仿宋_GB2312"/>
                <w:sz w:val="24"/>
              </w:rPr>
              <w:t>目标4：通过</w:t>
            </w:r>
            <w:r>
              <w:rPr>
                <w:rFonts w:hint="eastAsia" w:ascii="仿宋_GB2312" w:eastAsia="仿宋_GB2312"/>
                <w:sz w:val="24"/>
              </w:rPr>
              <w:t>城管微信平台对局系统的各项重点工作进行宣传报道。</w:t>
            </w:r>
          </w:p>
          <w:p>
            <w:pPr>
              <w:autoSpaceDN w:val="0"/>
              <w:spacing w:line="480" w:lineRule="exact"/>
              <w:jc w:val="left"/>
              <w:textAlignment w:val="center"/>
              <w:rPr>
                <w:rFonts w:ascii="仿宋_GB2312" w:eastAsia="仿宋_GB2312"/>
                <w:sz w:val="24"/>
              </w:rPr>
            </w:pPr>
          </w:p>
          <w:p>
            <w:pPr>
              <w:autoSpaceDN w:val="0"/>
              <w:spacing w:line="480" w:lineRule="exact"/>
              <w:jc w:val="left"/>
              <w:textAlignment w:val="center"/>
              <w:rPr>
                <w:rFonts w:eastAsia="仿宋_GB2312"/>
                <w:sz w:val="24"/>
              </w:rPr>
            </w:pPr>
            <w:r>
              <w:rPr>
                <w:rFonts w:hint="eastAsia" w:ascii="仿宋_GB2312" w:hAnsi="仿宋_GB2312" w:eastAsia="仿宋_GB2312" w:cs="仿宋_GB2312"/>
                <w:sz w:val="24"/>
              </w:rPr>
              <w:t>目标5：</w:t>
            </w:r>
            <w:r>
              <w:rPr>
                <w:rFonts w:hint="eastAsia" w:eastAsia="仿宋_GB2312"/>
                <w:sz w:val="24"/>
              </w:rPr>
              <w:t>协助局机关会场电子设备使用及活动需要的摄影工作。</w:t>
            </w:r>
          </w:p>
          <w:p>
            <w:pPr>
              <w:autoSpaceDN w:val="0"/>
              <w:spacing w:line="480" w:lineRule="exact"/>
              <w:jc w:val="left"/>
              <w:textAlignment w:val="center"/>
              <w:rPr>
                <w:rFonts w:ascii="仿宋_GB2312" w:hAnsi="仿宋_GB2312" w:eastAsia="仿宋_GB2312" w:cs="仿宋_GB2312"/>
                <w:sz w:val="24"/>
              </w:rPr>
            </w:pPr>
          </w:p>
          <w:p>
            <w:pPr>
              <w:autoSpaceDN w:val="0"/>
              <w:spacing w:line="480" w:lineRule="exact"/>
              <w:jc w:val="left"/>
              <w:textAlignment w:val="center"/>
              <w:rPr>
                <w:rFonts w:ascii="仿宋_GB2312" w:hAnsi="仿宋_GB2312" w:eastAsia="仿宋_GB2312" w:cs="仿宋_GB2312"/>
                <w:sz w:val="24"/>
              </w:rPr>
            </w:pPr>
          </w:p>
        </w:tc>
        <w:tc>
          <w:tcPr>
            <w:tcW w:w="4585" w:type="dxa"/>
            <w:gridSpan w:val="9"/>
            <w:vAlign w:val="center"/>
          </w:tcPr>
          <w:p>
            <w:pPr>
              <w:spacing w:line="480" w:lineRule="exact"/>
              <w:rPr>
                <w:rFonts w:ascii="仿宋_GB2312" w:hAnsi="仿宋_GB2312" w:eastAsia="仿宋_GB2312" w:cs="仿宋_GB2312"/>
                <w:sz w:val="24"/>
              </w:rPr>
            </w:pPr>
            <w:r>
              <w:rPr>
                <w:rFonts w:hint="eastAsia" w:ascii="仿宋_GB2312" w:hAnsi="仿宋_GB2312" w:eastAsia="仿宋_GB2312" w:cs="仿宋_GB2312"/>
                <w:color w:val="000000"/>
                <w:sz w:val="24"/>
              </w:rPr>
              <w:t>目标1完成情况：完成</w:t>
            </w:r>
            <w:r>
              <w:rPr>
                <w:rFonts w:hint="eastAsia" w:ascii="仿宋_GB2312" w:hAnsi="宋体" w:eastAsia="仿宋_GB2312"/>
                <w:sz w:val="24"/>
              </w:rPr>
              <w:t>了五里牌路、东茅岭路、北辅道、德胜路的基础管网建设，共计2800米。</w:t>
            </w:r>
          </w:p>
          <w:p>
            <w:pPr>
              <w:autoSpaceDN w:val="0"/>
              <w:spacing w:line="480" w:lineRule="exact"/>
              <w:textAlignment w:val="center"/>
              <w:rPr>
                <w:rFonts w:ascii="仿宋_GB2312" w:eastAsia="仿宋_GB2312"/>
                <w:sz w:val="24"/>
              </w:rPr>
            </w:pPr>
            <w:r>
              <w:rPr>
                <w:rFonts w:hint="eastAsia" w:ascii="仿宋_GB2312" w:hAnsi="仿宋_GB2312" w:eastAsia="仿宋_GB2312" w:cs="仿宋_GB2312"/>
                <w:color w:val="000000"/>
                <w:sz w:val="24"/>
              </w:rPr>
              <w:t>目标2完成情况：</w:t>
            </w:r>
            <w:r>
              <w:rPr>
                <w:rFonts w:hint="eastAsia" w:ascii="仿宋_GB2312" w:eastAsia="仿宋_GB2312"/>
                <w:sz w:val="24"/>
              </w:rPr>
              <w:t>及时更新和调整了原来陈旧过时的栏目，对“有栏目无内容”、“有留言无处理”的现象及时进行了处理。</w:t>
            </w:r>
          </w:p>
          <w:p>
            <w:pPr>
              <w:spacing w:line="480" w:lineRule="exact"/>
              <w:rPr>
                <w:rFonts w:ascii="仿宋_GB2312" w:hAnsi="仿宋_GB2312" w:eastAsia="仿宋_GB2312" w:cs="仿宋_GB2312"/>
                <w:sz w:val="24"/>
              </w:rPr>
            </w:pPr>
            <w:r>
              <w:rPr>
                <w:rFonts w:hint="eastAsia" w:ascii="仿宋_GB2312" w:hAnsi="仿宋_GB2312" w:eastAsia="仿宋_GB2312" w:cs="仿宋_GB2312"/>
                <w:color w:val="000000"/>
                <w:sz w:val="24"/>
              </w:rPr>
              <w:t>目标3完成情况：</w:t>
            </w:r>
            <w:r>
              <w:rPr>
                <w:rFonts w:hint="eastAsia" w:ascii="仿宋_GB2312" w:hAnsi="仿宋_GB2312" w:eastAsia="仿宋_GB2312"/>
                <w:sz w:val="24"/>
              </w:rPr>
              <w:t>全年</w:t>
            </w:r>
            <w:r>
              <w:rPr>
                <w:rFonts w:hint="eastAsia" w:ascii="仿宋_GB2312" w:hAnsi="仿宋_GB2312" w:eastAsia="仿宋_GB2312" w:cs="仿宋_GB2312"/>
                <w:sz w:val="24"/>
              </w:rPr>
              <w:t>共采编、转载各类信息1121条，其中重点动态112条，基层要闻311条，媒体报道242条，被政务网转载各类信息112条。</w:t>
            </w:r>
          </w:p>
          <w:p>
            <w:pPr>
              <w:autoSpaceDN w:val="0"/>
              <w:spacing w:line="480" w:lineRule="exact"/>
              <w:textAlignment w:val="center"/>
              <w:rPr>
                <w:rFonts w:ascii="仿宋_GB2312" w:eastAsia="仿宋_GB2312"/>
                <w:sz w:val="24"/>
              </w:rPr>
            </w:pPr>
            <w:r>
              <w:rPr>
                <w:rFonts w:hint="eastAsia" w:ascii="仿宋_GB2312" w:hAnsi="仿宋_GB2312" w:eastAsia="仿宋_GB2312" w:cs="仿宋_GB2312"/>
                <w:color w:val="000000"/>
                <w:sz w:val="24"/>
              </w:rPr>
              <w:t>目标4完成情况：</w:t>
            </w:r>
            <w:r>
              <w:rPr>
                <w:rFonts w:hint="eastAsia" w:ascii="仿宋_GB2312" w:eastAsia="仿宋_GB2312"/>
                <w:sz w:val="24"/>
              </w:rPr>
              <w:t>城管微信平台共推送信息共计262篇，内容覆盖了我局系统的各项重点工作。</w:t>
            </w:r>
          </w:p>
          <w:p>
            <w:pPr>
              <w:autoSpaceDN w:val="0"/>
              <w:spacing w:line="480" w:lineRule="exact"/>
              <w:textAlignment w:val="center"/>
              <w:rPr>
                <w:rFonts w:ascii="仿宋_GB2312" w:hAnsi="仿宋_GB2312" w:eastAsia="仿宋_GB2312" w:cs="仿宋_GB2312"/>
                <w:sz w:val="24"/>
              </w:rPr>
            </w:pPr>
            <w:r>
              <w:rPr>
                <w:rFonts w:hint="eastAsia" w:ascii="仿宋_GB2312" w:hAnsi="仿宋_GB2312" w:eastAsia="仿宋_GB2312" w:cs="仿宋_GB2312"/>
                <w:color w:val="000000"/>
                <w:sz w:val="24"/>
              </w:rPr>
              <w:t>目标5完成情况：</w:t>
            </w:r>
            <w:r>
              <w:rPr>
                <w:rFonts w:hint="eastAsia" w:ascii="仿宋_GB2312" w:hAnsi="仿宋_GB2312" w:eastAsia="仿宋_GB2312" w:cs="仿宋_GB2312"/>
                <w:sz w:val="24"/>
              </w:rPr>
              <w:t>积极参与局党委、机关、工会各项活动，共计拍摄照片6000余张，视频40余条。另外，对巴陵大桥拆迁工作进行通宵跟踪拍摄，配合执法部门摄影取证。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优化城区地下弱电综合管廊管网建设，避免弱电线路外露。</w:t>
            </w:r>
          </w:p>
        </w:tc>
        <w:tc>
          <w:tcPr>
            <w:tcW w:w="2684" w:type="dxa"/>
            <w:gridSpan w:val="6"/>
            <w:vAlign w:val="center"/>
          </w:tcPr>
          <w:p>
            <w:pPr>
              <w:autoSpaceDN w:val="0"/>
              <w:spacing w:line="4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合理规划地下</w:t>
            </w:r>
            <w:r>
              <w:rPr>
                <w:rFonts w:hint="eastAsia" w:ascii="仿宋_GB2312" w:hAnsi="宋体" w:eastAsia="仿宋_GB2312" w:cs="宋体"/>
                <w:kern w:val="0"/>
                <w:sz w:val="24"/>
              </w:rPr>
              <w:t>综合管廊管网，弱电线路无外露铺设。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发挥网络媒体优势，围绕重点工作积极宣传报道</w:t>
            </w:r>
            <w:r>
              <w:rPr>
                <w:rFonts w:hint="eastAsia" w:ascii="仿宋_GB2312" w:hAnsi="仿宋_GB2312" w:eastAsia="仿宋_GB2312" w:cs="仿宋_GB2312"/>
                <w:color w:val="000000"/>
                <w:sz w:val="24"/>
              </w:rPr>
              <w:t>。</w:t>
            </w:r>
          </w:p>
        </w:tc>
        <w:tc>
          <w:tcPr>
            <w:tcW w:w="2684" w:type="dxa"/>
            <w:gridSpan w:val="6"/>
            <w:vAlign w:val="center"/>
          </w:tcPr>
          <w:p>
            <w:pPr>
              <w:autoSpaceDN w:val="0"/>
              <w:spacing w:line="480" w:lineRule="exact"/>
              <w:jc w:val="center"/>
              <w:textAlignment w:val="center"/>
              <w:rPr>
                <w:rFonts w:ascii="仿宋_GB2312" w:hAnsi="仿宋_GB2312" w:eastAsia="仿宋_GB2312" w:cs="仿宋_GB2312"/>
                <w:b/>
                <w:color w:val="000000"/>
                <w:sz w:val="24"/>
              </w:rPr>
            </w:pPr>
            <w:r>
              <w:rPr>
                <w:rFonts w:hint="eastAsia" w:ascii="仿宋_GB2312" w:hAnsi="宋体" w:eastAsia="仿宋_GB2312" w:cs="宋体"/>
                <w:kern w:val="0"/>
                <w:sz w:val="24"/>
              </w:rPr>
              <w:t>全年无负面舆论。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及时更新和调整陈旧过时栏目，杜绝“有栏目无内容”、“有留言无处理”的现象发生。</w:t>
            </w:r>
          </w:p>
        </w:tc>
        <w:tc>
          <w:tcPr>
            <w:tcW w:w="2684" w:type="dxa"/>
            <w:gridSpan w:val="6"/>
            <w:vAlign w:val="center"/>
          </w:tcPr>
          <w:p>
            <w:pPr>
              <w:autoSpaceDN w:val="0"/>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均及时更新。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完善城区地下弱电综合管廊管网建设2000米。</w:t>
            </w:r>
          </w:p>
        </w:tc>
        <w:tc>
          <w:tcPr>
            <w:tcW w:w="2684" w:type="dxa"/>
            <w:gridSpan w:val="6"/>
            <w:vAlign w:val="center"/>
          </w:tcPr>
          <w:p>
            <w:pPr>
              <w:autoSpaceDN w:val="0"/>
              <w:spacing w:line="480" w:lineRule="exact"/>
              <w:jc w:val="center"/>
              <w:textAlignment w:val="center"/>
              <w:rPr>
                <w:rFonts w:ascii="仿宋_GB2312" w:hAnsi="仿宋_GB2312" w:eastAsia="仿宋_GB2312" w:cs="仿宋_GB2312"/>
                <w:b/>
                <w:color w:val="000000"/>
                <w:sz w:val="24"/>
              </w:rPr>
            </w:pPr>
            <w:r>
              <w:rPr>
                <w:rFonts w:hint="eastAsia" w:ascii="仿宋_GB2312" w:hAnsi="宋体" w:eastAsia="仿宋_GB2312" w:cs="宋体"/>
                <w:kern w:val="0"/>
                <w:sz w:val="24"/>
              </w:rPr>
              <w:t>实际完成2800米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8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widowControl/>
              <w:spacing w:line="480" w:lineRule="exact"/>
              <w:jc w:val="left"/>
              <w:rPr>
                <w:rFonts w:ascii="仿宋_GB2312" w:hAnsi="宋体" w:eastAsia="仿宋_GB2312" w:cs="宋体"/>
                <w:kern w:val="0"/>
                <w:sz w:val="24"/>
              </w:rPr>
            </w:pPr>
            <w:r>
              <w:rPr>
                <w:rFonts w:hint="eastAsia" w:ascii="仿宋_GB2312" w:hAnsi="宋体" w:eastAsia="仿宋_GB2312" w:cs="宋体"/>
                <w:kern w:val="0"/>
                <w:sz w:val="24"/>
              </w:rPr>
              <w:t>发布重点动态信息100条，并在政府网转载。</w:t>
            </w:r>
          </w:p>
        </w:tc>
        <w:tc>
          <w:tcPr>
            <w:tcW w:w="2684" w:type="dxa"/>
            <w:gridSpan w:val="6"/>
            <w:vAlign w:val="center"/>
          </w:tcPr>
          <w:p>
            <w:pPr>
              <w:autoSpaceDN w:val="0"/>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实际完成112条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widowControl/>
              <w:spacing w:line="480" w:lineRule="exact"/>
              <w:jc w:val="left"/>
              <w:rPr>
                <w:rFonts w:ascii="仿宋_GB2312" w:hAnsi="宋体" w:eastAsia="仿宋_GB2312" w:cs="宋体"/>
                <w:kern w:val="0"/>
                <w:sz w:val="24"/>
              </w:rPr>
            </w:pPr>
            <w:r>
              <w:rPr>
                <w:rFonts w:hint="eastAsia" w:ascii="仿宋_GB2312" w:hAnsi="宋体" w:eastAsia="仿宋_GB2312" w:cs="宋体"/>
                <w:kern w:val="0"/>
                <w:sz w:val="24"/>
              </w:rPr>
              <w:t>报道基层要闻200条。</w:t>
            </w:r>
          </w:p>
        </w:tc>
        <w:tc>
          <w:tcPr>
            <w:tcW w:w="2684" w:type="dxa"/>
            <w:gridSpan w:val="6"/>
            <w:vAlign w:val="center"/>
          </w:tcPr>
          <w:p>
            <w:pPr>
              <w:autoSpaceDN w:val="0"/>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实际完成311条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widowControl/>
              <w:spacing w:line="480" w:lineRule="exact"/>
              <w:jc w:val="left"/>
              <w:rPr>
                <w:rFonts w:ascii="仿宋_GB2312" w:hAnsi="宋体" w:eastAsia="仿宋_GB2312" w:cs="宋体"/>
                <w:kern w:val="0"/>
                <w:sz w:val="24"/>
              </w:rPr>
            </w:pPr>
            <w:r>
              <w:rPr>
                <w:rFonts w:hint="eastAsia" w:ascii="仿宋_GB2312" w:hAnsi="宋体" w:eastAsia="仿宋_GB2312" w:cs="宋体"/>
                <w:kern w:val="0"/>
                <w:sz w:val="24"/>
              </w:rPr>
              <w:t>媒体报道200条。</w:t>
            </w:r>
          </w:p>
        </w:tc>
        <w:tc>
          <w:tcPr>
            <w:tcW w:w="2684" w:type="dxa"/>
            <w:gridSpan w:val="6"/>
            <w:vAlign w:val="center"/>
          </w:tcPr>
          <w:p>
            <w:pPr>
              <w:autoSpaceDN w:val="0"/>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实际完成242条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tcBorders>
              <w:bottom w:val="single" w:color="auto" w:sz="4" w:space="0"/>
            </w:tcBorders>
            <w:vAlign w:val="center"/>
          </w:tcPr>
          <w:p>
            <w:pPr>
              <w:widowControl/>
              <w:spacing w:line="480" w:lineRule="exact"/>
              <w:jc w:val="left"/>
              <w:rPr>
                <w:rFonts w:ascii="仿宋_GB2312" w:hAnsi="宋体" w:eastAsia="仿宋_GB2312" w:cs="宋体"/>
                <w:kern w:val="0"/>
                <w:sz w:val="24"/>
              </w:rPr>
            </w:pPr>
            <w:r>
              <w:rPr>
                <w:rFonts w:hint="eastAsia" w:ascii="仿宋_GB2312" w:hAnsi="宋体" w:eastAsia="仿宋_GB2312" w:cs="宋体"/>
                <w:kern w:val="0"/>
                <w:sz w:val="24"/>
              </w:rPr>
              <w:t>城管微信平台信息推送250篇。</w:t>
            </w:r>
          </w:p>
        </w:tc>
        <w:tc>
          <w:tcPr>
            <w:tcW w:w="2684" w:type="dxa"/>
            <w:gridSpan w:val="6"/>
            <w:tcBorders>
              <w:bottom w:val="single" w:color="auto" w:sz="4" w:space="0"/>
            </w:tcBorders>
            <w:vAlign w:val="center"/>
          </w:tcPr>
          <w:p>
            <w:pPr>
              <w:autoSpaceDN w:val="0"/>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实际完成262篇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tcBorders>
              <w:top w:val="single" w:color="auto" w:sz="4" w:space="0"/>
            </w:tcBorders>
            <w:vAlign w:val="center"/>
          </w:tcPr>
          <w:p>
            <w:pPr>
              <w:widowControl/>
              <w:spacing w:line="480" w:lineRule="exact"/>
              <w:jc w:val="left"/>
              <w:rPr>
                <w:rFonts w:ascii="仿宋_GB2312" w:hAnsi="宋体" w:eastAsia="仿宋_GB2312" w:cs="宋体"/>
                <w:kern w:val="0"/>
                <w:sz w:val="24"/>
              </w:rPr>
            </w:pPr>
            <w:r>
              <w:rPr>
                <w:rFonts w:hint="eastAsia" w:ascii="仿宋_GB2312" w:hAnsi="宋体" w:eastAsia="仿宋_GB2312" w:cs="宋体"/>
                <w:kern w:val="0"/>
                <w:sz w:val="24"/>
              </w:rPr>
              <w:t>全年完成采编、转载各类信息1000条。</w:t>
            </w:r>
          </w:p>
        </w:tc>
        <w:tc>
          <w:tcPr>
            <w:tcW w:w="2684" w:type="dxa"/>
            <w:gridSpan w:val="6"/>
            <w:tcBorders>
              <w:top w:val="single" w:color="auto" w:sz="4" w:space="0"/>
            </w:tcBorders>
            <w:vAlign w:val="center"/>
          </w:tcPr>
          <w:p>
            <w:pPr>
              <w:autoSpaceDN w:val="0"/>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实际完成1121条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8"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tcBorders>
              <w:bottom w:val="single" w:color="auto" w:sz="4" w:space="0"/>
            </w:tcBorders>
            <w:vAlign w:val="center"/>
          </w:tcPr>
          <w:p>
            <w:pPr>
              <w:widowControl/>
              <w:spacing w:line="480" w:lineRule="exact"/>
              <w:jc w:val="left"/>
              <w:rPr>
                <w:rFonts w:ascii="仿宋_GB2312" w:hAnsi="宋体" w:eastAsia="仿宋_GB2312" w:cs="宋体"/>
                <w:kern w:val="0"/>
                <w:sz w:val="24"/>
              </w:rPr>
            </w:pPr>
            <w:r>
              <w:rPr>
                <w:rFonts w:hint="eastAsia" w:ascii="仿宋_GB2312" w:hAnsi="宋体" w:eastAsia="仿宋_GB2312" w:cs="宋体"/>
                <w:kern w:val="0"/>
                <w:sz w:val="24"/>
              </w:rPr>
              <w:t>配合市政改造，及时铺设地下弱电综合管廊网。</w:t>
            </w:r>
          </w:p>
        </w:tc>
        <w:tc>
          <w:tcPr>
            <w:tcW w:w="2684" w:type="dxa"/>
            <w:gridSpan w:val="6"/>
            <w:tcBorders>
              <w:bottom w:val="single" w:color="auto" w:sz="4" w:space="0"/>
            </w:tcBorders>
            <w:vAlign w:val="center"/>
          </w:tcPr>
          <w:p>
            <w:pPr>
              <w:autoSpaceDN w:val="0"/>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紧跟城区建设步伐，及时完成了相应路段</w:t>
            </w:r>
            <w:r>
              <w:rPr>
                <w:rFonts w:hint="eastAsia" w:ascii="仿宋_GB2312" w:hAnsi="宋体" w:eastAsia="仿宋_GB2312" w:cs="宋体"/>
                <w:kern w:val="0"/>
                <w:sz w:val="24"/>
              </w:rPr>
              <w:t>地下弱电综合管廊网建设。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tcBorders>
              <w:top w:val="single" w:color="auto" w:sz="4" w:space="0"/>
            </w:tcBorders>
            <w:vAlign w:val="center"/>
          </w:tcPr>
          <w:p>
            <w:pPr>
              <w:spacing w:line="480" w:lineRule="exact"/>
              <w:jc w:val="left"/>
              <w:rPr>
                <w:rFonts w:ascii="仿宋_GB2312" w:hAnsi="宋体" w:eastAsia="仿宋_GB2312" w:cs="宋体"/>
                <w:kern w:val="0"/>
                <w:sz w:val="24"/>
              </w:rPr>
            </w:pPr>
            <w:r>
              <w:rPr>
                <w:rFonts w:hint="eastAsia" w:ascii="仿宋_GB2312" w:hAnsi="宋体" w:eastAsia="仿宋_GB2312" w:cs="宋体"/>
                <w:kern w:val="0"/>
                <w:sz w:val="24"/>
              </w:rPr>
              <w:t>发挥网络媒体优势，对重点工作、重大活动进行及时报道。</w:t>
            </w:r>
          </w:p>
        </w:tc>
        <w:tc>
          <w:tcPr>
            <w:tcW w:w="2684" w:type="dxa"/>
            <w:gridSpan w:val="6"/>
            <w:tcBorders>
              <w:top w:val="single" w:color="auto" w:sz="4" w:space="0"/>
            </w:tcBorders>
            <w:vAlign w:val="center"/>
          </w:tcPr>
          <w:p>
            <w:pPr>
              <w:autoSpaceDN w:val="0"/>
              <w:spacing w:line="4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对城管系统的各项重点工作进行了及时报道。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7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widowControl/>
              <w:spacing w:line="480" w:lineRule="exact"/>
              <w:jc w:val="left"/>
              <w:rPr>
                <w:rFonts w:ascii="仿宋_GB2312" w:hAnsi="宋体" w:eastAsia="仿宋_GB2312" w:cs="宋体"/>
                <w:kern w:val="0"/>
                <w:sz w:val="24"/>
              </w:rPr>
            </w:pPr>
            <w:r>
              <w:rPr>
                <w:rFonts w:hint="eastAsia" w:ascii="仿宋_GB2312" w:hAnsi="宋体" w:eastAsia="仿宋_GB2312" w:cs="宋体"/>
                <w:kern w:val="0"/>
                <w:sz w:val="24"/>
              </w:rPr>
              <w:t>经费支出控制在年初预算范围内。</w:t>
            </w:r>
          </w:p>
        </w:tc>
        <w:tc>
          <w:tcPr>
            <w:tcW w:w="2684" w:type="dxa"/>
            <w:gridSpan w:val="6"/>
            <w:vAlign w:val="center"/>
          </w:tcPr>
          <w:p>
            <w:pPr>
              <w:autoSpaceDN w:val="0"/>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无超预算支出情况。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宣传我局重点工作，相关舆情引导。</w:t>
            </w:r>
          </w:p>
        </w:tc>
        <w:tc>
          <w:tcPr>
            <w:tcW w:w="2684" w:type="dxa"/>
            <w:gridSpan w:val="6"/>
            <w:vAlign w:val="center"/>
          </w:tcPr>
          <w:p>
            <w:pPr>
              <w:autoSpaceDN w:val="0"/>
              <w:spacing w:line="480" w:lineRule="exac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全年推送我局重点信息至岳阳市政务网112条，使市民更加了解和支持城市管理工作。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整体规划城区地下弱电综合管网建设，避免重复建设，减少资金投入。</w:t>
            </w:r>
          </w:p>
        </w:tc>
        <w:tc>
          <w:tcPr>
            <w:tcW w:w="2684" w:type="dxa"/>
            <w:gridSpan w:val="6"/>
            <w:vAlign w:val="center"/>
          </w:tcPr>
          <w:p>
            <w:pPr>
              <w:autoSpaceDN w:val="0"/>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减少了城市建设资金的投入量。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避免了多头开挖造成的环境污染。</w:t>
            </w:r>
          </w:p>
        </w:tc>
        <w:tc>
          <w:tcPr>
            <w:tcW w:w="2684" w:type="dxa"/>
            <w:gridSpan w:val="6"/>
            <w:vAlign w:val="center"/>
          </w:tcPr>
          <w:p>
            <w:pPr>
              <w:autoSpaceDN w:val="0"/>
              <w:spacing w:line="48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合理规划地下弱电综合管网，避免了多头开挖造成的环境污染。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3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满意率达90%以上</w:t>
            </w:r>
          </w:p>
        </w:tc>
        <w:tc>
          <w:tcPr>
            <w:tcW w:w="2684" w:type="dxa"/>
            <w:gridSpan w:val="6"/>
            <w:vAlign w:val="center"/>
          </w:tcPr>
          <w:p>
            <w:pPr>
              <w:autoSpaceDN w:val="0"/>
              <w:spacing w:line="480" w:lineRule="exact"/>
              <w:ind w:firstLine="948" w:firstLineChars="4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满意率达95%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刘立辉</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城管信息中心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贺小良</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副主任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城管信息中心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胡  腾</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城管信息中心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color w:val="FF0000"/>
          <w:sz w:val="28"/>
          <w:szCs w:val="28"/>
        </w:rPr>
      </w:pPr>
      <w:r>
        <w:rPr>
          <w:rFonts w:hint="eastAsia" w:eastAsia="仿宋_GB2312" w:cs="仿宋_GB2312"/>
          <w:bCs/>
          <w:sz w:val="28"/>
          <w:szCs w:val="28"/>
        </w:rPr>
        <w:t>填报人（签名）：</w:t>
      </w:r>
      <w:r>
        <w:rPr>
          <w:rFonts w:hint="eastAsia" w:ascii="仿宋_GB2312" w:hAnsi="仿宋_GB2312" w:eastAsia="仿宋_GB2312" w:cs="仿宋_GB2312"/>
          <w:sz w:val="28"/>
          <w:szCs w:val="28"/>
        </w:rPr>
        <w:t>胡  腾</w:t>
      </w:r>
      <w:r>
        <w:rPr>
          <w:rFonts w:hint="eastAsia" w:eastAsia="仿宋_GB2312" w:cs="仿宋_GB2312"/>
          <w:bCs/>
          <w:color w:val="FF0000"/>
          <w:sz w:val="28"/>
          <w:szCs w:val="28"/>
        </w:rPr>
        <w:t xml:space="preserve"> </w:t>
      </w:r>
      <w:r>
        <w:rPr>
          <w:rFonts w:hint="eastAsia" w:eastAsia="仿宋_GB2312" w:cs="仿宋_GB2312"/>
          <w:bCs/>
          <w:sz w:val="28"/>
          <w:szCs w:val="28"/>
        </w:rPr>
        <w:t xml:space="preserve">                联系电话：</w:t>
      </w:r>
      <w:r>
        <w:rPr>
          <w:rFonts w:hint="eastAsia" w:ascii="仿宋_GB2312" w:hAnsi="仿宋_GB2312" w:eastAsia="仿宋_GB2312" w:cs="仿宋_GB2312"/>
          <w:sz w:val="28"/>
          <w:szCs w:val="28"/>
        </w:rPr>
        <w:t>13357307779</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spacing w:line="560" w:lineRule="exact"/>
              <w:jc w:val="center"/>
              <w:rPr>
                <w:rFonts w:ascii="黑体" w:hAnsi="黑体" w:eastAsia="黑体" w:cs="黑体"/>
                <w:bCs/>
                <w:sz w:val="28"/>
                <w:szCs w:val="28"/>
              </w:rPr>
            </w:pPr>
            <w:r>
              <w:rPr>
                <w:rFonts w:hint="eastAsia" w:ascii="黑体" w:hAnsi="黑体" w:eastAsia="黑体" w:cs="黑体"/>
                <w:bCs/>
                <w:sz w:val="28"/>
                <w:szCs w:val="28"/>
              </w:rPr>
              <w:t>五、评价报告综述</w:t>
            </w:r>
          </w:p>
          <w:p>
            <w:pPr>
              <w:spacing w:line="560" w:lineRule="exact"/>
              <w:rPr>
                <w:rFonts w:eastAsia="仿宋_GB2312"/>
                <w:sz w:val="28"/>
                <w:szCs w:val="28"/>
              </w:rPr>
            </w:pP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一、单位概况</w:t>
            </w:r>
          </w:p>
          <w:p>
            <w:pPr>
              <w:spacing w:line="560" w:lineRule="exact"/>
              <w:ind w:firstLine="554"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（一）单位基本情况</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岳阳市城市管理信息中心是岳阳市城市管理和综合执法局下属全额财政拨款二级机构，事业单位编制。编制人数7人，实际人数7人。</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城市管理信息中心主要职能有：负责编制岳阳市城市管理信息化建设总体规划并具体组织实施；负责统筹规划、建设、管理、维护、更新岳阳市城市管理信息网；负责岳阳市中心城区地下弱电综合管网建设监督管理相关工作；负责跟踪国外有关城市管理方面的信息网络和信息技术的发展动态，做好新技术、新产品的推广应用工作；承办主管部门交办的其他工作。</w:t>
            </w:r>
          </w:p>
          <w:p>
            <w:pPr>
              <w:spacing w:line="560" w:lineRule="exact"/>
              <w:ind w:firstLine="554"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（二）整体支出规模、使用方向和主要内容、涉及范围等</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2020年度实际支出 119.14万元，其中，基本支出83.99万元，项目支出35.15万元。基本支出主要列支人员的工资福利和公用支出，项目支出主要列支地下弱电管网建设管理经费及信息中心工作经费。</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二、单位整体支出管理及使用情况</w:t>
            </w:r>
          </w:p>
          <w:p>
            <w:pPr>
              <w:spacing w:line="560" w:lineRule="exact"/>
              <w:ind w:firstLine="554"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（一）基本支出</w:t>
            </w:r>
          </w:p>
          <w:p>
            <w:pPr>
              <w:spacing w:line="560" w:lineRule="exact"/>
              <w:ind w:firstLine="831" w:firstLineChars="3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2020年度基本支出83.99万元，其中人员支出79.44万元，公用支出4.55万元。本年度公务接待费用支出0万元，公务车于2019年9月份移交市机关事务局统一处置，本年无公务用车运行维护费支出。</w:t>
            </w:r>
          </w:p>
          <w:p>
            <w:pPr>
              <w:spacing w:line="560" w:lineRule="exact"/>
              <w:ind w:firstLine="554"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（二）专项支出</w:t>
            </w:r>
          </w:p>
          <w:p>
            <w:pPr>
              <w:spacing w:line="560" w:lineRule="exact"/>
              <w:ind w:firstLine="554"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1、专项资金安排落实、总投入和实际使用等情况分析</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2020年项目资金预算35 万元，本年项目支出 35.15万元，主要用于城区地下</w:t>
            </w:r>
            <w:r>
              <w:rPr>
                <w:rFonts w:hint="eastAsia" w:ascii="仿宋_GB2312" w:hAnsi="宋体" w:eastAsia="仿宋_GB2312" w:cs="宋体"/>
                <w:kern w:val="0"/>
                <w:sz w:val="28"/>
                <w:szCs w:val="28"/>
              </w:rPr>
              <w:t>弱电综合管廊管网</w:t>
            </w:r>
            <w:r>
              <w:rPr>
                <w:rFonts w:hint="eastAsia" w:ascii="仿宋_GB2312" w:hAnsi="仿宋_GB2312" w:eastAsia="仿宋_GB2312" w:cs="仿宋_GB2312"/>
                <w:bCs/>
                <w:sz w:val="28"/>
                <w:szCs w:val="28"/>
              </w:rPr>
              <w:t>建设与维护管理及信息中心工作（上年结转1.8万元），本中心严格控制各专项支出规模，未出现超预算开支的情况。</w:t>
            </w:r>
          </w:p>
          <w:p>
            <w:pPr>
              <w:spacing w:line="560" w:lineRule="exact"/>
              <w:ind w:firstLine="554"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2、专项资金管理情况分析</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结合本单位实际情况，运用《财务制度》、《内控管理制度》、《预算业务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三、单位专项组织实施情况</w:t>
            </w:r>
          </w:p>
          <w:p>
            <w:pPr>
              <w:spacing w:line="560" w:lineRule="exact"/>
              <w:ind w:firstLine="554"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（一）专项组织情况分析</w:t>
            </w:r>
          </w:p>
          <w:p>
            <w:pPr>
              <w:spacing w:line="560" w:lineRule="exact"/>
              <w:ind w:firstLine="554" w:firstLineChars="200"/>
              <w:rPr>
                <w:rFonts w:ascii="仿宋_GB2312" w:hAnsi="宋体" w:eastAsia="仿宋_GB2312"/>
                <w:sz w:val="28"/>
                <w:szCs w:val="28"/>
              </w:rPr>
            </w:pPr>
            <w:r>
              <w:rPr>
                <w:rFonts w:hint="eastAsia" w:eastAsia="仿宋_GB2312"/>
                <w:kern w:val="0"/>
                <w:sz w:val="28"/>
                <w:szCs w:val="28"/>
              </w:rPr>
              <w:t>地下弱电管网建设采取市场化管理模式，按照公平、公正、公开的原则选择投资主体，市政府以城市地下入股的形式组建市城区地下弱电综合管网投资建设单位，入股收益上缴财政，上缴的收益中安排一定的资金用于地下弱电综合管网管理工作。</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（二）专项管理情况分析</w:t>
            </w:r>
          </w:p>
          <w:p>
            <w:pPr>
              <w:spacing w:line="560" w:lineRule="exact"/>
              <w:ind w:firstLine="554" w:firstLineChars="200"/>
              <w:rPr>
                <w:rFonts w:ascii="仿宋_GB2312" w:hAnsi="仿宋" w:eastAsia="仿宋_GB2312" w:cs="仿宋"/>
                <w:sz w:val="28"/>
                <w:szCs w:val="28"/>
              </w:rPr>
            </w:pPr>
            <w:r>
              <w:rPr>
                <w:rFonts w:hint="eastAsia" w:ascii="仿宋_GB2312" w:hAnsi="仿宋" w:eastAsia="仿宋_GB2312" w:cs="仿宋"/>
                <w:sz w:val="28"/>
                <w:szCs w:val="28"/>
              </w:rPr>
              <w:t>我中心依据“岳阳市城区地下弱电综合管网建设管理工作制度及流程”工作制度和流程，对城区地下弱电综合管网建设、经营、管理、维护的进行有效监管，对规范市城区地下弱电综合管网的管理工作起到了积极作用。</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单位制定了《政府采购业务管理制度》和《建设项目管理制度》，按程序对项目进行管理，加强项目监管和考评。并针对管理项目开展市民满意度调查，不断强化本单位职能部门与运营管理商的服务意识。</w:t>
            </w:r>
          </w:p>
          <w:p>
            <w:pPr>
              <w:numPr>
                <w:ilvl w:val="0"/>
                <w:numId w:val="2"/>
              </w:num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单位整体支出绩效情况</w:t>
            </w:r>
          </w:p>
          <w:p>
            <w:pPr>
              <w:ind w:firstLine="554" w:firstLineChars="200"/>
              <w:rPr>
                <w:rFonts w:ascii="仿宋_GB2312" w:hAnsi="宋体" w:eastAsia="仿宋_GB2312"/>
                <w:sz w:val="28"/>
                <w:szCs w:val="28"/>
              </w:rPr>
            </w:pPr>
            <w:r>
              <w:rPr>
                <w:rFonts w:hint="eastAsia" w:ascii="仿宋_GB2312" w:eastAsia="仿宋_GB2312"/>
                <w:b/>
                <w:bCs/>
                <w:sz w:val="28"/>
                <w:szCs w:val="28"/>
              </w:rPr>
              <w:t>（一）、</w:t>
            </w:r>
            <w:r>
              <w:rPr>
                <w:rFonts w:hint="eastAsia" w:ascii="仿宋_GB2312" w:hAnsi="宋体" w:eastAsia="仿宋_GB2312"/>
                <w:b/>
                <w:bCs/>
                <w:sz w:val="28"/>
                <w:szCs w:val="28"/>
              </w:rPr>
              <w:t>地下综合管廊建设工作有序开展。</w:t>
            </w:r>
            <w:r>
              <w:rPr>
                <w:rFonts w:hint="eastAsia" w:ascii="仿宋_GB2312" w:hAnsi="宋体" w:eastAsia="仿宋_GB2312"/>
                <w:sz w:val="28"/>
                <w:szCs w:val="28"/>
              </w:rPr>
              <w:t>2020年，督促长沙城通基础管网建设有限公司完成了对五里牌路、东茅岭路、北辅道、德胜路的基础管网建设，共计2800米。</w:t>
            </w:r>
          </w:p>
          <w:p>
            <w:pPr>
              <w:ind w:firstLine="554" w:firstLineChars="200"/>
              <w:rPr>
                <w:rFonts w:ascii="仿宋_GB2312" w:eastAsia="仿宋_GB2312"/>
                <w:sz w:val="28"/>
                <w:szCs w:val="28"/>
              </w:rPr>
            </w:pPr>
            <w:r>
              <w:rPr>
                <w:rFonts w:hint="eastAsia" w:ascii="仿宋_GB2312" w:hAnsi="宋体" w:eastAsia="仿宋_GB2312"/>
                <w:b/>
                <w:bCs/>
                <w:sz w:val="28"/>
                <w:szCs w:val="28"/>
              </w:rPr>
              <w:t>（二）、城管信息网建设工作力度有所加强。</w:t>
            </w:r>
            <w:r>
              <w:rPr>
                <w:rFonts w:hint="eastAsia" w:ascii="仿宋_GB2312" w:hAnsi="宋体" w:eastAsia="仿宋_GB2312"/>
                <w:sz w:val="28"/>
                <w:szCs w:val="28"/>
              </w:rPr>
              <w:t>一是</w:t>
            </w:r>
            <w:r>
              <w:rPr>
                <w:rFonts w:hint="eastAsia" w:ascii="仿宋_GB2312" w:eastAsia="仿宋_GB2312"/>
                <w:sz w:val="28"/>
                <w:szCs w:val="28"/>
              </w:rPr>
              <w:t>通过城管信息网站平台，充分发挥网络媒体的优势，在局相关科室的大力支持下，继续围绕“不忘初心、牢记使命”主题教育及2020年度重点内容积极宣传报道工作成效，并且与市政府网形成有效链接，完善和丰富网站各专题内容。目前，上述两个网络平台的对接，已成为我局宣传工作的重要窗口和推介我局工作成绩的重要阵地。</w:t>
            </w:r>
            <w:r>
              <w:rPr>
                <w:rFonts w:hint="eastAsia" w:ascii="仿宋_GB2312" w:eastAsia="仿宋_GB2312"/>
                <w:bCs/>
                <w:sz w:val="28"/>
                <w:szCs w:val="28"/>
              </w:rPr>
              <w:t>二是加大了城管信息网的更新和完善。及时更新和调整了原来陈旧过时的栏目，</w:t>
            </w:r>
            <w:r>
              <w:rPr>
                <w:rFonts w:hint="eastAsia" w:ascii="仿宋_GB2312" w:eastAsia="仿宋_GB2312"/>
                <w:sz w:val="28"/>
                <w:szCs w:val="28"/>
              </w:rPr>
              <w:t>严格按照市政府办《关于开展全市政府网站信息发布和内容建设自查自纠的通知》要求，将网站栏目进行了规划整编，删除了一些无法获得更新内容的栏目，增加了一些反映局重点工作的栏目，使网站栏目设置更趋优化。</w:t>
            </w:r>
            <w:r>
              <w:rPr>
                <w:rFonts w:hint="eastAsia" w:ascii="仿宋_GB2312" w:hAnsi="仿宋_GB2312" w:eastAsia="仿宋_GB2312"/>
                <w:sz w:val="28"/>
                <w:szCs w:val="28"/>
              </w:rPr>
              <w:t>全年</w:t>
            </w:r>
            <w:r>
              <w:rPr>
                <w:rFonts w:hint="eastAsia" w:ascii="仿宋_GB2312" w:hAnsi="仿宋_GB2312" w:eastAsia="仿宋_GB2312" w:cs="仿宋_GB2312"/>
                <w:sz w:val="28"/>
                <w:szCs w:val="28"/>
              </w:rPr>
              <w:t>共采编、转载各类信息1121条，其中重点动态112条，基层要闻311条，媒体报道242条，被政务网转载各类信息112条。</w:t>
            </w:r>
            <w:r>
              <w:rPr>
                <w:rFonts w:hint="eastAsia" w:ascii="仿宋_GB2312" w:eastAsia="仿宋_GB2312"/>
                <w:bCs/>
                <w:sz w:val="28"/>
                <w:szCs w:val="28"/>
              </w:rPr>
              <w:t>三是</w:t>
            </w:r>
            <w:r>
              <w:rPr>
                <w:rFonts w:hint="eastAsia" w:ascii="仿宋_GB2312" w:hAnsi="仿宋_GB2312" w:eastAsia="仿宋_GB2312" w:cs="仿宋_GB2312"/>
                <w:bCs/>
                <w:sz w:val="28"/>
                <w:szCs w:val="28"/>
              </w:rPr>
              <w:t>城管微信公众平台工作成效明显。</w:t>
            </w:r>
            <w:r>
              <w:rPr>
                <w:rFonts w:hint="eastAsia" w:ascii="仿宋_GB2312" w:hAnsi="宋体" w:eastAsia="仿宋_GB2312"/>
                <w:sz w:val="28"/>
                <w:szCs w:val="28"/>
              </w:rPr>
              <w:t>2020年，在</w:t>
            </w:r>
            <w:r>
              <w:rPr>
                <w:rFonts w:hint="eastAsia" w:ascii="仿宋_GB2312" w:eastAsia="仿宋_GB2312"/>
                <w:sz w:val="28"/>
                <w:szCs w:val="28"/>
              </w:rPr>
              <w:t>城管微信平台共推送信息共计262篇，内容覆盖了我局系统的各项重点工作，通过设置城管手机报版块，让市民更加清楚的了解城管工作，该版块一发布就得到广大市民的广泛关注。</w:t>
            </w:r>
          </w:p>
          <w:p>
            <w:pPr>
              <w:ind w:firstLine="543" w:firstLineChars="196"/>
              <w:rPr>
                <w:rFonts w:ascii="仿宋_GB2312" w:hAnsi="仿宋" w:eastAsia="仿宋_GB2312" w:cs="仿宋"/>
                <w:sz w:val="28"/>
                <w:szCs w:val="28"/>
              </w:rPr>
            </w:pPr>
            <w:r>
              <w:rPr>
                <w:rFonts w:hint="eastAsia" w:eastAsia="仿宋_GB2312"/>
                <w:b/>
                <w:bCs/>
                <w:sz w:val="28"/>
                <w:szCs w:val="28"/>
              </w:rPr>
              <w:t>（三）、协助局机关安装维修监控和机房维护工作。</w:t>
            </w:r>
            <w:r>
              <w:rPr>
                <w:rFonts w:hint="eastAsia" w:ascii="仿宋_GB2312" w:hAnsi="仿宋" w:eastAsia="仿宋_GB2312" w:cs="仿宋"/>
                <w:sz w:val="28"/>
                <w:szCs w:val="28"/>
              </w:rPr>
              <w:t>对机关办公楼监控设备进行维护和安装，新增监控摄像头8个，维修及保养12个。同时对机房进行维护升级，新增服务器、控制台等设备。另外，对一楼多媒体播放机、二楼会议室扩音设备、投影设备和门禁系统进行了保养与维修。</w:t>
            </w:r>
          </w:p>
          <w:p>
            <w:pPr>
              <w:ind w:firstLine="554" w:firstLineChars="200"/>
              <w:rPr>
                <w:rFonts w:ascii="仿宋_GB2312" w:hAnsi="仿宋_GB2312" w:eastAsia="仿宋_GB2312" w:cs="仿宋_GB2312"/>
                <w:sz w:val="28"/>
                <w:szCs w:val="28"/>
              </w:rPr>
            </w:pPr>
            <w:r>
              <w:rPr>
                <w:rFonts w:hint="eastAsia" w:eastAsia="仿宋_GB2312"/>
                <w:b/>
                <w:bCs/>
                <w:sz w:val="28"/>
                <w:szCs w:val="28"/>
              </w:rPr>
              <w:t>（四）、协助局机关会场电子设备使用及活动需要的摄影工作。</w:t>
            </w:r>
            <w:r>
              <w:rPr>
                <w:rFonts w:hint="eastAsia" w:ascii="仿宋_GB2312" w:hAnsi="仿宋_GB2312" w:eastAsia="仿宋_GB2312" w:cs="仿宋_GB2312"/>
                <w:sz w:val="28"/>
                <w:szCs w:val="28"/>
              </w:rPr>
              <w:t>加大了对局重点工作的宣传力度，我中心积极参与局党委、机关、工会各项活动，共计拍摄照片6000余张，视频40余条，保障各项活动的顺利进行及新闻发布。5月，派出专员针对巴陵大桥拆迁工作进行通宵跟踪拍摄，配合执法部门摄影取证。</w:t>
            </w:r>
          </w:p>
          <w:p>
            <w:pPr>
              <w:ind w:left="3" w:firstLine="690" w:firstLineChars="249"/>
              <w:rPr>
                <w:rFonts w:ascii="仿宋_GB2312" w:hAnsi="仿宋_GB2312" w:eastAsia="仿宋_GB2312" w:cs="仿宋_GB2312"/>
                <w:sz w:val="28"/>
                <w:szCs w:val="28"/>
              </w:rPr>
            </w:pPr>
            <w:r>
              <w:rPr>
                <w:rFonts w:hint="eastAsia" w:ascii="仿宋_GB2312" w:hAnsi="仿宋_GB2312" w:eastAsia="仿宋_GB2312" w:cs="仿宋_GB2312"/>
                <w:b/>
                <w:bCs/>
                <w:sz w:val="28"/>
                <w:szCs w:val="28"/>
              </w:rPr>
              <w:t>（五）加强党风廉政建设和反腐败工作。</w:t>
            </w:r>
            <w:r>
              <w:rPr>
                <w:rFonts w:hint="eastAsia" w:ascii="仿宋_GB2312" w:hAnsi="仿宋_GB2312" w:eastAsia="仿宋_GB2312" w:cs="仿宋_GB2312"/>
                <w:sz w:val="28"/>
                <w:szCs w:val="28"/>
              </w:rPr>
              <w:t>组织所有党员干部参加了市城管局组织的反腐倡廉警示教育活动，赴岳阳市反腐倡廉警示教育基地参观学习。对全体单位职工发放《禁毒教育宣传手册》，并组织学习观看禁毒教育影片。</w:t>
            </w:r>
          </w:p>
          <w:p>
            <w:pPr>
              <w:autoSpaceDN w:val="0"/>
              <w:spacing w:line="560" w:lineRule="exact"/>
              <w:ind w:firstLine="554" w:firstLineChars="200"/>
              <w:jc w:val="left"/>
              <w:textAlignment w:val="center"/>
              <w:rPr>
                <w:rFonts w:ascii="仿宋_GB2312" w:hAnsi="仿宋_GB2312" w:eastAsia="仿宋_GB2312" w:cs="仿宋_GB2312"/>
                <w:sz w:val="28"/>
                <w:szCs w:val="28"/>
              </w:rPr>
            </w:pPr>
            <w:r>
              <w:rPr>
                <w:rFonts w:ascii="仿宋_GB2312" w:hAnsi="宋体" w:eastAsia="仿宋_GB2312" w:cs="仿宋_GB2312"/>
                <w:sz w:val="28"/>
                <w:szCs w:val="28"/>
              </w:rPr>
              <w:t>20</w:t>
            </w:r>
            <w:r>
              <w:rPr>
                <w:rFonts w:hint="eastAsia" w:ascii="仿宋_GB2312" w:hAnsi="宋体" w:eastAsia="仿宋_GB2312" w:cs="仿宋_GB2312"/>
                <w:sz w:val="28"/>
                <w:szCs w:val="28"/>
              </w:rPr>
              <w:t>20年，我中心始终认真贯彻执行《会计法》、《预算法》、《行政事业单位会计制度》等法律法规，认真进行了预算编制，建立健全了单位财务制度，加强了财政专项资金管理，严格按预算进度支付费用，加强了“三公”经费控制，各项经费支出严格按照政府采购、国库集中支付、公务卡支付等有关规定执行</w:t>
            </w:r>
            <w:r>
              <w:rPr>
                <w:rFonts w:ascii="仿宋_GB2312" w:hAnsi="宋体" w:eastAsia="仿宋_GB2312" w:cs="仿宋_GB2312"/>
                <w:sz w:val="28"/>
                <w:szCs w:val="28"/>
              </w:rPr>
              <w:t>,</w:t>
            </w:r>
            <w:r>
              <w:rPr>
                <w:rFonts w:hint="eastAsia" w:ascii="仿宋_GB2312" w:hAnsi="宋体" w:eastAsia="仿宋_GB2312" w:cs="仿宋_GB2312"/>
                <w:sz w:val="28"/>
                <w:szCs w:val="28"/>
              </w:rPr>
              <w:t>预算执行完成和控制较好。对</w:t>
            </w:r>
            <w:r>
              <w:rPr>
                <w:rFonts w:hint="eastAsia" w:ascii="仿宋_GB2312" w:hAnsi="仿宋_GB2312" w:eastAsia="仿宋_GB2312" w:cs="仿宋_GB2312"/>
                <w:sz w:val="28"/>
                <w:szCs w:val="28"/>
              </w:rPr>
              <w:t>城区地下弱电综合管网建设进行整体规划，避免重复建设，减少资金投入，同时，</w:t>
            </w:r>
            <w:r>
              <w:rPr>
                <w:rFonts w:hint="eastAsia" w:ascii="仿宋_GB2312" w:hAnsi="仿宋_GB2312" w:eastAsia="仿宋_GB2312" w:cs="仿宋_GB2312"/>
                <w:color w:val="000000"/>
                <w:sz w:val="28"/>
                <w:szCs w:val="28"/>
              </w:rPr>
              <w:t>避免了多头开挖造成的环境污染。</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54"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（一）、鉴于目前地下综合管廊网管理工作至今未进行立法，各管线单位着眼部门利益，各自为政，致使工作开展缺乏有力政策支持。</w:t>
            </w:r>
          </w:p>
          <w:p>
            <w:pPr>
              <w:spacing w:line="560" w:lineRule="exact"/>
              <w:ind w:firstLine="554"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eastAsia="仿宋_GB2312"/>
                <w:kern w:val="0"/>
                <w:sz w:val="28"/>
                <w:szCs w:val="28"/>
              </w:rPr>
              <w:t>地下弱电管网专项工作经费预算有待增加，为优化地下弱电管网建设提供保障。</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54"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（一）建议省、市级层面就地下弱电综合管廊建设管理尽快立法，使地下弱电综合管廊建设管理有更加有力的政策支持，以利工作顺利开展，管网建设更加规范。</w:t>
            </w:r>
          </w:p>
          <w:p>
            <w:pPr>
              <w:spacing w:line="400" w:lineRule="exact"/>
              <w:ind w:firstLine="554" w:firstLineChars="200"/>
              <w:rPr>
                <w:rFonts w:ascii="仿宋_GB2312" w:hAnsi="仿宋" w:eastAsia="仿宋_GB2312" w:cs="仿宋"/>
                <w:sz w:val="28"/>
                <w:szCs w:val="28"/>
              </w:rPr>
            </w:pPr>
            <w:r>
              <w:rPr>
                <w:rFonts w:hint="eastAsia" w:ascii="仿宋_GB2312" w:hAnsi="仿宋_GB2312" w:eastAsia="仿宋_GB2312" w:cs="仿宋_GB2312"/>
                <w:sz w:val="28"/>
                <w:szCs w:val="28"/>
              </w:rPr>
              <w:t>（二）</w:t>
            </w:r>
            <w:r>
              <w:rPr>
                <w:rFonts w:hint="eastAsia" w:ascii="仿宋_GB2312" w:hAnsi="仿宋" w:eastAsia="仿宋_GB2312" w:cs="仿宋"/>
                <w:sz w:val="28"/>
                <w:szCs w:val="28"/>
              </w:rPr>
              <w:t>增强预算约束力，各项支出严格按照预算执行，不随意改变资金用途，也就是“无预算，不支出”。</w:t>
            </w:r>
          </w:p>
          <w:p>
            <w:pPr>
              <w:spacing w:line="560" w:lineRule="exact"/>
              <w:ind w:firstLine="554" w:firstLineChars="200"/>
              <w:rPr>
                <w:rFonts w:ascii="仿宋_GB2312" w:hAnsi="仿宋_GB2312" w:eastAsia="仿宋_GB2312" w:cs="仿宋_GB2312"/>
                <w:sz w:val="28"/>
                <w:szCs w:val="28"/>
              </w:rPr>
            </w:pPr>
          </w:p>
        </w:tc>
      </w:tr>
    </w:tbl>
    <w:p>
      <w:pPr>
        <w:widowControl/>
        <w:jc w:val="left"/>
        <w:rPr>
          <w:rFonts w:eastAsia="方正小标宋简体"/>
          <w:bCs/>
          <w:sz w:val="42"/>
          <w:szCs w:val="42"/>
        </w:rPr>
      </w:pPr>
    </w:p>
    <w:sectPr>
      <w:pgSz w:w="11906" w:h="16838"/>
      <w:pgMar w:top="1588" w:right="1588" w:bottom="1588" w:left="1588" w:header="851" w:footer="992" w:gutter="0"/>
      <w:pgNumType w:fmt="decimal"/>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469"/>
        <w:tab w:val="clear" w:pos="4153"/>
      </w:tabs>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w:rPr>
        <w:sz w:val="21"/>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37438"/>
    <w:multiLevelType w:val="singleLevel"/>
    <w:tmpl w:val="08437438"/>
    <w:lvl w:ilvl="0" w:tentative="0">
      <w:start w:val="4"/>
      <w:numFmt w:val="chineseCounting"/>
      <w:suff w:val="nothing"/>
      <w:lvlText w:val="%1、"/>
      <w:lvlJc w:val="left"/>
      <w:rPr>
        <w:rFonts w:hint="eastAsia"/>
      </w:rPr>
    </w:lvl>
  </w:abstractNum>
  <w:abstractNum w:abstractNumId="1">
    <w:nsid w:val="3FDF06E9"/>
    <w:multiLevelType w:val="singleLevel"/>
    <w:tmpl w:val="3FDF06E9"/>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wYjE2NzhkNDM2Y2Y5NzI2YzFkODFmZGY5MzM4MWUifQ=="/>
  </w:docVars>
  <w:rsids>
    <w:rsidRoot w:val="004506F9"/>
    <w:rsid w:val="0002229B"/>
    <w:rsid w:val="000273BD"/>
    <w:rsid w:val="000415B7"/>
    <w:rsid w:val="00041E3F"/>
    <w:rsid w:val="00043919"/>
    <w:rsid w:val="00050C41"/>
    <w:rsid w:val="00050CBA"/>
    <w:rsid w:val="00055DAA"/>
    <w:rsid w:val="00060CE8"/>
    <w:rsid w:val="00061F7B"/>
    <w:rsid w:val="000658A3"/>
    <w:rsid w:val="00074155"/>
    <w:rsid w:val="000A3F69"/>
    <w:rsid w:val="000E3EB2"/>
    <w:rsid w:val="000F48C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343C4"/>
    <w:rsid w:val="003479BD"/>
    <w:rsid w:val="00353197"/>
    <w:rsid w:val="0037197D"/>
    <w:rsid w:val="003768D5"/>
    <w:rsid w:val="00380D59"/>
    <w:rsid w:val="00390458"/>
    <w:rsid w:val="003B36E5"/>
    <w:rsid w:val="003B67F1"/>
    <w:rsid w:val="003C2988"/>
    <w:rsid w:val="003C47E6"/>
    <w:rsid w:val="003C4FC2"/>
    <w:rsid w:val="003F0C26"/>
    <w:rsid w:val="00404A2E"/>
    <w:rsid w:val="00416E61"/>
    <w:rsid w:val="004228BF"/>
    <w:rsid w:val="0042790C"/>
    <w:rsid w:val="004506F9"/>
    <w:rsid w:val="004717A2"/>
    <w:rsid w:val="00473DF3"/>
    <w:rsid w:val="00487911"/>
    <w:rsid w:val="00491741"/>
    <w:rsid w:val="004B461B"/>
    <w:rsid w:val="00500E5F"/>
    <w:rsid w:val="005122EF"/>
    <w:rsid w:val="0051441A"/>
    <w:rsid w:val="00517C33"/>
    <w:rsid w:val="00523644"/>
    <w:rsid w:val="0054069E"/>
    <w:rsid w:val="00544866"/>
    <w:rsid w:val="005767CC"/>
    <w:rsid w:val="00590D9F"/>
    <w:rsid w:val="00595D26"/>
    <w:rsid w:val="005A74E6"/>
    <w:rsid w:val="005B404E"/>
    <w:rsid w:val="005B4265"/>
    <w:rsid w:val="005B74B2"/>
    <w:rsid w:val="005D4D55"/>
    <w:rsid w:val="005E2CFB"/>
    <w:rsid w:val="005F3D1C"/>
    <w:rsid w:val="0062378F"/>
    <w:rsid w:val="00641842"/>
    <w:rsid w:val="006512AF"/>
    <w:rsid w:val="00651EEC"/>
    <w:rsid w:val="00682F41"/>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A1A8E"/>
    <w:rsid w:val="007C0131"/>
    <w:rsid w:val="007C4539"/>
    <w:rsid w:val="007F3657"/>
    <w:rsid w:val="00812ED5"/>
    <w:rsid w:val="008277D9"/>
    <w:rsid w:val="0084478C"/>
    <w:rsid w:val="0086638C"/>
    <w:rsid w:val="008729C1"/>
    <w:rsid w:val="008A3E8D"/>
    <w:rsid w:val="008B576E"/>
    <w:rsid w:val="008D45ED"/>
    <w:rsid w:val="008F22B6"/>
    <w:rsid w:val="00911212"/>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16"/>
    <w:rsid w:val="00A92E9F"/>
    <w:rsid w:val="00B33BEA"/>
    <w:rsid w:val="00B57C9F"/>
    <w:rsid w:val="00B63572"/>
    <w:rsid w:val="00B845B3"/>
    <w:rsid w:val="00B85D8B"/>
    <w:rsid w:val="00BB4A40"/>
    <w:rsid w:val="00BD6C3E"/>
    <w:rsid w:val="00BE3674"/>
    <w:rsid w:val="00C10681"/>
    <w:rsid w:val="00C3049A"/>
    <w:rsid w:val="00C31B1E"/>
    <w:rsid w:val="00C77645"/>
    <w:rsid w:val="00C818E2"/>
    <w:rsid w:val="00C86A55"/>
    <w:rsid w:val="00CB222B"/>
    <w:rsid w:val="00CE04C3"/>
    <w:rsid w:val="00CE76A0"/>
    <w:rsid w:val="00D05F0E"/>
    <w:rsid w:val="00D13A21"/>
    <w:rsid w:val="00D148C6"/>
    <w:rsid w:val="00D17A8A"/>
    <w:rsid w:val="00D370A4"/>
    <w:rsid w:val="00D415BA"/>
    <w:rsid w:val="00D644EE"/>
    <w:rsid w:val="00D766F9"/>
    <w:rsid w:val="00DD06FF"/>
    <w:rsid w:val="00DD5FE9"/>
    <w:rsid w:val="00DE43F5"/>
    <w:rsid w:val="00E00C7A"/>
    <w:rsid w:val="00E37D6C"/>
    <w:rsid w:val="00E55B68"/>
    <w:rsid w:val="00E67BE6"/>
    <w:rsid w:val="00E8683C"/>
    <w:rsid w:val="00E95BA3"/>
    <w:rsid w:val="00EA2B72"/>
    <w:rsid w:val="00ED32FE"/>
    <w:rsid w:val="00F74360"/>
    <w:rsid w:val="00F8599C"/>
    <w:rsid w:val="00FA1A96"/>
    <w:rsid w:val="00FB462F"/>
    <w:rsid w:val="00FE16FA"/>
    <w:rsid w:val="00FE328A"/>
    <w:rsid w:val="00FE6269"/>
    <w:rsid w:val="0131792B"/>
    <w:rsid w:val="01BF68CB"/>
    <w:rsid w:val="02FE359F"/>
    <w:rsid w:val="030671D3"/>
    <w:rsid w:val="03367AB9"/>
    <w:rsid w:val="034D095F"/>
    <w:rsid w:val="04C62FED"/>
    <w:rsid w:val="05651985"/>
    <w:rsid w:val="0578110E"/>
    <w:rsid w:val="06393A67"/>
    <w:rsid w:val="06E9531A"/>
    <w:rsid w:val="075E6A93"/>
    <w:rsid w:val="08A75190"/>
    <w:rsid w:val="09F61725"/>
    <w:rsid w:val="0ACB4191"/>
    <w:rsid w:val="0AE64C3E"/>
    <w:rsid w:val="0DE713F5"/>
    <w:rsid w:val="0EA11F99"/>
    <w:rsid w:val="0F5A7B56"/>
    <w:rsid w:val="106776B8"/>
    <w:rsid w:val="109B7355"/>
    <w:rsid w:val="12524B4E"/>
    <w:rsid w:val="12AE418E"/>
    <w:rsid w:val="12CA057C"/>
    <w:rsid w:val="135831C1"/>
    <w:rsid w:val="13CF2271"/>
    <w:rsid w:val="14107B7F"/>
    <w:rsid w:val="14232FF3"/>
    <w:rsid w:val="145C6F86"/>
    <w:rsid w:val="14CC6C3C"/>
    <w:rsid w:val="14D44188"/>
    <w:rsid w:val="16DA5437"/>
    <w:rsid w:val="16EA6376"/>
    <w:rsid w:val="18B527EC"/>
    <w:rsid w:val="19526877"/>
    <w:rsid w:val="19A22389"/>
    <w:rsid w:val="1A8E6C76"/>
    <w:rsid w:val="1A9F5AEC"/>
    <w:rsid w:val="1AD21F08"/>
    <w:rsid w:val="1AE96D67"/>
    <w:rsid w:val="1B167399"/>
    <w:rsid w:val="1BD63657"/>
    <w:rsid w:val="1C6E13AF"/>
    <w:rsid w:val="1D740087"/>
    <w:rsid w:val="1D75395B"/>
    <w:rsid w:val="1D83687A"/>
    <w:rsid w:val="1DCD614E"/>
    <w:rsid w:val="1EC93989"/>
    <w:rsid w:val="1F262338"/>
    <w:rsid w:val="1F5C1589"/>
    <w:rsid w:val="1F816D32"/>
    <w:rsid w:val="20583080"/>
    <w:rsid w:val="20793004"/>
    <w:rsid w:val="21AD5522"/>
    <w:rsid w:val="21B76CF6"/>
    <w:rsid w:val="221B7C4A"/>
    <w:rsid w:val="22A65CD3"/>
    <w:rsid w:val="25B92249"/>
    <w:rsid w:val="265D4093"/>
    <w:rsid w:val="270F2F03"/>
    <w:rsid w:val="28126C71"/>
    <w:rsid w:val="28B03F94"/>
    <w:rsid w:val="29125FB3"/>
    <w:rsid w:val="29352AA9"/>
    <w:rsid w:val="2A39129B"/>
    <w:rsid w:val="2A7845B8"/>
    <w:rsid w:val="2AE14C8F"/>
    <w:rsid w:val="2B68420A"/>
    <w:rsid w:val="2C4D04DB"/>
    <w:rsid w:val="2CDB03E3"/>
    <w:rsid w:val="2D9612A7"/>
    <w:rsid w:val="302E2703"/>
    <w:rsid w:val="313910A4"/>
    <w:rsid w:val="31802E7F"/>
    <w:rsid w:val="31B31A0E"/>
    <w:rsid w:val="31E83ADF"/>
    <w:rsid w:val="33352F17"/>
    <w:rsid w:val="33F82636"/>
    <w:rsid w:val="34956FFA"/>
    <w:rsid w:val="35EA0028"/>
    <w:rsid w:val="370F1F8F"/>
    <w:rsid w:val="3716270A"/>
    <w:rsid w:val="39D222A0"/>
    <w:rsid w:val="3AB807D8"/>
    <w:rsid w:val="3AB94E4B"/>
    <w:rsid w:val="3BE719B7"/>
    <w:rsid w:val="3C8D5475"/>
    <w:rsid w:val="3C9B62C7"/>
    <w:rsid w:val="3CAA4EA0"/>
    <w:rsid w:val="3FC510C7"/>
    <w:rsid w:val="40942E06"/>
    <w:rsid w:val="418A27AE"/>
    <w:rsid w:val="42081667"/>
    <w:rsid w:val="421603E1"/>
    <w:rsid w:val="43E07686"/>
    <w:rsid w:val="44705F60"/>
    <w:rsid w:val="448E2DBC"/>
    <w:rsid w:val="490A0502"/>
    <w:rsid w:val="49B3446D"/>
    <w:rsid w:val="49DB3E9C"/>
    <w:rsid w:val="4B451150"/>
    <w:rsid w:val="4C520360"/>
    <w:rsid w:val="4DA0411A"/>
    <w:rsid w:val="4DD367A6"/>
    <w:rsid w:val="4E7D7917"/>
    <w:rsid w:val="4F2459EF"/>
    <w:rsid w:val="50AF18DD"/>
    <w:rsid w:val="50FB5576"/>
    <w:rsid w:val="543B500B"/>
    <w:rsid w:val="547052FE"/>
    <w:rsid w:val="55210D27"/>
    <w:rsid w:val="552A28AD"/>
    <w:rsid w:val="55F75E41"/>
    <w:rsid w:val="56144903"/>
    <w:rsid w:val="56342061"/>
    <w:rsid w:val="566172ED"/>
    <w:rsid w:val="567732F5"/>
    <w:rsid w:val="57081E33"/>
    <w:rsid w:val="57347846"/>
    <w:rsid w:val="58D27A43"/>
    <w:rsid w:val="595E6DC9"/>
    <w:rsid w:val="5B5C60A7"/>
    <w:rsid w:val="5C0C562C"/>
    <w:rsid w:val="5C78104E"/>
    <w:rsid w:val="5D1216CF"/>
    <w:rsid w:val="5D750343"/>
    <w:rsid w:val="5DE772F1"/>
    <w:rsid w:val="5E804B2F"/>
    <w:rsid w:val="5EFB4FA5"/>
    <w:rsid w:val="5FE665A9"/>
    <w:rsid w:val="60A51D88"/>
    <w:rsid w:val="61673133"/>
    <w:rsid w:val="61BE3C6D"/>
    <w:rsid w:val="61C36D5A"/>
    <w:rsid w:val="61DD0F78"/>
    <w:rsid w:val="62AF203C"/>
    <w:rsid w:val="63533BA0"/>
    <w:rsid w:val="63785B01"/>
    <w:rsid w:val="640677B1"/>
    <w:rsid w:val="643A7F3B"/>
    <w:rsid w:val="64B35F0A"/>
    <w:rsid w:val="64F74362"/>
    <w:rsid w:val="650A372B"/>
    <w:rsid w:val="655069A4"/>
    <w:rsid w:val="65D52300"/>
    <w:rsid w:val="673D38C3"/>
    <w:rsid w:val="675A36A1"/>
    <w:rsid w:val="67705D18"/>
    <w:rsid w:val="67C908A7"/>
    <w:rsid w:val="6884144A"/>
    <w:rsid w:val="69855A9E"/>
    <w:rsid w:val="698D4CAC"/>
    <w:rsid w:val="6C1257BE"/>
    <w:rsid w:val="6C876AE3"/>
    <w:rsid w:val="6DDC295E"/>
    <w:rsid w:val="6E21076F"/>
    <w:rsid w:val="70473489"/>
    <w:rsid w:val="70564D02"/>
    <w:rsid w:val="70723FAB"/>
    <w:rsid w:val="739905B6"/>
    <w:rsid w:val="739B6D41"/>
    <w:rsid w:val="74BD194A"/>
    <w:rsid w:val="75530B22"/>
    <w:rsid w:val="76706F2C"/>
    <w:rsid w:val="76892497"/>
    <w:rsid w:val="76EB7C5D"/>
    <w:rsid w:val="77573E97"/>
    <w:rsid w:val="7852253B"/>
    <w:rsid w:val="78F37859"/>
    <w:rsid w:val="79774793"/>
    <w:rsid w:val="7BAD3447"/>
    <w:rsid w:val="7D3207CB"/>
    <w:rsid w:val="7D6346E8"/>
    <w:rsid w:val="7D9046C1"/>
    <w:rsid w:val="7D9639AA"/>
    <w:rsid w:val="7E212D64"/>
    <w:rsid w:val="7E3B50B2"/>
    <w:rsid w:val="7E524E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 w:val="28"/>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jc w:val="left"/>
    </w:pPr>
    <w:rPr>
      <w:rFonts w:cs="Times New Roman"/>
      <w:kern w:val="0"/>
      <w:sz w:val="24"/>
    </w:rPr>
  </w:style>
  <w:style w:type="character" w:styleId="9">
    <w:name w:val="page number"/>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0"/>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11058</Words>
  <Characters>11561</Characters>
  <Lines>88</Lines>
  <Paragraphs>24</Paragraphs>
  <TotalTime>1</TotalTime>
  <ScaleCrop>false</ScaleCrop>
  <LinksUpToDate>false</LinksUpToDate>
  <CharactersWithSpaces>11976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AOC</cp:lastModifiedBy>
  <cp:lastPrinted>2021-09-16T02:46:00Z</cp:lastPrinted>
  <dcterms:modified xsi:type="dcterms:W3CDTF">2022-08-25T03:18:04Z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A7A8866D6DB54D819A31FFEB85B9B428</vt:lpwstr>
  </property>
  <property fmtid="{D5CDD505-2E9C-101B-9397-08002B2CF9AE}" pid="4" name="commondata">
    <vt:lpwstr>eyJoZGlkIjoiMzViOWEwOTFlZGU2OGM5YmQxNzdlNzY0NWNlZTEzZGMifQ==</vt:lpwstr>
  </property>
</Properties>
</file>