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岳阳市人民政府</w:t>
      </w:r>
      <w:r>
        <w:rPr>
          <w:rFonts w:hint="eastAsia" w:eastAsia="仿宋_GB2312"/>
          <w:sz w:val="32"/>
          <w:szCs w:val="32"/>
          <w:u w:val="single"/>
          <w:lang w:val="en-US" w:eastAsia="zh-CN"/>
        </w:rPr>
        <w:t>研究</w:t>
      </w:r>
      <w:r>
        <w:rPr>
          <w:rFonts w:hint="eastAsia" w:eastAsia="仿宋_GB2312"/>
          <w:sz w:val="32"/>
          <w:szCs w:val="32"/>
          <w:u w:val="single"/>
        </w:rPr>
        <w:t xml:space="preserve">室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2310</w:t>
      </w:r>
      <w:r>
        <w:rPr>
          <w:rFonts w:hint="eastAsia" w:eastAsia="仿宋_GB2312"/>
          <w:spacing w:val="20"/>
          <w:sz w:val="32"/>
          <w:szCs w:val="32"/>
          <w:u w:val="single"/>
        </w:rPr>
        <w:t xml:space="preserve">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报告日期：2021年6月21 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陈平刚</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3974013797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一）负责《政府工作报告》和市长、常务副市长重要讲话、报告、文章的起草以及有关新闻稿的审定。</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（二）负责市政府重要汇报材料的起草；参与组织和协同有关方面起草、修改市政府的有关重要综合性文件。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（三）负责对涉及全市经济建设、社会发展和改革开放等全局性工作的重大课题调查研究，提出对策建议和可行性参考方案。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（四）对市内外经济形势和重要政策进行分析和研究，提出政策建议。收集、分析、整理和报送经济社会发展的重要信息、动态，为市政府决策提供参考建议。</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（五）承担市专家咨询委员会的日常工作；组织专家对全市经济社会发展重大问题、决策、项目等方面开展研究论证和决策咨询服务。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1：起草《政府工作报告》和市政府主要领导同志重要讲话、报告、文章；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2：起草市政府向省委、省政府的重要汇报材料；</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3：组织和协同起草、修改市政府的有关重要综合性文件；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4：参与起草市委、市政府有关重要会议的文件；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5：组织重大课题调查研究并完成有价值、有见地、有分析、有对策的调研成果，为市委市政府决策提供可靠依据和可行对策；</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6：收集、整理全市政务信息，及时向省政府办公厅传报；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7：收集、分析、整理和报送经济社会发展的重要信息、动态，为市政府决策提供参考建议；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年度，较好完成了市委市政府的各项工作任务，今年以来，共起草领导讲话、专题报告、宣传片脚本、考察线路解说词等文稿500余篇。全年累计报送政务信息863条，有150多条被省政府采用，超额完成了省定目标任务，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年综合排名跃居全省第3位。</w:t>
            </w:r>
          </w:p>
          <w:p>
            <w:pPr>
              <w:autoSpaceDN w:val="0"/>
              <w:spacing w:line="320" w:lineRule="exact"/>
              <w:ind w:firstLine="480" w:firstLineChars="20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307.80</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24.82</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274.10</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ind w:firstLine="240" w:firstLineChars="100"/>
              <w:jc w:val="left"/>
              <w:rPr>
                <w:rFonts w:ascii="仿宋_GB2312" w:hAnsi="仿宋_GB2312" w:eastAsia="仿宋_GB2312" w:cs="仿宋_GB2312"/>
                <w:color w:val="000000"/>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307.80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298.91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191.2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107.7</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6</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0.16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3.77</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1：起草《政府工作报告》和市政府主要领导同志重要讲话、报告、文章；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2：起草市政府向省委、省政府的重要汇报材料；</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3：组织和协同起草、修改市政府的有关重要综合性文件；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4：参与起草市委、市政府有关重要会议的文件；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5：组织重大课题调查研究并完成有价值、有见地、有分析、有对策的调研成果，为市委市政府决策提供可靠依据和可行对策；</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6：收集、整理全市政务信息，及时向省政府办公厅传报；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7：收集、分析、整理和报送经济社会发展的重要信息、动态，为市政府决策提供参考建议；</w:t>
            </w:r>
          </w:p>
        </w:tc>
        <w:tc>
          <w:tcPr>
            <w:tcW w:w="4585" w:type="dxa"/>
            <w:gridSpan w:val="9"/>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我室</w:t>
            </w:r>
            <w:r>
              <w:rPr>
                <w:rFonts w:hint="eastAsia" w:ascii="仿宋_GB2312" w:hAnsi="仿宋_GB2312" w:eastAsia="仿宋_GB2312" w:cs="仿宋_GB2312"/>
                <w:color w:val="000000"/>
                <w:sz w:val="24"/>
              </w:rPr>
              <w:t>较好完成了市委市政府的各项工作任务，今年以来，共起草领导讲话、专题报告、宣传片脚本、考察线路解说词等文稿500余篇。全年累计报送政务信息863条，有150多条被省政府采用，超额完成了省定目标任务，20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年综合排名跃居全省第3位。</w:t>
            </w:r>
          </w:p>
          <w:p>
            <w:pPr>
              <w:autoSpaceDN w:val="0"/>
              <w:spacing w:line="320" w:lineRule="exact"/>
              <w:ind w:firstLine="360" w:firstLineChars="15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及时完成《政府工作报告》等各类文稿材料，调研成果完成</w:t>
            </w:r>
            <w:r>
              <w:rPr>
                <w:rFonts w:hint="eastAsia" w:ascii="仿宋_GB2312" w:eastAsia="仿宋_GB2312"/>
              </w:rPr>
              <w:t>率100%</w:t>
            </w:r>
          </w:p>
        </w:tc>
        <w:tc>
          <w:tcPr>
            <w:tcW w:w="2684" w:type="dxa"/>
            <w:gridSpan w:val="6"/>
            <w:vAlign w:val="center"/>
          </w:tcPr>
          <w:p>
            <w:pPr>
              <w:autoSpaceDN w:val="0"/>
              <w:spacing w:line="320" w:lineRule="exact"/>
              <w:ind w:firstLine="315" w:firstLineChars="150"/>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调研成果完成率</w:t>
            </w:r>
            <w:r>
              <w:rPr>
                <w:rFonts w:hint="eastAsia" w:ascii="仿宋_GB2312" w:eastAsia="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4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numPr>
                <w:ilvl w:val="0"/>
                <w:numId w:val="2"/>
              </w:numPr>
              <w:jc w:val="left"/>
              <w:rPr>
                <w:rFonts w:hint="eastAsia" w:ascii="仿宋_GB2312" w:eastAsia="仿宋_GB2312"/>
                <w:lang w:val="en-US" w:eastAsia="zh-CN"/>
              </w:rPr>
            </w:pPr>
            <w:r>
              <w:rPr>
                <w:rFonts w:hint="eastAsia" w:ascii="仿宋_GB2312" w:eastAsia="仿宋_GB2312"/>
                <w:lang w:val="en-US" w:eastAsia="zh-CN"/>
              </w:rPr>
              <w:t>组织完成20个重大课题调查研究；</w:t>
            </w:r>
          </w:p>
          <w:p>
            <w:pPr>
              <w:numPr>
                <w:ilvl w:val="0"/>
                <w:numId w:val="2"/>
              </w:numPr>
              <w:jc w:val="left"/>
              <w:rPr>
                <w:rFonts w:hint="default" w:ascii="仿宋_GB2312" w:eastAsia="仿宋_GB2312"/>
                <w:lang w:val="en-US" w:eastAsia="zh-CN"/>
              </w:rPr>
            </w:pPr>
            <w:r>
              <w:rPr>
                <w:rFonts w:hint="eastAsia" w:ascii="仿宋_GB2312" w:eastAsia="仿宋_GB2312"/>
                <w:lang w:val="en-US" w:eastAsia="zh-CN"/>
              </w:rPr>
              <w:t>收集、整理全市政务信息，报送700条以上政务信息；</w:t>
            </w:r>
          </w:p>
          <w:p>
            <w:pPr>
              <w:widowControl/>
              <w:numPr>
                <w:ilvl w:val="0"/>
                <w:numId w:val="2"/>
              </w:numPr>
              <w:ind w:left="0" w:leftChars="0" w:firstLine="0" w:firstLineChars="0"/>
              <w:jc w:val="left"/>
              <w:rPr>
                <w:rFonts w:hint="eastAsia" w:ascii="仿宋_GB2312" w:eastAsia="仿宋_GB2312"/>
                <w:lang w:val="en-US" w:eastAsia="zh-CN"/>
              </w:rPr>
            </w:pPr>
            <w:r>
              <w:rPr>
                <w:rFonts w:hint="eastAsia" w:ascii="仿宋_GB2312" w:eastAsia="仿宋_GB2312"/>
                <w:lang w:val="en-US" w:eastAsia="zh-CN"/>
              </w:rPr>
              <w:t>收集、分析、整理和报送100份以上的经济社会发展的重要信息、动态，为市政府决策提供参考建议；</w:t>
            </w:r>
          </w:p>
          <w:p>
            <w:pPr>
              <w:autoSpaceDN w:val="0"/>
              <w:spacing w:line="320" w:lineRule="exact"/>
              <w:jc w:val="left"/>
              <w:textAlignment w:val="center"/>
              <w:rPr>
                <w:rFonts w:hint="eastAsia" w:ascii="仿宋_GB2312" w:eastAsia="仿宋_GB2312"/>
                <w:lang w:val="en-US" w:eastAsia="zh-CN"/>
              </w:rPr>
            </w:pPr>
            <w:r>
              <w:rPr>
                <w:rFonts w:hint="eastAsia" w:ascii="仿宋_GB2312" w:eastAsia="仿宋_GB2312"/>
                <w:lang w:val="en-US" w:eastAsia="zh-CN"/>
              </w:rPr>
              <w:t>组织和协同起草、修改市政府的有关重要综合性材料500份以上</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tcBorders/>
            <w:vAlign w:val="center"/>
          </w:tcPr>
          <w:p>
            <w:pPr>
              <w:autoSpaceDN w:val="0"/>
              <w:spacing w:line="320" w:lineRule="exact"/>
              <w:ind w:firstLine="210" w:firstLineChars="100"/>
              <w:jc w:val="lef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合计1320份（条）以上</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年底前完成任务</w:t>
            </w:r>
          </w:p>
        </w:tc>
        <w:tc>
          <w:tcPr>
            <w:tcW w:w="2684" w:type="dxa"/>
            <w:gridSpan w:val="6"/>
            <w:vAlign w:val="center"/>
          </w:tcPr>
          <w:p>
            <w:pPr>
              <w:autoSpaceDN w:val="0"/>
              <w:spacing w:line="320" w:lineRule="exact"/>
              <w:ind w:firstLine="210" w:firstLineChars="100"/>
              <w:jc w:val="left"/>
              <w:textAlignment w:val="center"/>
              <w:rPr>
                <w:rFonts w:ascii="仿宋_GB2312" w:hAnsi="仿宋_GB2312" w:eastAsia="仿宋_GB2312" w:cs="仿宋_GB2312"/>
                <w:color w:val="000000"/>
                <w:sz w:val="24"/>
              </w:rPr>
            </w:pPr>
            <w:r>
              <w:rPr>
                <w:rFonts w:hint="eastAsia" w:ascii="仿宋_GB2312" w:eastAsia="仿宋_GB2312"/>
              </w:rPr>
              <w:t>年内完成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为市委市政府提供参考决策，为岳阳市高质量发展提供决策参谋。</w:t>
            </w:r>
          </w:p>
        </w:tc>
        <w:tc>
          <w:tcPr>
            <w:tcW w:w="2684"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eastAsia="仿宋_GB231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逐月收集、分析、整理和报送经济社会发展的重要信息、动态，编辑成《经济动态》刊物，为市政府决策提供参考建议</w:t>
            </w:r>
          </w:p>
        </w:tc>
        <w:tc>
          <w:tcPr>
            <w:tcW w:w="2684"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eastAsia="仿宋_GB2312"/>
                <w:lang w:val="en-US" w:eastAsia="zh-CN"/>
              </w:rPr>
              <w:t>12份以上</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撰写生态环境、守护好一江碧水、长江经济带高质量发展等方面的材料，为岳阳市生态环境提供参谋服务</w:t>
            </w:r>
          </w:p>
        </w:tc>
        <w:tc>
          <w:tcPr>
            <w:tcW w:w="2684" w:type="dxa"/>
            <w:gridSpan w:val="6"/>
            <w:vAlign w:val="center"/>
          </w:tcPr>
          <w:p>
            <w:pPr>
              <w:autoSpaceDN w:val="0"/>
              <w:spacing w:line="320" w:lineRule="exact"/>
              <w:ind w:firstLine="210" w:firstLineChars="100"/>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5篇以上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游琦</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办公室主任、一级主任科员</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市</w:t>
            </w:r>
            <w:r>
              <w:rPr>
                <w:rFonts w:hint="eastAsia" w:ascii="仿宋_GB2312" w:hAnsi="仿宋_GB2312" w:eastAsia="仿宋_GB2312" w:cs="仿宋_GB2312"/>
                <w:color w:val="000000"/>
                <w:sz w:val="24"/>
                <w:lang w:val="en-US" w:eastAsia="zh-CN"/>
              </w:rPr>
              <w:t>政府研究室</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谢亢</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调研科</w:t>
            </w:r>
            <w:r>
              <w:rPr>
                <w:rFonts w:hint="eastAsia" w:ascii="仿宋_GB2312" w:hAnsi="仿宋_GB2312" w:eastAsia="仿宋_GB2312" w:cs="仿宋_GB2312"/>
                <w:color w:val="000000"/>
                <w:sz w:val="24"/>
              </w:rPr>
              <w:t>科长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市</w:t>
            </w:r>
            <w:r>
              <w:rPr>
                <w:rFonts w:hint="eastAsia" w:ascii="仿宋_GB2312" w:hAnsi="仿宋_GB2312" w:eastAsia="仿宋_GB2312" w:cs="仿宋_GB2312"/>
                <w:color w:val="000000"/>
                <w:sz w:val="24"/>
                <w:lang w:val="en-US" w:eastAsia="zh-CN"/>
              </w:rPr>
              <w:t>政府研究室</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谢亢</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18673000590</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（一）单位基本情况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政府研究室有</w:t>
            </w:r>
            <w:r>
              <w:rPr>
                <w:rFonts w:ascii="仿宋_GB2312" w:hAnsi="仿宋_GB2312" w:eastAsia="仿宋_GB2312" w:cs="仿宋_GB2312"/>
                <w:bCs/>
                <w:sz w:val="28"/>
                <w:szCs w:val="28"/>
              </w:rPr>
              <w:t>在职干部</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人，退休干部</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人，主要职责：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（1）负责起草《政府工作报告》和市政府主要领导同志重要讲话、报告、文章。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（2）负责起草市政府向省委、省政府的重要汇报材料；组织和协同有关方面起草、修改市政府的有关重要综合性文件；参与起草市委、市政府有关重要会议的文件。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（3）对涉及全市经济建设、社会发展和改革开放等全局性工作的重大课题组织调查研究，及时综合归纳，提出供市政府决策的参考方案和政策性建议。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（4）对市内外经济形势和社会发展政策进行分析和研究，提出政策建议。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（5）收集、整理全市政务信息，及时向省政府办公厅传报；收集、分析、整理和报送经济社会发展的重要信息、动态，为市政府决策提供参考建议。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（6）负责全市政府系统的情况综合、调查研究和信息工作指导。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（7）编发《民本岳阳》、《政府通报》、《经济动态》。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ascii="仿宋_GB2312" w:hAnsi="仿宋_GB2312" w:eastAsia="仿宋_GB2312" w:cs="仿宋_GB2312"/>
                <w:bCs/>
                <w:sz w:val="28"/>
                <w:szCs w:val="28"/>
              </w:rPr>
            </w:pPr>
            <w:r>
              <w:rPr>
                <w:rFonts w:hint="eastAsia" w:ascii="仿宋_GB2312" w:hAnsi="仿宋_GB2312" w:eastAsia="仿宋_GB2312" w:cs="仿宋_GB2312"/>
                <w:bCs/>
                <w:kern w:val="2"/>
                <w:sz w:val="28"/>
                <w:szCs w:val="28"/>
                <w:lang w:val="en-US" w:eastAsia="zh-CN" w:bidi="ar-SA"/>
              </w:rPr>
              <w:t>（8）承办市人民政府交办的其他事项。</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（二）单位整体支出规模、使用方向和主要内容、涉及范围</w:t>
            </w:r>
          </w:p>
          <w:p>
            <w:pPr>
              <w:pStyle w:val="19"/>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auto"/>
                <w:kern w:val="2"/>
                <w:sz w:val="28"/>
                <w:szCs w:val="28"/>
                <w:lang w:val="en-US" w:eastAsia="zh-CN" w:bidi="ar-SA"/>
              </w:rPr>
              <w:t>2020年度收、支总计307.80万元。与上年相比，增加10.88万元，增长3.66%，主要是因为人员调入、工资普调导致</w:t>
            </w:r>
            <w:r>
              <w:rPr>
                <w:rFonts w:hint="eastAsia" w:ascii="仿宋_GB2312" w:hAnsi="仿宋_GB2312" w:eastAsia="仿宋_GB2312" w:cs="仿宋_GB2312"/>
                <w:bCs/>
                <w:color w:val="auto"/>
                <w:kern w:val="2"/>
                <w:sz w:val="28"/>
                <w:szCs w:val="28"/>
                <w:lang w:val="en-US" w:eastAsia="zh-CN" w:bidi="ar-SA"/>
              </w:rPr>
              <w:t>收支增加。本年支出合计305.80万元，其中：基本支出305.80万元，占100%；项目支出0万元，所占比例为0；上缴上级支出0万元，所占比例为0；经营支出0万元，所占比例为0；对附属单位补助支出0万元，所占比例为0。</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室</w:t>
            </w:r>
            <w:r>
              <w:rPr>
                <w:rFonts w:ascii="仿宋_GB2312" w:hAnsi="仿宋_GB2312" w:eastAsia="仿宋_GB2312" w:cs="仿宋_GB2312"/>
                <w:bCs/>
                <w:sz w:val="28"/>
                <w:szCs w:val="28"/>
              </w:rPr>
              <w:t>基本支出的范围主要用于人员经费和日常公用经费开支，具体包括工资福利支出、商品和服务支出、对个人和家庭补助支出等。</w:t>
            </w:r>
          </w:p>
          <w:p>
            <w:pPr>
              <w:numPr>
                <w:ilvl w:val="0"/>
                <w:numId w:val="3"/>
              </w:numPr>
              <w:spacing w:line="56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一般公共预算财政拨款基本支出</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Cs/>
                <w:sz w:val="28"/>
                <w:szCs w:val="28"/>
              </w:rPr>
              <w:t>2020年度财政拨款基本支出298.91万元，其中：人员经费191.20万元，占基本支出的63.97%,主要包括基本工资、津贴补贴、奖金、伙食补助费、机关事业单位基本养老保险缴费、医疗费、退休费、其他对个人和家庭的补助等；公用经费107.71万元，占基本支出的36.03%，主要包括办公费、印刷费、物业管理费、差旅费、劳务费、工会经费、其他交通费等。</w:t>
            </w:r>
          </w:p>
          <w:p>
            <w:pPr>
              <w:numPr>
                <w:ilvl w:val="0"/>
                <w:numId w:val="3"/>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公”经费财政拨款支出预算为20.69万元，支出决算为3.93万元，完成预算的18.99%，其中：因公出国（境）费支出预算为0万元，支出决算为0万元，与上年相比减少4.56万元，减少100%，主要原因是按照要求，严控因公出国（境）费支出。公务接待费支出预算为13.49万元，支出决算为0.16万元，完成预算的1.19%，决算数小于预算数的主要原因是按照要求，严控公务接待费支出，与上年相比减少0.85万元，减少84.16%,减少的主要原因是按照要求，严控公务接待费支出。公务用车购置费及运行维护费支出预算为7.2万元，支出决算为3.77万元，完成预算的52.36%，决算数小于预算数的主要原因是按照要求，严控公务用车运行维护费支出，与上年相比减少1.03万元，减少21.46%,减少的主要原因是按照要求，严控公务用车运行维护费支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按照绩效自评要求，我办组织成立了绩效评价工作小组，组织学习国家法律法规，贯彻落实相关政策，制定了部门整体支出绩效评价实施方案，设计了绩效评价指标体系。核查了2020年市级财政预算批复执行及部门整体支出情况，着重核查了“三公”经费</w:t>
            </w:r>
            <w:r>
              <w:rPr>
                <w:rFonts w:hint="eastAsia" w:ascii="仿宋_GB2312" w:hAnsi="仿宋_GB2312" w:eastAsia="仿宋_GB2312" w:cs="仿宋_GB2312"/>
                <w:bCs/>
                <w:sz w:val="28"/>
                <w:szCs w:val="28"/>
              </w:rPr>
              <w:t>等</w:t>
            </w:r>
            <w:r>
              <w:rPr>
                <w:rFonts w:ascii="仿宋_GB2312" w:hAnsi="仿宋_GB2312" w:eastAsia="仿宋_GB2312" w:cs="仿宋_GB2312"/>
                <w:bCs/>
                <w:sz w:val="28"/>
                <w:szCs w:val="28"/>
              </w:rPr>
              <w:t>。对内设机构，根据职能和年初制定的绩效考核目标，进行了实地绩效考评。</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（二）专项管理情况分析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1、严格预算支出管理。在支出预算编制上，人员经费按照配置定额，逐人核定编制，公用经费分类分档，按定额编制；根据“总量控制、计划管理”的要求从严控制行政经费，压缩</w:t>
            </w:r>
            <w:r>
              <w:rPr>
                <w:rFonts w:hint="eastAsia" w:ascii="仿宋_GB2312" w:hAnsi="仿宋_GB2312" w:eastAsia="仿宋_GB2312" w:cs="仿宋_GB2312"/>
                <w:bCs/>
                <w:sz w:val="28"/>
                <w:szCs w:val="28"/>
              </w:rPr>
              <w:t>一般性支出</w:t>
            </w:r>
            <w:r>
              <w:rPr>
                <w:rFonts w:ascii="仿宋_GB2312" w:hAnsi="仿宋_GB2312" w:eastAsia="仿宋_GB2312" w:cs="仿宋_GB2312"/>
                <w:bCs/>
                <w:sz w:val="28"/>
                <w:szCs w:val="28"/>
              </w:rPr>
              <w:t>，严格控制“三公”经费，资产的配置严格政府采购，按照预算科目和项目资金的规定使用财政资金，保障部门整体支出的规范化、制度化。</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2、财务管理按制度运行。根据国家法律法规，省市相关文件规定，各项支出严格按照省市相关文件和制度执行，防范风险，保证财政资金的安全和高效运行。</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widowControl/>
              <w:spacing w:beforeLines="0" w:afterLines="0" w:line="600" w:lineRule="exact"/>
              <w:ind w:firstLine="560" w:firstLineChars="200"/>
              <w:rPr>
                <w:rFonts w:hint="default" w:cs="黑体" w:asciiTheme="minorEastAsia" w:hAnsiTheme="minorEastAsia" w:eastAsiaTheme="minorEastAsia"/>
                <w:color w:val="auto"/>
                <w:kern w:val="0"/>
                <w:sz w:val="32"/>
                <w:szCs w:val="32"/>
                <w:lang w:val="en-US" w:eastAsia="zh-CN" w:bidi="ar-SA"/>
              </w:rPr>
            </w:pPr>
            <w:r>
              <w:rPr>
                <w:rFonts w:hint="default"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lang w:val="en-US" w:eastAsia="zh-CN"/>
              </w:rPr>
              <w:t>20年，市政府研究室政拨款收入合计274.10万元，财政拨款支出合计298.91万元，年末结转和结余0.01万元。主要绩效目标是：完成年度政府工作报告、完成政府主要领导重要讲话材料、政府信息报送、以及课题调研等工作。通过规范预算支出管理，不断完善内部控制制度，理顺内部业务管理流程，部门整体支出管理情况得到了提升，市政府研究室在强化业务管理、财务管理、内部控制和厉行节约等方面开展了大量工作，预算管理水平明显提升。</w:t>
            </w: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通过对我单位整体支出情况的分析，反映出目前在整体支出的预算编制、执行和管理过程中，依然存在一些问题和不足：</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1、预算管理制度不够完善，年初预算不够精细，尚未建立规范的预算制度和标准化管理体系。</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２、预算绩效管理缺乏专职专业管理人员。</w:t>
            </w:r>
          </w:p>
          <w:p>
            <w:pPr>
              <w:spacing w:line="560" w:lineRule="exact"/>
              <w:ind w:firstLine="560" w:firstLineChars="200"/>
              <w:rPr>
                <w:rFonts w:ascii="黑体" w:hAnsi="黑体" w:eastAsia="黑体" w:cs="黑体"/>
                <w:bCs/>
                <w:sz w:val="28"/>
                <w:szCs w:val="28"/>
              </w:rPr>
            </w:pPr>
            <w:r>
              <w:rPr>
                <w:rFonts w:ascii="仿宋_GB2312" w:hAnsi="仿宋_GB2312" w:eastAsia="仿宋_GB2312" w:cs="仿宋_GB2312"/>
                <w:bCs/>
                <w:sz w:val="28"/>
                <w:szCs w:val="28"/>
              </w:rPr>
              <w:t>３、内控制度有待加强。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细化预算编制工作，认真做好预算的编制。</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进一步加强单位预算管理意识，严格按照预算编制的相关制度和要求，公用经费根据单位的年度工作重点工作规划，本着“勤俭节约、保障运转”的原则进行预算的编制，编制范围尽可能全面，不漏项，在预算编制时首先需满足固定性的、相对刚性的费用支出项目，尽量压缩变动性、有控制空间的费用项目；提高预算编制的科学性、合理性、严谨性和可控性。</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２、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３、尽管目前三公经费的预算执行情况较好，仍需进一步严控三公经费支出，严格控制三公经费的规模和比例，严格三公经费支出的审批流程，杜绝挪用和挤占其他预算资金行为，进一步细化三公经费的管理，抓好公车的节能降耗工作，进一步</w:t>
            </w:r>
            <w:r>
              <w:rPr>
                <w:rFonts w:hint="eastAsia" w:ascii="仿宋_GB2312" w:hAnsi="仿宋_GB2312" w:eastAsia="仿宋_GB2312" w:cs="仿宋_GB2312"/>
                <w:bCs/>
                <w:sz w:val="28"/>
                <w:szCs w:val="28"/>
              </w:rPr>
              <w:t>压减</w:t>
            </w:r>
            <w:r>
              <w:rPr>
                <w:rFonts w:ascii="仿宋_GB2312" w:hAnsi="仿宋_GB2312" w:eastAsia="仿宋_GB2312" w:cs="仿宋_GB2312"/>
                <w:bCs/>
                <w:sz w:val="28"/>
                <w:szCs w:val="28"/>
              </w:rPr>
              <w:t>三公经费支出。</w:t>
            </w:r>
          </w:p>
          <w:p>
            <w:pPr>
              <w:spacing w:line="560" w:lineRule="exact"/>
              <w:ind w:firstLine="560" w:firstLineChars="200"/>
              <w:rPr>
                <w:rFonts w:hint="eastAsia" w:eastAsia="仿宋_GB2312"/>
                <w:bCs/>
                <w:sz w:val="28"/>
                <w:szCs w:val="28"/>
                <w:lang w:eastAsia="zh-CN"/>
              </w:rPr>
            </w:pPr>
            <w:r>
              <w:rPr>
                <w:rFonts w:ascii="仿宋_GB2312" w:hAnsi="仿宋_GB2312" w:eastAsia="仿宋_GB2312" w:cs="仿宋_GB2312"/>
                <w:bCs/>
                <w:sz w:val="28"/>
                <w:szCs w:val="28"/>
              </w:rPr>
              <w:t>４、加强财务核算工作，提高财务的精细化管理，确保财务核算的真实、及时、准确、完整</w:t>
            </w:r>
            <w:r>
              <w:rPr>
                <w:rFonts w:hint="eastAsia" w:ascii="仿宋_GB2312" w:hAnsi="仿宋_GB2312" w:eastAsia="仿宋_GB2312" w:cs="仿宋_GB2312"/>
                <w:bCs/>
                <w:sz w:val="28"/>
                <w:szCs w:val="28"/>
                <w:lang w:eastAsia="zh-CN"/>
              </w:rPr>
              <w:t>。</w:t>
            </w:r>
          </w:p>
        </w:tc>
      </w:tr>
    </w:tbl>
    <w:p>
      <w:pPr>
        <w:spacing w:line="348" w:lineRule="auto"/>
        <w:rPr>
          <w:rFonts w:ascii="黑体" w:hAnsi="黑体" w:eastAsia="黑体"/>
          <w:sz w:val="32"/>
          <w:szCs w:val="32"/>
        </w:rPr>
      </w:pPr>
      <w:bookmarkStart w:id="0" w:name="_GoBack"/>
      <w:bookmarkEnd w:id="0"/>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88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2BB762BD"/>
    <w:multiLevelType w:val="singleLevel"/>
    <w:tmpl w:val="2BB762BD"/>
    <w:lvl w:ilvl="0" w:tentative="0">
      <w:start w:val="1"/>
      <w:numFmt w:val="decimal"/>
      <w:suff w:val="nothing"/>
      <w:lvlText w:val="%1、"/>
      <w:lvlJc w:val="left"/>
    </w:lvl>
  </w:abstractNum>
  <w:abstractNum w:abstractNumId="2">
    <w:nsid w:val="4CF419E8"/>
    <w:multiLevelType w:val="singleLevel"/>
    <w:tmpl w:val="4CF419E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jNzkwM2U2MjcyYzBhZjUwZjM2OTRmNzE5M2FjNT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2BD"/>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3B86"/>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4F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119B"/>
    <w:rsid w:val="002125D7"/>
    <w:rsid w:val="00213429"/>
    <w:rsid w:val="0021427E"/>
    <w:rsid w:val="00214659"/>
    <w:rsid w:val="00215498"/>
    <w:rsid w:val="00217512"/>
    <w:rsid w:val="00220FD4"/>
    <w:rsid w:val="0022118A"/>
    <w:rsid w:val="00221846"/>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057F"/>
    <w:rsid w:val="002B2428"/>
    <w:rsid w:val="002B35A2"/>
    <w:rsid w:val="002B5B9D"/>
    <w:rsid w:val="002C0F44"/>
    <w:rsid w:val="002C1CC0"/>
    <w:rsid w:val="002C26F7"/>
    <w:rsid w:val="002C3B15"/>
    <w:rsid w:val="002D012B"/>
    <w:rsid w:val="002D0C45"/>
    <w:rsid w:val="002D196C"/>
    <w:rsid w:val="002D257D"/>
    <w:rsid w:val="002D4C75"/>
    <w:rsid w:val="002D7A7D"/>
    <w:rsid w:val="002E172A"/>
    <w:rsid w:val="002E4165"/>
    <w:rsid w:val="002E5BB6"/>
    <w:rsid w:val="002E5BF7"/>
    <w:rsid w:val="002E5EEA"/>
    <w:rsid w:val="002F1297"/>
    <w:rsid w:val="002F14C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4867"/>
    <w:rsid w:val="00341977"/>
    <w:rsid w:val="00341EF7"/>
    <w:rsid w:val="00342F27"/>
    <w:rsid w:val="00343E6F"/>
    <w:rsid w:val="003543F8"/>
    <w:rsid w:val="003553B0"/>
    <w:rsid w:val="00356327"/>
    <w:rsid w:val="003567CB"/>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250F"/>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83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763"/>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479F"/>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260A"/>
    <w:rsid w:val="00697134"/>
    <w:rsid w:val="006A12EF"/>
    <w:rsid w:val="006A16B0"/>
    <w:rsid w:val="006A3BA9"/>
    <w:rsid w:val="006A4A94"/>
    <w:rsid w:val="006A5D87"/>
    <w:rsid w:val="006A5F04"/>
    <w:rsid w:val="006B2A3D"/>
    <w:rsid w:val="006B7806"/>
    <w:rsid w:val="006C0390"/>
    <w:rsid w:val="006C1FC4"/>
    <w:rsid w:val="006C28ED"/>
    <w:rsid w:val="006C2D55"/>
    <w:rsid w:val="006C35BF"/>
    <w:rsid w:val="006C49D8"/>
    <w:rsid w:val="006C646C"/>
    <w:rsid w:val="006D05A2"/>
    <w:rsid w:val="006D30B1"/>
    <w:rsid w:val="006D384A"/>
    <w:rsid w:val="006D4CE1"/>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67BB6"/>
    <w:rsid w:val="00770C15"/>
    <w:rsid w:val="0077174A"/>
    <w:rsid w:val="007749BE"/>
    <w:rsid w:val="0077796D"/>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309"/>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669A"/>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15B"/>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144"/>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5955"/>
    <w:rsid w:val="00B16BAB"/>
    <w:rsid w:val="00B17FCC"/>
    <w:rsid w:val="00B2041C"/>
    <w:rsid w:val="00B21FDE"/>
    <w:rsid w:val="00B22513"/>
    <w:rsid w:val="00B22C19"/>
    <w:rsid w:val="00B23EF4"/>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3E"/>
    <w:rsid w:val="00B860D1"/>
    <w:rsid w:val="00B866D5"/>
    <w:rsid w:val="00B86D03"/>
    <w:rsid w:val="00B86D8C"/>
    <w:rsid w:val="00B92319"/>
    <w:rsid w:val="00B94D43"/>
    <w:rsid w:val="00B95B70"/>
    <w:rsid w:val="00B95C8D"/>
    <w:rsid w:val="00BA1B08"/>
    <w:rsid w:val="00BA1B51"/>
    <w:rsid w:val="00BA593B"/>
    <w:rsid w:val="00BA7952"/>
    <w:rsid w:val="00BB0596"/>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A13"/>
    <w:rsid w:val="00C35D38"/>
    <w:rsid w:val="00C35D9D"/>
    <w:rsid w:val="00C3778D"/>
    <w:rsid w:val="00C4168B"/>
    <w:rsid w:val="00C4231F"/>
    <w:rsid w:val="00C42C0F"/>
    <w:rsid w:val="00C44F7C"/>
    <w:rsid w:val="00C453ED"/>
    <w:rsid w:val="00C51945"/>
    <w:rsid w:val="00C51AF3"/>
    <w:rsid w:val="00C52A77"/>
    <w:rsid w:val="00C5309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E45F5"/>
    <w:rsid w:val="00CE6C92"/>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156B"/>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6952"/>
    <w:rsid w:val="00E57083"/>
    <w:rsid w:val="00E57B64"/>
    <w:rsid w:val="00E60206"/>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3739"/>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4B4"/>
    <w:rsid w:val="00ED5711"/>
    <w:rsid w:val="00ED5D51"/>
    <w:rsid w:val="00ED7041"/>
    <w:rsid w:val="00EE0EC3"/>
    <w:rsid w:val="00EE4F4D"/>
    <w:rsid w:val="00EE775D"/>
    <w:rsid w:val="00EF0C12"/>
    <w:rsid w:val="00EF231E"/>
    <w:rsid w:val="00EF294C"/>
    <w:rsid w:val="00EF3DA8"/>
    <w:rsid w:val="00EF77F1"/>
    <w:rsid w:val="00EF7F6D"/>
    <w:rsid w:val="00F030EE"/>
    <w:rsid w:val="00F049E8"/>
    <w:rsid w:val="00F051EF"/>
    <w:rsid w:val="00F063D9"/>
    <w:rsid w:val="00F102EF"/>
    <w:rsid w:val="00F1284B"/>
    <w:rsid w:val="00F134C1"/>
    <w:rsid w:val="00F13EA0"/>
    <w:rsid w:val="00F16154"/>
    <w:rsid w:val="00F16E9A"/>
    <w:rsid w:val="00F2044E"/>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677BA"/>
    <w:rsid w:val="00F74924"/>
    <w:rsid w:val="00F75464"/>
    <w:rsid w:val="00F76915"/>
    <w:rsid w:val="00F7710B"/>
    <w:rsid w:val="00F77152"/>
    <w:rsid w:val="00F80802"/>
    <w:rsid w:val="00F81454"/>
    <w:rsid w:val="00F81CBB"/>
    <w:rsid w:val="00F853EC"/>
    <w:rsid w:val="00F8549E"/>
    <w:rsid w:val="00F87499"/>
    <w:rsid w:val="00F905B2"/>
    <w:rsid w:val="00F930C1"/>
    <w:rsid w:val="00F96E78"/>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2AEB"/>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FF35872"/>
    <w:rsid w:val="432347AC"/>
    <w:rsid w:val="5B10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uiPriority w:val="99"/>
    <w:pPr>
      <w:ind w:firstLine="588" w:firstLineChars="200"/>
    </w:pPr>
    <w:rPr>
      <w:rFonts w:ascii="仿宋_GB2312" w:hAnsi="Calibri" w:eastAsia="仿宋_GB2312"/>
      <w:sz w:val="32"/>
    </w:rPr>
  </w:style>
  <w:style w:type="paragraph" w:styleId="3">
    <w:name w:val="Balloon Text"/>
    <w:basedOn w:val="1"/>
    <w:link w:val="17"/>
    <w:semiHidden/>
    <w:uiPriority w:val="0"/>
    <w:rPr>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uiPriority w:val="0"/>
  </w:style>
  <w:style w:type="character" w:customStyle="1" w:styleId="10">
    <w:name w:val="页眉 Char"/>
    <w:basedOn w:val="8"/>
    <w:link w:val="5"/>
    <w:semiHidden/>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uiPriority w:val="0"/>
    <w:rPr>
      <w:rFonts w:eastAsia="楷体_GB2312"/>
      <w:b/>
      <w:kern w:val="2"/>
      <w:sz w:val="32"/>
      <w:szCs w:val="24"/>
      <w:lang w:val="en-US" w:eastAsia="zh-CN" w:bidi="ar-SA"/>
    </w:rPr>
  </w:style>
  <w:style w:type="paragraph" w:customStyle="1" w:styleId="13">
    <w:name w:val="Char"/>
    <w:basedOn w:val="1"/>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character" w:customStyle="1" w:styleId="18">
    <w:name w:val="NormalCharacter"/>
    <w:qFormat/>
    <w:uiPriority w:val="0"/>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7055</Words>
  <Characters>7429</Characters>
  <Lines>66</Lines>
  <Paragraphs>18</Paragraphs>
  <TotalTime>0</TotalTime>
  <ScaleCrop>false</ScaleCrop>
  <LinksUpToDate>false</LinksUpToDate>
  <CharactersWithSpaces>7992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2021-06-22T09:14:00Z</dcterms:created>
  <dc:creator>User</dc:creator>
  <cp:lastModifiedBy>陈文</cp:lastModifiedBy>
  <dcterms:modified xsi:type="dcterms:W3CDTF">2022-08-23T02:45:49Z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97FB3C0154F444EABF035C94C6552836</vt:lpwstr>
  </property>
</Properties>
</file>