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黑体" w:hAnsi="黑体" w:eastAsia="黑体"/>
          <w:sz w:val="32"/>
          <w:szCs w:val="32"/>
        </w:rPr>
      </w:pPr>
      <w:r>
        <w:rPr>
          <w:rFonts w:hint="eastAsia" w:ascii="黑体" w:hAnsi="黑体" w:eastAsia="黑体"/>
          <w:sz w:val="32"/>
          <w:szCs w:val="32"/>
        </w:rPr>
        <w:t>附件1</w:t>
      </w:r>
      <w:r>
        <w:rPr>
          <w:rFonts w:hint="eastAsia" w:ascii="黑体" w:hAnsi="黑体" w:eastAsia="黑体" w:cs="黑体"/>
          <w:bCs/>
          <w:sz w:val="32"/>
          <w:szCs w:val="32"/>
        </w:rPr>
        <w:t>-1</w:t>
      </w:r>
    </w:p>
    <w:p>
      <w:pPr>
        <w:snapToGrid w:val="0"/>
        <w:spacing w:line="640" w:lineRule="exact"/>
        <w:jc w:val="center"/>
        <w:rPr>
          <w:rFonts w:eastAsia="方正小标宋简体" w:cs="方正小标宋简体"/>
          <w:bCs/>
          <w:sz w:val="44"/>
          <w:szCs w:val="44"/>
        </w:rPr>
      </w:pPr>
    </w:p>
    <w:p>
      <w:pPr>
        <w:snapToGrid w:val="0"/>
        <w:spacing w:line="620" w:lineRule="exact"/>
        <w:jc w:val="center"/>
        <w:rPr>
          <w:rFonts w:eastAsia="方正小标宋简体" w:cs="方正小标宋简体"/>
          <w:bCs/>
          <w:sz w:val="44"/>
          <w:szCs w:val="44"/>
        </w:rPr>
      </w:pPr>
      <w:r>
        <w:rPr>
          <w:rFonts w:hint="eastAsia" w:eastAsia="方正小标宋简体" w:cs="方正小标宋简体"/>
          <w:bCs/>
          <w:sz w:val="44"/>
          <w:szCs w:val="44"/>
        </w:rPr>
        <w:t>岳阳市部门整体支出绩效评价自评报告</w:t>
      </w:r>
    </w:p>
    <w:p>
      <w:pPr>
        <w:snapToGrid w:val="0"/>
        <w:spacing w:line="620" w:lineRule="exact"/>
        <w:jc w:val="center"/>
        <w:rPr>
          <w:rFonts w:eastAsia="方正小标宋简体" w:cs="方正小标宋简体"/>
          <w:bCs/>
          <w:sz w:val="44"/>
          <w:szCs w:val="44"/>
        </w:rPr>
      </w:pPr>
      <w:r>
        <w:rPr>
          <w:rFonts w:hint="eastAsia" w:eastAsia="方正小标宋简体" w:cs="方正小标宋简体"/>
          <w:bCs/>
          <w:sz w:val="44"/>
          <w:szCs w:val="44"/>
        </w:rPr>
        <w:t>填 报 说 明</w:t>
      </w:r>
    </w:p>
    <w:p>
      <w:pPr>
        <w:spacing w:line="620" w:lineRule="exact"/>
        <w:rPr>
          <w:rFonts w:ascii="仿宋_GB2312" w:eastAsia="仿宋_GB2312"/>
          <w:sz w:val="32"/>
          <w:szCs w:val="32"/>
        </w:rPr>
      </w:pPr>
    </w:p>
    <w:p>
      <w:pPr>
        <w:spacing w:line="620" w:lineRule="exact"/>
        <w:ind w:firstLine="634" w:firstLineChars="200"/>
        <w:rPr>
          <w:rFonts w:ascii="黑体" w:hAnsi="黑体" w:eastAsia="黑体"/>
          <w:sz w:val="32"/>
          <w:szCs w:val="32"/>
        </w:rPr>
      </w:pPr>
      <w:r>
        <w:rPr>
          <w:rFonts w:hint="eastAsia" w:ascii="黑体" w:hAnsi="黑体" w:eastAsia="黑体"/>
          <w:sz w:val="32"/>
          <w:szCs w:val="32"/>
        </w:rPr>
        <w:t>一、</w:t>
      </w:r>
      <w:r>
        <w:rPr>
          <w:rFonts w:hint="eastAsia" w:ascii="仿宋_GB2312" w:hAnsi="黑体" w:eastAsia="仿宋_GB2312"/>
          <w:sz w:val="32"/>
          <w:szCs w:val="32"/>
        </w:rPr>
        <w:t>绩效评价自评报告由部门（单位）评价组填写，所有内容必须客观、真实、准确。</w:t>
      </w:r>
    </w:p>
    <w:p>
      <w:pPr>
        <w:spacing w:line="620" w:lineRule="exact"/>
        <w:ind w:firstLine="634" w:firstLineChars="200"/>
        <w:rPr>
          <w:rFonts w:ascii="黑体" w:hAnsi="黑体" w:eastAsia="黑体"/>
          <w:sz w:val="32"/>
          <w:szCs w:val="32"/>
        </w:rPr>
      </w:pPr>
      <w:r>
        <w:rPr>
          <w:rFonts w:hint="eastAsia" w:ascii="黑体" w:hAnsi="黑体" w:eastAsia="黑体"/>
          <w:sz w:val="32"/>
          <w:szCs w:val="32"/>
        </w:rPr>
        <w:t>二、封面填写</w:t>
      </w:r>
    </w:p>
    <w:p>
      <w:pPr>
        <w:pStyle w:val="3"/>
        <w:snapToGrid w:val="0"/>
        <w:spacing w:line="620" w:lineRule="exact"/>
        <w:ind w:firstLine="635"/>
        <w:rPr>
          <w:color w:val="000000"/>
          <w:szCs w:val="32"/>
        </w:rPr>
      </w:pPr>
      <w:r>
        <w:rPr>
          <w:rFonts w:hint="eastAsia" w:cs="楷体_GB2312"/>
          <w:b/>
          <w:szCs w:val="32"/>
        </w:rPr>
        <w:t>1、</w:t>
      </w:r>
      <w:r>
        <w:rPr>
          <w:rFonts w:hint="eastAsia" w:cs="楷体_GB2312"/>
          <w:b/>
          <w:color w:val="000000"/>
          <w:szCs w:val="32"/>
        </w:rPr>
        <w:t>年度：</w:t>
      </w:r>
      <w:r>
        <w:rPr>
          <w:rFonts w:hint="eastAsia"/>
          <w:kern w:val="0"/>
          <w:szCs w:val="32"/>
        </w:rPr>
        <w:t>填写被评价的部门整体支出所属的年份。</w:t>
      </w:r>
    </w:p>
    <w:p>
      <w:pPr>
        <w:adjustRightInd w:val="0"/>
        <w:snapToGrid w:val="0"/>
        <w:spacing w:line="620" w:lineRule="exact"/>
        <w:ind w:firstLine="634" w:firstLineChars="200"/>
        <w:rPr>
          <w:rFonts w:ascii="仿宋_GB2312" w:eastAsia="仿宋_GB2312"/>
          <w:bCs/>
          <w:sz w:val="32"/>
          <w:szCs w:val="32"/>
        </w:rPr>
      </w:pPr>
      <w:r>
        <w:rPr>
          <w:rFonts w:hint="eastAsia" w:ascii="仿宋_GB2312" w:eastAsia="仿宋_GB2312" w:cs="楷体_GB2312"/>
          <w:b/>
          <w:sz w:val="32"/>
          <w:szCs w:val="32"/>
        </w:rPr>
        <w:t>2、部门名称：</w:t>
      </w:r>
      <w:r>
        <w:rPr>
          <w:rFonts w:hint="eastAsia" w:ascii="仿宋_GB2312" w:eastAsia="仿宋_GB2312"/>
          <w:kern w:val="0"/>
          <w:sz w:val="32"/>
          <w:szCs w:val="32"/>
        </w:rPr>
        <w:t>按照规范</w:t>
      </w:r>
      <w:r>
        <w:rPr>
          <w:rFonts w:hint="eastAsia" w:ascii="仿宋_GB2312" w:eastAsia="仿宋_GB2312"/>
          <w:sz w:val="32"/>
          <w:szCs w:val="32"/>
        </w:rPr>
        <w:t>填写预算部门（单位）全称。</w:t>
      </w:r>
    </w:p>
    <w:p>
      <w:pPr>
        <w:adjustRightInd w:val="0"/>
        <w:snapToGrid w:val="0"/>
        <w:spacing w:line="620" w:lineRule="exact"/>
        <w:ind w:firstLine="634" w:firstLineChars="200"/>
        <w:rPr>
          <w:rFonts w:ascii="仿宋_GB2312" w:eastAsia="仿宋_GB2312"/>
          <w:bCs/>
          <w:sz w:val="32"/>
          <w:szCs w:val="32"/>
        </w:rPr>
      </w:pPr>
      <w:r>
        <w:rPr>
          <w:rFonts w:hint="eastAsia" w:ascii="仿宋_GB2312" w:eastAsia="仿宋_GB2312" w:cs="楷体_GB2312"/>
          <w:b/>
          <w:sz w:val="32"/>
          <w:szCs w:val="32"/>
        </w:rPr>
        <w:t>3、预算编码：</w:t>
      </w:r>
      <w:r>
        <w:rPr>
          <w:rFonts w:hint="eastAsia" w:ascii="仿宋_GB2312" w:eastAsia="仿宋_GB2312"/>
          <w:bCs/>
          <w:sz w:val="32"/>
          <w:szCs w:val="32"/>
        </w:rPr>
        <w:t>按照规范填写单位财政预算编码。</w:t>
      </w:r>
    </w:p>
    <w:p>
      <w:pPr>
        <w:adjustRightInd w:val="0"/>
        <w:snapToGrid w:val="0"/>
        <w:spacing w:line="620" w:lineRule="exact"/>
        <w:ind w:firstLine="634" w:firstLineChars="200"/>
        <w:rPr>
          <w:rFonts w:eastAsia="黑体" w:cs="黑体"/>
          <w:bCs/>
          <w:sz w:val="32"/>
          <w:szCs w:val="32"/>
        </w:rPr>
      </w:pPr>
      <w:r>
        <w:rPr>
          <w:rFonts w:hint="eastAsia" w:eastAsia="黑体" w:cs="黑体"/>
          <w:bCs/>
          <w:sz w:val="32"/>
          <w:szCs w:val="32"/>
        </w:rPr>
        <w:t>三、绩效评价自评报告表格内容填写</w:t>
      </w:r>
    </w:p>
    <w:p>
      <w:pPr>
        <w:adjustRightInd w:val="0"/>
        <w:snapToGrid w:val="0"/>
        <w:spacing w:line="620" w:lineRule="exact"/>
        <w:ind w:firstLine="634" w:firstLineChars="200"/>
        <w:rPr>
          <w:rFonts w:ascii="仿宋_GB2312" w:eastAsia="仿宋_GB2312"/>
          <w:bCs/>
          <w:sz w:val="32"/>
          <w:szCs w:val="32"/>
        </w:rPr>
      </w:pPr>
      <w:r>
        <w:rPr>
          <w:rStyle w:val="12"/>
          <w:rFonts w:hint="eastAsia" w:ascii="仿宋_GB2312" w:eastAsia="仿宋_GB2312"/>
          <w:szCs w:val="32"/>
        </w:rPr>
        <w:t>1、人员编制：</w:t>
      </w:r>
      <w:r>
        <w:rPr>
          <w:rFonts w:hint="eastAsia" w:ascii="仿宋_GB2312" w:eastAsia="仿宋_GB2312"/>
          <w:bCs/>
          <w:sz w:val="32"/>
          <w:szCs w:val="32"/>
        </w:rPr>
        <w:t>填列截至被评价年度12月底三定方案规定的人员编制数。</w:t>
      </w:r>
    </w:p>
    <w:p>
      <w:pPr>
        <w:adjustRightInd w:val="0"/>
        <w:snapToGrid w:val="0"/>
        <w:spacing w:line="620" w:lineRule="exact"/>
        <w:ind w:firstLine="634" w:firstLineChars="200"/>
        <w:rPr>
          <w:rFonts w:ascii="仿宋_GB2312" w:eastAsia="仿宋_GB2312"/>
          <w:bCs/>
          <w:sz w:val="32"/>
          <w:szCs w:val="32"/>
        </w:rPr>
      </w:pPr>
      <w:r>
        <w:rPr>
          <w:rStyle w:val="12"/>
          <w:rFonts w:hint="eastAsia" w:ascii="仿宋_GB2312" w:eastAsia="仿宋_GB2312"/>
          <w:szCs w:val="32"/>
        </w:rPr>
        <w:t>2、实有人数：</w:t>
      </w:r>
      <w:r>
        <w:rPr>
          <w:rStyle w:val="12"/>
          <w:rFonts w:hint="eastAsia" w:ascii="仿宋_GB2312" w:hAnsi="仿宋_GB2312" w:eastAsia="仿宋_GB2312" w:cs="仿宋_GB2312"/>
          <w:b w:val="0"/>
          <w:bCs/>
          <w:szCs w:val="32"/>
        </w:rPr>
        <w:t>填列</w:t>
      </w:r>
      <w:r>
        <w:rPr>
          <w:rFonts w:hint="eastAsia" w:ascii="仿宋_GB2312" w:eastAsia="仿宋_GB2312"/>
          <w:bCs/>
          <w:sz w:val="32"/>
          <w:szCs w:val="32"/>
        </w:rPr>
        <w:t>截至被评价年度12月底的实有人数</w:t>
      </w:r>
      <w:r>
        <w:rPr>
          <w:rFonts w:hint="eastAsia" w:ascii="仿宋_GB2312" w:hAnsi="仿宋_GB2312" w:eastAsia="仿宋_GB2312" w:cs="仿宋_GB2312"/>
          <w:bCs/>
          <w:sz w:val="32"/>
          <w:szCs w:val="32"/>
        </w:rPr>
        <w:t>。</w:t>
      </w:r>
    </w:p>
    <w:p>
      <w:pPr>
        <w:snapToGrid w:val="0"/>
        <w:spacing w:line="620" w:lineRule="exact"/>
        <w:ind w:firstLine="634" w:firstLineChars="200"/>
        <w:rPr>
          <w:rFonts w:ascii="仿宋_GB2312" w:eastAsia="仿宋_GB2312"/>
          <w:sz w:val="32"/>
          <w:szCs w:val="32"/>
        </w:rPr>
      </w:pPr>
      <w:r>
        <w:rPr>
          <w:rStyle w:val="12"/>
          <w:rFonts w:hint="eastAsia" w:ascii="仿宋_GB2312" w:eastAsia="仿宋_GB2312"/>
          <w:szCs w:val="32"/>
        </w:rPr>
        <w:t>3、部门职能职责概述：</w:t>
      </w:r>
      <w:r>
        <w:rPr>
          <w:rFonts w:hint="eastAsia" w:ascii="仿宋_GB2312" w:hAnsi="仿宋_GB2312" w:eastAsia="仿宋_GB2312" w:cs="仿宋_GB2312"/>
          <w:color w:val="000000"/>
          <w:sz w:val="32"/>
          <w:szCs w:val="32"/>
          <w:shd w:val="clear" w:color="auto" w:fill="FFFFFF"/>
        </w:rPr>
        <w:t>根据人事部门（单位）核定的部门（单位）职责和本部门（单位）工作计划，对部门（单位）业务工作的基本情况进行简要描述，可以包括部门（单位）主要业务介绍、工作目标等内容。</w:t>
      </w:r>
    </w:p>
    <w:p>
      <w:pPr>
        <w:snapToGrid w:val="0"/>
        <w:spacing w:line="620" w:lineRule="exact"/>
        <w:ind w:firstLine="634" w:firstLineChars="200"/>
        <w:rPr>
          <w:rFonts w:ascii="仿宋_GB2312" w:eastAsia="仿宋_GB2312"/>
          <w:sz w:val="32"/>
          <w:szCs w:val="32"/>
        </w:rPr>
      </w:pPr>
      <w:r>
        <w:rPr>
          <w:rStyle w:val="12"/>
          <w:rFonts w:hint="eastAsia" w:ascii="仿宋_GB2312" w:eastAsia="仿宋_GB2312"/>
          <w:szCs w:val="32"/>
        </w:rPr>
        <w:t>4、年度主要工作内容：</w:t>
      </w:r>
      <w:r>
        <w:rPr>
          <w:rFonts w:hint="eastAsia" w:ascii="仿宋_GB2312" w:eastAsia="仿宋_GB2312"/>
          <w:sz w:val="32"/>
          <w:szCs w:val="32"/>
        </w:rPr>
        <w:t>分任务明细填报年度主要工作内容，如各子任务名称、内容及用途、金额及计划实施时间等。</w:t>
      </w:r>
    </w:p>
    <w:p>
      <w:pPr>
        <w:adjustRightInd w:val="0"/>
        <w:snapToGrid w:val="0"/>
        <w:spacing w:line="620" w:lineRule="exact"/>
        <w:ind w:firstLine="634" w:firstLineChars="200"/>
        <w:rPr>
          <w:rStyle w:val="12"/>
          <w:rFonts w:ascii="仿宋_GB2312" w:hAnsi="仿宋_GB2312" w:eastAsia="仿宋_GB2312" w:cs="仿宋_GB2312"/>
          <w:b w:val="0"/>
          <w:bCs/>
          <w:szCs w:val="32"/>
        </w:rPr>
      </w:pPr>
      <w:r>
        <w:rPr>
          <w:rStyle w:val="12"/>
          <w:rFonts w:hint="eastAsia" w:ascii="仿宋_GB2312" w:eastAsia="仿宋_GB2312"/>
          <w:szCs w:val="32"/>
        </w:rPr>
        <w:t>5、年度部门（单位）总体运行情况及取得的成绩：</w:t>
      </w:r>
      <w:r>
        <w:rPr>
          <w:rStyle w:val="12"/>
          <w:rFonts w:hint="eastAsia" w:ascii="仿宋_GB2312" w:hAnsi="仿宋_GB2312" w:eastAsia="仿宋_GB2312" w:cs="仿宋_GB2312"/>
          <w:b w:val="0"/>
          <w:bCs/>
          <w:szCs w:val="32"/>
        </w:rPr>
        <w:t>简述被评价年度本部门（单位）的总体运行情况，罗列取得的成绩。</w:t>
      </w:r>
    </w:p>
    <w:p>
      <w:pPr>
        <w:adjustRightInd w:val="0"/>
        <w:snapToGrid w:val="0"/>
        <w:spacing w:line="620" w:lineRule="exact"/>
        <w:ind w:firstLine="634" w:firstLineChars="200"/>
        <w:rPr>
          <w:rStyle w:val="12"/>
          <w:rFonts w:ascii="仿宋_GB2312" w:eastAsia="仿宋_GB2312"/>
          <w:szCs w:val="32"/>
        </w:rPr>
      </w:pPr>
      <w:r>
        <w:rPr>
          <w:rStyle w:val="12"/>
          <w:rFonts w:hint="eastAsia" w:ascii="仿宋_GB2312" w:eastAsia="仿宋_GB2312"/>
          <w:szCs w:val="32"/>
        </w:rPr>
        <w:t>6、部门（单位）收支情况：</w:t>
      </w:r>
      <w:r>
        <w:rPr>
          <w:rStyle w:val="12"/>
          <w:rFonts w:hint="eastAsia" w:ascii="仿宋_GB2312" w:hAnsi="仿宋_GB2312" w:eastAsia="仿宋_GB2312" w:cs="仿宋_GB2312"/>
          <w:b w:val="0"/>
          <w:bCs/>
          <w:szCs w:val="32"/>
        </w:rPr>
        <w:t>详细列出被评价年度本部门（单位）的收支明细，需包含二级机构的收支内容。</w:t>
      </w:r>
    </w:p>
    <w:p>
      <w:pPr>
        <w:adjustRightInd w:val="0"/>
        <w:snapToGrid w:val="0"/>
        <w:spacing w:line="620" w:lineRule="exact"/>
        <w:ind w:firstLine="634" w:firstLineChars="200"/>
        <w:rPr>
          <w:rStyle w:val="12"/>
          <w:rFonts w:ascii="仿宋_GB2312" w:eastAsia="仿宋_GB2312"/>
          <w:szCs w:val="32"/>
        </w:rPr>
      </w:pPr>
      <w:r>
        <w:rPr>
          <w:rStyle w:val="12"/>
          <w:rFonts w:hint="eastAsia" w:ascii="仿宋_GB2312" w:eastAsia="仿宋_GB2312"/>
          <w:szCs w:val="32"/>
        </w:rPr>
        <w:t>7、部门（单位）整体支出绩效定性目标及实施计划完成情况：</w:t>
      </w:r>
      <w:r>
        <w:rPr>
          <w:rStyle w:val="12"/>
          <w:rFonts w:hint="eastAsia" w:ascii="仿宋_GB2312" w:hAnsi="仿宋_GB2312" w:eastAsia="仿宋_GB2312" w:cs="仿宋_GB2312"/>
          <w:b w:val="0"/>
          <w:bCs/>
          <w:szCs w:val="32"/>
        </w:rPr>
        <w:t>“</w:t>
      </w:r>
      <w:r>
        <w:rPr>
          <w:rFonts w:hint="eastAsia" w:ascii="仿宋_GB2312" w:hAnsi="仿宋_GB2312" w:eastAsia="仿宋_GB2312" w:cs="仿宋_GB2312"/>
          <w:bCs/>
          <w:sz w:val="32"/>
          <w:szCs w:val="32"/>
        </w:rPr>
        <w:t>预期</w:t>
      </w:r>
      <w:r>
        <w:rPr>
          <w:rFonts w:hint="eastAsia" w:ascii="仿宋_GB2312" w:eastAsia="仿宋_GB2312"/>
          <w:sz w:val="32"/>
          <w:szCs w:val="32"/>
        </w:rPr>
        <w:t>目标”栏按被评价年度申报的部门整体支出预算绩效目标申报表的有关内容直接填写，如年初没有申报绩效目标，可参考本部门（单位）年度工作计划。“实际完成”栏，则按照主要填写绩效目标及实施计划的实际完成情况，应与“预期目标”栏相关内容逐条对应。</w:t>
      </w:r>
    </w:p>
    <w:p>
      <w:pPr>
        <w:adjustRightInd w:val="0"/>
        <w:snapToGrid w:val="0"/>
        <w:spacing w:line="620" w:lineRule="exact"/>
        <w:ind w:firstLine="634" w:firstLineChars="200"/>
        <w:rPr>
          <w:rStyle w:val="12"/>
          <w:rFonts w:ascii="仿宋_GB2312" w:eastAsia="仿宋_GB2312"/>
          <w:szCs w:val="32"/>
        </w:rPr>
      </w:pPr>
      <w:r>
        <w:rPr>
          <w:rStyle w:val="12"/>
          <w:rFonts w:hint="eastAsia" w:ascii="仿宋_GB2312" w:eastAsia="仿宋_GB2312"/>
          <w:szCs w:val="32"/>
        </w:rPr>
        <w:t>8、部门整体支出绩效定量目标及实施计划完成情况：</w:t>
      </w:r>
      <w:r>
        <w:rPr>
          <w:rStyle w:val="12"/>
          <w:rFonts w:hint="eastAsia" w:ascii="仿宋_GB2312" w:eastAsia="仿宋_GB2312" w:cs="仿宋_GB2312"/>
          <w:b w:val="0"/>
          <w:bCs/>
          <w:szCs w:val="32"/>
        </w:rPr>
        <w:t>对部门整体支出绩效目标进行细化和量化。本部分内容与附件3《部门整体支出绩效评价指标体系（参考样表）》中的“产出”指标和“效果”指标相对应，如修改调整了该指标体系，应相应修改本部分指标内容。“实际完成值”栏主要填写项目指标的实际完成情况，应与“指标内容”、“指标（目标）值”栏相关内容逐条对应。</w:t>
      </w:r>
    </w:p>
    <w:p>
      <w:pPr>
        <w:adjustRightInd w:val="0"/>
        <w:snapToGrid w:val="0"/>
        <w:spacing w:line="620" w:lineRule="exact"/>
        <w:ind w:firstLine="634" w:firstLineChars="200"/>
        <w:rPr>
          <w:rFonts w:ascii="仿宋_GB2312" w:eastAsia="仿宋_GB2312" w:cs="仿宋_GB2312"/>
          <w:bCs/>
          <w:sz w:val="32"/>
          <w:szCs w:val="32"/>
        </w:rPr>
      </w:pPr>
      <w:r>
        <w:rPr>
          <w:rStyle w:val="12"/>
          <w:rFonts w:hint="eastAsia" w:ascii="仿宋_GB2312" w:eastAsia="仿宋_GB2312"/>
          <w:szCs w:val="32"/>
        </w:rPr>
        <w:t>9、绩效自评综合得分：</w:t>
      </w:r>
      <w:r>
        <w:rPr>
          <w:rStyle w:val="12"/>
          <w:rFonts w:hint="eastAsia" w:ascii="仿宋_GB2312" w:eastAsia="仿宋_GB2312" w:cs="仿宋_GB2312"/>
          <w:b w:val="0"/>
          <w:bCs/>
          <w:szCs w:val="32"/>
        </w:rPr>
        <w:t>对照</w:t>
      </w:r>
      <w:r>
        <w:rPr>
          <w:rFonts w:hint="eastAsia" w:ascii="仿宋_GB2312" w:eastAsia="仿宋_GB2312" w:cs="仿宋_GB2312"/>
          <w:bCs/>
          <w:sz w:val="32"/>
          <w:szCs w:val="32"/>
        </w:rPr>
        <w:t>附件3《部门整体支出绩效评价指标体系（参考样表）》打分后填写《部门整体支出绩效评价评分表》，按照最后综合得分填写“绩效自评综合得分”栏。</w:t>
      </w:r>
    </w:p>
    <w:p>
      <w:pPr>
        <w:adjustRightInd w:val="0"/>
        <w:snapToGrid w:val="0"/>
        <w:spacing w:line="620" w:lineRule="exact"/>
        <w:ind w:firstLine="634" w:firstLineChars="200"/>
        <w:rPr>
          <w:rFonts w:ascii="仿宋_GB2312" w:eastAsia="仿宋_GB2312"/>
          <w:bCs/>
          <w:sz w:val="32"/>
          <w:szCs w:val="32"/>
        </w:rPr>
      </w:pPr>
      <w:r>
        <w:rPr>
          <w:rStyle w:val="12"/>
          <w:rFonts w:hint="eastAsia" w:ascii="仿宋_GB2312" w:eastAsia="仿宋_GB2312"/>
          <w:szCs w:val="32"/>
        </w:rPr>
        <w:t>10、评价等次：</w:t>
      </w:r>
      <w:r>
        <w:rPr>
          <w:rFonts w:hint="eastAsia" w:ascii="仿宋_GB2312" w:eastAsia="仿宋_GB2312"/>
          <w:bCs/>
          <w:sz w:val="32"/>
          <w:szCs w:val="32"/>
        </w:rPr>
        <w:t>按照综合得分（S）的分值填写相应的评价等次。评价等次分为优秀（S≥90）、良好（90＞S≥80）、合格（80＞S≥70）、不合格（S＜70）4个评价等次。</w:t>
      </w:r>
    </w:p>
    <w:p>
      <w:pPr>
        <w:adjustRightInd w:val="0"/>
        <w:snapToGrid w:val="0"/>
        <w:spacing w:line="620" w:lineRule="exact"/>
        <w:ind w:firstLine="634" w:firstLineChars="200"/>
        <w:rPr>
          <w:rFonts w:ascii="仿宋_GB2312" w:eastAsia="仿宋_GB2312"/>
          <w:bCs/>
          <w:sz w:val="32"/>
          <w:szCs w:val="32"/>
        </w:rPr>
      </w:pPr>
      <w:r>
        <w:rPr>
          <w:rStyle w:val="12"/>
          <w:rFonts w:hint="eastAsia" w:ascii="仿宋_GB2312" w:eastAsia="仿宋_GB2312"/>
          <w:szCs w:val="32"/>
        </w:rPr>
        <w:t>11、评价人员：</w:t>
      </w:r>
      <w:r>
        <w:rPr>
          <w:rFonts w:hint="eastAsia" w:ascii="仿宋_GB2312" w:eastAsia="仿宋_GB2312"/>
          <w:bCs/>
          <w:sz w:val="32"/>
          <w:szCs w:val="32"/>
        </w:rPr>
        <w:t>填写参与部门（单位）整体支出绩效评价的绩效评价工作小组成员名单，并由本人签字。</w:t>
      </w:r>
    </w:p>
    <w:p>
      <w:pPr>
        <w:adjustRightInd w:val="0"/>
        <w:snapToGrid w:val="0"/>
        <w:spacing w:line="620" w:lineRule="exact"/>
        <w:ind w:firstLine="634" w:firstLineChars="200"/>
        <w:rPr>
          <w:rFonts w:ascii="仿宋_GB2312" w:eastAsia="仿宋_GB2312"/>
          <w:bCs/>
          <w:sz w:val="32"/>
          <w:szCs w:val="32"/>
        </w:rPr>
      </w:pPr>
      <w:r>
        <w:rPr>
          <w:rStyle w:val="12"/>
          <w:rFonts w:hint="eastAsia" w:ascii="仿宋_GB2312" w:eastAsia="仿宋_GB2312"/>
          <w:szCs w:val="32"/>
        </w:rPr>
        <w:t>12、部门（单位）意见：</w:t>
      </w:r>
      <w:r>
        <w:rPr>
          <w:rFonts w:hint="eastAsia" w:ascii="仿宋_GB2312" w:eastAsia="仿宋_GB2312"/>
          <w:bCs/>
          <w:sz w:val="32"/>
          <w:szCs w:val="32"/>
        </w:rPr>
        <w:t>被评价部门（单位）签署意见，由部门（单位）负责人签字后加盖行政公章。</w:t>
      </w:r>
    </w:p>
    <w:p>
      <w:pPr>
        <w:spacing w:line="620" w:lineRule="exact"/>
        <w:ind w:firstLine="634" w:firstLineChars="200"/>
        <w:rPr>
          <w:rFonts w:ascii="黑体" w:hAnsi="黑体" w:eastAsia="黑体"/>
          <w:sz w:val="32"/>
          <w:szCs w:val="32"/>
        </w:rPr>
      </w:pPr>
      <w:r>
        <w:rPr>
          <w:rFonts w:hint="eastAsia" w:ascii="黑体" w:hAnsi="黑体" w:eastAsia="黑体"/>
          <w:sz w:val="32"/>
          <w:szCs w:val="32"/>
        </w:rPr>
        <w:t>四、自评报告综述（文字部分）</w:t>
      </w:r>
    </w:p>
    <w:p>
      <w:pPr>
        <w:adjustRightInd w:val="0"/>
        <w:snapToGrid w:val="0"/>
        <w:spacing w:line="620" w:lineRule="exact"/>
        <w:ind w:firstLine="634" w:firstLineChars="200"/>
        <w:rPr>
          <w:rFonts w:eastAsia="仿宋_GB2312"/>
          <w:bCs/>
          <w:sz w:val="32"/>
          <w:szCs w:val="32"/>
        </w:rPr>
      </w:pPr>
      <w:r>
        <w:rPr>
          <w:rFonts w:hint="eastAsia" w:eastAsia="仿宋_GB2312"/>
          <w:bCs/>
          <w:sz w:val="32"/>
          <w:szCs w:val="32"/>
        </w:rPr>
        <w:t>评价组应根据下列提纲对各项内容进行详细说明：</w:t>
      </w:r>
    </w:p>
    <w:p>
      <w:pPr>
        <w:adjustRightInd w:val="0"/>
        <w:snapToGrid w:val="0"/>
        <w:spacing w:line="620" w:lineRule="exact"/>
        <w:ind w:firstLine="634"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（一）部门（单位）概况</w:t>
      </w:r>
    </w:p>
    <w:p>
      <w:pPr>
        <w:adjustRightInd w:val="0"/>
        <w:snapToGrid w:val="0"/>
        <w:spacing w:line="620" w:lineRule="exact"/>
        <w:ind w:firstLine="634" w:firstLineChars="200"/>
        <w:rPr>
          <w:rFonts w:ascii="仿宋_GB2312" w:eastAsia="仿宋_GB2312"/>
          <w:bCs/>
          <w:sz w:val="32"/>
          <w:szCs w:val="32"/>
        </w:rPr>
      </w:pPr>
      <w:r>
        <w:rPr>
          <w:rFonts w:hint="eastAsia" w:ascii="仿宋_GB2312" w:eastAsia="仿宋_GB2312"/>
          <w:bCs/>
          <w:sz w:val="32"/>
          <w:szCs w:val="32"/>
        </w:rPr>
        <w:t>1、部门（单位）基本情况（包括部门（单位）的在职人员情况、机构设置、主要职能及重点工作计划等）。</w:t>
      </w:r>
    </w:p>
    <w:p>
      <w:pPr>
        <w:adjustRightInd w:val="0"/>
        <w:snapToGrid w:val="0"/>
        <w:spacing w:line="620" w:lineRule="exact"/>
        <w:ind w:firstLine="634" w:firstLineChars="200"/>
        <w:rPr>
          <w:rFonts w:ascii="仿宋_GB2312" w:eastAsia="仿宋_GB2312"/>
          <w:bCs/>
          <w:sz w:val="32"/>
          <w:szCs w:val="32"/>
        </w:rPr>
      </w:pPr>
      <w:r>
        <w:rPr>
          <w:rFonts w:hint="eastAsia" w:ascii="仿宋_GB2312" w:eastAsia="仿宋_GB2312"/>
          <w:bCs/>
          <w:sz w:val="32"/>
          <w:szCs w:val="32"/>
        </w:rPr>
        <w:t>2、部门（单位）整体支出规模、使用方向和主要内容、涉及范围等。</w:t>
      </w:r>
    </w:p>
    <w:p>
      <w:pPr>
        <w:adjustRightInd w:val="0"/>
        <w:snapToGrid w:val="0"/>
        <w:spacing w:line="620" w:lineRule="exact"/>
        <w:ind w:firstLine="634"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（二）部门（单位）整体支出管理及使用情况</w:t>
      </w:r>
    </w:p>
    <w:p>
      <w:pPr>
        <w:adjustRightInd w:val="0"/>
        <w:snapToGrid w:val="0"/>
        <w:spacing w:line="620" w:lineRule="exact"/>
        <w:ind w:firstLine="634" w:firstLineChars="200"/>
        <w:rPr>
          <w:rFonts w:ascii="仿宋_GB2312" w:eastAsia="仿宋_GB2312"/>
          <w:b/>
          <w:bCs/>
          <w:sz w:val="32"/>
          <w:szCs w:val="32"/>
        </w:rPr>
      </w:pPr>
      <w:r>
        <w:rPr>
          <w:rFonts w:hint="eastAsia" w:ascii="仿宋_GB2312" w:eastAsia="仿宋_GB2312"/>
          <w:b/>
          <w:bCs/>
          <w:sz w:val="32"/>
          <w:szCs w:val="32"/>
        </w:rPr>
        <w:t>1、基本支出</w:t>
      </w:r>
    </w:p>
    <w:p>
      <w:pPr>
        <w:adjustRightInd w:val="0"/>
        <w:snapToGrid w:val="0"/>
        <w:spacing w:line="620" w:lineRule="exact"/>
        <w:ind w:firstLine="634" w:firstLineChars="200"/>
        <w:rPr>
          <w:rFonts w:ascii="仿宋_GB2312" w:eastAsia="仿宋_GB2312"/>
          <w:bCs/>
          <w:sz w:val="32"/>
          <w:szCs w:val="32"/>
        </w:rPr>
      </w:pPr>
      <w:r>
        <w:rPr>
          <w:rFonts w:hint="eastAsia" w:ascii="仿宋_GB2312" w:eastAsia="仿宋_GB2312"/>
          <w:bCs/>
          <w:sz w:val="32"/>
          <w:szCs w:val="32"/>
        </w:rPr>
        <w:t>介绍基本支出的主要用途、范围以及资金的管理情况，尤其是“三公”经费的使用和管理情况。</w:t>
      </w:r>
    </w:p>
    <w:p>
      <w:pPr>
        <w:adjustRightInd w:val="0"/>
        <w:snapToGrid w:val="0"/>
        <w:spacing w:line="620" w:lineRule="exact"/>
        <w:ind w:firstLine="634" w:firstLineChars="200"/>
        <w:rPr>
          <w:rFonts w:ascii="仿宋_GB2312" w:eastAsia="仿宋_GB2312"/>
          <w:b/>
          <w:bCs/>
          <w:sz w:val="32"/>
          <w:szCs w:val="32"/>
        </w:rPr>
      </w:pPr>
      <w:r>
        <w:rPr>
          <w:rFonts w:hint="eastAsia" w:ascii="仿宋_GB2312" w:eastAsia="仿宋_GB2312"/>
          <w:b/>
          <w:bCs/>
          <w:sz w:val="32"/>
          <w:szCs w:val="32"/>
        </w:rPr>
        <w:t>2、专项支出</w:t>
      </w:r>
    </w:p>
    <w:p>
      <w:pPr>
        <w:adjustRightInd w:val="0"/>
        <w:snapToGrid w:val="0"/>
        <w:spacing w:line="620" w:lineRule="exact"/>
        <w:ind w:firstLine="634" w:firstLineChars="200"/>
        <w:rPr>
          <w:rFonts w:ascii="仿宋_GB2312" w:eastAsia="仿宋_GB2312"/>
          <w:bCs/>
          <w:sz w:val="32"/>
          <w:szCs w:val="32"/>
        </w:rPr>
      </w:pPr>
      <w:r>
        <w:rPr>
          <w:rFonts w:hint="eastAsia" w:ascii="仿宋_GB2312" w:eastAsia="仿宋_GB2312"/>
          <w:bCs/>
          <w:sz w:val="32"/>
          <w:szCs w:val="32"/>
        </w:rPr>
        <w:t>（1）专项资金（包括财政资金、自筹资金等）安排落实、总投入等情况分析。</w:t>
      </w:r>
    </w:p>
    <w:p>
      <w:pPr>
        <w:adjustRightInd w:val="0"/>
        <w:snapToGrid w:val="0"/>
        <w:spacing w:line="620" w:lineRule="exact"/>
        <w:ind w:firstLine="634" w:firstLineChars="200"/>
        <w:rPr>
          <w:rFonts w:ascii="仿宋_GB2312" w:eastAsia="仿宋_GB2312"/>
          <w:bCs/>
          <w:sz w:val="32"/>
          <w:szCs w:val="32"/>
        </w:rPr>
      </w:pPr>
      <w:r>
        <w:rPr>
          <w:rFonts w:hint="eastAsia" w:ascii="仿宋_GB2312" w:eastAsia="仿宋_GB2312"/>
          <w:bCs/>
          <w:sz w:val="32"/>
          <w:szCs w:val="32"/>
        </w:rPr>
        <w:t>（2）专项资金（主要指财政资金）实际使用情况分析。</w:t>
      </w:r>
    </w:p>
    <w:p>
      <w:pPr>
        <w:adjustRightInd w:val="0"/>
        <w:snapToGrid w:val="0"/>
        <w:spacing w:line="620" w:lineRule="exact"/>
        <w:ind w:firstLine="634" w:firstLineChars="200"/>
        <w:rPr>
          <w:rFonts w:ascii="仿宋_GB2312" w:eastAsia="仿宋_GB2312"/>
          <w:bCs/>
          <w:sz w:val="32"/>
          <w:szCs w:val="32"/>
        </w:rPr>
      </w:pPr>
      <w:r>
        <w:rPr>
          <w:rFonts w:hint="eastAsia" w:ascii="仿宋_GB2312" w:eastAsia="仿宋_GB2312"/>
          <w:bCs/>
          <w:sz w:val="32"/>
          <w:szCs w:val="32"/>
        </w:rPr>
        <w:t>（3）专项资金管理情况分析，主要包括管理制度、办法的制订及执行情况。</w:t>
      </w:r>
    </w:p>
    <w:p>
      <w:pPr>
        <w:adjustRightInd w:val="0"/>
        <w:snapToGrid w:val="0"/>
        <w:spacing w:line="620" w:lineRule="exact"/>
        <w:ind w:firstLine="634"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（三）部门（单位）专项组织实施情况</w:t>
      </w:r>
    </w:p>
    <w:p>
      <w:pPr>
        <w:adjustRightInd w:val="0"/>
        <w:snapToGrid w:val="0"/>
        <w:spacing w:line="620" w:lineRule="exact"/>
        <w:ind w:firstLine="634" w:firstLineChars="200"/>
        <w:rPr>
          <w:rFonts w:ascii="仿宋_GB2312" w:eastAsia="仿宋_GB2312"/>
          <w:bCs/>
          <w:sz w:val="32"/>
          <w:szCs w:val="32"/>
        </w:rPr>
      </w:pPr>
      <w:r>
        <w:rPr>
          <w:rFonts w:hint="eastAsia" w:ascii="仿宋_GB2312" w:eastAsia="仿宋_GB2312"/>
          <w:bCs/>
          <w:sz w:val="32"/>
          <w:szCs w:val="32"/>
        </w:rPr>
        <w:t>1、专项组织情况分析，主要包括项目招投标、调整、竣工验收等情况。</w:t>
      </w:r>
    </w:p>
    <w:p>
      <w:pPr>
        <w:adjustRightInd w:val="0"/>
        <w:snapToGrid w:val="0"/>
        <w:spacing w:line="620" w:lineRule="exact"/>
        <w:ind w:firstLine="634" w:firstLineChars="200"/>
        <w:rPr>
          <w:rFonts w:ascii="仿宋_GB2312" w:eastAsia="仿宋_GB2312"/>
          <w:bCs/>
          <w:sz w:val="32"/>
          <w:szCs w:val="32"/>
        </w:rPr>
      </w:pPr>
      <w:r>
        <w:rPr>
          <w:rFonts w:hint="eastAsia" w:ascii="仿宋_GB2312" w:eastAsia="仿宋_GB2312"/>
          <w:bCs/>
          <w:sz w:val="32"/>
          <w:szCs w:val="32"/>
        </w:rPr>
        <w:t>2、专项管理情况分析，主要包括项目管理制度建设、日常检查监督管理等情况。</w:t>
      </w:r>
    </w:p>
    <w:p>
      <w:pPr>
        <w:adjustRightInd w:val="0"/>
        <w:snapToGrid w:val="0"/>
        <w:spacing w:line="620" w:lineRule="exact"/>
        <w:ind w:firstLine="634"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（四）部门（单位）整体支出绩效情况</w:t>
      </w:r>
    </w:p>
    <w:p>
      <w:pPr>
        <w:adjustRightInd w:val="0"/>
        <w:snapToGrid w:val="0"/>
        <w:spacing w:line="620" w:lineRule="exact"/>
        <w:ind w:firstLine="634" w:firstLineChars="200"/>
        <w:rPr>
          <w:rFonts w:eastAsia="仿宋_GB2312"/>
          <w:bCs/>
          <w:sz w:val="32"/>
          <w:szCs w:val="32"/>
        </w:rPr>
      </w:pPr>
      <w:r>
        <w:rPr>
          <w:rFonts w:hint="eastAsia" w:eastAsia="仿宋_GB2312"/>
          <w:bCs/>
          <w:sz w:val="32"/>
          <w:szCs w:val="32"/>
        </w:rPr>
        <w:t>反映部门（单位）履职及履职效益情况。主要从部门（单位）整体支出的经济性、效率性、有效性和可持续性等方面进行量化、具体分析。其中：经济性分析主要是对成本（预算）控制、节约等情况进行分析；效率性分析主要是对各项工作、专项完成的进度及质量等情况进行分析；有效性分析主要是对反映部门（单位）整体支出使用效果的个性指标进行分析；可持续性分析主要是对支出完成后，后续政策、资金、人员机构安排和管理措施等影响项目持续发展的因素进行分析。</w:t>
      </w:r>
    </w:p>
    <w:p>
      <w:pPr>
        <w:adjustRightInd w:val="0"/>
        <w:snapToGrid w:val="0"/>
        <w:spacing w:line="620" w:lineRule="exact"/>
        <w:ind w:firstLine="634"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（五）存在的主要问题</w:t>
      </w:r>
    </w:p>
    <w:p>
      <w:pPr>
        <w:adjustRightInd w:val="0"/>
        <w:snapToGrid w:val="0"/>
        <w:spacing w:line="620" w:lineRule="exact"/>
        <w:ind w:firstLine="634" w:firstLineChars="200"/>
        <w:rPr>
          <w:rFonts w:eastAsia="仿宋_GB2312"/>
          <w:bCs/>
          <w:sz w:val="32"/>
          <w:szCs w:val="32"/>
        </w:rPr>
      </w:pPr>
      <w:r>
        <w:rPr>
          <w:rFonts w:hint="eastAsia" w:eastAsia="仿宋_GB2312"/>
          <w:bCs/>
          <w:sz w:val="32"/>
          <w:szCs w:val="32"/>
        </w:rPr>
        <w:t>主要阐述资金安排、使用过程中存在的问题</w:t>
      </w:r>
    </w:p>
    <w:p>
      <w:pPr>
        <w:adjustRightInd w:val="0"/>
        <w:snapToGrid w:val="0"/>
        <w:spacing w:line="620" w:lineRule="exact"/>
        <w:ind w:firstLine="634"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（六）改进措施和有关建议</w:t>
      </w:r>
    </w:p>
    <w:p>
      <w:pPr>
        <w:spacing w:line="620" w:lineRule="exact"/>
        <w:ind w:firstLine="634" w:firstLineChars="200"/>
        <w:rPr>
          <w:rFonts w:eastAsia="仿宋_GB2312"/>
          <w:bCs/>
          <w:sz w:val="32"/>
          <w:szCs w:val="32"/>
        </w:rPr>
      </w:pPr>
      <w:r>
        <w:rPr>
          <w:rFonts w:hint="eastAsia" w:eastAsia="仿宋_GB2312"/>
          <w:bCs/>
          <w:sz w:val="32"/>
          <w:szCs w:val="32"/>
        </w:rPr>
        <w:t>对存在的问题提出切实可行的改进措施和有关建议等。</w:t>
      </w:r>
    </w:p>
    <w:p>
      <w:pPr>
        <w:spacing w:line="620" w:lineRule="exact"/>
        <w:rPr>
          <w:rFonts w:eastAsia="仿宋_GB2312"/>
          <w:bCs/>
          <w:sz w:val="32"/>
          <w:szCs w:val="32"/>
        </w:rPr>
      </w:pPr>
    </w:p>
    <w:p>
      <w:pPr>
        <w:spacing w:line="620" w:lineRule="exact"/>
        <w:rPr>
          <w:rFonts w:ascii="黑体" w:hAnsi="黑体" w:eastAsia="黑体" w:cs="黑体"/>
          <w:bCs/>
          <w:sz w:val="32"/>
          <w:szCs w:val="32"/>
        </w:rPr>
      </w:pPr>
    </w:p>
    <w:p>
      <w:pPr>
        <w:spacing w:line="348" w:lineRule="auto"/>
        <w:rPr>
          <w:rFonts w:ascii="黑体" w:hAnsi="黑体" w:eastAsia="黑体" w:cs="黑体"/>
          <w:bCs/>
          <w:sz w:val="32"/>
          <w:szCs w:val="32"/>
        </w:rPr>
      </w:pPr>
      <w:r>
        <w:rPr>
          <w:rFonts w:ascii="黑体" w:hAnsi="黑体" w:eastAsia="黑体" w:cs="黑体"/>
          <w:bCs/>
          <w:sz w:val="32"/>
          <w:szCs w:val="32"/>
        </w:rPr>
        <w:br w:type="page"/>
      </w: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岳阳市2020年度部门整体支出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岳阳市退役军人事务局</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 xml:space="preserve">    405001</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   年   月   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7"/>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654"/>
        <w:gridCol w:w="46"/>
        <w:gridCol w:w="94"/>
        <w:gridCol w:w="1062"/>
        <w:gridCol w:w="1088"/>
        <w:gridCol w:w="1384"/>
        <w:gridCol w:w="1335"/>
        <w:gridCol w:w="257"/>
        <w:gridCol w:w="943"/>
        <w:gridCol w:w="306"/>
        <w:gridCol w:w="551"/>
        <w:gridCol w:w="139"/>
        <w:gridCol w:w="39"/>
        <w:gridCol w:w="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674"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吴加勇</w:t>
            </w:r>
          </w:p>
        </w:tc>
        <w:tc>
          <w:tcPr>
            <w:tcW w:w="2841"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1631"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0730-8878139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674"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bookmarkStart w:id="0" w:name="_GoBack"/>
            <w:r>
              <w:rPr>
                <w:rFonts w:hint="eastAsia" w:ascii="仿宋_GB2312" w:hAnsi="仿宋_GB2312" w:eastAsia="仿宋_GB2312" w:cs="仿宋_GB2312"/>
                <w:color w:val="000000"/>
                <w:sz w:val="24"/>
                <w:lang w:val="en-US" w:eastAsia="zh-CN"/>
              </w:rPr>
              <w:t>76</w:t>
            </w:r>
            <w:bookmarkEnd w:id="0"/>
          </w:p>
        </w:tc>
        <w:tc>
          <w:tcPr>
            <w:tcW w:w="2841"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1631"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3"/>
            <w:vAlign w:val="center"/>
          </w:tcPr>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贯彻执行党和国家、省委和省政府关于退役军人思想政治、管理保障和安置优抚等工作政策法规，组织实施退役军人事务发展规划和政策，褒扬彰显退役军人为党、国家和人民牺牲奉献的精神风范和价值导向。</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负责全市退役军队转业干部、离休退休干部、退役士兵和无军籍退休退职职工的移交安置工作和自主择业、就业退役军人服务管理工作。</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组织指导全市退役军人教育培训工作，协调扶持退役军人和随军随调家属就业创业。</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贯彻落实国家、省关于退役军人的特殊保障政策，会同有关部门制定相关政策，并组织实施。</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组织协调落实全市移交地方的离休退休军人、符合条件的其他退役军人和无军籍退休退职职工的住房保障工作，以及退役军人医疗保障工作，社会保险等待遇保障工作。</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组织指导全市伤病残退役军人服务管理工作和抚恤工作，贯彻落实退役军人医疗、疗养、养老机构的规划政策并指导实施。承担全市不适宜继续服役的伤病残军人相关工作。组织指导全市军供服务保障工作。</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组织和指导全市拥军优属工作。负责全市现役军人、退役军人、军队文职人员和军属优待、抚恤等工作；贯彻执行国家关于国民党抗战老兵等有关人员优待政策并指导实施。</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负责全市烈士及退役军人荣誉奖励、军人公墓管理维护、纪念活动等工作，依法承担英雄烈士保护相关工作，审核拟列入全市重点保护单位的烈士纪念建筑物名录，总结和宣扬退役军人、退役军人工作单位和个人先进典型事迹。</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指导并监督检查关于退役军人相关法律和政策实施的落实，开展全市退役军人权益维护和有关人员的帮扶援助工作。</w:t>
            </w:r>
          </w:p>
          <w:p>
            <w:pPr>
              <w:keepNext w:val="0"/>
              <w:keepLines w:val="0"/>
              <w:pageBreakBefore w:val="0"/>
              <w:kinsoku/>
              <w:wordWrap/>
              <w:overflowPunct/>
              <w:topLinePunct w:val="0"/>
              <w:autoSpaceDE/>
              <w:autoSpaceDN w:val="0"/>
              <w:bidi w:val="0"/>
              <w:adjustRightInd/>
              <w:snapToGrid/>
              <w:spacing w:line="300" w:lineRule="exact"/>
              <w:ind w:firstLine="480" w:firstLineChars="200"/>
              <w:jc w:val="left"/>
              <w:textAlignment w:val="center"/>
              <w:rPr>
                <w:rFonts w:ascii="仿宋_GB2312" w:hAnsi="仿宋_GB2312" w:eastAsia="仿宋_GB2312" w:cs="仿宋_GB2312"/>
                <w:color w:val="000000"/>
                <w:sz w:val="24"/>
              </w:rPr>
            </w:pP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完成市委、市政府交办的其他事项。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3"/>
            <w:vAlign w:val="center"/>
          </w:tcPr>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任务1：</w:t>
            </w:r>
            <w:r>
              <w:rPr>
                <w:rFonts w:hint="eastAsia" w:ascii="仿宋" w:hAnsi="仿宋" w:eastAsia="仿宋" w:cs="仿宋"/>
                <w:kern w:val="0"/>
                <w:sz w:val="24"/>
                <w:szCs w:val="24"/>
                <w:lang w:val="en-US" w:eastAsia="zh-CN"/>
              </w:rPr>
              <w:t>以习近平新时代中国特色社会主义思想为指导，全面贯彻党的十九大和十九届二中、三中、四中全会精神，认真落实市和省部有关会议和文件精神。</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任务2：</w:t>
            </w:r>
            <w:r>
              <w:rPr>
                <w:rFonts w:hint="eastAsia" w:ascii="仿宋" w:hAnsi="仿宋" w:eastAsia="仿宋" w:cs="仿宋"/>
                <w:kern w:val="0"/>
                <w:sz w:val="24"/>
                <w:szCs w:val="24"/>
                <w:lang w:val="en-US" w:eastAsia="zh-CN"/>
              </w:rPr>
              <w:t>坚持稳中求进工作总基调，以职业使命感、工作紧迫感为驱动，以“四个聚焦”为重点，坚持落实政策与创新方法齐抓，健全机构与发挥作用并重，破解难题与防控风险结合。</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ascii="仿宋_GB2312" w:hAnsi="仿宋_GB2312" w:eastAsia="仿宋_GB2312" w:cs="仿宋_GB2312"/>
                <w:color w:val="000000"/>
                <w:sz w:val="24"/>
              </w:rPr>
            </w:pPr>
            <w:r>
              <w:rPr>
                <w:rFonts w:hint="eastAsia" w:ascii="仿宋" w:hAnsi="仿宋" w:eastAsia="仿宋" w:cs="仿宋"/>
                <w:kern w:val="0"/>
                <w:sz w:val="24"/>
                <w:szCs w:val="24"/>
              </w:rPr>
              <w:t>任务3：</w:t>
            </w:r>
            <w:r>
              <w:rPr>
                <w:rFonts w:hint="eastAsia" w:ascii="仿宋" w:hAnsi="仿宋" w:eastAsia="仿宋" w:cs="仿宋"/>
                <w:kern w:val="0"/>
                <w:sz w:val="24"/>
                <w:szCs w:val="24"/>
                <w:lang w:val="en-US" w:eastAsia="zh-CN"/>
              </w:rPr>
              <w:t>着力建立健全“三个体系”，深入开展“思想政治工作年”“基层基础基本建设年”“信访攻坚年”活动，融合聚力、综合施策，真抓实干、久久为功，不断提升治理水平，推动全市退役军人工作迈上新台阶。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3"/>
            <w:vAlign w:val="center"/>
          </w:tcPr>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服务保障体系建设稳步推进，服务保障能力大幅提升</w:t>
            </w:r>
            <w:r>
              <w:rPr>
                <w:rFonts w:hint="eastAsia" w:ascii="仿宋" w:hAnsi="仿宋" w:eastAsia="仿宋" w:cs="仿宋"/>
                <w:kern w:val="0"/>
                <w:sz w:val="24"/>
                <w:szCs w:val="24"/>
                <w:lang w:eastAsia="zh-CN"/>
              </w:rPr>
              <w:t>；</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eastAsia="zh-CN"/>
              </w:rPr>
              <w:t>思想政治引导逐步加强，荣誉激励作用有效发挥；</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eastAsia="zh-CN"/>
              </w:rPr>
              <w:t>权益维护精准发力，涉军群体基本稳控；</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4.移交安置规范有序，退役军人获得感不断增强；</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5.就业创业工作守正创新，扶持效果初步显现；</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ascii="仿宋_GB2312" w:hAnsi="仿宋_GB2312" w:eastAsia="仿宋_GB2312" w:cs="仿宋_GB2312"/>
                <w:color w:val="000000"/>
                <w:sz w:val="24"/>
              </w:rPr>
            </w:pPr>
            <w:r>
              <w:rPr>
                <w:rFonts w:hint="eastAsia" w:ascii="仿宋" w:hAnsi="仿宋" w:eastAsia="仿宋" w:cs="仿宋"/>
                <w:kern w:val="0"/>
                <w:sz w:val="24"/>
                <w:szCs w:val="24"/>
                <w:lang w:val="en-US" w:eastAsia="zh-CN"/>
              </w:rPr>
              <w:t>6.拥军优抚有序开展</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政策待遇依规落实。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4"/>
            <w:vAlign w:val="center"/>
          </w:tcPr>
          <w:p>
            <w:pPr>
              <w:autoSpaceDN w:val="0"/>
              <w:spacing w:line="320" w:lineRule="exact"/>
              <w:jc w:val="center"/>
              <w:textAlignment w:val="center"/>
              <w:rPr>
                <w:rFonts w:hint="eastAsia" w:ascii="仿宋_GB2312" w:hAnsi="仿宋_GB2312" w:eastAsia="仿宋_GB2312" w:cs="仿宋_GB2312"/>
                <w:b/>
                <w:bCs/>
                <w:color w:val="000000"/>
                <w:sz w:val="24"/>
              </w:rPr>
            </w:pP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156"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6944" w:type="dxa"/>
            <w:gridSpan w:val="10"/>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56"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8"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38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592"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156"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7935.08</w:t>
            </w:r>
          </w:p>
        </w:tc>
        <w:tc>
          <w:tcPr>
            <w:tcW w:w="1088"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1395.76</w:t>
            </w:r>
          </w:p>
        </w:tc>
        <w:tc>
          <w:tcPr>
            <w:tcW w:w="1384" w:type="dxa"/>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4804.04</w:t>
            </w:r>
          </w:p>
        </w:tc>
        <w:tc>
          <w:tcPr>
            <w:tcW w:w="1592"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180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1737.28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2"/>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156"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3405.92</w:t>
            </w:r>
          </w:p>
        </w:tc>
        <w:tc>
          <w:tcPr>
            <w:tcW w:w="1088"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244.95</w:t>
            </w:r>
          </w:p>
        </w:tc>
        <w:tc>
          <w:tcPr>
            <w:tcW w:w="1384" w:type="dxa"/>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2912.34</w:t>
            </w:r>
          </w:p>
        </w:tc>
        <w:tc>
          <w:tcPr>
            <w:tcW w:w="1592"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180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248.63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2"/>
            <w:vAlign w:val="center"/>
          </w:tcPr>
          <w:p>
            <w:pPr>
              <w:spacing w:line="320" w:lineRule="exact"/>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烈士陵园管理中心</w:t>
            </w:r>
          </w:p>
        </w:tc>
        <w:tc>
          <w:tcPr>
            <w:tcW w:w="1156"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492.91</w:t>
            </w:r>
          </w:p>
        </w:tc>
        <w:tc>
          <w:tcPr>
            <w:tcW w:w="1088"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37.98</w:t>
            </w:r>
          </w:p>
        </w:tc>
        <w:tc>
          <w:tcPr>
            <w:tcW w:w="1384" w:type="dxa"/>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454.93</w:t>
            </w:r>
          </w:p>
        </w:tc>
        <w:tc>
          <w:tcPr>
            <w:tcW w:w="1592"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0</w:t>
            </w:r>
          </w:p>
        </w:tc>
        <w:tc>
          <w:tcPr>
            <w:tcW w:w="1800"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0</w:t>
            </w: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2"/>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2"/>
                <w:szCs w:val="22"/>
                <w:lang w:val="en-US" w:eastAsia="zh-CN"/>
              </w:rPr>
              <w:t>军队离休退休干部休养所</w:t>
            </w:r>
          </w:p>
        </w:tc>
        <w:tc>
          <w:tcPr>
            <w:tcW w:w="1156"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1840.30</w:t>
            </w:r>
          </w:p>
        </w:tc>
        <w:tc>
          <w:tcPr>
            <w:tcW w:w="1088"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966.90</w:t>
            </w:r>
          </w:p>
        </w:tc>
        <w:tc>
          <w:tcPr>
            <w:tcW w:w="1384"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836.33</w:t>
            </w:r>
          </w:p>
        </w:tc>
        <w:tc>
          <w:tcPr>
            <w:tcW w:w="1592"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w:t>
            </w:r>
          </w:p>
        </w:tc>
        <w:tc>
          <w:tcPr>
            <w:tcW w:w="1800"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w:t>
            </w: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37.07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2"/>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军用供应站</w:t>
            </w:r>
          </w:p>
        </w:tc>
        <w:tc>
          <w:tcPr>
            <w:tcW w:w="1156"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433.41</w:t>
            </w:r>
          </w:p>
        </w:tc>
        <w:tc>
          <w:tcPr>
            <w:tcW w:w="1088"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145.93</w:t>
            </w:r>
          </w:p>
        </w:tc>
        <w:tc>
          <w:tcPr>
            <w:tcW w:w="1384"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278.80</w:t>
            </w:r>
          </w:p>
        </w:tc>
        <w:tc>
          <w:tcPr>
            <w:tcW w:w="1592"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w:t>
            </w:r>
          </w:p>
        </w:tc>
        <w:tc>
          <w:tcPr>
            <w:tcW w:w="1800"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w:t>
            </w: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8.68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2"/>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lang w:eastAsia="zh-CN"/>
              </w:rPr>
              <w:t>退役军人服务中心</w:t>
            </w:r>
          </w:p>
        </w:tc>
        <w:tc>
          <w:tcPr>
            <w:tcW w:w="1156"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1762.54</w:t>
            </w:r>
          </w:p>
        </w:tc>
        <w:tc>
          <w:tcPr>
            <w:tcW w:w="1088"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0</w:t>
            </w:r>
          </w:p>
        </w:tc>
        <w:tc>
          <w:tcPr>
            <w:tcW w:w="1384"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321.64</w:t>
            </w:r>
          </w:p>
        </w:tc>
        <w:tc>
          <w:tcPr>
            <w:tcW w:w="1592"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0</w:t>
            </w:r>
          </w:p>
        </w:tc>
        <w:tc>
          <w:tcPr>
            <w:tcW w:w="1800" w:type="dxa"/>
            <w:gridSpan w:val="3"/>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0</w:t>
            </w: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1440.90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4"/>
            <w:vAlign w:val="center"/>
          </w:tcPr>
          <w:p>
            <w:pPr>
              <w:autoSpaceDN w:val="0"/>
              <w:spacing w:line="320" w:lineRule="exact"/>
              <w:jc w:val="center"/>
              <w:textAlignment w:val="center"/>
              <w:rPr>
                <w:rFonts w:hint="eastAsia" w:ascii="仿宋_GB2312" w:hAnsi="仿宋_GB2312" w:eastAsia="仿宋_GB2312" w:cs="仿宋_GB2312"/>
                <w:b/>
                <w:bCs/>
                <w:color w:val="000000"/>
                <w:sz w:val="24"/>
              </w:rPr>
            </w:pPr>
          </w:p>
          <w:p>
            <w:pPr>
              <w:autoSpaceDN w:val="0"/>
              <w:spacing w:line="320" w:lineRule="exact"/>
              <w:jc w:val="center"/>
              <w:textAlignment w:val="center"/>
              <w:rPr>
                <w:rFonts w:hint="eastAsia" w:ascii="仿宋_GB2312" w:hAnsi="仿宋_GB2312" w:eastAsia="仿宋_GB2312" w:cs="仿宋_GB2312"/>
                <w:b/>
                <w:bCs/>
                <w:color w:val="000000"/>
                <w:sz w:val="24"/>
              </w:rPr>
            </w:pP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56"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007" w:type="dxa"/>
            <w:gridSpan w:val="5"/>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937" w:type="dxa"/>
            <w:gridSpan w:val="5"/>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Merge w:val="continue"/>
            <w:vAlign w:val="center"/>
          </w:tcPr>
          <w:p>
            <w:pPr>
              <w:spacing w:line="320" w:lineRule="exact"/>
              <w:jc w:val="center"/>
              <w:rPr>
                <w:rFonts w:ascii="仿宋_GB2312" w:hAnsi="仿宋_GB2312" w:eastAsia="仿宋_GB2312" w:cs="仿宋_GB2312"/>
                <w:sz w:val="24"/>
              </w:rPr>
            </w:pPr>
          </w:p>
        </w:tc>
        <w:tc>
          <w:tcPr>
            <w:tcW w:w="1156"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8"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719" w:type="dxa"/>
            <w:gridSpan w:val="2"/>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200" w:type="dxa"/>
            <w:gridSpan w:val="2"/>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1035" w:type="dxa"/>
            <w:gridSpan w:val="4"/>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902"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Merge w:val="continue"/>
            <w:vAlign w:val="center"/>
          </w:tcPr>
          <w:p>
            <w:pPr>
              <w:spacing w:line="320" w:lineRule="exact"/>
              <w:jc w:val="center"/>
              <w:rPr>
                <w:rFonts w:ascii="仿宋_GB2312" w:hAnsi="仿宋_GB2312" w:eastAsia="仿宋_GB2312" w:cs="仿宋_GB2312"/>
                <w:sz w:val="24"/>
              </w:rPr>
            </w:pPr>
          </w:p>
        </w:tc>
        <w:tc>
          <w:tcPr>
            <w:tcW w:w="1156"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8"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8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335"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200"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35" w:type="dxa"/>
            <w:gridSpan w:val="4"/>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02"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2"/>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156"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6500.94</w:t>
            </w:r>
          </w:p>
        </w:tc>
        <w:tc>
          <w:tcPr>
            <w:tcW w:w="1088"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1919.55</w:t>
            </w:r>
          </w:p>
        </w:tc>
        <w:tc>
          <w:tcPr>
            <w:tcW w:w="1384" w:type="dxa"/>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1491.08</w:t>
            </w:r>
          </w:p>
        </w:tc>
        <w:tc>
          <w:tcPr>
            <w:tcW w:w="1335" w:type="dxa"/>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428.47</w:t>
            </w:r>
          </w:p>
        </w:tc>
        <w:tc>
          <w:tcPr>
            <w:tcW w:w="120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4581.39</w:t>
            </w:r>
          </w:p>
        </w:tc>
        <w:tc>
          <w:tcPr>
            <w:tcW w:w="1035"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40.38</w:t>
            </w:r>
          </w:p>
        </w:tc>
        <w:tc>
          <w:tcPr>
            <w:tcW w:w="902"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1335.97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1、局机关</w:t>
            </w:r>
          </w:p>
        </w:tc>
        <w:tc>
          <w:tcPr>
            <w:tcW w:w="1156"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3229.79</w:t>
            </w:r>
          </w:p>
        </w:tc>
        <w:tc>
          <w:tcPr>
            <w:tcW w:w="1088"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498.52</w:t>
            </w:r>
          </w:p>
        </w:tc>
        <w:tc>
          <w:tcPr>
            <w:tcW w:w="1384"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372.33</w:t>
            </w:r>
          </w:p>
        </w:tc>
        <w:tc>
          <w:tcPr>
            <w:tcW w:w="1335"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126.19</w:t>
            </w:r>
          </w:p>
        </w:tc>
        <w:tc>
          <w:tcPr>
            <w:tcW w:w="120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2731.27</w:t>
            </w:r>
          </w:p>
        </w:tc>
        <w:tc>
          <w:tcPr>
            <w:tcW w:w="1035"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-68.82</w:t>
            </w:r>
          </w:p>
        </w:tc>
        <w:tc>
          <w:tcPr>
            <w:tcW w:w="902"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176.13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烈士陵园管理中心</w:t>
            </w:r>
          </w:p>
        </w:tc>
        <w:tc>
          <w:tcPr>
            <w:tcW w:w="1156"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478.14</w:t>
            </w:r>
          </w:p>
        </w:tc>
        <w:tc>
          <w:tcPr>
            <w:tcW w:w="1088"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154.34</w:t>
            </w:r>
          </w:p>
        </w:tc>
        <w:tc>
          <w:tcPr>
            <w:tcW w:w="1384" w:type="dxa"/>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94.78</w:t>
            </w:r>
          </w:p>
        </w:tc>
        <w:tc>
          <w:tcPr>
            <w:tcW w:w="1335" w:type="dxa"/>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59.56</w:t>
            </w:r>
          </w:p>
        </w:tc>
        <w:tc>
          <w:tcPr>
            <w:tcW w:w="120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323.8</w:t>
            </w:r>
          </w:p>
        </w:tc>
        <w:tc>
          <w:tcPr>
            <w:tcW w:w="1035" w:type="dxa"/>
            <w:gridSpan w:val="4"/>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-21.21</w:t>
            </w:r>
          </w:p>
        </w:tc>
        <w:tc>
          <w:tcPr>
            <w:tcW w:w="902"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14.77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3、</w:t>
            </w:r>
            <w:r>
              <w:rPr>
                <w:rFonts w:hint="eastAsia" w:ascii="仿宋_GB2312" w:hAnsi="仿宋_GB2312" w:eastAsia="仿宋_GB2312" w:cs="仿宋_GB2312"/>
                <w:sz w:val="22"/>
                <w:szCs w:val="22"/>
                <w:lang w:val="en-US" w:eastAsia="zh-CN"/>
              </w:rPr>
              <w:t>军队离休退休干部休养所</w:t>
            </w:r>
          </w:p>
        </w:tc>
        <w:tc>
          <w:tcPr>
            <w:tcW w:w="1156"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825.50</w:t>
            </w:r>
          </w:p>
        </w:tc>
        <w:tc>
          <w:tcPr>
            <w:tcW w:w="1088"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825.50</w:t>
            </w:r>
          </w:p>
        </w:tc>
        <w:tc>
          <w:tcPr>
            <w:tcW w:w="1384"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710.34</w:t>
            </w:r>
          </w:p>
        </w:tc>
        <w:tc>
          <w:tcPr>
            <w:tcW w:w="1335"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115.16</w:t>
            </w:r>
          </w:p>
        </w:tc>
        <w:tc>
          <w:tcPr>
            <w:tcW w:w="120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w:t>
            </w:r>
          </w:p>
        </w:tc>
        <w:tc>
          <w:tcPr>
            <w:tcW w:w="1035"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47.9</w:t>
            </w:r>
          </w:p>
        </w:tc>
        <w:tc>
          <w:tcPr>
            <w:tcW w:w="902"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916.63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军用供应站</w:t>
            </w:r>
          </w:p>
        </w:tc>
        <w:tc>
          <w:tcPr>
            <w:tcW w:w="1156"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348.89</w:t>
            </w:r>
          </w:p>
        </w:tc>
        <w:tc>
          <w:tcPr>
            <w:tcW w:w="1088"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248.99</w:t>
            </w:r>
          </w:p>
        </w:tc>
        <w:tc>
          <w:tcPr>
            <w:tcW w:w="1384"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162.11</w:t>
            </w:r>
          </w:p>
        </w:tc>
        <w:tc>
          <w:tcPr>
            <w:tcW w:w="1335"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86.88</w:t>
            </w:r>
          </w:p>
        </w:tc>
        <w:tc>
          <w:tcPr>
            <w:tcW w:w="120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99.9</w:t>
            </w:r>
          </w:p>
        </w:tc>
        <w:tc>
          <w:tcPr>
            <w:tcW w:w="1035"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-61.41</w:t>
            </w:r>
          </w:p>
        </w:tc>
        <w:tc>
          <w:tcPr>
            <w:tcW w:w="902"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84.52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lang w:eastAsia="zh-CN"/>
              </w:rPr>
              <w:t>退役军人服务中心</w:t>
            </w:r>
          </w:p>
        </w:tc>
        <w:tc>
          <w:tcPr>
            <w:tcW w:w="1156"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1618.62</w:t>
            </w:r>
          </w:p>
        </w:tc>
        <w:tc>
          <w:tcPr>
            <w:tcW w:w="1088"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192.2</w:t>
            </w:r>
          </w:p>
        </w:tc>
        <w:tc>
          <w:tcPr>
            <w:tcW w:w="1384"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151.52</w:t>
            </w:r>
          </w:p>
        </w:tc>
        <w:tc>
          <w:tcPr>
            <w:tcW w:w="1335"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40.68</w:t>
            </w:r>
          </w:p>
        </w:tc>
        <w:tc>
          <w:tcPr>
            <w:tcW w:w="120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1426.42</w:t>
            </w:r>
          </w:p>
        </w:tc>
        <w:tc>
          <w:tcPr>
            <w:tcW w:w="1035"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143.92</w:t>
            </w:r>
          </w:p>
        </w:tc>
        <w:tc>
          <w:tcPr>
            <w:tcW w:w="902"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143.92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56"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944" w:type="dxa"/>
            <w:gridSpan w:val="10"/>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Merge w:val="continue"/>
            <w:vAlign w:val="center"/>
          </w:tcPr>
          <w:p>
            <w:pPr>
              <w:spacing w:line="320" w:lineRule="exact"/>
              <w:jc w:val="center"/>
              <w:rPr>
                <w:rFonts w:ascii="仿宋_GB2312" w:hAnsi="仿宋_GB2312" w:eastAsia="仿宋_GB2312" w:cs="仿宋_GB2312"/>
                <w:sz w:val="24"/>
              </w:rPr>
            </w:pPr>
          </w:p>
        </w:tc>
        <w:tc>
          <w:tcPr>
            <w:tcW w:w="1156"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8"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38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335"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3137"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0" w:hRule="atLeast"/>
          <w:jc w:val="center"/>
        </w:trPr>
        <w:tc>
          <w:tcPr>
            <w:tcW w:w="1700" w:type="dxa"/>
            <w:gridSpan w:val="2"/>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156"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17.02</w:t>
            </w:r>
          </w:p>
        </w:tc>
        <w:tc>
          <w:tcPr>
            <w:tcW w:w="1088"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7.92</w:t>
            </w:r>
          </w:p>
        </w:tc>
        <w:tc>
          <w:tcPr>
            <w:tcW w:w="1384" w:type="dxa"/>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9.1</w:t>
            </w:r>
          </w:p>
        </w:tc>
        <w:tc>
          <w:tcPr>
            <w:tcW w:w="1335" w:type="dxa"/>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3137"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0" w:hRule="atLeast"/>
          <w:jc w:val="center"/>
        </w:trPr>
        <w:tc>
          <w:tcPr>
            <w:tcW w:w="1700" w:type="dxa"/>
            <w:gridSpan w:val="2"/>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1、局机关</w:t>
            </w:r>
          </w:p>
        </w:tc>
        <w:tc>
          <w:tcPr>
            <w:tcW w:w="1156"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9.78</w:t>
            </w:r>
          </w:p>
        </w:tc>
        <w:tc>
          <w:tcPr>
            <w:tcW w:w="1088"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7.30</w:t>
            </w:r>
          </w:p>
        </w:tc>
        <w:tc>
          <w:tcPr>
            <w:tcW w:w="1384" w:type="dxa"/>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2.48</w:t>
            </w:r>
          </w:p>
        </w:tc>
        <w:tc>
          <w:tcPr>
            <w:tcW w:w="1335" w:type="dxa"/>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3137"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0" w:hRule="atLeast"/>
          <w:jc w:val="center"/>
        </w:trPr>
        <w:tc>
          <w:tcPr>
            <w:tcW w:w="1700" w:type="dxa"/>
            <w:gridSpan w:val="2"/>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烈士陵园管理中心</w:t>
            </w:r>
          </w:p>
        </w:tc>
        <w:tc>
          <w:tcPr>
            <w:tcW w:w="1156"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1088"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1384" w:type="dxa"/>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1335" w:type="dxa"/>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3137"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0" w:hRule="atLeast"/>
          <w:jc w:val="center"/>
        </w:trPr>
        <w:tc>
          <w:tcPr>
            <w:tcW w:w="1700" w:type="dxa"/>
            <w:gridSpan w:val="2"/>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3、</w:t>
            </w:r>
            <w:r>
              <w:rPr>
                <w:rFonts w:hint="eastAsia" w:ascii="仿宋_GB2312" w:hAnsi="仿宋_GB2312" w:eastAsia="仿宋_GB2312" w:cs="仿宋_GB2312"/>
                <w:sz w:val="22"/>
                <w:szCs w:val="22"/>
                <w:lang w:val="en-US" w:eastAsia="zh-CN"/>
              </w:rPr>
              <w:t>军队离休退休干部休养所</w:t>
            </w:r>
          </w:p>
        </w:tc>
        <w:tc>
          <w:tcPr>
            <w:tcW w:w="1156"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4.87</w:t>
            </w:r>
          </w:p>
        </w:tc>
        <w:tc>
          <w:tcPr>
            <w:tcW w:w="1088"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w:t>
            </w:r>
          </w:p>
        </w:tc>
        <w:tc>
          <w:tcPr>
            <w:tcW w:w="1384"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4.87</w:t>
            </w:r>
          </w:p>
        </w:tc>
        <w:tc>
          <w:tcPr>
            <w:tcW w:w="1335"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w:t>
            </w:r>
          </w:p>
        </w:tc>
        <w:tc>
          <w:tcPr>
            <w:tcW w:w="3137" w:type="dxa"/>
            <w:gridSpan w:val="7"/>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0" w:hRule="atLeast"/>
          <w:jc w:val="center"/>
        </w:trPr>
        <w:tc>
          <w:tcPr>
            <w:tcW w:w="1700" w:type="dxa"/>
            <w:gridSpan w:val="2"/>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军用供应站</w:t>
            </w:r>
          </w:p>
        </w:tc>
        <w:tc>
          <w:tcPr>
            <w:tcW w:w="1156" w:type="dxa"/>
            <w:gridSpan w:val="2"/>
            <w:tcBorders>
              <w:right w:val="single" w:color="auto" w:sz="4" w:space="0"/>
            </w:tcBorders>
            <w:vAlign w:val="center"/>
          </w:tcPr>
          <w:p>
            <w:pPr>
              <w:tabs>
                <w:tab w:val="left" w:pos="470"/>
              </w:tabs>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1.88</w:t>
            </w:r>
          </w:p>
        </w:tc>
        <w:tc>
          <w:tcPr>
            <w:tcW w:w="1088"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0.13</w:t>
            </w:r>
          </w:p>
        </w:tc>
        <w:tc>
          <w:tcPr>
            <w:tcW w:w="1384"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1.75</w:t>
            </w:r>
          </w:p>
        </w:tc>
        <w:tc>
          <w:tcPr>
            <w:tcW w:w="1335"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w:t>
            </w:r>
          </w:p>
        </w:tc>
        <w:tc>
          <w:tcPr>
            <w:tcW w:w="3137" w:type="dxa"/>
            <w:gridSpan w:val="7"/>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0" w:hRule="atLeast"/>
          <w:jc w:val="center"/>
        </w:trPr>
        <w:tc>
          <w:tcPr>
            <w:tcW w:w="1700" w:type="dxa"/>
            <w:gridSpan w:val="2"/>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lang w:eastAsia="zh-CN"/>
              </w:rPr>
              <w:t>退役军人服务中心</w:t>
            </w:r>
          </w:p>
        </w:tc>
        <w:tc>
          <w:tcPr>
            <w:tcW w:w="1156"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0.49</w:t>
            </w:r>
          </w:p>
        </w:tc>
        <w:tc>
          <w:tcPr>
            <w:tcW w:w="1088"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0.49</w:t>
            </w:r>
          </w:p>
        </w:tc>
        <w:tc>
          <w:tcPr>
            <w:tcW w:w="1384"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w:t>
            </w:r>
          </w:p>
        </w:tc>
        <w:tc>
          <w:tcPr>
            <w:tcW w:w="1335"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w:t>
            </w:r>
          </w:p>
        </w:tc>
        <w:tc>
          <w:tcPr>
            <w:tcW w:w="3137" w:type="dxa"/>
            <w:gridSpan w:val="7"/>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89" w:hRule="atLeast"/>
          <w:jc w:val="center"/>
        </w:trPr>
        <w:tc>
          <w:tcPr>
            <w:tcW w:w="1700" w:type="dxa"/>
            <w:gridSpan w:val="2"/>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56"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03" w:type="dxa"/>
            <w:gridSpan w:val="8"/>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9" w:hRule="atLeast"/>
          <w:jc w:val="center"/>
        </w:trPr>
        <w:tc>
          <w:tcPr>
            <w:tcW w:w="1700" w:type="dxa"/>
            <w:gridSpan w:val="2"/>
            <w:vMerge w:val="continue"/>
            <w:vAlign w:val="center"/>
          </w:tcPr>
          <w:p>
            <w:pPr>
              <w:spacing w:line="320" w:lineRule="exact"/>
              <w:jc w:val="center"/>
              <w:rPr>
                <w:rFonts w:ascii="仿宋_GB2312" w:hAnsi="仿宋_GB2312" w:eastAsia="仿宋_GB2312" w:cs="仿宋_GB2312"/>
                <w:sz w:val="24"/>
              </w:rPr>
            </w:pPr>
          </w:p>
        </w:tc>
        <w:tc>
          <w:tcPr>
            <w:tcW w:w="1156"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72"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531" w:type="dxa"/>
            <w:gridSpan w:val="6"/>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0" w:hRule="atLeast"/>
          <w:jc w:val="center"/>
        </w:trPr>
        <w:tc>
          <w:tcPr>
            <w:tcW w:w="1700" w:type="dxa"/>
            <w:gridSpan w:val="2"/>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156"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724.28</w:t>
            </w:r>
          </w:p>
        </w:tc>
        <w:tc>
          <w:tcPr>
            <w:tcW w:w="2472"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724.28</w:t>
            </w:r>
          </w:p>
        </w:tc>
        <w:tc>
          <w:tcPr>
            <w:tcW w:w="353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0" w:hRule="atLeast"/>
          <w:jc w:val="center"/>
        </w:trPr>
        <w:tc>
          <w:tcPr>
            <w:tcW w:w="1700" w:type="dxa"/>
            <w:gridSpan w:val="2"/>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1、局机关</w:t>
            </w:r>
          </w:p>
        </w:tc>
        <w:tc>
          <w:tcPr>
            <w:tcW w:w="1156"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36.59</w:t>
            </w:r>
          </w:p>
        </w:tc>
        <w:tc>
          <w:tcPr>
            <w:tcW w:w="2472"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36.59</w:t>
            </w:r>
          </w:p>
        </w:tc>
        <w:tc>
          <w:tcPr>
            <w:tcW w:w="353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0" w:hRule="atLeast"/>
          <w:jc w:val="center"/>
        </w:trPr>
        <w:tc>
          <w:tcPr>
            <w:tcW w:w="1700" w:type="dxa"/>
            <w:gridSpan w:val="2"/>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烈士陵园管理中心</w:t>
            </w:r>
          </w:p>
        </w:tc>
        <w:tc>
          <w:tcPr>
            <w:tcW w:w="1156"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30.78</w:t>
            </w:r>
          </w:p>
        </w:tc>
        <w:tc>
          <w:tcPr>
            <w:tcW w:w="2472"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30.78</w:t>
            </w:r>
          </w:p>
        </w:tc>
        <w:tc>
          <w:tcPr>
            <w:tcW w:w="3531" w:type="dxa"/>
            <w:gridSpan w:val="6"/>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0" w:hRule="atLeast"/>
          <w:jc w:val="center"/>
        </w:trPr>
        <w:tc>
          <w:tcPr>
            <w:tcW w:w="1700" w:type="dxa"/>
            <w:gridSpan w:val="2"/>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3、</w:t>
            </w:r>
            <w:r>
              <w:rPr>
                <w:rFonts w:hint="eastAsia" w:ascii="仿宋_GB2312" w:hAnsi="仿宋_GB2312" w:eastAsia="仿宋_GB2312" w:cs="仿宋_GB2312"/>
                <w:sz w:val="22"/>
                <w:szCs w:val="22"/>
                <w:lang w:val="en-US" w:eastAsia="zh-CN"/>
              </w:rPr>
              <w:t>军队离休退休干部休养所</w:t>
            </w:r>
          </w:p>
        </w:tc>
        <w:tc>
          <w:tcPr>
            <w:tcW w:w="1156"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259.72</w:t>
            </w:r>
          </w:p>
        </w:tc>
        <w:tc>
          <w:tcPr>
            <w:tcW w:w="2472"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259.72</w:t>
            </w:r>
          </w:p>
        </w:tc>
        <w:tc>
          <w:tcPr>
            <w:tcW w:w="3531" w:type="dxa"/>
            <w:gridSpan w:val="6"/>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w:t>
            </w:r>
          </w:p>
        </w:tc>
        <w:tc>
          <w:tcPr>
            <w:tcW w:w="941"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0" w:hRule="atLeast"/>
          <w:jc w:val="center"/>
        </w:trPr>
        <w:tc>
          <w:tcPr>
            <w:tcW w:w="1700" w:type="dxa"/>
            <w:gridSpan w:val="2"/>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军用供应站</w:t>
            </w:r>
          </w:p>
        </w:tc>
        <w:tc>
          <w:tcPr>
            <w:tcW w:w="1156"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332.97</w:t>
            </w:r>
          </w:p>
        </w:tc>
        <w:tc>
          <w:tcPr>
            <w:tcW w:w="2472"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332.97</w:t>
            </w:r>
          </w:p>
        </w:tc>
        <w:tc>
          <w:tcPr>
            <w:tcW w:w="3531" w:type="dxa"/>
            <w:gridSpan w:val="6"/>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w:t>
            </w:r>
          </w:p>
        </w:tc>
        <w:tc>
          <w:tcPr>
            <w:tcW w:w="941"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0" w:hRule="atLeast"/>
          <w:jc w:val="center"/>
        </w:trPr>
        <w:tc>
          <w:tcPr>
            <w:tcW w:w="1700" w:type="dxa"/>
            <w:gridSpan w:val="2"/>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lang w:eastAsia="zh-CN"/>
              </w:rPr>
              <w:t>退役军人服务中心</w:t>
            </w:r>
          </w:p>
        </w:tc>
        <w:tc>
          <w:tcPr>
            <w:tcW w:w="1156"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64.22</w:t>
            </w:r>
          </w:p>
        </w:tc>
        <w:tc>
          <w:tcPr>
            <w:tcW w:w="2472"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64.22</w:t>
            </w:r>
          </w:p>
        </w:tc>
        <w:tc>
          <w:tcPr>
            <w:tcW w:w="3531" w:type="dxa"/>
            <w:gridSpan w:val="6"/>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w:t>
            </w:r>
          </w:p>
        </w:tc>
        <w:tc>
          <w:tcPr>
            <w:tcW w:w="941"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4"/>
            <w:vAlign w:val="center"/>
          </w:tcPr>
          <w:p>
            <w:pPr>
              <w:autoSpaceDN w:val="0"/>
              <w:spacing w:line="320" w:lineRule="exact"/>
              <w:jc w:val="both"/>
              <w:textAlignment w:val="center"/>
              <w:rPr>
                <w:rFonts w:hint="eastAsia" w:ascii="黑体" w:hAnsi="黑体" w:eastAsia="黑体" w:cs="黑体"/>
                <w:color w:val="000000"/>
                <w:sz w:val="28"/>
                <w:szCs w:val="28"/>
              </w:rPr>
            </w:pPr>
          </w:p>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94"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53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472"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794" w:type="dxa"/>
            <w:gridSpan w:val="3"/>
            <w:vMerge w:val="continue"/>
            <w:vAlign w:val="center"/>
          </w:tcPr>
          <w:p>
            <w:pPr>
              <w:spacing w:line="320" w:lineRule="exact"/>
              <w:rPr>
                <w:rFonts w:ascii="仿宋_GB2312" w:hAnsi="仿宋_GB2312" w:eastAsia="仿宋_GB2312" w:cs="仿宋_GB2312"/>
                <w:sz w:val="24"/>
              </w:rPr>
            </w:pPr>
          </w:p>
        </w:tc>
        <w:tc>
          <w:tcPr>
            <w:tcW w:w="3534" w:type="dxa"/>
            <w:gridSpan w:val="3"/>
            <w:vAlign w:val="center"/>
          </w:tcPr>
          <w:p>
            <w:pPr>
              <w:keepNext w:val="0"/>
              <w:keepLines w:val="0"/>
              <w:pageBreakBefore w:val="0"/>
              <w:widowControl/>
              <w:kinsoku/>
              <w:wordWrap/>
              <w:overflowPunct/>
              <w:topLinePunct w:val="0"/>
              <w:autoSpaceDE/>
              <w:bidi w:val="0"/>
              <w:adjustRightInd/>
              <w:snapToGrid/>
              <w:spacing w:line="300" w:lineRule="exact"/>
              <w:textAlignment w:val="auto"/>
              <w:rPr>
                <w:rFonts w:hint="eastAsia" w:ascii="仿宋" w:hAnsi="仿宋" w:eastAsia="仿宋" w:cs="仿宋"/>
                <w:kern w:val="0"/>
                <w:sz w:val="24"/>
                <w:szCs w:val="24"/>
              </w:rPr>
            </w:pPr>
            <w:r>
              <w:rPr>
                <w:rFonts w:hint="eastAsia" w:ascii="仿宋_GB2312" w:hAnsi="仿宋_GB2312" w:eastAsia="仿宋_GB2312" w:cs="仿宋_GB2312"/>
                <w:color w:val="000000"/>
                <w:sz w:val="24"/>
              </w:rPr>
              <w:t>目标</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1：</w:t>
            </w:r>
            <w:r>
              <w:rPr>
                <w:rFonts w:hint="eastAsia" w:ascii="仿宋" w:hAnsi="仿宋" w:eastAsia="仿宋" w:cs="仿宋"/>
                <w:kern w:val="0"/>
                <w:sz w:val="24"/>
                <w:szCs w:val="24"/>
              </w:rPr>
              <w:t>推进服务保障体系建设</w:t>
            </w:r>
          </w:p>
          <w:p>
            <w:pPr>
              <w:keepNext w:val="0"/>
              <w:keepLines w:val="0"/>
              <w:pageBreakBefore w:val="0"/>
              <w:widowControl/>
              <w:kinsoku/>
              <w:wordWrap/>
              <w:overflowPunct/>
              <w:topLinePunct w:val="0"/>
              <w:autoSpaceDE/>
              <w:bidi w:val="0"/>
              <w:adjustRightInd/>
              <w:snapToGrid/>
              <w:spacing w:line="300" w:lineRule="exact"/>
              <w:textAlignment w:val="auto"/>
              <w:rPr>
                <w:rFonts w:hint="eastAsia" w:ascii="仿宋" w:hAnsi="仿宋" w:eastAsia="仿宋" w:cs="仿宋"/>
                <w:kern w:val="0"/>
                <w:sz w:val="24"/>
                <w:szCs w:val="24"/>
                <w:lang w:eastAsia="zh-CN"/>
              </w:rPr>
            </w:pPr>
            <w:r>
              <w:rPr>
                <w:rFonts w:hint="eastAsia" w:ascii="仿宋_GB2312" w:hAnsi="仿宋_GB2312" w:eastAsia="仿宋_GB2312" w:cs="仿宋_GB2312"/>
                <w:color w:val="000000"/>
                <w:sz w:val="24"/>
              </w:rPr>
              <w:t>目标</w:t>
            </w:r>
            <w:r>
              <w:rPr>
                <w:rFonts w:hint="eastAsia" w:ascii="仿宋_GB2312" w:hAnsi="仿宋_GB2312" w:eastAsia="仿宋_GB2312" w:cs="仿宋_GB2312"/>
                <w:color w:val="000000"/>
                <w:sz w:val="24"/>
                <w:lang w:val="en-US" w:eastAsia="zh-CN"/>
              </w:rPr>
              <w:t xml:space="preserve"> 2</w:t>
            </w:r>
            <w:r>
              <w:rPr>
                <w:rFonts w:hint="eastAsia" w:ascii="仿宋_GB2312" w:hAnsi="仿宋_GB2312" w:eastAsia="仿宋_GB2312" w:cs="仿宋_GB2312"/>
                <w:color w:val="000000"/>
                <w:sz w:val="24"/>
              </w:rPr>
              <w:t>：</w:t>
            </w:r>
            <w:r>
              <w:rPr>
                <w:rFonts w:hint="eastAsia" w:ascii="仿宋" w:hAnsi="仿宋" w:eastAsia="仿宋" w:cs="仿宋"/>
                <w:kern w:val="0"/>
                <w:sz w:val="24"/>
                <w:szCs w:val="24"/>
                <w:lang w:eastAsia="zh-CN"/>
              </w:rPr>
              <w:t>逐步加强思想政治引导</w:t>
            </w:r>
          </w:p>
          <w:p>
            <w:pPr>
              <w:keepNext w:val="0"/>
              <w:keepLines w:val="0"/>
              <w:pageBreakBefore w:val="0"/>
              <w:widowControl/>
              <w:kinsoku/>
              <w:wordWrap/>
              <w:overflowPunct/>
              <w:topLinePunct w:val="0"/>
              <w:autoSpaceDE/>
              <w:bidi w:val="0"/>
              <w:adjustRightInd/>
              <w:snapToGrid/>
              <w:spacing w:line="300" w:lineRule="exact"/>
              <w:textAlignment w:val="auto"/>
              <w:rPr>
                <w:rFonts w:hint="eastAsia" w:ascii="仿宋" w:hAnsi="仿宋" w:eastAsia="仿宋" w:cs="仿宋"/>
                <w:kern w:val="0"/>
                <w:sz w:val="24"/>
                <w:szCs w:val="24"/>
                <w:lang w:eastAsia="zh-CN"/>
              </w:rPr>
            </w:pPr>
            <w:r>
              <w:rPr>
                <w:rFonts w:hint="eastAsia" w:ascii="仿宋_GB2312" w:hAnsi="仿宋_GB2312" w:eastAsia="仿宋_GB2312" w:cs="仿宋_GB2312"/>
                <w:color w:val="000000"/>
                <w:sz w:val="24"/>
              </w:rPr>
              <w:t>目标</w:t>
            </w:r>
            <w:r>
              <w:rPr>
                <w:rFonts w:hint="eastAsia" w:ascii="仿宋_GB2312" w:hAnsi="仿宋_GB2312" w:eastAsia="仿宋_GB2312" w:cs="仿宋_GB2312"/>
                <w:color w:val="000000"/>
                <w:sz w:val="24"/>
                <w:lang w:val="en-US" w:eastAsia="zh-CN"/>
              </w:rPr>
              <w:t xml:space="preserve"> 3</w:t>
            </w:r>
            <w:r>
              <w:rPr>
                <w:rFonts w:hint="eastAsia" w:ascii="仿宋_GB2312" w:hAnsi="仿宋_GB2312" w:eastAsia="仿宋_GB2312" w:cs="仿宋_GB2312"/>
                <w:color w:val="000000"/>
                <w:sz w:val="24"/>
              </w:rPr>
              <w:t>：</w:t>
            </w:r>
            <w:r>
              <w:rPr>
                <w:rFonts w:hint="eastAsia" w:ascii="仿宋" w:hAnsi="仿宋" w:eastAsia="仿宋" w:cs="仿宋"/>
                <w:kern w:val="0"/>
                <w:sz w:val="24"/>
                <w:szCs w:val="24"/>
                <w:lang w:eastAsia="zh-CN"/>
              </w:rPr>
              <w:t>权益维护精准发力</w:t>
            </w:r>
          </w:p>
          <w:p>
            <w:pPr>
              <w:keepNext w:val="0"/>
              <w:keepLines w:val="0"/>
              <w:pageBreakBefore w:val="0"/>
              <w:widowControl/>
              <w:kinsoku/>
              <w:wordWrap/>
              <w:overflowPunct/>
              <w:topLinePunct w:val="0"/>
              <w:autoSpaceDE/>
              <w:bidi w:val="0"/>
              <w:adjustRightInd/>
              <w:snapToGrid/>
              <w:spacing w:line="300" w:lineRule="exact"/>
              <w:textAlignment w:val="auto"/>
              <w:rPr>
                <w:rFonts w:hint="eastAsia" w:ascii="仿宋" w:hAnsi="仿宋" w:eastAsia="仿宋" w:cs="仿宋"/>
                <w:kern w:val="0"/>
                <w:sz w:val="24"/>
                <w:szCs w:val="24"/>
                <w:lang w:val="en-US" w:eastAsia="zh-CN"/>
              </w:rPr>
            </w:pPr>
            <w:r>
              <w:rPr>
                <w:rFonts w:hint="eastAsia" w:ascii="仿宋_GB2312" w:hAnsi="仿宋_GB2312" w:eastAsia="仿宋_GB2312" w:cs="仿宋_GB2312"/>
                <w:color w:val="000000"/>
                <w:sz w:val="24"/>
              </w:rPr>
              <w:t>目标</w:t>
            </w:r>
            <w:r>
              <w:rPr>
                <w:rFonts w:hint="eastAsia" w:ascii="仿宋_GB2312" w:hAnsi="仿宋_GB2312" w:eastAsia="仿宋_GB2312" w:cs="仿宋_GB2312"/>
                <w:color w:val="000000"/>
                <w:sz w:val="24"/>
                <w:lang w:val="en-US" w:eastAsia="zh-CN"/>
              </w:rPr>
              <w:t xml:space="preserve"> 4</w:t>
            </w:r>
            <w:r>
              <w:rPr>
                <w:rFonts w:hint="eastAsia" w:ascii="仿宋_GB2312" w:hAnsi="仿宋_GB2312" w:eastAsia="仿宋_GB2312" w:cs="仿宋_GB2312"/>
                <w:color w:val="000000"/>
                <w:sz w:val="24"/>
              </w:rPr>
              <w:t>：</w:t>
            </w:r>
            <w:r>
              <w:rPr>
                <w:rFonts w:hint="eastAsia" w:ascii="仿宋" w:hAnsi="仿宋" w:eastAsia="仿宋" w:cs="仿宋"/>
                <w:kern w:val="0"/>
                <w:sz w:val="24"/>
                <w:szCs w:val="24"/>
                <w:lang w:val="en-US" w:eastAsia="zh-CN"/>
              </w:rPr>
              <w:t>移交安置规范有序</w:t>
            </w:r>
          </w:p>
          <w:p>
            <w:pPr>
              <w:keepNext w:val="0"/>
              <w:keepLines w:val="0"/>
              <w:pageBreakBefore w:val="0"/>
              <w:widowControl/>
              <w:kinsoku/>
              <w:wordWrap/>
              <w:overflowPunct/>
              <w:topLinePunct w:val="0"/>
              <w:autoSpaceDE/>
              <w:bidi w:val="0"/>
              <w:adjustRightInd/>
              <w:snapToGrid/>
              <w:spacing w:line="300" w:lineRule="exact"/>
              <w:textAlignment w:val="auto"/>
              <w:rPr>
                <w:rFonts w:hint="default" w:ascii="仿宋" w:hAnsi="仿宋" w:eastAsia="仿宋" w:cs="仿宋"/>
                <w:kern w:val="0"/>
                <w:sz w:val="24"/>
                <w:szCs w:val="24"/>
                <w:lang w:val="en-US" w:eastAsia="zh-CN"/>
              </w:rPr>
            </w:pPr>
            <w:r>
              <w:rPr>
                <w:rFonts w:hint="eastAsia" w:ascii="仿宋_GB2312" w:hAnsi="仿宋_GB2312" w:eastAsia="仿宋_GB2312" w:cs="仿宋_GB2312"/>
                <w:color w:val="000000"/>
                <w:sz w:val="24"/>
              </w:rPr>
              <w:t>目标</w:t>
            </w:r>
            <w:r>
              <w:rPr>
                <w:rFonts w:hint="eastAsia" w:ascii="仿宋_GB2312" w:hAnsi="仿宋_GB2312" w:eastAsia="仿宋_GB2312" w:cs="仿宋_GB2312"/>
                <w:color w:val="000000"/>
                <w:sz w:val="24"/>
                <w:lang w:val="en-US" w:eastAsia="zh-CN"/>
              </w:rPr>
              <w:t xml:space="preserve"> 5</w:t>
            </w:r>
            <w:r>
              <w:rPr>
                <w:rFonts w:hint="eastAsia" w:ascii="仿宋_GB2312" w:hAnsi="仿宋_GB2312" w:eastAsia="仿宋_GB2312" w:cs="仿宋_GB2312"/>
                <w:color w:val="000000"/>
                <w:sz w:val="24"/>
              </w:rPr>
              <w:t>：</w:t>
            </w:r>
            <w:r>
              <w:rPr>
                <w:rFonts w:hint="eastAsia" w:ascii="仿宋" w:hAnsi="仿宋" w:eastAsia="仿宋" w:cs="仿宋"/>
                <w:kern w:val="0"/>
                <w:sz w:val="24"/>
                <w:szCs w:val="24"/>
                <w:lang w:val="en-US" w:eastAsia="zh-CN"/>
              </w:rPr>
              <w:t xml:space="preserve">就业创业工作守正创新  </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hint="eastAsia" w:ascii="仿宋_GB2312" w:hAnsi="仿宋_GB2312" w:eastAsia="仿宋_GB2312" w:cs="仿宋_GB2312"/>
                <w:color w:val="000000"/>
                <w:sz w:val="24"/>
                <w:lang w:val="en-US" w:eastAsia="zh-CN"/>
              </w:rPr>
              <w:t xml:space="preserve"> 6</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拥军优抚有序开展</w:t>
            </w:r>
          </w:p>
        </w:tc>
        <w:tc>
          <w:tcPr>
            <w:tcW w:w="4472" w:type="dxa"/>
            <w:gridSpan w:val="8"/>
            <w:vAlign w:val="center"/>
          </w:tcPr>
          <w:p>
            <w:pPr>
              <w:keepNext w:val="0"/>
              <w:keepLines w:val="0"/>
              <w:pageBreakBefore w:val="0"/>
              <w:widowControl/>
              <w:kinsoku/>
              <w:wordWrap/>
              <w:overflowPunct/>
              <w:topLinePunct w:val="0"/>
              <w:autoSpaceDE/>
              <w:bidi w:val="0"/>
              <w:adjustRightInd/>
              <w:snapToGrid/>
              <w:spacing w:line="300" w:lineRule="exact"/>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1.服务保障体系建设稳步推进，服务保障能力大幅提升;</w:t>
            </w:r>
          </w:p>
          <w:p>
            <w:pPr>
              <w:keepNext w:val="0"/>
              <w:keepLines w:val="0"/>
              <w:pageBreakBefore w:val="0"/>
              <w:widowControl/>
              <w:kinsoku/>
              <w:wordWrap/>
              <w:overflowPunct/>
              <w:topLinePunct w:val="0"/>
              <w:autoSpaceDE/>
              <w:bidi w:val="0"/>
              <w:adjustRightInd/>
              <w:snapToGrid/>
              <w:spacing w:line="300" w:lineRule="exact"/>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2.思想政治引导逐步加强，荣誉激励作用有效发挥;</w:t>
            </w:r>
          </w:p>
          <w:p>
            <w:pPr>
              <w:keepNext w:val="0"/>
              <w:keepLines w:val="0"/>
              <w:pageBreakBefore w:val="0"/>
              <w:widowControl/>
              <w:kinsoku/>
              <w:wordWrap/>
              <w:overflowPunct/>
              <w:topLinePunct w:val="0"/>
              <w:autoSpaceDE/>
              <w:bidi w:val="0"/>
              <w:adjustRightInd/>
              <w:snapToGrid/>
              <w:spacing w:line="300" w:lineRule="exact"/>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3.权益维护精准发力，涉军群体基本稳控;</w:t>
            </w:r>
          </w:p>
          <w:p>
            <w:pPr>
              <w:keepNext w:val="0"/>
              <w:keepLines w:val="0"/>
              <w:pageBreakBefore w:val="0"/>
              <w:widowControl/>
              <w:kinsoku/>
              <w:wordWrap/>
              <w:overflowPunct/>
              <w:topLinePunct w:val="0"/>
              <w:autoSpaceDE/>
              <w:bidi w:val="0"/>
              <w:adjustRightInd/>
              <w:snapToGrid/>
              <w:spacing w:line="300" w:lineRule="exact"/>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4.移交安置规范有序，退役军人获得感不断增强;</w:t>
            </w:r>
          </w:p>
          <w:p>
            <w:pPr>
              <w:keepNext w:val="0"/>
              <w:keepLines w:val="0"/>
              <w:pageBreakBefore w:val="0"/>
              <w:widowControl/>
              <w:kinsoku/>
              <w:wordWrap/>
              <w:overflowPunct/>
              <w:topLinePunct w:val="0"/>
              <w:autoSpaceDE/>
              <w:bidi w:val="0"/>
              <w:adjustRightInd/>
              <w:snapToGrid/>
              <w:spacing w:line="300" w:lineRule="exac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5.就业创业工作守正创新，扶持效果初步显现;</w:t>
            </w:r>
          </w:p>
          <w:p>
            <w:pPr>
              <w:keepNext w:val="0"/>
              <w:keepLines w:val="0"/>
              <w:pageBreakBefore w:val="0"/>
              <w:widowControl/>
              <w:kinsoku/>
              <w:wordWrap/>
              <w:overflowPunct/>
              <w:topLinePunct w:val="0"/>
              <w:autoSpaceDE/>
              <w:bidi w:val="0"/>
              <w:adjustRightInd/>
              <w:snapToGrid/>
              <w:spacing w:line="300" w:lineRule="exact"/>
              <w:textAlignment w:val="auto"/>
              <w:rPr>
                <w:rFonts w:ascii="仿宋_GB2312" w:hAnsi="仿宋_GB2312" w:eastAsia="仿宋_GB2312" w:cs="仿宋_GB2312"/>
                <w:color w:val="000000"/>
                <w:sz w:val="24"/>
              </w:rPr>
            </w:pPr>
            <w:r>
              <w:rPr>
                <w:rFonts w:hint="eastAsia" w:ascii="仿宋" w:hAnsi="仿宋" w:eastAsia="仿宋" w:cs="仿宋"/>
                <w:kern w:val="0"/>
                <w:sz w:val="24"/>
                <w:szCs w:val="24"/>
                <w:lang w:val="en-US" w:eastAsia="zh-CN"/>
              </w:rPr>
              <w:t>6.拥军优抚有序开展，政策待遇依规落实。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94" w:type="dxa"/>
            <w:gridSpan w:val="3"/>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15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138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4472"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47" w:hRule="atLeast"/>
          <w:jc w:val="center"/>
        </w:trPr>
        <w:tc>
          <w:tcPr>
            <w:tcW w:w="1794" w:type="dxa"/>
            <w:gridSpan w:val="3"/>
            <w:vMerge w:val="continue"/>
            <w:vAlign w:val="center"/>
          </w:tcPr>
          <w:p>
            <w:pPr>
              <w:spacing w:line="320" w:lineRule="exact"/>
              <w:rPr>
                <w:rFonts w:ascii="仿宋_GB2312" w:hAnsi="仿宋_GB2312" w:eastAsia="仿宋_GB2312" w:cs="仿宋_GB2312"/>
                <w:sz w:val="24"/>
              </w:rPr>
            </w:pPr>
          </w:p>
        </w:tc>
        <w:tc>
          <w:tcPr>
            <w:tcW w:w="1062"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088"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社会效益</w:t>
            </w:r>
          </w:p>
        </w:tc>
        <w:tc>
          <w:tcPr>
            <w:tcW w:w="1384" w:type="dxa"/>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促进就业</w:t>
            </w:r>
            <w:r>
              <w:rPr>
                <w:rFonts w:hint="eastAsia" w:ascii="仿宋_GB2312" w:hAnsi="仿宋_GB2312" w:eastAsia="仿宋_GB2312" w:cs="仿宋_GB2312"/>
                <w:color w:val="000000"/>
                <w:sz w:val="24"/>
                <w:lang w:eastAsia="zh-CN"/>
              </w:rPr>
              <w:t>有力</w:t>
            </w:r>
          </w:p>
        </w:tc>
        <w:tc>
          <w:tcPr>
            <w:tcW w:w="4472" w:type="dxa"/>
            <w:gridSpan w:val="8"/>
            <w:vAlign w:val="center"/>
          </w:tcPr>
          <w:p>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2"/>
                <w:szCs w:val="22"/>
                <w:lang w:val="en-US" w:eastAsia="zh-CN"/>
              </w:rPr>
              <w:t>一是认真开展全市就业创业底数摸查。建立了退出现役军人基本情况花名册和就业创业台账。今年退役军人共开办企业478家。截止10月份，缴纳税款0.8亿元，税收优惠减免105万余元，带动退役军人就业1600余人。其中全市退役军人创办企业（或经营实体）47家。二是着力加大教育培训力度。受疫情影响，我们采取线上与线下相结合的方式开展职业技能培训，其中185人参加线上培训，943名退役士兵参加现场培训。三是全面推进线上线下相结合的招聘模式。充分利用现有网络技术，依靠岳阳云就业技术支撑，开展“春风行动”大型网络招聘，共有1772家企业参与，提供岗位4.2万个，共有1800余名退役军人报名参加，达成就业意向400余名。大力组织退役军人及军属专场招聘活动。平江、湘阴等地带着企业下乡镇开展小型招聘会，送岗位到家。全年全市共举办现场招聘会50场，累计参会企业1530余家，提供就业岗位2.7万多个，3385名现（退）役军人参加，1229名现（退）役军人找到了工作。四是持续开展“双带双促”活动。成立岳阳市退役军人就业创业暨双带双促工作领导小组。11月份召开全市退役军人双带双促先进典型评比总结大会，表彰先进组织单位4个，先进实体单位30个，先进个人26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94" w:type="dxa"/>
            <w:gridSpan w:val="3"/>
            <w:vMerge w:val="continue"/>
            <w:vAlign w:val="center"/>
          </w:tcPr>
          <w:p>
            <w:pPr>
              <w:spacing w:line="320" w:lineRule="exact"/>
              <w:rPr>
                <w:rFonts w:ascii="仿宋_GB2312" w:hAnsi="仿宋_GB2312" w:eastAsia="仿宋_GB2312" w:cs="仿宋_GB2312"/>
                <w:sz w:val="24"/>
              </w:rPr>
            </w:pPr>
          </w:p>
        </w:tc>
        <w:tc>
          <w:tcPr>
            <w:tcW w:w="1062" w:type="dxa"/>
            <w:vMerge w:val="continue"/>
            <w:vAlign w:val="center"/>
          </w:tcPr>
          <w:p>
            <w:pPr>
              <w:autoSpaceDN w:val="0"/>
              <w:spacing w:line="320" w:lineRule="exact"/>
              <w:rPr>
                <w:rFonts w:ascii="仿宋_GB2312" w:hAnsi="仿宋_GB2312" w:eastAsia="仿宋_GB2312" w:cs="仿宋_GB2312"/>
                <w:sz w:val="24"/>
              </w:rPr>
            </w:pPr>
          </w:p>
        </w:tc>
        <w:tc>
          <w:tcPr>
            <w:tcW w:w="1088" w:type="dxa"/>
            <w:vMerge w:val="continue"/>
            <w:vAlign w:val="center"/>
          </w:tcPr>
          <w:p>
            <w:pPr>
              <w:spacing w:line="320" w:lineRule="exact"/>
              <w:rPr>
                <w:rFonts w:ascii="仿宋_GB2312" w:hAnsi="仿宋_GB2312" w:eastAsia="仿宋_GB2312" w:cs="仿宋_GB2312"/>
                <w:sz w:val="24"/>
              </w:rPr>
            </w:pPr>
          </w:p>
        </w:tc>
        <w:tc>
          <w:tcPr>
            <w:tcW w:w="1384" w:type="dxa"/>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移交安置到位</w:t>
            </w:r>
          </w:p>
        </w:tc>
        <w:tc>
          <w:tcPr>
            <w:tcW w:w="4472" w:type="dxa"/>
            <w:gridSpan w:val="8"/>
            <w:vAlign w:val="center"/>
          </w:tcPr>
          <w:p>
            <w:pPr>
              <w:keepNext w:val="0"/>
              <w:keepLines w:val="0"/>
              <w:pageBreakBefore w:val="0"/>
              <w:widowControl/>
              <w:kinsoku/>
              <w:wordWrap/>
              <w:overflowPunct/>
              <w:topLinePunct w:val="0"/>
              <w:autoSpaceDE/>
              <w:autoSpaceDN/>
              <w:bidi w:val="0"/>
              <w:adjustRightInd/>
              <w:snapToGrid/>
              <w:spacing w:line="260" w:lineRule="exact"/>
              <w:ind w:firstLine="440" w:firstLineChars="200"/>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一是做好退役军人安置接收工作。采取“考试考核、自主选择与双向选择相结合”的安置办法，全市37名营职以下及专业技术军转干部中除三名选择参公岗位外，其他均被安置在公务员岗位。全市接收符合政府安排工作条件的退役士兵309人，其中283人安置在事业单位，25人安置在中央省属企业，1人自愿选择灵活就业。随调随军家属4人均安置在市直单位。</w:t>
            </w:r>
          </w:p>
          <w:p>
            <w:pPr>
              <w:keepNext w:val="0"/>
              <w:keepLines w:val="0"/>
              <w:pageBreakBefore w:val="0"/>
              <w:widowControl w:val="0"/>
              <w:kinsoku/>
              <w:wordWrap/>
              <w:overflowPunct/>
              <w:topLinePunct w:val="0"/>
              <w:autoSpaceDE/>
              <w:autoSpaceDN/>
              <w:bidi w:val="0"/>
              <w:adjustRightInd/>
              <w:snapToGrid/>
              <w:spacing w:line="260" w:lineRule="exact"/>
              <w:ind w:firstLine="440" w:firstLineChars="200"/>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二是退役人员的服务保障务实有效。广泛开展老兵“荣归”欢迎活动。全市举行退役士兵欢迎仪式并召开座谈会78场次。办理197名自主择业军转干部年审，其中现场年审103人。落实自主择业军转干部住房公积金、公务员医保、八一慰问金、年度生活补助、体检等政策待遇。</w:t>
            </w:r>
          </w:p>
          <w:p>
            <w:pPr>
              <w:keepNext w:val="0"/>
              <w:keepLines w:val="0"/>
              <w:pageBreakBefore w:val="0"/>
              <w:widowControl w:val="0"/>
              <w:kinsoku/>
              <w:wordWrap/>
              <w:overflowPunct/>
              <w:topLinePunct w:val="0"/>
              <w:autoSpaceDE/>
              <w:autoSpaceDN/>
              <w:bidi w:val="0"/>
              <w:adjustRightInd/>
              <w:snapToGrid/>
              <w:spacing w:line="260" w:lineRule="exact"/>
              <w:ind w:firstLine="440" w:firstLineChars="200"/>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2"/>
                <w:szCs w:val="22"/>
                <w:lang w:val="en-US" w:eastAsia="zh-CN"/>
              </w:rPr>
              <w:t>三是积极推进部分退役士兵社保接续工作。按照全省统一部署，实现“一门受理、协同办理”的目标，制定简明易懂的办理流程，今年以来工作推进规范快速，完成质量较高。省专班联合调研组在7月份赴我市调研时给予了高度评价。全市申报19711人，受理16235人，认定了749名困难人员，材料审核通过16235份，养老已办结16119人，办结率达99.3%，需缴费人数7187人，个人已缴费6525人，缴费率90.8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060" w:hRule="atLeast"/>
          <w:jc w:val="center"/>
        </w:trPr>
        <w:tc>
          <w:tcPr>
            <w:tcW w:w="1794" w:type="dxa"/>
            <w:gridSpan w:val="3"/>
            <w:vMerge w:val="continue"/>
            <w:vAlign w:val="center"/>
          </w:tcPr>
          <w:p>
            <w:pPr>
              <w:spacing w:line="320" w:lineRule="exact"/>
              <w:rPr>
                <w:rFonts w:ascii="仿宋_GB2312" w:hAnsi="仿宋_GB2312" w:eastAsia="仿宋_GB2312" w:cs="仿宋_GB2312"/>
                <w:sz w:val="24"/>
              </w:rPr>
            </w:pPr>
          </w:p>
        </w:tc>
        <w:tc>
          <w:tcPr>
            <w:tcW w:w="1062" w:type="dxa"/>
            <w:vMerge w:val="continue"/>
            <w:vAlign w:val="center"/>
          </w:tcPr>
          <w:p>
            <w:pPr>
              <w:autoSpaceDN w:val="0"/>
              <w:spacing w:line="320" w:lineRule="exact"/>
              <w:rPr>
                <w:rFonts w:ascii="仿宋_GB2312" w:hAnsi="仿宋_GB2312" w:eastAsia="仿宋_GB2312" w:cs="仿宋_GB2312"/>
                <w:sz w:val="24"/>
              </w:rPr>
            </w:pPr>
          </w:p>
        </w:tc>
        <w:tc>
          <w:tcPr>
            <w:tcW w:w="1088" w:type="dxa"/>
            <w:vMerge w:val="continue"/>
            <w:vAlign w:val="center"/>
          </w:tcPr>
          <w:p>
            <w:pPr>
              <w:spacing w:line="320" w:lineRule="exact"/>
              <w:rPr>
                <w:rFonts w:ascii="仿宋_GB2312" w:hAnsi="仿宋_GB2312" w:eastAsia="仿宋_GB2312" w:cs="仿宋_GB2312"/>
                <w:sz w:val="24"/>
              </w:rPr>
            </w:pPr>
          </w:p>
        </w:tc>
        <w:tc>
          <w:tcPr>
            <w:tcW w:w="1384" w:type="dxa"/>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拥军优属</w:t>
            </w:r>
            <w:r>
              <w:rPr>
                <w:rFonts w:hint="eastAsia" w:ascii="仿宋_GB2312" w:hAnsi="仿宋_GB2312" w:eastAsia="仿宋_GB2312" w:cs="仿宋_GB2312"/>
                <w:color w:val="000000"/>
                <w:sz w:val="24"/>
                <w:lang w:eastAsia="zh-CN"/>
              </w:rPr>
              <w:t>暖心</w:t>
            </w:r>
          </w:p>
        </w:tc>
        <w:tc>
          <w:tcPr>
            <w:tcW w:w="4472" w:type="dxa"/>
            <w:gridSpan w:val="8"/>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kern w:val="0"/>
                <w:sz w:val="22"/>
                <w:szCs w:val="22"/>
                <w:lang w:val="en-US" w:eastAsia="zh-CN"/>
              </w:rPr>
            </w:pPr>
            <w:r>
              <w:rPr>
                <w:rFonts w:hint="eastAsia" w:ascii="仿宋" w:hAnsi="仿宋" w:eastAsia="仿宋" w:cs="仿宋"/>
                <w:b/>
                <w:bCs/>
                <w:color w:val="auto"/>
                <w:kern w:val="0"/>
                <w:sz w:val="22"/>
                <w:szCs w:val="22"/>
                <w:lang w:val="en-US" w:eastAsia="zh-CN"/>
              </w:rPr>
              <w:t>一</w:t>
            </w:r>
            <w:r>
              <w:rPr>
                <w:rFonts w:hint="eastAsia" w:ascii="仿宋" w:hAnsi="仿宋" w:eastAsia="仿宋" w:cs="仿宋"/>
                <w:b/>
                <w:bCs/>
                <w:color w:val="auto"/>
                <w:kern w:val="0"/>
                <w:sz w:val="22"/>
                <w:szCs w:val="22"/>
                <w:lang w:val="zh-TW" w:eastAsia="zh-TW"/>
              </w:rPr>
              <w:t>是优抚褒扬有效落实。</w:t>
            </w:r>
            <w:r>
              <w:rPr>
                <w:rFonts w:hint="eastAsia" w:ascii="仿宋" w:hAnsi="仿宋" w:eastAsia="仿宋" w:cs="仿宋"/>
                <w:color w:val="auto"/>
                <w:kern w:val="0"/>
                <w:sz w:val="22"/>
                <w:szCs w:val="22"/>
                <w:lang w:val="zh-TW" w:eastAsia="zh-TW"/>
              </w:rPr>
              <w:t>按政策规定和程序审定新增优抚对象</w:t>
            </w:r>
            <w:r>
              <w:rPr>
                <w:rFonts w:hint="eastAsia" w:ascii="仿宋" w:hAnsi="仿宋" w:eastAsia="仿宋" w:cs="仿宋"/>
                <w:color w:val="auto"/>
                <w:kern w:val="0"/>
                <w:sz w:val="22"/>
                <w:szCs w:val="22"/>
                <w:lang w:val="zh-TW" w:eastAsia="zh-CN"/>
              </w:rPr>
              <w:t>，</w:t>
            </w:r>
            <w:r>
              <w:rPr>
                <w:rFonts w:hint="eastAsia" w:ascii="仿宋" w:hAnsi="仿宋" w:eastAsia="仿宋" w:cs="仿宋"/>
                <w:color w:val="auto"/>
                <w:kern w:val="0"/>
                <w:sz w:val="22"/>
                <w:szCs w:val="22"/>
                <w:lang w:val="zh-TW" w:eastAsia="zh-TW"/>
              </w:rPr>
              <w:t>严格规范做好评残、评烈和带病回乡审批等工作。共受理伤残鉴定280件，带病回乡审批501件。</w:t>
            </w:r>
            <w:r>
              <w:rPr>
                <w:rFonts w:hint="eastAsia" w:ascii="仿宋" w:hAnsi="仿宋" w:eastAsia="仿宋" w:cs="仿宋"/>
                <w:color w:val="auto"/>
                <w:kern w:val="0"/>
                <w:sz w:val="22"/>
                <w:szCs w:val="22"/>
                <w:lang w:val="en-US" w:eastAsia="zh-CN"/>
              </w:rPr>
              <w:t>选送14名优抚对象到省荣军医院进行为期10天的短期疗养</w:t>
            </w:r>
            <w:r>
              <w:rPr>
                <w:rFonts w:hint="eastAsia" w:ascii="仿宋" w:hAnsi="仿宋" w:eastAsia="仿宋" w:cs="仿宋"/>
                <w:color w:val="auto"/>
                <w:kern w:val="0"/>
                <w:sz w:val="22"/>
                <w:szCs w:val="22"/>
                <w:lang w:val="zh-TW" w:eastAsia="zh-TW"/>
              </w:rPr>
              <w:t>。全面落实军休人员“两个待遇”，</w:t>
            </w:r>
            <w:r>
              <w:rPr>
                <w:rFonts w:hint="eastAsia" w:ascii="仿宋" w:hAnsi="仿宋" w:eastAsia="仿宋" w:cs="仿宋"/>
                <w:color w:val="auto"/>
                <w:kern w:val="0"/>
                <w:sz w:val="22"/>
                <w:szCs w:val="22"/>
                <w:lang w:val="zh-TW" w:eastAsia="zh-CN"/>
              </w:rPr>
              <w:t>军休经费</w:t>
            </w:r>
            <w:r>
              <w:rPr>
                <w:rFonts w:hint="eastAsia" w:ascii="仿宋" w:hAnsi="仿宋" w:eastAsia="仿宋" w:cs="仿宋"/>
                <w:color w:val="auto"/>
                <w:kern w:val="0"/>
                <w:sz w:val="22"/>
                <w:szCs w:val="22"/>
                <w:lang w:val="en-US" w:eastAsia="zh-CN"/>
              </w:rPr>
              <w:t>安全发放</w:t>
            </w:r>
            <w:r>
              <w:rPr>
                <w:rFonts w:hint="eastAsia" w:ascii="仿宋" w:hAnsi="仿宋" w:eastAsia="仿宋" w:cs="仿宋"/>
                <w:color w:val="auto"/>
                <w:kern w:val="0"/>
                <w:sz w:val="22"/>
                <w:szCs w:val="22"/>
                <w:lang w:val="zh-TW" w:eastAsia="zh-TW"/>
              </w:rPr>
              <w:t>，</w:t>
            </w:r>
            <w:r>
              <w:rPr>
                <w:rFonts w:hint="eastAsia" w:ascii="仿宋" w:hAnsi="仿宋" w:eastAsia="仿宋" w:cs="仿宋"/>
                <w:color w:val="auto"/>
                <w:kern w:val="0"/>
                <w:sz w:val="22"/>
                <w:szCs w:val="22"/>
                <w:lang w:val="en-US" w:eastAsia="zh-CN"/>
              </w:rPr>
              <w:t>有序组织军休活动</w:t>
            </w:r>
            <w:r>
              <w:rPr>
                <w:rFonts w:hint="eastAsia" w:ascii="仿宋" w:hAnsi="仿宋" w:eastAsia="仿宋" w:cs="仿宋"/>
                <w:color w:val="auto"/>
                <w:kern w:val="0"/>
                <w:sz w:val="22"/>
                <w:szCs w:val="22"/>
                <w:lang w:val="zh-TW" w:eastAsia="zh-TW"/>
              </w:rPr>
              <w:t>。</w:t>
            </w:r>
            <w:r>
              <w:rPr>
                <w:rFonts w:hint="eastAsia" w:ascii="仿宋" w:hAnsi="仿宋" w:eastAsia="仿宋" w:cs="仿宋"/>
                <w:strike w:val="0"/>
                <w:dstrike w:val="0"/>
                <w:color w:val="auto"/>
                <w:kern w:val="0"/>
                <w:sz w:val="22"/>
                <w:szCs w:val="22"/>
                <w:lang w:val="zh-TW" w:eastAsia="zh-TW"/>
              </w:rPr>
              <w:t>积极开展褒扬纪念，投入380万元对张超烈士墓进行了扩建。</w:t>
            </w:r>
            <w:r>
              <w:rPr>
                <w:rFonts w:hint="eastAsia" w:ascii="仿宋" w:hAnsi="仿宋" w:eastAsia="仿宋" w:cs="仿宋"/>
                <w:b/>
                <w:bCs/>
                <w:color w:val="auto"/>
                <w:kern w:val="0"/>
                <w:sz w:val="22"/>
                <w:szCs w:val="22"/>
                <w:lang w:val="en-US" w:eastAsia="zh-CN"/>
              </w:rPr>
              <w:t>二</w:t>
            </w:r>
            <w:r>
              <w:rPr>
                <w:rFonts w:hint="eastAsia" w:ascii="仿宋" w:hAnsi="仿宋" w:eastAsia="仿宋" w:cs="仿宋"/>
                <w:b/>
                <w:bCs/>
                <w:color w:val="auto"/>
                <w:kern w:val="0"/>
                <w:sz w:val="22"/>
                <w:szCs w:val="22"/>
                <w:lang w:val="zh-TW" w:eastAsia="zh-TW"/>
              </w:rPr>
              <w:t>是</w:t>
            </w:r>
            <w:r>
              <w:rPr>
                <w:rFonts w:hint="eastAsia" w:ascii="仿宋" w:hAnsi="仿宋" w:eastAsia="仿宋" w:cs="仿宋"/>
                <w:b/>
                <w:bCs/>
                <w:color w:val="auto"/>
                <w:kern w:val="0"/>
                <w:sz w:val="22"/>
                <w:szCs w:val="22"/>
                <w:lang w:val="en-US" w:eastAsia="zh-CN"/>
              </w:rPr>
              <w:t>双拥共建</w:t>
            </w:r>
            <w:r>
              <w:rPr>
                <w:rFonts w:hint="eastAsia" w:ascii="仿宋" w:hAnsi="仿宋" w:eastAsia="仿宋" w:cs="仿宋"/>
                <w:b/>
                <w:bCs/>
                <w:color w:val="auto"/>
                <w:kern w:val="0"/>
                <w:sz w:val="22"/>
                <w:szCs w:val="22"/>
                <w:lang w:val="zh-TW" w:eastAsia="zh-TW"/>
              </w:rPr>
              <w:t>有序开展</w:t>
            </w:r>
            <w:r>
              <w:rPr>
                <w:rFonts w:hint="eastAsia" w:ascii="仿宋" w:hAnsi="仿宋" w:eastAsia="仿宋" w:cs="仿宋"/>
                <w:color w:val="auto"/>
                <w:kern w:val="0"/>
                <w:sz w:val="22"/>
                <w:szCs w:val="22"/>
                <w:lang w:val="zh-TW" w:eastAsia="zh-TW"/>
              </w:rPr>
              <w:t>。春节和“八一”期间</w:t>
            </w:r>
            <w:r>
              <w:rPr>
                <w:rFonts w:hint="eastAsia" w:ascii="仿宋" w:hAnsi="仿宋" w:eastAsia="仿宋" w:cs="仿宋"/>
                <w:color w:val="auto"/>
                <w:kern w:val="0"/>
                <w:sz w:val="22"/>
                <w:szCs w:val="22"/>
                <w:lang w:val="zh-TW" w:eastAsia="zh-CN"/>
              </w:rPr>
              <w:t>，</w:t>
            </w:r>
            <w:r>
              <w:rPr>
                <w:rFonts w:hint="eastAsia" w:ascii="仿宋" w:hAnsi="仿宋" w:eastAsia="仿宋" w:cs="仿宋"/>
                <w:color w:val="auto"/>
                <w:kern w:val="0"/>
                <w:sz w:val="22"/>
                <w:szCs w:val="22"/>
                <w:lang w:val="zh-TW" w:eastAsia="zh-TW"/>
              </w:rPr>
              <w:t>慰问驻岳官兵1020人，发放慰问物资40万元。10月份慰问了</w:t>
            </w:r>
            <w:r>
              <w:rPr>
                <w:rFonts w:hint="eastAsia" w:ascii="仿宋" w:hAnsi="仿宋" w:eastAsia="仿宋" w:cs="仿宋"/>
                <w:color w:val="auto"/>
                <w:kern w:val="0"/>
                <w:sz w:val="22"/>
                <w:szCs w:val="22"/>
                <w:lang w:val="en-US" w:eastAsia="zh-CN"/>
              </w:rPr>
              <w:t>海军</w:t>
            </w:r>
            <w:r>
              <w:rPr>
                <w:rFonts w:hint="eastAsia" w:ascii="仿宋" w:hAnsi="仿宋" w:eastAsia="仿宋" w:cs="仿宋"/>
                <w:color w:val="auto"/>
                <w:kern w:val="0"/>
                <w:sz w:val="22"/>
                <w:szCs w:val="22"/>
                <w:lang w:val="zh-TW" w:eastAsia="zh-TW"/>
              </w:rPr>
              <w:t>岳阳舰，赠送慰问物资16万元，军政军民关系进一步融洽。</w:t>
            </w:r>
            <w:r>
              <w:rPr>
                <w:rFonts w:hint="eastAsia" w:ascii="仿宋" w:hAnsi="仿宋" w:eastAsia="仿宋" w:cs="仿宋"/>
                <w:b/>
                <w:bCs/>
                <w:color w:val="auto"/>
                <w:sz w:val="22"/>
                <w:szCs w:val="22"/>
                <w:lang w:val="en-US" w:eastAsia="zh-CN"/>
              </w:rPr>
              <w:t>三是</w:t>
            </w:r>
            <w:r>
              <w:rPr>
                <w:rFonts w:hint="eastAsia" w:ascii="仿宋" w:hAnsi="仿宋" w:eastAsia="仿宋" w:cs="仿宋"/>
                <w:b/>
                <w:bCs/>
                <w:color w:val="auto"/>
                <w:sz w:val="22"/>
                <w:szCs w:val="22"/>
              </w:rPr>
              <w:t>认真组织“两参”人员内部核查</w:t>
            </w:r>
            <w:r>
              <w:rPr>
                <w:rFonts w:hint="eastAsia" w:ascii="仿宋" w:hAnsi="仿宋" w:eastAsia="仿宋" w:cs="仿宋"/>
                <w:b/>
                <w:bCs/>
                <w:color w:val="auto"/>
                <w:sz w:val="22"/>
                <w:szCs w:val="22"/>
                <w:lang w:eastAsia="zh-CN"/>
              </w:rPr>
              <w:t>。</w:t>
            </w:r>
            <w:r>
              <w:rPr>
                <w:rFonts w:hint="eastAsia" w:ascii="仿宋" w:hAnsi="仿宋" w:eastAsia="仿宋" w:cs="仿宋"/>
                <w:color w:val="auto"/>
                <w:sz w:val="22"/>
                <w:szCs w:val="22"/>
              </w:rPr>
              <w:t>按上级通知和相关会议精神，做好了“两参”认定工作的前期档案整理、对象核查等工作</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召集县市区分管优抚工作的副局长和优抚股长召开专题会议，部署安排两参人员认定和核查工作。</w:t>
            </w:r>
            <w:r>
              <w:rPr>
                <w:rFonts w:hint="eastAsia" w:ascii="仿宋" w:hAnsi="仿宋" w:eastAsia="仿宋" w:cs="仿宋"/>
                <w:color w:val="auto"/>
                <w:sz w:val="22"/>
                <w:szCs w:val="22"/>
                <w:lang w:val="en-US" w:eastAsia="zh-CN"/>
              </w:rPr>
              <w:t>通过内部核查，</w:t>
            </w:r>
            <w:r>
              <w:rPr>
                <w:rFonts w:hint="eastAsia" w:ascii="仿宋" w:hAnsi="仿宋" w:eastAsia="仿宋" w:cs="仿宋"/>
                <w:color w:val="auto"/>
                <w:sz w:val="22"/>
                <w:szCs w:val="22"/>
              </w:rPr>
              <w:t>我市享受定期补助的两参人员</w:t>
            </w:r>
            <w:r>
              <w:rPr>
                <w:rFonts w:hint="eastAsia" w:ascii="仿宋" w:hAnsi="仿宋" w:eastAsia="仿宋" w:cs="仿宋"/>
                <w:color w:val="auto"/>
                <w:sz w:val="22"/>
                <w:szCs w:val="22"/>
                <w:lang w:val="en-US" w:eastAsia="zh-CN"/>
              </w:rPr>
              <w:t>11282</w:t>
            </w:r>
            <w:r>
              <w:rPr>
                <w:rFonts w:hint="eastAsia" w:ascii="仿宋" w:hAnsi="仿宋" w:eastAsia="仿宋" w:cs="仿宋"/>
                <w:color w:val="auto"/>
                <w:sz w:val="22"/>
                <w:szCs w:val="22"/>
              </w:rPr>
              <w:t>人，其中仍应享受待遇的有</w:t>
            </w:r>
            <w:r>
              <w:rPr>
                <w:rFonts w:hint="eastAsia" w:ascii="仿宋" w:hAnsi="仿宋" w:eastAsia="仿宋" w:cs="仿宋"/>
                <w:color w:val="auto"/>
                <w:sz w:val="22"/>
                <w:szCs w:val="22"/>
                <w:lang w:val="en-US" w:eastAsia="zh-CN"/>
              </w:rPr>
              <w:t>8475</w:t>
            </w:r>
            <w:r>
              <w:rPr>
                <w:rFonts w:hint="eastAsia" w:ascii="仿宋" w:hAnsi="仿宋" w:eastAsia="仿宋" w:cs="仿宋"/>
                <w:color w:val="auto"/>
                <w:sz w:val="22"/>
                <w:szCs w:val="22"/>
              </w:rPr>
              <w:t>人，占已享受待遇人员的</w:t>
            </w:r>
            <w:r>
              <w:rPr>
                <w:rFonts w:hint="eastAsia" w:ascii="仿宋" w:hAnsi="仿宋" w:eastAsia="仿宋" w:cs="仿宋"/>
                <w:color w:val="auto"/>
                <w:sz w:val="22"/>
                <w:szCs w:val="22"/>
                <w:lang w:val="en-US" w:eastAsia="zh-CN"/>
              </w:rPr>
              <w:t>75</w:t>
            </w:r>
            <w:r>
              <w:rPr>
                <w:rFonts w:hint="eastAsia" w:ascii="仿宋" w:hAnsi="仿宋" w:eastAsia="仿宋" w:cs="仿宋"/>
                <w:color w:val="auto"/>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794" w:type="dxa"/>
            <w:gridSpan w:val="3"/>
            <w:vMerge w:val="continue"/>
            <w:vAlign w:val="center"/>
          </w:tcPr>
          <w:p>
            <w:pPr>
              <w:spacing w:line="320" w:lineRule="exact"/>
              <w:rPr>
                <w:rFonts w:ascii="仿宋_GB2312" w:hAnsi="仿宋_GB2312" w:eastAsia="仿宋_GB2312" w:cs="仿宋_GB2312"/>
                <w:sz w:val="24"/>
              </w:rPr>
            </w:pPr>
          </w:p>
        </w:tc>
        <w:tc>
          <w:tcPr>
            <w:tcW w:w="1062" w:type="dxa"/>
            <w:vMerge w:val="continue"/>
            <w:vAlign w:val="center"/>
          </w:tcPr>
          <w:p>
            <w:pPr>
              <w:autoSpaceDN w:val="0"/>
              <w:spacing w:line="320" w:lineRule="exact"/>
              <w:rPr>
                <w:rFonts w:ascii="仿宋_GB2312" w:hAnsi="仿宋_GB2312" w:eastAsia="仿宋_GB2312" w:cs="仿宋_GB2312"/>
                <w:sz w:val="24"/>
              </w:rPr>
            </w:pPr>
          </w:p>
        </w:tc>
        <w:tc>
          <w:tcPr>
            <w:tcW w:w="1088" w:type="dxa"/>
            <w:vMerge w:val="continue"/>
            <w:vAlign w:val="center"/>
          </w:tcPr>
          <w:p>
            <w:pPr>
              <w:spacing w:line="320" w:lineRule="exact"/>
              <w:rPr>
                <w:rFonts w:ascii="仿宋_GB2312" w:hAnsi="仿宋_GB2312" w:eastAsia="仿宋_GB2312" w:cs="仿宋_GB2312"/>
                <w:sz w:val="24"/>
              </w:rPr>
            </w:pPr>
          </w:p>
        </w:tc>
        <w:tc>
          <w:tcPr>
            <w:tcW w:w="1384" w:type="dxa"/>
            <w:vAlign w:val="center"/>
          </w:tcPr>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权益维护</w:t>
            </w:r>
            <w:r>
              <w:rPr>
                <w:rFonts w:hint="eastAsia" w:ascii="仿宋_GB2312" w:hAnsi="仿宋_GB2312" w:eastAsia="仿宋_GB2312" w:cs="仿宋_GB2312"/>
                <w:color w:val="000000"/>
                <w:sz w:val="24"/>
                <w:lang w:eastAsia="zh-CN"/>
              </w:rPr>
              <w:t>有效</w:t>
            </w:r>
          </w:p>
          <w:p>
            <w:pPr>
              <w:bidi w:val="0"/>
              <w:rPr>
                <w:rFonts w:hint="eastAsia"/>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jc w:val="left"/>
              <w:rPr>
                <w:rFonts w:ascii="仿宋_GB2312" w:hAnsi="仿宋_GB2312" w:eastAsia="仿宋_GB2312" w:cs="仿宋_GB2312"/>
                <w:color w:val="000000"/>
                <w:sz w:val="24"/>
              </w:rPr>
            </w:pPr>
          </w:p>
        </w:tc>
        <w:tc>
          <w:tcPr>
            <w:tcW w:w="4472" w:type="dxa"/>
            <w:gridSpan w:val="8"/>
            <w:vAlign w:val="center"/>
          </w:tcPr>
          <w:p>
            <w:pPr>
              <w:keepNext w:val="0"/>
              <w:keepLines w:val="0"/>
              <w:pageBreakBefore w:val="0"/>
              <w:widowControl/>
              <w:kinsoku/>
              <w:wordWrap/>
              <w:overflowPunct/>
              <w:topLinePunct w:val="0"/>
              <w:autoSpaceDE/>
              <w:autoSpaceDN/>
              <w:bidi w:val="0"/>
              <w:adjustRightInd/>
              <w:snapToGrid/>
              <w:spacing w:line="320" w:lineRule="exact"/>
              <w:ind w:firstLine="440" w:firstLineChars="200"/>
              <w:textAlignment w:val="auto"/>
              <w:rPr>
                <w:rFonts w:hint="eastAsia" w:ascii="仿宋" w:hAnsi="仿宋" w:eastAsia="仿宋" w:cs="仿宋"/>
                <w:kern w:val="0"/>
                <w:sz w:val="22"/>
                <w:szCs w:val="22"/>
                <w:lang w:val="en-US" w:eastAsia="zh-CN"/>
              </w:rPr>
            </w:pPr>
          </w:p>
          <w:p>
            <w:pPr>
              <w:keepNext w:val="0"/>
              <w:keepLines w:val="0"/>
              <w:pageBreakBefore w:val="0"/>
              <w:widowControl/>
              <w:kinsoku/>
              <w:wordWrap/>
              <w:overflowPunct/>
              <w:topLinePunct w:val="0"/>
              <w:autoSpaceDE/>
              <w:autoSpaceDN/>
              <w:bidi w:val="0"/>
              <w:adjustRightInd/>
              <w:snapToGrid/>
              <w:spacing w:line="320" w:lineRule="exact"/>
              <w:ind w:firstLine="440" w:firstLineChars="200"/>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一是强化组织领导，精心部署。成立信访工作领导小组，制定下发《岳阳市退役军人事务局“信访攻坚年”活动方案》，在明确一名副局长分管的同时，还明确一名副调研员专门协调解决信访工作难题和突出问题。每天安排1名班子成员接访，春节、“两会”等敏感时期严格落实领导带班和24小时值班及“零”报告制度。截止目前，全市退役军人事务系统信访总量23316件次（包括来信、来访、网上信访），接待来访人员22854人次。回复12345热线668件和市长信箱问题65件，市本级转办、督办上级信访件99件，完成事务部挂账督办信访件2批7件，办结率均为100%。</w:t>
            </w:r>
          </w:p>
          <w:p>
            <w:pPr>
              <w:keepNext w:val="0"/>
              <w:keepLines w:val="0"/>
              <w:pageBreakBefore w:val="0"/>
              <w:widowControl/>
              <w:kinsoku/>
              <w:wordWrap/>
              <w:overflowPunct/>
              <w:topLinePunct w:val="0"/>
              <w:autoSpaceDE/>
              <w:autoSpaceDN/>
              <w:bidi w:val="0"/>
              <w:adjustRightInd/>
              <w:snapToGrid/>
              <w:spacing w:line="320" w:lineRule="exact"/>
              <w:ind w:firstLine="440" w:firstLineChars="200"/>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二是强化源头防控，消除隐患。进村入户了解重点“维权”骨干及利益诉求群体、人员的动向，及时处置非访预警信息20条，全国“两会”期间，及时劝返了6起13人次进京集访。全年全市共召开退役军人代表座谈会300余次，各类参会退役军人代表4500余人。收集了解退役军人和其他优抚对象困难、问题3076个，当场解决2929个问题。对涉军群体集中开展矛盾排查4次，共分析统计退役军人群体92个（重点群体49个）、重点信访个人223名，将73件重难点信访问题包案化解，截止目前已有效化解65件，化解率89%。</w:t>
            </w:r>
          </w:p>
          <w:p>
            <w:pPr>
              <w:keepNext w:val="0"/>
              <w:keepLines w:val="0"/>
              <w:pageBreakBefore w:val="0"/>
              <w:widowControl/>
              <w:kinsoku/>
              <w:wordWrap/>
              <w:overflowPunct/>
              <w:topLinePunct w:val="0"/>
              <w:autoSpaceDE/>
              <w:autoSpaceDN/>
              <w:bidi w:val="0"/>
              <w:adjustRightInd/>
              <w:snapToGrid/>
              <w:spacing w:line="320" w:lineRule="exact"/>
              <w:ind w:firstLine="440" w:firstLineChars="200"/>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三是强化常态联系，深化感情。突出功臣模范退役军人、生活困难退役军人、信访矛盾突出退役军人三类重点，积极主动开展常态化联系退役军人工作，实现联系“全覆盖”。全市退役军人事务局机关220余名退役军人工作人员重点联系退役军人1046人,征求联系对象意见260余条，解决了230多个问题，已发放慰问金57.12万元，充分赢得了广大退役军人的信任。</w:t>
            </w:r>
          </w:p>
          <w:p>
            <w:pPr>
              <w:keepNext w:val="0"/>
              <w:keepLines w:val="0"/>
              <w:pageBreakBefore w:val="0"/>
              <w:widowControl/>
              <w:kinsoku/>
              <w:wordWrap/>
              <w:overflowPunct/>
              <w:topLinePunct w:val="0"/>
              <w:autoSpaceDE/>
              <w:autoSpaceDN/>
              <w:bidi w:val="0"/>
              <w:adjustRightInd/>
              <w:snapToGrid/>
              <w:spacing w:line="320" w:lineRule="exact"/>
              <w:ind w:firstLine="440" w:firstLineChars="200"/>
              <w:textAlignment w:val="auto"/>
              <w:rPr>
                <w:rFonts w:hint="eastAsia" w:ascii="仿宋" w:hAnsi="仿宋" w:eastAsia="仿宋" w:cs="仿宋"/>
                <w:kern w:val="0"/>
                <w:sz w:val="22"/>
                <w:szCs w:val="22"/>
                <w:lang w:val="en-US" w:eastAsia="zh-CN"/>
              </w:rPr>
            </w:pP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kern w:val="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794" w:type="dxa"/>
            <w:gridSpan w:val="3"/>
            <w:vMerge w:val="continue"/>
            <w:vAlign w:val="center"/>
          </w:tcPr>
          <w:p>
            <w:pPr>
              <w:spacing w:line="320" w:lineRule="exact"/>
              <w:rPr>
                <w:rFonts w:ascii="仿宋_GB2312" w:hAnsi="仿宋_GB2312" w:eastAsia="仿宋_GB2312" w:cs="仿宋_GB2312"/>
                <w:sz w:val="24"/>
              </w:rPr>
            </w:pPr>
          </w:p>
        </w:tc>
        <w:tc>
          <w:tcPr>
            <w:tcW w:w="1062" w:type="dxa"/>
            <w:vMerge w:val="continue"/>
            <w:vAlign w:val="center"/>
          </w:tcPr>
          <w:p>
            <w:pPr>
              <w:autoSpaceDN w:val="0"/>
              <w:spacing w:line="320" w:lineRule="exact"/>
              <w:rPr>
                <w:rFonts w:ascii="仿宋_GB2312" w:hAnsi="仿宋_GB2312" w:eastAsia="仿宋_GB2312" w:cs="仿宋_GB2312"/>
                <w:sz w:val="24"/>
              </w:rPr>
            </w:pPr>
          </w:p>
        </w:tc>
        <w:tc>
          <w:tcPr>
            <w:tcW w:w="1088" w:type="dxa"/>
            <w:vMerge w:val="continue"/>
            <w:vAlign w:val="center"/>
          </w:tcPr>
          <w:p>
            <w:pPr>
              <w:spacing w:line="320" w:lineRule="exact"/>
              <w:rPr>
                <w:rFonts w:ascii="仿宋_GB2312" w:hAnsi="仿宋_GB2312" w:eastAsia="仿宋_GB2312" w:cs="仿宋_GB2312"/>
                <w:sz w:val="24"/>
              </w:rPr>
            </w:pPr>
          </w:p>
        </w:tc>
        <w:tc>
          <w:tcPr>
            <w:tcW w:w="1384" w:type="dxa"/>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服务体系建设稳步推进</w:t>
            </w:r>
          </w:p>
        </w:tc>
        <w:tc>
          <w:tcPr>
            <w:tcW w:w="4472" w:type="dxa"/>
            <w:gridSpan w:val="8"/>
            <w:vAlign w:val="center"/>
          </w:tcPr>
          <w:p>
            <w:pPr>
              <w:keepNext w:val="0"/>
              <w:keepLines w:val="0"/>
              <w:pageBreakBefore w:val="0"/>
              <w:widowControl/>
              <w:kinsoku/>
              <w:wordWrap/>
              <w:overflowPunct/>
              <w:topLinePunct w:val="0"/>
              <w:autoSpaceDE/>
              <w:autoSpaceDN/>
              <w:bidi w:val="0"/>
              <w:adjustRightInd/>
              <w:snapToGrid/>
              <w:spacing w:line="320" w:lineRule="exact"/>
              <w:ind w:firstLine="400" w:firstLineChars="200"/>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0"/>
                <w:szCs w:val="20"/>
                <w:lang w:val="en-US" w:eastAsia="zh-CN"/>
              </w:rPr>
              <w:t xml:space="preserve">  </w:t>
            </w:r>
            <w:r>
              <w:rPr>
                <w:rFonts w:hint="eastAsia" w:ascii="仿宋" w:hAnsi="仿宋" w:eastAsia="仿宋" w:cs="仿宋"/>
                <w:kern w:val="0"/>
                <w:sz w:val="22"/>
                <w:szCs w:val="22"/>
                <w:lang w:val="en-US" w:eastAsia="zh-CN"/>
              </w:rPr>
              <w:t xml:space="preserve"> “基层基础基本建设年”活动开展以来，我们注重发挥基层作用、加强基础建设、提高基本能力，更好服务广大退役军人。</w:t>
            </w:r>
            <w:r>
              <w:rPr>
                <w:rFonts w:hint="eastAsia" w:ascii="仿宋" w:hAnsi="仿宋" w:eastAsia="仿宋" w:cs="仿宋"/>
                <w:b/>
                <w:bCs/>
                <w:kern w:val="0"/>
                <w:sz w:val="22"/>
                <w:szCs w:val="22"/>
                <w:lang w:val="en-US" w:eastAsia="zh-CN"/>
              </w:rPr>
              <w:t>一是全面部署谋划。</w:t>
            </w:r>
            <w:r>
              <w:rPr>
                <w:rFonts w:hint="eastAsia" w:ascii="仿宋" w:hAnsi="仿宋" w:eastAsia="仿宋" w:cs="仿宋"/>
                <w:kern w:val="0"/>
                <w:sz w:val="22"/>
                <w:szCs w:val="22"/>
                <w:lang w:val="en-US" w:eastAsia="zh-CN"/>
              </w:rPr>
              <w:t>年初，全市退役军人局长会议我们重点部署了服务保障体系建设工作，要求各地各部门按照习近平总书记提出的“五有”“全覆盖”要求，尽快建成市、县、乡、村四级服务中心（站）。</w:t>
            </w:r>
            <w:r>
              <w:rPr>
                <w:rFonts w:hint="eastAsia" w:ascii="仿宋" w:hAnsi="仿宋" w:eastAsia="仿宋" w:cs="仿宋"/>
                <w:b/>
                <w:bCs/>
                <w:kern w:val="0"/>
                <w:sz w:val="22"/>
                <w:szCs w:val="22"/>
                <w:lang w:val="en-US" w:eastAsia="zh-CN"/>
              </w:rPr>
              <w:t>二是制定规范标准。</w:t>
            </w:r>
            <w:r>
              <w:rPr>
                <w:rFonts w:hint="eastAsia" w:ascii="仿宋" w:hAnsi="仿宋" w:eastAsia="仿宋" w:cs="仿宋"/>
                <w:kern w:val="0"/>
                <w:sz w:val="22"/>
                <w:szCs w:val="22"/>
                <w:lang w:val="en-US" w:eastAsia="zh-CN"/>
              </w:rPr>
              <w:t>我局组织县（区）退役军人事务局长及服务中心主任赴株洲、浏阳等地就退役军人服务中心、乡村两级退役军人服务站建设及服务情况进行了专题学习调研。10月份，我局在临湘市召开现场推进会，组织各县（市、区）集中现场观摩，明确服务中心（站）工作职能和服务标准，确保服务中心（站）建设实现统一化的目标。</w:t>
            </w:r>
            <w:r>
              <w:rPr>
                <w:rFonts w:hint="eastAsia" w:ascii="仿宋" w:hAnsi="仿宋" w:eastAsia="仿宋" w:cs="仿宋"/>
                <w:b/>
                <w:bCs/>
                <w:kern w:val="0"/>
                <w:sz w:val="22"/>
                <w:szCs w:val="22"/>
                <w:lang w:val="en-US" w:eastAsia="zh-CN"/>
              </w:rPr>
              <w:t>三是常态开展督查。</w:t>
            </w:r>
            <w:r>
              <w:rPr>
                <w:rFonts w:hint="eastAsia" w:ascii="仿宋" w:hAnsi="仿宋" w:eastAsia="仿宋" w:cs="仿宋"/>
                <w:kern w:val="0"/>
                <w:sz w:val="22"/>
                <w:szCs w:val="22"/>
                <w:lang w:val="en-US" w:eastAsia="zh-CN"/>
              </w:rPr>
              <w:t>6-12月份，市委退役军人工作领导小组办公室组织人员对全市服务站建设进行了4次督查（3次明查、1次暗访），特别是12月上旬，我们组织人员对138个乡镇级退役军人服务站和部分村社区服务站进行拉网式检查，推动工作落实。</w:t>
            </w:r>
            <w:r>
              <w:rPr>
                <w:rFonts w:hint="eastAsia" w:ascii="仿宋" w:hAnsi="仿宋" w:eastAsia="仿宋" w:cs="仿宋"/>
                <w:b/>
                <w:bCs/>
                <w:kern w:val="0"/>
                <w:sz w:val="22"/>
                <w:szCs w:val="22"/>
                <w:lang w:val="en-US" w:eastAsia="zh-CN"/>
              </w:rPr>
              <w:t>四是全面完成建站。</w:t>
            </w:r>
            <w:r>
              <w:rPr>
                <w:rFonts w:hint="eastAsia" w:ascii="仿宋" w:hAnsi="仿宋" w:eastAsia="仿宋" w:cs="仿宋"/>
                <w:kern w:val="0"/>
                <w:sz w:val="22"/>
                <w:szCs w:val="22"/>
                <w:lang w:val="en-US" w:eastAsia="zh-CN"/>
              </w:rPr>
              <w:t>截至12月上旬，共投入2400余万元完成了12个县级服务中心、138个乡镇服务站和50个国家级示范站的建设。138个乡镇安排全额事业编制416人，1827个村都安排了兼职服务站站长。全市已全面建立市、县、乡、村四级退役军人服务中心（站），覆盖率达100%。同时，按照部、省要求，建立退役军人服务保障体系建设常态培训工作机制，督促落实各乡级服务站工作人员到县级服务中心随岗锻炼，学习办理一线业务，培养工作实操能力。11月中旬我局组织对138个乡镇服务站长、12个服务中心主任进行了为期3天的培训，效果明显。全市共举办各类业务培训77场，受训人员达1652人次。</w:t>
            </w:r>
          </w:p>
          <w:p>
            <w:pPr>
              <w:keepNext w:val="0"/>
              <w:keepLines w:val="0"/>
              <w:pageBreakBefore w:val="0"/>
              <w:widowControl/>
              <w:kinsoku/>
              <w:wordWrap/>
              <w:overflowPunct/>
              <w:topLinePunct w:val="0"/>
              <w:autoSpaceDE/>
              <w:autoSpaceDN/>
              <w:bidi w:val="0"/>
              <w:adjustRightInd/>
              <w:snapToGrid/>
              <w:spacing w:line="320" w:lineRule="exact"/>
              <w:ind w:firstLine="440" w:firstLineChars="200"/>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 xml:space="preserve"> </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仿宋"/>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885" w:hRule="atLeast"/>
          <w:jc w:val="center"/>
        </w:trPr>
        <w:tc>
          <w:tcPr>
            <w:tcW w:w="1794" w:type="dxa"/>
            <w:gridSpan w:val="3"/>
            <w:vMerge w:val="continue"/>
            <w:vAlign w:val="center"/>
          </w:tcPr>
          <w:p>
            <w:pPr>
              <w:spacing w:line="320" w:lineRule="exact"/>
              <w:rPr>
                <w:rFonts w:ascii="仿宋_GB2312" w:hAnsi="仿宋_GB2312" w:eastAsia="仿宋_GB2312" w:cs="仿宋_GB2312"/>
                <w:sz w:val="24"/>
              </w:rPr>
            </w:pPr>
          </w:p>
        </w:tc>
        <w:tc>
          <w:tcPr>
            <w:tcW w:w="1062" w:type="dxa"/>
            <w:vMerge w:val="continue"/>
            <w:vAlign w:val="center"/>
          </w:tcPr>
          <w:p>
            <w:pPr>
              <w:autoSpaceDN w:val="0"/>
              <w:spacing w:line="320" w:lineRule="exact"/>
              <w:rPr>
                <w:rFonts w:ascii="仿宋_GB2312" w:hAnsi="仿宋_GB2312" w:eastAsia="仿宋_GB2312" w:cs="仿宋_GB2312"/>
                <w:sz w:val="24"/>
              </w:rPr>
            </w:pPr>
          </w:p>
        </w:tc>
        <w:tc>
          <w:tcPr>
            <w:tcW w:w="1088" w:type="dxa"/>
            <w:vMerge w:val="restart"/>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sz w:val="24"/>
              </w:rPr>
              <w:t>成本指标</w:t>
            </w:r>
          </w:p>
        </w:tc>
        <w:tc>
          <w:tcPr>
            <w:tcW w:w="1384" w:type="dxa"/>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eastAsia="仿宋_GB2312"/>
                <w:sz w:val="24"/>
                <w:lang w:eastAsia="zh-CN"/>
              </w:rPr>
              <w:t>抚恤、退役安置、退役军人事务管理</w:t>
            </w:r>
            <w:r>
              <w:rPr>
                <w:rFonts w:hint="eastAsia" w:ascii="仿宋_GB2312" w:eastAsia="仿宋_GB2312"/>
                <w:sz w:val="24"/>
              </w:rPr>
              <w:t>等经费均控制在</w:t>
            </w:r>
            <w:r>
              <w:rPr>
                <w:rFonts w:hint="eastAsia" w:ascii="仿宋_GB2312" w:eastAsia="仿宋_GB2312"/>
                <w:sz w:val="24"/>
                <w:lang w:eastAsia="zh-CN"/>
              </w:rPr>
              <w:t>下拨专项</w:t>
            </w:r>
            <w:r>
              <w:rPr>
                <w:rFonts w:hint="eastAsia" w:ascii="仿宋_GB2312" w:eastAsia="仿宋_GB2312"/>
                <w:sz w:val="24"/>
              </w:rPr>
              <w:t>经费内</w:t>
            </w:r>
          </w:p>
        </w:tc>
        <w:tc>
          <w:tcPr>
            <w:tcW w:w="4472" w:type="dxa"/>
            <w:gridSpan w:val="8"/>
            <w:vAlign w:val="center"/>
          </w:tcPr>
          <w:p>
            <w:pPr>
              <w:keepNext w:val="0"/>
              <w:keepLines w:val="0"/>
              <w:pageBreakBefore w:val="0"/>
              <w:widowControl/>
              <w:kinsoku/>
              <w:wordWrap/>
              <w:overflowPunct/>
              <w:topLinePunct w:val="0"/>
              <w:autoSpaceDE/>
              <w:bidi w:val="0"/>
              <w:adjustRightInd/>
              <w:snapToGrid/>
              <w:spacing w:line="300" w:lineRule="exac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各项资金管理规范，无违规使用资金现象。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33" w:hRule="atLeast"/>
          <w:jc w:val="center"/>
        </w:trPr>
        <w:tc>
          <w:tcPr>
            <w:tcW w:w="1794" w:type="dxa"/>
            <w:gridSpan w:val="3"/>
            <w:vMerge w:val="continue"/>
            <w:vAlign w:val="center"/>
          </w:tcPr>
          <w:p>
            <w:pPr>
              <w:spacing w:line="320" w:lineRule="exact"/>
              <w:rPr>
                <w:rFonts w:ascii="仿宋_GB2312" w:hAnsi="仿宋_GB2312" w:eastAsia="仿宋_GB2312" w:cs="仿宋_GB2312"/>
                <w:sz w:val="24"/>
              </w:rPr>
            </w:pPr>
          </w:p>
        </w:tc>
        <w:tc>
          <w:tcPr>
            <w:tcW w:w="1062" w:type="dxa"/>
            <w:vMerge w:val="continue"/>
            <w:vAlign w:val="center"/>
          </w:tcPr>
          <w:p>
            <w:pPr>
              <w:autoSpaceDN w:val="0"/>
              <w:spacing w:line="320" w:lineRule="exact"/>
              <w:rPr>
                <w:rFonts w:ascii="仿宋_GB2312" w:hAnsi="仿宋_GB2312" w:eastAsia="仿宋_GB2312" w:cs="仿宋_GB2312"/>
                <w:sz w:val="24"/>
              </w:rPr>
            </w:pPr>
          </w:p>
        </w:tc>
        <w:tc>
          <w:tcPr>
            <w:tcW w:w="1088" w:type="dxa"/>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84" w:type="dxa"/>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指标2：“三公”经费</w:t>
            </w:r>
            <w:r>
              <w:rPr>
                <w:rFonts w:hint="eastAsia" w:ascii="仿宋_GB2312" w:hAnsi="仿宋_GB2312" w:eastAsia="仿宋_GB2312" w:cs="仿宋_GB2312"/>
                <w:color w:val="000000"/>
                <w:sz w:val="24"/>
                <w:lang w:eastAsia="zh-CN"/>
              </w:rPr>
              <w:t>支出合理，管理精细</w:t>
            </w:r>
          </w:p>
        </w:tc>
        <w:tc>
          <w:tcPr>
            <w:tcW w:w="4472" w:type="dxa"/>
            <w:gridSpan w:val="8"/>
            <w:vAlign w:val="center"/>
          </w:tcPr>
          <w:p>
            <w:pPr>
              <w:keepNext w:val="0"/>
              <w:keepLines w:val="0"/>
              <w:pageBreakBefore w:val="0"/>
              <w:widowControl/>
              <w:kinsoku/>
              <w:wordWrap/>
              <w:overflowPunct/>
              <w:topLinePunct w:val="0"/>
              <w:autoSpaceDE/>
              <w:bidi w:val="0"/>
              <w:adjustRightInd/>
              <w:snapToGrid/>
              <w:spacing w:line="300" w:lineRule="exac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年度“三公”经费支出规范、厉行节约效果明显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90" w:hRule="atLeast"/>
          <w:jc w:val="center"/>
        </w:trPr>
        <w:tc>
          <w:tcPr>
            <w:tcW w:w="1794" w:type="dxa"/>
            <w:gridSpan w:val="3"/>
            <w:vMerge w:val="continue"/>
            <w:vAlign w:val="center"/>
          </w:tcPr>
          <w:p>
            <w:pPr>
              <w:spacing w:line="320" w:lineRule="exact"/>
              <w:rPr>
                <w:rFonts w:ascii="仿宋_GB2312" w:hAnsi="仿宋_GB2312" w:eastAsia="仿宋_GB2312" w:cs="仿宋_GB2312"/>
                <w:sz w:val="24"/>
              </w:rPr>
            </w:pPr>
          </w:p>
        </w:tc>
        <w:tc>
          <w:tcPr>
            <w:tcW w:w="1062" w:type="dxa"/>
            <w:vMerge w:val="continue"/>
            <w:vAlign w:val="center"/>
          </w:tcPr>
          <w:p>
            <w:pPr>
              <w:autoSpaceDN w:val="0"/>
              <w:spacing w:line="320" w:lineRule="exact"/>
              <w:rPr>
                <w:rFonts w:ascii="仿宋_GB2312" w:hAnsi="仿宋_GB2312" w:eastAsia="仿宋_GB2312" w:cs="仿宋_GB2312"/>
                <w:sz w:val="24"/>
              </w:rPr>
            </w:pPr>
          </w:p>
        </w:tc>
        <w:tc>
          <w:tcPr>
            <w:tcW w:w="1088"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1384" w:type="dxa"/>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平安创建</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信访维稳</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移交安置</w:t>
            </w:r>
          </w:p>
        </w:tc>
        <w:tc>
          <w:tcPr>
            <w:tcW w:w="4472" w:type="dxa"/>
            <w:gridSpan w:val="8"/>
            <w:vAlign w:val="center"/>
          </w:tcPr>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 w:hAnsi="仿宋" w:eastAsia="仿宋" w:cs="仿宋"/>
                <w:kern w:val="0"/>
                <w:sz w:val="24"/>
                <w:szCs w:val="24"/>
                <w:lang w:val="en-US" w:eastAsia="zh-CN"/>
              </w:rPr>
            </w:pPr>
            <w:r>
              <w:rPr>
                <w:rFonts w:hint="eastAsia" w:ascii="仿宋_GB2312" w:hAnsi="仿宋_GB2312" w:eastAsia="仿宋_GB2312" w:cs="仿宋_GB2312"/>
                <w:color w:val="000000"/>
                <w:sz w:val="24"/>
                <w:lang w:val="en-US" w:eastAsia="zh-CN"/>
              </w:rPr>
              <w:t>2020年我局被市文明办评为文明单位，各项建设更上一层楼；赴省进京信访总量排全省前列；</w:t>
            </w:r>
            <w:r>
              <w:rPr>
                <w:rFonts w:hint="eastAsia" w:ascii="仿宋_GB2312" w:hAnsi="仿宋_GB2312" w:eastAsia="仿宋_GB2312" w:cs="仿宋_GB2312"/>
                <w:color w:val="000000"/>
                <w:sz w:val="24"/>
                <w:lang w:eastAsia="zh-CN"/>
              </w:rPr>
              <w:t>我</w:t>
            </w:r>
            <w:r>
              <w:rPr>
                <w:rFonts w:hint="eastAsia" w:ascii="仿宋_GB2312" w:hAnsi="仿宋_GB2312" w:eastAsia="仿宋_GB2312" w:cs="仿宋_GB2312"/>
                <w:color w:val="000000"/>
                <w:sz w:val="24"/>
                <w:lang w:val="en-US" w:eastAsia="zh-CN"/>
              </w:rPr>
              <w:t>市服务保障体系建设、</w:t>
            </w:r>
            <w:r>
              <w:rPr>
                <w:rFonts w:hint="eastAsia" w:ascii="仿宋_GB2312" w:hAnsi="仿宋_GB2312" w:eastAsia="仿宋_GB2312" w:cs="仿宋_GB2312"/>
                <w:color w:val="000000"/>
                <w:sz w:val="24"/>
                <w:lang w:eastAsia="zh-CN"/>
              </w:rPr>
              <w:t>走访慰问、“</w:t>
            </w:r>
            <w:r>
              <w:rPr>
                <w:rFonts w:hint="eastAsia" w:ascii="仿宋_GB2312" w:hAnsi="仿宋_GB2312" w:eastAsia="仿宋_GB2312" w:cs="仿宋_GB2312"/>
                <w:color w:val="000000"/>
                <w:sz w:val="24"/>
                <w:lang w:val="en-US" w:eastAsia="zh-CN"/>
              </w:rPr>
              <w:t>双带双促</w:t>
            </w:r>
            <w:r>
              <w:rPr>
                <w:rFonts w:hint="eastAsia" w:ascii="仿宋_GB2312" w:hAnsi="仿宋_GB2312" w:eastAsia="仿宋_GB2312" w:cs="仿宋_GB2312"/>
                <w:color w:val="000000"/>
                <w:sz w:val="24"/>
                <w:lang w:eastAsia="zh-CN"/>
              </w:rPr>
              <w:t>”等工作，</w:t>
            </w:r>
            <w:r>
              <w:rPr>
                <w:rFonts w:hint="eastAsia" w:ascii="仿宋_GB2312" w:hAnsi="仿宋_GB2312" w:eastAsia="仿宋_GB2312" w:cs="仿宋_GB2312"/>
                <w:color w:val="000000"/>
                <w:sz w:val="24"/>
                <w:lang w:val="en-US" w:eastAsia="zh-CN"/>
              </w:rPr>
              <w:t>也</w:t>
            </w:r>
            <w:r>
              <w:rPr>
                <w:rFonts w:hint="eastAsia" w:ascii="仿宋_GB2312" w:hAnsi="仿宋_GB2312" w:eastAsia="仿宋_GB2312" w:cs="仿宋_GB2312"/>
                <w:color w:val="000000"/>
                <w:sz w:val="24"/>
                <w:lang w:eastAsia="zh-CN"/>
              </w:rPr>
              <w:t>获得退役军人事务</w:t>
            </w:r>
            <w:r>
              <w:rPr>
                <w:rFonts w:hint="eastAsia" w:ascii="仿宋_GB2312" w:hAnsi="仿宋_GB2312" w:eastAsia="仿宋_GB2312" w:cs="仿宋_GB2312"/>
                <w:color w:val="000000"/>
                <w:sz w:val="24"/>
                <w:lang w:val="en-US" w:eastAsia="zh-CN"/>
              </w:rPr>
              <w:t>厅</w:t>
            </w:r>
            <w:r>
              <w:rPr>
                <w:rFonts w:hint="eastAsia" w:ascii="仿宋_GB2312" w:hAnsi="仿宋_GB2312" w:eastAsia="仿宋_GB2312" w:cs="仿宋_GB2312"/>
                <w:color w:val="000000"/>
                <w:sz w:val="24"/>
                <w:lang w:eastAsia="zh-CN"/>
              </w:rPr>
              <w:t>重点推介，得到</w:t>
            </w:r>
            <w:r>
              <w:rPr>
                <w:rFonts w:hint="eastAsia" w:ascii="仿宋_GB2312" w:hAnsi="仿宋_GB2312" w:eastAsia="仿宋_GB2312" w:cs="仿宋_GB2312"/>
                <w:color w:val="000000"/>
                <w:sz w:val="24"/>
                <w:lang w:val="en-US" w:eastAsia="zh-CN"/>
              </w:rPr>
              <w:t>省、部调研组</w:t>
            </w:r>
            <w:r>
              <w:rPr>
                <w:rFonts w:hint="eastAsia" w:ascii="仿宋_GB2312" w:hAnsi="仿宋_GB2312" w:eastAsia="仿宋_GB2312" w:cs="仿宋_GB2312"/>
                <w:color w:val="000000"/>
                <w:sz w:val="24"/>
                <w:lang w:eastAsia="zh-CN"/>
              </w:rPr>
              <w:t>充分肯定；</w:t>
            </w:r>
            <w:r>
              <w:rPr>
                <w:rFonts w:hint="eastAsia" w:ascii="仿宋_GB2312" w:hAnsi="仿宋_GB2312" w:eastAsia="仿宋_GB2312" w:cs="仿宋_GB2312"/>
                <w:color w:val="000000"/>
                <w:sz w:val="24"/>
                <w:lang w:val="en-US" w:eastAsia="zh-CN"/>
              </w:rPr>
              <w:t>军转干部安置满意度高，符合政府安排工作条件的退役士兵安置质量明显提高。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856"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944" w:type="dxa"/>
            <w:gridSpan w:val="1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856"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944" w:type="dxa"/>
            <w:gridSpan w:val="1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67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2841"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1631"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vAlign w:val="center"/>
          </w:tcPr>
          <w:p>
            <w:pPr>
              <w:autoSpaceDN w:val="0"/>
              <w:spacing w:line="320" w:lineRule="exact"/>
              <w:jc w:val="center"/>
              <w:textAlignment w:val="center"/>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sz w:val="32"/>
                <w:szCs w:val="32"/>
                <w:lang w:eastAsia="zh-CN"/>
              </w:rPr>
              <w:t>邹望春</w:t>
            </w:r>
          </w:p>
        </w:tc>
        <w:tc>
          <w:tcPr>
            <w:tcW w:w="3674" w:type="dxa"/>
            <w:gridSpan w:val="5"/>
            <w:vAlign w:val="center"/>
          </w:tcPr>
          <w:p>
            <w:pPr>
              <w:autoSpaceDN w:val="0"/>
              <w:spacing w:line="320" w:lineRule="exact"/>
              <w:jc w:val="center"/>
              <w:textAlignment w:val="center"/>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sz w:val="32"/>
                <w:szCs w:val="32"/>
                <w:lang w:eastAsia="zh-CN"/>
              </w:rPr>
              <w:t>副</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局</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长</w:t>
            </w:r>
          </w:p>
        </w:tc>
        <w:tc>
          <w:tcPr>
            <w:tcW w:w="2841" w:type="dxa"/>
            <w:gridSpan w:val="4"/>
            <w:vAlign w:val="center"/>
          </w:tcPr>
          <w:p>
            <w:pPr>
              <w:autoSpaceDN w:val="0"/>
              <w:spacing w:line="320" w:lineRule="exact"/>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eastAsia="zh-CN"/>
              </w:rPr>
              <w:t>退役军人事务局</w:t>
            </w:r>
          </w:p>
        </w:tc>
        <w:tc>
          <w:tcPr>
            <w:tcW w:w="1631" w:type="dxa"/>
            <w:gridSpan w:val="4"/>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vAlign w:val="center"/>
          </w:tcPr>
          <w:p>
            <w:pPr>
              <w:autoSpaceDN w:val="0"/>
              <w:spacing w:line="320" w:lineRule="exact"/>
              <w:jc w:val="center"/>
              <w:textAlignment w:val="center"/>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sz w:val="32"/>
                <w:szCs w:val="32"/>
                <w:lang w:eastAsia="zh-CN"/>
              </w:rPr>
              <w:t>刘淑平</w:t>
            </w:r>
          </w:p>
        </w:tc>
        <w:tc>
          <w:tcPr>
            <w:tcW w:w="3674" w:type="dxa"/>
            <w:gridSpan w:val="5"/>
            <w:vAlign w:val="center"/>
          </w:tcPr>
          <w:p>
            <w:pPr>
              <w:autoSpaceDN w:val="0"/>
              <w:spacing w:line="320" w:lineRule="exact"/>
              <w:jc w:val="center"/>
              <w:textAlignment w:val="center"/>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sz w:val="32"/>
                <w:szCs w:val="32"/>
                <w:lang w:eastAsia="zh-CN"/>
              </w:rPr>
              <w:t>规财科科长</w:t>
            </w:r>
          </w:p>
        </w:tc>
        <w:tc>
          <w:tcPr>
            <w:tcW w:w="2841" w:type="dxa"/>
            <w:gridSpan w:val="4"/>
            <w:vAlign w:val="center"/>
          </w:tcPr>
          <w:p>
            <w:pPr>
              <w:autoSpaceDN w:val="0"/>
              <w:spacing w:line="320" w:lineRule="exact"/>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eastAsia="zh-CN"/>
              </w:rPr>
              <w:t>退役军人事务局</w:t>
            </w:r>
          </w:p>
        </w:tc>
        <w:tc>
          <w:tcPr>
            <w:tcW w:w="1631" w:type="dxa"/>
            <w:gridSpan w:val="4"/>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vAlign w:val="center"/>
          </w:tcPr>
          <w:p>
            <w:pPr>
              <w:autoSpaceDN w:val="0"/>
              <w:spacing w:line="320" w:lineRule="exact"/>
              <w:jc w:val="center"/>
              <w:textAlignment w:val="center"/>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sz w:val="32"/>
                <w:szCs w:val="32"/>
                <w:lang w:eastAsia="zh-CN"/>
              </w:rPr>
              <w:t>吴加勇</w:t>
            </w:r>
          </w:p>
        </w:tc>
        <w:tc>
          <w:tcPr>
            <w:tcW w:w="3674" w:type="dxa"/>
            <w:gridSpan w:val="5"/>
            <w:vAlign w:val="center"/>
          </w:tcPr>
          <w:p>
            <w:pPr>
              <w:autoSpaceDN w:val="0"/>
              <w:spacing w:line="320" w:lineRule="exact"/>
              <w:jc w:val="center"/>
              <w:textAlignment w:val="center"/>
              <w:rPr>
                <w:rFonts w:hint="default" w:ascii="仿宋" w:hAnsi="仿宋" w:eastAsia="仿宋" w:cs="仿宋"/>
                <w:color w:val="000000"/>
                <w:kern w:val="2"/>
                <w:sz w:val="32"/>
                <w:szCs w:val="32"/>
                <w:lang w:val="en-US" w:eastAsia="zh-CN" w:bidi="ar-SA"/>
              </w:rPr>
            </w:pPr>
            <w:r>
              <w:rPr>
                <w:rFonts w:hint="eastAsia" w:ascii="仿宋" w:hAnsi="仿宋" w:eastAsia="仿宋" w:cs="仿宋"/>
                <w:color w:val="000000"/>
                <w:sz w:val="32"/>
                <w:szCs w:val="32"/>
                <w:lang w:eastAsia="zh-CN"/>
              </w:rPr>
              <w:t>规财科副科长</w:t>
            </w:r>
          </w:p>
        </w:tc>
        <w:tc>
          <w:tcPr>
            <w:tcW w:w="2841" w:type="dxa"/>
            <w:gridSpan w:val="4"/>
            <w:vAlign w:val="center"/>
          </w:tcPr>
          <w:p>
            <w:pPr>
              <w:autoSpaceDN w:val="0"/>
              <w:spacing w:line="320" w:lineRule="exact"/>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eastAsia="zh-CN"/>
              </w:rPr>
              <w:t>退役军人事务局</w:t>
            </w:r>
          </w:p>
        </w:tc>
        <w:tc>
          <w:tcPr>
            <w:tcW w:w="1631" w:type="dxa"/>
            <w:gridSpan w:val="4"/>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839" w:hRule="atLeast"/>
          <w:jc w:val="center"/>
        </w:trPr>
        <w:tc>
          <w:tcPr>
            <w:tcW w:w="9800" w:type="dxa"/>
            <w:gridSpan w:val="1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762" w:hRule="atLeast"/>
          <w:jc w:val="center"/>
        </w:trPr>
        <w:tc>
          <w:tcPr>
            <w:tcW w:w="9800" w:type="dxa"/>
            <w:gridSpan w:val="1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94" w:hRule="atLeast"/>
          <w:jc w:val="center"/>
        </w:trPr>
        <w:tc>
          <w:tcPr>
            <w:tcW w:w="9800" w:type="dxa"/>
            <w:gridSpan w:val="14"/>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 xml:space="preserve">填报人（签名）： </w:t>
      </w:r>
      <w:r>
        <w:rPr>
          <w:rFonts w:hint="eastAsia" w:eastAsia="仿宋_GB2312" w:cs="仿宋_GB2312"/>
          <w:bCs/>
          <w:sz w:val="28"/>
          <w:szCs w:val="28"/>
          <w:lang w:eastAsia="zh-CN"/>
        </w:rPr>
        <w:t>吴加勇</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8878139</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keepNext w:val="0"/>
              <w:keepLines w:val="0"/>
              <w:pageBreakBefore w:val="0"/>
              <w:kinsoku/>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岳阳市退役军人事务局</w:t>
            </w:r>
          </w:p>
          <w:p>
            <w:pPr>
              <w:keepNext w:val="0"/>
              <w:keepLines w:val="0"/>
              <w:pageBreakBefore w:val="0"/>
              <w:widowControl w:val="0"/>
              <w:kinsoku/>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b w:val="0"/>
                <w:bCs w:val="0"/>
                <w:sz w:val="40"/>
                <w:szCs w:val="40"/>
                <w:lang w:val="en-US" w:eastAsia="zh-CN"/>
              </w:rPr>
              <w:t>2020年整体支出绩效自评报告</w:t>
            </w:r>
          </w:p>
          <w:p>
            <w:pPr>
              <w:keepNext w:val="0"/>
              <w:keepLines w:val="0"/>
              <w:pageBreakBefore w:val="0"/>
              <w:widowControl w:val="0"/>
              <w:kinsoku/>
              <w:wordWrap/>
              <w:overflowPunct/>
              <w:topLinePunct w:val="0"/>
              <w:autoSpaceDE/>
              <w:autoSpaceDN/>
              <w:bidi w:val="0"/>
              <w:adjustRightInd/>
              <w:snapToGrid/>
              <w:spacing w:line="520" w:lineRule="exact"/>
              <w:ind w:firstLine="600"/>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按照</w:t>
            </w:r>
            <w:r>
              <w:rPr>
                <w:rFonts w:hint="eastAsia" w:ascii="仿宋" w:hAnsi="仿宋" w:eastAsia="仿宋" w:cs="仿宋"/>
                <w:bCs/>
                <w:sz w:val="30"/>
                <w:szCs w:val="30"/>
              </w:rPr>
              <w:t>岳阳市财政局关于</w:t>
            </w:r>
            <w:r>
              <w:rPr>
                <w:rFonts w:hint="eastAsia" w:ascii="仿宋" w:hAnsi="仿宋" w:eastAsia="仿宋" w:cs="仿宋"/>
                <w:sz w:val="30"/>
                <w:szCs w:val="30"/>
              </w:rPr>
              <w:t>印发《2021年度岳阳市预算绩效管理工作方案的通知</w:t>
            </w:r>
            <w:r>
              <w:rPr>
                <w:rFonts w:hint="eastAsia" w:ascii="仿宋" w:hAnsi="仿宋" w:eastAsia="仿宋" w:cs="仿宋"/>
                <w:sz w:val="30"/>
                <w:szCs w:val="30"/>
                <w:lang w:val="en-US" w:eastAsia="zh-CN"/>
              </w:rPr>
              <w:t>(</w:t>
            </w:r>
            <w:r>
              <w:rPr>
                <w:rFonts w:hint="eastAsia" w:ascii="仿宋" w:hAnsi="仿宋" w:eastAsia="仿宋" w:cs="仿宋"/>
                <w:sz w:val="30"/>
                <w:szCs w:val="30"/>
              </w:rPr>
              <w:t>岳财预〔2021〕63号</w:t>
            </w:r>
            <w:r>
              <w:rPr>
                <w:rFonts w:hint="eastAsia" w:ascii="仿宋" w:hAnsi="仿宋" w:eastAsia="仿宋" w:cs="仿宋"/>
                <w:sz w:val="30"/>
                <w:szCs w:val="30"/>
                <w:lang w:val="en-US" w:eastAsia="zh-CN"/>
              </w:rPr>
              <w:t>）的通知要求，我局党组高度重视，迅速行动，分解任务，对拨付的各项资金的管理和使用情况进行认真的自</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查自评，现将情况汇报如下：</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一、部门基本情况</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rPr>
                <w:rFonts w:hint="eastAsia" w:ascii="楷体_GB2312" w:hAnsi="楷体_GB2312" w:eastAsia="楷体_GB2312" w:cs="楷体_GB2312"/>
                <w:b w:val="0"/>
                <w:bCs w:val="0"/>
                <w:sz w:val="30"/>
                <w:szCs w:val="30"/>
                <w:lang w:val="en-US" w:eastAsia="zh-CN"/>
              </w:rPr>
            </w:pPr>
            <w:r>
              <w:rPr>
                <w:rFonts w:hint="eastAsia" w:ascii="楷体_GB2312" w:hAnsi="楷体_GB2312" w:eastAsia="楷体_GB2312" w:cs="楷体_GB2312"/>
                <w:b/>
                <w:bCs/>
                <w:sz w:val="30"/>
                <w:szCs w:val="30"/>
                <w:lang w:val="en-US" w:eastAsia="zh-CN"/>
              </w:rPr>
              <w:t>（一）部门职能职责</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岳阳市退役军人事务局为市政府工作部门，成立于2018年12月，主要职能职责为：贯彻执行党和国家关于退役军人思想政治、管理保障和安置优抚等工作政策法规，组织实施退役军人事务发展规划和政策；褒扬彰显退役军人为党、国家和人民牺牲奉献的精神风范和价值导向，负责军队转业干部、复员干部、离休退休干部、退役士兵和无军籍退休退职职工的移交安置工作和自主择业、就业退役军人服务管理工作，组织指导退役军人教育培训、优抚抚恤等，组织指导全市拥军优属工作，组织实施烈士及退役军人荣誉奖励、纪念活动等工作。</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（二）部门机构设置</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我局机关核定编制数20个，现有工作人员19人，机关内设7个科室：办公室、规划财务科、政策法规科（权益维护科）、移交安置科、就业创业科、军休服务管理科、拥军优抚科。</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cs="仿宋_GB2312"/>
                <w:sz w:val="30"/>
                <w:szCs w:val="30"/>
                <w:lang w:val="en-US" w:eastAsia="zh-CN"/>
              </w:rPr>
            </w:pPr>
            <w:r>
              <w:rPr>
                <w:rFonts w:hint="eastAsia" w:ascii="仿宋_GB2312" w:hAnsi="仿宋_GB2312" w:eastAsia="仿宋_GB2312" w:cs="仿宋_GB2312"/>
                <w:sz w:val="30"/>
                <w:szCs w:val="30"/>
                <w:lang w:val="en-US" w:eastAsia="zh-CN"/>
              </w:rPr>
              <w:t>机关党委、机关纪委按章程设置，机关党委加挂人事教育科牌</w:t>
            </w:r>
            <w:r>
              <w:rPr>
                <w:rFonts w:hint="eastAsia" w:cs="仿宋_GB2312"/>
                <w:sz w:val="30"/>
                <w:szCs w:val="30"/>
                <w:lang w:val="en-US" w:eastAsia="zh-CN"/>
              </w:rPr>
              <w:t>子。</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下辖局属二级单位五个，分别是市军队干部离休退休干部休养所、市军队离休退休干部管理服务中心 、市军用供应站、市烈士陵园管理中心、市退役军人服务中心。</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（三）年度总体工作任务</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一是提高政治站位，强化责任担当，进一步提升管理服务能力，为做好新时代退役军人工作提供坚实保障。</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二是建立工作协调机制，完善集中统一、职责清晰的服务保障体系，协调各方力量更好地为军人军属服务。</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三是全面落实政策，依法兑现相关待遇，坚决维护退役军人的合法权益。</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四是加强退役军人思想政治和服务保障体系建设，指导督促宣传退役军人先进事迹，做实做细做好退役军人服务工作。广泛开展走访慰问、听取意见、解释政策等各项服务工作。</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二、2020年整体支出管理及使用情况</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我局2020年收入为7935.08万元，其中上年结转1395.76万元，财政拨款收入4804.04万元，其他收入1737.28万元。本年支出6500.94万元（含基本支出和项目支出）。基本支出为1919.55万元，其中人员支出为1491.08万元，公用支出为428.47万元，项目支出为4581.39万元。年末结转和结余1335.97万元。事业费分类为抚恤、退役安置、退役军人事务管理、行政事业单位离退休及机构管理经费共支出4382.35万元。</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rPr>
                <w:rFonts w:hint="eastAsia" w:ascii="楷体_GB2312" w:hAnsi="楷体_GB2312" w:eastAsia="楷体_GB2312" w:cs="楷体_GB2312"/>
                <w:b/>
                <w:bCs/>
                <w:sz w:val="30"/>
                <w:szCs w:val="30"/>
                <w:highlight w:val="none"/>
                <w:lang w:val="en-US" w:eastAsia="zh-CN"/>
              </w:rPr>
            </w:pPr>
            <w:r>
              <w:rPr>
                <w:rFonts w:hint="eastAsia" w:ascii="楷体_GB2312" w:hAnsi="楷体_GB2312" w:eastAsia="楷体_GB2312" w:cs="楷体_GB2312"/>
                <w:b/>
                <w:bCs/>
                <w:sz w:val="30"/>
                <w:szCs w:val="30"/>
                <w:highlight w:val="none"/>
                <w:lang w:val="en-US" w:eastAsia="zh-CN"/>
              </w:rPr>
              <w:t>（一）抚恤经费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2020年我局抚恤专项资金支出423.70万元，其中烈士纪念设施管理维修经费323.79万元，军供站单位经费99.91万元。</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02" w:firstLineChars="200"/>
              <w:jc w:val="left"/>
              <w:textAlignment w:val="auto"/>
              <w:rPr>
                <w:rFonts w:hint="eastAsia" w:ascii="楷体_GB2312" w:hAnsi="楷体_GB2312" w:eastAsia="楷体_GB2312" w:cs="楷体_GB2312"/>
                <w:b/>
                <w:bCs/>
                <w:sz w:val="30"/>
                <w:szCs w:val="30"/>
                <w:highlight w:val="none"/>
                <w:lang w:val="en-US" w:eastAsia="zh-CN"/>
              </w:rPr>
            </w:pPr>
            <w:r>
              <w:rPr>
                <w:rFonts w:hint="eastAsia" w:ascii="楷体_GB2312" w:hAnsi="楷体_GB2312" w:eastAsia="楷体_GB2312" w:cs="楷体_GB2312"/>
                <w:b/>
                <w:bCs/>
                <w:sz w:val="30"/>
                <w:szCs w:val="30"/>
                <w:highlight w:val="none"/>
                <w:lang w:val="en-US" w:eastAsia="zh-CN"/>
              </w:rPr>
              <w:t>退役安置经费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2020年我局退役安置专项资金支出2204.28万元，其中退役士兵安置费87.73万元，离退休人员安置费2116.55万元。</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02" w:firstLineChars="200"/>
              <w:jc w:val="left"/>
              <w:textAlignment w:val="auto"/>
              <w:rPr>
                <w:rFonts w:hint="eastAsia" w:ascii="楷体_GB2312" w:hAnsi="楷体_GB2312" w:eastAsia="楷体_GB2312" w:cs="楷体_GB2312"/>
                <w:b/>
                <w:bCs/>
                <w:sz w:val="30"/>
                <w:szCs w:val="30"/>
                <w:highlight w:val="none"/>
                <w:lang w:val="en-US" w:eastAsia="zh-CN"/>
              </w:rPr>
            </w:pPr>
            <w:r>
              <w:rPr>
                <w:rFonts w:hint="eastAsia" w:ascii="楷体_GB2312" w:hAnsi="楷体_GB2312" w:eastAsia="楷体_GB2312" w:cs="楷体_GB2312"/>
                <w:b/>
                <w:bCs/>
                <w:sz w:val="30"/>
                <w:szCs w:val="30"/>
                <w:highlight w:val="none"/>
                <w:lang w:val="en-US" w:eastAsia="zh-CN"/>
              </w:rPr>
              <w:t>退役军人管理事务经费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2020年我局退役军人管理事务专项资金支出1754.37万元，其中行政管理事务费233.93万元，政府安排工作退役士兵社保接续费1340.59万元，其他事务费179.85万元。</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三、整体支出绩效自评结论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2020年，我局认真贯彻习总书记关于退役军人工作的指示和批示精神，以“让军人成为全社会最尊崇的职业”为目标，全面落实优抚对象抚恤补助、优抚对象医疗保障、退役安置补助、军队转业干部补助、退役军人及其其他优抚对象特殊困难援助资金、农村籍义务兵家庭优待金等各项政策，广泛组织退役军人走访慰问活动，推动全市退役士兵就业创业，支援家乡经济建设，按照“五有”要求全面推进服务保障体系建设，积极宣传全国“最美退役军人”张富清、朱再保等典型，贯彻落实光荣牌悬挂工作，在维护退役军人合法权益，保持涉军群体稳定方面做出了贡献，得到了全市各界的一致好评，取得了较好的社会效益，根据绩效目标评价标准，我局2020年整体支出绩效自评为优秀。</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四、存在的问题及工作计划</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（一）存在的问题</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一是制度</w:t>
            </w:r>
            <w:r>
              <w:rPr>
                <w:rFonts w:hint="eastAsia" w:cs="仿宋_GB2312"/>
                <w:sz w:val="32"/>
                <w:szCs w:val="32"/>
                <w:lang w:val="en-US" w:eastAsia="zh-CN"/>
              </w:rPr>
              <w:t>建设</w:t>
            </w:r>
            <w:r>
              <w:rPr>
                <w:rFonts w:hint="eastAsia" w:ascii="仿宋_GB2312" w:hAnsi="仿宋_GB2312" w:eastAsia="仿宋_GB2312" w:cs="仿宋_GB2312"/>
                <w:sz w:val="32"/>
                <w:szCs w:val="32"/>
                <w:lang w:val="en-US" w:eastAsia="zh-CN"/>
              </w:rPr>
              <w:t>不够完善。各项</w:t>
            </w:r>
            <w:r>
              <w:rPr>
                <w:rFonts w:hint="eastAsia" w:cs="仿宋_GB2312"/>
                <w:sz w:val="32"/>
                <w:szCs w:val="32"/>
                <w:lang w:val="en-US" w:eastAsia="zh-CN"/>
              </w:rPr>
              <w:t>行业</w:t>
            </w:r>
            <w:r>
              <w:rPr>
                <w:rFonts w:hint="eastAsia" w:ascii="仿宋_GB2312" w:hAnsi="仿宋_GB2312" w:eastAsia="仿宋_GB2312" w:cs="仿宋_GB2312"/>
                <w:sz w:val="32"/>
                <w:szCs w:val="32"/>
                <w:lang w:val="en-US" w:eastAsia="zh-CN"/>
              </w:rPr>
              <w:t>资金管理制度</w:t>
            </w:r>
            <w:r>
              <w:rPr>
                <w:rFonts w:hint="eastAsia" w:cs="仿宋_GB2312"/>
                <w:sz w:val="32"/>
                <w:szCs w:val="32"/>
                <w:lang w:val="en-US" w:eastAsia="zh-CN"/>
              </w:rPr>
              <w:t>有待进一步</w:t>
            </w:r>
            <w:r>
              <w:rPr>
                <w:rFonts w:hint="eastAsia" w:ascii="仿宋_GB2312" w:hAnsi="仿宋_GB2312" w:eastAsia="仿宋_GB2312" w:cs="仿宋_GB2312"/>
                <w:sz w:val="32"/>
                <w:szCs w:val="32"/>
                <w:lang w:val="en-US" w:eastAsia="zh-CN"/>
              </w:rPr>
              <w:t>完善，</w:t>
            </w:r>
            <w:r>
              <w:rPr>
                <w:rFonts w:hint="eastAsia" w:cs="仿宋_GB2312"/>
                <w:sz w:val="32"/>
                <w:szCs w:val="32"/>
                <w:lang w:val="en-US" w:eastAsia="zh-CN"/>
              </w:rPr>
              <w:t>特别是</w:t>
            </w:r>
            <w:r>
              <w:rPr>
                <w:rFonts w:hint="eastAsia" w:ascii="仿宋_GB2312" w:hAnsi="仿宋_GB2312" w:eastAsia="仿宋_GB2312" w:cs="仿宋_GB2312"/>
                <w:sz w:val="32"/>
                <w:szCs w:val="32"/>
                <w:lang w:val="en-US" w:eastAsia="zh-CN"/>
              </w:rPr>
              <w:t>专项资金管理制度</w:t>
            </w:r>
            <w:r>
              <w:rPr>
                <w:rFonts w:hint="eastAsia" w:cs="仿宋_GB2312"/>
                <w:sz w:val="32"/>
                <w:szCs w:val="32"/>
                <w:lang w:val="en-US" w:eastAsia="zh-CN"/>
              </w:rPr>
              <w:t>缺乏，</w:t>
            </w:r>
            <w:r>
              <w:rPr>
                <w:rFonts w:hint="eastAsia" w:ascii="仿宋_GB2312" w:hAnsi="仿宋_GB2312" w:eastAsia="仿宋_GB2312" w:cs="仿宋_GB2312"/>
                <w:sz w:val="32"/>
                <w:szCs w:val="32"/>
                <w:lang w:val="en-US" w:eastAsia="zh-CN"/>
              </w:rPr>
              <w:t>尚未形成一套高效及时的运行制度，不利于退役军人专项事务的开展。</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二</w:t>
            </w:r>
            <w:r>
              <w:rPr>
                <w:rFonts w:hint="eastAsia" w:ascii="仿宋_GB2312" w:hAnsi="仿宋_GB2312" w:eastAsia="仿宋_GB2312" w:cs="仿宋_GB2312"/>
                <w:sz w:val="32"/>
                <w:szCs w:val="32"/>
                <w:lang w:val="en-US" w:eastAsia="zh-CN"/>
              </w:rPr>
              <w:t>是业务水平有待提高。各级退役事务部门人员由各单位转隶而来，业务水平参差不齐，加之人手少，工作量大，都是身兼数职，缺乏系统学习和培训，对各项资金的管理及使用方面存在不足，把握不准，业务能力有待提高。</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cs="仿宋_GB2312"/>
                <w:sz w:val="32"/>
                <w:szCs w:val="32"/>
                <w:lang w:val="en-US" w:eastAsia="zh-CN"/>
              </w:rPr>
              <w:t>三</w:t>
            </w:r>
            <w:r>
              <w:rPr>
                <w:rFonts w:hint="eastAsia" w:ascii="仿宋_GB2312" w:hAnsi="仿宋_GB2312" w:eastAsia="仿宋_GB2312" w:cs="仿宋_GB2312"/>
                <w:sz w:val="32"/>
                <w:szCs w:val="32"/>
                <w:lang w:val="en-US" w:eastAsia="zh-CN"/>
              </w:rPr>
              <w:t>是资金缺口亟需补齐。退役军人事务资金专业性强，资金使用对象指向明确，属于重大民生资金，须专款专用，但我市县市区专项资金普遍缺口较大，退役军人合法权益保障有待加强。</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 xml:space="preserve">（二）2021年工作计划 </w:t>
            </w:r>
          </w:p>
          <w:p>
            <w:pPr>
              <w:keepNext w:val="0"/>
              <w:keepLines w:val="0"/>
              <w:pageBreakBefore w:val="0"/>
              <w:widowControl w:val="0"/>
              <w:kinsoku/>
              <w:wordWrap/>
              <w:overflowPunct/>
              <w:topLinePunct w:val="0"/>
              <w:autoSpaceDE/>
              <w:autoSpaceDN/>
              <w:bidi w:val="0"/>
              <w:adjustRightInd/>
              <w:snapToGrid/>
              <w:spacing w:line="560" w:lineRule="exact"/>
              <w:ind w:firstLine="631"/>
              <w:jc w:val="left"/>
              <w:textAlignment w:val="auto"/>
              <w:rPr>
                <w:rFonts w:hint="eastAsia"/>
                <w:lang w:val="en-US" w:eastAsia="zh-CN"/>
              </w:rPr>
            </w:pPr>
            <w:r>
              <w:rPr>
                <w:rFonts w:hint="eastAsia" w:ascii="仿宋" w:hAnsi="仿宋" w:eastAsia="仿宋" w:cs="仿宋"/>
                <w:sz w:val="32"/>
                <w:szCs w:val="32"/>
                <w:lang w:val="en-US" w:eastAsia="zh-CN"/>
              </w:rPr>
              <w:t>2021年将</w:t>
            </w:r>
            <w:r>
              <w:rPr>
                <w:rFonts w:hint="eastAsia" w:ascii="仿宋" w:hAnsi="仿宋" w:eastAsia="仿宋" w:cs="仿宋"/>
                <w:sz w:val="32"/>
                <w:szCs w:val="32"/>
              </w:rPr>
              <w:t>更加重视规划编制工作以及</w:t>
            </w:r>
            <w:r>
              <w:rPr>
                <w:rFonts w:hint="eastAsia" w:ascii="仿宋" w:hAnsi="仿宋" w:eastAsia="仿宋" w:cs="仿宋"/>
                <w:sz w:val="32"/>
                <w:szCs w:val="32"/>
                <w:lang w:eastAsia="zh-CN"/>
              </w:rPr>
              <w:t>保障退役军人合法权益等</w:t>
            </w:r>
            <w:r>
              <w:rPr>
                <w:rFonts w:hint="eastAsia" w:ascii="仿宋" w:hAnsi="仿宋" w:eastAsia="仿宋" w:cs="仿宋"/>
                <w:sz w:val="32"/>
                <w:szCs w:val="32"/>
              </w:rPr>
              <w:t>项目</w:t>
            </w:r>
            <w:r>
              <w:rPr>
                <w:rFonts w:hint="eastAsia" w:ascii="仿宋" w:hAnsi="仿宋" w:eastAsia="仿宋" w:cs="仿宋"/>
                <w:sz w:val="32"/>
                <w:szCs w:val="32"/>
                <w:lang w:eastAsia="zh-CN"/>
              </w:rPr>
              <w:t>的建设</w:t>
            </w:r>
            <w:r>
              <w:rPr>
                <w:rFonts w:hint="eastAsia" w:ascii="仿宋" w:hAnsi="仿宋" w:eastAsia="仿宋" w:cs="仿宋"/>
                <w:sz w:val="32"/>
                <w:szCs w:val="32"/>
              </w:rPr>
              <w:t>工作。在项目规划中有效抓住规划，建设和储备三环节，努力做好服务和管理工作。做到了规划一批，建设一批，储备一批的分层科学管理体系</w:t>
            </w:r>
            <w:r>
              <w:rPr>
                <w:rFonts w:hint="eastAsia" w:ascii="仿宋" w:hAnsi="仿宋" w:eastAsia="仿宋" w:cs="仿宋"/>
                <w:sz w:val="32"/>
                <w:szCs w:val="32"/>
                <w:lang w:eastAsia="zh-CN"/>
              </w:rPr>
              <w:t>。</w:t>
            </w:r>
            <w:r>
              <w:rPr>
                <w:rFonts w:hint="eastAsia" w:ascii="仿宋" w:hAnsi="仿宋" w:eastAsia="仿宋" w:cs="仿宋"/>
                <w:sz w:val="32"/>
                <w:szCs w:val="32"/>
              </w:rPr>
              <w:t>规范</w:t>
            </w:r>
            <w:r>
              <w:rPr>
                <w:rFonts w:hint="eastAsia" w:ascii="仿宋" w:hAnsi="仿宋" w:eastAsia="仿宋" w:cs="仿宋"/>
                <w:sz w:val="32"/>
                <w:szCs w:val="32"/>
                <w:lang w:eastAsia="zh-CN"/>
              </w:rPr>
              <w:t>退役军人</w:t>
            </w:r>
            <w:r>
              <w:rPr>
                <w:rFonts w:hint="eastAsia" w:ascii="仿宋" w:hAnsi="仿宋" w:eastAsia="仿宋" w:cs="仿宋"/>
                <w:sz w:val="32"/>
                <w:szCs w:val="32"/>
              </w:rPr>
              <w:t>资金管理使用，在全</w:t>
            </w:r>
            <w:r>
              <w:rPr>
                <w:rFonts w:hint="eastAsia" w:ascii="仿宋" w:hAnsi="仿宋" w:eastAsia="仿宋" w:cs="仿宋"/>
                <w:sz w:val="32"/>
                <w:szCs w:val="32"/>
                <w:lang w:eastAsia="zh-CN"/>
              </w:rPr>
              <w:t>系统</w:t>
            </w:r>
            <w:r>
              <w:rPr>
                <w:rFonts w:hint="eastAsia" w:ascii="仿宋" w:hAnsi="仿宋" w:eastAsia="仿宋" w:cs="仿宋"/>
                <w:sz w:val="32"/>
                <w:szCs w:val="32"/>
              </w:rPr>
              <w:t>开展“制度健全、预算科学、统计完善、管理严格”为主要内容的财务统计工作规范化管理活动</w:t>
            </w:r>
            <w:r>
              <w:rPr>
                <w:rFonts w:hint="eastAsia" w:ascii="仿宋" w:hAnsi="仿宋" w:eastAsia="仿宋" w:cs="仿宋"/>
                <w:sz w:val="32"/>
                <w:szCs w:val="32"/>
                <w:lang w:eastAsia="zh-CN"/>
              </w:rPr>
              <w:t>。重在“四抓”，</w:t>
            </w:r>
            <w:r>
              <w:rPr>
                <w:rFonts w:hint="eastAsia" w:ascii="仿宋" w:hAnsi="仿宋" w:eastAsia="仿宋" w:cs="仿宋"/>
                <w:sz w:val="32"/>
                <w:szCs w:val="32"/>
              </w:rPr>
              <w:t>抓建章立制促规范</w:t>
            </w:r>
            <w:r>
              <w:rPr>
                <w:rFonts w:hint="eastAsia" w:ascii="仿宋" w:hAnsi="仿宋" w:eastAsia="仿宋" w:cs="仿宋"/>
                <w:sz w:val="32"/>
                <w:szCs w:val="32"/>
                <w:lang w:eastAsia="zh-CN"/>
              </w:rPr>
              <w:t>、</w:t>
            </w:r>
            <w:r>
              <w:rPr>
                <w:rFonts w:hint="eastAsia" w:ascii="仿宋" w:hAnsi="仿宋" w:eastAsia="仿宋" w:cs="仿宋"/>
                <w:sz w:val="32"/>
                <w:szCs w:val="32"/>
              </w:rPr>
              <w:t>抓培训指导上水平</w:t>
            </w:r>
            <w:r>
              <w:rPr>
                <w:rFonts w:hint="eastAsia" w:ascii="仿宋" w:hAnsi="仿宋" w:eastAsia="仿宋" w:cs="仿宋"/>
                <w:sz w:val="32"/>
                <w:szCs w:val="32"/>
                <w:lang w:eastAsia="zh-CN"/>
              </w:rPr>
              <w:t>、</w:t>
            </w:r>
            <w:r>
              <w:rPr>
                <w:rFonts w:hint="eastAsia" w:ascii="仿宋" w:hAnsi="仿宋" w:eastAsia="仿宋" w:cs="仿宋"/>
                <w:sz w:val="32"/>
                <w:szCs w:val="32"/>
              </w:rPr>
              <w:t>抓检查整改强质效</w:t>
            </w:r>
            <w:r>
              <w:rPr>
                <w:rFonts w:hint="eastAsia" w:ascii="仿宋" w:hAnsi="仿宋" w:eastAsia="仿宋" w:cs="仿宋"/>
                <w:sz w:val="32"/>
                <w:szCs w:val="32"/>
                <w:lang w:eastAsia="zh-CN"/>
              </w:rPr>
              <w:t>、</w:t>
            </w:r>
            <w:r>
              <w:rPr>
                <w:rFonts w:hint="eastAsia" w:ascii="仿宋" w:hAnsi="仿宋" w:eastAsia="仿宋" w:cs="仿宋"/>
                <w:sz w:val="32"/>
                <w:szCs w:val="32"/>
              </w:rPr>
              <w:t>抓项目监管保安全</w:t>
            </w:r>
            <w:r>
              <w:rPr>
                <w:rFonts w:hint="eastAsia" w:ascii="仿宋" w:hAnsi="仿宋" w:eastAsia="仿宋" w:cs="仿宋"/>
                <w:sz w:val="32"/>
                <w:szCs w:val="32"/>
                <w:lang w:eastAsia="zh-CN"/>
              </w:rPr>
              <w:t>。拟年初举行一次全市系统财务人员集中培训，请行家里手传经送宝，</w:t>
            </w:r>
            <w:r>
              <w:rPr>
                <w:rFonts w:hint="eastAsia" w:ascii="仿宋" w:hAnsi="仿宋" w:eastAsia="仿宋" w:cs="仿宋"/>
                <w:sz w:val="32"/>
                <w:szCs w:val="32"/>
              </w:rPr>
              <w:t>全面提升聚财、管</w:t>
            </w:r>
            <w:r>
              <w:rPr>
                <w:rFonts w:hint="eastAsia" w:ascii="仿宋" w:hAnsi="仿宋" w:eastAsia="仿宋" w:cs="仿宋"/>
                <w:sz w:val="32"/>
                <w:szCs w:val="32"/>
                <w:lang w:eastAsia="zh-CN"/>
              </w:rPr>
              <w:t>财</w:t>
            </w:r>
            <w:r>
              <w:rPr>
                <w:rFonts w:hint="eastAsia" w:ascii="仿宋" w:hAnsi="仿宋" w:eastAsia="仿宋" w:cs="仿宋"/>
                <w:sz w:val="32"/>
                <w:szCs w:val="32"/>
              </w:rPr>
              <w:t>、理财、</w:t>
            </w:r>
            <w:r>
              <w:rPr>
                <w:rFonts w:hint="eastAsia" w:ascii="仿宋" w:hAnsi="仿宋" w:eastAsia="仿宋" w:cs="仿宋"/>
                <w:sz w:val="32"/>
                <w:szCs w:val="32"/>
                <w:lang w:eastAsia="zh-CN"/>
              </w:rPr>
              <w:t>用财</w:t>
            </w:r>
            <w:r>
              <w:rPr>
                <w:rFonts w:hint="eastAsia" w:ascii="仿宋" w:hAnsi="仿宋" w:eastAsia="仿宋" w:cs="仿宋"/>
                <w:sz w:val="32"/>
                <w:szCs w:val="32"/>
              </w:rPr>
              <w:t>能力。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100" w:firstLineChars="1700"/>
              <w:jc w:val="lef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100" w:firstLineChars="17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岳阳市退役军人事务局      </w:t>
            </w:r>
          </w:p>
          <w:p>
            <w:pPr>
              <w:keepNext w:val="0"/>
              <w:keepLines w:val="0"/>
              <w:pageBreakBefore w:val="0"/>
              <w:widowControl w:val="0"/>
              <w:kinsoku/>
              <w:wordWrap/>
              <w:overflowPunct/>
              <w:topLinePunct w:val="0"/>
              <w:autoSpaceDE/>
              <w:autoSpaceDN/>
              <w:bidi w:val="0"/>
              <w:adjustRightInd/>
              <w:snapToGrid/>
              <w:spacing w:line="520" w:lineRule="exact"/>
              <w:ind w:firstLine="5400" w:firstLineChars="1800"/>
              <w:textAlignment w:val="auto"/>
              <w:rPr>
                <w:rFonts w:eastAsia="楷体_GB2312"/>
                <w:bCs/>
                <w:sz w:val="28"/>
                <w:szCs w:val="28"/>
              </w:rPr>
            </w:pPr>
            <w:r>
              <w:rPr>
                <w:rFonts w:hint="eastAsia" w:ascii="仿宋_GB2312" w:hAnsi="仿宋_GB2312" w:eastAsia="仿宋_GB2312" w:cs="仿宋_GB2312"/>
                <w:sz w:val="30"/>
                <w:szCs w:val="30"/>
                <w:lang w:val="en-US" w:eastAsia="zh-CN"/>
              </w:rPr>
              <w:t xml:space="preserve">2021年6月14日 </w:t>
            </w:r>
            <w:r>
              <w:rPr>
                <w:rFonts w:hint="eastAsia" w:ascii="仿宋_GB2312" w:hAnsi="仿宋_GB2312" w:eastAsia="仿宋_GB2312" w:cs="仿宋_GB2312"/>
                <w:sz w:val="32"/>
                <w:szCs w:val="32"/>
                <w:lang w:val="en-US" w:eastAsia="zh-CN"/>
              </w:rPr>
              <w:t xml:space="preserve"> </w:t>
            </w:r>
          </w:p>
        </w:tc>
      </w:tr>
    </w:tbl>
    <w:p>
      <w:pPr>
        <w:spacing w:line="348" w:lineRule="auto"/>
        <w:rPr>
          <w:rFonts w:eastAsia="楷体_GB2312"/>
          <w:bCs/>
          <w:sz w:val="28"/>
          <w:szCs w:val="28"/>
        </w:rPr>
      </w:pPr>
    </w:p>
    <w:p>
      <w:pPr>
        <w:spacing w:line="348" w:lineRule="auto"/>
        <w:rPr>
          <w:rFonts w:ascii="黑体" w:hAnsi="黑体" w:eastAsia="黑体" w:cs="黑体"/>
          <w:bCs/>
          <w:sz w:val="32"/>
          <w:szCs w:val="32"/>
        </w:rPr>
      </w:pPr>
      <w:r>
        <w:rPr>
          <w:rFonts w:eastAsia="楷体_GB2312"/>
          <w:bCs/>
          <w:sz w:val="28"/>
          <w:szCs w:val="28"/>
        </w:rPr>
        <w:br w:type="page"/>
      </w:r>
      <w:r>
        <w:rPr>
          <w:rFonts w:hint="eastAsia" w:ascii="黑体" w:hAnsi="黑体" w:eastAsia="黑体" w:cs="黑体"/>
          <w:bCs/>
          <w:sz w:val="32"/>
          <w:szCs w:val="32"/>
        </w:rPr>
        <w:t>附件2-2</w:t>
      </w:r>
    </w:p>
    <w:p>
      <w:pPr>
        <w:spacing w:line="348" w:lineRule="auto"/>
        <w:rPr>
          <w:rFonts w:eastAsia="黑体" w:cs="黑体"/>
          <w:bCs/>
          <w:sz w:val="32"/>
          <w:szCs w:val="32"/>
        </w:rPr>
      </w:pPr>
    </w:p>
    <w:p>
      <w:pPr>
        <w:spacing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   项目完成结果评价□</w:t>
      </w:r>
    </w:p>
    <w:p>
      <w:pPr>
        <w:spacing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w:t>
      </w:r>
    </w:p>
    <w:p>
      <w:pPr>
        <w:spacing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w:t>
      </w:r>
    </w:p>
    <w:p>
      <w:pPr>
        <w:spacing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w:t>
      </w:r>
    </w:p>
    <w:p>
      <w:pPr>
        <w:spacing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760" w:lineRule="exact"/>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   年   月   日</w:t>
      </w:r>
    </w:p>
    <w:p>
      <w:pPr>
        <w:spacing w:line="348" w:lineRule="auto"/>
        <w:jc w:val="center"/>
        <w:rPr>
          <w:rFonts w:eastAsia="仿宋_GB2312"/>
          <w:sz w:val="32"/>
        </w:rPr>
      </w:pPr>
      <w:r>
        <w:rPr>
          <w:rFonts w:hint="eastAsia" w:eastAsia="仿宋_GB2312"/>
          <w:sz w:val="32"/>
        </w:rPr>
        <w:t>岳阳市财政局（制）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1800"/>
        <w:gridCol w:w="22"/>
        <w:gridCol w:w="392"/>
        <w:gridCol w:w="306"/>
        <w:gridCol w:w="562"/>
        <w:gridCol w:w="785"/>
        <w:gridCol w:w="297"/>
        <w:gridCol w:w="720"/>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项目负责人</w:t>
            </w:r>
          </w:p>
        </w:tc>
        <w:tc>
          <w:tcPr>
            <w:tcW w:w="3240" w:type="dxa"/>
            <w:gridSpan w:val="6"/>
            <w:vAlign w:val="center"/>
          </w:tcPr>
          <w:p>
            <w:pPr>
              <w:rPr>
                <w:rFonts w:eastAsia="仿宋_GB2312"/>
                <w:sz w:val="24"/>
              </w:rPr>
            </w:pP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项目地址</w:t>
            </w:r>
          </w:p>
        </w:tc>
        <w:tc>
          <w:tcPr>
            <w:tcW w:w="3240" w:type="dxa"/>
            <w:gridSpan w:val="6"/>
            <w:vAlign w:val="center"/>
          </w:tcPr>
          <w:p>
            <w:pPr>
              <w:rPr>
                <w:rFonts w:eastAsia="仿宋_GB2312"/>
                <w:sz w:val="24"/>
              </w:rPr>
            </w:pP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项目起止时间</w:t>
            </w:r>
          </w:p>
        </w:tc>
        <w:tc>
          <w:tcPr>
            <w:tcW w:w="7920" w:type="dxa"/>
            <w:gridSpan w:val="12"/>
            <w:vAlign w:val="center"/>
          </w:tcPr>
          <w:p>
            <w:pPr>
              <w:ind w:firstLine="1190" w:firstLineChars="496"/>
              <w:rPr>
                <w:rFonts w:eastAsia="仿宋_GB2312"/>
                <w:sz w:val="24"/>
              </w:rPr>
            </w:pPr>
            <w:r>
              <w:rPr>
                <w:rFonts w:hint="eastAsia" w:eastAsia="仿宋_GB2312"/>
                <w:sz w:val="24"/>
              </w:rPr>
              <w:t>年       月起至          年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jc w:val="center"/>
              <w:rPr>
                <w:rFonts w:eastAsia="仿宋_GB2312"/>
                <w:sz w:val="24"/>
              </w:rPr>
            </w:pPr>
          </w:p>
        </w:tc>
        <w:tc>
          <w:tcPr>
            <w:tcW w:w="1800"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3"/>
            <w:tcBorders>
              <w:bottom w:val="single" w:color="auto" w:sz="4" w:space="0"/>
            </w:tcBorders>
            <w:vAlign w:val="center"/>
          </w:tcPr>
          <w:p>
            <w:pPr>
              <w:spacing w:line="360" w:lineRule="exact"/>
              <w:jc w:val="center"/>
              <w:rPr>
                <w:rFonts w:eastAsia="仿宋_GB2312"/>
                <w:sz w:val="24"/>
              </w:rPr>
            </w:pPr>
          </w:p>
        </w:tc>
        <w:tc>
          <w:tcPr>
            <w:tcW w:w="1644"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720" w:type="dxa"/>
            <w:tcBorders>
              <w:bottom w:val="single" w:color="auto" w:sz="4" w:space="0"/>
            </w:tcBorders>
            <w:vAlign w:val="center"/>
          </w:tcPr>
          <w:p>
            <w:pPr>
              <w:spacing w:line="400" w:lineRule="exact"/>
              <w:jc w:val="center"/>
              <w:rPr>
                <w:rFonts w:eastAsia="仿宋_GB2312"/>
                <w:sz w:val="24"/>
              </w:rPr>
            </w:pPr>
          </w:p>
        </w:tc>
        <w:tc>
          <w:tcPr>
            <w:tcW w:w="1620"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vAlign w:val="center"/>
          </w:tcPr>
          <w:p>
            <w:pPr>
              <w:rPr>
                <w:rFonts w:eastAsia="仿宋_GB2312"/>
                <w:spacing w:val="-6"/>
                <w:sz w:val="24"/>
              </w:rPr>
            </w:pPr>
          </w:p>
        </w:tc>
        <w:tc>
          <w:tcPr>
            <w:tcW w:w="1800"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3"/>
            <w:tcBorders>
              <w:bottom w:val="single" w:color="auto" w:sz="4" w:space="0"/>
            </w:tcBorders>
            <w:vAlign w:val="center"/>
          </w:tcPr>
          <w:p>
            <w:pPr>
              <w:rPr>
                <w:rFonts w:eastAsia="仿宋_GB2312"/>
                <w:spacing w:val="-6"/>
                <w:sz w:val="24"/>
              </w:rPr>
            </w:pPr>
          </w:p>
        </w:tc>
        <w:tc>
          <w:tcPr>
            <w:tcW w:w="1644"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720" w:type="dxa"/>
            <w:tcBorders>
              <w:bottom w:val="single" w:color="auto" w:sz="4" w:space="0"/>
            </w:tcBorders>
            <w:vAlign w:val="center"/>
          </w:tcPr>
          <w:p>
            <w:pPr>
              <w:rPr>
                <w:rFonts w:eastAsia="仿宋_GB2312"/>
                <w:spacing w:val="-6"/>
                <w:sz w:val="24"/>
              </w:rPr>
            </w:pPr>
          </w:p>
        </w:tc>
        <w:tc>
          <w:tcPr>
            <w:tcW w:w="1620"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342" w:type="dxa"/>
            <w:gridSpan w:val="5"/>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822" w:type="dxa"/>
            <w:gridSpan w:val="2"/>
            <w:tcBorders>
              <w:bottom w:val="single" w:color="auto" w:sz="4" w:space="0"/>
            </w:tcBorders>
            <w:vAlign w:val="center"/>
          </w:tcPr>
          <w:p>
            <w:pPr>
              <w:jc w:val="center"/>
              <w:rPr>
                <w:rFonts w:eastAsia="仿宋_GB2312"/>
                <w:b/>
                <w:sz w:val="24"/>
              </w:rPr>
            </w:pPr>
          </w:p>
        </w:tc>
        <w:tc>
          <w:tcPr>
            <w:tcW w:w="2342" w:type="dxa"/>
            <w:gridSpan w:val="5"/>
            <w:tcBorders>
              <w:bottom w:val="single" w:color="auto" w:sz="4" w:space="0"/>
            </w:tcBorders>
            <w:vAlign w:val="center"/>
          </w:tcPr>
          <w:p>
            <w:pPr>
              <w:jc w:val="center"/>
              <w:rPr>
                <w:rFonts w:eastAsia="仿宋_GB2312"/>
                <w:b/>
                <w:sz w:val="24"/>
              </w:rPr>
            </w:pPr>
          </w:p>
        </w:tc>
        <w:tc>
          <w:tcPr>
            <w:tcW w:w="3036"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073"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3036"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5073" w:type="dxa"/>
            <w:gridSpan w:val="10"/>
            <w:tcBorders>
              <w:bottom w:val="single" w:color="auto" w:sz="4" w:space="0"/>
            </w:tcBorders>
            <w:vAlign w:val="center"/>
          </w:tcPr>
          <w:p>
            <w:pPr>
              <w:jc w:val="center"/>
              <w:rPr>
                <w:rFonts w:eastAsia="仿宋_GB2312"/>
                <w:b/>
                <w:sz w:val="24"/>
              </w:rPr>
            </w:pPr>
          </w:p>
        </w:tc>
        <w:tc>
          <w:tcPr>
            <w:tcW w:w="3036" w:type="dxa"/>
            <w:gridSpan w:val="3"/>
            <w:tcBorders>
              <w:bottom w:val="single" w:color="auto" w:sz="4" w:space="0"/>
            </w:tcBorders>
            <w:vAlign w:val="center"/>
          </w:tcPr>
          <w:p>
            <w:pPr>
              <w:spacing w:line="400" w:lineRule="exact"/>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909" w:type="dxa"/>
            <w:gridSpan w:val="3"/>
            <w:vAlign w:val="center"/>
          </w:tcPr>
          <w:p>
            <w:pPr>
              <w:jc w:val="center"/>
              <w:rPr>
                <w:rFonts w:eastAsia="仿宋_GB2312"/>
                <w:sz w:val="24"/>
              </w:rPr>
            </w:pPr>
            <w:r>
              <w:rPr>
                <w:rFonts w:hint="eastAsia" w:eastAsia="仿宋_GB2312"/>
                <w:sz w:val="24"/>
              </w:rPr>
              <w:t>一级指标</w:t>
            </w:r>
          </w:p>
        </w:tc>
        <w:tc>
          <w:tcPr>
            <w:tcW w:w="182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26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08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项目产出指标</w:t>
            </w: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数量指标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质量指标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时效指标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成本指标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项目效益指标</w:t>
            </w: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服务对象满意度指标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200" w:type="dxa"/>
            <w:gridSpan w:val="10"/>
            <w:tcBorders>
              <w:bottom w:val="single" w:color="auto" w:sz="4"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200" w:type="dxa"/>
            <w:gridSpan w:val="10"/>
            <w:tcBorders>
              <w:bottom w:val="single" w:color="auto" w:sz="4"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姓名</w:t>
            </w:r>
          </w:p>
        </w:tc>
        <w:tc>
          <w:tcPr>
            <w:tcW w:w="2332" w:type="dxa"/>
            <w:gridSpan w:val="4"/>
            <w:vAlign w:val="center"/>
          </w:tcPr>
          <w:p>
            <w:pPr>
              <w:jc w:val="center"/>
              <w:rPr>
                <w:rFonts w:eastAsia="仿宋_GB2312"/>
                <w:sz w:val="24"/>
              </w:rPr>
            </w:pPr>
            <w:r>
              <w:rPr>
                <w:rFonts w:hint="eastAsia" w:eastAsia="仿宋_GB2312"/>
                <w:sz w:val="24"/>
              </w:rPr>
              <w:t>职称/职务</w:t>
            </w:r>
          </w:p>
        </w:tc>
        <w:tc>
          <w:tcPr>
            <w:tcW w:w="1950" w:type="dxa"/>
            <w:gridSpan w:val="4"/>
            <w:vAlign w:val="center"/>
          </w:tcPr>
          <w:p>
            <w:pPr>
              <w:jc w:val="center"/>
              <w:rPr>
                <w:rFonts w:eastAsia="仿宋_GB2312"/>
                <w:sz w:val="24"/>
              </w:rPr>
            </w:pPr>
            <w:r>
              <w:rPr>
                <w:rFonts w:hint="eastAsia" w:eastAsia="仿宋_GB2312"/>
                <w:sz w:val="24"/>
              </w:rPr>
              <w:t>单  位</w:t>
            </w:r>
          </w:p>
        </w:tc>
        <w:tc>
          <w:tcPr>
            <w:tcW w:w="3036"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eastAsia="仿宋_GB2312"/>
                <w:sz w:val="24"/>
              </w:rPr>
            </w:pPr>
          </w:p>
        </w:tc>
        <w:tc>
          <w:tcPr>
            <w:tcW w:w="2332" w:type="dxa"/>
            <w:gridSpan w:val="4"/>
            <w:vAlign w:val="center"/>
          </w:tcPr>
          <w:p>
            <w:pPr>
              <w:rPr>
                <w:rFonts w:eastAsia="仿宋_GB2312"/>
                <w:sz w:val="24"/>
              </w:rPr>
            </w:pPr>
          </w:p>
        </w:tc>
        <w:tc>
          <w:tcPr>
            <w:tcW w:w="1950" w:type="dxa"/>
            <w:gridSpan w:val="4"/>
            <w:vAlign w:val="center"/>
          </w:tcPr>
          <w:p>
            <w:pPr>
              <w:rPr>
                <w:rFonts w:eastAsia="仿宋_GB2312"/>
                <w:sz w:val="24"/>
              </w:rPr>
            </w:pP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eastAsia="仿宋_GB2312"/>
                <w:sz w:val="24"/>
              </w:rPr>
            </w:pPr>
          </w:p>
        </w:tc>
        <w:tc>
          <w:tcPr>
            <w:tcW w:w="2332" w:type="dxa"/>
            <w:gridSpan w:val="4"/>
            <w:vAlign w:val="center"/>
          </w:tcPr>
          <w:p>
            <w:pPr>
              <w:rPr>
                <w:rFonts w:eastAsia="仿宋_GB2312"/>
                <w:sz w:val="24"/>
              </w:rPr>
            </w:pPr>
          </w:p>
        </w:tc>
        <w:tc>
          <w:tcPr>
            <w:tcW w:w="1950" w:type="dxa"/>
            <w:gridSpan w:val="4"/>
            <w:vAlign w:val="center"/>
          </w:tcPr>
          <w:p>
            <w:pPr>
              <w:rPr>
                <w:rFonts w:eastAsia="仿宋_GB2312"/>
                <w:sz w:val="24"/>
              </w:rPr>
            </w:pP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eastAsia="仿宋_GB2312"/>
                <w:sz w:val="24"/>
              </w:rPr>
            </w:pPr>
          </w:p>
        </w:tc>
        <w:tc>
          <w:tcPr>
            <w:tcW w:w="2332" w:type="dxa"/>
            <w:gridSpan w:val="4"/>
            <w:vAlign w:val="center"/>
          </w:tcPr>
          <w:p>
            <w:pPr>
              <w:rPr>
                <w:rFonts w:eastAsia="仿宋_GB2312"/>
                <w:sz w:val="24"/>
              </w:rPr>
            </w:pPr>
          </w:p>
        </w:tc>
        <w:tc>
          <w:tcPr>
            <w:tcW w:w="1950" w:type="dxa"/>
            <w:gridSpan w:val="4"/>
            <w:vAlign w:val="center"/>
          </w:tcPr>
          <w:p>
            <w:pPr>
              <w:rPr>
                <w:rFonts w:eastAsia="仿宋_GB2312"/>
                <w:sz w:val="24"/>
              </w:rPr>
            </w:pP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600" w:firstLineChars="200"/>
              <w:rPr>
                <w:rFonts w:eastAsia="仿宋_GB2312"/>
                <w:sz w:val="30"/>
                <w:szCs w:val="30"/>
              </w:rPr>
            </w:pPr>
            <w:r>
              <w:rPr>
                <w:rFonts w:hint="eastAsia" w:eastAsia="仿宋_GB2312"/>
                <w:sz w:val="30"/>
                <w:szCs w:val="30"/>
              </w:rPr>
              <w:t>（一）项目基本概况</w:t>
            </w:r>
          </w:p>
          <w:p>
            <w:pPr>
              <w:spacing w:line="560" w:lineRule="exact"/>
              <w:ind w:firstLine="600" w:firstLineChars="200"/>
              <w:rPr>
                <w:rFonts w:eastAsia="仿宋_GB2312"/>
                <w:sz w:val="30"/>
                <w:szCs w:val="30"/>
              </w:rPr>
            </w:pPr>
            <w:r>
              <w:rPr>
                <w:rFonts w:hint="eastAsia" w:eastAsia="仿宋_GB2312"/>
                <w:sz w:val="30"/>
                <w:szCs w:val="30"/>
              </w:rPr>
              <w:t>（二）项目资金使用及管理情况</w:t>
            </w:r>
          </w:p>
          <w:p>
            <w:pPr>
              <w:spacing w:line="560" w:lineRule="exact"/>
              <w:ind w:firstLine="600" w:firstLineChars="200"/>
              <w:rPr>
                <w:rFonts w:eastAsia="仿宋_GB2312"/>
                <w:sz w:val="30"/>
                <w:szCs w:val="30"/>
              </w:rPr>
            </w:pPr>
            <w:r>
              <w:rPr>
                <w:rFonts w:hint="eastAsia" w:eastAsia="仿宋_GB2312"/>
                <w:sz w:val="30"/>
                <w:szCs w:val="30"/>
              </w:rPr>
              <w:t>（三）项目组织实施情况</w:t>
            </w:r>
          </w:p>
          <w:p>
            <w:pPr>
              <w:spacing w:line="560" w:lineRule="exact"/>
              <w:ind w:firstLine="600" w:firstLineChars="200"/>
              <w:rPr>
                <w:rFonts w:eastAsia="仿宋_GB2312"/>
                <w:sz w:val="30"/>
                <w:szCs w:val="30"/>
              </w:rPr>
            </w:pPr>
            <w:r>
              <w:rPr>
                <w:rFonts w:hint="eastAsia" w:eastAsia="仿宋_GB2312"/>
                <w:sz w:val="30"/>
                <w:szCs w:val="30"/>
              </w:rPr>
              <w:t>（四）综合评价情况及评价结论</w:t>
            </w:r>
          </w:p>
          <w:p>
            <w:pPr>
              <w:spacing w:line="560" w:lineRule="exact"/>
              <w:ind w:firstLine="600" w:firstLineChars="200"/>
              <w:rPr>
                <w:rFonts w:eastAsia="仿宋_GB2312"/>
                <w:sz w:val="30"/>
                <w:szCs w:val="30"/>
              </w:rPr>
            </w:pPr>
            <w:r>
              <w:rPr>
                <w:rFonts w:hint="eastAsia" w:eastAsia="仿宋_GB2312"/>
                <w:sz w:val="30"/>
                <w:szCs w:val="30"/>
              </w:rPr>
              <w:t>（五）项目主要绩效情况分析</w:t>
            </w:r>
          </w:p>
          <w:p>
            <w:pPr>
              <w:spacing w:line="560" w:lineRule="exact"/>
              <w:ind w:firstLine="600" w:firstLineChars="200"/>
              <w:rPr>
                <w:rFonts w:eastAsia="仿宋_GB2312"/>
                <w:sz w:val="30"/>
                <w:szCs w:val="30"/>
              </w:rPr>
            </w:pPr>
            <w:r>
              <w:rPr>
                <w:rFonts w:hint="eastAsia" w:eastAsia="仿宋_GB2312"/>
                <w:sz w:val="30"/>
                <w:szCs w:val="30"/>
              </w:rPr>
              <w:t>（六）主要经验及做法、存在问题和建议</w:t>
            </w:r>
          </w:p>
          <w:p>
            <w:pPr>
              <w:spacing w:line="560" w:lineRule="exact"/>
              <w:ind w:firstLine="600" w:firstLineChars="200"/>
              <w:rPr>
                <w:rFonts w:eastAsia="仿宋_GB2312"/>
                <w:sz w:val="30"/>
                <w:szCs w:val="30"/>
              </w:rPr>
            </w:pPr>
            <w:r>
              <w:rPr>
                <w:rFonts w:hint="eastAsia" w:eastAsia="仿宋_GB2312"/>
                <w:sz w:val="30"/>
                <w:szCs w:val="30"/>
              </w:rPr>
              <w:t>（七）附件</w:t>
            </w:r>
          </w:p>
          <w:p>
            <w:pPr>
              <w:rPr>
                <w:rFonts w:eastAsia="楷体_GB2312"/>
                <w:bCs/>
                <w:sz w:val="28"/>
                <w:szCs w:val="28"/>
              </w:rPr>
            </w:pPr>
          </w:p>
        </w:tc>
      </w:tr>
    </w:tbl>
    <w:p>
      <w:pPr>
        <w:rPr>
          <w:rFonts w:ascii="黑体" w:hAnsi="黑体" w:eastAsia="黑体"/>
          <w:sz w:val="32"/>
          <w:szCs w:val="32"/>
        </w:rPr>
      </w:pPr>
    </w:p>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7"/>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7"/>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beforeLines="50" w:line="560" w:lineRule="exact"/>
        <w:rPr>
          <w:rFonts w:hint="eastAsia" w:ascii="黑体" w:hAnsi="黑体" w:eastAsia="黑体"/>
          <w:sz w:val="32"/>
          <w:szCs w:val="32"/>
        </w:rPr>
      </w:pPr>
    </w:p>
    <w:p>
      <w:pPr>
        <w:spacing w:beforeLines="50" w:line="560" w:lineRule="exact"/>
        <w:rPr>
          <w:rFonts w:ascii="黑体" w:hAnsi="黑体" w:eastAsia="黑体"/>
          <w:sz w:val="32"/>
          <w:szCs w:val="32"/>
        </w:rPr>
      </w:pPr>
      <w:r>
        <w:rPr>
          <w:rFonts w:hint="eastAsia" w:ascii="黑体" w:hAnsi="黑体" w:eastAsia="黑体"/>
          <w:sz w:val="32"/>
          <w:szCs w:val="32"/>
        </w:rPr>
        <w:t>附件3-2</w:t>
      </w:r>
    </w:p>
    <w:p>
      <w:pPr>
        <w:spacing w:beforeLines="60" w:afterLines="6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7"/>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4"/>
              </w:rPr>
            </w:pP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kern w:val="0"/>
                <w:sz w:val="24"/>
              </w:rPr>
            </w:pP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ascii="仿宋_GB2312" w:eastAsia="仿宋_GB2312"/>
        </w:rPr>
      </w:pPr>
      <w:r>
        <w:rPr>
          <w:rFonts w:hint="eastAsia" w:ascii="仿宋_GB2312" w:eastAsia="仿宋_GB2312"/>
        </w:rPr>
        <w:t>备注：部门（单位）根据项目实际，在《项目支出绩效评价指标体系（参考样表）》上进一步完</w:t>
      </w:r>
    </w:p>
    <w:p>
      <w:pPr>
        <w:adjustRightInd w:val="0"/>
        <w:snapToGrid w:val="0"/>
        <w:spacing w:beforeLines="50"/>
        <w:ind w:firstLine="630" w:firstLineChars="300"/>
        <w:contextualSpacing/>
        <w:rPr>
          <w:rFonts w:eastAsia="仿宋_GB2312"/>
          <w:sz w:val="32"/>
        </w:rPr>
      </w:pPr>
      <w:r>
        <w:rPr>
          <w:rFonts w:hint="eastAsia" w:ascii="仿宋_GB2312" w:eastAsia="仿宋_GB2312"/>
        </w:rPr>
        <w:t>善、量化、细化个性指标，形成本项目的指标体系。</w:t>
      </w:r>
    </w:p>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9</w:t>
    </w:r>
    <w:r>
      <w:rPr>
        <w:sz w:val="24"/>
        <w:szCs w:val="24"/>
      </w:rPr>
      <w:fldChar w:fldCharType="end"/>
    </w:r>
    <w:r>
      <w:rPr>
        <w:rStyle w:val="9"/>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1">
    <w:nsid w:val="53F2CB2E"/>
    <w:multiLevelType w:val="singleLevel"/>
    <w:tmpl w:val="53F2CB2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3"/>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VjZDc5YjMxMWU0ZTk5NDM5YjMxZTY4N2E3MDU0MjE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6456"/>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47EFA"/>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5FF6281"/>
    <w:rsid w:val="0B4507BC"/>
    <w:rsid w:val="0C5672A5"/>
    <w:rsid w:val="15AF4DD5"/>
    <w:rsid w:val="1604125D"/>
    <w:rsid w:val="178F1A2B"/>
    <w:rsid w:val="17D34280"/>
    <w:rsid w:val="1AD475A4"/>
    <w:rsid w:val="1D12485B"/>
    <w:rsid w:val="26510A01"/>
    <w:rsid w:val="27005F66"/>
    <w:rsid w:val="27D7337A"/>
    <w:rsid w:val="28FC776E"/>
    <w:rsid w:val="364E2F94"/>
    <w:rsid w:val="3D52139E"/>
    <w:rsid w:val="3D7043B0"/>
    <w:rsid w:val="40EE5649"/>
    <w:rsid w:val="4B3412CF"/>
    <w:rsid w:val="4BD57F1D"/>
    <w:rsid w:val="5130585B"/>
    <w:rsid w:val="529E6357"/>
    <w:rsid w:val="52D5693E"/>
    <w:rsid w:val="631637CD"/>
    <w:rsid w:val="64172CDF"/>
    <w:rsid w:val="7BCF19FE"/>
    <w:rsid w:val="7C717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ody Text Indent 2"/>
    <w:basedOn w:val="1"/>
    <w:link w:val="14"/>
    <w:unhideWhenUsed/>
    <w:qFormat/>
    <w:uiPriority w:val="99"/>
    <w:pPr>
      <w:ind w:firstLine="588" w:firstLineChars="200"/>
    </w:pPr>
    <w:rPr>
      <w:rFonts w:ascii="仿宋_GB2312" w:hAnsi="Calibri" w:eastAsia="仿宋_GB2312"/>
      <w:sz w:val="32"/>
    </w:rPr>
  </w:style>
  <w:style w:type="paragraph" w:styleId="4">
    <w:name w:val="Balloon Text"/>
    <w:basedOn w:val="1"/>
    <w:link w:val="17"/>
    <w:semiHidden/>
    <w:qFormat/>
    <w:uiPriority w:val="0"/>
    <w:rPr>
      <w:sz w:val="18"/>
      <w:szCs w:val="18"/>
    </w:rPr>
  </w:style>
  <w:style w:type="paragraph" w:styleId="5">
    <w:name w:val="footer"/>
    <w:basedOn w:val="1"/>
    <w:link w:val="11"/>
    <w:unhideWhenUsed/>
    <w:qFormat/>
    <w:uiPriority w:val="0"/>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qFormat/>
    <w:uiPriority w:val="0"/>
    <w:rPr>
      <w:sz w:val="18"/>
      <w:szCs w:val="18"/>
    </w:rPr>
  </w:style>
  <w:style w:type="character" w:customStyle="1" w:styleId="12">
    <w:name w:val="标题 3 Char Char"/>
    <w:qFormat/>
    <w:uiPriority w:val="0"/>
    <w:rPr>
      <w:rFonts w:eastAsia="楷体_GB2312"/>
      <w:b/>
      <w:kern w:val="2"/>
      <w:sz w:val="32"/>
      <w:szCs w:val="24"/>
      <w:lang w:val="en-US" w:eastAsia="zh-CN" w:bidi="ar-SA"/>
    </w:rPr>
  </w:style>
  <w:style w:type="paragraph" w:customStyle="1" w:styleId="13">
    <w:name w:val="Char"/>
    <w:basedOn w:val="1"/>
    <w:qFormat/>
    <w:uiPriority w:val="0"/>
    <w:pPr>
      <w:autoSpaceDE w:val="0"/>
      <w:autoSpaceDN w:val="0"/>
      <w:adjustRightInd w:val="0"/>
    </w:pPr>
    <w:rPr>
      <w:rFonts w:ascii="宋体" w:cs="宋体"/>
      <w:kern w:val="0"/>
      <w:sz w:val="20"/>
      <w:szCs w:val="20"/>
      <w:lang w:val="zh-CN"/>
    </w:rPr>
  </w:style>
  <w:style w:type="character" w:customStyle="1" w:styleId="14">
    <w:name w:val="正文文本缩进 2 Char"/>
    <w:basedOn w:val="8"/>
    <w:link w:val="3"/>
    <w:qFormat/>
    <w:uiPriority w:val="99"/>
    <w:rPr>
      <w:rFonts w:ascii="仿宋_GB2312" w:hAnsi="Calibri" w:eastAsia="仿宋_GB2312" w:cs="Times New Roman"/>
      <w:sz w:val="32"/>
      <w:szCs w:val="24"/>
    </w:rPr>
  </w:style>
  <w:style w:type="paragraph" w:customStyle="1" w:styleId="15">
    <w:name w:val="Char1"/>
    <w:basedOn w:val="1"/>
    <w:qFormat/>
    <w:uiPriority w:val="0"/>
    <w:rPr>
      <w:rFonts w:ascii="仿宋_GB2312" w:eastAsia="仿宋_GB2312"/>
      <w:sz w:val="32"/>
    </w:rPr>
  </w:style>
  <w:style w:type="paragraph" w:customStyle="1" w:styleId="16">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7">
    <w:name w:val="批注框文本 Char"/>
    <w:basedOn w:val="8"/>
    <w:link w:val="4"/>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27</Pages>
  <Words>12714</Words>
  <Characters>13753</Characters>
  <Lines>78</Lines>
  <Paragraphs>21</Paragraphs>
  <TotalTime>9</TotalTime>
  <ScaleCrop>false</ScaleCrop>
  <LinksUpToDate>false</LinksUpToDate>
  <CharactersWithSpaces>14936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Ⅴ＋勇</cp:lastModifiedBy>
  <dcterms:modified xsi:type="dcterms:W3CDTF">2022-06-15T02:35:24Z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1FB8B3420081464B984CC5558BC300DF</vt:lpwstr>
  </property>
</Properties>
</file>