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>2021年残疾人就业保障金</w:t>
      </w:r>
      <w:r>
        <w:rPr>
          <w:rFonts w:hint="eastAsia" w:eastAsia="仿宋_GB2312"/>
          <w:sz w:val="32"/>
          <w:u w:val="single"/>
        </w:rPr>
        <w:t xml:space="preserve">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岳阳市残疾人联合会</w:t>
      </w:r>
      <w:r>
        <w:rPr>
          <w:rFonts w:hint="eastAsia" w:eastAsia="仿宋_GB2312"/>
          <w:sz w:val="32"/>
          <w:u w:val="single"/>
        </w:rPr>
        <w:t xml:space="preserve">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eastAsia="zh-CN"/>
        </w:rPr>
        <w:t>岳阳市残疾人联合会</w:t>
      </w:r>
      <w:r>
        <w:rPr>
          <w:rFonts w:hint="eastAsia" w:eastAsia="仿宋_GB2312"/>
          <w:sz w:val="32"/>
          <w:u w:val="single"/>
        </w:rPr>
        <w:t xml:space="preserve">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2022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 xml:space="preserve"> 月 </w:t>
      </w:r>
      <w:r>
        <w:rPr>
          <w:rFonts w:hint="eastAsia" w:eastAsia="仿宋_GB2312"/>
          <w:sz w:val="32"/>
          <w:lang w:val="en-US" w:eastAsia="zh-CN"/>
        </w:rPr>
        <w:t>14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6"/>
        <w:tblW w:w="9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78"/>
        <w:gridCol w:w="413"/>
        <w:gridCol w:w="381"/>
        <w:gridCol w:w="349"/>
        <w:gridCol w:w="476"/>
        <w:gridCol w:w="466"/>
        <w:gridCol w:w="660"/>
        <w:gridCol w:w="495"/>
        <w:gridCol w:w="236"/>
        <w:gridCol w:w="499"/>
        <w:gridCol w:w="423"/>
        <w:gridCol w:w="611"/>
        <w:gridCol w:w="642"/>
        <w:gridCol w:w="1099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李建军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0730-8708336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岳阳市经开区白石岭南路</w:t>
            </w:r>
            <w:r>
              <w:rPr>
                <w:rFonts w:hint="eastAsia" w:eastAsia="仿宋_GB2312"/>
                <w:sz w:val="24"/>
                <w:lang w:val="en-US" w:eastAsia="zh-CN"/>
              </w:rPr>
              <w:t>158号</w:t>
            </w:r>
          </w:p>
        </w:tc>
        <w:tc>
          <w:tcPr>
            <w:tcW w:w="115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731" w:type="dxa"/>
            <w:gridSpan w:val="14"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年   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 月起至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2021</w:t>
            </w:r>
            <w:r>
              <w:rPr>
                <w:rFonts w:hint="eastAsia" w:eastAsia="仿宋_GB2312"/>
                <w:sz w:val="24"/>
              </w:rPr>
              <w:t xml:space="preserve">  年  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 xml:space="preserve">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1786.43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1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954.52</w:t>
            </w:r>
          </w:p>
        </w:tc>
        <w:tc>
          <w:tcPr>
            <w:tcW w:w="1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849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105.52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1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1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1786.43</w:t>
            </w: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1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954.52</w:t>
            </w:r>
          </w:p>
        </w:tc>
        <w:tc>
          <w:tcPr>
            <w:tcW w:w="1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849</w:t>
            </w: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lang w:val="en-US" w:eastAsia="zh-CN"/>
              </w:rPr>
              <w:t>105.52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1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1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项目资金直拨区财政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99.69</w:t>
            </w: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eastAsia="zh-CN"/>
              </w:rPr>
              <w:t>岳财市社指单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[2021]0205号</w:t>
            </w:r>
          </w:p>
        </w:tc>
        <w:tc>
          <w:tcPr>
            <w:tcW w:w="2722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因残保金需根据本年度入库数拨付，第二批到位时间为2022年初，项目结算时间跨年度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残疾人康复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3.8</w:t>
            </w: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3月7号；12月18、32号</w:t>
            </w:r>
          </w:p>
        </w:tc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残疾人托养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112.04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6月30号；8月5号；12月42、43、53号</w:t>
            </w:r>
          </w:p>
        </w:tc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残疾人助学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6.4</w:t>
            </w: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12月50号</w:t>
            </w:r>
          </w:p>
        </w:tc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残疾人就业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170.43</w:t>
            </w: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3月9号；5月13号；9月6、12号；10月21号；11月24号；12月8、13、24、28、36、46、47、55、31、41、45、48、51号</w:t>
            </w:r>
          </w:p>
        </w:tc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残疾人文化体育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226.89</w:t>
            </w: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6月17号；8月9、10、12、14号；9月15、16、20号；10月5、14、15、18、20号；11月20、21、26号；12月26、56号</w:t>
            </w:r>
          </w:p>
        </w:tc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其他残疾人事业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168.07</w:t>
            </w: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2月19、25、24、42号；3月13、15号；4月15号；5月12号；6月6、13、15号；7月15、16号；8月5、6、15、18、19、20、21、23号；9月5、13、14、17号；10月6、18号；11月10、12、16、19、21、28号；12月10、1114、29、34、40、54号</w:t>
            </w:r>
          </w:p>
        </w:tc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残疾人扶贫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61.68</w:t>
            </w: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6月10号；7月11号；8月15、24号；10月5号；11月6、10、13号；12月18、20、25、27、29、30、38、49、61、62、64号；</w:t>
            </w:r>
          </w:p>
        </w:tc>
        <w:tc>
          <w:tcPr>
            <w:tcW w:w="272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208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849</w:t>
            </w:r>
          </w:p>
        </w:tc>
        <w:tc>
          <w:tcPr>
            <w:tcW w:w="292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2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残疾人创业扶持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56名已开展创业的残疾人对象；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残疾人托养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1135名智力、精神和重度肢体残疾人；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0—17岁残疾儿童康复救助项目568人；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目标4：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贫困精神残疾人康复救助项目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433人；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目标5：残疾人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基本型辅具适配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12547人次；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目标6：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假肢、矫形器装配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212例；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目标7：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困难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残疾人家庭无障碍改造950户（省政府重点民生实事任务）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残疾人创业扶持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56名已开展创业的残疾人对象；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残疾人托养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1135名智力、精神和重度肢体残疾人；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0—17岁残疾儿童康复救助项目568人；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目标4：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贫困精神残疾人康复救助项目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433人；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目标5：残疾人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基本型辅具适配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13649人次；</w:t>
            </w:r>
          </w:p>
          <w:p>
            <w:pPr>
              <w:autoSpaceDN w:val="0"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目标6：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假肢、矫形器装配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212例；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目标7：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困难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残疾人家庭无障碍改造1001户</w:t>
            </w:r>
          </w:p>
          <w:p>
            <w:pPr>
              <w:autoSpaceDN w:val="0"/>
              <w:spacing w:line="320" w:lineRule="exact"/>
              <w:jc w:val="both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9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9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残疾人创业扶持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29名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残疾人托养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智力、精神和重度肢体残疾人；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2004名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2004名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0—17岁残疾儿童康复救助项目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541人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完成541人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贫困精神残疾人康复救助项目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400人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残疾人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基本型辅具适配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10280人次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已确定任务数10700人次，预计9月完成适配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6: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假肢、矫形器装配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287例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已确定任务数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287例，预计9月完成适配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省政府重点民生实事项目困难残疾人家庭无障碍改造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950户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1001户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指标1：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残疾人创业扶持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29名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指标2：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残疾人托养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智力、精神和重度肢体残疾人；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2004名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2004名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0—17岁残疾儿童康复救助项目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541人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完成541人，康复效果良好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贫困精神残疾人康复救助项目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400人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完成400名贫困精神残疾人住院及服药治疗，治疗效果良好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残疾人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基本型辅具适配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10280人次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tbl>
            <w:tblPr>
              <w:tblStyle w:val="6"/>
              <w:tblW w:w="27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2" w:hRule="exact"/>
                <w:jc w:val="center"/>
              </w:trPr>
              <w:tc>
                <w:tcPr>
                  <w:tcW w:w="272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280" w:lineRule="exact"/>
                    <w:jc w:val="both"/>
                    <w:textAlignment w:val="center"/>
                    <w:rPr>
                      <w:rFonts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lang w:val="en-US" w:eastAsia="zh-CN"/>
                    </w:rPr>
                    <w:t>已确定任务数10700人次，预计9月完成适配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假肢、矫形器装配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287例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已确定任务数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287例，预计9月完成适配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省政府重点民生实事困难残疾人家庭无障碍改造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950户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全市完成1001户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困难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残疾人家庭无障碍改造任务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指标1：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残疾人创业扶持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29名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2021年底完成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指标2：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残疾人托养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智力、精神和重度肢体残疾人；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2004名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2021年底完成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0—17岁残疾儿童康复救助项目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541人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2021年底完成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贫困精神残疾人康复救助项目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400人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2021年底完成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残疾人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基本型辅具适配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10280人次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tbl>
            <w:tblPr>
              <w:tblStyle w:val="6"/>
              <w:tblW w:w="27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4" w:hRule="exact"/>
                <w:jc w:val="center"/>
              </w:trPr>
              <w:tc>
                <w:tcPr>
                  <w:tcW w:w="272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280" w:lineRule="exact"/>
                    <w:jc w:val="both"/>
                    <w:textAlignment w:val="center"/>
                    <w:rPr>
                      <w:rFonts w:eastAsia="仿宋_GB2312"/>
                      <w:sz w:val="21"/>
                      <w:szCs w:val="21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auto"/>
                      <w:sz w:val="21"/>
                      <w:szCs w:val="21"/>
                      <w:lang w:val="en-US" w:eastAsia="zh-CN"/>
                    </w:rPr>
                    <w:t>已确定任务数10700人次，预计9月完成适配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假肢、矫形器装配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287例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已确定任务数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287例，预计9月完成适配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省政府重点民生实事困难残疾人家庭无障碍改造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950户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2021年底完成</w:t>
            </w:r>
          </w:p>
          <w:p>
            <w:pPr>
              <w:autoSpaceDN w:val="0"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指标1：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残疾人创业扶持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29名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21.35万元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指标2：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残疾人托养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智力、精神和重度肢体残疾人；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2004名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127.19万元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0—17岁残疾儿童康复救助项目541人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568人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both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144.2万（按照1500元每人每月的标准，中央、省级和地方财政按比例分摊）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贫困精神残疾人康复救助项目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400人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433人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both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34.35万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（按照住院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4000元每人，服药1000元每人的标准，市区两级按比例分摊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残疾人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基本型辅具适配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10280人次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假肢、矫形器装配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287例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指标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省政府重点民生实事困难残疾人家庭无障碍改造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950户</w:t>
            </w: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所有指标受助残疾人满意度95%以上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切实减轻了残疾人家庭经济负担，经济效益良好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指标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所有指标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受助残疾人满意度95%以上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所有指标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exac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8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所有指标受助残疾人满意度95%以上</w:t>
            </w:r>
          </w:p>
        </w:tc>
        <w:tc>
          <w:tcPr>
            <w:tcW w:w="10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27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N w:val="0"/>
              <w:spacing w:line="320" w:lineRule="exact"/>
              <w:jc w:val="left"/>
              <w:textAlignment w:val="center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受助残疾人满意度95%以上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73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73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6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李正望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副理事长、党组成员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市残联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戴述广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办公室主任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市残联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陈泽君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康复科科长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市残联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沈伟凤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教就科科长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市残联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尹纲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维权科副科长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市残联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杨晓洁</w:t>
            </w:r>
          </w:p>
        </w:tc>
        <w:tc>
          <w:tcPr>
            <w:tcW w:w="2332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办公室科员</w:t>
            </w:r>
          </w:p>
        </w:tc>
        <w:tc>
          <w:tcPr>
            <w:tcW w:w="2264" w:type="dxa"/>
            <w:gridSpan w:val="5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市残联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exact"/>
          <w:jc w:val="center"/>
        </w:trPr>
        <w:tc>
          <w:tcPr>
            <w:tcW w:w="9582" w:type="dxa"/>
            <w:gridSpan w:val="16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exact"/>
          <w:jc w:val="center"/>
        </w:trPr>
        <w:tc>
          <w:tcPr>
            <w:tcW w:w="9582" w:type="dxa"/>
            <w:gridSpan w:val="16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exact"/>
          <w:jc w:val="center"/>
        </w:trPr>
        <w:tc>
          <w:tcPr>
            <w:tcW w:w="9582" w:type="dxa"/>
            <w:gridSpan w:val="16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exact"/>
          <w:jc w:val="center"/>
        </w:trPr>
        <w:tc>
          <w:tcPr>
            <w:tcW w:w="9582" w:type="dxa"/>
            <w:gridSpan w:val="16"/>
            <w:tcBorders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eastAsia="仿宋_GB2312" w:cs="仿宋_GB2312"/>
          <w:bCs/>
          <w:sz w:val="28"/>
          <w:szCs w:val="28"/>
        </w:rPr>
      </w:pPr>
    </w:p>
    <w:p>
      <w:pPr>
        <w:rPr>
          <w:rFonts w:hint="eastAsia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杨晓洁</w:t>
      </w:r>
      <w:r>
        <w:rPr>
          <w:rFonts w:hint="eastAsia" w:eastAsia="仿宋_GB2312" w:cs="仿宋_GB2312"/>
          <w:bCs/>
          <w:sz w:val="28"/>
          <w:szCs w:val="28"/>
        </w:rPr>
        <w:t xml:space="preserve">         </w:t>
      </w:r>
      <w:bookmarkStart w:id="0" w:name="_GoBack"/>
      <w:bookmarkEnd w:id="0"/>
      <w:r>
        <w:rPr>
          <w:rFonts w:hint="eastAsia" w:eastAsia="仿宋_GB2312" w:cs="仿宋_GB2312"/>
          <w:bCs/>
          <w:sz w:val="28"/>
          <w:szCs w:val="28"/>
        </w:rPr>
        <w:t xml:space="preserve">        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仿宋_GB2312"/>
          <w:bCs/>
          <w:sz w:val="28"/>
          <w:szCs w:val="28"/>
        </w:rPr>
        <w:t>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0730-8708336</w:t>
      </w:r>
    </w:p>
    <w:tbl>
      <w:tblPr>
        <w:tblStyle w:val="6"/>
        <w:tblW w:w="93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项目基本概况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420" w:firstLineChars="2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年我会有编制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人，实有在职在编人员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人，退休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人，临聘人员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人。内部机构包括4个科室、2个中心（市残疾人就业管理服务中心和市残疾人康复管理服务中心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合并为残疾人服务中心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）。我会从事的工作包括残疾人康复、就业扶贫、教育、文化体育、助残宣传、维权信访、基层组织建设等等，工作内容涉及残疾人生活中的点点滴滴，汇聚了卫生、教育、民政、住建、体育、文化等诸多部门的职能。到1-12月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专项资金收入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1786.43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总支出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849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万元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（其中指标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拨区财政99.69万元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全市中心工作出新出彩。落实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省重点民生实事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方面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残疾儿童康复救助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项目任务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1000名，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实际完成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名，完成率155.4％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。岳阳楼区、平江县、临湘市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被省残联评为优秀等次县市区。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困难残疾人家庭无障碍改造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项目任务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950户，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实际完成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完成率1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5.4％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。岳阳县、临湘市、平江县被省残联评为优秀等次县市区。两项省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重点民生实事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良好民生效应和社会反响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，市残联被省残联评为优秀等次市州，被市政府评为全市实事办理先进单位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完成市政府重点工作方面，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“做好残疾儿童康复救助和残疾人托养服务工作”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写入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《政府工作报告》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市政府将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残疾人托养服务列为重点工作，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明确任务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2004名，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实际完成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2034名。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汨罗市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残疾人托养服务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流程规范、监管到位。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筹办省残运会方面，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充分认识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主办城市参赛成绩对于省残运会举办的特殊意义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扎实抓好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前期筹备和备战参赛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开展残疾人运动员选材和训练工作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。临湘市、湘阴县、岳阳县、平江县领导重视，组织得力，选拔效果好。全市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从1600多名残疾人中预选出153人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，已选送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60名运动员到长沙、株洲训练基地进行了为期6个月的集训。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运动员训练热情高、夺金信心足。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残联主责主业落实落细。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康复服务全面提升。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开展精准康复服务行动，为1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8573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名残疾人实施基本康复服务，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康复服务率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96.69%；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10699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名残疾人提供辅具适配服务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，辅具适配率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99.04%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教育助学持续推进。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名残疾学生、困难残疾人家庭子女提供助学补贴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200.48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41名残疾考生被高校录取。22名到省特教中专就读。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就业创业深入实施。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845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名残疾人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实用技术培训，扶持1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名残疾人自主创业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。就业援助月、转移就业、居家灵活就业等多措并举，帮助更多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残疾人实现就业增收。组队参加全省第四届残疾人岗位能手职业技能竞赛，1人获得第一名、被省人社厅授予“湖南省技术能手”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，代表湖南参加全国比赛获得第六名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组队参加湖南省第三届盲人保健按摩技能比武大赛，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6人参赛，4人获得“全省十强”，排名全省第三。华容县就业服务抓得主动。临湘市创业扶持做得扎实。岳阳县阳光增收抓出了成效。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示范引领更加广泛。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先后有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全国残疾人工作先进个人，4人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全省自强模范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集体和个人被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全省助残先进集体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我市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残疾人运动员在西安全国残运会上夺得一金三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银一铜的历史最好成绩。选送作品参加全省残疾人文化周活动，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2个、二等奖1个、三等奖2个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一批残疾人当选各级人大代表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、政协委员，积极参政议政。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权益保障更加充分。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11.7万名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残疾人参加城乡居民基本养老保险，参保率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92%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发放残疾人机动车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燃油补贴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6876名，补贴资金178.77万元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残疾人“两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项补贴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”惠及1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万人次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累计发放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补贴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近1亿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助残服务更加完善。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开展“联村联户、四帮四促”行动，直面残疾人困难需求，助力改善残疾人生活品质。市残疾人福利基金会实施助残公益项目1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个，筹集款物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340.9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万元，惠及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3万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名残疾人，助残公益慈善影响力不断提升。市爱心助残志愿者协会和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个爱心助残志愿者工作站，深入开展“把爱送进家”志愿服务活动29场次，帮扶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400余名困难残疾人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残联组织自身建设有位有为。残疾人事业发展支撑更加有力。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全年按比例安排残疾人就业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7914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新增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483人，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共征收入库残保金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7700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.8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万元，其中市本级入库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4019.99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万元，分别增长1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扎实开展残疾人基本服务状况和需求信息数据动态更新，全市共完成对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140401名残疾人和1901个村（社区）的数据调查录入，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大数据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作用初步显现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全年为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22700名残疾人提供办（换）证服务，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为2800人提供便民评残服务。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残疾人事业发展环境不断优化。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注重各种风险防控，保护残疾人个人信息安全。落实残疾人服务机构疫情防控和安全防范措施，为残疾人购买意外伤害保险。湘阴县为残疾人全员购买意外伤害保险，投保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36.6万元，赔付73.4万元，赔付率132.7%。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各专门协会充分发挥桥梁纽带作用，开展形式多样的活动，传递残疾人的心声诉求，将残疾人朋友联系团结得更加紧密。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各县市区残联开拓进取，大胆创新，形成了工作特色，打造了工作亮点，蓄积了加快发展的强劲动力。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2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项目组织实施情况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在部门资金使用过程中，市残联紧紧围绕市委市政府的中心工作，加强管理，使项目实施组织有序，质量标准较高，时间进度较快。主要体现在：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1、加强资金管理。对财政投入资金进行专户、专账、专人管理，厉行节约，专款专用。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2、加强项目责任管理。把工作任务责任到部门、责任到人，有效地加快了工作进度。</w:t>
            </w:r>
          </w:p>
          <w:p>
            <w:pPr>
              <w:spacing w:line="56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（四）综合评价情况及评价结论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年，市残联紧紧围绕市委、市政府的中心工作，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专项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目标完成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情况良好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，达到了预期的完满效果，自评情况为优秀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（五）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主要经验及做法、存在问题和建议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一是市本级残疾人服务机构设施建设仍有困难。我市残疾人工作总体上比较均衡，但就残疾人服务机构设施建设一直还是一块短板。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 w:firstLineChars="20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二是残疾人就业政策不平衡问题不容忽视。集中就业仍持续萎缩，残疾人职工数人数减少；辅助性就业与庇护照料的政策不平衡，机构建设推动难，涉残机构扶持力度不大难运行；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建议：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进一步加强对残疾人事业经费投入。建立稳定的残疾人事业经费投入保障机制，实现残疾人事业经费投入与经济发展同步增长。大力宣传残疾人事业，积极动员社会力量支持残疾人事业。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/>
    <w:p/>
    <w:p/>
    <w:p/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6"/>
        <w:tblW w:w="9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39BFF"/>
    <w:multiLevelType w:val="singleLevel"/>
    <w:tmpl w:val="99939BF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E5951"/>
    <w:rsid w:val="0B084ECF"/>
    <w:rsid w:val="19AE5951"/>
    <w:rsid w:val="1E1C0768"/>
    <w:rsid w:val="259D58DB"/>
    <w:rsid w:val="31F4695A"/>
    <w:rsid w:val="500E45FA"/>
    <w:rsid w:val="56531AF2"/>
    <w:rsid w:val="6E192314"/>
    <w:rsid w:val="75580E22"/>
    <w:rsid w:val="77D6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2021-06-08T07:21:00Z</dcterms:created>
  <dc:creator>YXJ</dc:creator>
  <cp:lastModifiedBy>YXJ</cp:lastModifiedBy>
  <cp:lastPrinted>2022-06-20T06:59:15Z</cp:lastPrinted>
  <dcterms:modified xsi:type="dcterms:W3CDTF">2022-06-20T09:45:55Z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