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37" w:type="dxa"/>
        <w:jc w:val="center"/>
        <w:tblLayout w:type="fixed"/>
        <w:tblCellMar>
          <w:top w:w="15" w:type="dxa"/>
          <w:left w:w="15" w:type="dxa"/>
          <w:bottom w:w="15" w:type="dxa"/>
          <w:right w:w="15" w:type="dxa"/>
        </w:tblCellMar>
      </w:tblPr>
      <w:tblGrid>
        <w:gridCol w:w="1260"/>
        <w:gridCol w:w="196"/>
        <w:gridCol w:w="1288"/>
        <w:gridCol w:w="531"/>
        <w:gridCol w:w="741"/>
        <w:gridCol w:w="124"/>
        <w:gridCol w:w="1141"/>
        <w:gridCol w:w="479"/>
        <w:gridCol w:w="566"/>
        <w:gridCol w:w="1083"/>
        <w:gridCol w:w="1083"/>
        <w:gridCol w:w="1045"/>
      </w:tblGrid>
      <w:tr>
        <w:tblPrEx>
          <w:tblCellMar>
            <w:top w:w="15" w:type="dxa"/>
            <w:left w:w="15" w:type="dxa"/>
            <w:bottom w:w="15" w:type="dxa"/>
            <w:right w:w="15" w:type="dxa"/>
          </w:tblCellMar>
        </w:tblPrEx>
        <w:trPr>
          <w:trHeight w:val="720" w:hRule="atLeast"/>
          <w:jc w:val="center"/>
        </w:trPr>
        <w:tc>
          <w:tcPr>
            <w:tcW w:w="9537" w:type="dxa"/>
            <w:gridSpan w:val="12"/>
            <w:noWrap w:val="0"/>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bidi="ar"/>
              </w:rPr>
              <w:t>部门整体支出绩效监控情况表</w:t>
            </w:r>
          </w:p>
        </w:tc>
      </w:tr>
      <w:tr>
        <w:tblPrEx>
          <w:tblCellMar>
            <w:top w:w="15" w:type="dxa"/>
            <w:left w:w="15" w:type="dxa"/>
            <w:bottom w:w="15" w:type="dxa"/>
            <w:right w:w="15" w:type="dxa"/>
          </w:tblCellMar>
        </w:tblPrEx>
        <w:trPr>
          <w:trHeight w:val="285" w:hRule="atLeast"/>
          <w:jc w:val="center"/>
        </w:trPr>
        <w:tc>
          <w:tcPr>
            <w:tcW w:w="3275" w:type="dxa"/>
            <w:gridSpan w:val="4"/>
            <w:noWrap w:val="0"/>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填报单位（盖章）</w:t>
            </w:r>
          </w:p>
        </w:tc>
        <w:tc>
          <w:tcPr>
            <w:tcW w:w="741" w:type="dxa"/>
            <w:noWrap w:val="0"/>
            <w:vAlign w:val="center"/>
          </w:tcPr>
          <w:p>
            <w:pPr>
              <w:jc w:val="left"/>
              <w:rPr>
                <w:rFonts w:hint="eastAsia" w:ascii="仿宋_GB2312" w:hAnsi="宋体" w:eastAsia="仿宋_GB2312" w:cs="仿宋_GB2312"/>
                <w:color w:val="000000"/>
                <w:sz w:val="22"/>
                <w:szCs w:val="22"/>
              </w:rPr>
            </w:pPr>
          </w:p>
        </w:tc>
        <w:tc>
          <w:tcPr>
            <w:tcW w:w="1744" w:type="dxa"/>
            <w:gridSpan w:val="3"/>
            <w:noWrap w:val="0"/>
            <w:vAlign w:val="center"/>
          </w:tcPr>
          <w:p>
            <w:pPr>
              <w:jc w:val="left"/>
              <w:rPr>
                <w:rFonts w:hint="eastAsia" w:ascii="仿宋_GB2312" w:hAnsi="宋体" w:eastAsia="仿宋_GB2312" w:cs="仿宋_GB2312"/>
                <w:color w:val="000000"/>
                <w:sz w:val="22"/>
                <w:szCs w:val="22"/>
              </w:rPr>
            </w:pPr>
          </w:p>
        </w:tc>
        <w:tc>
          <w:tcPr>
            <w:tcW w:w="3777" w:type="dxa"/>
            <w:gridSpan w:val="4"/>
            <w:noWrap w:val="0"/>
            <w:vAlign w:val="center"/>
          </w:tcPr>
          <w:p>
            <w:pPr>
              <w:widowControl/>
              <w:jc w:val="righ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跟踪期限：1-</w:t>
            </w:r>
            <w:r>
              <w:rPr>
                <w:rFonts w:hint="eastAsia" w:ascii="仿宋_GB2312" w:hAnsi="宋体" w:eastAsia="仿宋_GB2312" w:cs="仿宋_GB2312"/>
                <w:color w:val="000000"/>
                <w:kern w:val="0"/>
                <w:sz w:val="22"/>
                <w:szCs w:val="22"/>
                <w:u w:val="single"/>
                <w:lang w:bidi="ar"/>
              </w:rPr>
              <w:t xml:space="preserve"> </w:t>
            </w:r>
            <w:r>
              <w:rPr>
                <w:rFonts w:hint="eastAsia" w:ascii="仿宋_GB2312" w:hAnsi="宋体" w:eastAsia="仿宋_GB2312" w:cs="仿宋_GB2312"/>
                <w:color w:val="000000"/>
                <w:kern w:val="0"/>
                <w:sz w:val="22"/>
                <w:szCs w:val="22"/>
                <w:u w:val="single"/>
                <w:lang w:val="en-US" w:eastAsia="zh-CN" w:bidi="ar"/>
              </w:rPr>
              <w:t>11</w:t>
            </w:r>
            <w:r>
              <w:rPr>
                <w:rFonts w:hint="eastAsia" w:ascii="仿宋_GB2312" w:hAnsi="宋体" w:eastAsia="仿宋_GB2312" w:cs="仿宋_GB2312"/>
                <w:color w:val="000000"/>
                <w:kern w:val="0"/>
                <w:sz w:val="22"/>
                <w:szCs w:val="22"/>
                <w:u w:val="single"/>
                <w:lang w:bidi="ar"/>
              </w:rPr>
              <w:t xml:space="preserve"> </w:t>
            </w:r>
            <w:r>
              <w:rPr>
                <w:rFonts w:hint="eastAsia" w:ascii="仿宋_GB2312" w:hAnsi="宋体" w:eastAsia="仿宋_GB2312" w:cs="仿宋_GB2312"/>
                <w:color w:val="000000"/>
                <w:kern w:val="0"/>
                <w:sz w:val="22"/>
                <w:szCs w:val="22"/>
                <w:lang w:bidi="ar"/>
              </w:rPr>
              <w:t>月份</w:t>
            </w:r>
          </w:p>
        </w:tc>
      </w:tr>
      <w:tr>
        <w:tblPrEx>
          <w:tblCellMar>
            <w:top w:w="15" w:type="dxa"/>
            <w:left w:w="15" w:type="dxa"/>
            <w:bottom w:w="15" w:type="dxa"/>
            <w:right w:w="15" w:type="dxa"/>
          </w:tblCellMar>
        </w:tblPrEx>
        <w:trPr>
          <w:trHeight w:val="454"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基本情况</w:t>
            </w:r>
          </w:p>
        </w:tc>
        <w:tc>
          <w:tcPr>
            <w:tcW w:w="20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部门（单位）名称</w:t>
            </w:r>
          </w:p>
        </w:tc>
        <w:tc>
          <w:tcPr>
            <w:tcW w:w="24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sz w:val="22"/>
                <w:szCs w:val="22"/>
                <w:lang w:eastAsia="zh-CN"/>
              </w:rPr>
              <w:t>岳阳市城区文物保护中心</w:t>
            </w:r>
          </w:p>
        </w:tc>
        <w:tc>
          <w:tcPr>
            <w:tcW w:w="16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单位负责人</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sz w:val="22"/>
                <w:szCs w:val="22"/>
                <w:lang w:eastAsia="zh-CN"/>
              </w:rPr>
              <w:t>钟伟</w:t>
            </w:r>
          </w:p>
        </w:tc>
      </w:tr>
      <w:tr>
        <w:tblPrEx>
          <w:tblCellMar>
            <w:top w:w="15" w:type="dxa"/>
            <w:left w:w="15" w:type="dxa"/>
            <w:bottom w:w="15" w:type="dxa"/>
            <w:right w:w="15" w:type="dxa"/>
          </w:tblCellMar>
        </w:tblPrEx>
        <w:trPr>
          <w:trHeight w:val="54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0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预算安排资金</w:t>
            </w:r>
          </w:p>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（万元）</w:t>
            </w:r>
          </w:p>
        </w:tc>
        <w:tc>
          <w:tcPr>
            <w:tcW w:w="24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98.33</w:t>
            </w:r>
          </w:p>
        </w:tc>
        <w:tc>
          <w:tcPr>
            <w:tcW w:w="16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单位预算编码</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185001</w:t>
            </w: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0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人员编制</w:t>
            </w:r>
          </w:p>
        </w:tc>
        <w:tc>
          <w:tcPr>
            <w:tcW w:w="24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w:t>
            </w:r>
          </w:p>
        </w:tc>
        <w:tc>
          <w:tcPr>
            <w:tcW w:w="164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实有人数</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17</w:t>
            </w: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0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职能职责概述 </w:t>
            </w:r>
          </w:p>
        </w:tc>
        <w:tc>
          <w:tcPr>
            <w:tcW w:w="6262"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rPr>
            </w:pPr>
            <w:r>
              <w:rPr>
                <w:rFonts w:hint="eastAsia" w:eastAsia="仿宋_GB2312" w:cs="仿宋_GB2312"/>
                <w:sz w:val="24"/>
                <w:szCs w:val="24"/>
              </w:rPr>
              <w:t>负责岳阳中心城区全国重点文物保护单位和省级文物保护单位的维修</w:t>
            </w:r>
            <w:r>
              <w:rPr>
                <w:rFonts w:hint="eastAsia" w:eastAsia="仿宋_GB2312" w:cs="仿宋_GB2312"/>
                <w:sz w:val="24"/>
                <w:szCs w:val="24"/>
                <w:lang w:eastAsia="zh-CN"/>
              </w:rPr>
              <w:t>、</w:t>
            </w:r>
            <w:r>
              <w:rPr>
                <w:rFonts w:hint="eastAsia" w:eastAsia="仿宋_GB2312" w:cs="仿宋_GB2312"/>
                <w:sz w:val="24"/>
                <w:szCs w:val="24"/>
              </w:rPr>
              <w:t>保护和开发</w:t>
            </w:r>
            <w:r>
              <w:rPr>
                <w:rFonts w:hint="eastAsia" w:eastAsia="仿宋_GB2312" w:cs="仿宋_GB2312"/>
                <w:sz w:val="24"/>
                <w:szCs w:val="24"/>
                <w:lang w:eastAsia="zh-CN"/>
              </w:rPr>
              <w:t>。</w:t>
            </w:r>
            <w:r>
              <w:rPr>
                <w:rFonts w:hint="eastAsia" w:eastAsia="仿宋_GB2312" w:cs="仿宋_GB2312"/>
                <w:sz w:val="24"/>
                <w:szCs w:val="24"/>
              </w:rPr>
              <w:t>利用文物古建筑场所进行文物展示</w:t>
            </w:r>
            <w:r>
              <w:rPr>
                <w:rFonts w:hint="eastAsia" w:eastAsia="仿宋_GB2312" w:cs="仿宋_GB2312"/>
                <w:sz w:val="24"/>
                <w:szCs w:val="24"/>
                <w:lang w:eastAsia="zh-CN"/>
              </w:rPr>
              <w:t>、</w:t>
            </w:r>
            <w:r>
              <w:rPr>
                <w:rFonts w:hint="eastAsia" w:eastAsia="仿宋_GB2312" w:cs="仿宋_GB2312"/>
                <w:sz w:val="24"/>
                <w:szCs w:val="24"/>
              </w:rPr>
              <w:t>举办陈列展览和各类文化活动。</w:t>
            </w:r>
          </w:p>
        </w:tc>
      </w:tr>
      <w:tr>
        <w:tblPrEx>
          <w:tblCellMar>
            <w:top w:w="15" w:type="dxa"/>
            <w:left w:w="15" w:type="dxa"/>
            <w:bottom w:w="15" w:type="dxa"/>
            <w:right w:w="15" w:type="dxa"/>
          </w:tblCellMar>
        </w:tblPrEx>
        <w:trPr>
          <w:trHeight w:val="2297"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组织管理</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情况</w:t>
            </w:r>
          </w:p>
        </w:tc>
        <w:tc>
          <w:tcPr>
            <w:tcW w:w="28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单位已有的（或正在拟订的）制度</w:t>
            </w:r>
          </w:p>
        </w:tc>
        <w:tc>
          <w:tcPr>
            <w:tcW w:w="5397"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财务管理制度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内部工作规程</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岗位责任制度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专项资金管理办法</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项目实施管理办法</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工作流程图或操作细则</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w:t>
            </w:r>
            <w:r>
              <w:rPr>
                <w:rFonts w:hint="eastAsia" w:ascii="仿宋_GB2312" w:hAnsi="宋体" w:eastAsia="仿宋_GB2312" w:cs="仿宋_GB2312"/>
                <w:color w:val="000000"/>
                <w:kern w:val="0"/>
                <w:sz w:val="22"/>
                <w:szCs w:val="22"/>
                <w:lang w:bidi="ar"/>
              </w:rPr>
              <w:sym w:font="Wingdings 2" w:char="0052"/>
            </w:r>
            <w:r>
              <w:rPr>
                <w:rFonts w:hint="eastAsia" w:ascii="仿宋_GB2312" w:hAnsi="宋体" w:eastAsia="仿宋_GB2312" w:cs="仿宋_GB2312"/>
                <w:color w:val="000000"/>
                <w:kern w:val="0"/>
                <w:sz w:val="22"/>
                <w:szCs w:val="22"/>
                <w:lang w:bidi="ar"/>
              </w:rPr>
              <w:t>其他（请补充）</w:t>
            </w:r>
            <w:r>
              <w:rPr>
                <w:rFonts w:hint="eastAsia" w:ascii="仿宋_GB2312" w:hAnsi="宋体" w:eastAsia="仿宋_GB2312" w:cs="仿宋_GB2312"/>
                <w:color w:val="000000"/>
                <w:kern w:val="0"/>
                <w:sz w:val="22"/>
                <w:szCs w:val="22"/>
                <w:u w:val="single"/>
                <w:lang w:bidi="ar"/>
              </w:rPr>
              <w:t xml:space="preserve"> </w:t>
            </w:r>
            <w:r>
              <w:rPr>
                <w:rFonts w:hint="eastAsia" w:ascii="仿宋_GB2312" w:hAnsi="宋体" w:eastAsia="仿宋_GB2312" w:cs="仿宋_GB2312"/>
                <w:color w:val="000000"/>
                <w:kern w:val="0"/>
                <w:sz w:val="22"/>
                <w:szCs w:val="22"/>
                <w:u w:val="single"/>
                <w:lang w:eastAsia="zh-CN" w:bidi="ar"/>
              </w:rPr>
              <w:t>搭建内部控制体系</w:t>
            </w:r>
            <w:r>
              <w:rPr>
                <w:rFonts w:hint="eastAsia" w:ascii="仿宋_GB2312" w:hAnsi="宋体" w:eastAsia="仿宋_GB2312" w:cs="仿宋_GB2312"/>
                <w:color w:val="000000"/>
                <w:kern w:val="0"/>
                <w:sz w:val="22"/>
                <w:szCs w:val="22"/>
                <w:u w:val="single"/>
                <w:lang w:bidi="ar"/>
              </w:rPr>
              <w:t xml:space="preserve">   </w:t>
            </w:r>
          </w:p>
        </w:tc>
      </w:tr>
      <w:tr>
        <w:tblPrEx>
          <w:tblCellMar>
            <w:top w:w="15" w:type="dxa"/>
            <w:left w:w="15" w:type="dxa"/>
            <w:bottom w:w="15" w:type="dxa"/>
            <w:right w:w="15" w:type="dxa"/>
          </w:tblCellMar>
        </w:tblPrEx>
        <w:trPr>
          <w:trHeight w:val="43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8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单位已有（或拟订）的措施</w:t>
            </w:r>
          </w:p>
        </w:tc>
        <w:tc>
          <w:tcPr>
            <w:tcW w:w="5397"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sz w:val="22"/>
                <w:szCs w:val="22"/>
                <w:lang w:eastAsia="zh-CN"/>
              </w:rPr>
              <w:t>搭建并完善了单位内部控制体系</w:t>
            </w:r>
          </w:p>
        </w:tc>
      </w:tr>
      <w:tr>
        <w:tblPrEx>
          <w:tblCellMar>
            <w:top w:w="15" w:type="dxa"/>
            <w:left w:w="15" w:type="dxa"/>
            <w:bottom w:w="15" w:type="dxa"/>
            <w:right w:w="15" w:type="dxa"/>
          </w:tblCellMar>
        </w:tblPrEx>
        <w:trPr>
          <w:trHeight w:val="454"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（万元）</w:t>
            </w:r>
            <w:r>
              <w:rPr>
                <w:rFonts w:hint="eastAsia" w:ascii="仿宋_GB2312" w:hAnsi="宋体" w:eastAsia="仿宋_GB2312" w:cs="仿宋_GB2312"/>
                <w:b/>
                <w:color w:val="000000"/>
                <w:kern w:val="0"/>
                <w:sz w:val="22"/>
                <w:szCs w:val="22"/>
                <w:lang w:bidi="ar"/>
              </w:rPr>
              <w:br w:type="textWrapping"/>
            </w:r>
            <w:r>
              <w:rPr>
                <w:rFonts w:hint="eastAsia" w:ascii="仿宋_GB2312" w:hAnsi="宋体" w:eastAsia="仿宋_GB2312" w:cs="仿宋_GB2312"/>
                <w:b/>
                <w:color w:val="000000"/>
                <w:kern w:val="0"/>
                <w:sz w:val="22"/>
                <w:szCs w:val="22"/>
                <w:lang w:bidi="ar"/>
              </w:rPr>
              <w:t>资金安排</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使用情况</w:t>
            </w:r>
          </w:p>
        </w:tc>
        <w:tc>
          <w:tcPr>
            <w:tcW w:w="14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支出机构</w:t>
            </w:r>
          </w:p>
        </w:tc>
        <w:tc>
          <w:tcPr>
            <w:tcW w:w="139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支出合计</w:t>
            </w:r>
          </w:p>
        </w:tc>
        <w:tc>
          <w:tcPr>
            <w:tcW w:w="435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其中：</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b/>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3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基本支出</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其中：</w:t>
            </w: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项目支出</w:t>
            </w:r>
          </w:p>
        </w:tc>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结余</w:t>
            </w: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3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人员支出</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公用支出</w:t>
            </w: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r>
      <w:tr>
        <w:tblPrEx>
          <w:tblCellMar>
            <w:top w:w="15" w:type="dxa"/>
            <w:left w:w="15" w:type="dxa"/>
            <w:bottom w:w="15" w:type="dxa"/>
            <w:right w:w="15" w:type="dxa"/>
          </w:tblCellMar>
        </w:tblPrEx>
        <w:trPr>
          <w:trHeight w:val="34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局机关及二级机构汇总</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98.33</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82.97</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74.93</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8.04</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tabs>
                <w:tab w:val="left" w:pos="519"/>
              </w:tabs>
              <w:jc w:val="left"/>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eastAsia="zh-CN"/>
              </w:rPr>
              <w:tab/>
            </w:r>
            <w:r>
              <w:rPr>
                <w:rFonts w:hint="eastAsia" w:ascii="仿宋_GB2312" w:hAnsi="宋体" w:eastAsia="仿宋_GB2312" w:cs="仿宋_GB2312"/>
                <w:color w:val="000000"/>
                <w:sz w:val="22"/>
                <w:szCs w:val="22"/>
                <w:lang w:val="en-US" w:eastAsia="zh-CN"/>
              </w:rPr>
              <w:t>0</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15.36</w:t>
            </w: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1、局机关</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2、二级机构1</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机构名称</w:t>
            </w:r>
          </w:p>
        </w:tc>
        <w:tc>
          <w:tcPr>
            <w:tcW w:w="139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三公经费</w:t>
            </w:r>
          </w:p>
        </w:tc>
        <w:tc>
          <w:tcPr>
            <w:tcW w:w="435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其中：</w:t>
            </w:r>
          </w:p>
        </w:tc>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会议费</w:t>
            </w:r>
          </w:p>
        </w:tc>
      </w:tr>
      <w:tr>
        <w:tblPrEx>
          <w:tblCellMar>
            <w:top w:w="15" w:type="dxa"/>
            <w:left w:w="15" w:type="dxa"/>
            <w:bottom w:w="15" w:type="dxa"/>
            <w:right w:w="15" w:type="dxa"/>
          </w:tblCellMar>
        </w:tblPrEx>
        <w:trPr>
          <w:trHeight w:val="54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3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公务接待费</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公务用车</w:t>
            </w:r>
            <w:r>
              <w:rPr>
                <w:rFonts w:hint="eastAsia" w:ascii="仿宋_GB2312" w:hAnsi="宋体" w:eastAsia="仿宋_GB2312" w:cs="仿宋_GB2312"/>
                <w:b/>
                <w:color w:val="000000"/>
                <w:kern w:val="0"/>
                <w:sz w:val="22"/>
                <w:szCs w:val="22"/>
                <w:lang w:bidi="ar"/>
              </w:rPr>
              <w:br w:type="textWrapping"/>
            </w:r>
            <w:r>
              <w:rPr>
                <w:rFonts w:hint="eastAsia" w:ascii="仿宋_GB2312" w:hAnsi="宋体" w:eastAsia="仿宋_GB2312" w:cs="仿宋_GB2312"/>
                <w:b/>
                <w:color w:val="000000"/>
                <w:kern w:val="0"/>
                <w:sz w:val="22"/>
                <w:szCs w:val="22"/>
                <w:lang w:bidi="ar"/>
              </w:rPr>
              <w:t>运维费</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公务用车</w:t>
            </w:r>
            <w:r>
              <w:rPr>
                <w:rFonts w:hint="eastAsia" w:ascii="仿宋_GB2312" w:hAnsi="宋体" w:eastAsia="仿宋_GB2312" w:cs="仿宋_GB2312"/>
                <w:b/>
                <w:color w:val="000000"/>
                <w:kern w:val="0"/>
                <w:sz w:val="22"/>
                <w:szCs w:val="22"/>
                <w:lang w:bidi="ar"/>
              </w:rPr>
              <w:br w:type="textWrapping"/>
            </w:r>
            <w:r>
              <w:rPr>
                <w:rFonts w:hint="eastAsia" w:ascii="仿宋_GB2312" w:hAnsi="宋体" w:eastAsia="仿宋_GB2312" w:cs="仿宋_GB2312"/>
                <w:b/>
                <w:color w:val="000000"/>
                <w:kern w:val="0"/>
                <w:sz w:val="22"/>
                <w:szCs w:val="22"/>
                <w:lang w:bidi="ar"/>
              </w:rPr>
              <w:t>购置费</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因公出国费</w:t>
            </w:r>
          </w:p>
        </w:tc>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r>
      <w:tr>
        <w:tblPrEx>
          <w:tblCellMar>
            <w:top w:w="15" w:type="dxa"/>
            <w:left w:w="15" w:type="dxa"/>
            <w:bottom w:w="15" w:type="dxa"/>
            <w:right w:w="15" w:type="dxa"/>
          </w:tblCellMar>
        </w:tblPrEx>
        <w:trPr>
          <w:trHeight w:val="54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局机关及二级机构汇总</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1、局机关</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（万元）</w:t>
            </w:r>
          </w:p>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资金安排</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使用情况</w:t>
            </w:r>
          </w:p>
        </w:tc>
        <w:tc>
          <w:tcPr>
            <w:tcW w:w="14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机构名称</w:t>
            </w:r>
          </w:p>
        </w:tc>
        <w:tc>
          <w:tcPr>
            <w:tcW w:w="139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固定资产</w:t>
            </w:r>
          </w:p>
        </w:tc>
        <w:tc>
          <w:tcPr>
            <w:tcW w:w="5397"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其中：</w:t>
            </w: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3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在用固定资产</w:t>
            </w: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出租固定资产</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其他</w:t>
            </w: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局机关及二级机构汇总</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23.00</w:t>
            </w: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23.00</w:t>
            </w: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0</w:t>
            </w: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0</w:t>
            </w: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1、局机关</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2、二级机构1</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bookmarkStart w:id="0" w:name="_GoBack"/>
            <w:bookmarkEnd w:id="0"/>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   二级机构2</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04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729"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（定量指标）</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年度绩效目标完成情况</w:t>
            </w: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主要绩效目标内容</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kern w:val="0"/>
                <w:sz w:val="22"/>
                <w:szCs w:val="22"/>
                <w:lang w:bidi="ar"/>
              </w:rPr>
            </w:pPr>
            <w:r>
              <w:rPr>
                <w:rFonts w:hint="eastAsia" w:ascii="仿宋_GB2312" w:hAnsi="宋体" w:eastAsia="仿宋_GB2312" w:cs="仿宋_GB2312"/>
                <w:b/>
                <w:color w:val="000000"/>
                <w:kern w:val="0"/>
                <w:sz w:val="22"/>
                <w:szCs w:val="22"/>
                <w:lang w:bidi="ar"/>
              </w:rPr>
              <w:t>绩效</w:t>
            </w:r>
          </w:p>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目标值</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完成率</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未完成情况说明</w:t>
            </w:r>
          </w:p>
        </w:tc>
      </w:tr>
      <w:tr>
        <w:tblPrEx>
          <w:tblCellMar>
            <w:top w:w="15" w:type="dxa"/>
            <w:left w:w="15" w:type="dxa"/>
            <w:bottom w:w="15" w:type="dxa"/>
            <w:right w:w="15" w:type="dxa"/>
          </w:tblCellMar>
        </w:tblPrEx>
        <w:trPr>
          <w:trHeight w:val="73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r>
              <w:rPr>
                <w:rFonts w:hint="eastAsia" w:ascii="仿宋" w:hAnsi="仿宋" w:eastAsia="仿宋" w:cs="仿宋"/>
                <w:sz w:val="24"/>
                <w:szCs w:val="24"/>
              </w:rPr>
              <w:t>对中心城区全国文物保护单位和省级文物保护单位检查巡视</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sz w:val="22"/>
                <w:szCs w:val="22"/>
                <w:lang w:eastAsia="zh-CN"/>
              </w:rPr>
              <w:t>每天</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100%</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spacing w:after="0"/>
              <w:jc w:val="both"/>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r>
              <w:rPr>
                <w:rFonts w:hint="eastAsia" w:eastAsia="仿宋_GB2312" w:cs="仿宋_GB2312"/>
                <w:sz w:val="24"/>
                <w:szCs w:val="24"/>
              </w:rPr>
              <w:t>市级以上文保单位完好率</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80%</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sz w:val="22"/>
                <w:szCs w:val="22"/>
                <w:lang w:eastAsia="zh-CN"/>
              </w:rPr>
              <w:t>财政未拨付文物保护单位日常维保资金</w:t>
            </w: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r>
              <w:rPr>
                <w:rFonts w:hint="eastAsia" w:eastAsia="仿宋_GB2312" w:cs="仿宋_GB2312"/>
                <w:sz w:val="24"/>
                <w:szCs w:val="24"/>
              </w:rPr>
              <w:t>文物维修合格率</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100%</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4"/>
                <w:szCs w:val="24"/>
                <w:lang w:eastAsia="zh-CN"/>
              </w:rPr>
            </w:pPr>
            <w:r>
              <w:rPr>
                <w:rFonts w:hint="eastAsia" w:ascii="仿宋_GB2312" w:hAnsi="宋体" w:eastAsia="仿宋_GB2312" w:cs="仿宋_GB2312"/>
                <w:color w:val="000000"/>
                <w:kern w:val="0"/>
                <w:sz w:val="24"/>
                <w:szCs w:val="24"/>
                <w:lang w:bidi="ar"/>
              </w:rPr>
              <w:t>4、</w:t>
            </w:r>
            <w:r>
              <w:rPr>
                <w:rFonts w:hint="eastAsia" w:ascii="仿宋_GB2312" w:hAnsi="宋体" w:eastAsia="仿宋_GB2312" w:cs="仿宋_GB2312"/>
                <w:color w:val="000000"/>
                <w:kern w:val="0"/>
                <w:sz w:val="24"/>
                <w:szCs w:val="24"/>
                <w:lang w:eastAsia="zh-CN" w:bidi="ar"/>
              </w:rPr>
              <w:t>开展文物保护专题宣传活动</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4"/>
                <w:szCs w:val="24"/>
                <w:lang w:val="en-US" w:eastAsia="zh-CN"/>
              </w:rPr>
            </w:pPr>
            <w:r>
              <w:rPr>
                <w:rFonts w:hint="eastAsia" w:ascii="仿宋_GB2312" w:hAnsi="宋体" w:eastAsia="仿宋_GB2312" w:cs="仿宋_GB2312"/>
                <w:color w:val="000000"/>
                <w:sz w:val="24"/>
                <w:szCs w:val="24"/>
                <w:lang w:val="en-US" w:eastAsia="zh-CN"/>
              </w:rPr>
              <w:t>4</w:t>
            </w:r>
          </w:p>
        </w:tc>
        <w:tc>
          <w:tcPr>
            <w:tcW w:w="10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_GB2312" w:hAnsi="宋体" w:eastAsia="仿宋_GB2312" w:cs="仿宋_GB2312"/>
                <w:color w:val="000000"/>
                <w:sz w:val="24"/>
                <w:szCs w:val="24"/>
                <w:lang w:val="en-US" w:eastAsia="zh-CN"/>
              </w:rPr>
            </w:pPr>
            <w:r>
              <w:rPr>
                <w:rFonts w:hint="eastAsia" w:ascii="仿宋_GB2312" w:hAnsi="宋体" w:eastAsia="仿宋_GB2312" w:cs="仿宋_GB2312"/>
                <w:color w:val="000000"/>
                <w:sz w:val="24"/>
                <w:szCs w:val="24"/>
                <w:lang w:val="en-US" w:eastAsia="zh-CN"/>
              </w:rPr>
              <w:t>4</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2"/>
                <w:szCs w:val="22"/>
              </w:rPr>
            </w:pPr>
          </w:p>
        </w:tc>
        <w:tc>
          <w:tcPr>
            <w:tcW w:w="40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5、</w:t>
            </w:r>
            <w:r>
              <w:rPr>
                <w:rFonts w:hint="eastAsia" w:eastAsia="仿宋_GB2312" w:cs="仿宋_GB2312"/>
                <w:sz w:val="24"/>
                <w:szCs w:val="24"/>
              </w:rPr>
              <w:t>文保单位满意率</w:t>
            </w:r>
          </w:p>
        </w:tc>
        <w:tc>
          <w:tcPr>
            <w:tcW w:w="1045"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100%</w:t>
            </w:r>
          </w:p>
        </w:tc>
        <w:tc>
          <w:tcPr>
            <w:tcW w:w="1083"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100%</w:t>
            </w:r>
          </w:p>
        </w:tc>
        <w:tc>
          <w:tcPr>
            <w:tcW w:w="21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454" w:hRule="atLeast"/>
          <w:jc w:val="center"/>
        </w:trPr>
        <w:tc>
          <w:tcPr>
            <w:tcW w:w="9537"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color w:val="000000"/>
                <w:sz w:val="22"/>
                <w:szCs w:val="22"/>
              </w:rPr>
            </w:pPr>
            <w:r>
              <w:rPr>
                <w:rFonts w:hint="eastAsia" w:ascii="仿宋_GB2312" w:hAnsi="宋体" w:eastAsia="仿宋_GB2312" w:cs="宋体"/>
                <w:b/>
                <w:color w:val="000000"/>
                <w:kern w:val="0"/>
                <w:sz w:val="22"/>
                <w:szCs w:val="22"/>
                <w:lang w:bidi="ar"/>
              </w:rPr>
              <w:t>监  控  报  告</w:t>
            </w:r>
          </w:p>
        </w:tc>
      </w:tr>
      <w:tr>
        <w:tblPrEx>
          <w:tblCellMar>
            <w:top w:w="15" w:type="dxa"/>
            <w:left w:w="15" w:type="dxa"/>
            <w:bottom w:w="15" w:type="dxa"/>
            <w:right w:w="15" w:type="dxa"/>
          </w:tblCellMar>
        </w:tblPrEx>
        <w:trPr>
          <w:trHeight w:val="907" w:hRule="atLeast"/>
          <w:jc w:val="center"/>
        </w:trPr>
        <w:tc>
          <w:tcPr>
            <w:tcW w:w="274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存在的主要问题</w:t>
            </w:r>
          </w:p>
        </w:tc>
        <w:tc>
          <w:tcPr>
            <w:tcW w:w="6793"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left"/>
              <w:textAlignment w:val="center"/>
              <w:rPr>
                <w:rFonts w:hint="eastAsia" w:eastAsia="仿宋_GB2312" w:cs="仿宋_GB2312"/>
                <w:sz w:val="24"/>
                <w:szCs w:val="24"/>
              </w:rPr>
            </w:pPr>
            <w:r>
              <w:rPr>
                <w:rFonts w:hint="eastAsia" w:eastAsia="仿宋_GB2312" w:cs="仿宋_GB2312"/>
                <w:sz w:val="24"/>
                <w:szCs w:val="24"/>
              </w:rPr>
              <w:t>单位在职</w:t>
            </w:r>
            <w:r>
              <w:rPr>
                <w:rFonts w:eastAsia="仿宋_GB2312"/>
                <w:sz w:val="24"/>
                <w:szCs w:val="24"/>
              </w:rPr>
              <w:t>1</w:t>
            </w:r>
            <w:r>
              <w:rPr>
                <w:rFonts w:hint="eastAsia" w:eastAsia="仿宋_GB2312"/>
                <w:sz w:val="24"/>
                <w:szCs w:val="24"/>
                <w:lang w:val="en-US" w:eastAsia="zh-CN"/>
              </w:rPr>
              <w:t>0</w:t>
            </w:r>
            <w:r>
              <w:rPr>
                <w:rFonts w:hint="eastAsia" w:eastAsia="仿宋_GB2312" w:cs="仿宋_GB2312"/>
                <w:sz w:val="24"/>
                <w:szCs w:val="24"/>
              </w:rPr>
              <w:t>人，</w:t>
            </w:r>
            <w:r>
              <w:rPr>
                <w:rFonts w:eastAsia="仿宋_GB2312"/>
                <w:sz w:val="24"/>
                <w:szCs w:val="24"/>
              </w:rPr>
              <w:t>8</w:t>
            </w:r>
            <w:r>
              <w:rPr>
                <w:rFonts w:hint="eastAsia" w:eastAsia="仿宋_GB2312" w:cs="仿宋_GB2312"/>
                <w:sz w:val="24"/>
                <w:szCs w:val="24"/>
              </w:rPr>
              <w:t>个全额编的绩效、福利</w:t>
            </w:r>
            <w:r>
              <w:rPr>
                <w:rFonts w:hint="eastAsia" w:eastAsia="仿宋_GB2312" w:cs="仿宋_GB2312"/>
                <w:sz w:val="24"/>
                <w:szCs w:val="24"/>
                <w:lang w:eastAsia="zh-CN"/>
              </w:rPr>
              <w:t>；</w:t>
            </w:r>
            <w:r>
              <w:rPr>
                <w:rFonts w:hint="eastAsia" w:eastAsia="仿宋_GB2312" w:cs="仿宋_GB2312"/>
                <w:sz w:val="24"/>
                <w:szCs w:val="24"/>
                <w:lang w:val="en-US" w:eastAsia="zh-CN"/>
              </w:rPr>
              <w:t>2</w:t>
            </w:r>
            <w:r>
              <w:rPr>
                <w:rFonts w:hint="eastAsia" w:eastAsia="仿宋_GB2312" w:cs="仿宋_GB2312"/>
                <w:sz w:val="24"/>
                <w:szCs w:val="24"/>
              </w:rPr>
              <w:t>个超编（定额补助）的工资、社保、福利</w:t>
            </w:r>
            <w:r>
              <w:rPr>
                <w:rFonts w:hint="eastAsia" w:eastAsia="仿宋_GB2312" w:cs="仿宋_GB2312"/>
                <w:sz w:val="24"/>
                <w:szCs w:val="24"/>
                <w:lang w:eastAsia="zh-CN"/>
              </w:rPr>
              <w:t>及</w:t>
            </w:r>
            <w:r>
              <w:rPr>
                <w:rFonts w:hint="eastAsia" w:eastAsia="仿宋_GB2312" w:cs="仿宋_GB2312"/>
                <w:sz w:val="24"/>
                <w:szCs w:val="24"/>
                <w:lang w:val="en-US" w:eastAsia="zh-CN"/>
              </w:rPr>
              <w:t>3个临聘人员的劳务费</w:t>
            </w:r>
            <w:r>
              <w:rPr>
                <w:rFonts w:hint="eastAsia" w:eastAsia="仿宋_GB2312" w:cs="仿宋_GB2312"/>
                <w:sz w:val="24"/>
                <w:szCs w:val="24"/>
              </w:rPr>
              <w:t>需要</w:t>
            </w:r>
            <w:r>
              <w:rPr>
                <w:rFonts w:hint="eastAsia" w:eastAsia="仿宋_GB2312" w:cs="仿宋_GB2312"/>
                <w:sz w:val="24"/>
                <w:szCs w:val="24"/>
                <w:lang w:eastAsia="zh-CN"/>
              </w:rPr>
              <w:t>靠非税收入成本来弥补。因所管门面于</w:t>
            </w:r>
            <w:r>
              <w:rPr>
                <w:rFonts w:hint="eastAsia" w:eastAsia="仿宋_GB2312" w:cs="仿宋_GB2312"/>
                <w:sz w:val="24"/>
                <w:szCs w:val="24"/>
                <w:lang w:val="en-US" w:eastAsia="zh-CN"/>
              </w:rPr>
              <w:t>2020年上交市机关事务管理局统一管理，市机关事务管理局分配走20%的非税收入成本，剩余40%非税收入成本难以满足单位人员及公用等基本支出</w:t>
            </w:r>
            <w:r>
              <w:rPr>
                <w:rFonts w:hint="eastAsia" w:eastAsia="仿宋_GB2312" w:cs="仿宋_GB2312"/>
                <w:sz w:val="24"/>
                <w:szCs w:val="24"/>
              </w:rPr>
              <w:t>。</w:t>
            </w:r>
          </w:p>
          <w:p>
            <w:pPr>
              <w:widowControl/>
              <w:numPr>
                <w:ilvl w:val="0"/>
                <w:numId w:val="1"/>
              </w:numPr>
              <w:jc w:val="left"/>
              <w:textAlignment w:val="center"/>
              <w:rPr>
                <w:rFonts w:hint="eastAsia" w:eastAsia="仿宋_GB2312" w:cs="仿宋_GB2312"/>
                <w:sz w:val="24"/>
                <w:szCs w:val="24"/>
              </w:rPr>
            </w:pPr>
            <w:r>
              <w:rPr>
                <w:rFonts w:hint="eastAsia" w:eastAsia="仿宋_GB2312" w:cs="仿宋_GB2312"/>
                <w:sz w:val="24"/>
                <w:szCs w:val="24"/>
                <w:lang w:eastAsia="zh-CN"/>
              </w:rPr>
              <w:t>市财政未拨付单位文物保护单位日常维护保养费用，文物保护点的日常维护费用需要占用非税收入成本。</w:t>
            </w:r>
          </w:p>
        </w:tc>
      </w:tr>
      <w:tr>
        <w:tblPrEx>
          <w:tblCellMar>
            <w:top w:w="15" w:type="dxa"/>
            <w:left w:w="15" w:type="dxa"/>
            <w:bottom w:w="15" w:type="dxa"/>
            <w:right w:w="15" w:type="dxa"/>
          </w:tblCellMar>
        </w:tblPrEx>
        <w:trPr>
          <w:trHeight w:val="907" w:hRule="atLeast"/>
          <w:jc w:val="center"/>
        </w:trPr>
        <w:tc>
          <w:tcPr>
            <w:tcW w:w="274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改进建议或意见</w:t>
            </w:r>
          </w:p>
        </w:tc>
        <w:tc>
          <w:tcPr>
            <w:tcW w:w="6793"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
              </w:numPr>
              <w:jc w:val="left"/>
              <w:textAlignment w:val="center"/>
              <w:rPr>
                <w:rFonts w:hint="eastAsia" w:ascii="仿宋_GB2312" w:hAnsi="宋体" w:eastAsia="仿宋_GB2312" w:cs="楷体_GB2312"/>
                <w:color w:val="000000"/>
                <w:kern w:val="0"/>
                <w:sz w:val="22"/>
                <w:szCs w:val="22"/>
                <w:lang w:val="en-US" w:eastAsia="zh-CN" w:bidi="ar"/>
              </w:rPr>
            </w:pPr>
            <w:r>
              <w:rPr>
                <w:rFonts w:hint="eastAsia" w:ascii="仿宋_GB2312" w:hAnsi="宋体" w:eastAsia="仿宋_GB2312" w:cs="楷体_GB2312"/>
                <w:color w:val="000000"/>
                <w:kern w:val="0"/>
                <w:sz w:val="22"/>
                <w:szCs w:val="22"/>
                <w:lang w:val="en-US" w:eastAsia="zh-CN" w:bidi="ar"/>
              </w:rPr>
              <w:t>解决单位2个超编人员的全额编制，并给予3个临聘人员工勤编的定额补助。</w:t>
            </w:r>
          </w:p>
          <w:p>
            <w:pPr>
              <w:widowControl/>
              <w:numPr>
                <w:ilvl w:val="0"/>
                <w:numId w:val="2"/>
              </w:numPr>
              <w:jc w:val="left"/>
              <w:textAlignment w:val="center"/>
              <w:rPr>
                <w:rFonts w:hint="eastAsia" w:ascii="仿宋_GB2312" w:hAnsi="宋体" w:eastAsia="仿宋_GB2312" w:cs="楷体_GB2312"/>
                <w:color w:val="000000"/>
                <w:sz w:val="22"/>
                <w:szCs w:val="22"/>
              </w:rPr>
            </w:pPr>
            <w:r>
              <w:rPr>
                <w:rFonts w:hint="eastAsia" w:ascii="仿宋_GB2312" w:hAnsi="宋体" w:eastAsia="仿宋_GB2312" w:cs="楷体_GB2312"/>
                <w:color w:val="000000"/>
                <w:kern w:val="0"/>
                <w:sz w:val="22"/>
                <w:szCs w:val="22"/>
                <w:lang w:bidi="ar"/>
              </w:rPr>
              <w:t>进一步规范管理，</w:t>
            </w:r>
            <w:r>
              <w:rPr>
                <w:rFonts w:hint="eastAsia" w:ascii="仿宋_GB2312" w:hAnsi="宋体" w:eastAsia="仿宋_GB2312" w:cs="楷体_GB2312"/>
                <w:color w:val="000000"/>
                <w:kern w:val="0"/>
                <w:sz w:val="22"/>
                <w:szCs w:val="22"/>
                <w:lang w:eastAsia="zh-CN" w:bidi="ar"/>
              </w:rPr>
              <w:t>按照文物保护单位日常维护标准给予财政拨款</w:t>
            </w:r>
            <w:r>
              <w:rPr>
                <w:rFonts w:hint="eastAsia" w:ascii="仿宋_GB2312" w:hAnsi="宋体" w:eastAsia="仿宋_GB2312" w:cs="楷体_GB2312"/>
                <w:color w:val="000000"/>
                <w:kern w:val="0"/>
                <w:sz w:val="22"/>
                <w:szCs w:val="22"/>
                <w:lang w:bidi="ar"/>
              </w:rPr>
              <w:t>。</w:t>
            </w:r>
          </w:p>
        </w:tc>
      </w:tr>
      <w:tr>
        <w:tblPrEx>
          <w:tblCellMar>
            <w:top w:w="15" w:type="dxa"/>
            <w:left w:w="15" w:type="dxa"/>
            <w:bottom w:w="15" w:type="dxa"/>
            <w:right w:w="15" w:type="dxa"/>
          </w:tblCellMar>
        </w:tblPrEx>
        <w:trPr>
          <w:trHeight w:val="510" w:hRule="atLeast"/>
          <w:jc w:val="center"/>
        </w:trPr>
        <w:tc>
          <w:tcPr>
            <w:tcW w:w="2744" w:type="dxa"/>
            <w:gridSpan w:val="3"/>
            <w:tcBorders>
              <w:top w:val="single" w:color="000000" w:sz="4" w:space="0"/>
            </w:tcBorders>
            <w:noWrap w:val="0"/>
            <w:vAlign w:val="center"/>
          </w:tcPr>
          <w:p>
            <w:pPr>
              <w:widowControl/>
              <w:ind w:firstLine="110" w:firstLineChars="50"/>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单位负责人：</w:t>
            </w:r>
          </w:p>
        </w:tc>
        <w:tc>
          <w:tcPr>
            <w:tcW w:w="1272" w:type="dxa"/>
            <w:gridSpan w:val="2"/>
            <w:noWrap w:val="0"/>
            <w:vAlign w:val="center"/>
          </w:tcPr>
          <w:p>
            <w:pPr>
              <w:rPr>
                <w:rFonts w:hint="eastAsia" w:ascii="仿宋_GB2312" w:hAnsi="宋体" w:eastAsia="仿宋_GB2312" w:cs="仿宋_GB2312"/>
                <w:color w:val="000000"/>
                <w:sz w:val="22"/>
                <w:szCs w:val="22"/>
              </w:rPr>
            </w:pPr>
          </w:p>
        </w:tc>
        <w:tc>
          <w:tcPr>
            <w:tcW w:w="1265" w:type="dxa"/>
            <w:gridSpan w:val="2"/>
            <w:noWrap w:val="0"/>
            <w:vAlign w:val="center"/>
          </w:tcPr>
          <w:p>
            <w:pPr>
              <w:rPr>
                <w:rFonts w:hint="eastAsia" w:ascii="仿宋_GB2312" w:hAnsi="宋体" w:eastAsia="仿宋_GB2312" w:cs="仿宋_GB2312"/>
                <w:color w:val="000000"/>
                <w:sz w:val="22"/>
                <w:szCs w:val="22"/>
              </w:rPr>
            </w:pPr>
          </w:p>
        </w:tc>
        <w:tc>
          <w:tcPr>
            <w:tcW w:w="2128" w:type="dxa"/>
            <w:gridSpan w:val="3"/>
            <w:tcBorders>
              <w:top w:val="single" w:color="000000" w:sz="4" w:space="0"/>
            </w:tcBorders>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填报人：</w:t>
            </w:r>
          </w:p>
        </w:tc>
        <w:tc>
          <w:tcPr>
            <w:tcW w:w="1083" w:type="dxa"/>
            <w:noWrap w:val="0"/>
            <w:vAlign w:val="center"/>
          </w:tcPr>
          <w:p>
            <w:pPr>
              <w:rPr>
                <w:rFonts w:hint="eastAsia" w:ascii="仿宋_GB2312" w:hAnsi="宋体" w:eastAsia="仿宋_GB2312" w:cs="仿宋_GB2312"/>
                <w:color w:val="000000"/>
                <w:sz w:val="22"/>
                <w:szCs w:val="22"/>
              </w:rPr>
            </w:pPr>
          </w:p>
        </w:tc>
        <w:tc>
          <w:tcPr>
            <w:tcW w:w="1045" w:type="dxa"/>
            <w:noWrap w:val="0"/>
            <w:vAlign w:val="bottom"/>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510" w:hRule="atLeast"/>
          <w:jc w:val="center"/>
        </w:trPr>
        <w:tc>
          <w:tcPr>
            <w:tcW w:w="2744" w:type="dxa"/>
            <w:gridSpan w:val="3"/>
            <w:noWrap w:val="0"/>
            <w:vAlign w:val="center"/>
          </w:tcPr>
          <w:p>
            <w:pPr>
              <w:widowControl/>
              <w:ind w:firstLine="110" w:firstLineChars="50"/>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联系电话：</w:t>
            </w:r>
          </w:p>
        </w:tc>
        <w:tc>
          <w:tcPr>
            <w:tcW w:w="1272" w:type="dxa"/>
            <w:gridSpan w:val="2"/>
            <w:noWrap w:val="0"/>
            <w:vAlign w:val="center"/>
          </w:tcPr>
          <w:p>
            <w:pPr>
              <w:rPr>
                <w:rFonts w:hint="eastAsia" w:ascii="仿宋_GB2312" w:hAnsi="宋体" w:eastAsia="仿宋_GB2312" w:cs="仿宋_GB2312"/>
                <w:color w:val="000000"/>
                <w:sz w:val="22"/>
                <w:szCs w:val="22"/>
              </w:rPr>
            </w:pPr>
          </w:p>
        </w:tc>
        <w:tc>
          <w:tcPr>
            <w:tcW w:w="1265" w:type="dxa"/>
            <w:gridSpan w:val="2"/>
            <w:noWrap w:val="0"/>
            <w:vAlign w:val="center"/>
          </w:tcPr>
          <w:p>
            <w:pPr>
              <w:rPr>
                <w:rFonts w:hint="eastAsia" w:ascii="仿宋_GB2312" w:hAnsi="宋体" w:eastAsia="仿宋_GB2312" w:cs="仿宋_GB2312"/>
                <w:color w:val="000000"/>
                <w:sz w:val="22"/>
                <w:szCs w:val="22"/>
              </w:rPr>
            </w:pPr>
          </w:p>
        </w:tc>
        <w:tc>
          <w:tcPr>
            <w:tcW w:w="2128" w:type="dxa"/>
            <w:gridSpan w:val="3"/>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联系电话：</w:t>
            </w:r>
          </w:p>
        </w:tc>
        <w:tc>
          <w:tcPr>
            <w:tcW w:w="1083" w:type="dxa"/>
            <w:noWrap w:val="0"/>
            <w:vAlign w:val="center"/>
          </w:tcPr>
          <w:p>
            <w:pPr>
              <w:rPr>
                <w:rFonts w:hint="eastAsia" w:ascii="仿宋_GB2312" w:hAnsi="宋体" w:eastAsia="仿宋_GB2312" w:cs="仿宋_GB2312"/>
                <w:color w:val="000000"/>
                <w:sz w:val="22"/>
                <w:szCs w:val="22"/>
              </w:rPr>
            </w:pPr>
          </w:p>
        </w:tc>
        <w:tc>
          <w:tcPr>
            <w:tcW w:w="1045" w:type="dxa"/>
            <w:noWrap w:val="0"/>
            <w:vAlign w:val="bottom"/>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510" w:hRule="atLeast"/>
          <w:jc w:val="center"/>
        </w:trPr>
        <w:tc>
          <w:tcPr>
            <w:tcW w:w="1456" w:type="dxa"/>
            <w:gridSpan w:val="2"/>
            <w:noWrap w:val="0"/>
            <w:vAlign w:val="center"/>
          </w:tcPr>
          <w:p>
            <w:pPr>
              <w:rPr>
                <w:rFonts w:hint="eastAsia" w:ascii="仿宋_GB2312" w:hAnsi="宋体" w:eastAsia="仿宋_GB2312" w:cs="仿宋_GB2312"/>
                <w:color w:val="000000"/>
                <w:sz w:val="22"/>
                <w:szCs w:val="22"/>
              </w:rPr>
            </w:pPr>
          </w:p>
        </w:tc>
        <w:tc>
          <w:tcPr>
            <w:tcW w:w="1288" w:type="dxa"/>
            <w:noWrap w:val="0"/>
            <w:vAlign w:val="center"/>
          </w:tcPr>
          <w:p>
            <w:pPr>
              <w:rPr>
                <w:rFonts w:hint="eastAsia" w:ascii="仿宋_GB2312" w:hAnsi="宋体" w:eastAsia="仿宋_GB2312" w:cs="仿宋_GB2312"/>
                <w:color w:val="000000"/>
                <w:sz w:val="22"/>
                <w:szCs w:val="22"/>
              </w:rPr>
            </w:pPr>
          </w:p>
        </w:tc>
        <w:tc>
          <w:tcPr>
            <w:tcW w:w="1272" w:type="dxa"/>
            <w:gridSpan w:val="2"/>
            <w:noWrap w:val="0"/>
            <w:vAlign w:val="center"/>
          </w:tcPr>
          <w:p>
            <w:pPr>
              <w:rPr>
                <w:rFonts w:hint="eastAsia" w:ascii="仿宋_GB2312" w:hAnsi="宋体" w:eastAsia="仿宋_GB2312" w:cs="仿宋_GB2312"/>
                <w:color w:val="000000"/>
                <w:sz w:val="22"/>
                <w:szCs w:val="22"/>
              </w:rPr>
            </w:pPr>
          </w:p>
        </w:tc>
        <w:tc>
          <w:tcPr>
            <w:tcW w:w="1265" w:type="dxa"/>
            <w:gridSpan w:val="2"/>
            <w:noWrap w:val="0"/>
            <w:vAlign w:val="center"/>
          </w:tcPr>
          <w:p>
            <w:pPr>
              <w:rPr>
                <w:rFonts w:hint="eastAsia" w:ascii="仿宋_GB2312" w:hAnsi="宋体" w:eastAsia="仿宋_GB2312" w:cs="仿宋_GB2312"/>
                <w:color w:val="000000"/>
                <w:sz w:val="22"/>
                <w:szCs w:val="22"/>
              </w:rPr>
            </w:pPr>
          </w:p>
        </w:tc>
        <w:tc>
          <w:tcPr>
            <w:tcW w:w="4256" w:type="dxa"/>
            <w:gridSpan w:val="5"/>
            <w:noWrap w:val="0"/>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填报时间：      年     月     日</w:t>
            </w:r>
          </w:p>
        </w:tc>
      </w:tr>
    </w:tbl>
    <w:p>
      <w:pPr>
        <w:spacing w:line="200" w:lineRule="exact"/>
        <w:rPr>
          <w:rFonts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E395C"/>
    <w:multiLevelType w:val="singleLevel"/>
    <w:tmpl w:val="312E395C"/>
    <w:lvl w:ilvl="0" w:tentative="0">
      <w:start w:val="1"/>
      <w:numFmt w:val="decimal"/>
      <w:suff w:val="nothing"/>
      <w:lvlText w:val="%1、"/>
      <w:lvlJc w:val="left"/>
    </w:lvl>
  </w:abstractNum>
  <w:abstractNum w:abstractNumId="1">
    <w:nsid w:val="61A8393B"/>
    <w:multiLevelType w:val="singleLevel"/>
    <w:tmpl w:val="61A8393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F4818"/>
    <w:rsid w:val="0720258E"/>
    <w:rsid w:val="080F0CF9"/>
    <w:rsid w:val="0EF87FE7"/>
    <w:rsid w:val="10434259"/>
    <w:rsid w:val="117B0A68"/>
    <w:rsid w:val="129A024B"/>
    <w:rsid w:val="13B47F0B"/>
    <w:rsid w:val="146470B2"/>
    <w:rsid w:val="14DC5343"/>
    <w:rsid w:val="14FD3FC8"/>
    <w:rsid w:val="176610F1"/>
    <w:rsid w:val="1921366C"/>
    <w:rsid w:val="19F5721E"/>
    <w:rsid w:val="1AD80ADD"/>
    <w:rsid w:val="1C3050A1"/>
    <w:rsid w:val="1CF21134"/>
    <w:rsid w:val="1DEC2B61"/>
    <w:rsid w:val="1EF57637"/>
    <w:rsid w:val="226C62DD"/>
    <w:rsid w:val="241332FB"/>
    <w:rsid w:val="24A0566F"/>
    <w:rsid w:val="2A547021"/>
    <w:rsid w:val="2B74582D"/>
    <w:rsid w:val="2E0C6B65"/>
    <w:rsid w:val="2FE75729"/>
    <w:rsid w:val="30365655"/>
    <w:rsid w:val="3104451D"/>
    <w:rsid w:val="317F5425"/>
    <w:rsid w:val="336B799B"/>
    <w:rsid w:val="3C703F8A"/>
    <w:rsid w:val="3D9019FE"/>
    <w:rsid w:val="3DA87149"/>
    <w:rsid w:val="3DB059F5"/>
    <w:rsid w:val="3EFD32C1"/>
    <w:rsid w:val="3FF875DD"/>
    <w:rsid w:val="40503C2B"/>
    <w:rsid w:val="44AB5590"/>
    <w:rsid w:val="4B304925"/>
    <w:rsid w:val="4D321EEE"/>
    <w:rsid w:val="4F592FD6"/>
    <w:rsid w:val="4F867AEF"/>
    <w:rsid w:val="515452AE"/>
    <w:rsid w:val="534E3D10"/>
    <w:rsid w:val="564567DC"/>
    <w:rsid w:val="56FF590B"/>
    <w:rsid w:val="57AB4543"/>
    <w:rsid w:val="5EE7142A"/>
    <w:rsid w:val="62E605B6"/>
    <w:rsid w:val="64422555"/>
    <w:rsid w:val="6542686F"/>
    <w:rsid w:val="66814299"/>
    <w:rsid w:val="66D35DC7"/>
    <w:rsid w:val="6B184184"/>
    <w:rsid w:val="6BD919CA"/>
    <w:rsid w:val="6BDC6EB0"/>
    <w:rsid w:val="6C4E178F"/>
    <w:rsid w:val="6CF66573"/>
    <w:rsid w:val="6D4070E1"/>
    <w:rsid w:val="6D9C66B8"/>
    <w:rsid w:val="6ECD2EFE"/>
    <w:rsid w:val="6F326387"/>
    <w:rsid w:val="6FEA07E6"/>
    <w:rsid w:val="71646D8C"/>
    <w:rsid w:val="716C3AF1"/>
    <w:rsid w:val="71966AD2"/>
    <w:rsid w:val="72026CAE"/>
    <w:rsid w:val="72C6397D"/>
    <w:rsid w:val="745D4BE7"/>
    <w:rsid w:val="78E66B80"/>
    <w:rsid w:val="7D2F1C92"/>
    <w:rsid w:val="7D3F4AFA"/>
    <w:rsid w:val="7EE50F72"/>
    <w:rsid w:val="7F1E5436"/>
    <w:rsid w:val="7F8C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仿宋_GB2312" w:eastAsia="仿宋_GB2312" w:cs="仿宋_GB2312"/>
      <w:color w:val="000000"/>
      <w:sz w:val="22"/>
      <w:szCs w:val="22"/>
      <w:u w:val="single"/>
    </w:rPr>
  </w:style>
  <w:style w:type="character" w:customStyle="1" w:styleId="5">
    <w:name w:val="font31"/>
    <w:basedOn w:val="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2020-12-15T07:08:00Z</dcterms:created>
  <dc:creator>Administrator</dc:creator>
  <cp:lastModifiedBy>Administrator</cp:lastModifiedBy>
  <dcterms:modified xsi:type="dcterms:W3CDTF">2020-12-17T04:24:01Z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