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黑体" w:hAnsi="宋体" w:eastAsia="黑体" w:cs="宋体"/>
          <w:bCs/>
          <w:kern w:val="0"/>
          <w:sz w:val="32"/>
          <w:szCs w:val="32"/>
        </w:rPr>
      </w:pPr>
      <w:r>
        <w:rPr>
          <w:rFonts w:hint="eastAsia" w:ascii="黑体" w:hAnsi="宋体" w:eastAsia="黑体" w:cs="宋体"/>
          <w:bCs/>
          <w:kern w:val="0"/>
          <w:sz w:val="32"/>
          <w:szCs w:val="32"/>
        </w:rPr>
        <w:t>附件4</w:t>
      </w:r>
      <w:bookmarkStart w:id="0" w:name="_GoBack"/>
      <w:bookmarkEnd w:id="0"/>
    </w:p>
    <w:tbl>
      <w:tblPr>
        <w:tblStyle w:val="2"/>
        <w:tblpPr w:leftFromText="180" w:rightFromText="180" w:vertAnchor="text" w:horzAnchor="page" w:tblpX="1173" w:tblpY="747"/>
        <w:tblOverlap w:val="never"/>
        <w:tblW w:w="9537" w:type="dxa"/>
        <w:tblInd w:w="0" w:type="dxa"/>
        <w:tblLayout w:type="fixed"/>
        <w:tblCellMar>
          <w:top w:w="15" w:type="dxa"/>
          <w:left w:w="15" w:type="dxa"/>
          <w:bottom w:w="15" w:type="dxa"/>
          <w:right w:w="15" w:type="dxa"/>
        </w:tblCellMar>
      </w:tblPr>
      <w:tblGrid>
        <w:gridCol w:w="1260"/>
        <w:gridCol w:w="196"/>
        <w:gridCol w:w="1273"/>
        <w:gridCol w:w="691"/>
        <w:gridCol w:w="596"/>
        <w:gridCol w:w="124"/>
        <w:gridCol w:w="1141"/>
        <w:gridCol w:w="479"/>
        <w:gridCol w:w="566"/>
        <w:gridCol w:w="1083"/>
        <w:gridCol w:w="1083"/>
        <w:gridCol w:w="1045"/>
      </w:tblGrid>
      <w:tr>
        <w:tblPrEx>
          <w:tblCellMar>
            <w:top w:w="15" w:type="dxa"/>
            <w:left w:w="15" w:type="dxa"/>
            <w:bottom w:w="15" w:type="dxa"/>
            <w:right w:w="15" w:type="dxa"/>
          </w:tblCellMar>
        </w:tblPrEx>
        <w:trPr>
          <w:trHeight w:val="720" w:hRule="atLeast"/>
        </w:trPr>
        <w:tc>
          <w:tcPr>
            <w:tcW w:w="9537" w:type="dxa"/>
            <w:gridSpan w:val="12"/>
            <w:noWrap w:val="0"/>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lang w:bidi="ar"/>
              </w:rPr>
              <w:t>部门整体支出绩效监控情况表</w:t>
            </w:r>
          </w:p>
        </w:tc>
      </w:tr>
      <w:tr>
        <w:tblPrEx>
          <w:tblCellMar>
            <w:top w:w="15" w:type="dxa"/>
            <w:left w:w="15" w:type="dxa"/>
            <w:bottom w:w="15" w:type="dxa"/>
            <w:right w:w="15" w:type="dxa"/>
          </w:tblCellMar>
        </w:tblPrEx>
        <w:trPr>
          <w:trHeight w:val="285" w:hRule="atLeast"/>
        </w:trPr>
        <w:tc>
          <w:tcPr>
            <w:tcW w:w="3420" w:type="dxa"/>
            <w:gridSpan w:val="4"/>
            <w:noWrap w:val="0"/>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填报单位（盖章）</w:t>
            </w:r>
            <w:r>
              <w:rPr>
                <w:rFonts w:hint="eastAsia" w:ascii="仿宋_GB2312" w:hAnsi="宋体" w:eastAsia="仿宋_GB2312" w:cs="仿宋_GB2312"/>
                <w:color w:val="000000"/>
                <w:sz w:val="22"/>
                <w:szCs w:val="22"/>
                <w:lang w:eastAsia="zh-CN"/>
              </w:rPr>
              <w:t>岳阳市文化市场综合行政执法支队</w:t>
            </w:r>
          </w:p>
        </w:tc>
        <w:tc>
          <w:tcPr>
            <w:tcW w:w="596" w:type="dxa"/>
            <w:noWrap w:val="0"/>
            <w:vAlign w:val="center"/>
          </w:tcPr>
          <w:p>
            <w:pPr>
              <w:jc w:val="left"/>
              <w:rPr>
                <w:rFonts w:hint="eastAsia" w:ascii="仿宋_GB2312" w:hAnsi="宋体" w:eastAsia="仿宋_GB2312" w:cs="仿宋_GB2312"/>
                <w:color w:val="000000"/>
                <w:sz w:val="22"/>
                <w:szCs w:val="22"/>
              </w:rPr>
            </w:pPr>
          </w:p>
        </w:tc>
        <w:tc>
          <w:tcPr>
            <w:tcW w:w="1744" w:type="dxa"/>
            <w:gridSpan w:val="3"/>
            <w:noWrap w:val="0"/>
            <w:vAlign w:val="center"/>
          </w:tcPr>
          <w:p>
            <w:pPr>
              <w:jc w:val="left"/>
              <w:rPr>
                <w:rFonts w:hint="eastAsia" w:ascii="仿宋_GB2312" w:hAnsi="宋体" w:eastAsia="仿宋_GB2312" w:cs="仿宋_GB2312"/>
                <w:color w:val="000000"/>
                <w:sz w:val="22"/>
                <w:szCs w:val="22"/>
              </w:rPr>
            </w:pPr>
          </w:p>
        </w:tc>
        <w:tc>
          <w:tcPr>
            <w:tcW w:w="3777" w:type="dxa"/>
            <w:gridSpan w:val="4"/>
            <w:noWrap w:val="0"/>
            <w:vAlign w:val="center"/>
          </w:tcPr>
          <w:p>
            <w:pPr>
              <w:widowControl/>
              <w:jc w:val="righ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跟踪期限：1-</w:t>
            </w:r>
            <w:r>
              <w:rPr>
                <w:rFonts w:hint="eastAsia" w:ascii="仿宋_GB2312" w:hAnsi="宋体" w:eastAsia="仿宋_GB2312" w:cs="仿宋_GB2312"/>
                <w:color w:val="000000"/>
                <w:kern w:val="0"/>
                <w:sz w:val="22"/>
                <w:szCs w:val="22"/>
                <w:u w:val="single"/>
                <w:lang w:bidi="ar"/>
              </w:rPr>
              <w:t xml:space="preserve"> </w:t>
            </w:r>
            <w:r>
              <w:rPr>
                <w:rFonts w:hint="eastAsia" w:ascii="仿宋_GB2312" w:hAnsi="宋体" w:eastAsia="仿宋_GB2312" w:cs="仿宋_GB2312"/>
                <w:color w:val="000000"/>
                <w:kern w:val="0"/>
                <w:sz w:val="22"/>
                <w:szCs w:val="22"/>
                <w:u w:val="single"/>
                <w:lang w:val="en-US" w:eastAsia="zh-CN" w:bidi="ar"/>
              </w:rPr>
              <w:t>11</w:t>
            </w:r>
            <w:r>
              <w:rPr>
                <w:rFonts w:hint="eastAsia" w:ascii="仿宋_GB2312" w:hAnsi="宋体" w:eastAsia="仿宋_GB2312" w:cs="仿宋_GB2312"/>
                <w:color w:val="000000"/>
                <w:kern w:val="0"/>
                <w:sz w:val="22"/>
                <w:szCs w:val="22"/>
                <w:u w:val="single"/>
                <w:lang w:bidi="ar"/>
              </w:rPr>
              <w:t xml:space="preserve"> </w:t>
            </w:r>
            <w:r>
              <w:rPr>
                <w:rFonts w:hint="eastAsia" w:ascii="仿宋_GB2312" w:hAnsi="宋体" w:eastAsia="仿宋_GB2312" w:cs="仿宋_GB2312"/>
                <w:color w:val="000000"/>
                <w:kern w:val="0"/>
                <w:sz w:val="22"/>
                <w:szCs w:val="22"/>
                <w:lang w:bidi="ar"/>
              </w:rPr>
              <w:t>月份</w:t>
            </w:r>
          </w:p>
        </w:tc>
      </w:tr>
      <w:tr>
        <w:tblPrEx>
          <w:tblCellMar>
            <w:top w:w="15" w:type="dxa"/>
            <w:left w:w="15" w:type="dxa"/>
            <w:bottom w:w="15" w:type="dxa"/>
            <w:right w:w="15" w:type="dxa"/>
          </w:tblCellMar>
        </w:tblPrEx>
        <w:trPr>
          <w:trHeight w:val="454"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基本情况</w:t>
            </w:r>
          </w:p>
        </w:tc>
        <w:tc>
          <w:tcPr>
            <w:tcW w:w="216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部门（单位）名称</w:t>
            </w:r>
          </w:p>
        </w:tc>
        <w:tc>
          <w:tcPr>
            <w:tcW w:w="234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lang w:eastAsia="zh-CN"/>
              </w:rPr>
            </w:pPr>
            <w:r>
              <w:rPr>
                <w:rFonts w:hint="eastAsia" w:ascii="仿宋_GB2312" w:hAnsi="宋体" w:eastAsia="仿宋_GB2312" w:cs="仿宋_GB2312"/>
                <w:color w:val="000000"/>
                <w:sz w:val="22"/>
                <w:szCs w:val="22"/>
                <w:lang w:eastAsia="zh-CN"/>
              </w:rPr>
              <w:t>岳阳市文化市场综合行政执法支队</w:t>
            </w:r>
          </w:p>
        </w:tc>
        <w:tc>
          <w:tcPr>
            <w:tcW w:w="16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单位负责人</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lang w:eastAsia="zh-CN"/>
              </w:rPr>
            </w:pPr>
            <w:r>
              <w:rPr>
                <w:rFonts w:hint="eastAsia" w:ascii="仿宋_GB2312" w:hAnsi="宋体" w:eastAsia="仿宋_GB2312" w:cs="仿宋_GB2312"/>
                <w:color w:val="000000"/>
                <w:sz w:val="22"/>
                <w:szCs w:val="22"/>
                <w:lang w:eastAsia="zh-CN"/>
              </w:rPr>
              <w:t>谭建武</w:t>
            </w:r>
          </w:p>
        </w:tc>
      </w:tr>
      <w:tr>
        <w:tblPrEx>
          <w:tblCellMar>
            <w:top w:w="15" w:type="dxa"/>
            <w:left w:w="15" w:type="dxa"/>
            <w:bottom w:w="15" w:type="dxa"/>
            <w:right w:w="15" w:type="dxa"/>
          </w:tblCellMar>
        </w:tblPrEx>
        <w:trPr>
          <w:trHeight w:val="54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216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预算安排资金</w:t>
            </w:r>
          </w:p>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（万元）</w:t>
            </w:r>
          </w:p>
        </w:tc>
        <w:tc>
          <w:tcPr>
            <w:tcW w:w="234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584.8</w:t>
            </w:r>
          </w:p>
        </w:tc>
        <w:tc>
          <w:tcPr>
            <w:tcW w:w="16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单位预算编码</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r>
              <w:rPr>
                <w:rFonts w:hint="eastAsia" w:ascii="仿宋_GB2312" w:hAnsi="宋体" w:eastAsia="仿宋_GB2312" w:cs="宋体"/>
                <w:lang w:val="en-US" w:eastAsia="zh-CN"/>
              </w:rPr>
              <w:t>113001</w:t>
            </w:r>
          </w:p>
        </w:tc>
      </w:tr>
      <w:tr>
        <w:tblPrEx>
          <w:tblCellMar>
            <w:top w:w="15" w:type="dxa"/>
            <w:left w:w="15" w:type="dxa"/>
            <w:bottom w:w="15" w:type="dxa"/>
            <w:right w:w="15" w:type="dxa"/>
          </w:tblCellMar>
        </w:tblPrEx>
        <w:trPr>
          <w:trHeight w:val="454"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216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人员编制</w:t>
            </w:r>
          </w:p>
        </w:tc>
        <w:tc>
          <w:tcPr>
            <w:tcW w:w="234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61</w:t>
            </w:r>
          </w:p>
        </w:tc>
        <w:tc>
          <w:tcPr>
            <w:tcW w:w="16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实有人数</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55</w:t>
            </w:r>
          </w:p>
        </w:tc>
      </w:tr>
      <w:tr>
        <w:tblPrEx>
          <w:tblCellMar>
            <w:top w:w="15" w:type="dxa"/>
            <w:left w:w="15" w:type="dxa"/>
            <w:bottom w:w="15" w:type="dxa"/>
            <w:right w:w="15" w:type="dxa"/>
          </w:tblCellMar>
        </w:tblPrEx>
        <w:trPr>
          <w:trHeight w:val="454"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216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职能职责概述 </w:t>
            </w:r>
          </w:p>
        </w:tc>
        <w:tc>
          <w:tcPr>
            <w:tcW w:w="6117" w:type="dxa"/>
            <w:gridSpan w:val="8"/>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宋体"/>
              </w:rPr>
            </w:pPr>
            <w:r>
              <w:rPr>
                <w:rFonts w:hint="eastAsia" w:ascii="仿宋_GB2312" w:hAnsi="宋体" w:eastAsia="仿宋_GB2312" w:cs="宋体"/>
              </w:rPr>
              <w:t>（一）贯彻执行党和国家有关文化、广播影视、新闻出版管理的法律、法规和方针、政策；研究拟订全市文化市场行政执法工作的总体规划、规范性文件和年度计划，并组织实施。</w:t>
            </w:r>
          </w:p>
          <w:p>
            <w:pPr>
              <w:jc w:val="both"/>
              <w:rPr>
                <w:rFonts w:hint="eastAsia" w:ascii="仿宋_GB2312" w:hAnsi="宋体" w:eastAsia="仿宋_GB2312" w:cs="宋体"/>
              </w:rPr>
            </w:pPr>
            <w:r>
              <w:rPr>
                <w:rFonts w:hint="eastAsia" w:ascii="仿宋_GB2312" w:hAnsi="宋体" w:eastAsia="仿宋_GB2312" w:cs="宋体"/>
              </w:rPr>
              <w:t>（二）依据有关法律、法规、规章和政策规定，行使对文化市场管理的行政处罚权，以及与行政处罚权相关的行政强制权和行</w:t>
            </w:r>
            <w:r>
              <w:rPr>
                <w:rFonts w:hint="eastAsia" w:ascii="仿宋_GB2312" w:hAnsi="宋体" w:eastAsia="仿宋_GB2312" w:cs="宋体"/>
                <w:lang w:val="en-US" w:eastAsia="zh-CN"/>
              </w:rPr>
              <w:t xml:space="preserve"> </w:t>
            </w:r>
            <w:r>
              <w:rPr>
                <w:rFonts w:hint="eastAsia" w:ascii="仿宋_GB2312" w:hAnsi="宋体" w:eastAsia="仿宋_GB2312" w:cs="宋体"/>
              </w:rPr>
              <w:t>政检查权。</w:t>
            </w:r>
          </w:p>
          <w:p>
            <w:pPr>
              <w:jc w:val="both"/>
              <w:rPr>
                <w:rFonts w:hint="eastAsia" w:ascii="仿宋_GB2312" w:hAnsi="宋体" w:eastAsia="仿宋_GB2312" w:cs="宋体"/>
              </w:rPr>
            </w:pPr>
            <w:r>
              <w:rPr>
                <w:rFonts w:hint="eastAsia" w:ascii="仿宋_GB2312" w:hAnsi="宋体" w:eastAsia="仿宋_GB2312" w:cs="宋体"/>
              </w:rPr>
              <w:t>（三）承担市“扫黄打非”工作领导小组办公室的日常工作；组织开展“扫黄打非”集中行动和出版物等文化市场专项整治；负责全市行政执法中出版物的鉴定工作。</w:t>
            </w:r>
          </w:p>
          <w:p>
            <w:pPr>
              <w:jc w:val="both"/>
              <w:rPr>
                <w:rFonts w:hint="eastAsia" w:ascii="仿宋_GB2312" w:hAnsi="宋体" w:eastAsia="仿宋_GB2312" w:cs="宋体"/>
              </w:rPr>
            </w:pPr>
            <w:r>
              <w:rPr>
                <w:rFonts w:hint="eastAsia" w:ascii="仿宋_GB2312" w:hAnsi="宋体" w:eastAsia="仿宋_GB2312" w:cs="宋体"/>
              </w:rPr>
              <w:t>（四）承担湖南省文化厅、湖南省广播电视局、湖南省新闻出版局交办的执法任务及案件的查处；负责跨省、市区域重大案件的查处。</w:t>
            </w:r>
          </w:p>
          <w:p>
            <w:pPr>
              <w:jc w:val="both"/>
              <w:rPr>
                <w:rFonts w:hint="eastAsia" w:ascii="仿宋_GB2312" w:hAnsi="宋体" w:eastAsia="仿宋_GB2312" w:cs="宋体"/>
              </w:rPr>
            </w:pPr>
            <w:r>
              <w:rPr>
                <w:rFonts w:hint="eastAsia" w:ascii="仿宋_GB2312" w:hAnsi="宋体" w:eastAsia="仿宋_GB2312" w:cs="宋体"/>
              </w:rPr>
              <w:t>（五）承担全市企事业单位软件正版化工作的执法检查和查处各类侵权盗版案件。</w:t>
            </w:r>
          </w:p>
          <w:p>
            <w:pPr>
              <w:jc w:val="both"/>
              <w:rPr>
                <w:rFonts w:hint="eastAsia" w:ascii="仿宋_GB2312" w:hAnsi="宋体" w:eastAsia="仿宋_GB2312" w:cs="宋体"/>
              </w:rPr>
            </w:pPr>
            <w:r>
              <w:rPr>
                <w:rFonts w:hint="eastAsia" w:ascii="仿宋_GB2312" w:hAnsi="宋体" w:eastAsia="仿宋_GB2312" w:cs="宋体"/>
              </w:rPr>
              <w:t>（六）承担查处岳阳经济技术开发区、南湖风景区、临港新区和岳阳楼区职责范围内演出、娱乐、互联网上网服务场所（网吧）、电子游戏、美术品销售、图书、报纸、期刊、音像制品、电子出版、网络出版、计算机软件、印刷（复制）、出版物市场发行等经营活动中的违法违规行为和非法安装、擅自使用卫星电视广播地面接收设施的行为。</w:t>
            </w:r>
          </w:p>
          <w:p>
            <w:pPr>
              <w:jc w:val="both"/>
              <w:rPr>
                <w:rFonts w:hint="eastAsia" w:ascii="仿宋_GB2312" w:hAnsi="宋体" w:eastAsia="仿宋_GB2312" w:cs="宋体"/>
              </w:rPr>
            </w:pPr>
            <w:r>
              <w:rPr>
                <w:rFonts w:hint="eastAsia" w:ascii="仿宋_GB2312" w:hAnsi="宋体" w:eastAsia="仿宋_GB2312" w:cs="宋体"/>
              </w:rPr>
              <w:t>（七）承担对全市（县、市、区）文化市场综合执法机构的业务指导、协调和监督；承担对文化市场行政执法人员的业务培训、考核评比工作。</w:t>
            </w:r>
          </w:p>
          <w:p>
            <w:pPr>
              <w:jc w:val="both"/>
              <w:rPr>
                <w:rFonts w:hint="eastAsia" w:ascii="仿宋_GB2312" w:hAnsi="宋体" w:eastAsia="仿宋_GB2312" w:cs="宋体"/>
              </w:rPr>
            </w:pPr>
            <w:r>
              <w:rPr>
                <w:rFonts w:hint="eastAsia" w:ascii="仿宋_GB2312" w:hAnsi="宋体" w:eastAsia="仿宋_GB2312" w:cs="宋体"/>
              </w:rPr>
              <w:t>（八）承担全市文化市场执法队伍的日常督查工作，组织实施行政执法责任制及执法错案追究等制度；对下级处罚不当和应作为而不作为的，进行纠正和处理</w:t>
            </w:r>
          </w:p>
          <w:p>
            <w:pPr>
              <w:jc w:val="both"/>
              <w:rPr>
                <w:rFonts w:hint="eastAsia" w:ascii="仿宋_GB2312" w:hAnsi="宋体" w:eastAsia="仿宋_GB2312" w:cs="宋体"/>
              </w:rPr>
            </w:pPr>
            <w:r>
              <w:rPr>
                <w:rFonts w:hint="eastAsia" w:ascii="仿宋_GB2312" w:hAnsi="宋体" w:eastAsia="仿宋_GB2312" w:cs="宋体"/>
              </w:rPr>
              <w:t>（九）承办受理对文化市场违法行为的投诉、举报，受理行政相对人对市（县、市、区）文化市场综合执法机构具体行政行为的行政复议申请。</w:t>
            </w:r>
          </w:p>
          <w:p>
            <w:pPr>
              <w:rPr>
                <w:rFonts w:hint="eastAsia" w:ascii="仿宋_GB2312" w:hAnsi="宋体" w:eastAsia="仿宋_GB2312" w:cs="宋体"/>
              </w:rPr>
            </w:pPr>
            <w:r>
              <w:rPr>
                <w:rFonts w:hint="eastAsia" w:ascii="仿宋_GB2312" w:hAnsi="宋体" w:eastAsia="仿宋_GB2312" w:cs="宋体"/>
              </w:rPr>
              <w:t>（十）承办市委、市政府交办的其它事项。　</w:t>
            </w:r>
          </w:p>
          <w:p>
            <w:pPr>
              <w:jc w:val="center"/>
              <w:rPr>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2297"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kern w:val="0"/>
                <w:sz w:val="22"/>
                <w:szCs w:val="22"/>
                <w:lang w:bidi="ar"/>
              </w:rPr>
            </w:pPr>
            <w:r>
              <w:rPr>
                <w:rFonts w:hint="eastAsia" w:ascii="仿宋_GB2312" w:hAnsi="宋体" w:eastAsia="仿宋_GB2312" w:cs="仿宋_GB2312"/>
                <w:b/>
                <w:color w:val="000000"/>
                <w:kern w:val="0"/>
                <w:sz w:val="22"/>
                <w:szCs w:val="22"/>
                <w:lang w:bidi="ar"/>
              </w:rPr>
              <w:t>组织管理</w:t>
            </w:r>
          </w:p>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情况</w:t>
            </w:r>
          </w:p>
        </w:tc>
        <w:tc>
          <w:tcPr>
            <w:tcW w:w="288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单位已有的（或正在拟订的）制度</w:t>
            </w:r>
          </w:p>
        </w:tc>
        <w:tc>
          <w:tcPr>
            <w:tcW w:w="5397"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  </w:t>
            </w:r>
            <w:r>
              <w:rPr>
                <w:rFonts w:hint="eastAsia" w:ascii="仿宋_GB2312" w:hAnsi="宋体" w:eastAsia="仿宋_GB2312" w:cs="仿宋_GB2312"/>
                <w:color w:val="000000"/>
                <w:kern w:val="0"/>
                <w:sz w:val="22"/>
                <w:szCs w:val="22"/>
                <w:lang w:bidi="ar"/>
              </w:rPr>
              <w:sym w:font="Wingdings 2" w:char="0052"/>
            </w:r>
            <w:r>
              <w:rPr>
                <w:rFonts w:hint="eastAsia" w:ascii="仿宋_GB2312" w:hAnsi="宋体" w:eastAsia="仿宋_GB2312" w:cs="仿宋_GB2312"/>
                <w:color w:val="000000"/>
                <w:kern w:val="0"/>
                <w:sz w:val="22"/>
                <w:szCs w:val="22"/>
                <w:lang w:bidi="ar"/>
              </w:rPr>
              <w:t>财务管理制度</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w:t>
            </w:r>
            <w:r>
              <w:rPr>
                <w:rFonts w:hint="eastAsia" w:ascii="仿宋_GB2312" w:hAnsi="宋体" w:eastAsia="仿宋_GB2312" w:cs="仿宋_GB2312"/>
                <w:color w:val="000000"/>
                <w:kern w:val="0"/>
                <w:sz w:val="22"/>
                <w:szCs w:val="22"/>
                <w:lang w:bidi="ar"/>
              </w:rPr>
              <w:sym w:font="Wingdings 2" w:char="0052"/>
            </w:r>
            <w:r>
              <w:rPr>
                <w:rFonts w:hint="eastAsia" w:ascii="仿宋_GB2312" w:hAnsi="宋体" w:eastAsia="仿宋_GB2312" w:cs="仿宋_GB2312"/>
                <w:color w:val="000000"/>
                <w:kern w:val="0"/>
                <w:sz w:val="22"/>
                <w:szCs w:val="22"/>
                <w:lang w:bidi="ar"/>
              </w:rPr>
              <w:t>内部工作规程</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w:t>
            </w:r>
            <w:r>
              <w:rPr>
                <w:rFonts w:hint="eastAsia" w:ascii="仿宋_GB2312" w:hAnsi="宋体" w:eastAsia="仿宋_GB2312" w:cs="仿宋_GB2312"/>
                <w:color w:val="000000"/>
                <w:kern w:val="0"/>
                <w:sz w:val="22"/>
                <w:szCs w:val="22"/>
                <w:lang w:bidi="ar"/>
              </w:rPr>
              <w:sym w:font="Wingdings 2" w:char="0052"/>
            </w:r>
            <w:r>
              <w:rPr>
                <w:rFonts w:hint="eastAsia" w:ascii="仿宋_GB2312" w:hAnsi="宋体" w:eastAsia="仿宋_GB2312" w:cs="仿宋_GB2312"/>
                <w:color w:val="000000"/>
                <w:kern w:val="0"/>
                <w:sz w:val="22"/>
                <w:szCs w:val="22"/>
                <w:lang w:bidi="ar"/>
              </w:rPr>
              <w:t>岗位责任制度</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□专项资金管理办法</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□项目实施管理办法</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□工作流程图或操作细则</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□其他（请补充）</w:t>
            </w:r>
            <w:r>
              <w:rPr>
                <w:rFonts w:hint="eastAsia" w:ascii="仿宋_GB2312" w:hAnsi="宋体" w:eastAsia="仿宋_GB2312" w:cs="仿宋_GB2312"/>
                <w:color w:val="000000"/>
                <w:kern w:val="0"/>
                <w:sz w:val="22"/>
                <w:szCs w:val="22"/>
                <w:u w:val="single"/>
                <w:lang w:bidi="ar"/>
              </w:rPr>
              <w:t xml:space="preserve">                      </w:t>
            </w:r>
          </w:p>
        </w:tc>
      </w:tr>
      <w:tr>
        <w:tblPrEx>
          <w:tblCellMar>
            <w:top w:w="15" w:type="dxa"/>
            <w:left w:w="15" w:type="dxa"/>
            <w:bottom w:w="15" w:type="dxa"/>
            <w:right w:w="15" w:type="dxa"/>
          </w:tblCellMar>
        </w:tblPrEx>
        <w:trPr>
          <w:trHeight w:val="43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288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单位已有（或拟订）的措施</w:t>
            </w:r>
          </w:p>
        </w:tc>
        <w:tc>
          <w:tcPr>
            <w:tcW w:w="5397"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color w:val="000000"/>
                <w:sz w:val="22"/>
                <w:szCs w:val="22"/>
              </w:rPr>
            </w:pPr>
            <w:r>
              <w:rPr>
                <w:rFonts w:hint="eastAsia" w:ascii="仿宋_GB2312" w:hAnsi="宋体" w:eastAsia="仿宋_GB2312" w:cs="宋体"/>
              </w:rPr>
              <w:t>　公务接待管理制度、落实实施细则具体措施</w:t>
            </w:r>
          </w:p>
        </w:tc>
      </w:tr>
      <w:tr>
        <w:tblPrEx>
          <w:tblCellMar>
            <w:top w:w="15" w:type="dxa"/>
            <w:left w:w="15" w:type="dxa"/>
            <w:bottom w:w="15" w:type="dxa"/>
            <w:right w:w="15" w:type="dxa"/>
          </w:tblCellMar>
        </w:tblPrEx>
        <w:trPr>
          <w:trHeight w:val="454"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kern w:val="0"/>
                <w:sz w:val="22"/>
                <w:szCs w:val="22"/>
                <w:lang w:bidi="ar"/>
              </w:rPr>
            </w:pPr>
            <w:r>
              <w:rPr>
                <w:rFonts w:hint="eastAsia" w:ascii="仿宋_GB2312" w:hAnsi="宋体" w:eastAsia="仿宋_GB2312" w:cs="仿宋_GB2312"/>
                <w:b/>
                <w:color w:val="000000"/>
                <w:kern w:val="0"/>
                <w:sz w:val="22"/>
                <w:szCs w:val="22"/>
                <w:lang w:bidi="ar"/>
              </w:rPr>
              <w:t>（万元）</w:t>
            </w:r>
            <w:r>
              <w:rPr>
                <w:rFonts w:hint="eastAsia" w:ascii="仿宋_GB2312" w:hAnsi="宋体" w:eastAsia="仿宋_GB2312" w:cs="仿宋_GB2312"/>
                <w:b/>
                <w:color w:val="000000"/>
                <w:kern w:val="0"/>
                <w:sz w:val="22"/>
                <w:szCs w:val="22"/>
                <w:lang w:bidi="ar"/>
              </w:rPr>
              <w:br w:type="textWrapping"/>
            </w:r>
            <w:r>
              <w:rPr>
                <w:rFonts w:hint="eastAsia" w:ascii="仿宋_GB2312" w:hAnsi="宋体" w:eastAsia="仿宋_GB2312" w:cs="仿宋_GB2312"/>
                <w:b/>
                <w:color w:val="000000"/>
                <w:kern w:val="0"/>
                <w:sz w:val="22"/>
                <w:szCs w:val="22"/>
                <w:lang w:bidi="ar"/>
              </w:rPr>
              <w:t>资金安排</w:t>
            </w:r>
          </w:p>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使用情况</w:t>
            </w:r>
          </w:p>
        </w:tc>
        <w:tc>
          <w:tcPr>
            <w:tcW w:w="146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支出机构</w:t>
            </w:r>
          </w:p>
        </w:tc>
        <w:tc>
          <w:tcPr>
            <w:tcW w:w="141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支出合计</w:t>
            </w:r>
          </w:p>
        </w:tc>
        <w:tc>
          <w:tcPr>
            <w:tcW w:w="435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其中：</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b/>
                <w:color w:val="000000"/>
                <w:sz w:val="22"/>
                <w:szCs w:val="22"/>
              </w:rPr>
            </w:pPr>
          </w:p>
        </w:tc>
      </w:tr>
      <w:tr>
        <w:tblPrEx>
          <w:tblCellMar>
            <w:top w:w="15" w:type="dxa"/>
            <w:left w:w="15" w:type="dxa"/>
            <w:bottom w:w="15" w:type="dxa"/>
            <w:right w:w="15" w:type="dxa"/>
          </w:tblCellMar>
        </w:tblPrEx>
        <w:trPr>
          <w:trHeight w:val="454"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1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基本支出</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其中：</w:t>
            </w:r>
          </w:p>
        </w:tc>
        <w:tc>
          <w:tcPr>
            <w:tcW w:w="1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项目支出</w:t>
            </w:r>
          </w:p>
        </w:tc>
        <w:tc>
          <w:tcPr>
            <w:tcW w:w="10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结余</w:t>
            </w:r>
          </w:p>
        </w:tc>
      </w:tr>
      <w:tr>
        <w:tblPrEx>
          <w:tblCellMar>
            <w:top w:w="15" w:type="dxa"/>
            <w:left w:w="15" w:type="dxa"/>
            <w:bottom w:w="15" w:type="dxa"/>
            <w:right w:w="15" w:type="dxa"/>
          </w:tblCellMar>
        </w:tblPrEx>
        <w:trPr>
          <w:trHeight w:val="454"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1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人员支出</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公用支出</w:t>
            </w:r>
          </w:p>
        </w:tc>
        <w:tc>
          <w:tcPr>
            <w:tcW w:w="10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r>
      <w:tr>
        <w:tblPrEx>
          <w:tblCellMar>
            <w:top w:w="15" w:type="dxa"/>
            <w:left w:w="15" w:type="dxa"/>
            <w:bottom w:w="15" w:type="dxa"/>
            <w:right w:w="15" w:type="dxa"/>
          </w:tblCellMar>
        </w:tblPrEx>
        <w:trPr>
          <w:trHeight w:val="34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局机关及二级机构汇总</w:t>
            </w:r>
          </w:p>
        </w:tc>
        <w:tc>
          <w:tcPr>
            <w:tcW w:w="141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r>
      <w:tr>
        <w:tblPrEx>
          <w:tblCellMar>
            <w:top w:w="15" w:type="dxa"/>
            <w:left w:w="15" w:type="dxa"/>
            <w:bottom w:w="15" w:type="dxa"/>
            <w:right w:w="15" w:type="dxa"/>
          </w:tblCellMar>
        </w:tblPrEx>
        <w:trPr>
          <w:trHeight w:val="454"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lang w:eastAsia="zh-CN"/>
              </w:rPr>
              <w:t>岳阳市文化市场综合行政执法支队</w:t>
            </w:r>
          </w:p>
        </w:tc>
        <w:tc>
          <w:tcPr>
            <w:tcW w:w="141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kern w:val="2"/>
                <w:sz w:val="22"/>
                <w:szCs w:val="22"/>
                <w:lang w:val="en-US" w:eastAsia="zh-CN" w:bidi="ar-SA"/>
              </w:rPr>
            </w:pPr>
            <w:r>
              <w:rPr>
                <w:rFonts w:hint="eastAsia" w:ascii="仿宋_GB2312" w:hAnsi="宋体" w:eastAsia="仿宋_GB2312" w:cs="仿宋_GB2312"/>
                <w:color w:val="000000"/>
                <w:sz w:val="22"/>
                <w:szCs w:val="22"/>
                <w:lang w:val="en-US" w:eastAsia="zh-CN"/>
              </w:rPr>
              <w:t>652.94</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kern w:val="2"/>
                <w:sz w:val="22"/>
                <w:szCs w:val="22"/>
                <w:lang w:val="en-US" w:eastAsia="zh-CN" w:bidi="ar-SA"/>
              </w:rPr>
            </w:pPr>
            <w:r>
              <w:rPr>
                <w:rFonts w:hint="eastAsia" w:ascii="仿宋_GB2312" w:hAnsi="宋体" w:eastAsia="仿宋_GB2312" w:cs="仿宋_GB2312"/>
                <w:color w:val="000000"/>
                <w:sz w:val="22"/>
                <w:szCs w:val="22"/>
                <w:lang w:val="en-US" w:eastAsia="zh-CN"/>
              </w:rPr>
              <w:t>628.49</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kern w:val="2"/>
                <w:sz w:val="22"/>
                <w:szCs w:val="22"/>
                <w:lang w:val="en-US" w:eastAsia="zh-CN" w:bidi="ar-SA"/>
              </w:rPr>
            </w:pPr>
            <w:r>
              <w:rPr>
                <w:rFonts w:hint="eastAsia" w:ascii="仿宋_GB2312" w:hAnsi="宋体" w:eastAsia="仿宋_GB2312" w:cs="仿宋_GB2312"/>
                <w:color w:val="000000"/>
                <w:sz w:val="22"/>
                <w:szCs w:val="22"/>
                <w:lang w:val="en-US" w:eastAsia="zh-CN"/>
              </w:rPr>
              <w:t>506.98</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kern w:val="2"/>
                <w:sz w:val="22"/>
                <w:szCs w:val="22"/>
                <w:lang w:val="en-US" w:eastAsia="zh-CN" w:bidi="ar-SA"/>
              </w:rPr>
            </w:pPr>
            <w:r>
              <w:rPr>
                <w:rFonts w:hint="eastAsia" w:ascii="仿宋_GB2312" w:hAnsi="宋体" w:eastAsia="仿宋_GB2312" w:cs="仿宋_GB2312"/>
                <w:color w:val="000000"/>
                <w:sz w:val="22"/>
                <w:szCs w:val="22"/>
                <w:lang w:val="en-US" w:eastAsia="zh-CN"/>
              </w:rPr>
              <w:t>121.51</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kern w:val="2"/>
                <w:sz w:val="22"/>
                <w:szCs w:val="22"/>
                <w:lang w:val="en-US" w:eastAsia="zh-CN" w:bidi="ar-SA"/>
              </w:rPr>
            </w:pPr>
            <w:r>
              <w:rPr>
                <w:rFonts w:hint="eastAsia" w:ascii="仿宋_GB2312" w:hAnsi="宋体" w:eastAsia="仿宋_GB2312" w:cs="仿宋_GB2312"/>
                <w:color w:val="000000"/>
                <w:sz w:val="22"/>
                <w:szCs w:val="22"/>
                <w:lang w:val="en-US" w:eastAsia="zh-CN"/>
              </w:rPr>
              <w:t>24.45</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29.01</w:t>
            </w:r>
          </w:p>
        </w:tc>
      </w:tr>
      <w:tr>
        <w:tblPrEx>
          <w:tblCellMar>
            <w:top w:w="15" w:type="dxa"/>
            <w:left w:w="15" w:type="dxa"/>
            <w:bottom w:w="15" w:type="dxa"/>
            <w:right w:w="15" w:type="dxa"/>
          </w:tblCellMar>
        </w:tblPrEx>
        <w:trPr>
          <w:trHeight w:val="454"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6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机构名称</w:t>
            </w:r>
          </w:p>
        </w:tc>
        <w:tc>
          <w:tcPr>
            <w:tcW w:w="141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三公经费</w:t>
            </w:r>
          </w:p>
        </w:tc>
        <w:tc>
          <w:tcPr>
            <w:tcW w:w="435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其中：</w:t>
            </w:r>
          </w:p>
        </w:tc>
        <w:tc>
          <w:tcPr>
            <w:tcW w:w="10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会议费</w:t>
            </w:r>
          </w:p>
        </w:tc>
      </w:tr>
      <w:tr>
        <w:tblPrEx>
          <w:tblCellMar>
            <w:top w:w="15" w:type="dxa"/>
            <w:left w:w="15" w:type="dxa"/>
            <w:bottom w:w="15" w:type="dxa"/>
            <w:right w:w="15" w:type="dxa"/>
          </w:tblCellMar>
        </w:tblPrEx>
        <w:trPr>
          <w:trHeight w:val="54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1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公务接待费</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公务用车</w:t>
            </w:r>
            <w:r>
              <w:rPr>
                <w:rFonts w:hint="eastAsia" w:ascii="仿宋_GB2312" w:hAnsi="宋体" w:eastAsia="仿宋_GB2312" w:cs="仿宋_GB2312"/>
                <w:b/>
                <w:color w:val="000000"/>
                <w:kern w:val="0"/>
                <w:sz w:val="22"/>
                <w:szCs w:val="22"/>
                <w:lang w:bidi="ar"/>
              </w:rPr>
              <w:br w:type="textWrapping"/>
            </w:r>
            <w:r>
              <w:rPr>
                <w:rFonts w:hint="eastAsia" w:ascii="仿宋_GB2312" w:hAnsi="宋体" w:eastAsia="仿宋_GB2312" w:cs="仿宋_GB2312"/>
                <w:b/>
                <w:color w:val="000000"/>
                <w:kern w:val="0"/>
                <w:sz w:val="22"/>
                <w:szCs w:val="22"/>
                <w:lang w:bidi="ar"/>
              </w:rPr>
              <w:t>运维费</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公务用车</w:t>
            </w:r>
            <w:r>
              <w:rPr>
                <w:rFonts w:hint="eastAsia" w:ascii="仿宋_GB2312" w:hAnsi="宋体" w:eastAsia="仿宋_GB2312" w:cs="仿宋_GB2312"/>
                <w:b/>
                <w:color w:val="000000"/>
                <w:kern w:val="0"/>
                <w:sz w:val="22"/>
                <w:szCs w:val="22"/>
                <w:lang w:bidi="ar"/>
              </w:rPr>
              <w:br w:type="textWrapping"/>
            </w:r>
            <w:r>
              <w:rPr>
                <w:rFonts w:hint="eastAsia" w:ascii="仿宋_GB2312" w:hAnsi="宋体" w:eastAsia="仿宋_GB2312" w:cs="仿宋_GB2312"/>
                <w:b/>
                <w:color w:val="000000"/>
                <w:kern w:val="0"/>
                <w:sz w:val="22"/>
                <w:szCs w:val="22"/>
                <w:lang w:bidi="ar"/>
              </w:rPr>
              <w:t>购置费</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因公出国费</w:t>
            </w:r>
          </w:p>
        </w:tc>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r>
      <w:tr>
        <w:tblPrEx>
          <w:tblCellMar>
            <w:top w:w="15" w:type="dxa"/>
            <w:left w:w="15" w:type="dxa"/>
            <w:bottom w:w="15" w:type="dxa"/>
            <w:right w:w="15" w:type="dxa"/>
          </w:tblCellMar>
        </w:tblPrEx>
        <w:trPr>
          <w:trHeight w:val="54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局机关及二级机构汇总</w:t>
            </w:r>
          </w:p>
        </w:tc>
        <w:tc>
          <w:tcPr>
            <w:tcW w:w="1411"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color w:val="000000"/>
                <w:sz w:val="22"/>
                <w:szCs w:val="22"/>
                <w:lang w:val="en-US" w:eastAsia="zh-CN"/>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color w:val="000000"/>
                <w:sz w:val="22"/>
                <w:szCs w:val="22"/>
                <w:lang w:val="en-US" w:eastAsia="zh-CN"/>
              </w:rPr>
            </w:pPr>
          </w:p>
        </w:tc>
        <w:tc>
          <w:tcPr>
            <w:tcW w:w="1045"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default" w:ascii="仿宋_GB2312" w:hAnsi="宋体" w:eastAsia="仿宋_GB2312" w:cs="仿宋_GB2312"/>
                <w:color w:val="000000"/>
                <w:sz w:val="22"/>
                <w:szCs w:val="22"/>
                <w:lang w:val="en-US" w:eastAsia="zh-CN"/>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lang w:val="en-US" w:eastAsia="zh-CN"/>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lang w:val="en-US" w:eastAsia="zh-CN"/>
              </w:rPr>
            </w:pPr>
          </w:p>
        </w:tc>
        <w:tc>
          <w:tcPr>
            <w:tcW w:w="104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2"/>
                <w:szCs w:val="22"/>
                <w:lang w:val="en-US" w:eastAsia="zh-CN"/>
              </w:rPr>
            </w:pPr>
          </w:p>
        </w:tc>
      </w:tr>
      <w:tr>
        <w:tblPrEx>
          <w:tblCellMar>
            <w:top w:w="15" w:type="dxa"/>
            <w:left w:w="15" w:type="dxa"/>
            <w:bottom w:w="15" w:type="dxa"/>
            <w:right w:w="15" w:type="dxa"/>
          </w:tblCellMar>
        </w:tblPrEx>
        <w:trPr>
          <w:trHeight w:val="454"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lang w:eastAsia="zh-CN"/>
              </w:rPr>
              <w:t>岳阳市文化市场综合行政执法支队</w:t>
            </w:r>
          </w:p>
        </w:tc>
        <w:tc>
          <w:tcPr>
            <w:tcW w:w="1411"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kern w:val="2"/>
                <w:sz w:val="22"/>
                <w:szCs w:val="22"/>
                <w:lang w:val="en-US" w:eastAsia="zh-CN" w:bidi="ar-SA"/>
              </w:rPr>
            </w:pPr>
            <w:r>
              <w:rPr>
                <w:rFonts w:hint="eastAsia" w:ascii="仿宋_GB2312" w:hAnsi="宋体" w:eastAsia="仿宋_GB2312" w:cs="仿宋_GB2312"/>
                <w:color w:val="000000"/>
                <w:sz w:val="22"/>
                <w:szCs w:val="22"/>
                <w:lang w:val="en-US" w:eastAsia="zh-CN"/>
              </w:rPr>
              <w:t>10.1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kern w:val="2"/>
                <w:sz w:val="22"/>
                <w:szCs w:val="22"/>
                <w:lang w:val="en-US" w:eastAsia="zh-CN" w:bidi="ar-SA"/>
              </w:rPr>
            </w:pPr>
            <w:r>
              <w:rPr>
                <w:rFonts w:hint="eastAsia" w:ascii="仿宋_GB2312" w:hAnsi="宋体" w:eastAsia="仿宋_GB2312" w:cs="仿宋_GB2312"/>
                <w:color w:val="000000"/>
                <w:sz w:val="22"/>
                <w:szCs w:val="22"/>
                <w:lang w:val="en-US" w:eastAsia="zh-CN"/>
              </w:rPr>
              <w:t>5.1</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kern w:val="2"/>
                <w:sz w:val="22"/>
                <w:szCs w:val="22"/>
                <w:lang w:val="en-US" w:eastAsia="zh-CN" w:bidi="ar-SA"/>
              </w:rPr>
            </w:pPr>
            <w:r>
              <w:rPr>
                <w:rFonts w:hint="eastAsia" w:ascii="仿宋_GB2312" w:hAnsi="宋体" w:eastAsia="仿宋_GB2312" w:cs="仿宋_GB2312"/>
                <w:color w:val="000000"/>
                <w:sz w:val="22"/>
                <w:szCs w:val="22"/>
                <w:lang w:val="en-US" w:eastAsia="zh-CN"/>
              </w:rPr>
              <w:t>4</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kern w:val="2"/>
                <w:sz w:val="22"/>
                <w:szCs w:val="22"/>
                <w:lang w:val="en-US" w:eastAsia="zh-CN" w:bidi="ar-SA"/>
              </w:rPr>
            </w:pPr>
            <w:r>
              <w:rPr>
                <w:rFonts w:hint="eastAsia" w:ascii="仿宋_GB2312" w:hAnsi="宋体" w:eastAsia="仿宋_GB2312" w:cs="仿宋_GB2312"/>
                <w:color w:val="000000"/>
                <w:sz w:val="22"/>
                <w:szCs w:val="22"/>
                <w:lang w:val="en-US" w:eastAsia="zh-CN"/>
              </w:rPr>
              <w:t>0</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kern w:val="2"/>
                <w:sz w:val="22"/>
                <w:szCs w:val="22"/>
                <w:lang w:val="en-US" w:eastAsia="zh-CN" w:bidi="ar-SA"/>
              </w:rPr>
            </w:pPr>
            <w:r>
              <w:rPr>
                <w:rFonts w:hint="eastAsia" w:ascii="仿宋_GB2312" w:hAnsi="宋体" w:eastAsia="仿宋_GB2312" w:cs="仿宋_GB2312"/>
                <w:color w:val="000000"/>
                <w:sz w:val="22"/>
                <w:szCs w:val="22"/>
                <w:lang w:val="en-US" w:eastAsia="zh-CN"/>
              </w:rPr>
              <w:t>0</w:t>
            </w:r>
          </w:p>
        </w:tc>
        <w:tc>
          <w:tcPr>
            <w:tcW w:w="104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kern w:val="2"/>
                <w:sz w:val="22"/>
                <w:szCs w:val="22"/>
                <w:lang w:val="en-US" w:eastAsia="zh-CN" w:bidi="ar-SA"/>
              </w:rPr>
            </w:pPr>
            <w:r>
              <w:rPr>
                <w:rFonts w:hint="eastAsia" w:ascii="仿宋_GB2312" w:hAnsi="宋体" w:eastAsia="仿宋_GB2312" w:cs="仿宋_GB2312"/>
                <w:color w:val="000000"/>
                <w:sz w:val="22"/>
                <w:szCs w:val="22"/>
                <w:lang w:val="en-US" w:eastAsia="zh-CN"/>
              </w:rPr>
              <w:t>1</w:t>
            </w:r>
          </w:p>
        </w:tc>
      </w:tr>
      <w:tr>
        <w:tblPrEx>
          <w:tblCellMar>
            <w:top w:w="15" w:type="dxa"/>
            <w:left w:w="15" w:type="dxa"/>
            <w:bottom w:w="15" w:type="dxa"/>
            <w:right w:w="15" w:type="dxa"/>
          </w:tblCellMar>
        </w:tblPrEx>
        <w:trPr>
          <w:trHeight w:val="454"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kern w:val="0"/>
                <w:sz w:val="22"/>
                <w:szCs w:val="22"/>
                <w:lang w:bidi="ar"/>
              </w:rPr>
            </w:pPr>
            <w:r>
              <w:rPr>
                <w:rFonts w:hint="eastAsia" w:ascii="仿宋_GB2312" w:hAnsi="宋体" w:eastAsia="仿宋_GB2312" w:cs="仿宋_GB2312"/>
                <w:b/>
                <w:color w:val="000000"/>
                <w:kern w:val="0"/>
                <w:sz w:val="22"/>
                <w:szCs w:val="22"/>
                <w:lang w:bidi="ar"/>
              </w:rPr>
              <w:t>（万元）</w:t>
            </w:r>
          </w:p>
          <w:p>
            <w:pPr>
              <w:widowControl/>
              <w:jc w:val="center"/>
              <w:textAlignment w:val="center"/>
              <w:rPr>
                <w:rFonts w:hint="eastAsia" w:ascii="仿宋_GB2312" w:hAnsi="宋体" w:eastAsia="仿宋_GB2312" w:cs="仿宋_GB2312"/>
                <w:b/>
                <w:color w:val="000000"/>
                <w:kern w:val="0"/>
                <w:sz w:val="22"/>
                <w:szCs w:val="22"/>
                <w:lang w:bidi="ar"/>
              </w:rPr>
            </w:pPr>
            <w:r>
              <w:rPr>
                <w:rFonts w:hint="eastAsia" w:ascii="仿宋_GB2312" w:hAnsi="宋体" w:eastAsia="仿宋_GB2312" w:cs="仿宋_GB2312"/>
                <w:b/>
                <w:color w:val="000000"/>
                <w:kern w:val="0"/>
                <w:sz w:val="22"/>
                <w:szCs w:val="22"/>
                <w:lang w:bidi="ar"/>
              </w:rPr>
              <w:t>资金安排</w:t>
            </w:r>
          </w:p>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使用情况</w:t>
            </w:r>
          </w:p>
        </w:tc>
        <w:tc>
          <w:tcPr>
            <w:tcW w:w="146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机构名称</w:t>
            </w:r>
          </w:p>
        </w:tc>
        <w:tc>
          <w:tcPr>
            <w:tcW w:w="141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固定资产</w:t>
            </w:r>
          </w:p>
        </w:tc>
        <w:tc>
          <w:tcPr>
            <w:tcW w:w="5397"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其中：</w:t>
            </w:r>
          </w:p>
        </w:tc>
      </w:tr>
      <w:tr>
        <w:tblPrEx>
          <w:tblCellMar>
            <w:top w:w="15" w:type="dxa"/>
            <w:left w:w="15" w:type="dxa"/>
            <w:bottom w:w="15" w:type="dxa"/>
            <w:right w:w="15" w:type="dxa"/>
          </w:tblCellMar>
        </w:tblPrEx>
        <w:trPr>
          <w:trHeight w:val="454"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1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218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在用固定资产</w:t>
            </w:r>
          </w:p>
        </w:tc>
        <w:tc>
          <w:tcPr>
            <w:tcW w:w="21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出租固定资产</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其他</w:t>
            </w:r>
          </w:p>
        </w:tc>
      </w:tr>
      <w:tr>
        <w:tblPrEx>
          <w:tblCellMar>
            <w:top w:w="15" w:type="dxa"/>
            <w:left w:w="15" w:type="dxa"/>
            <w:bottom w:w="15" w:type="dxa"/>
            <w:right w:w="15" w:type="dxa"/>
          </w:tblCellMar>
        </w:tblPrEx>
        <w:trPr>
          <w:trHeight w:val="454"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局机关及二级机构汇总</w:t>
            </w:r>
          </w:p>
        </w:tc>
        <w:tc>
          <w:tcPr>
            <w:tcW w:w="1411"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218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216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04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454"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lang w:eastAsia="zh-CN"/>
              </w:rPr>
              <w:t>岳阳市文化市场综合行政执法支队</w:t>
            </w:r>
          </w:p>
        </w:tc>
        <w:tc>
          <w:tcPr>
            <w:tcW w:w="1411"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141.86</w:t>
            </w:r>
          </w:p>
        </w:tc>
        <w:tc>
          <w:tcPr>
            <w:tcW w:w="218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141.86</w:t>
            </w:r>
          </w:p>
        </w:tc>
        <w:tc>
          <w:tcPr>
            <w:tcW w:w="216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0</w:t>
            </w:r>
          </w:p>
        </w:tc>
        <w:tc>
          <w:tcPr>
            <w:tcW w:w="104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0</w:t>
            </w:r>
          </w:p>
        </w:tc>
      </w:tr>
      <w:tr>
        <w:tblPrEx>
          <w:tblCellMar>
            <w:top w:w="15" w:type="dxa"/>
            <w:left w:w="15" w:type="dxa"/>
            <w:bottom w:w="15" w:type="dxa"/>
            <w:right w:w="15" w:type="dxa"/>
          </w:tblCellMar>
        </w:tblPrEx>
        <w:trPr>
          <w:trHeight w:val="729"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kern w:val="0"/>
                <w:sz w:val="22"/>
                <w:szCs w:val="22"/>
                <w:lang w:bidi="ar"/>
              </w:rPr>
            </w:pPr>
            <w:r>
              <w:rPr>
                <w:rFonts w:hint="eastAsia" w:ascii="仿宋_GB2312" w:hAnsi="宋体" w:eastAsia="仿宋_GB2312" w:cs="仿宋_GB2312"/>
                <w:b/>
                <w:color w:val="000000"/>
                <w:kern w:val="0"/>
                <w:sz w:val="22"/>
                <w:szCs w:val="22"/>
                <w:lang w:bidi="ar"/>
              </w:rPr>
              <w:t>（定量指标）</w:t>
            </w:r>
          </w:p>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年度绩效目标完成情况</w:t>
            </w:r>
          </w:p>
        </w:tc>
        <w:tc>
          <w:tcPr>
            <w:tcW w:w="402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主要绩效目标内容</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kern w:val="0"/>
                <w:sz w:val="22"/>
                <w:szCs w:val="22"/>
                <w:lang w:bidi="ar"/>
              </w:rPr>
            </w:pPr>
            <w:r>
              <w:rPr>
                <w:rFonts w:hint="eastAsia" w:ascii="仿宋_GB2312" w:hAnsi="宋体" w:eastAsia="仿宋_GB2312" w:cs="仿宋_GB2312"/>
                <w:b/>
                <w:color w:val="000000"/>
                <w:kern w:val="0"/>
                <w:sz w:val="22"/>
                <w:szCs w:val="22"/>
                <w:lang w:bidi="ar"/>
              </w:rPr>
              <w:t>绩效</w:t>
            </w:r>
          </w:p>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目标值</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完成率</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未完成情况说明</w:t>
            </w:r>
          </w:p>
        </w:tc>
      </w:tr>
      <w:tr>
        <w:tblPrEx>
          <w:tblCellMar>
            <w:top w:w="15" w:type="dxa"/>
            <w:left w:w="15" w:type="dxa"/>
            <w:bottom w:w="15" w:type="dxa"/>
            <w:right w:w="15" w:type="dxa"/>
          </w:tblCellMar>
        </w:tblPrEx>
        <w:trPr>
          <w:trHeight w:val="1785"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402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r>
              <w:rPr>
                <w:rFonts w:ascii="仿宋_GB2312" w:hAnsi="仿宋_GB2312" w:eastAsia="仿宋_GB2312"/>
                <w:color w:val="000000"/>
                <w:sz w:val="22"/>
              </w:rPr>
              <w:t>监管覆盖率</w:t>
            </w:r>
            <w:r>
              <w:rPr>
                <w:rFonts w:hint="eastAsia" w:ascii="仿宋_GB2312" w:hAnsi="仿宋_GB2312" w:eastAsia="仿宋_GB2312"/>
                <w:color w:val="000000"/>
                <w:sz w:val="22"/>
              </w:rPr>
              <w:t>100%</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100%</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90%</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r>
              <w:rPr>
                <w:rFonts w:hint="eastAsia" w:ascii="仿宋_GB2312" w:hAnsi="宋体" w:eastAsia="仿宋_GB2312" w:cs="宋体"/>
                <w:lang w:eastAsia="zh-CN"/>
              </w:rPr>
              <w:t>文网卫士因企业增减后续安装部分未完成</w:t>
            </w:r>
            <w:r>
              <w:rPr>
                <w:rFonts w:hint="eastAsia" w:ascii="仿宋_GB2312" w:hAnsi="宋体" w:eastAsia="仿宋_GB2312" w:cs="宋体"/>
              </w:rPr>
              <w:t>　</w:t>
            </w:r>
          </w:p>
        </w:tc>
      </w:tr>
      <w:tr>
        <w:tblPrEx>
          <w:tblCellMar>
            <w:top w:w="15" w:type="dxa"/>
            <w:left w:w="15" w:type="dxa"/>
            <w:bottom w:w="15" w:type="dxa"/>
            <w:right w:w="15" w:type="dxa"/>
          </w:tblCellMar>
        </w:tblPrEx>
        <w:trPr>
          <w:trHeight w:val="454"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402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r>
              <w:rPr>
                <w:rFonts w:ascii="仿宋_GB2312" w:hAnsi="仿宋_GB2312" w:eastAsia="仿宋_GB2312"/>
                <w:color w:val="000000"/>
                <w:sz w:val="22"/>
              </w:rPr>
              <w:t>未成年人伤亡事故案件</w:t>
            </w:r>
            <w:r>
              <w:rPr>
                <w:rFonts w:hint="eastAsia" w:ascii="仿宋_GB2312" w:hAnsi="仿宋_GB2312" w:eastAsia="仿宋_GB2312" w:cs="仿宋_GB2312"/>
                <w:bCs/>
                <w:color w:val="000000"/>
                <w:sz w:val="24"/>
              </w:rPr>
              <w:t>0起</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0</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r>
              <w:rPr>
                <w:rFonts w:hint="eastAsia" w:ascii="仿宋_GB2312" w:hAnsi="仿宋_GB2312" w:eastAsia="仿宋_GB2312" w:cs="仿宋_GB2312"/>
                <w:bCs/>
                <w:color w:val="000000"/>
                <w:sz w:val="22"/>
                <w:szCs w:val="22"/>
              </w:rPr>
              <w:t>无未成年人伤亡事故</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454"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402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w:t>
            </w:r>
            <w:r>
              <w:rPr>
                <w:rFonts w:ascii="仿宋_GB2312" w:hAnsi="仿宋_GB2312" w:eastAsia="仿宋_GB2312"/>
                <w:color w:val="000000"/>
                <w:sz w:val="22"/>
              </w:rPr>
              <w:t>重大暴力、淫秽案件</w:t>
            </w:r>
            <w:r>
              <w:rPr>
                <w:rFonts w:hint="eastAsia" w:ascii="仿宋_GB2312" w:hAnsi="仿宋_GB2312" w:eastAsia="仿宋_GB2312" w:cs="仿宋_GB2312"/>
                <w:bCs/>
                <w:color w:val="000000"/>
                <w:sz w:val="24"/>
              </w:rPr>
              <w:t>0起</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0</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r>
              <w:rPr>
                <w:rFonts w:hint="eastAsia" w:ascii="仿宋_GB2312" w:hAnsi="仿宋_GB2312" w:eastAsia="仿宋_GB2312" w:cs="仿宋_GB2312"/>
                <w:bCs/>
                <w:color w:val="000000"/>
                <w:sz w:val="22"/>
                <w:szCs w:val="22"/>
              </w:rPr>
              <w:t>无重大暴力、淫秽案件</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454"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402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w:t>
            </w:r>
            <w:r>
              <w:rPr>
                <w:rFonts w:hint="eastAsia" w:ascii="仿宋_GB2312" w:hAnsi="宋体" w:eastAsia="仿宋_GB2312" w:cs="宋体"/>
                <w:lang w:eastAsia="zh-CN"/>
              </w:rPr>
              <w:t>文</w:t>
            </w:r>
            <w:r>
              <w:rPr>
                <w:rFonts w:ascii="仿宋_GB2312" w:hAnsi="仿宋_GB2312" w:eastAsia="仿宋_GB2312"/>
                <w:color w:val="000000"/>
                <w:sz w:val="22"/>
              </w:rPr>
              <w:t>艺娱乐、网吧、印刷、书报刊等文化经营单位日常监管</w:t>
            </w:r>
            <w:r>
              <w:rPr>
                <w:rFonts w:hint="eastAsia" w:ascii="仿宋_GB2312" w:hAnsi="仿宋_GB2312" w:eastAsia="仿宋_GB2312"/>
                <w:color w:val="000000"/>
                <w:sz w:val="22"/>
              </w:rPr>
              <w:t>至少1000家</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1000</w:t>
            </w:r>
          </w:p>
        </w:tc>
        <w:tc>
          <w:tcPr>
            <w:tcW w:w="1083"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90%</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r>
              <w:rPr>
                <w:rFonts w:hint="eastAsia" w:ascii="仿宋_GB2312" w:hAnsi="宋体" w:eastAsia="仿宋_GB2312" w:cs="宋体"/>
              </w:rPr>
              <w:t>　</w:t>
            </w:r>
            <w:r>
              <w:rPr>
                <w:rFonts w:hint="eastAsia" w:ascii="仿宋_GB2312" w:hAnsi="宋体" w:eastAsia="仿宋_GB2312" w:cs="宋体"/>
                <w:lang w:eastAsia="zh-CN"/>
              </w:rPr>
              <w:t>按季度推进监管，在年底完成</w:t>
            </w:r>
          </w:p>
        </w:tc>
      </w:tr>
      <w:tr>
        <w:tblPrEx>
          <w:tblCellMar>
            <w:top w:w="15" w:type="dxa"/>
            <w:left w:w="15" w:type="dxa"/>
            <w:bottom w:w="15" w:type="dxa"/>
            <w:right w:w="15" w:type="dxa"/>
          </w:tblCellMar>
        </w:tblPrEx>
        <w:trPr>
          <w:trHeight w:val="454"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402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2"/>
                <w:szCs w:val="22"/>
              </w:rPr>
            </w:pP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454" w:hRule="atLeast"/>
        </w:trPr>
        <w:tc>
          <w:tcPr>
            <w:tcW w:w="9537"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color w:val="000000"/>
                <w:sz w:val="22"/>
                <w:szCs w:val="22"/>
              </w:rPr>
            </w:pPr>
            <w:r>
              <w:rPr>
                <w:rFonts w:hint="eastAsia" w:ascii="仿宋_GB2312" w:hAnsi="宋体" w:eastAsia="仿宋_GB2312" w:cs="宋体"/>
                <w:b/>
                <w:color w:val="000000"/>
                <w:kern w:val="0"/>
                <w:sz w:val="22"/>
                <w:szCs w:val="22"/>
                <w:lang w:bidi="ar"/>
              </w:rPr>
              <w:t>监  控  报  告</w:t>
            </w:r>
          </w:p>
        </w:tc>
      </w:tr>
      <w:tr>
        <w:tblPrEx>
          <w:tblCellMar>
            <w:top w:w="15" w:type="dxa"/>
            <w:left w:w="15" w:type="dxa"/>
            <w:bottom w:w="15" w:type="dxa"/>
            <w:right w:w="15" w:type="dxa"/>
          </w:tblCellMar>
        </w:tblPrEx>
        <w:trPr>
          <w:trHeight w:val="907" w:hRule="atLeast"/>
        </w:trPr>
        <w:tc>
          <w:tcPr>
            <w:tcW w:w="272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存在的主要问题</w:t>
            </w:r>
          </w:p>
        </w:tc>
        <w:tc>
          <w:tcPr>
            <w:tcW w:w="680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楷体_GB2312"/>
                <w:color w:val="000000"/>
                <w:sz w:val="22"/>
                <w:szCs w:val="22"/>
              </w:rPr>
            </w:pPr>
            <w:r>
              <w:rPr>
                <w:rFonts w:hint="eastAsia" w:ascii="楷体_GB2312" w:hAnsi="宋体" w:eastAsia="楷体_GB2312" w:cs="宋体"/>
              </w:rPr>
              <w:t>作为全额拨款的行政支持类事业单位，我局公用经费全年</w:t>
            </w:r>
            <w:r>
              <w:rPr>
                <w:rFonts w:hint="eastAsia" w:ascii="楷体_GB2312" w:hAnsi="宋体" w:eastAsia="楷体_GB2312" w:cs="宋体"/>
                <w:lang w:val="en-US" w:eastAsia="zh-CN"/>
              </w:rPr>
              <w:t>10</w:t>
            </w:r>
            <w:r>
              <w:rPr>
                <w:rFonts w:hint="eastAsia" w:ascii="楷体_GB2312" w:hAnsi="宋体" w:eastAsia="楷体_GB2312" w:cs="宋体"/>
              </w:rPr>
              <w:t>7万元。其余要以罚没收入的返还来补充办案经费。非税返还比例</w:t>
            </w:r>
            <w:r>
              <w:rPr>
                <w:rFonts w:hint="eastAsia" w:ascii="楷体_GB2312" w:hAnsi="宋体" w:eastAsia="楷体_GB2312" w:cs="宋体"/>
                <w:lang w:eastAsia="zh-CN"/>
              </w:rPr>
              <w:t>只有</w:t>
            </w:r>
            <w:r>
              <w:rPr>
                <w:rFonts w:hint="eastAsia" w:ascii="楷体_GB2312" w:hAnsi="宋体" w:eastAsia="楷体_GB2312" w:cs="宋体"/>
                <w:lang w:val="en-US" w:eastAsia="zh-CN"/>
              </w:rPr>
              <w:t>4</w:t>
            </w:r>
            <w:r>
              <w:rPr>
                <w:rFonts w:hint="eastAsia" w:ascii="楷体_GB2312" w:hAnsi="宋体" w:eastAsia="楷体_GB2312" w:cs="宋体"/>
              </w:rPr>
              <w:t>0%，经费压力</w:t>
            </w:r>
            <w:r>
              <w:rPr>
                <w:rFonts w:hint="eastAsia" w:ascii="楷体_GB2312" w:hAnsi="宋体" w:eastAsia="楷体_GB2312" w:cs="宋体"/>
                <w:lang w:eastAsia="zh-CN"/>
              </w:rPr>
              <w:t>大</w:t>
            </w:r>
            <w:r>
              <w:rPr>
                <w:rFonts w:hint="eastAsia" w:ascii="楷体_GB2312" w:hAnsi="宋体" w:eastAsia="楷体_GB2312" w:cs="宋体"/>
              </w:rPr>
              <w:t>。</w:t>
            </w:r>
            <w:r>
              <w:rPr>
                <w:rFonts w:hint="eastAsia" w:ascii="楷体_GB2312" w:hAnsi="宋体" w:eastAsia="楷体_GB2312" w:cs="宋体"/>
                <w:lang w:eastAsia="zh-CN"/>
              </w:rPr>
              <w:t>面对日益复杂的市场发展模式和网络等大量衍生的新型文化产业，现有的监管手段和监管设备难以适应新的形势要求。</w:t>
            </w:r>
          </w:p>
        </w:tc>
      </w:tr>
      <w:tr>
        <w:tblPrEx>
          <w:tblCellMar>
            <w:top w:w="15" w:type="dxa"/>
            <w:left w:w="15" w:type="dxa"/>
            <w:bottom w:w="15" w:type="dxa"/>
            <w:right w:w="15" w:type="dxa"/>
          </w:tblCellMar>
        </w:tblPrEx>
        <w:trPr>
          <w:trHeight w:val="907" w:hRule="atLeast"/>
        </w:trPr>
        <w:tc>
          <w:tcPr>
            <w:tcW w:w="272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改进建议或意见</w:t>
            </w:r>
          </w:p>
        </w:tc>
        <w:tc>
          <w:tcPr>
            <w:tcW w:w="680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楷体_GB2312"/>
                <w:color w:val="000000"/>
                <w:sz w:val="22"/>
                <w:szCs w:val="22"/>
              </w:rPr>
            </w:pPr>
            <w:r>
              <w:rPr>
                <w:rFonts w:hint="eastAsia" w:ascii="楷体_GB2312" w:hAnsi="宋体" w:eastAsia="楷体_GB2312" w:cs="宋体"/>
                <w:lang w:eastAsia="zh-CN"/>
              </w:rPr>
              <w:t>加大文化执法能力建设、执法装备设备的投入</w:t>
            </w:r>
          </w:p>
        </w:tc>
      </w:tr>
      <w:tr>
        <w:tblPrEx>
          <w:tblCellMar>
            <w:top w:w="15" w:type="dxa"/>
            <w:left w:w="15" w:type="dxa"/>
            <w:bottom w:w="15" w:type="dxa"/>
            <w:right w:w="15" w:type="dxa"/>
          </w:tblCellMar>
        </w:tblPrEx>
        <w:trPr>
          <w:trHeight w:val="510" w:hRule="atLeast"/>
        </w:trPr>
        <w:tc>
          <w:tcPr>
            <w:tcW w:w="2729" w:type="dxa"/>
            <w:gridSpan w:val="3"/>
            <w:tcBorders>
              <w:top w:val="single" w:color="000000" w:sz="4" w:space="0"/>
            </w:tcBorders>
            <w:noWrap w:val="0"/>
            <w:vAlign w:val="center"/>
          </w:tcPr>
          <w:p>
            <w:pPr>
              <w:widowControl/>
              <w:ind w:firstLine="110" w:firstLineChars="50"/>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单位负责人：</w:t>
            </w:r>
            <w:r>
              <w:rPr>
                <w:rFonts w:hint="eastAsia" w:ascii="仿宋_GB2312" w:hAnsi="宋体" w:eastAsia="仿宋_GB2312" w:cs="仿宋_GB2312"/>
                <w:color w:val="000000"/>
                <w:sz w:val="22"/>
                <w:szCs w:val="22"/>
                <w:lang w:eastAsia="zh-CN"/>
              </w:rPr>
              <w:t>谭建武</w:t>
            </w:r>
          </w:p>
        </w:tc>
        <w:tc>
          <w:tcPr>
            <w:tcW w:w="1287" w:type="dxa"/>
            <w:gridSpan w:val="2"/>
            <w:noWrap w:val="0"/>
            <w:vAlign w:val="center"/>
          </w:tcPr>
          <w:p>
            <w:pPr>
              <w:rPr>
                <w:rFonts w:hint="eastAsia" w:ascii="仿宋_GB2312" w:hAnsi="宋体" w:eastAsia="仿宋_GB2312" w:cs="仿宋_GB2312"/>
                <w:color w:val="000000"/>
                <w:sz w:val="22"/>
                <w:szCs w:val="22"/>
              </w:rPr>
            </w:pPr>
          </w:p>
        </w:tc>
        <w:tc>
          <w:tcPr>
            <w:tcW w:w="1265" w:type="dxa"/>
            <w:gridSpan w:val="2"/>
            <w:noWrap w:val="0"/>
            <w:vAlign w:val="center"/>
          </w:tcPr>
          <w:p>
            <w:pPr>
              <w:rPr>
                <w:rFonts w:hint="eastAsia" w:ascii="仿宋_GB2312" w:hAnsi="宋体" w:eastAsia="仿宋_GB2312" w:cs="仿宋_GB2312"/>
                <w:color w:val="000000"/>
                <w:sz w:val="22"/>
                <w:szCs w:val="22"/>
              </w:rPr>
            </w:pPr>
          </w:p>
        </w:tc>
        <w:tc>
          <w:tcPr>
            <w:tcW w:w="2128" w:type="dxa"/>
            <w:gridSpan w:val="3"/>
            <w:tcBorders>
              <w:top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lang w:eastAsia="zh-CN"/>
              </w:rPr>
            </w:pPr>
            <w:r>
              <w:rPr>
                <w:rFonts w:hint="eastAsia" w:ascii="仿宋_GB2312" w:hAnsi="宋体" w:eastAsia="仿宋_GB2312" w:cs="仿宋_GB2312"/>
                <w:color w:val="000000"/>
                <w:kern w:val="0"/>
                <w:sz w:val="22"/>
                <w:szCs w:val="22"/>
                <w:lang w:bidi="ar"/>
              </w:rPr>
              <w:t>填报人：</w:t>
            </w:r>
            <w:r>
              <w:rPr>
                <w:rFonts w:hint="eastAsia" w:ascii="仿宋_GB2312" w:hAnsi="宋体" w:eastAsia="仿宋_GB2312" w:cs="仿宋_GB2312"/>
                <w:color w:val="000000"/>
                <w:kern w:val="0"/>
                <w:sz w:val="22"/>
                <w:szCs w:val="22"/>
                <w:lang w:eastAsia="zh-CN" w:bidi="ar"/>
              </w:rPr>
              <w:t>孟琼</w:t>
            </w:r>
          </w:p>
        </w:tc>
        <w:tc>
          <w:tcPr>
            <w:tcW w:w="1083" w:type="dxa"/>
            <w:noWrap w:val="0"/>
            <w:vAlign w:val="center"/>
          </w:tcPr>
          <w:p>
            <w:pPr>
              <w:rPr>
                <w:rFonts w:hint="eastAsia" w:ascii="仿宋_GB2312" w:hAnsi="宋体" w:eastAsia="仿宋_GB2312" w:cs="仿宋_GB2312"/>
                <w:color w:val="000000"/>
                <w:sz w:val="22"/>
                <w:szCs w:val="22"/>
              </w:rPr>
            </w:pPr>
          </w:p>
        </w:tc>
        <w:tc>
          <w:tcPr>
            <w:tcW w:w="1045" w:type="dxa"/>
            <w:noWrap w:val="0"/>
            <w:vAlign w:val="bottom"/>
          </w:tcPr>
          <w:p>
            <w:pPr>
              <w:rPr>
                <w:rFonts w:hint="eastAsia" w:ascii="宋体" w:hAnsi="宋体" w:cs="宋体"/>
                <w:color w:val="000000"/>
                <w:sz w:val="22"/>
                <w:szCs w:val="22"/>
              </w:rPr>
            </w:pPr>
          </w:p>
        </w:tc>
      </w:tr>
      <w:tr>
        <w:tblPrEx>
          <w:tblCellMar>
            <w:top w:w="15" w:type="dxa"/>
            <w:left w:w="15" w:type="dxa"/>
            <w:bottom w:w="15" w:type="dxa"/>
            <w:right w:w="15" w:type="dxa"/>
          </w:tblCellMar>
        </w:tblPrEx>
        <w:trPr>
          <w:trHeight w:val="510" w:hRule="atLeast"/>
        </w:trPr>
        <w:tc>
          <w:tcPr>
            <w:tcW w:w="2729" w:type="dxa"/>
            <w:gridSpan w:val="3"/>
            <w:noWrap w:val="0"/>
            <w:vAlign w:val="center"/>
          </w:tcPr>
          <w:p>
            <w:pPr>
              <w:widowControl/>
              <w:ind w:firstLine="110" w:firstLineChars="50"/>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联系电话：</w:t>
            </w:r>
            <w:r>
              <w:rPr>
                <w:rFonts w:hint="eastAsia" w:ascii="仿宋_GB2312" w:hAnsi="宋体" w:eastAsia="仿宋_GB2312" w:cs="宋体"/>
                <w:lang w:val="en-US" w:eastAsia="zh-CN"/>
              </w:rPr>
              <w:t>07308839919</w:t>
            </w:r>
          </w:p>
        </w:tc>
        <w:tc>
          <w:tcPr>
            <w:tcW w:w="1287" w:type="dxa"/>
            <w:gridSpan w:val="2"/>
            <w:noWrap w:val="0"/>
            <w:vAlign w:val="center"/>
          </w:tcPr>
          <w:p>
            <w:pPr>
              <w:rPr>
                <w:rFonts w:hint="eastAsia" w:ascii="仿宋_GB2312" w:hAnsi="宋体" w:eastAsia="仿宋_GB2312" w:cs="仿宋_GB2312"/>
                <w:color w:val="000000"/>
                <w:sz w:val="22"/>
                <w:szCs w:val="22"/>
              </w:rPr>
            </w:pPr>
          </w:p>
        </w:tc>
        <w:tc>
          <w:tcPr>
            <w:tcW w:w="1265" w:type="dxa"/>
            <w:gridSpan w:val="2"/>
            <w:noWrap w:val="0"/>
            <w:vAlign w:val="center"/>
          </w:tcPr>
          <w:p>
            <w:pPr>
              <w:rPr>
                <w:rFonts w:hint="eastAsia" w:ascii="仿宋_GB2312" w:hAnsi="宋体" w:eastAsia="仿宋_GB2312" w:cs="仿宋_GB2312"/>
                <w:color w:val="000000"/>
                <w:sz w:val="22"/>
                <w:szCs w:val="22"/>
              </w:rPr>
            </w:pPr>
          </w:p>
        </w:tc>
        <w:tc>
          <w:tcPr>
            <w:tcW w:w="2128" w:type="dxa"/>
            <w:gridSpan w:val="3"/>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联系电话：</w:t>
            </w:r>
            <w:r>
              <w:rPr>
                <w:rFonts w:hint="eastAsia" w:ascii="仿宋_GB2312" w:hAnsi="宋体" w:eastAsia="仿宋_GB2312" w:cs="宋体"/>
                <w:lang w:val="en-US" w:eastAsia="zh-CN"/>
              </w:rPr>
              <w:t>07308839936</w:t>
            </w:r>
          </w:p>
        </w:tc>
        <w:tc>
          <w:tcPr>
            <w:tcW w:w="1083" w:type="dxa"/>
            <w:noWrap w:val="0"/>
            <w:vAlign w:val="center"/>
          </w:tcPr>
          <w:p>
            <w:pPr>
              <w:rPr>
                <w:rFonts w:hint="eastAsia" w:ascii="仿宋_GB2312" w:hAnsi="宋体" w:eastAsia="仿宋_GB2312" w:cs="仿宋_GB2312"/>
                <w:color w:val="000000"/>
                <w:sz w:val="22"/>
                <w:szCs w:val="22"/>
              </w:rPr>
            </w:pPr>
          </w:p>
        </w:tc>
        <w:tc>
          <w:tcPr>
            <w:tcW w:w="1045" w:type="dxa"/>
            <w:noWrap w:val="0"/>
            <w:vAlign w:val="bottom"/>
          </w:tcPr>
          <w:p>
            <w:pPr>
              <w:rPr>
                <w:rFonts w:hint="eastAsia" w:ascii="宋体" w:hAnsi="宋体" w:cs="宋体"/>
                <w:color w:val="000000"/>
                <w:sz w:val="22"/>
                <w:szCs w:val="22"/>
              </w:rPr>
            </w:pPr>
          </w:p>
        </w:tc>
      </w:tr>
      <w:tr>
        <w:tblPrEx>
          <w:tblCellMar>
            <w:top w:w="15" w:type="dxa"/>
            <w:left w:w="15" w:type="dxa"/>
            <w:bottom w:w="15" w:type="dxa"/>
            <w:right w:w="15" w:type="dxa"/>
          </w:tblCellMar>
        </w:tblPrEx>
        <w:trPr>
          <w:trHeight w:val="510" w:hRule="atLeast"/>
        </w:trPr>
        <w:tc>
          <w:tcPr>
            <w:tcW w:w="1456" w:type="dxa"/>
            <w:gridSpan w:val="2"/>
            <w:noWrap w:val="0"/>
            <w:vAlign w:val="center"/>
          </w:tcPr>
          <w:p>
            <w:pPr>
              <w:rPr>
                <w:rFonts w:hint="eastAsia" w:ascii="仿宋_GB2312" w:hAnsi="宋体" w:eastAsia="仿宋_GB2312" w:cs="仿宋_GB2312"/>
                <w:color w:val="000000"/>
                <w:sz w:val="22"/>
                <w:szCs w:val="22"/>
              </w:rPr>
            </w:pPr>
          </w:p>
        </w:tc>
        <w:tc>
          <w:tcPr>
            <w:tcW w:w="1273" w:type="dxa"/>
            <w:noWrap w:val="0"/>
            <w:vAlign w:val="center"/>
          </w:tcPr>
          <w:p>
            <w:pPr>
              <w:rPr>
                <w:rFonts w:hint="eastAsia" w:ascii="仿宋_GB2312" w:hAnsi="宋体" w:eastAsia="仿宋_GB2312" w:cs="仿宋_GB2312"/>
                <w:color w:val="000000"/>
                <w:sz w:val="22"/>
                <w:szCs w:val="22"/>
              </w:rPr>
            </w:pPr>
          </w:p>
        </w:tc>
        <w:tc>
          <w:tcPr>
            <w:tcW w:w="1287" w:type="dxa"/>
            <w:gridSpan w:val="2"/>
            <w:noWrap w:val="0"/>
            <w:vAlign w:val="center"/>
          </w:tcPr>
          <w:p>
            <w:pPr>
              <w:rPr>
                <w:rFonts w:hint="eastAsia" w:ascii="仿宋_GB2312" w:hAnsi="宋体" w:eastAsia="仿宋_GB2312" w:cs="仿宋_GB2312"/>
                <w:color w:val="000000"/>
                <w:sz w:val="22"/>
                <w:szCs w:val="22"/>
              </w:rPr>
            </w:pPr>
          </w:p>
        </w:tc>
        <w:tc>
          <w:tcPr>
            <w:tcW w:w="1265" w:type="dxa"/>
            <w:gridSpan w:val="2"/>
            <w:noWrap w:val="0"/>
            <w:vAlign w:val="center"/>
          </w:tcPr>
          <w:p>
            <w:pPr>
              <w:rPr>
                <w:rFonts w:hint="eastAsia" w:ascii="仿宋_GB2312" w:hAnsi="宋体" w:eastAsia="仿宋_GB2312" w:cs="仿宋_GB2312"/>
                <w:color w:val="000000"/>
                <w:sz w:val="22"/>
                <w:szCs w:val="22"/>
              </w:rPr>
            </w:pPr>
          </w:p>
        </w:tc>
        <w:tc>
          <w:tcPr>
            <w:tcW w:w="4256" w:type="dxa"/>
            <w:gridSpan w:val="5"/>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填报时间：</w:t>
            </w:r>
            <w:r>
              <w:rPr>
                <w:rFonts w:hint="eastAsia"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bidi="ar"/>
              </w:rPr>
              <w:t>年</w:t>
            </w:r>
            <w:r>
              <w:rPr>
                <w:rFonts w:hint="eastAsia" w:ascii="仿宋_GB2312" w:hAnsi="宋体" w:eastAsia="仿宋_GB2312" w:cs="仿宋_GB2312"/>
                <w:color w:val="000000"/>
                <w:kern w:val="0"/>
                <w:sz w:val="22"/>
                <w:szCs w:val="22"/>
                <w:lang w:val="en-US" w:eastAsia="zh-CN" w:bidi="ar"/>
              </w:rPr>
              <w:t>12</w:t>
            </w:r>
            <w:r>
              <w:rPr>
                <w:rFonts w:hint="eastAsia" w:ascii="仿宋_GB2312" w:hAnsi="宋体" w:eastAsia="仿宋_GB2312" w:cs="仿宋_GB2312"/>
                <w:color w:val="000000"/>
                <w:kern w:val="0"/>
                <w:sz w:val="22"/>
                <w:szCs w:val="22"/>
                <w:lang w:bidi="ar"/>
              </w:rPr>
              <w:t>月</w:t>
            </w:r>
            <w:r>
              <w:rPr>
                <w:rFonts w:hint="eastAsia" w:ascii="仿宋_GB2312" w:hAnsi="宋体" w:eastAsia="仿宋_GB2312" w:cs="仿宋_GB2312"/>
                <w:color w:val="000000"/>
                <w:kern w:val="0"/>
                <w:sz w:val="22"/>
                <w:szCs w:val="22"/>
                <w:lang w:val="en-US" w:eastAsia="zh-CN" w:bidi="ar"/>
              </w:rPr>
              <w:t>18</w:t>
            </w:r>
            <w:r>
              <w:rPr>
                <w:rFonts w:hint="eastAsia" w:ascii="仿宋_GB2312" w:hAnsi="宋体" w:eastAsia="仿宋_GB2312" w:cs="仿宋_GB2312"/>
                <w:color w:val="000000"/>
                <w:kern w:val="0"/>
                <w:sz w:val="22"/>
                <w:szCs w:val="22"/>
                <w:lang w:bidi="ar"/>
              </w:rPr>
              <w:t>日</w:t>
            </w:r>
          </w:p>
        </w:tc>
      </w:tr>
    </w:tbl>
    <w:p>
      <w:pPr>
        <w:spacing w:line="200" w:lineRule="exact"/>
        <w:rPr>
          <w:rFonts w:eastAsia="仿宋_GB2312"/>
          <w:sz w:val="32"/>
        </w:rPr>
      </w:pPr>
    </w:p>
    <w:p>
      <w:pPr>
        <w:spacing w:line="660" w:lineRule="exact"/>
        <w:rPr>
          <w:rFonts w:hint="eastAsia" w:ascii="黑体" w:hAnsi="宋体" w:eastAsia="黑体" w:cs="宋体"/>
          <w:bCs/>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36208"/>
    <w:rsid w:val="04AC408C"/>
    <w:rsid w:val="1CC46B5A"/>
    <w:rsid w:val="3C8E1F2C"/>
    <w:rsid w:val="41BF4712"/>
    <w:rsid w:val="4AD16D76"/>
    <w:rsid w:val="4F521D98"/>
    <w:rsid w:val="55F36208"/>
    <w:rsid w:val="5FAC1CB7"/>
    <w:rsid w:val="63831126"/>
    <w:rsid w:val="7D8139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2020-12-18T01:52:00Z</dcterms:created>
  <dc:creator>Administrator</dc:creator>
  <cp:lastModifiedBy>Administrator</cp:lastModifiedBy>
  <dcterms:modified xsi:type="dcterms:W3CDTF">2021-09-16T08:59:39Z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900F3EDF3C5D4954B08CF35EFF493717</vt:lpwstr>
  </property>
</Properties>
</file>