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tLeast"/>
        <w:rPr>
          <w:rFonts w:ascii="宋体" w:hAnsi="宋体"/>
          <w:b/>
          <w:sz w:val="44"/>
          <w:szCs w:val="44"/>
        </w:rPr>
      </w:pPr>
    </w:p>
    <w:p>
      <w:pPr>
        <w:spacing w:line="360" w:lineRule="auto"/>
        <w:jc w:val="center"/>
        <w:rPr>
          <w:rFonts w:ascii="宋体" w:hAnsi="宋体"/>
          <w:b/>
          <w:sz w:val="56"/>
          <w:szCs w:val="52"/>
        </w:rPr>
      </w:pPr>
      <w:r>
        <w:rPr>
          <w:rFonts w:hint="eastAsia" w:ascii="宋体" w:hAnsi="宋体"/>
          <w:b/>
          <w:sz w:val="56"/>
          <w:szCs w:val="52"/>
        </w:rPr>
        <w:t>岳阳城陵矶综合保税区</w:t>
      </w:r>
    </w:p>
    <w:p>
      <w:pPr>
        <w:spacing w:line="360" w:lineRule="auto"/>
        <w:jc w:val="center"/>
        <w:rPr>
          <w:rFonts w:ascii="宋体" w:hAnsi="宋体"/>
          <w:b/>
          <w:sz w:val="56"/>
          <w:szCs w:val="52"/>
        </w:rPr>
      </w:pPr>
      <w:r>
        <w:rPr>
          <w:rFonts w:hint="eastAsia" w:ascii="宋体" w:hAnsi="宋体"/>
          <w:b/>
          <w:sz w:val="56"/>
          <w:szCs w:val="52"/>
        </w:rPr>
        <w:t>进口汽车综合服务中心项目建议书</w:t>
      </w:r>
    </w:p>
    <w:p>
      <w:pPr>
        <w:widowControl/>
        <w:shd w:val="clear" w:color="auto" w:fill="FFFFFF"/>
        <w:adjustRightInd w:val="0"/>
        <w:snapToGrid w:val="0"/>
        <w:spacing w:beforeLines="50" w:beforeAutospacing="0" w:afterLines="50" w:afterAutospacing="0" w:line="540" w:lineRule="atLeast"/>
        <w:rPr>
          <w:rFonts w:ascii="黑体" w:hAnsi="黑体" w:eastAsia="黑体" w:cs="宋体"/>
          <w:b/>
          <w:bCs/>
          <w:color w:val="000000"/>
          <w:kern w:val="44"/>
          <w:sz w:val="36"/>
          <w:szCs w:val="20"/>
        </w:rPr>
      </w:pPr>
    </w:p>
    <w:p>
      <w:pPr>
        <w:widowControl/>
        <w:shd w:val="clear" w:color="auto" w:fill="FFFFFF"/>
        <w:adjustRightInd w:val="0"/>
        <w:snapToGrid w:val="0"/>
        <w:spacing w:beforeLines="50" w:beforeAutospacing="0" w:afterLines="50" w:afterAutospacing="0" w:line="540" w:lineRule="atLeast"/>
        <w:rPr>
          <w:rFonts w:ascii="黑体" w:hAnsi="黑体" w:eastAsia="黑体" w:cs="宋体"/>
          <w:b/>
          <w:bCs/>
          <w:color w:val="000000"/>
          <w:kern w:val="44"/>
          <w:sz w:val="36"/>
          <w:szCs w:val="20"/>
        </w:rPr>
      </w:pPr>
    </w:p>
    <w:p>
      <w:pPr>
        <w:widowControl/>
        <w:shd w:val="clear" w:color="auto" w:fill="FFFFFF"/>
        <w:adjustRightInd w:val="0"/>
        <w:snapToGrid w:val="0"/>
        <w:spacing w:beforeLines="50" w:beforeAutospacing="0" w:afterLines="50" w:afterAutospacing="0" w:line="540" w:lineRule="atLeast"/>
        <w:rPr>
          <w:rFonts w:ascii="黑体" w:hAnsi="黑体" w:eastAsia="黑体" w:cs="宋体"/>
          <w:b/>
          <w:bCs/>
          <w:color w:val="000000"/>
          <w:kern w:val="44"/>
          <w:sz w:val="36"/>
          <w:szCs w:val="20"/>
        </w:rPr>
      </w:pPr>
    </w:p>
    <w:p>
      <w:pPr>
        <w:widowControl/>
        <w:shd w:val="clear" w:color="auto" w:fill="FFFFFF"/>
        <w:adjustRightInd w:val="0"/>
        <w:snapToGrid w:val="0"/>
        <w:spacing w:beforeLines="50" w:beforeAutospacing="0" w:afterLines="50" w:afterAutospacing="0" w:line="540" w:lineRule="atLeast"/>
        <w:rPr>
          <w:rFonts w:ascii="黑体" w:hAnsi="黑体" w:eastAsia="黑体" w:cs="宋体"/>
          <w:b/>
          <w:bCs/>
          <w:color w:val="000000"/>
          <w:kern w:val="44"/>
          <w:sz w:val="36"/>
          <w:szCs w:val="20"/>
        </w:rPr>
      </w:pPr>
    </w:p>
    <w:p>
      <w:pPr>
        <w:widowControl/>
        <w:shd w:val="clear" w:color="auto" w:fill="FFFFFF"/>
        <w:adjustRightInd w:val="0"/>
        <w:snapToGrid w:val="0"/>
        <w:spacing w:beforeLines="50" w:beforeAutospacing="0" w:afterLines="50" w:afterAutospacing="0" w:line="540" w:lineRule="atLeast"/>
        <w:rPr>
          <w:rFonts w:ascii="黑体" w:hAnsi="黑体" w:eastAsia="黑体" w:cs="宋体"/>
          <w:b/>
          <w:bCs/>
          <w:color w:val="000000"/>
          <w:kern w:val="44"/>
          <w:sz w:val="36"/>
          <w:szCs w:val="20"/>
        </w:rPr>
      </w:pPr>
    </w:p>
    <w:p>
      <w:pPr>
        <w:widowControl/>
        <w:shd w:val="clear" w:color="auto" w:fill="FFFFFF"/>
        <w:adjustRightInd w:val="0"/>
        <w:snapToGrid w:val="0"/>
        <w:spacing w:beforeLines="50" w:beforeAutospacing="0" w:afterLines="50" w:afterAutospacing="0" w:line="540" w:lineRule="atLeast"/>
        <w:rPr>
          <w:rFonts w:ascii="黑体" w:hAnsi="黑体" w:eastAsia="黑体" w:cs="宋体"/>
          <w:b/>
          <w:bCs/>
          <w:color w:val="000000"/>
          <w:kern w:val="44"/>
          <w:sz w:val="36"/>
          <w:szCs w:val="20"/>
        </w:rPr>
      </w:pPr>
    </w:p>
    <w:p>
      <w:pPr>
        <w:widowControl/>
        <w:shd w:val="clear" w:color="auto" w:fill="FFFFFF"/>
        <w:adjustRightInd w:val="0"/>
        <w:snapToGrid w:val="0"/>
        <w:spacing w:beforeLines="50" w:beforeAutospacing="0" w:afterLines="50" w:afterAutospacing="0" w:line="540" w:lineRule="atLeast"/>
        <w:rPr>
          <w:rFonts w:ascii="黑体" w:hAnsi="黑体" w:eastAsia="黑体" w:cs="宋体"/>
          <w:b/>
          <w:bCs/>
          <w:color w:val="000000"/>
          <w:kern w:val="44"/>
          <w:sz w:val="36"/>
          <w:szCs w:val="20"/>
        </w:rPr>
      </w:pPr>
    </w:p>
    <w:p>
      <w:pPr>
        <w:widowControl/>
        <w:shd w:val="clear" w:color="auto" w:fill="FFFFFF"/>
        <w:adjustRightInd w:val="0"/>
        <w:snapToGrid w:val="0"/>
        <w:spacing w:beforeLines="50" w:beforeAutospacing="0" w:afterLines="50" w:afterAutospacing="0" w:line="540" w:lineRule="atLeast"/>
        <w:rPr>
          <w:rFonts w:ascii="黑体" w:hAnsi="黑体" w:eastAsia="黑体" w:cs="宋体"/>
          <w:b/>
          <w:bCs/>
          <w:color w:val="000000"/>
          <w:kern w:val="44"/>
          <w:sz w:val="36"/>
          <w:szCs w:val="20"/>
        </w:rPr>
      </w:pPr>
    </w:p>
    <w:p>
      <w:pPr>
        <w:widowControl/>
        <w:shd w:val="clear" w:color="auto" w:fill="FFFFFF"/>
        <w:adjustRightInd w:val="0"/>
        <w:snapToGrid w:val="0"/>
        <w:spacing w:beforeLines="50" w:beforeAutospacing="0" w:afterLines="50" w:afterAutospacing="0" w:line="540" w:lineRule="atLeast"/>
        <w:rPr>
          <w:rFonts w:ascii="黑体" w:hAnsi="黑体" w:eastAsia="黑体" w:cs="宋体"/>
          <w:b/>
          <w:bCs/>
          <w:color w:val="000000"/>
          <w:kern w:val="44"/>
          <w:sz w:val="36"/>
          <w:szCs w:val="20"/>
        </w:rPr>
      </w:pPr>
    </w:p>
    <w:p>
      <w:pPr>
        <w:widowControl/>
        <w:shd w:val="clear" w:color="auto" w:fill="FFFFFF"/>
        <w:adjustRightInd w:val="0"/>
        <w:snapToGrid w:val="0"/>
        <w:spacing w:beforeLines="50" w:beforeAutospacing="0" w:afterLines="50" w:afterAutospacing="0" w:line="540" w:lineRule="atLeast"/>
        <w:rPr>
          <w:rFonts w:ascii="黑体" w:hAnsi="黑体" w:eastAsia="黑体" w:cs="宋体"/>
          <w:b/>
          <w:bCs/>
          <w:color w:val="000000"/>
          <w:kern w:val="44"/>
          <w:sz w:val="36"/>
          <w:szCs w:val="20"/>
        </w:rPr>
      </w:pPr>
    </w:p>
    <w:p>
      <w:pPr>
        <w:widowControl/>
        <w:shd w:val="clear" w:color="auto" w:fill="FFFFFF"/>
        <w:adjustRightInd w:val="0"/>
        <w:snapToGrid w:val="0"/>
        <w:spacing w:beforeLines="50" w:beforeAutospacing="0" w:afterLines="50" w:afterAutospacing="0" w:line="540" w:lineRule="atLeast"/>
        <w:rPr>
          <w:rFonts w:ascii="黑体" w:hAnsi="黑体" w:eastAsia="黑体" w:cs="宋体"/>
          <w:b/>
          <w:bCs/>
          <w:color w:val="000000"/>
          <w:kern w:val="44"/>
          <w:sz w:val="36"/>
          <w:szCs w:val="20"/>
        </w:rPr>
      </w:pPr>
    </w:p>
    <w:p>
      <w:pPr>
        <w:widowControl/>
        <w:shd w:val="clear" w:color="auto" w:fill="FFFFFF"/>
        <w:adjustRightInd w:val="0"/>
        <w:snapToGrid w:val="0"/>
        <w:spacing w:beforeLines="50" w:beforeAutospacing="0" w:afterLines="50" w:afterAutospacing="0" w:line="540" w:lineRule="atLeast"/>
        <w:rPr>
          <w:rFonts w:ascii="黑体" w:hAnsi="黑体" w:eastAsia="黑体" w:cs="宋体"/>
          <w:b/>
          <w:bCs/>
          <w:color w:val="000000"/>
          <w:kern w:val="44"/>
          <w:sz w:val="36"/>
          <w:szCs w:val="20"/>
        </w:rPr>
      </w:pPr>
    </w:p>
    <w:p>
      <w:pPr>
        <w:spacing w:line="540" w:lineRule="atLeast"/>
        <w:jc w:val="center"/>
        <w:rPr>
          <w:rFonts w:ascii="黑体" w:eastAsia="黑体"/>
          <w:sz w:val="28"/>
          <w:szCs w:val="28"/>
        </w:rPr>
      </w:pPr>
      <w:r>
        <w:rPr>
          <w:rFonts w:hint="eastAsia" w:ascii="黑体" w:eastAsia="黑体"/>
          <w:sz w:val="28"/>
          <w:szCs w:val="28"/>
        </w:rPr>
        <w:t>湖南城陵矶新港区</w:t>
      </w:r>
    </w:p>
    <w:p>
      <w:pPr>
        <w:spacing w:line="540" w:lineRule="atLeast"/>
        <w:jc w:val="center"/>
        <w:rPr>
          <w:rFonts w:ascii="黑体" w:eastAsia="黑体"/>
          <w:sz w:val="28"/>
          <w:szCs w:val="28"/>
        </w:rPr>
      </w:pPr>
      <w:r>
        <w:rPr>
          <w:rFonts w:hint="eastAsia" w:ascii="黑体" w:eastAsia="黑体"/>
          <w:sz w:val="28"/>
          <w:szCs w:val="28"/>
        </w:rPr>
        <w:t>二〇一七年七月·岳阳</w:t>
      </w:r>
    </w:p>
    <w:sdt>
      <w:sdtPr>
        <w:rPr>
          <w:rFonts w:ascii="Times New Roman" w:hAnsi="Times New Roman" w:eastAsia="宋体" w:cs="Times New Roman"/>
          <w:b w:val="0"/>
          <w:bCs w:val="0"/>
          <w:color w:val="auto"/>
          <w:kern w:val="2"/>
          <w:sz w:val="21"/>
          <w:szCs w:val="22"/>
          <w:lang w:val="zh-CN"/>
        </w:rPr>
        <w:id w:val="130183657"/>
        <w:docPartObj>
          <w:docPartGallery w:val="Table of Contents"/>
          <w:docPartUnique/>
        </w:docPartObj>
      </w:sdtPr>
      <w:sdtEndPr>
        <w:rPr>
          <w:rFonts w:ascii="Times New Roman" w:hAnsi="Times New Roman" w:eastAsia="宋体" w:cs="Times New Roman"/>
          <w:b w:val="0"/>
          <w:bCs w:val="0"/>
          <w:color w:val="auto"/>
          <w:kern w:val="2"/>
          <w:sz w:val="21"/>
          <w:szCs w:val="22"/>
          <w:lang w:val="en-US"/>
        </w:rPr>
      </w:sdtEndPr>
      <w:sdtContent>
        <w:p>
          <w:pPr>
            <w:pStyle w:val="24"/>
            <w:spacing w:line="540" w:lineRule="atLeast"/>
            <w:jc w:val="center"/>
            <w:rPr>
              <w:rFonts w:ascii="Times New Roman" w:hAnsi="Times New Roman" w:eastAsia="宋体" w:cs="Times New Roman"/>
              <w:b w:val="0"/>
              <w:bCs w:val="0"/>
              <w:color w:val="auto"/>
              <w:kern w:val="2"/>
              <w:sz w:val="21"/>
              <w:szCs w:val="22"/>
              <w:lang w:val="zh-CN"/>
            </w:rPr>
            <w:sectPr>
              <w:footerReference r:id="rId6" w:type="first"/>
              <w:headerReference r:id="rId4" w:type="default"/>
              <w:footerReference r:id="rId5" w:type="default"/>
              <w:pgSz w:w="11906" w:h="16838"/>
              <w:pgMar w:top="1440" w:right="1701" w:bottom="1440" w:left="1701" w:header="851" w:footer="992" w:gutter="0"/>
              <w:cols w:space="720" w:num="1"/>
              <w:titlePg/>
              <w:docGrid w:type="lines" w:linePitch="312" w:charSpace="0"/>
            </w:sectPr>
          </w:pPr>
        </w:p>
        <w:p>
          <w:pPr>
            <w:pStyle w:val="24"/>
            <w:spacing w:line="540" w:lineRule="atLeast"/>
            <w:jc w:val="center"/>
            <w:rPr>
              <w:rFonts w:ascii="黑体" w:hAnsi="黑体" w:eastAsia="黑体"/>
              <w:color w:val="000000" w:themeColor="text1"/>
              <w:sz w:val="32"/>
              <w:szCs w:val="32"/>
              <w:lang w:val="zh-CN"/>
            </w:rPr>
          </w:pPr>
          <w:r>
            <w:rPr>
              <w:rFonts w:ascii="黑体" w:hAnsi="黑体" w:eastAsia="黑体"/>
              <w:color w:val="000000" w:themeColor="text1"/>
              <w:sz w:val="32"/>
              <w:szCs w:val="32"/>
              <w:lang w:val="zh-CN"/>
            </w:rPr>
            <w:t>目</w:t>
          </w:r>
          <w:r>
            <w:rPr>
              <w:rFonts w:hint="eastAsia" w:ascii="黑体" w:hAnsi="黑体" w:eastAsia="黑体"/>
              <w:color w:val="000000" w:themeColor="text1"/>
              <w:sz w:val="32"/>
              <w:szCs w:val="32"/>
              <w:lang w:val="zh-CN"/>
            </w:rPr>
            <w:t xml:space="preserve">  </w:t>
          </w:r>
          <w:r>
            <w:rPr>
              <w:rFonts w:ascii="黑体" w:hAnsi="黑体" w:eastAsia="黑体"/>
              <w:color w:val="000000" w:themeColor="text1"/>
              <w:sz w:val="32"/>
              <w:szCs w:val="32"/>
              <w:lang w:val="zh-CN"/>
            </w:rPr>
            <w:t>录</w:t>
          </w:r>
        </w:p>
        <w:p>
          <w:pPr>
            <w:pStyle w:val="9"/>
            <w:tabs>
              <w:tab w:val="right" w:leader="dot" w:pos="8494"/>
            </w:tabs>
            <w:spacing w:before="0" w:beforeAutospacing="0" w:after="0" w:afterAutospacing="0" w:line="540" w:lineRule="atLeast"/>
          </w:pPr>
        </w:p>
        <w:p>
          <w:pPr>
            <w:pStyle w:val="9"/>
            <w:tabs>
              <w:tab w:val="right" w:leader="dot" w:pos="8494"/>
            </w:tabs>
            <w:spacing w:before="0" w:beforeAutospacing="0" w:after="0" w:afterAutospacing="0" w:line="420" w:lineRule="exact"/>
            <w:rPr>
              <w:rFonts w:ascii="黑体" w:hAnsi="黑体" w:eastAsia="黑体" w:cstheme="minorBidi"/>
            </w:rPr>
          </w:pPr>
          <w:r>
            <w:fldChar w:fldCharType="begin"/>
          </w:r>
          <w:r>
            <w:instrText xml:space="preserve"> TOC \o "1-3" \h \z \u </w:instrText>
          </w:r>
          <w:r>
            <w:fldChar w:fldCharType="separate"/>
          </w:r>
          <w:r>
            <w:fldChar w:fldCharType="begin"/>
          </w:r>
          <w:r>
            <w:instrText xml:space="preserve"> HYPERLINK \l "_Toc489013220" </w:instrText>
          </w:r>
          <w:r>
            <w:fldChar w:fldCharType="separate"/>
          </w:r>
          <w:r>
            <w:rPr>
              <w:rStyle w:val="15"/>
              <w:rFonts w:hint="eastAsia" w:ascii="黑体" w:hAnsi="黑体" w:eastAsia="黑体"/>
              <w:sz w:val="24"/>
              <w:szCs w:val="24"/>
            </w:rPr>
            <w:t>第1章</w:t>
          </w:r>
          <w:r>
            <w:rPr>
              <w:rStyle w:val="15"/>
              <w:rFonts w:ascii="黑体" w:hAnsi="黑体" w:eastAsia="黑体"/>
              <w:sz w:val="24"/>
              <w:szCs w:val="24"/>
            </w:rPr>
            <w:t xml:space="preserve"> </w:t>
          </w:r>
          <w:r>
            <w:rPr>
              <w:rStyle w:val="15"/>
              <w:rFonts w:hint="eastAsia" w:ascii="黑体" w:hAnsi="黑体" w:eastAsia="黑体"/>
              <w:sz w:val="24"/>
              <w:szCs w:val="24"/>
            </w:rPr>
            <w:t>项目概况</w:t>
          </w:r>
          <w:r>
            <w:rPr>
              <w:rFonts w:ascii="黑体" w:hAnsi="黑体" w:eastAsia="黑体"/>
            </w:rPr>
            <w:tab/>
          </w:r>
          <w:r>
            <w:rPr>
              <w:rFonts w:ascii="黑体" w:hAnsi="黑体" w:eastAsia="黑体"/>
            </w:rPr>
            <w:fldChar w:fldCharType="begin"/>
          </w:r>
          <w:r>
            <w:rPr>
              <w:rFonts w:ascii="黑体" w:hAnsi="黑体" w:eastAsia="黑体"/>
            </w:rPr>
            <w:instrText xml:space="preserve"> PAGEREF _Toc489013220 \h </w:instrText>
          </w:r>
          <w:r>
            <w:rPr>
              <w:rFonts w:ascii="黑体" w:hAnsi="黑体" w:eastAsia="黑体"/>
            </w:rPr>
            <w:fldChar w:fldCharType="separate"/>
          </w:r>
          <w:r>
            <w:rPr>
              <w:rFonts w:ascii="黑体" w:hAnsi="黑体" w:eastAsia="黑体"/>
            </w:rPr>
            <w:t>1</w:t>
          </w:r>
          <w:r>
            <w:rPr>
              <w:rFonts w:ascii="黑体" w:hAnsi="黑体" w:eastAsia="黑体"/>
            </w:rPr>
            <w:fldChar w:fldCharType="end"/>
          </w:r>
          <w:r>
            <w:rPr>
              <w:rFonts w:ascii="黑体" w:hAnsi="黑体" w:eastAsia="黑体"/>
            </w:rPr>
            <w:fldChar w:fldCharType="end"/>
          </w:r>
        </w:p>
        <w:p>
          <w:pPr>
            <w:pStyle w:val="10"/>
            <w:tabs>
              <w:tab w:val="right" w:leader="dot" w:pos="8494"/>
            </w:tabs>
            <w:spacing w:before="0" w:beforeAutospacing="0" w:after="0" w:afterAutospacing="0" w:line="420" w:lineRule="exact"/>
            <w:rPr>
              <w:rFonts w:ascii="黑体" w:hAnsi="黑体" w:eastAsia="黑体" w:cstheme="minorBidi"/>
            </w:rPr>
          </w:pPr>
          <w:r>
            <w:fldChar w:fldCharType="begin"/>
          </w:r>
          <w:r>
            <w:instrText xml:space="preserve"> HYPERLINK \l "_Toc489013221" </w:instrText>
          </w:r>
          <w:r>
            <w:fldChar w:fldCharType="separate"/>
          </w:r>
          <w:r>
            <w:rPr>
              <w:rStyle w:val="15"/>
              <w:rFonts w:ascii="黑体" w:hAnsi="黑体" w:eastAsia="黑体"/>
              <w:bCs/>
            </w:rPr>
            <w:t>1.1</w:t>
          </w:r>
          <w:r>
            <w:rPr>
              <w:rStyle w:val="15"/>
              <w:rFonts w:hint="eastAsia" w:ascii="黑体" w:hAnsi="黑体" w:eastAsia="黑体"/>
              <w:bCs/>
            </w:rPr>
            <w:t>项目基本信息</w:t>
          </w:r>
          <w:r>
            <w:rPr>
              <w:rFonts w:ascii="黑体" w:hAnsi="黑体" w:eastAsia="黑体"/>
            </w:rPr>
            <w:tab/>
          </w:r>
          <w:r>
            <w:rPr>
              <w:rFonts w:ascii="黑体" w:hAnsi="黑体" w:eastAsia="黑体"/>
            </w:rPr>
            <w:fldChar w:fldCharType="begin"/>
          </w:r>
          <w:r>
            <w:rPr>
              <w:rFonts w:ascii="黑体" w:hAnsi="黑体" w:eastAsia="黑体"/>
            </w:rPr>
            <w:instrText xml:space="preserve"> PAGEREF _Toc489013221 \h </w:instrText>
          </w:r>
          <w:r>
            <w:rPr>
              <w:rFonts w:ascii="黑体" w:hAnsi="黑体" w:eastAsia="黑体"/>
            </w:rPr>
            <w:fldChar w:fldCharType="separate"/>
          </w:r>
          <w:r>
            <w:rPr>
              <w:rFonts w:ascii="黑体" w:hAnsi="黑体" w:eastAsia="黑体"/>
            </w:rPr>
            <w:t>1</w:t>
          </w:r>
          <w:r>
            <w:rPr>
              <w:rFonts w:ascii="黑体" w:hAnsi="黑体" w:eastAsia="黑体"/>
            </w:rPr>
            <w:fldChar w:fldCharType="end"/>
          </w:r>
          <w:r>
            <w:rPr>
              <w:rFonts w:ascii="黑体" w:hAnsi="黑体" w:eastAsia="黑体"/>
            </w:rPr>
            <w:fldChar w:fldCharType="end"/>
          </w:r>
        </w:p>
        <w:p>
          <w:pPr>
            <w:pStyle w:val="10"/>
            <w:tabs>
              <w:tab w:val="right" w:leader="dot" w:pos="8494"/>
            </w:tabs>
            <w:spacing w:before="0" w:beforeAutospacing="0" w:after="0" w:afterAutospacing="0" w:line="420" w:lineRule="exact"/>
            <w:rPr>
              <w:rFonts w:ascii="黑体" w:hAnsi="黑体" w:eastAsia="黑体" w:cstheme="minorBidi"/>
            </w:rPr>
          </w:pPr>
          <w:r>
            <w:fldChar w:fldCharType="begin"/>
          </w:r>
          <w:r>
            <w:instrText xml:space="preserve"> HYPERLINK \l "_Toc489013222" </w:instrText>
          </w:r>
          <w:r>
            <w:fldChar w:fldCharType="separate"/>
          </w:r>
          <w:r>
            <w:rPr>
              <w:rStyle w:val="15"/>
              <w:rFonts w:ascii="黑体" w:hAnsi="黑体" w:eastAsia="黑体"/>
              <w:bCs/>
            </w:rPr>
            <w:t>1.2</w:t>
          </w:r>
          <w:r>
            <w:rPr>
              <w:rStyle w:val="15"/>
              <w:rFonts w:hint="eastAsia" w:ascii="黑体" w:hAnsi="黑体" w:eastAsia="黑体"/>
              <w:bCs/>
            </w:rPr>
            <w:t>项目投资概况</w:t>
          </w:r>
          <w:r>
            <w:rPr>
              <w:rFonts w:ascii="黑体" w:hAnsi="黑体" w:eastAsia="黑体"/>
            </w:rPr>
            <w:tab/>
          </w:r>
          <w:r>
            <w:rPr>
              <w:rFonts w:ascii="黑体" w:hAnsi="黑体" w:eastAsia="黑体"/>
            </w:rPr>
            <w:fldChar w:fldCharType="begin"/>
          </w:r>
          <w:r>
            <w:rPr>
              <w:rFonts w:ascii="黑体" w:hAnsi="黑体" w:eastAsia="黑体"/>
            </w:rPr>
            <w:instrText xml:space="preserve"> PAGEREF _Toc489013222 \h </w:instrText>
          </w:r>
          <w:r>
            <w:rPr>
              <w:rFonts w:ascii="黑体" w:hAnsi="黑体" w:eastAsia="黑体"/>
            </w:rPr>
            <w:fldChar w:fldCharType="separate"/>
          </w:r>
          <w:r>
            <w:rPr>
              <w:rFonts w:ascii="黑体" w:hAnsi="黑体" w:eastAsia="黑体"/>
            </w:rPr>
            <w:t>1</w:t>
          </w:r>
          <w:r>
            <w:rPr>
              <w:rFonts w:ascii="黑体" w:hAnsi="黑体" w:eastAsia="黑体"/>
            </w:rPr>
            <w:fldChar w:fldCharType="end"/>
          </w:r>
          <w:r>
            <w:rPr>
              <w:rFonts w:ascii="黑体" w:hAnsi="黑体" w:eastAsia="黑体"/>
            </w:rPr>
            <w:fldChar w:fldCharType="end"/>
          </w:r>
        </w:p>
        <w:p>
          <w:pPr>
            <w:pStyle w:val="9"/>
            <w:tabs>
              <w:tab w:val="right" w:leader="dot" w:pos="8494"/>
            </w:tabs>
            <w:spacing w:before="0" w:beforeAutospacing="0" w:after="0" w:afterAutospacing="0" w:line="420" w:lineRule="exact"/>
            <w:rPr>
              <w:rFonts w:ascii="黑体" w:hAnsi="黑体" w:eastAsia="黑体" w:cstheme="minorBidi"/>
            </w:rPr>
          </w:pPr>
          <w:r>
            <w:fldChar w:fldCharType="begin"/>
          </w:r>
          <w:r>
            <w:instrText xml:space="preserve"> HYPERLINK \l "_Toc489013223" </w:instrText>
          </w:r>
          <w:r>
            <w:fldChar w:fldCharType="separate"/>
          </w:r>
          <w:r>
            <w:rPr>
              <w:rStyle w:val="15"/>
              <w:rFonts w:hint="eastAsia" w:ascii="黑体" w:hAnsi="黑体" w:eastAsia="黑体"/>
              <w:sz w:val="24"/>
              <w:szCs w:val="24"/>
            </w:rPr>
            <w:t>第2章</w:t>
          </w:r>
          <w:r>
            <w:rPr>
              <w:rStyle w:val="15"/>
              <w:rFonts w:ascii="黑体" w:hAnsi="黑体" w:eastAsia="黑体"/>
              <w:sz w:val="24"/>
              <w:szCs w:val="24"/>
            </w:rPr>
            <w:t xml:space="preserve"> </w:t>
          </w:r>
          <w:r>
            <w:rPr>
              <w:rStyle w:val="15"/>
              <w:rFonts w:hint="eastAsia" w:ascii="黑体" w:hAnsi="黑体" w:eastAsia="黑体"/>
              <w:sz w:val="24"/>
              <w:szCs w:val="24"/>
            </w:rPr>
            <w:t>项目建设的必要性与可行性</w:t>
          </w:r>
          <w:r>
            <w:rPr>
              <w:rFonts w:ascii="黑体" w:hAnsi="黑体" w:eastAsia="黑体"/>
            </w:rPr>
            <w:tab/>
          </w:r>
          <w:r>
            <w:rPr>
              <w:rFonts w:ascii="黑体" w:hAnsi="黑体" w:eastAsia="黑体"/>
            </w:rPr>
            <w:fldChar w:fldCharType="begin"/>
          </w:r>
          <w:r>
            <w:rPr>
              <w:rFonts w:ascii="黑体" w:hAnsi="黑体" w:eastAsia="黑体"/>
            </w:rPr>
            <w:instrText xml:space="preserve"> PAGEREF _Toc489013223 \h </w:instrText>
          </w:r>
          <w:r>
            <w:rPr>
              <w:rFonts w:ascii="黑体" w:hAnsi="黑体" w:eastAsia="黑体"/>
            </w:rPr>
            <w:fldChar w:fldCharType="separate"/>
          </w:r>
          <w:r>
            <w:rPr>
              <w:rFonts w:ascii="黑体" w:hAnsi="黑体" w:eastAsia="黑体"/>
            </w:rPr>
            <w:t>2</w:t>
          </w:r>
          <w:r>
            <w:rPr>
              <w:rFonts w:ascii="黑体" w:hAnsi="黑体" w:eastAsia="黑体"/>
            </w:rPr>
            <w:fldChar w:fldCharType="end"/>
          </w:r>
          <w:r>
            <w:rPr>
              <w:rFonts w:ascii="黑体" w:hAnsi="黑体" w:eastAsia="黑体"/>
            </w:rPr>
            <w:fldChar w:fldCharType="end"/>
          </w:r>
        </w:p>
        <w:p>
          <w:pPr>
            <w:pStyle w:val="10"/>
            <w:tabs>
              <w:tab w:val="right" w:leader="dot" w:pos="8494"/>
            </w:tabs>
            <w:spacing w:before="0" w:beforeAutospacing="0" w:after="0" w:afterAutospacing="0" w:line="420" w:lineRule="exact"/>
            <w:rPr>
              <w:rFonts w:ascii="黑体" w:hAnsi="黑体" w:eastAsia="黑体" w:cstheme="minorBidi"/>
            </w:rPr>
          </w:pPr>
          <w:r>
            <w:fldChar w:fldCharType="begin"/>
          </w:r>
          <w:r>
            <w:instrText xml:space="preserve"> HYPERLINK \l "_Toc489013224" </w:instrText>
          </w:r>
          <w:r>
            <w:fldChar w:fldCharType="separate"/>
          </w:r>
          <w:r>
            <w:rPr>
              <w:rStyle w:val="15"/>
              <w:rFonts w:ascii="黑体" w:hAnsi="黑体" w:eastAsia="黑体"/>
              <w:bCs/>
            </w:rPr>
            <w:t>2.1</w:t>
          </w:r>
          <w:r>
            <w:rPr>
              <w:rStyle w:val="15"/>
              <w:rFonts w:hint="eastAsia" w:ascii="黑体" w:hAnsi="黑体" w:eastAsia="黑体"/>
              <w:bCs/>
            </w:rPr>
            <w:t>项目建设的必要性</w:t>
          </w:r>
          <w:r>
            <w:rPr>
              <w:rFonts w:ascii="黑体" w:hAnsi="黑体" w:eastAsia="黑体"/>
            </w:rPr>
            <w:tab/>
          </w:r>
          <w:r>
            <w:rPr>
              <w:rFonts w:ascii="黑体" w:hAnsi="黑体" w:eastAsia="黑体"/>
            </w:rPr>
            <w:fldChar w:fldCharType="begin"/>
          </w:r>
          <w:r>
            <w:rPr>
              <w:rFonts w:ascii="黑体" w:hAnsi="黑体" w:eastAsia="黑体"/>
            </w:rPr>
            <w:instrText xml:space="preserve"> PAGEREF _Toc489013224 \h </w:instrText>
          </w:r>
          <w:r>
            <w:rPr>
              <w:rFonts w:ascii="黑体" w:hAnsi="黑体" w:eastAsia="黑体"/>
            </w:rPr>
            <w:fldChar w:fldCharType="separate"/>
          </w:r>
          <w:r>
            <w:rPr>
              <w:rFonts w:ascii="黑体" w:hAnsi="黑体" w:eastAsia="黑体"/>
            </w:rPr>
            <w:t>2</w:t>
          </w:r>
          <w:r>
            <w:rPr>
              <w:rFonts w:ascii="黑体" w:hAnsi="黑体" w:eastAsia="黑体"/>
            </w:rPr>
            <w:fldChar w:fldCharType="end"/>
          </w:r>
          <w:r>
            <w:rPr>
              <w:rFonts w:ascii="黑体" w:hAnsi="黑体" w:eastAsia="黑体"/>
            </w:rPr>
            <w:fldChar w:fldCharType="end"/>
          </w:r>
        </w:p>
        <w:p>
          <w:pPr>
            <w:pStyle w:val="10"/>
            <w:tabs>
              <w:tab w:val="right" w:leader="dot" w:pos="8494"/>
            </w:tabs>
            <w:spacing w:before="0" w:beforeAutospacing="0" w:after="0" w:afterAutospacing="0" w:line="420" w:lineRule="exact"/>
            <w:rPr>
              <w:rFonts w:ascii="黑体" w:hAnsi="黑体" w:eastAsia="黑体" w:cstheme="minorBidi"/>
            </w:rPr>
          </w:pPr>
          <w:r>
            <w:fldChar w:fldCharType="begin"/>
          </w:r>
          <w:r>
            <w:instrText xml:space="preserve"> HYPERLINK \l "_Toc489013225" </w:instrText>
          </w:r>
          <w:r>
            <w:fldChar w:fldCharType="separate"/>
          </w:r>
          <w:r>
            <w:rPr>
              <w:rStyle w:val="15"/>
              <w:rFonts w:ascii="黑体" w:hAnsi="黑体" w:eastAsia="黑体"/>
              <w:bCs/>
            </w:rPr>
            <w:t>2.2</w:t>
          </w:r>
          <w:r>
            <w:rPr>
              <w:rStyle w:val="15"/>
              <w:rFonts w:hint="eastAsia" w:ascii="黑体" w:hAnsi="黑体" w:eastAsia="黑体"/>
              <w:bCs/>
            </w:rPr>
            <w:t>项目建设的可行性</w:t>
          </w:r>
          <w:r>
            <w:rPr>
              <w:rFonts w:ascii="黑体" w:hAnsi="黑体" w:eastAsia="黑体"/>
            </w:rPr>
            <w:tab/>
          </w:r>
          <w:r>
            <w:rPr>
              <w:rFonts w:ascii="黑体" w:hAnsi="黑体" w:eastAsia="黑体"/>
            </w:rPr>
            <w:fldChar w:fldCharType="begin"/>
          </w:r>
          <w:r>
            <w:rPr>
              <w:rFonts w:ascii="黑体" w:hAnsi="黑体" w:eastAsia="黑体"/>
            </w:rPr>
            <w:instrText xml:space="preserve"> PAGEREF _Toc489013225 \h </w:instrText>
          </w:r>
          <w:r>
            <w:rPr>
              <w:rFonts w:ascii="黑体" w:hAnsi="黑体" w:eastAsia="黑体"/>
            </w:rPr>
            <w:fldChar w:fldCharType="separate"/>
          </w:r>
          <w:r>
            <w:rPr>
              <w:rFonts w:ascii="黑体" w:hAnsi="黑体" w:eastAsia="黑体"/>
            </w:rPr>
            <w:t>3</w:t>
          </w:r>
          <w:r>
            <w:rPr>
              <w:rFonts w:ascii="黑体" w:hAnsi="黑体" w:eastAsia="黑体"/>
            </w:rPr>
            <w:fldChar w:fldCharType="end"/>
          </w:r>
          <w:r>
            <w:rPr>
              <w:rFonts w:ascii="黑体" w:hAnsi="黑体" w:eastAsia="黑体"/>
            </w:rPr>
            <w:fldChar w:fldCharType="end"/>
          </w:r>
        </w:p>
        <w:p>
          <w:pPr>
            <w:pStyle w:val="9"/>
            <w:tabs>
              <w:tab w:val="right" w:leader="dot" w:pos="8494"/>
            </w:tabs>
            <w:spacing w:before="0" w:beforeAutospacing="0" w:after="0" w:afterAutospacing="0" w:line="420" w:lineRule="exact"/>
            <w:rPr>
              <w:rFonts w:ascii="黑体" w:hAnsi="黑体" w:eastAsia="黑体" w:cstheme="minorBidi"/>
            </w:rPr>
          </w:pPr>
          <w:r>
            <w:fldChar w:fldCharType="begin"/>
          </w:r>
          <w:r>
            <w:instrText xml:space="preserve"> HYPERLINK \l "_Toc489013226" </w:instrText>
          </w:r>
          <w:r>
            <w:fldChar w:fldCharType="separate"/>
          </w:r>
          <w:r>
            <w:rPr>
              <w:rStyle w:val="15"/>
              <w:rFonts w:hint="eastAsia" w:ascii="黑体" w:hAnsi="黑体" w:eastAsia="黑体"/>
              <w:sz w:val="24"/>
              <w:szCs w:val="24"/>
            </w:rPr>
            <w:t>第3章</w:t>
          </w:r>
          <w:r>
            <w:rPr>
              <w:rStyle w:val="15"/>
              <w:rFonts w:ascii="黑体" w:hAnsi="黑体" w:eastAsia="黑体"/>
              <w:sz w:val="24"/>
              <w:szCs w:val="24"/>
            </w:rPr>
            <w:t xml:space="preserve"> </w:t>
          </w:r>
          <w:r>
            <w:rPr>
              <w:rStyle w:val="15"/>
              <w:rFonts w:hint="eastAsia" w:ascii="黑体" w:hAnsi="黑体" w:eastAsia="黑体"/>
              <w:sz w:val="24"/>
              <w:szCs w:val="24"/>
            </w:rPr>
            <w:t>市场分析</w:t>
          </w:r>
          <w:r>
            <w:rPr>
              <w:rFonts w:ascii="黑体" w:hAnsi="黑体" w:eastAsia="黑体"/>
            </w:rPr>
            <w:tab/>
          </w:r>
          <w:r>
            <w:rPr>
              <w:rFonts w:ascii="黑体" w:hAnsi="黑体" w:eastAsia="黑体"/>
            </w:rPr>
            <w:fldChar w:fldCharType="begin"/>
          </w:r>
          <w:r>
            <w:rPr>
              <w:rFonts w:ascii="黑体" w:hAnsi="黑体" w:eastAsia="黑体"/>
            </w:rPr>
            <w:instrText xml:space="preserve"> PAGEREF _Toc489013226 \h </w:instrText>
          </w:r>
          <w:r>
            <w:rPr>
              <w:rFonts w:ascii="黑体" w:hAnsi="黑体" w:eastAsia="黑体"/>
            </w:rPr>
            <w:fldChar w:fldCharType="separate"/>
          </w:r>
          <w:r>
            <w:rPr>
              <w:rFonts w:ascii="黑体" w:hAnsi="黑体" w:eastAsia="黑体"/>
            </w:rPr>
            <w:t>5</w:t>
          </w:r>
          <w:r>
            <w:rPr>
              <w:rFonts w:ascii="黑体" w:hAnsi="黑体" w:eastAsia="黑体"/>
            </w:rPr>
            <w:fldChar w:fldCharType="end"/>
          </w:r>
          <w:r>
            <w:rPr>
              <w:rFonts w:ascii="黑体" w:hAnsi="黑体" w:eastAsia="黑体"/>
            </w:rPr>
            <w:fldChar w:fldCharType="end"/>
          </w:r>
        </w:p>
        <w:p>
          <w:pPr>
            <w:pStyle w:val="10"/>
            <w:tabs>
              <w:tab w:val="right" w:leader="dot" w:pos="8494"/>
            </w:tabs>
            <w:spacing w:before="0" w:beforeAutospacing="0" w:after="0" w:afterAutospacing="0" w:line="420" w:lineRule="exact"/>
            <w:rPr>
              <w:rFonts w:ascii="黑体" w:hAnsi="黑体" w:eastAsia="黑体" w:cstheme="minorBidi"/>
            </w:rPr>
          </w:pPr>
          <w:r>
            <w:fldChar w:fldCharType="begin"/>
          </w:r>
          <w:r>
            <w:instrText xml:space="preserve"> HYPERLINK \l "_Toc489013227" </w:instrText>
          </w:r>
          <w:r>
            <w:fldChar w:fldCharType="separate"/>
          </w:r>
          <w:r>
            <w:rPr>
              <w:rStyle w:val="15"/>
              <w:rFonts w:ascii="黑体" w:hAnsi="黑体" w:eastAsia="黑体"/>
            </w:rPr>
            <w:t xml:space="preserve">3.1 </w:t>
          </w:r>
          <w:r>
            <w:rPr>
              <w:rStyle w:val="15"/>
              <w:rFonts w:hint="eastAsia" w:ascii="黑体" w:hAnsi="黑体" w:eastAsia="黑体"/>
            </w:rPr>
            <w:t>市场定性分析</w:t>
          </w:r>
          <w:r>
            <w:rPr>
              <w:rFonts w:ascii="黑体" w:hAnsi="黑体" w:eastAsia="黑体"/>
            </w:rPr>
            <w:tab/>
          </w:r>
          <w:r>
            <w:rPr>
              <w:rFonts w:ascii="黑体" w:hAnsi="黑体" w:eastAsia="黑体"/>
            </w:rPr>
            <w:fldChar w:fldCharType="begin"/>
          </w:r>
          <w:r>
            <w:rPr>
              <w:rFonts w:ascii="黑体" w:hAnsi="黑体" w:eastAsia="黑体"/>
            </w:rPr>
            <w:instrText xml:space="preserve"> PAGEREF _Toc489013227 \h </w:instrText>
          </w:r>
          <w:r>
            <w:rPr>
              <w:rFonts w:ascii="黑体" w:hAnsi="黑体" w:eastAsia="黑体"/>
            </w:rPr>
            <w:fldChar w:fldCharType="separate"/>
          </w:r>
          <w:r>
            <w:rPr>
              <w:rFonts w:ascii="黑体" w:hAnsi="黑体" w:eastAsia="黑体"/>
            </w:rPr>
            <w:t>5</w:t>
          </w:r>
          <w:r>
            <w:rPr>
              <w:rFonts w:ascii="黑体" w:hAnsi="黑体" w:eastAsia="黑体"/>
            </w:rPr>
            <w:fldChar w:fldCharType="end"/>
          </w:r>
          <w:r>
            <w:rPr>
              <w:rFonts w:ascii="黑体" w:hAnsi="黑体" w:eastAsia="黑体"/>
            </w:rPr>
            <w:fldChar w:fldCharType="end"/>
          </w:r>
        </w:p>
        <w:p>
          <w:pPr>
            <w:pStyle w:val="10"/>
            <w:tabs>
              <w:tab w:val="right" w:leader="dot" w:pos="8494"/>
            </w:tabs>
            <w:spacing w:before="0" w:beforeAutospacing="0" w:after="0" w:afterAutospacing="0" w:line="420" w:lineRule="exact"/>
            <w:rPr>
              <w:rFonts w:ascii="黑体" w:hAnsi="黑体" w:eastAsia="黑体" w:cstheme="minorBidi"/>
            </w:rPr>
          </w:pPr>
          <w:r>
            <w:fldChar w:fldCharType="begin"/>
          </w:r>
          <w:r>
            <w:instrText xml:space="preserve"> HYPERLINK \l "_Toc489013228" </w:instrText>
          </w:r>
          <w:r>
            <w:fldChar w:fldCharType="separate"/>
          </w:r>
          <w:r>
            <w:rPr>
              <w:rStyle w:val="15"/>
              <w:rFonts w:ascii="黑体" w:hAnsi="黑体" w:eastAsia="黑体"/>
            </w:rPr>
            <w:t>3.2</w:t>
          </w:r>
          <w:r>
            <w:rPr>
              <w:rStyle w:val="15"/>
              <w:rFonts w:hint="eastAsia" w:ascii="黑体" w:hAnsi="黑体" w:eastAsia="黑体"/>
            </w:rPr>
            <w:t>市场定量预测</w:t>
          </w:r>
          <w:r>
            <w:rPr>
              <w:rFonts w:ascii="黑体" w:hAnsi="黑体" w:eastAsia="黑体"/>
            </w:rPr>
            <w:tab/>
          </w:r>
          <w:r>
            <w:rPr>
              <w:rFonts w:ascii="黑体" w:hAnsi="黑体" w:eastAsia="黑体"/>
            </w:rPr>
            <w:fldChar w:fldCharType="begin"/>
          </w:r>
          <w:r>
            <w:rPr>
              <w:rFonts w:ascii="黑体" w:hAnsi="黑体" w:eastAsia="黑体"/>
            </w:rPr>
            <w:instrText xml:space="preserve"> PAGEREF _Toc489013228 \h </w:instrText>
          </w:r>
          <w:r>
            <w:rPr>
              <w:rFonts w:ascii="黑体" w:hAnsi="黑体" w:eastAsia="黑体"/>
            </w:rPr>
            <w:fldChar w:fldCharType="separate"/>
          </w:r>
          <w:r>
            <w:rPr>
              <w:rFonts w:ascii="黑体" w:hAnsi="黑体" w:eastAsia="黑体"/>
            </w:rPr>
            <w:t>6</w:t>
          </w:r>
          <w:r>
            <w:rPr>
              <w:rFonts w:ascii="黑体" w:hAnsi="黑体" w:eastAsia="黑体"/>
            </w:rPr>
            <w:fldChar w:fldCharType="end"/>
          </w:r>
          <w:r>
            <w:rPr>
              <w:rFonts w:ascii="黑体" w:hAnsi="黑体" w:eastAsia="黑体"/>
            </w:rPr>
            <w:fldChar w:fldCharType="end"/>
          </w:r>
        </w:p>
        <w:p>
          <w:pPr>
            <w:pStyle w:val="9"/>
            <w:tabs>
              <w:tab w:val="right" w:leader="dot" w:pos="8494"/>
            </w:tabs>
            <w:spacing w:before="0" w:beforeAutospacing="0" w:after="0" w:afterAutospacing="0" w:line="420" w:lineRule="exact"/>
            <w:rPr>
              <w:rFonts w:ascii="黑体" w:hAnsi="黑体" w:eastAsia="黑体" w:cstheme="minorBidi"/>
            </w:rPr>
          </w:pPr>
          <w:r>
            <w:fldChar w:fldCharType="begin"/>
          </w:r>
          <w:r>
            <w:instrText xml:space="preserve"> HYPERLINK \l "_Toc489013229" </w:instrText>
          </w:r>
          <w:r>
            <w:fldChar w:fldCharType="separate"/>
          </w:r>
          <w:r>
            <w:rPr>
              <w:rStyle w:val="15"/>
              <w:rFonts w:hint="eastAsia" w:ascii="黑体" w:hAnsi="黑体" w:eastAsia="黑体"/>
              <w:sz w:val="24"/>
              <w:szCs w:val="24"/>
            </w:rPr>
            <w:t>第4章</w:t>
          </w:r>
          <w:r>
            <w:rPr>
              <w:rStyle w:val="15"/>
              <w:rFonts w:ascii="黑体" w:hAnsi="黑体" w:eastAsia="黑体"/>
              <w:sz w:val="24"/>
              <w:szCs w:val="24"/>
            </w:rPr>
            <w:t xml:space="preserve"> </w:t>
          </w:r>
          <w:r>
            <w:rPr>
              <w:rStyle w:val="15"/>
              <w:rFonts w:hint="eastAsia" w:ascii="黑体" w:hAnsi="黑体" w:eastAsia="黑体"/>
              <w:sz w:val="24"/>
              <w:szCs w:val="24"/>
            </w:rPr>
            <w:t>项目建设方案</w:t>
          </w:r>
          <w:r>
            <w:rPr>
              <w:rFonts w:ascii="黑体" w:hAnsi="黑体" w:eastAsia="黑体"/>
            </w:rPr>
            <w:tab/>
          </w:r>
          <w:r>
            <w:rPr>
              <w:rFonts w:ascii="黑体" w:hAnsi="黑体" w:eastAsia="黑体"/>
            </w:rPr>
            <w:fldChar w:fldCharType="begin"/>
          </w:r>
          <w:r>
            <w:rPr>
              <w:rFonts w:ascii="黑体" w:hAnsi="黑体" w:eastAsia="黑体"/>
            </w:rPr>
            <w:instrText xml:space="preserve"> PAGEREF _Toc489013229 \h </w:instrText>
          </w:r>
          <w:r>
            <w:rPr>
              <w:rFonts w:ascii="黑体" w:hAnsi="黑体" w:eastAsia="黑体"/>
            </w:rPr>
            <w:fldChar w:fldCharType="separate"/>
          </w:r>
          <w:r>
            <w:rPr>
              <w:rFonts w:ascii="黑体" w:hAnsi="黑体" w:eastAsia="黑体"/>
            </w:rPr>
            <w:t>8</w:t>
          </w:r>
          <w:r>
            <w:rPr>
              <w:rFonts w:ascii="黑体" w:hAnsi="黑体" w:eastAsia="黑体"/>
            </w:rPr>
            <w:fldChar w:fldCharType="end"/>
          </w:r>
          <w:r>
            <w:rPr>
              <w:rFonts w:ascii="黑体" w:hAnsi="黑体" w:eastAsia="黑体"/>
            </w:rPr>
            <w:fldChar w:fldCharType="end"/>
          </w:r>
        </w:p>
        <w:p>
          <w:pPr>
            <w:pStyle w:val="9"/>
            <w:tabs>
              <w:tab w:val="right" w:leader="dot" w:pos="8494"/>
            </w:tabs>
            <w:spacing w:before="0" w:beforeAutospacing="0" w:after="0" w:afterAutospacing="0" w:line="420" w:lineRule="exact"/>
            <w:rPr>
              <w:rFonts w:ascii="黑体" w:hAnsi="黑体" w:eastAsia="黑体" w:cstheme="minorBidi"/>
            </w:rPr>
          </w:pPr>
          <w:r>
            <w:fldChar w:fldCharType="begin"/>
          </w:r>
          <w:r>
            <w:instrText xml:space="preserve"> HYPERLINK \l "_Toc489013230" </w:instrText>
          </w:r>
          <w:r>
            <w:fldChar w:fldCharType="separate"/>
          </w:r>
          <w:r>
            <w:rPr>
              <w:rFonts w:hint="eastAsia" w:ascii="黑体" w:hAnsi="黑体" w:eastAsia="黑体"/>
              <w:sz w:val="24"/>
              <w:szCs w:val="24"/>
            </w:rPr>
            <w:t>第5章</w:t>
          </w:r>
          <w:r>
            <w:rPr>
              <w:rFonts w:ascii="黑体" w:hAnsi="黑体" w:eastAsia="黑体"/>
              <w:sz w:val="24"/>
              <w:szCs w:val="24"/>
            </w:rPr>
            <w:t xml:space="preserve"> </w:t>
          </w:r>
          <w:r>
            <w:rPr>
              <w:rFonts w:hint="eastAsia" w:ascii="黑体" w:hAnsi="黑体" w:eastAsia="黑体"/>
              <w:sz w:val="24"/>
              <w:szCs w:val="24"/>
            </w:rPr>
            <w:t>投资概算</w:t>
          </w:r>
          <w:r>
            <w:rPr>
              <w:rFonts w:ascii="黑体" w:hAnsi="黑体" w:eastAsia="黑体"/>
            </w:rPr>
            <w:tab/>
          </w:r>
          <w:r>
            <w:rPr>
              <w:rFonts w:ascii="黑体" w:hAnsi="黑体" w:eastAsia="黑体"/>
            </w:rPr>
            <w:fldChar w:fldCharType="begin"/>
          </w:r>
          <w:r>
            <w:rPr>
              <w:rFonts w:ascii="黑体" w:hAnsi="黑体" w:eastAsia="黑体"/>
            </w:rPr>
            <w:instrText xml:space="preserve"> PAGEREF _Toc489013230 \h </w:instrText>
          </w:r>
          <w:r>
            <w:rPr>
              <w:rFonts w:ascii="黑体" w:hAnsi="黑体" w:eastAsia="黑体"/>
            </w:rPr>
            <w:fldChar w:fldCharType="separate"/>
          </w:r>
          <w:r>
            <w:rPr>
              <w:rFonts w:ascii="黑体" w:hAnsi="黑体" w:eastAsia="黑体"/>
            </w:rPr>
            <w:t>10</w:t>
          </w:r>
          <w:r>
            <w:rPr>
              <w:rFonts w:ascii="黑体" w:hAnsi="黑体" w:eastAsia="黑体"/>
            </w:rPr>
            <w:fldChar w:fldCharType="end"/>
          </w:r>
          <w:r>
            <w:rPr>
              <w:rFonts w:ascii="黑体" w:hAnsi="黑体" w:eastAsia="黑体"/>
            </w:rPr>
            <w:fldChar w:fldCharType="end"/>
          </w:r>
        </w:p>
        <w:p>
          <w:pPr>
            <w:pStyle w:val="9"/>
            <w:tabs>
              <w:tab w:val="right" w:leader="dot" w:pos="8494"/>
            </w:tabs>
            <w:spacing w:before="0" w:beforeAutospacing="0" w:after="0" w:afterAutospacing="0" w:line="420" w:lineRule="exact"/>
            <w:rPr>
              <w:rFonts w:ascii="黑体" w:hAnsi="黑体" w:eastAsia="黑体" w:cstheme="minorBidi"/>
            </w:rPr>
          </w:pPr>
          <w:r>
            <w:fldChar w:fldCharType="begin"/>
          </w:r>
          <w:r>
            <w:instrText xml:space="preserve"> HYPERLINK \l "_Toc489013231" </w:instrText>
          </w:r>
          <w:r>
            <w:fldChar w:fldCharType="separate"/>
          </w:r>
          <w:r>
            <w:rPr>
              <w:rFonts w:hint="eastAsia" w:ascii="黑体" w:hAnsi="黑体" w:eastAsia="黑体"/>
              <w:sz w:val="24"/>
              <w:szCs w:val="24"/>
            </w:rPr>
            <w:t>第6章</w:t>
          </w:r>
          <w:r>
            <w:rPr>
              <w:rFonts w:ascii="黑体" w:hAnsi="黑体" w:eastAsia="黑体"/>
              <w:sz w:val="24"/>
              <w:szCs w:val="24"/>
            </w:rPr>
            <w:t xml:space="preserve"> </w:t>
          </w:r>
          <w:r>
            <w:rPr>
              <w:rFonts w:hint="eastAsia" w:ascii="黑体" w:hAnsi="黑体" w:eastAsia="黑体"/>
              <w:sz w:val="24"/>
              <w:szCs w:val="24"/>
            </w:rPr>
            <w:t>员工配备</w:t>
          </w:r>
          <w:r>
            <w:rPr>
              <w:rFonts w:ascii="黑体" w:hAnsi="黑体" w:eastAsia="黑体"/>
            </w:rPr>
            <w:tab/>
          </w:r>
          <w:r>
            <w:rPr>
              <w:rFonts w:ascii="黑体" w:hAnsi="黑体" w:eastAsia="黑体"/>
            </w:rPr>
            <w:fldChar w:fldCharType="begin"/>
          </w:r>
          <w:r>
            <w:rPr>
              <w:rFonts w:ascii="黑体" w:hAnsi="黑体" w:eastAsia="黑体"/>
            </w:rPr>
            <w:instrText xml:space="preserve"> PAGEREF _Toc489013231 \h </w:instrText>
          </w:r>
          <w:r>
            <w:rPr>
              <w:rFonts w:ascii="黑体" w:hAnsi="黑体" w:eastAsia="黑体"/>
            </w:rPr>
            <w:fldChar w:fldCharType="separate"/>
          </w:r>
          <w:r>
            <w:rPr>
              <w:rFonts w:ascii="黑体" w:hAnsi="黑体" w:eastAsia="黑体"/>
            </w:rPr>
            <w:t>11</w:t>
          </w:r>
          <w:r>
            <w:rPr>
              <w:rFonts w:ascii="黑体" w:hAnsi="黑体" w:eastAsia="黑体"/>
            </w:rPr>
            <w:fldChar w:fldCharType="end"/>
          </w:r>
          <w:r>
            <w:rPr>
              <w:rFonts w:ascii="黑体" w:hAnsi="黑体" w:eastAsia="黑体"/>
            </w:rPr>
            <w:fldChar w:fldCharType="end"/>
          </w:r>
        </w:p>
        <w:p>
          <w:pPr>
            <w:pStyle w:val="9"/>
            <w:tabs>
              <w:tab w:val="right" w:leader="dot" w:pos="8494"/>
            </w:tabs>
            <w:spacing w:before="0" w:beforeAutospacing="0" w:after="0" w:afterAutospacing="0" w:line="420" w:lineRule="exact"/>
            <w:rPr>
              <w:rFonts w:ascii="黑体" w:hAnsi="黑体" w:eastAsia="黑体" w:cstheme="minorBidi"/>
            </w:rPr>
          </w:pPr>
          <w:r>
            <w:fldChar w:fldCharType="begin"/>
          </w:r>
          <w:r>
            <w:instrText xml:space="preserve"> HYPERLINK \l "_Toc489013232" </w:instrText>
          </w:r>
          <w:r>
            <w:fldChar w:fldCharType="separate"/>
          </w:r>
          <w:r>
            <w:rPr>
              <w:rFonts w:hint="eastAsia" w:ascii="黑体" w:hAnsi="黑体" w:eastAsia="黑体"/>
              <w:sz w:val="24"/>
              <w:szCs w:val="24"/>
            </w:rPr>
            <w:t>第7章</w:t>
          </w:r>
          <w:r>
            <w:rPr>
              <w:rFonts w:ascii="黑体" w:hAnsi="黑体" w:eastAsia="黑体"/>
              <w:sz w:val="24"/>
              <w:szCs w:val="24"/>
            </w:rPr>
            <w:t xml:space="preserve"> </w:t>
          </w:r>
          <w:r>
            <w:rPr>
              <w:rFonts w:hint="eastAsia" w:ascii="黑体" w:hAnsi="黑体" w:eastAsia="黑体"/>
              <w:sz w:val="24"/>
              <w:szCs w:val="24"/>
            </w:rPr>
            <w:t>投资方式和资金来源</w:t>
          </w:r>
          <w:r>
            <w:rPr>
              <w:rFonts w:ascii="黑体" w:hAnsi="黑体" w:eastAsia="黑体"/>
            </w:rPr>
            <w:tab/>
          </w:r>
          <w:r>
            <w:rPr>
              <w:rFonts w:ascii="黑体" w:hAnsi="黑体" w:eastAsia="黑体"/>
            </w:rPr>
            <w:fldChar w:fldCharType="begin"/>
          </w:r>
          <w:r>
            <w:rPr>
              <w:rFonts w:ascii="黑体" w:hAnsi="黑体" w:eastAsia="黑体"/>
            </w:rPr>
            <w:instrText xml:space="preserve"> PAGEREF _Toc489013232 \h </w:instrText>
          </w:r>
          <w:r>
            <w:rPr>
              <w:rFonts w:ascii="黑体" w:hAnsi="黑体" w:eastAsia="黑体"/>
            </w:rPr>
            <w:fldChar w:fldCharType="separate"/>
          </w:r>
          <w:r>
            <w:rPr>
              <w:rFonts w:ascii="黑体" w:hAnsi="黑体" w:eastAsia="黑体"/>
            </w:rPr>
            <w:t>12</w:t>
          </w:r>
          <w:r>
            <w:rPr>
              <w:rFonts w:ascii="黑体" w:hAnsi="黑体" w:eastAsia="黑体"/>
            </w:rPr>
            <w:fldChar w:fldCharType="end"/>
          </w:r>
          <w:r>
            <w:rPr>
              <w:rFonts w:ascii="黑体" w:hAnsi="黑体" w:eastAsia="黑体"/>
            </w:rPr>
            <w:fldChar w:fldCharType="end"/>
          </w:r>
        </w:p>
        <w:p>
          <w:pPr>
            <w:pStyle w:val="9"/>
            <w:tabs>
              <w:tab w:val="right" w:leader="dot" w:pos="8494"/>
            </w:tabs>
            <w:spacing w:before="0" w:beforeAutospacing="0" w:after="0" w:afterAutospacing="0" w:line="420" w:lineRule="exact"/>
            <w:rPr>
              <w:rFonts w:ascii="黑体" w:hAnsi="黑体" w:eastAsia="黑体"/>
              <w:sz w:val="24"/>
              <w:szCs w:val="24"/>
            </w:rPr>
          </w:pPr>
          <w:r>
            <w:fldChar w:fldCharType="begin"/>
          </w:r>
          <w:r>
            <w:instrText xml:space="preserve"> HYPERLINK \l "_Toc489013233" </w:instrText>
          </w:r>
          <w:r>
            <w:fldChar w:fldCharType="separate"/>
          </w:r>
          <w:r>
            <w:rPr>
              <w:rFonts w:hint="eastAsia" w:ascii="黑体" w:hAnsi="黑体" w:eastAsia="黑体"/>
              <w:sz w:val="24"/>
              <w:szCs w:val="24"/>
            </w:rPr>
            <w:t>第8章</w:t>
          </w:r>
          <w:r>
            <w:rPr>
              <w:rFonts w:ascii="黑体" w:hAnsi="黑体" w:eastAsia="黑体"/>
              <w:sz w:val="24"/>
              <w:szCs w:val="24"/>
            </w:rPr>
            <w:t xml:space="preserve"> </w:t>
          </w:r>
          <w:r>
            <w:rPr>
              <w:rFonts w:hint="eastAsia" w:ascii="黑体" w:hAnsi="黑体" w:eastAsia="黑体"/>
              <w:sz w:val="24"/>
              <w:szCs w:val="24"/>
            </w:rPr>
            <w:t>效益分析</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_Toc489013233 \h </w:instrText>
          </w:r>
          <w:r>
            <w:rPr>
              <w:rFonts w:ascii="黑体" w:hAnsi="黑体" w:eastAsia="黑体"/>
              <w:sz w:val="24"/>
              <w:szCs w:val="24"/>
            </w:rPr>
            <w:fldChar w:fldCharType="separate"/>
          </w:r>
          <w:r>
            <w:rPr>
              <w:rFonts w:ascii="黑体" w:hAnsi="黑体" w:eastAsia="黑体"/>
              <w:sz w:val="24"/>
              <w:szCs w:val="24"/>
            </w:rPr>
            <w:t>13</w:t>
          </w:r>
          <w:r>
            <w:rPr>
              <w:rFonts w:ascii="黑体" w:hAnsi="黑体" w:eastAsia="黑体"/>
              <w:sz w:val="24"/>
              <w:szCs w:val="24"/>
            </w:rPr>
            <w:fldChar w:fldCharType="end"/>
          </w:r>
          <w:r>
            <w:rPr>
              <w:rFonts w:ascii="黑体" w:hAnsi="黑体" w:eastAsia="黑体"/>
              <w:sz w:val="24"/>
              <w:szCs w:val="24"/>
            </w:rPr>
            <w:fldChar w:fldCharType="end"/>
          </w:r>
        </w:p>
        <w:p>
          <w:pPr>
            <w:pStyle w:val="10"/>
            <w:tabs>
              <w:tab w:val="right" w:leader="dot" w:pos="8494"/>
            </w:tabs>
            <w:spacing w:before="0" w:beforeAutospacing="0" w:after="0" w:afterAutospacing="0" w:line="420" w:lineRule="exact"/>
            <w:rPr>
              <w:rFonts w:ascii="黑体" w:hAnsi="黑体" w:eastAsia="黑体"/>
              <w:sz w:val="24"/>
              <w:szCs w:val="24"/>
            </w:rPr>
          </w:pPr>
          <w:r>
            <w:fldChar w:fldCharType="begin"/>
          </w:r>
          <w:r>
            <w:instrText xml:space="preserve"> HYPERLINK \l "_Toc489013234" </w:instrText>
          </w:r>
          <w:r>
            <w:fldChar w:fldCharType="separate"/>
          </w:r>
          <w:r>
            <w:rPr>
              <w:rFonts w:ascii="黑体" w:hAnsi="黑体" w:eastAsia="黑体"/>
              <w:szCs w:val="21"/>
            </w:rPr>
            <w:t>8.1</w:t>
          </w:r>
          <w:r>
            <w:rPr>
              <w:rFonts w:hint="eastAsia" w:ascii="黑体" w:hAnsi="黑体" w:eastAsia="黑体"/>
              <w:szCs w:val="21"/>
            </w:rPr>
            <w:t>经济效益</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_Toc489013234 \h </w:instrText>
          </w:r>
          <w:r>
            <w:rPr>
              <w:rFonts w:ascii="黑体" w:hAnsi="黑体" w:eastAsia="黑体"/>
              <w:sz w:val="24"/>
              <w:szCs w:val="24"/>
            </w:rPr>
            <w:fldChar w:fldCharType="separate"/>
          </w:r>
          <w:r>
            <w:rPr>
              <w:rFonts w:ascii="黑体" w:hAnsi="黑体" w:eastAsia="黑体"/>
              <w:sz w:val="24"/>
              <w:szCs w:val="24"/>
            </w:rPr>
            <w:t>13</w:t>
          </w:r>
          <w:r>
            <w:rPr>
              <w:rFonts w:ascii="黑体" w:hAnsi="黑体" w:eastAsia="黑体"/>
              <w:sz w:val="24"/>
              <w:szCs w:val="24"/>
            </w:rPr>
            <w:fldChar w:fldCharType="end"/>
          </w:r>
          <w:r>
            <w:rPr>
              <w:rFonts w:ascii="黑体" w:hAnsi="黑体" w:eastAsia="黑体"/>
              <w:sz w:val="24"/>
              <w:szCs w:val="24"/>
            </w:rPr>
            <w:fldChar w:fldCharType="end"/>
          </w:r>
        </w:p>
        <w:p>
          <w:pPr>
            <w:pStyle w:val="10"/>
            <w:tabs>
              <w:tab w:val="right" w:leader="dot" w:pos="8494"/>
            </w:tabs>
            <w:spacing w:before="0" w:beforeAutospacing="0" w:after="0" w:afterAutospacing="0" w:line="420" w:lineRule="exact"/>
            <w:rPr>
              <w:rFonts w:ascii="黑体" w:hAnsi="黑体" w:eastAsia="黑体" w:cstheme="minorBidi"/>
            </w:rPr>
          </w:pPr>
          <w:r>
            <w:fldChar w:fldCharType="begin"/>
          </w:r>
          <w:r>
            <w:instrText xml:space="preserve"> HYPERLINK \l "_Toc489013235" </w:instrText>
          </w:r>
          <w:r>
            <w:fldChar w:fldCharType="separate"/>
          </w:r>
          <w:r>
            <w:rPr>
              <w:rStyle w:val="15"/>
              <w:rFonts w:ascii="黑体" w:hAnsi="黑体" w:eastAsia="黑体"/>
            </w:rPr>
            <w:t xml:space="preserve">8.2 </w:t>
          </w:r>
          <w:r>
            <w:rPr>
              <w:rStyle w:val="15"/>
              <w:rFonts w:hint="eastAsia" w:ascii="黑体" w:hAnsi="黑体" w:eastAsia="黑体"/>
            </w:rPr>
            <w:t>社会效益</w:t>
          </w:r>
          <w:r>
            <w:rPr>
              <w:rFonts w:ascii="黑体" w:hAnsi="黑体" w:eastAsia="黑体"/>
            </w:rPr>
            <w:tab/>
          </w:r>
          <w:r>
            <w:rPr>
              <w:rFonts w:ascii="黑体" w:hAnsi="黑体" w:eastAsia="黑体"/>
            </w:rPr>
            <w:fldChar w:fldCharType="begin"/>
          </w:r>
          <w:r>
            <w:rPr>
              <w:rFonts w:ascii="黑体" w:hAnsi="黑体" w:eastAsia="黑体"/>
            </w:rPr>
            <w:instrText xml:space="preserve"> PAGEREF _Toc489013235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9"/>
            <w:tabs>
              <w:tab w:val="right" w:leader="dot" w:pos="8494"/>
            </w:tabs>
            <w:spacing w:before="0" w:beforeAutospacing="0" w:after="0" w:afterAutospacing="0" w:line="420" w:lineRule="exact"/>
            <w:rPr>
              <w:rFonts w:asciiTheme="minorHAnsi" w:hAnsiTheme="minorHAnsi" w:eastAsiaTheme="minorEastAsia" w:cstheme="minorBidi"/>
            </w:rPr>
          </w:pPr>
          <w:r>
            <w:fldChar w:fldCharType="begin"/>
          </w:r>
          <w:r>
            <w:instrText xml:space="preserve"> HYPERLINK \l "_Toc489013236" </w:instrText>
          </w:r>
          <w:r>
            <w:fldChar w:fldCharType="separate"/>
          </w:r>
          <w:r>
            <w:rPr>
              <w:rFonts w:hint="eastAsia" w:ascii="黑体" w:hAnsi="黑体" w:eastAsia="黑体"/>
              <w:sz w:val="24"/>
              <w:szCs w:val="24"/>
            </w:rPr>
            <w:t>第9章</w:t>
          </w:r>
          <w:r>
            <w:rPr>
              <w:rFonts w:ascii="黑体" w:hAnsi="黑体" w:eastAsia="黑体"/>
              <w:sz w:val="24"/>
              <w:szCs w:val="24"/>
            </w:rPr>
            <w:t xml:space="preserve"> </w:t>
          </w:r>
          <w:r>
            <w:rPr>
              <w:rFonts w:hint="eastAsia" w:ascii="黑体" w:hAnsi="黑体" w:eastAsia="黑体"/>
              <w:sz w:val="24"/>
              <w:szCs w:val="24"/>
            </w:rPr>
            <w:t>风险提示</w:t>
          </w:r>
          <w:r>
            <w:rPr>
              <w:rFonts w:ascii="黑体" w:hAnsi="黑体" w:eastAsia="黑体"/>
            </w:rPr>
            <w:tab/>
          </w:r>
          <w:r>
            <w:rPr>
              <w:rFonts w:ascii="黑体" w:hAnsi="黑体" w:eastAsia="黑体"/>
            </w:rPr>
            <w:fldChar w:fldCharType="begin"/>
          </w:r>
          <w:r>
            <w:rPr>
              <w:rFonts w:ascii="黑体" w:hAnsi="黑体" w:eastAsia="黑体"/>
            </w:rPr>
            <w:instrText xml:space="preserve"> PAGEREF _Toc489013236 \h </w:instrText>
          </w:r>
          <w:r>
            <w:rPr>
              <w:rFonts w:ascii="黑体" w:hAnsi="黑体" w:eastAsia="黑体"/>
            </w:rPr>
            <w:fldChar w:fldCharType="separate"/>
          </w:r>
          <w:r>
            <w:rPr>
              <w:rFonts w:ascii="黑体" w:hAnsi="黑体" w:eastAsia="黑体"/>
            </w:rPr>
            <w:t>16</w:t>
          </w:r>
          <w:r>
            <w:rPr>
              <w:rFonts w:ascii="黑体" w:hAnsi="黑体" w:eastAsia="黑体"/>
            </w:rPr>
            <w:fldChar w:fldCharType="end"/>
          </w:r>
          <w:r>
            <w:rPr>
              <w:rFonts w:ascii="黑体" w:hAnsi="黑体" w:eastAsia="黑体"/>
            </w:rPr>
            <w:fldChar w:fldCharType="end"/>
          </w:r>
        </w:p>
        <w:p>
          <w:pPr>
            <w:spacing w:before="0" w:beforeAutospacing="0" w:after="0" w:afterAutospacing="0" w:line="540" w:lineRule="atLeast"/>
          </w:pPr>
          <w:r>
            <w:fldChar w:fldCharType="end"/>
          </w:r>
        </w:p>
      </w:sdtContent>
    </w:sdt>
    <w:p>
      <w:pPr>
        <w:widowControl/>
        <w:spacing w:before="0" w:beforeAutospacing="0" w:after="0" w:afterAutospacing="0" w:line="540" w:lineRule="atLeast"/>
        <w:jc w:val="left"/>
        <w:rPr>
          <w:b/>
          <w:bCs/>
          <w:kern w:val="44"/>
          <w:sz w:val="44"/>
          <w:szCs w:val="44"/>
        </w:rPr>
      </w:pPr>
      <w:r>
        <w:br w:type="page"/>
      </w:r>
    </w:p>
    <w:p>
      <w:pPr>
        <w:pStyle w:val="2"/>
        <w:adjustRightInd w:val="0"/>
        <w:snapToGrid w:val="0"/>
        <w:spacing w:beforeLines="100" w:beforeAutospacing="0" w:afterLines="50" w:afterAutospacing="0" w:line="540" w:lineRule="atLeast"/>
        <w:jc w:val="center"/>
        <w:rPr>
          <w:rFonts w:ascii="黑体" w:hAnsi="黑体" w:eastAsia="黑体" w:cs="宋体"/>
          <w:sz w:val="36"/>
          <w:szCs w:val="20"/>
        </w:rPr>
        <w:sectPr>
          <w:footerReference r:id="rId7" w:type="first"/>
          <w:pgSz w:w="11906" w:h="16838"/>
          <w:pgMar w:top="1440" w:right="1701" w:bottom="1440" w:left="1701" w:header="851" w:footer="992" w:gutter="0"/>
          <w:pgNumType w:fmt="upperRoman" w:start="1"/>
          <w:cols w:space="720" w:num="1"/>
          <w:titlePg/>
          <w:docGrid w:type="lines" w:linePitch="312" w:charSpace="0"/>
        </w:sectPr>
      </w:pPr>
      <w:bookmarkStart w:id="0" w:name="_Toc489013220"/>
    </w:p>
    <w:p>
      <w:pPr>
        <w:pStyle w:val="2"/>
        <w:adjustRightInd w:val="0"/>
        <w:snapToGrid w:val="0"/>
        <w:spacing w:beforeLines="100" w:beforeAutospacing="0" w:afterLines="50" w:afterAutospacing="0" w:line="540" w:lineRule="atLeast"/>
        <w:jc w:val="center"/>
        <w:rPr>
          <w:rFonts w:ascii="黑体" w:hAnsi="黑体" w:eastAsia="黑体" w:cs="宋体"/>
          <w:sz w:val="36"/>
          <w:szCs w:val="20"/>
        </w:rPr>
      </w:pPr>
      <w:r>
        <w:rPr>
          <w:rFonts w:hint="eastAsia" w:ascii="黑体" w:hAnsi="黑体" w:eastAsia="黑体" w:cs="宋体"/>
          <w:sz w:val="36"/>
          <w:szCs w:val="20"/>
        </w:rPr>
        <w:t>第１章 项目概况</w:t>
      </w:r>
      <w:bookmarkEnd w:id="0"/>
    </w:p>
    <w:p>
      <w:pPr>
        <w:pStyle w:val="3"/>
        <w:spacing w:before="0" w:beforeAutospacing="0" w:after="0" w:afterAutospacing="0" w:line="540" w:lineRule="atLeast"/>
        <w:jc w:val="left"/>
        <w:rPr>
          <w:bCs/>
        </w:rPr>
      </w:pPr>
      <w:bookmarkStart w:id="1" w:name="_Toc488699310"/>
    </w:p>
    <w:p>
      <w:pPr>
        <w:pStyle w:val="3"/>
        <w:snapToGrid w:val="0"/>
        <w:spacing w:before="0" w:beforeAutospacing="0" w:after="0" w:afterAutospacing="0" w:line="540" w:lineRule="atLeast"/>
        <w:jc w:val="both"/>
        <w:rPr>
          <w:rFonts w:ascii="黑体" w:eastAsia="黑体"/>
          <w:b w:val="0"/>
          <w:bCs/>
          <w:sz w:val="32"/>
          <w:szCs w:val="30"/>
        </w:rPr>
      </w:pPr>
      <w:bookmarkStart w:id="2" w:name="_Toc489013221"/>
      <w:r>
        <w:rPr>
          <w:rFonts w:hint="eastAsia" w:ascii="黑体" w:eastAsia="黑体"/>
          <w:b w:val="0"/>
          <w:bCs/>
          <w:sz w:val="32"/>
          <w:szCs w:val="30"/>
        </w:rPr>
        <w:t>1.1项目基本信息</w:t>
      </w:r>
      <w:bookmarkEnd w:id="1"/>
      <w:bookmarkEnd w:id="2"/>
    </w:p>
    <w:p>
      <w:pPr>
        <w:spacing w:beforeLines="25" w:beforeAutospacing="0" w:afterLines="25" w:afterAutospacing="0" w:line="540" w:lineRule="atLeast"/>
        <w:ind w:firstLine="562" w:firstLineChars="200"/>
        <w:jc w:val="left"/>
        <w:rPr>
          <w:rFonts w:ascii="仿宋_GB2312" w:hAnsi="华文楷体" w:eastAsia="仿宋_GB2312"/>
          <w:b/>
          <w:color w:val="000000"/>
          <w:sz w:val="28"/>
          <w:szCs w:val="28"/>
        </w:rPr>
      </w:pPr>
      <w:r>
        <w:rPr>
          <w:rFonts w:hint="eastAsia" w:ascii="仿宋_GB2312" w:hAnsi="华文楷体" w:eastAsia="仿宋_GB2312"/>
          <w:b/>
          <w:color w:val="000000"/>
          <w:sz w:val="28"/>
          <w:szCs w:val="28"/>
        </w:rPr>
        <w:t>1、项目名称</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岳阳城陵矶综合保税区进口汽车综合服务中心建设项目</w:t>
      </w:r>
    </w:p>
    <w:p>
      <w:pPr>
        <w:spacing w:beforeLines="25" w:beforeAutospacing="0" w:afterLines="25" w:afterAutospacing="0" w:line="540" w:lineRule="atLeast"/>
        <w:ind w:firstLine="562" w:firstLineChars="200"/>
        <w:jc w:val="left"/>
        <w:rPr>
          <w:rFonts w:ascii="仿宋_GB2312" w:hAnsi="华文楷体" w:eastAsia="仿宋_GB2312"/>
          <w:b/>
          <w:color w:val="000000"/>
          <w:sz w:val="28"/>
          <w:szCs w:val="28"/>
        </w:rPr>
      </w:pPr>
      <w:r>
        <w:rPr>
          <w:rFonts w:hint="eastAsia" w:ascii="仿宋_GB2312" w:hAnsi="华文楷体" w:eastAsia="仿宋_GB2312"/>
          <w:b/>
          <w:color w:val="000000"/>
          <w:sz w:val="28"/>
          <w:szCs w:val="28"/>
        </w:rPr>
        <w:t>2、建设性质</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新建</w:t>
      </w:r>
    </w:p>
    <w:p>
      <w:pPr>
        <w:spacing w:beforeLines="25" w:beforeAutospacing="0" w:afterLines="25" w:afterAutospacing="0" w:line="540" w:lineRule="atLeast"/>
        <w:ind w:firstLine="562" w:firstLineChars="200"/>
        <w:jc w:val="left"/>
        <w:rPr>
          <w:rFonts w:ascii="仿宋_GB2312" w:hAnsi="华文楷体" w:eastAsia="仿宋_GB2312"/>
          <w:b/>
          <w:color w:val="000000"/>
          <w:sz w:val="28"/>
          <w:szCs w:val="28"/>
        </w:rPr>
      </w:pPr>
      <w:r>
        <w:rPr>
          <w:rFonts w:hint="eastAsia" w:ascii="仿宋_GB2312" w:hAnsi="华文楷体" w:eastAsia="仿宋_GB2312"/>
          <w:b/>
          <w:color w:val="000000"/>
          <w:sz w:val="28"/>
          <w:szCs w:val="28"/>
        </w:rPr>
        <w:t>3、项目业主</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湖南城陵矶新港区管委会</w:t>
      </w:r>
    </w:p>
    <w:p>
      <w:pPr>
        <w:pStyle w:val="3"/>
        <w:snapToGrid w:val="0"/>
        <w:spacing w:before="0" w:beforeAutospacing="0" w:after="0" w:afterAutospacing="0" w:line="540" w:lineRule="atLeast"/>
        <w:jc w:val="both"/>
        <w:rPr>
          <w:rFonts w:ascii="黑体" w:eastAsia="黑体"/>
          <w:b w:val="0"/>
          <w:bCs/>
          <w:sz w:val="32"/>
          <w:szCs w:val="30"/>
        </w:rPr>
      </w:pPr>
      <w:bookmarkStart w:id="3" w:name="_Toc489013222"/>
      <w:r>
        <w:rPr>
          <w:rFonts w:hint="eastAsia" w:ascii="黑体" w:eastAsia="黑体"/>
          <w:b w:val="0"/>
          <w:bCs/>
          <w:sz w:val="32"/>
          <w:szCs w:val="30"/>
        </w:rPr>
        <w:t>1.2项目投资概况</w:t>
      </w:r>
      <w:bookmarkEnd w:id="3"/>
    </w:p>
    <w:p>
      <w:pPr>
        <w:spacing w:beforeLines="25" w:beforeAutospacing="0" w:afterLines="25" w:afterAutospacing="0" w:line="540" w:lineRule="atLeast"/>
        <w:ind w:firstLine="562" w:firstLineChars="200"/>
        <w:jc w:val="left"/>
        <w:rPr>
          <w:rFonts w:ascii="仿宋_GB2312" w:hAnsi="华文楷体" w:eastAsia="仿宋_GB2312"/>
          <w:b/>
          <w:color w:val="000000"/>
          <w:sz w:val="28"/>
          <w:szCs w:val="28"/>
        </w:rPr>
      </w:pPr>
      <w:r>
        <w:rPr>
          <w:rFonts w:hint="eastAsia" w:ascii="仿宋_GB2312" w:hAnsi="华文楷体" w:eastAsia="仿宋_GB2312"/>
          <w:b/>
          <w:color w:val="000000"/>
          <w:sz w:val="28"/>
          <w:szCs w:val="28"/>
        </w:rPr>
        <w:t>1、建设规模及内容</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占地面积50亩，建筑面积13000平方米。</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——新建进口汽车展示交易中心。建筑面积5 000平方米。</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——新建进口汽车维修中心。建筑面积4 000平方米。</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——新建进口汽车零配件交易中心。建筑面积2 000平方米。</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——新建进口汽车、零配件仓库。建筑面积2 000平方米。</w:t>
      </w:r>
    </w:p>
    <w:p>
      <w:pPr>
        <w:spacing w:beforeLines="25" w:beforeAutospacing="0" w:afterLines="25" w:afterAutospacing="0" w:line="540" w:lineRule="atLeast"/>
        <w:ind w:firstLine="562" w:firstLineChars="200"/>
        <w:jc w:val="left"/>
        <w:rPr>
          <w:rFonts w:ascii="仿宋_GB2312" w:hAnsi="华文楷体" w:eastAsia="仿宋_GB2312"/>
          <w:b/>
          <w:color w:val="000000"/>
          <w:sz w:val="28"/>
          <w:szCs w:val="28"/>
        </w:rPr>
      </w:pPr>
      <w:r>
        <w:rPr>
          <w:rFonts w:hint="eastAsia" w:ascii="仿宋_GB2312" w:hAnsi="华文楷体" w:eastAsia="仿宋_GB2312"/>
          <w:b/>
          <w:color w:val="000000"/>
          <w:sz w:val="28"/>
          <w:szCs w:val="28"/>
        </w:rPr>
        <w:t>2、投资估算</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工程建设期为1年，投资总概算为2亿元。</w:t>
      </w:r>
    </w:p>
    <w:p>
      <w:pPr>
        <w:pStyle w:val="2"/>
        <w:adjustRightInd w:val="0"/>
        <w:snapToGrid w:val="0"/>
        <w:spacing w:beforeLines="100" w:beforeAutospacing="0" w:afterLines="50" w:afterAutospacing="0" w:line="540" w:lineRule="atLeast"/>
        <w:jc w:val="center"/>
        <w:rPr>
          <w:rFonts w:ascii="黑体" w:hAnsi="黑体" w:eastAsia="黑体" w:cs="宋体"/>
          <w:sz w:val="36"/>
          <w:szCs w:val="20"/>
        </w:rPr>
      </w:pPr>
      <w:r>
        <w:rPr>
          <w:rFonts w:hint="eastAsia" w:ascii="黑体" w:hAnsi="黑体" w:eastAsia="黑体" w:cs="宋体"/>
          <w:color w:val="000000"/>
          <w:sz w:val="36"/>
          <w:szCs w:val="20"/>
        </w:rPr>
        <w:br w:type="page"/>
      </w:r>
      <w:bookmarkStart w:id="4" w:name="_Toc489013223"/>
      <w:r>
        <w:rPr>
          <w:rFonts w:hint="eastAsia" w:ascii="黑体" w:hAnsi="黑体" w:eastAsia="黑体" w:cs="宋体"/>
          <w:sz w:val="36"/>
          <w:szCs w:val="20"/>
        </w:rPr>
        <w:t>第2章  项目建设的必要性与可行性</w:t>
      </w:r>
      <w:bookmarkEnd w:id="4"/>
    </w:p>
    <w:p>
      <w:pPr>
        <w:pStyle w:val="3"/>
        <w:snapToGrid w:val="0"/>
        <w:spacing w:before="0" w:beforeAutospacing="0" w:after="0" w:afterAutospacing="0" w:line="540" w:lineRule="atLeast"/>
        <w:jc w:val="both"/>
        <w:rPr>
          <w:rFonts w:ascii="黑体" w:eastAsia="黑体"/>
          <w:b w:val="0"/>
          <w:bCs/>
          <w:sz w:val="32"/>
          <w:szCs w:val="30"/>
        </w:rPr>
      </w:pPr>
      <w:bookmarkStart w:id="5" w:name="_Toc489013224"/>
      <w:bookmarkStart w:id="6" w:name="_Toc453749445"/>
      <w:bookmarkStart w:id="7" w:name="_Toc479956078"/>
      <w:r>
        <w:rPr>
          <w:rFonts w:hint="eastAsia" w:ascii="黑体" w:eastAsia="黑体"/>
          <w:b w:val="0"/>
          <w:bCs/>
          <w:sz w:val="32"/>
          <w:szCs w:val="30"/>
        </w:rPr>
        <w:t>2.1项目建设的必要性</w:t>
      </w:r>
      <w:bookmarkEnd w:id="5"/>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湖南城陵矶新港区于2009年12月成立，规划控制区100平方公里，规划建设区69平方公里，是国家长江经济带“黄金水道”的咽喉和洞庭湖生态经济区的核心区域，也是湖南对外开放、融入长江经济带、对接“一带一路”</w:t>
      </w:r>
      <w:r>
        <w:rPr>
          <w:rFonts w:hint="eastAsia" w:ascii="仿宋" w:hAnsi="仿宋" w:eastAsia="仿宋"/>
          <w:color w:val="000000"/>
          <w:sz w:val="28"/>
          <w:szCs w:val="28"/>
          <w:lang w:val="en-US" w:eastAsia="zh-CN"/>
        </w:rPr>
        <w:t>倡议</w:t>
      </w:r>
      <w:r>
        <w:rPr>
          <w:rFonts w:hint="eastAsia" w:ascii="仿宋" w:hAnsi="仿宋" w:eastAsia="仿宋"/>
          <w:color w:val="000000"/>
          <w:sz w:val="28"/>
          <w:szCs w:val="28"/>
        </w:rPr>
        <w:t>的重要节点，同时也是湖南举全省之力打造的新增长极。</w:t>
      </w:r>
    </w:p>
    <w:p>
      <w:pPr>
        <w:adjustRightInd w:val="0"/>
        <w:snapToGrid w:val="0"/>
        <w:spacing w:beforeLines="50" w:beforeAutospacing="0" w:afterLines="50" w:afterAutospacing="0" w:line="540" w:lineRule="atLeast"/>
        <w:ind w:firstLine="562" w:firstLineChars="200"/>
        <w:rPr>
          <w:rFonts w:ascii="仿宋" w:hAnsi="仿宋" w:eastAsia="仿宋"/>
          <w:color w:val="000000"/>
          <w:sz w:val="28"/>
          <w:szCs w:val="28"/>
        </w:rPr>
      </w:pPr>
      <w:r>
        <w:rPr>
          <w:rFonts w:hint="eastAsia" w:ascii="仿宋" w:hAnsi="仿宋" w:eastAsia="仿宋"/>
          <w:b/>
          <w:color w:val="000000"/>
          <w:sz w:val="28"/>
          <w:szCs w:val="28"/>
        </w:rPr>
        <w:t>实施湖南开放引领战略的具体行动。</w:t>
      </w:r>
      <w:r>
        <w:rPr>
          <w:rFonts w:hint="eastAsia" w:ascii="仿宋" w:hAnsi="仿宋" w:eastAsia="仿宋"/>
          <w:color w:val="000000"/>
          <w:sz w:val="28"/>
          <w:szCs w:val="28"/>
        </w:rPr>
        <w:t>岳阳作为湖南开放引领的重要支撑点，利用其区位优势与沿江优势，大力发展外向型经济是实施湖南省开放引领发展战略的重要抓手。外向型</w:t>
      </w:r>
      <w:bookmarkStart w:id="22" w:name="_GoBack"/>
      <w:bookmarkEnd w:id="22"/>
      <w:r>
        <w:rPr>
          <w:rFonts w:hint="eastAsia" w:ascii="仿宋" w:hAnsi="仿宋" w:eastAsia="仿宋"/>
          <w:color w:val="000000"/>
          <w:sz w:val="28"/>
          <w:szCs w:val="28"/>
        </w:rPr>
        <w:t>经济包括进口和出口的经济活动。在我国国产汽车品质与生产能力不断提升的背景下，增加合适渠道，通过平行进口方式进口汽车，是对外向型经济活动内容与方式的补充，也有利于对我国国际贸易进行对应管理。</w:t>
      </w:r>
    </w:p>
    <w:p>
      <w:pPr>
        <w:adjustRightInd w:val="0"/>
        <w:snapToGrid w:val="0"/>
        <w:spacing w:beforeLines="50" w:beforeAutospacing="0" w:afterLines="50" w:afterAutospacing="0" w:line="540" w:lineRule="atLeast"/>
        <w:ind w:firstLine="562" w:firstLineChars="200"/>
        <w:rPr>
          <w:rFonts w:ascii="仿宋" w:hAnsi="仿宋" w:eastAsia="仿宋"/>
          <w:color w:val="000000"/>
          <w:sz w:val="28"/>
          <w:szCs w:val="28"/>
        </w:rPr>
      </w:pPr>
      <w:r>
        <w:rPr>
          <w:rFonts w:hint="eastAsia" w:ascii="仿宋" w:hAnsi="仿宋" w:eastAsia="仿宋"/>
          <w:b/>
          <w:color w:val="000000"/>
          <w:sz w:val="28"/>
          <w:szCs w:val="28"/>
        </w:rPr>
        <w:t>有利于强化城陵矶区域性航运物流中心的地位。</w:t>
      </w:r>
      <w:r>
        <w:rPr>
          <w:rFonts w:hint="eastAsia" w:ascii="仿宋" w:hAnsi="仿宋" w:eastAsia="仿宋"/>
          <w:color w:val="000000"/>
          <w:sz w:val="28"/>
          <w:szCs w:val="28"/>
        </w:rPr>
        <w:t>通过平等进口方式进口汽车，能增加城陵矶作为区域性航运物流中心的业务量和在中西部物流中心、特别是航运物流中心的地位。</w:t>
      </w:r>
    </w:p>
    <w:p>
      <w:pPr>
        <w:adjustRightInd w:val="0"/>
        <w:snapToGrid w:val="0"/>
        <w:spacing w:beforeLines="50" w:beforeAutospacing="0" w:afterLines="50" w:afterAutospacing="0" w:line="540" w:lineRule="atLeast"/>
        <w:ind w:firstLine="562" w:firstLineChars="200"/>
        <w:rPr>
          <w:rFonts w:ascii="仿宋" w:hAnsi="仿宋" w:eastAsia="仿宋"/>
          <w:color w:val="000000"/>
          <w:sz w:val="28"/>
          <w:szCs w:val="28"/>
        </w:rPr>
      </w:pPr>
      <w:r>
        <w:rPr>
          <w:rFonts w:hint="eastAsia" w:ascii="仿宋" w:hAnsi="仿宋" w:eastAsia="仿宋"/>
          <w:b/>
          <w:color w:val="000000"/>
          <w:sz w:val="28"/>
          <w:szCs w:val="28"/>
        </w:rPr>
        <w:t>满足进口汽车消费稳步增长的需求。</w:t>
      </w:r>
      <w:r>
        <w:rPr>
          <w:rFonts w:hint="eastAsia" w:ascii="仿宋" w:hAnsi="仿宋" w:eastAsia="仿宋"/>
          <w:color w:val="000000"/>
          <w:sz w:val="28"/>
          <w:szCs w:val="28"/>
        </w:rPr>
        <w:t>随着岳阳及周边社会经济发展，居民对进口汽车需求稳步增长，岳阳城陵矶新港区获批为国家指定整车进口口岸后，进口汽车需求增长被进一步激活。目前，岳阳城陵矶新港区已引入了台湾、上海、天津的十几家进口汽车经销商，2016年已经完成两批车辆进口业务。</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为了满足岳阳及周边区域对进口汽车的消费需求，有必要利用岳阳城陵矶新港区综合保税区和国家指定整车进口口岸的政策与平台优势，建设岳阳城陵矶新港区综合保税区进口汽车综合服务中心，提供进口整车的展示交易、维修和零配件交易中心。</w:t>
      </w:r>
    </w:p>
    <w:p>
      <w:pPr>
        <w:pStyle w:val="3"/>
        <w:spacing w:before="0" w:beforeAutospacing="0" w:after="0" w:afterAutospacing="0" w:line="540" w:lineRule="atLeast"/>
        <w:jc w:val="left"/>
        <w:rPr>
          <w:rFonts w:ascii="黑体" w:hAnsi="黑体" w:eastAsia="黑体"/>
          <w:b w:val="0"/>
          <w:bCs/>
          <w:sz w:val="32"/>
          <w:szCs w:val="32"/>
        </w:rPr>
      </w:pPr>
      <w:bookmarkStart w:id="8" w:name="_Toc489013225"/>
      <w:r>
        <w:rPr>
          <w:rFonts w:hint="eastAsia" w:ascii="黑体" w:hAnsi="黑体" w:eastAsia="黑体"/>
          <w:b w:val="0"/>
          <w:bCs/>
          <w:sz w:val="32"/>
          <w:szCs w:val="32"/>
        </w:rPr>
        <w:t>2.2项目建设的可行性</w:t>
      </w:r>
      <w:bookmarkEnd w:id="8"/>
    </w:p>
    <w:p>
      <w:pPr>
        <w:adjustRightInd w:val="0"/>
        <w:snapToGrid w:val="0"/>
        <w:spacing w:beforeLines="50" w:beforeAutospacing="0" w:afterLines="50" w:afterAutospacing="0" w:line="540" w:lineRule="atLeast"/>
        <w:ind w:firstLine="562" w:firstLineChars="200"/>
        <w:rPr>
          <w:rFonts w:ascii="仿宋" w:hAnsi="仿宋" w:eastAsia="仿宋"/>
          <w:color w:val="000000"/>
          <w:sz w:val="28"/>
          <w:szCs w:val="28"/>
        </w:rPr>
      </w:pPr>
      <w:r>
        <w:rPr>
          <w:rFonts w:hint="eastAsia" w:ascii="仿宋" w:hAnsi="仿宋" w:eastAsia="仿宋"/>
          <w:b/>
          <w:color w:val="000000"/>
          <w:sz w:val="28"/>
          <w:szCs w:val="28"/>
        </w:rPr>
        <w:t>城陵矶新港区具有巨大发展潜力。</w:t>
      </w:r>
      <w:r>
        <w:rPr>
          <w:rFonts w:hint="eastAsia" w:ascii="仿宋" w:hAnsi="仿宋" w:eastAsia="仿宋"/>
          <w:color w:val="000000"/>
          <w:sz w:val="28"/>
          <w:szCs w:val="28"/>
        </w:rPr>
        <w:t>岳阳作为湖南未来重要的增长极，而城陵矶新港区是岳阳未来经济发展的希望所在。湖南省和岳阳市对城陵矶新港区的发展给予了大力度的支持。包括资金和以下政策方面。《湖南省人民政府办公厅关于支持湖南城陵矶临港产业新区加快发展的意见》（湘政办[2010]45号）、《岳阳市人民政府关于加快湖南城陵矶临港产业新区建设的若干意见》（岳政发[2009]5号）《湖南城陵矶临港产业新区总体规划》、《湖南城陵矶临港新区十三五发展规划》和《湖南城陵矶新港区招商引资优惠政策十条》，岳阳市人民政府印发《关于促进岳阳城陵矶“一区一港四口岸”加快发展奖励办法》（2015年1月）；《（关于促进岳阳城陵矶“一区一港四口岸”加快发展奖励办法）的实施细则》（2016年4月）。</w:t>
      </w:r>
      <w:r>
        <w:rPr>
          <w:rFonts w:ascii="仿宋" w:hAnsi="仿宋" w:eastAsia="仿宋"/>
          <w:color w:val="000000"/>
          <w:sz w:val="28"/>
          <w:szCs w:val="28"/>
        </w:rPr>
        <w:t> </w:t>
      </w:r>
    </w:p>
    <w:p>
      <w:pPr>
        <w:adjustRightInd w:val="0"/>
        <w:snapToGrid w:val="0"/>
        <w:spacing w:beforeLines="50" w:beforeAutospacing="0" w:afterLines="50" w:afterAutospacing="0" w:line="540" w:lineRule="atLeast"/>
        <w:ind w:firstLine="562" w:firstLineChars="200"/>
        <w:rPr>
          <w:rFonts w:ascii="仿宋" w:hAnsi="仿宋" w:eastAsia="仿宋"/>
          <w:color w:val="000000"/>
          <w:sz w:val="28"/>
          <w:szCs w:val="28"/>
        </w:rPr>
      </w:pPr>
      <w:r>
        <w:rPr>
          <w:rFonts w:hint="eastAsia" w:ascii="仿宋" w:hAnsi="仿宋" w:eastAsia="仿宋"/>
          <w:b/>
          <w:color w:val="000000"/>
          <w:sz w:val="28"/>
          <w:szCs w:val="28"/>
        </w:rPr>
        <w:t>项目具有行业政策支持背景。</w:t>
      </w:r>
      <w:r>
        <w:rPr>
          <w:rFonts w:hint="eastAsia" w:ascii="仿宋" w:hAnsi="仿宋" w:eastAsia="仿宋"/>
          <w:color w:val="000000"/>
          <w:sz w:val="28"/>
          <w:szCs w:val="28"/>
        </w:rPr>
        <w:t>岳阳城陵矶汽车整车及零配件进口指定口岸，是中部地区首个同类口岸。2014年7月1日经国务院办公厅批准设立，2015年7月通过验收，2015年12月31日首批进口汽车到岸。目前已建成监管堆场9620 平米、监管仓库9420 平米。2014年7月5日，岳阳城陵矶新港区综合保税区经国务院批准建设，2015年12月22日通过验收，2016年封关运行。</w:t>
      </w:r>
    </w:p>
    <w:bookmarkEnd w:id="6"/>
    <w:bookmarkEnd w:id="7"/>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对本项目产生直接影响的是2017年7月1日起施行的《汽车销售管理办法》。</w:t>
      </w:r>
    </w:p>
    <w:p>
      <w:pPr>
        <w:adjustRightInd w:val="0"/>
        <w:snapToGrid w:val="0"/>
        <w:spacing w:beforeLines="50" w:beforeAutospacing="0" w:afterLines="25" w:afterAutospacing="0" w:line="540" w:lineRule="atLeast"/>
        <w:ind w:firstLine="480" w:firstLineChars="200"/>
        <w:jc w:val="center"/>
        <w:rPr>
          <w:rFonts w:ascii="黑体" w:hAnsi="黑体" w:eastAsia="黑体"/>
          <w:sz w:val="24"/>
          <w:szCs w:val="24"/>
        </w:rPr>
      </w:pPr>
      <w:r>
        <w:rPr>
          <w:rFonts w:hint="eastAsia" w:ascii="黑体" w:hAnsi="黑体" w:eastAsia="黑体" w:cs="黑体"/>
          <w:kern w:val="0"/>
          <w:sz w:val="24"/>
          <w:szCs w:val="24"/>
        </w:rPr>
        <w:t>表</w:t>
      </w:r>
      <w:r>
        <w:rPr>
          <w:rFonts w:hint="eastAsia" w:ascii="黑体" w:hAnsi="黑体" w:eastAsia="黑体" w:cs="Arial"/>
          <w:kern w:val="0"/>
          <w:sz w:val="24"/>
          <w:szCs w:val="24"/>
        </w:rPr>
        <w:t>1</w:t>
      </w:r>
      <w:r>
        <w:rPr>
          <w:rFonts w:hint="eastAsia" w:ascii="黑体" w:hAnsi="黑体" w:eastAsia="黑体" w:cs="黑体"/>
          <w:kern w:val="0"/>
          <w:sz w:val="24"/>
          <w:szCs w:val="24"/>
        </w:rPr>
        <w:t>：新《汽车销售管理办法》出台将对经销商产生重大影响</w:t>
      </w:r>
    </w:p>
    <w:p>
      <w:pPr>
        <w:widowControl/>
        <w:spacing w:before="0" w:beforeAutospacing="0" w:after="0" w:afterAutospacing="0" w:line="540" w:lineRule="atLeast"/>
        <w:jc w:val="center"/>
        <w:rPr>
          <w:rFonts w:ascii="宋体" w:hAnsi="宋体" w:cs="宋体"/>
          <w:kern w:val="0"/>
          <w:sz w:val="24"/>
          <w:szCs w:val="24"/>
        </w:rPr>
      </w:pPr>
      <w:r>
        <w:rPr>
          <w:rFonts w:ascii="宋体" w:hAnsi="宋体" w:cs="宋体"/>
          <w:kern w:val="0"/>
          <w:sz w:val="24"/>
          <w:szCs w:val="24"/>
        </w:rPr>
        <w:drawing>
          <wp:inline distT="0" distB="0" distL="0" distR="0">
            <wp:extent cx="5999480" cy="2667000"/>
            <wp:effectExtent l="19050" t="0" r="1172" b="0"/>
            <wp:docPr id="1" name="图片 1" descr="C:\Users\huli\AppData\Roaming\Tencent\Users\396665123\QQ\WinTemp\RichOle\A87)D(_SY(VI)J)H6CU){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uli\AppData\Roaming\Tencent\Users\396665123\QQ\WinTemp\RichOle\A87)D(_SY(VI)J)H6CU){11.png"/>
                    <pic:cNvPicPr>
                      <a:picLocks noChangeAspect="1" noChangeArrowheads="1"/>
                    </pic:cNvPicPr>
                  </pic:nvPicPr>
                  <pic:blipFill>
                    <a:blip r:embed="rId10" cstate="print"/>
                    <a:srcRect/>
                    <a:stretch>
                      <a:fillRect/>
                    </a:stretch>
                  </pic:blipFill>
                  <pic:spPr>
                    <a:xfrm>
                      <a:off x="0" y="0"/>
                      <a:ext cx="6000669" cy="2667485"/>
                    </a:xfrm>
                    <a:prstGeom prst="rect">
                      <a:avLst/>
                    </a:prstGeom>
                    <a:noFill/>
                    <a:ln w="9525">
                      <a:noFill/>
                      <a:miter lim="800000"/>
                      <a:headEnd/>
                      <a:tailEnd/>
                    </a:ln>
                  </pic:spPr>
                </pic:pic>
              </a:graphicData>
            </a:graphic>
          </wp:inline>
        </w:drawing>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新政策的出台加快促进厂商关系由“博弈”变“夫妻”，经销商议价能力整体将提升。</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p>
    <w:p>
      <w:pPr>
        <w:widowControl/>
        <w:spacing w:before="0" w:beforeAutospacing="0" w:after="0" w:afterAutospacing="0" w:line="540" w:lineRule="atLeast"/>
        <w:jc w:val="left"/>
        <w:rPr>
          <w:b/>
          <w:bCs/>
          <w:kern w:val="44"/>
          <w:sz w:val="44"/>
          <w:szCs w:val="44"/>
        </w:rPr>
      </w:pPr>
      <w:r>
        <w:br w:type="page"/>
      </w:r>
    </w:p>
    <w:p>
      <w:pPr>
        <w:pStyle w:val="2"/>
        <w:adjustRightInd w:val="0"/>
        <w:snapToGrid w:val="0"/>
        <w:spacing w:beforeLines="100" w:beforeAutospacing="0" w:afterLines="50" w:afterAutospacing="0" w:line="540" w:lineRule="atLeast"/>
        <w:jc w:val="center"/>
        <w:rPr>
          <w:rFonts w:ascii="黑体" w:hAnsi="黑体" w:eastAsia="黑体"/>
        </w:rPr>
      </w:pPr>
      <w:bookmarkStart w:id="9" w:name="_Toc489013226"/>
      <w:r>
        <w:rPr>
          <w:rFonts w:hint="eastAsia" w:ascii="黑体" w:hAnsi="黑体" w:eastAsia="黑体"/>
        </w:rPr>
        <w:t>第3章 市场分析</w:t>
      </w:r>
      <w:bookmarkEnd w:id="9"/>
    </w:p>
    <w:p>
      <w:pPr>
        <w:pStyle w:val="3"/>
        <w:adjustRightInd w:val="0"/>
        <w:snapToGrid w:val="0"/>
        <w:spacing w:beforeLines="150" w:beforeAutospacing="0" w:afterLines="150" w:afterAutospacing="0" w:line="540" w:lineRule="atLeast"/>
        <w:jc w:val="left"/>
        <w:rPr>
          <w:rFonts w:ascii="黑体" w:hAnsi="黑体" w:eastAsia="黑体"/>
          <w:b w:val="0"/>
          <w:sz w:val="32"/>
          <w:szCs w:val="32"/>
        </w:rPr>
      </w:pPr>
      <w:bookmarkStart w:id="10" w:name="_Toc489013227"/>
      <w:r>
        <w:rPr>
          <w:rFonts w:hint="eastAsia" w:ascii="黑体" w:hAnsi="黑体" w:eastAsia="黑体"/>
          <w:b w:val="0"/>
          <w:sz w:val="32"/>
          <w:szCs w:val="32"/>
        </w:rPr>
        <w:t>3.1 市场定性分析</w:t>
      </w:r>
      <w:bookmarkEnd w:id="10"/>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2017年7月1日起施行的《汽车销售管理办法》，打破了汽车品牌销售单一授权体制，取消了总经销商和品牌经销商备案管理制度，实行授权和非授权两种模式并行。这为国家指定汽车进口口岸进行平行进口车进口提前政策保障。</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平行进口车抛开了传统的全国总代理、省级、市级代理及4S店的运营成本及加价，大大降低了进口车的价格，并且新车质保与4S店不再挂钩，大大降低了进口车的日常保养费用。在消费者越来越接受平行进口车的情况下，平行进口汽车市场的规模将快速增长。</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汽车作为耐用消费品，进口汽车售后服务市场的规模会随着进口汽车保有量的增长而更快速增长。而新的《汽车销售管理办法》打破了汽车维修的品牌授权垄断状态，为岳阳城陵矶综合保税区进口汽车综合服务中心对进口汽车日常维修保养价格优势的发挥提供机遇，不仅仅针对平行进口汽车，而是针对所有品牌、所有渠道的进口汽车都可以提供维修保养。</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岳阳及其周边地区在全国的经济发展处于中游水平，随着其社会经济的不断发展，消费者对（特别是具有价格优势且有售后保障的平行）进口汽车的需求将激发起来。</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总体而言，无论是国家对汽车销售管理办法的变革，还是汽车消费后市场的规律，或者是岳阳及周边对平行进口汽车的未来消费潜力，都表明：岳阳城陵矶综合保税区进口汽车综合服务中心未来的业务发展具有很大的增长潜力和进入机遇。</w:t>
      </w:r>
    </w:p>
    <w:p>
      <w:pPr>
        <w:pStyle w:val="3"/>
        <w:adjustRightInd w:val="0"/>
        <w:snapToGrid w:val="0"/>
        <w:spacing w:beforeLines="150" w:beforeAutospacing="0" w:afterLines="50" w:afterAutospacing="0" w:line="540" w:lineRule="atLeast"/>
        <w:jc w:val="left"/>
        <w:rPr>
          <w:rFonts w:ascii="黑体" w:hAnsi="黑体" w:eastAsia="黑体"/>
          <w:b w:val="0"/>
          <w:sz w:val="32"/>
          <w:szCs w:val="32"/>
        </w:rPr>
      </w:pPr>
      <w:bookmarkStart w:id="11" w:name="_Toc489013228"/>
      <w:r>
        <w:rPr>
          <w:rFonts w:hint="eastAsia" w:ascii="黑体" w:hAnsi="黑体" w:eastAsia="黑体"/>
          <w:b w:val="0"/>
          <w:sz w:val="32"/>
          <w:szCs w:val="32"/>
        </w:rPr>
        <w:t>3.2市场定量预测</w:t>
      </w:r>
      <w:bookmarkEnd w:id="11"/>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岳阳城陵矶新港区综合保税区国家指定整车进口口岸在相关配套要素没有完全到位的情况下，2016年进口整车289台，主要受制于国六的检测线的缺乏、信用证开立、上海海关的对接不完备。目前，进口汽车融资、信用证开立问题已经解决，国六的检测线2017年9月底可以建成，五条检测线，包括两条社会车辆的检测线，三条进口车辆检测线，上海海关的对接已经解决。岳阳城陵矶新港区综合保税区整车及零配件进口的制约因素已经基本解决。2017年进口整车2000台的目标能够完成。</w:t>
      </w:r>
    </w:p>
    <w:p>
      <w:pPr>
        <w:adjustRightInd w:val="0"/>
        <w:snapToGrid w:val="0"/>
        <w:spacing w:beforeLines="50" w:beforeAutospacing="0" w:afterLines="50" w:afterAutospacing="0" w:line="540" w:lineRule="atLeast"/>
        <w:ind w:firstLine="562" w:firstLineChars="200"/>
        <w:rPr>
          <w:rFonts w:ascii="仿宋" w:hAnsi="仿宋" w:eastAsia="仿宋"/>
          <w:color w:val="000000"/>
          <w:sz w:val="28"/>
          <w:szCs w:val="28"/>
        </w:rPr>
      </w:pPr>
      <w:r>
        <w:rPr>
          <w:rFonts w:hint="eastAsia" w:ascii="仿宋" w:hAnsi="仿宋" w:eastAsia="仿宋"/>
          <w:b/>
          <w:color w:val="000000"/>
          <w:sz w:val="28"/>
          <w:szCs w:val="28"/>
        </w:rPr>
        <w:t>进口整车销售量预估：</w:t>
      </w:r>
      <w:r>
        <w:rPr>
          <w:rFonts w:hint="eastAsia" w:ascii="仿宋" w:hAnsi="仿宋" w:eastAsia="仿宋"/>
          <w:color w:val="000000"/>
          <w:sz w:val="28"/>
          <w:szCs w:val="28"/>
        </w:rPr>
        <w:t>基于市场的定性分析、岳阳及周边的社会经济发展情况，预计岳阳城陵矶新港区综合保税区2018-2023年整车进口量以2017年的2000台为基数，年均增长速度为30%左右，初步预估分别为：2600、3500、4500、5800、7500台。（天津自由贸易区2015年获得平行车进口资格，2016年平行进口整车量达到了65000台，占全国比重为55%）。</w:t>
      </w:r>
    </w:p>
    <w:p>
      <w:pPr>
        <w:adjustRightInd w:val="0"/>
        <w:snapToGrid w:val="0"/>
        <w:spacing w:beforeLines="50" w:beforeAutospacing="0" w:afterLines="50" w:afterAutospacing="0" w:line="540" w:lineRule="atLeast"/>
        <w:ind w:firstLine="562" w:firstLineChars="200"/>
        <w:rPr>
          <w:rFonts w:ascii="仿宋" w:hAnsi="仿宋" w:eastAsia="仿宋"/>
          <w:color w:val="000000"/>
          <w:sz w:val="28"/>
          <w:szCs w:val="28"/>
        </w:rPr>
      </w:pPr>
      <w:r>
        <w:rPr>
          <w:rFonts w:hint="eastAsia" w:ascii="仿宋" w:hAnsi="仿宋" w:eastAsia="仿宋"/>
          <w:b/>
          <w:color w:val="000000"/>
          <w:sz w:val="28"/>
          <w:szCs w:val="28"/>
        </w:rPr>
        <w:t>进口汽车维修保养市场预估：</w:t>
      </w:r>
      <w:r>
        <w:rPr>
          <w:rFonts w:hint="eastAsia" w:ascii="仿宋" w:hAnsi="仿宋" w:eastAsia="仿宋"/>
          <w:color w:val="000000"/>
          <w:sz w:val="28"/>
          <w:szCs w:val="28"/>
        </w:rPr>
        <w:t>考虑到新的《汽车销售管理办法》今年7月才正式实施以及以前授权经销模式下，汽车厂商在一定期限内的售后保障措施时限。岳阳城陵矶综合保税区进口汽车综合服务中心初期的进口汽车维修保养量比较小，但随着进口汽车累积量的增长和原有授权销售的进口汽车保质到期，岳阳城陵矶综合保税区进口汽车综合服务中心在提高维修保养品质保障的前提下，通过发挥价格优势，能吸引部分非平行进口汽车进入中心进行维修保养。预计岳阳城陵矶综合保税区进口汽车综合服务中心2018-2023年进口汽车维修保养台数以2017年的2000台的一半为基数，年均增长速度为50%以上，初步预估分别为：1500、2300、3500、5500、9000台。如果考虑到维修与养护的专业化优势特点，未来综合服务中心不仅仅可以为进口汽车提供维修与养护，同样也能为国产汽车提供专业化的维修与养护，市场需求更为广阔。所以年均增长速度为50%以上完全有支撑理由。</w:t>
      </w:r>
    </w:p>
    <w:p>
      <w:pPr>
        <w:widowControl/>
        <w:spacing w:before="0" w:beforeAutospacing="0" w:after="0" w:afterAutospacing="0" w:line="540" w:lineRule="atLeast"/>
        <w:jc w:val="left"/>
        <w:rPr>
          <w:b/>
          <w:bCs/>
          <w:kern w:val="44"/>
          <w:sz w:val="44"/>
          <w:szCs w:val="44"/>
        </w:rPr>
      </w:pPr>
      <w:r>
        <w:br w:type="page"/>
      </w:r>
    </w:p>
    <w:p>
      <w:pPr>
        <w:pStyle w:val="2"/>
        <w:adjustRightInd w:val="0"/>
        <w:snapToGrid w:val="0"/>
        <w:spacing w:beforeLines="100" w:beforeAutospacing="0" w:afterLines="50" w:afterAutospacing="0" w:line="540" w:lineRule="atLeast"/>
        <w:jc w:val="center"/>
        <w:rPr>
          <w:rFonts w:ascii="黑体" w:hAnsi="黑体" w:eastAsia="黑体"/>
          <w:sz w:val="36"/>
          <w:szCs w:val="36"/>
        </w:rPr>
      </w:pPr>
      <w:bookmarkStart w:id="12" w:name="_Toc489013229"/>
      <w:r>
        <w:rPr>
          <w:rFonts w:hint="eastAsia" w:ascii="黑体" w:hAnsi="黑体" w:eastAsia="黑体"/>
          <w:sz w:val="36"/>
          <w:szCs w:val="36"/>
        </w:rPr>
        <w:t>第4章 项目建设方案</w:t>
      </w:r>
      <w:bookmarkEnd w:id="12"/>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进口汽车综合服务包括汽车进口通关及相关手续办理、展示与销售、检测与维护。岳阳城陵矶新港区综合保税区进口汽车综合服务中心应该覆盖进口汽车全业务链条，实现相关功能与服务。所以，岳阳城陵矶新港区综合保税区进口汽车综合服务中心项目建设应该包括：进口汽车展示交易中心、进口汽车检测与维修中心和进口汽车零配件交易中心三大区域。</w:t>
      </w:r>
    </w:p>
    <w:p>
      <w:pPr>
        <w:adjustRightInd w:val="0"/>
        <w:snapToGrid w:val="0"/>
        <w:spacing w:before="0" w:beforeAutospacing="0" w:after="0" w:afterAutospacing="0" w:line="540" w:lineRule="atLeast"/>
        <w:ind w:firstLine="562" w:firstLineChars="200"/>
        <w:rPr>
          <w:rFonts w:ascii="仿宋_GB2312" w:hAnsi="华文楷体" w:eastAsia="仿宋_GB2312"/>
          <w:b/>
          <w:color w:val="000000"/>
          <w:sz w:val="28"/>
          <w:szCs w:val="28"/>
        </w:rPr>
      </w:pPr>
      <w:r>
        <w:rPr>
          <w:rFonts w:hint="eastAsia" w:ascii="仿宋_GB2312" w:hAnsi="华文楷体" w:eastAsia="仿宋_GB2312"/>
          <w:b/>
          <w:color w:val="000000"/>
          <w:sz w:val="28"/>
          <w:szCs w:val="28"/>
        </w:rPr>
        <w:t>1、进口汽车展示交易中心</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进口汽车展示交易中心的建筑面积为5000平方米，包括展示区和办公区，采用钢结构。</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进口汽车展示交易中心主要服务于汽车展示、交易、信息交流、仓储、分拨配送、报关报检服务、汽车金融等功能于一体，为进口汽车搭建展示、交易、分拨配送、信息交流、金融服务等综合性平台。</w:t>
      </w:r>
    </w:p>
    <w:p>
      <w:pPr>
        <w:adjustRightInd w:val="0"/>
        <w:snapToGrid w:val="0"/>
        <w:spacing w:before="0" w:beforeAutospacing="0" w:after="0" w:afterAutospacing="0" w:line="540" w:lineRule="atLeast"/>
        <w:ind w:firstLine="562" w:firstLineChars="200"/>
        <w:rPr>
          <w:rFonts w:ascii="仿宋_GB2312" w:hAnsi="华文楷体" w:eastAsia="仿宋_GB2312"/>
          <w:b/>
          <w:color w:val="000000"/>
          <w:sz w:val="28"/>
          <w:szCs w:val="28"/>
        </w:rPr>
      </w:pPr>
      <w:r>
        <w:rPr>
          <w:rFonts w:hint="eastAsia" w:ascii="仿宋_GB2312" w:hAnsi="华文楷体" w:eastAsia="仿宋_GB2312"/>
          <w:b/>
          <w:color w:val="000000"/>
          <w:sz w:val="28"/>
          <w:szCs w:val="28"/>
        </w:rPr>
        <w:t>2、进口汽车检测与维修中心</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进口汽车维修中心的建筑面积为4000平方米，包括检测区、维修区和办公区，采用钢结构。</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进口汽车维修中心包括汽车维修检测中心、维修厂房。为进口汽车提供维修检测、维修养护服务。</w:t>
      </w:r>
    </w:p>
    <w:p>
      <w:pPr>
        <w:adjustRightInd w:val="0"/>
        <w:snapToGrid w:val="0"/>
        <w:spacing w:before="0" w:beforeAutospacing="0" w:after="0" w:afterAutospacing="0" w:line="540" w:lineRule="atLeast"/>
        <w:ind w:firstLine="562" w:firstLineChars="200"/>
        <w:rPr>
          <w:rFonts w:ascii="仿宋_GB2312" w:hAnsi="华文楷体" w:eastAsia="仿宋_GB2312"/>
          <w:b/>
          <w:color w:val="000000"/>
          <w:sz w:val="28"/>
          <w:szCs w:val="28"/>
        </w:rPr>
      </w:pPr>
      <w:r>
        <w:rPr>
          <w:rFonts w:hint="eastAsia" w:ascii="仿宋_GB2312" w:hAnsi="华文楷体" w:eastAsia="仿宋_GB2312"/>
          <w:b/>
          <w:color w:val="000000"/>
          <w:sz w:val="28"/>
          <w:szCs w:val="28"/>
        </w:rPr>
        <w:t>3、进口汽车零配件交易中心</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进口汽车零配件交易中心的建筑面积为2000平方米，进口汽车、零配件仓库建筑面积2 000平方米。包括展示区、交易区和办公区，采用钢结构。</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进口汽车零配件交易中心包括保税零配件库、汽车零配件</w:t>
      </w:r>
      <w:r>
        <w:rPr>
          <w:rFonts w:ascii="仿宋" w:hAnsi="仿宋" w:eastAsia="仿宋"/>
          <w:color w:val="000000"/>
          <w:sz w:val="28"/>
          <w:szCs w:val="28"/>
        </w:rPr>
        <w:t xml:space="preserve">O2O </w:t>
      </w:r>
      <w:r>
        <w:rPr>
          <w:rFonts w:hint="eastAsia" w:ascii="仿宋" w:hAnsi="仿宋" w:eastAsia="仿宋"/>
          <w:color w:val="000000"/>
          <w:sz w:val="28"/>
          <w:szCs w:val="28"/>
        </w:rPr>
        <w:t>交易平台等。</w:t>
      </w:r>
    </w:p>
    <w:p>
      <w:pPr>
        <w:adjustRightInd w:val="0"/>
        <w:snapToGrid w:val="0"/>
        <w:spacing w:before="0" w:beforeAutospacing="0" w:after="0" w:afterAutospacing="0" w:line="540" w:lineRule="atLeast"/>
        <w:ind w:firstLine="562" w:firstLineChars="200"/>
        <w:rPr>
          <w:rFonts w:ascii="仿宋_GB2312" w:hAnsi="华文楷体" w:eastAsia="仿宋_GB2312"/>
          <w:b/>
          <w:color w:val="000000"/>
          <w:sz w:val="28"/>
          <w:szCs w:val="28"/>
        </w:rPr>
      </w:pPr>
      <w:r>
        <w:rPr>
          <w:rFonts w:hint="eastAsia" w:ascii="仿宋_GB2312" w:hAnsi="华文楷体" w:eastAsia="仿宋_GB2312"/>
          <w:b/>
          <w:color w:val="000000"/>
          <w:sz w:val="28"/>
          <w:szCs w:val="28"/>
        </w:rPr>
        <w:t>4、维修保养工具设备</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由于各品牌汽车厂商部分维修保养工具设备的专用性，建议进口汽车维修中心配备7套满足进口汽车维修质量保障要求的维修与保养设备，以服务于不同品牌的进口汽车。</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岳阳城陵矶新港区综合保税区进口汽车综合服务中心建筑面积合计13000平方米。基本能满足岳阳城陵矶新港区综合保税区未来一定时期内进口汽车服务的需求。</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本方案参考了上海自贸区平行进口汽车展销中心和天津自贸区进口汽车交易中心的情况，并结合了岳阳的实际。（上海自贸区平行进口汽车展销中心展示厅面积6 000平方米，能容纳50台进口汽车展示，维修中心面积5 000平方米。天津自贸区进口汽车交易中心综合建筑面积为20000平方米）。</w:t>
      </w:r>
    </w:p>
    <w:p>
      <w:pPr>
        <w:widowControl/>
        <w:spacing w:before="0" w:beforeAutospacing="0" w:after="0" w:afterAutospacing="0" w:line="540" w:lineRule="atLeast"/>
        <w:jc w:val="left"/>
        <w:rPr>
          <w:b/>
          <w:bCs/>
          <w:kern w:val="44"/>
          <w:sz w:val="44"/>
          <w:szCs w:val="44"/>
        </w:rPr>
      </w:pPr>
      <w:bookmarkStart w:id="13" w:name="_Toc479956089"/>
      <w:r>
        <w:br w:type="page"/>
      </w:r>
    </w:p>
    <w:p>
      <w:pPr>
        <w:pStyle w:val="2"/>
        <w:adjustRightInd w:val="0"/>
        <w:snapToGrid w:val="0"/>
        <w:spacing w:beforeLines="100" w:beforeAutospacing="0" w:afterLines="50" w:afterAutospacing="0" w:line="540" w:lineRule="atLeast"/>
        <w:jc w:val="center"/>
        <w:rPr>
          <w:rFonts w:ascii="黑体" w:hAnsi="黑体" w:eastAsia="黑体"/>
          <w:sz w:val="36"/>
          <w:szCs w:val="36"/>
        </w:rPr>
      </w:pPr>
      <w:bookmarkStart w:id="14" w:name="_Toc489013230"/>
      <w:r>
        <w:rPr>
          <w:rFonts w:hint="eastAsia" w:ascii="黑体" w:hAnsi="黑体" w:eastAsia="黑体"/>
          <w:sz w:val="36"/>
          <w:szCs w:val="36"/>
        </w:rPr>
        <w:t>第5章 投资概算</w:t>
      </w:r>
      <w:bookmarkEnd w:id="14"/>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进口汽车展示交易中心、维修中心和零配件交易中心投资概算以采用钢结构为依据，建安成本为2000元/平方米。进口汽车维修设备全套估价为200万元/套，每个品牌配备一套，建议配备7套。</w:t>
      </w:r>
    </w:p>
    <w:p>
      <w:pPr>
        <w:adjustRightInd w:val="0"/>
        <w:snapToGrid w:val="0"/>
        <w:spacing w:beforeLines="100" w:beforeAutospacing="0" w:afterLines="50" w:afterAutospacing="0" w:line="540" w:lineRule="atLeast"/>
        <w:jc w:val="center"/>
        <w:rPr>
          <w:rFonts w:ascii="黑体" w:eastAsia="黑体"/>
          <w:color w:val="000000"/>
          <w:sz w:val="24"/>
          <w:szCs w:val="24"/>
        </w:rPr>
      </w:pPr>
      <w:r>
        <w:rPr>
          <w:rFonts w:hint="eastAsia" w:ascii="黑体" w:eastAsia="黑体"/>
          <w:color w:val="000000"/>
          <w:sz w:val="24"/>
          <w:szCs w:val="24"/>
        </w:rPr>
        <w:t>表2：投资概算表</w:t>
      </w:r>
    </w:p>
    <w:tbl>
      <w:tblPr>
        <w:tblStyle w:val="13"/>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588"/>
        <w:gridCol w:w="212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shd w:val="clear" w:color="auto" w:fill="F1F1F1" w:themeFill="background1" w:themeFillShade="F2"/>
          </w:tcPr>
          <w:p>
            <w:pPr>
              <w:adjustRightInd w:val="0"/>
              <w:snapToGrid w:val="0"/>
              <w:spacing w:before="0" w:beforeAutospacing="0" w:after="0" w:afterAutospacing="0" w:line="540" w:lineRule="atLeast"/>
              <w:jc w:val="center"/>
              <w:rPr>
                <w:rFonts w:ascii="黑体" w:eastAsia="黑体"/>
                <w:color w:val="000000"/>
                <w:sz w:val="24"/>
              </w:rPr>
            </w:pPr>
            <w:r>
              <w:rPr>
                <w:rFonts w:hint="eastAsia" w:ascii="黑体" w:eastAsia="黑体"/>
                <w:color w:val="000000"/>
                <w:sz w:val="24"/>
              </w:rPr>
              <w:t>项目</w:t>
            </w:r>
          </w:p>
        </w:tc>
        <w:tc>
          <w:tcPr>
            <w:tcW w:w="1588" w:type="dxa"/>
            <w:shd w:val="clear" w:color="auto" w:fill="F1F1F1" w:themeFill="background1" w:themeFillShade="F2"/>
          </w:tcPr>
          <w:p>
            <w:pPr>
              <w:adjustRightInd w:val="0"/>
              <w:snapToGrid w:val="0"/>
              <w:spacing w:before="0" w:beforeAutospacing="0" w:after="0" w:afterAutospacing="0" w:line="540" w:lineRule="atLeast"/>
              <w:jc w:val="center"/>
              <w:rPr>
                <w:rFonts w:ascii="黑体" w:eastAsia="黑体"/>
                <w:color w:val="000000"/>
                <w:sz w:val="24"/>
              </w:rPr>
            </w:pPr>
            <w:r>
              <w:rPr>
                <w:rFonts w:hint="eastAsia" w:ascii="黑体" w:eastAsia="黑体"/>
                <w:color w:val="000000"/>
                <w:sz w:val="24"/>
              </w:rPr>
              <w:t>单位</w:t>
            </w:r>
          </w:p>
        </w:tc>
        <w:tc>
          <w:tcPr>
            <w:tcW w:w="2127" w:type="dxa"/>
            <w:shd w:val="clear" w:color="auto" w:fill="F1F1F1" w:themeFill="background1" w:themeFillShade="F2"/>
          </w:tcPr>
          <w:p>
            <w:pPr>
              <w:adjustRightInd w:val="0"/>
              <w:snapToGrid w:val="0"/>
              <w:spacing w:before="0" w:beforeAutospacing="0" w:after="0" w:afterAutospacing="0" w:line="540" w:lineRule="atLeast"/>
              <w:jc w:val="center"/>
              <w:rPr>
                <w:rFonts w:ascii="黑体" w:eastAsia="黑体"/>
                <w:color w:val="000000"/>
                <w:sz w:val="24"/>
              </w:rPr>
            </w:pPr>
            <w:r>
              <w:rPr>
                <w:rFonts w:hint="eastAsia" w:ascii="黑体" w:eastAsia="黑体"/>
                <w:color w:val="000000"/>
                <w:sz w:val="24"/>
              </w:rPr>
              <w:t>单位预估成本</w:t>
            </w:r>
          </w:p>
        </w:tc>
        <w:tc>
          <w:tcPr>
            <w:tcW w:w="1559" w:type="dxa"/>
            <w:shd w:val="clear" w:color="auto" w:fill="F1F1F1" w:themeFill="background1" w:themeFillShade="F2"/>
          </w:tcPr>
          <w:p>
            <w:pPr>
              <w:adjustRightInd w:val="0"/>
              <w:snapToGrid w:val="0"/>
              <w:spacing w:before="0" w:beforeAutospacing="0" w:after="0" w:afterAutospacing="0" w:line="540" w:lineRule="atLeast"/>
              <w:jc w:val="center"/>
              <w:rPr>
                <w:rFonts w:ascii="黑体" w:eastAsia="黑体"/>
                <w:color w:val="000000"/>
                <w:sz w:val="24"/>
              </w:rPr>
            </w:pPr>
            <w:r>
              <w:rPr>
                <w:rFonts w:hint="eastAsia" w:ascii="黑体" w:eastAsia="黑体"/>
                <w:color w:val="000000"/>
                <w:sz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tcPr>
          <w:p>
            <w:pPr>
              <w:adjustRightInd w:val="0"/>
              <w:snapToGrid w:val="0"/>
              <w:spacing w:before="0" w:beforeAutospacing="0" w:after="0" w:afterAutospacing="0" w:line="540" w:lineRule="atLeast"/>
              <w:rPr>
                <w:rFonts w:ascii="黑体" w:eastAsia="黑体"/>
                <w:color w:val="000000"/>
                <w:sz w:val="24"/>
              </w:rPr>
            </w:pPr>
            <w:r>
              <w:rPr>
                <w:rFonts w:hint="eastAsia" w:ascii="黑体" w:eastAsia="黑体"/>
                <w:color w:val="000000"/>
                <w:sz w:val="24"/>
              </w:rPr>
              <w:t>一、工程费用</w:t>
            </w:r>
          </w:p>
        </w:tc>
        <w:tc>
          <w:tcPr>
            <w:tcW w:w="1588" w:type="dxa"/>
          </w:tcPr>
          <w:p>
            <w:pPr>
              <w:adjustRightInd w:val="0"/>
              <w:snapToGrid w:val="0"/>
              <w:spacing w:before="0" w:beforeAutospacing="0" w:after="0" w:afterAutospacing="0" w:line="540" w:lineRule="atLeast"/>
              <w:jc w:val="center"/>
              <w:rPr>
                <w:rFonts w:ascii="黑体" w:eastAsia="黑体"/>
                <w:color w:val="000000"/>
                <w:sz w:val="24"/>
              </w:rPr>
            </w:pPr>
          </w:p>
        </w:tc>
        <w:tc>
          <w:tcPr>
            <w:tcW w:w="2127" w:type="dxa"/>
          </w:tcPr>
          <w:p>
            <w:pPr>
              <w:adjustRightInd w:val="0"/>
              <w:snapToGrid w:val="0"/>
              <w:spacing w:before="0" w:beforeAutospacing="0" w:after="0" w:afterAutospacing="0" w:line="540" w:lineRule="atLeast"/>
              <w:jc w:val="center"/>
              <w:rPr>
                <w:rFonts w:ascii="黑体" w:eastAsia="黑体"/>
                <w:color w:val="000000"/>
                <w:sz w:val="24"/>
              </w:rPr>
            </w:pPr>
          </w:p>
        </w:tc>
        <w:tc>
          <w:tcPr>
            <w:tcW w:w="1559" w:type="dxa"/>
          </w:tcPr>
          <w:p>
            <w:pPr>
              <w:adjustRightInd w:val="0"/>
              <w:snapToGrid w:val="0"/>
              <w:spacing w:before="0" w:beforeAutospacing="0" w:after="0" w:afterAutospacing="0" w:line="540" w:lineRule="atLeast"/>
              <w:rPr>
                <w:rFonts w:asci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tcPr>
          <w:p>
            <w:pPr>
              <w:adjustRightInd w:val="0"/>
              <w:snapToGrid w:val="0"/>
              <w:spacing w:before="0" w:beforeAutospacing="0" w:after="0" w:afterAutospacing="0" w:line="540" w:lineRule="atLeast"/>
              <w:ind w:firstLine="480" w:firstLineChars="200"/>
              <w:rPr>
                <w:rFonts w:ascii="仿宋" w:hAnsi="仿宋" w:eastAsia="仿宋"/>
                <w:color w:val="000000"/>
                <w:sz w:val="24"/>
              </w:rPr>
            </w:pPr>
            <w:r>
              <w:rPr>
                <w:rFonts w:hint="eastAsia" w:ascii="仿宋" w:hAnsi="仿宋" w:eastAsia="仿宋"/>
                <w:color w:val="000000"/>
                <w:sz w:val="24"/>
              </w:rPr>
              <w:t>进口汽车展示交易中心</w:t>
            </w:r>
          </w:p>
        </w:tc>
        <w:tc>
          <w:tcPr>
            <w:tcW w:w="1588"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5000平方米</w:t>
            </w:r>
          </w:p>
        </w:tc>
        <w:tc>
          <w:tcPr>
            <w:tcW w:w="2127"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0.2万元/平方米</w:t>
            </w:r>
          </w:p>
        </w:tc>
        <w:tc>
          <w:tcPr>
            <w:tcW w:w="1559"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1 000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tcPr>
          <w:p>
            <w:pPr>
              <w:adjustRightInd w:val="0"/>
              <w:snapToGrid w:val="0"/>
              <w:spacing w:before="0" w:beforeAutospacing="0" w:after="0" w:afterAutospacing="0" w:line="540" w:lineRule="atLeast"/>
              <w:ind w:firstLine="480" w:firstLineChars="200"/>
              <w:rPr>
                <w:rFonts w:ascii="仿宋" w:hAnsi="仿宋" w:eastAsia="仿宋"/>
                <w:color w:val="000000"/>
                <w:sz w:val="24"/>
              </w:rPr>
            </w:pPr>
            <w:r>
              <w:rPr>
                <w:rFonts w:hint="eastAsia" w:ascii="仿宋" w:hAnsi="仿宋" w:eastAsia="仿宋"/>
                <w:color w:val="000000"/>
                <w:sz w:val="24"/>
              </w:rPr>
              <w:t>进口汽车维修中心</w:t>
            </w:r>
          </w:p>
        </w:tc>
        <w:tc>
          <w:tcPr>
            <w:tcW w:w="1588"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4000平方米</w:t>
            </w:r>
          </w:p>
        </w:tc>
        <w:tc>
          <w:tcPr>
            <w:tcW w:w="2127"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0.2万元/平方米</w:t>
            </w:r>
          </w:p>
        </w:tc>
        <w:tc>
          <w:tcPr>
            <w:tcW w:w="1559"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tcPr>
          <w:p>
            <w:pPr>
              <w:adjustRightInd w:val="0"/>
              <w:snapToGrid w:val="0"/>
              <w:spacing w:before="0" w:beforeAutospacing="0" w:after="0" w:afterAutospacing="0" w:line="540" w:lineRule="atLeast"/>
              <w:ind w:firstLine="480" w:firstLineChars="200"/>
              <w:rPr>
                <w:rFonts w:ascii="仿宋" w:hAnsi="仿宋" w:eastAsia="仿宋"/>
                <w:color w:val="000000"/>
                <w:sz w:val="24"/>
              </w:rPr>
            </w:pPr>
            <w:r>
              <w:rPr>
                <w:rFonts w:hint="eastAsia" w:ascii="仿宋" w:hAnsi="仿宋" w:eastAsia="仿宋"/>
                <w:color w:val="000000"/>
                <w:sz w:val="24"/>
              </w:rPr>
              <w:t>进口汽车零配件交易中心</w:t>
            </w:r>
          </w:p>
        </w:tc>
        <w:tc>
          <w:tcPr>
            <w:tcW w:w="1588"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2000平方米</w:t>
            </w:r>
          </w:p>
        </w:tc>
        <w:tc>
          <w:tcPr>
            <w:tcW w:w="2127"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0.2万元/平方米</w:t>
            </w:r>
          </w:p>
        </w:tc>
        <w:tc>
          <w:tcPr>
            <w:tcW w:w="1559"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tcPr>
          <w:p>
            <w:pPr>
              <w:adjustRightInd w:val="0"/>
              <w:snapToGrid w:val="0"/>
              <w:spacing w:before="0" w:beforeAutospacing="0" w:after="0" w:afterAutospacing="0" w:line="540" w:lineRule="atLeast"/>
              <w:ind w:firstLine="480" w:firstLineChars="200"/>
              <w:rPr>
                <w:rFonts w:ascii="仿宋" w:hAnsi="仿宋" w:eastAsia="仿宋"/>
                <w:color w:val="000000"/>
                <w:sz w:val="24"/>
              </w:rPr>
            </w:pPr>
            <w:r>
              <w:rPr>
                <w:rFonts w:hint="eastAsia" w:ascii="仿宋" w:hAnsi="仿宋" w:eastAsia="仿宋"/>
                <w:color w:val="000000"/>
                <w:sz w:val="24"/>
              </w:rPr>
              <w:t>进口汽车、零配件仓库</w:t>
            </w:r>
          </w:p>
        </w:tc>
        <w:tc>
          <w:tcPr>
            <w:tcW w:w="1588"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2000平方米</w:t>
            </w:r>
          </w:p>
        </w:tc>
        <w:tc>
          <w:tcPr>
            <w:tcW w:w="2127"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0.2万元/平方米</w:t>
            </w:r>
          </w:p>
        </w:tc>
        <w:tc>
          <w:tcPr>
            <w:tcW w:w="1559"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tcPr>
          <w:p>
            <w:pPr>
              <w:adjustRightInd w:val="0"/>
              <w:snapToGrid w:val="0"/>
              <w:spacing w:before="0" w:beforeAutospacing="0" w:after="0" w:afterAutospacing="0" w:line="540" w:lineRule="atLeast"/>
              <w:rPr>
                <w:rFonts w:ascii="黑体" w:eastAsia="黑体"/>
                <w:color w:val="000000"/>
                <w:sz w:val="24"/>
              </w:rPr>
            </w:pPr>
            <w:r>
              <w:rPr>
                <w:rFonts w:hint="eastAsia" w:ascii="黑体" w:eastAsia="黑体"/>
                <w:color w:val="000000"/>
                <w:sz w:val="24"/>
              </w:rPr>
              <w:t>二、土地使用费用</w:t>
            </w:r>
          </w:p>
        </w:tc>
        <w:tc>
          <w:tcPr>
            <w:tcW w:w="1588"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50亩</w:t>
            </w:r>
          </w:p>
        </w:tc>
        <w:tc>
          <w:tcPr>
            <w:tcW w:w="2127"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160万元/亩</w:t>
            </w:r>
          </w:p>
        </w:tc>
        <w:tc>
          <w:tcPr>
            <w:tcW w:w="1559"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8 000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tcPr>
          <w:p>
            <w:pPr>
              <w:adjustRightInd w:val="0"/>
              <w:snapToGrid w:val="0"/>
              <w:spacing w:before="0" w:beforeAutospacing="0" w:after="0" w:afterAutospacing="0" w:line="540" w:lineRule="atLeast"/>
              <w:rPr>
                <w:rFonts w:ascii="黑体" w:eastAsia="黑体"/>
                <w:color w:val="000000"/>
                <w:sz w:val="24"/>
              </w:rPr>
            </w:pPr>
            <w:r>
              <w:rPr>
                <w:rFonts w:hint="eastAsia" w:ascii="黑体" w:eastAsia="黑体"/>
                <w:color w:val="000000"/>
                <w:sz w:val="24"/>
              </w:rPr>
              <w:t>三、设备</w:t>
            </w:r>
          </w:p>
        </w:tc>
        <w:tc>
          <w:tcPr>
            <w:tcW w:w="1588" w:type="dxa"/>
          </w:tcPr>
          <w:p>
            <w:pPr>
              <w:adjustRightInd w:val="0"/>
              <w:snapToGrid w:val="0"/>
              <w:spacing w:before="0" w:beforeAutospacing="0" w:after="0" w:afterAutospacing="0" w:line="540" w:lineRule="atLeast"/>
              <w:rPr>
                <w:rFonts w:ascii="黑体" w:eastAsia="黑体"/>
                <w:color w:val="000000"/>
                <w:sz w:val="24"/>
              </w:rPr>
            </w:pPr>
          </w:p>
        </w:tc>
        <w:tc>
          <w:tcPr>
            <w:tcW w:w="2127" w:type="dxa"/>
          </w:tcPr>
          <w:p>
            <w:pPr>
              <w:adjustRightInd w:val="0"/>
              <w:snapToGrid w:val="0"/>
              <w:spacing w:before="0" w:beforeAutospacing="0" w:after="0" w:afterAutospacing="0" w:line="540" w:lineRule="atLeast"/>
              <w:rPr>
                <w:rFonts w:ascii="黑体" w:eastAsia="黑体"/>
                <w:color w:val="000000"/>
                <w:sz w:val="24"/>
              </w:rPr>
            </w:pPr>
          </w:p>
        </w:tc>
        <w:tc>
          <w:tcPr>
            <w:tcW w:w="1559" w:type="dxa"/>
          </w:tcPr>
          <w:p>
            <w:pPr>
              <w:adjustRightInd w:val="0"/>
              <w:snapToGrid w:val="0"/>
              <w:spacing w:before="0" w:beforeAutospacing="0" w:after="0" w:afterAutospacing="0" w:line="540" w:lineRule="atLeast"/>
              <w:rPr>
                <w:rFonts w:asci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tcPr>
          <w:p>
            <w:pPr>
              <w:adjustRightInd w:val="0"/>
              <w:snapToGrid w:val="0"/>
              <w:spacing w:before="0" w:beforeAutospacing="0" w:after="0" w:afterAutospacing="0" w:line="540" w:lineRule="atLeast"/>
              <w:ind w:firstLine="480" w:firstLineChars="200"/>
              <w:rPr>
                <w:rFonts w:ascii="黑体" w:eastAsia="黑体"/>
                <w:color w:val="000000"/>
                <w:sz w:val="24"/>
              </w:rPr>
            </w:pPr>
            <w:r>
              <w:rPr>
                <w:rFonts w:hint="eastAsia" w:ascii="仿宋" w:hAnsi="仿宋" w:eastAsia="仿宋"/>
                <w:color w:val="000000"/>
                <w:sz w:val="24"/>
              </w:rPr>
              <w:t>进口汽车维修设备</w:t>
            </w:r>
          </w:p>
        </w:tc>
        <w:tc>
          <w:tcPr>
            <w:tcW w:w="1588"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7套</w:t>
            </w:r>
          </w:p>
        </w:tc>
        <w:tc>
          <w:tcPr>
            <w:tcW w:w="2127"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200万元/套</w:t>
            </w:r>
          </w:p>
        </w:tc>
        <w:tc>
          <w:tcPr>
            <w:tcW w:w="1559"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1 400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tcPr>
          <w:p>
            <w:pPr>
              <w:adjustRightInd w:val="0"/>
              <w:snapToGrid w:val="0"/>
              <w:spacing w:before="0" w:beforeAutospacing="0" w:after="0" w:afterAutospacing="0" w:line="540" w:lineRule="atLeast"/>
              <w:rPr>
                <w:rFonts w:ascii="黑体" w:eastAsia="黑体"/>
                <w:color w:val="000000"/>
                <w:sz w:val="24"/>
              </w:rPr>
            </w:pPr>
            <w:r>
              <w:rPr>
                <w:rFonts w:hint="eastAsia" w:ascii="黑体" w:eastAsia="黑体"/>
                <w:color w:val="000000"/>
                <w:sz w:val="24"/>
              </w:rPr>
              <w:t>四、运营流动资金</w:t>
            </w:r>
          </w:p>
        </w:tc>
        <w:tc>
          <w:tcPr>
            <w:tcW w:w="1588" w:type="dxa"/>
          </w:tcPr>
          <w:p>
            <w:pPr>
              <w:adjustRightInd w:val="0"/>
              <w:snapToGrid w:val="0"/>
              <w:spacing w:before="0" w:beforeAutospacing="0" w:after="0" w:afterAutospacing="0" w:line="540" w:lineRule="atLeast"/>
              <w:rPr>
                <w:rFonts w:ascii="黑体" w:eastAsia="黑体"/>
                <w:color w:val="000000"/>
                <w:sz w:val="24"/>
              </w:rPr>
            </w:pPr>
          </w:p>
        </w:tc>
        <w:tc>
          <w:tcPr>
            <w:tcW w:w="2127" w:type="dxa"/>
          </w:tcPr>
          <w:p>
            <w:pPr>
              <w:adjustRightInd w:val="0"/>
              <w:snapToGrid w:val="0"/>
              <w:spacing w:before="0" w:beforeAutospacing="0" w:after="0" w:afterAutospacing="0" w:line="540" w:lineRule="atLeast"/>
              <w:rPr>
                <w:rFonts w:ascii="黑体" w:eastAsia="黑体"/>
                <w:color w:val="000000"/>
                <w:sz w:val="24"/>
              </w:rPr>
            </w:pPr>
          </w:p>
        </w:tc>
        <w:tc>
          <w:tcPr>
            <w:tcW w:w="1559"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8 000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tcPr>
          <w:p>
            <w:pPr>
              <w:adjustRightInd w:val="0"/>
              <w:snapToGrid w:val="0"/>
              <w:spacing w:before="0" w:beforeAutospacing="0" w:after="0" w:afterAutospacing="0" w:line="540" w:lineRule="atLeast"/>
              <w:rPr>
                <w:rFonts w:ascii="黑体" w:eastAsia="黑体"/>
                <w:color w:val="000000"/>
                <w:sz w:val="24"/>
              </w:rPr>
            </w:pPr>
            <w:r>
              <w:rPr>
                <w:rFonts w:hint="eastAsia" w:ascii="黑体" w:eastAsia="黑体"/>
                <w:color w:val="000000"/>
                <w:sz w:val="24"/>
              </w:rPr>
              <w:t>五、投资项目总概算</w:t>
            </w:r>
          </w:p>
        </w:tc>
        <w:tc>
          <w:tcPr>
            <w:tcW w:w="1588" w:type="dxa"/>
          </w:tcPr>
          <w:p>
            <w:pPr>
              <w:adjustRightInd w:val="0"/>
              <w:snapToGrid w:val="0"/>
              <w:spacing w:before="0" w:beforeAutospacing="0" w:after="0" w:afterAutospacing="0" w:line="540" w:lineRule="atLeast"/>
              <w:rPr>
                <w:rFonts w:ascii="黑体" w:eastAsia="黑体"/>
                <w:color w:val="000000"/>
                <w:sz w:val="24"/>
              </w:rPr>
            </w:pPr>
          </w:p>
        </w:tc>
        <w:tc>
          <w:tcPr>
            <w:tcW w:w="2127" w:type="dxa"/>
          </w:tcPr>
          <w:p>
            <w:pPr>
              <w:adjustRightInd w:val="0"/>
              <w:snapToGrid w:val="0"/>
              <w:spacing w:before="0" w:beforeAutospacing="0" w:after="0" w:afterAutospacing="0" w:line="540" w:lineRule="atLeast"/>
              <w:rPr>
                <w:rFonts w:ascii="黑体" w:eastAsia="黑体"/>
                <w:color w:val="000000"/>
                <w:sz w:val="24"/>
              </w:rPr>
            </w:pPr>
          </w:p>
        </w:tc>
        <w:tc>
          <w:tcPr>
            <w:tcW w:w="1559"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20 000</w:t>
            </w:r>
          </w:p>
        </w:tc>
      </w:tr>
    </w:tbl>
    <w:p>
      <w:pPr>
        <w:pStyle w:val="2"/>
        <w:adjustRightInd w:val="0"/>
        <w:snapToGrid w:val="0"/>
        <w:spacing w:beforeLines="100" w:beforeAutospacing="0" w:afterLines="50" w:afterAutospacing="0" w:line="540" w:lineRule="atLeast"/>
        <w:jc w:val="center"/>
        <w:rPr>
          <w:rFonts w:ascii="仿宋" w:hAnsi="仿宋" w:eastAsia="仿宋"/>
          <w:color w:val="000000"/>
          <w:sz w:val="28"/>
          <w:szCs w:val="28"/>
        </w:rPr>
      </w:pPr>
    </w:p>
    <w:p>
      <w:pPr>
        <w:widowControl/>
        <w:spacing w:before="0" w:beforeAutospacing="0" w:after="0" w:afterAutospacing="0" w:line="540" w:lineRule="atLeast"/>
        <w:jc w:val="left"/>
        <w:rPr>
          <w:b/>
          <w:bCs/>
          <w:kern w:val="44"/>
          <w:sz w:val="44"/>
          <w:szCs w:val="44"/>
        </w:rPr>
      </w:pPr>
      <w:r>
        <w:br w:type="page"/>
      </w:r>
    </w:p>
    <w:p>
      <w:pPr>
        <w:pStyle w:val="2"/>
        <w:adjustRightInd w:val="0"/>
        <w:snapToGrid w:val="0"/>
        <w:spacing w:beforeLines="100" w:beforeAutospacing="0" w:afterLines="50" w:afterAutospacing="0" w:line="540" w:lineRule="atLeast"/>
        <w:jc w:val="center"/>
        <w:rPr>
          <w:rFonts w:ascii="黑体" w:hAnsi="黑体" w:eastAsia="黑体"/>
          <w:sz w:val="36"/>
          <w:szCs w:val="36"/>
        </w:rPr>
      </w:pPr>
      <w:bookmarkStart w:id="15" w:name="_Toc489013231"/>
      <w:r>
        <w:rPr>
          <w:rFonts w:hint="eastAsia" w:ascii="黑体" w:hAnsi="黑体" w:eastAsia="黑体"/>
          <w:sz w:val="36"/>
          <w:szCs w:val="36"/>
        </w:rPr>
        <w:t>第6章 员工配备</w:t>
      </w:r>
      <w:bookmarkEnd w:id="15"/>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本项目所需要配备的员工数量是根据未来五年业务量（进口汽车销量与维修养护量）的预测值，并参考目前岳阳龙头4s店的人员配备情况进行预估。</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有两个因素可能影响未来员工配备比例。一是，随着未来业务量的进一步增长，规模效应可能导致所需要配备的员工数量低于本报告所预估；二是随着自动化程度提高或者维修养护的智能化，资本替代劳动的幅度加大后，导致员工相对于业务量的配备比例低于本建议书的估计。</w:t>
      </w:r>
    </w:p>
    <w:p>
      <w:pPr>
        <w:adjustRightInd w:val="0"/>
        <w:snapToGrid w:val="0"/>
        <w:spacing w:before="0" w:beforeAutospacing="0" w:afterLines="50" w:afterAutospacing="0" w:line="540" w:lineRule="atLeast"/>
        <w:jc w:val="center"/>
        <w:rPr>
          <w:rFonts w:ascii="黑体" w:eastAsia="黑体"/>
          <w:color w:val="000000"/>
          <w:sz w:val="24"/>
          <w:szCs w:val="24"/>
        </w:rPr>
      </w:pPr>
      <w:r>
        <w:rPr>
          <w:rFonts w:hint="eastAsia" w:ascii="黑体" w:eastAsia="黑体"/>
          <w:color w:val="000000"/>
          <w:sz w:val="24"/>
          <w:szCs w:val="24"/>
        </w:rPr>
        <w:t>表3：项目人员配备情况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9"/>
        <w:gridCol w:w="1216"/>
        <w:gridCol w:w="1215"/>
        <w:gridCol w:w="1343"/>
        <w:gridCol w:w="1342"/>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F1F1F1" w:themeFill="background1" w:themeFillShade="F2"/>
            <w:vAlign w:val="center"/>
          </w:tcPr>
          <w:p>
            <w:pPr>
              <w:adjustRightInd w:val="0"/>
              <w:snapToGrid w:val="0"/>
              <w:spacing w:before="0" w:beforeAutospacing="0" w:after="0" w:afterAutospacing="0" w:line="540" w:lineRule="atLeast"/>
              <w:ind w:firstLine="480" w:firstLineChars="200"/>
              <w:jc w:val="center"/>
              <w:rPr>
                <w:rFonts w:ascii="黑体" w:hAnsi="黑体" w:eastAsia="黑体"/>
                <w:color w:val="000000"/>
                <w:sz w:val="24"/>
              </w:rPr>
            </w:pPr>
            <w:r>
              <w:rPr>
                <w:rFonts w:hint="eastAsia" w:ascii="黑体" w:hAnsi="黑体" w:eastAsia="黑体"/>
                <w:color w:val="000000"/>
                <w:sz w:val="24"/>
              </w:rPr>
              <w:t>业务量</w:t>
            </w:r>
          </w:p>
        </w:tc>
        <w:tc>
          <w:tcPr>
            <w:tcW w:w="1276" w:type="dxa"/>
            <w:shd w:val="clear" w:color="auto" w:fill="F1F1F1" w:themeFill="background1" w:themeFillShade="F2"/>
            <w:vAlign w:val="center"/>
          </w:tcPr>
          <w:p>
            <w:pPr>
              <w:adjustRightInd w:val="0"/>
              <w:snapToGrid w:val="0"/>
              <w:spacing w:line="540" w:lineRule="atLeast"/>
              <w:jc w:val="center"/>
              <w:rPr>
                <w:rFonts w:ascii="黑体" w:hAnsi="黑体" w:eastAsia="黑体"/>
                <w:color w:val="000000"/>
                <w:sz w:val="24"/>
                <w:szCs w:val="24"/>
              </w:rPr>
            </w:pPr>
            <w:r>
              <w:rPr>
                <w:rFonts w:hint="eastAsia" w:ascii="黑体" w:hAnsi="黑体" w:eastAsia="黑体"/>
                <w:color w:val="000000"/>
                <w:sz w:val="24"/>
                <w:szCs w:val="24"/>
              </w:rPr>
              <w:t>2018年</w:t>
            </w:r>
          </w:p>
        </w:tc>
        <w:tc>
          <w:tcPr>
            <w:tcW w:w="1275" w:type="dxa"/>
            <w:shd w:val="clear" w:color="auto" w:fill="F1F1F1" w:themeFill="background1" w:themeFillShade="F2"/>
            <w:vAlign w:val="center"/>
          </w:tcPr>
          <w:p>
            <w:pPr>
              <w:adjustRightInd w:val="0"/>
              <w:snapToGrid w:val="0"/>
              <w:spacing w:line="540" w:lineRule="atLeast"/>
              <w:jc w:val="center"/>
              <w:rPr>
                <w:rFonts w:ascii="黑体" w:hAnsi="黑体" w:eastAsia="黑体"/>
                <w:color w:val="000000"/>
                <w:sz w:val="24"/>
                <w:szCs w:val="24"/>
              </w:rPr>
            </w:pPr>
            <w:r>
              <w:rPr>
                <w:rFonts w:hint="eastAsia" w:ascii="黑体" w:hAnsi="黑体" w:eastAsia="黑体"/>
                <w:color w:val="000000"/>
                <w:sz w:val="24"/>
                <w:szCs w:val="24"/>
              </w:rPr>
              <w:t>2019年</w:t>
            </w:r>
          </w:p>
        </w:tc>
        <w:tc>
          <w:tcPr>
            <w:tcW w:w="1418" w:type="dxa"/>
            <w:shd w:val="clear" w:color="auto" w:fill="F1F1F1" w:themeFill="background1" w:themeFillShade="F2"/>
            <w:vAlign w:val="center"/>
          </w:tcPr>
          <w:p>
            <w:pPr>
              <w:adjustRightInd w:val="0"/>
              <w:snapToGrid w:val="0"/>
              <w:spacing w:line="540" w:lineRule="atLeast"/>
              <w:jc w:val="center"/>
              <w:rPr>
                <w:rFonts w:ascii="黑体" w:hAnsi="黑体" w:eastAsia="黑体"/>
                <w:color w:val="000000"/>
                <w:sz w:val="24"/>
                <w:szCs w:val="24"/>
              </w:rPr>
            </w:pPr>
            <w:r>
              <w:rPr>
                <w:rFonts w:hint="eastAsia" w:ascii="黑体" w:hAnsi="黑体" w:eastAsia="黑体"/>
                <w:color w:val="000000"/>
                <w:sz w:val="24"/>
                <w:szCs w:val="24"/>
              </w:rPr>
              <w:t>2020年</w:t>
            </w:r>
          </w:p>
        </w:tc>
        <w:tc>
          <w:tcPr>
            <w:tcW w:w="1417" w:type="dxa"/>
            <w:shd w:val="clear" w:color="auto" w:fill="F1F1F1" w:themeFill="background1" w:themeFillShade="F2"/>
            <w:vAlign w:val="center"/>
          </w:tcPr>
          <w:p>
            <w:pPr>
              <w:adjustRightInd w:val="0"/>
              <w:snapToGrid w:val="0"/>
              <w:spacing w:line="540" w:lineRule="atLeast"/>
              <w:jc w:val="center"/>
              <w:rPr>
                <w:rFonts w:ascii="黑体" w:hAnsi="黑体" w:eastAsia="黑体"/>
                <w:color w:val="000000"/>
                <w:sz w:val="24"/>
                <w:szCs w:val="24"/>
              </w:rPr>
            </w:pPr>
            <w:r>
              <w:rPr>
                <w:rFonts w:hint="eastAsia" w:ascii="黑体" w:hAnsi="黑体" w:eastAsia="黑体"/>
                <w:color w:val="000000"/>
                <w:sz w:val="24"/>
                <w:szCs w:val="24"/>
              </w:rPr>
              <w:t>2021年</w:t>
            </w:r>
          </w:p>
        </w:tc>
        <w:tc>
          <w:tcPr>
            <w:tcW w:w="1129" w:type="dxa"/>
            <w:shd w:val="clear" w:color="auto" w:fill="F1F1F1" w:themeFill="background1" w:themeFillShade="F2"/>
            <w:vAlign w:val="center"/>
          </w:tcPr>
          <w:p>
            <w:pPr>
              <w:adjustRightInd w:val="0"/>
              <w:snapToGrid w:val="0"/>
              <w:spacing w:line="540" w:lineRule="atLeast"/>
              <w:jc w:val="center"/>
              <w:rPr>
                <w:rFonts w:ascii="黑体" w:hAnsi="黑体" w:eastAsia="黑体"/>
                <w:color w:val="000000"/>
                <w:sz w:val="24"/>
                <w:szCs w:val="24"/>
              </w:rPr>
            </w:pPr>
            <w:r>
              <w:rPr>
                <w:rFonts w:hint="eastAsia" w:ascii="黑体" w:hAnsi="黑体" w:eastAsia="黑体"/>
                <w:color w:val="000000"/>
                <w:sz w:val="24"/>
                <w:szCs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60" w:type="dxa"/>
            <w:vAlign w:val="center"/>
          </w:tcPr>
          <w:p>
            <w:pPr>
              <w:adjustRightInd w:val="0"/>
              <w:snapToGrid w:val="0"/>
              <w:spacing w:before="0" w:beforeAutospacing="0" w:after="0" w:afterAutospacing="0" w:line="540" w:lineRule="atLeast"/>
              <w:rPr>
                <w:rFonts w:ascii="黑体" w:hAnsi="黑体" w:eastAsia="黑体"/>
                <w:color w:val="000000"/>
                <w:sz w:val="24"/>
              </w:rPr>
            </w:pPr>
            <w:r>
              <w:rPr>
                <w:rFonts w:hint="eastAsia" w:ascii="黑体" w:hAnsi="黑体" w:eastAsia="黑体"/>
                <w:color w:val="000000"/>
                <w:sz w:val="24"/>
              </w:rPr>
              <w:t>进口汽车销量（台）</w:t>
            </w:r>
          </w:p>
        </w:tc>
        <w:tc>
          <w:tcPr>
            <w:tcW w:w="1276"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2600</w:t>
            </w:r>
          </w:p>
        </w:tc>
        <w:tc>
          <w:tcPr>
            <w:tcW w:w="1275"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3500</w:t>
            </w:r>
          </w:p>
        </w:tc>
        <w:tc>
          <w:tcPr>
            <w:tcW w:w="1418"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4500</w:t>
            </w:r>
          </w:p>
        </w:tc>
        <w:tc>
          <w:tcPr>
            <w:tcW w:w="1417"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5800</w:t>
            </w:r>
          </w:p>
        </w:tc>
        <w:tc>
          <w:tcPr>
            <w:tcW w:w="1129"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adjustRightInd w:val="0"/>
              <w:snapToGrid w:val="0"/>
              <w:spacing w:before="0" w:beforeAutospacing="0" w:after="0" w:afterAutospacing="0" w:line="540" w:lineRule="atLeast"/>
              <w:rPr>
                <w:rFonts w:ascii="黑体" w:hAnsi="黑体" w:eastAsia="黑体"/>
                <w:color w:val="000000"/>
                <w:sz w:val="24"/>
              </w:rPr>
            </w:pPr>
            <w:r>
              <w:rPr>
                <w:rFonts w:hint="eastAsia" w:ascii="黑体" w:hAnsi="黑体" w:eastAsia="黑体"/>
                <w:color w:val="000000"/>
                <w:sz w:val="24"/>
              </w:rPr>
              <w:t>进口汽车维修量（台）</w:t>
            </w:r>
          </w:p>
        </w:tc>
        <w:tc>
          <w:tcPr>
            <w:tcW w:w="1276"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1500</w:t>
            </w:r>
          </w:p>
        </w:tc>
        <w:tc>
          <w:tcPr>
            <w:tcW w:w="1275"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2300</w:t>
            </w:r>
          </w:p>
        </w:tc>
        <w:tc>
          <w:tcPr>
            <w:tcW w:w="1418"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3500</w:t>
            </w:r>
          </w:p>
        </w:tc>
        <w:tc>
          <w:tcPr>
            <w:tcW w:w="1417"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5500</w:t>
            </w:r>
          </w:p>
        </w:tc>
        <w:tc>
          <w:tcPr>
            <w:tcW w:w="1129"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adjustRightInd w:val="0"/>
              <w:snapToGrid w:val="0"/>
              <w:spacing w:before="0" w:beforeAutospacing="0" w:after="0" w:afterAutospacing="0" w:line="540" w:lineRule="atLeast"/>
              <w:rPr>
                <w:rFonts w:ascii="黑体" w:hAnsi="黑体" w:eastAsia="黑体"/>
                <w:color w:val="000000"/>
                <w:sz w:val="24"/>
              </w:rPr>
            </w:pPr>
            <w:r>
              <w:rPr>
                <w:rFonts w:hint="eastAsia" w:ascii="黑体" w:hAnsi="黑体" w:eastAsia="黑体"/>
                <w:color w:val="000000"/>
                <w:sz w:val="24"/>
              </w:rPr>
              <w:t>人员配备（人）</w:t>
            </w:r>
          </w:p>
        </w:tc>
        <w:tc>
          <w:tcPr>
            <w:tcW w:w="1276"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50</w:t>
            </w:r>
          </w:p>
        </w:tc>
        <w:tc>
          <w:tcPr>
            <w:tcW w:w="1275"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60</w:t>
            </w:r>
          </w:p>
        </w:tc>
        <w:tc>
          <w:tcPr>
            <w:tcW w:w="1418"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75</w:t>
            </w:r>
          </w:p>
        </w:tc>
        <w:tc>
          <w:tcPr>
            <w:tcW w:w="1417"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80</w:t>
            </w:r>
          </w:p>
        </w:tc>
        <w:tc>
          <w:tcPr>
            <w:tcW w:w="1129"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adjustRightInd w:val="0"/>
              <w:snapToGrid w:val="0"/>
              <w:spacing w:before="0" w:beforeAutospacing="0" w:after="0" w:afterAutospacing="0" w:line="540" w:lineRule="atLeast"/>
              <w:ind w:firstLine="240" w:firstLineChars="100"/>
              <w:rPr>
                <w:rFonts w:ascii="黑体" w:hAnsi="黑体" w:eastAsia="黑体"/>
                <w:color w:val="000000"/>
                <w:sz w:val="24"/>
              </w:rPr>
            </w:pPr>
            <w:r>
              <w:rPr>
                <w:rFonts w:hint="eastAsia" w:ascii="黑体" w:hAnsi="黑体" w:eastAsia="黑体"/>
                <w:color w:val="000000"/>
                <w:sz w:val="24"/>
              </w:rPr>
              <w:t>其中：管理人员</w:t>
            </w:r>
          </w:p>
        </w:tc>
        <w:tc>
          <w:tcPr>
            <w:tcW w:w="1276"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15</w:t>
            </w:r>
          </w:p>
        </w:tc>
        <w:tc>
          <w:tcPr>
            <w:tcW w:w="1275"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15</w:t>
            </w:r>
          </w:p>
        </w:tc>
        <w:tc>
          <w:tcPr>
            <w:tcW w:w="1418"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15</w:t>
            </w:r>
          </w:p>
        </w:tc>
        <w:tc>
          <w:tcPr>
            <w:tcW w:w="1417"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20</w:t>
            </w:r>
          </w:p>
        </w:tc>
        <w:tc>
          <w:tcPr>
            <w:tcW w:w="1129"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adjustRightInd w:val="0"/>
              <w:snapToGrid w:val="0"/>
              <w:spacing w:before="0" w:beforeAutospacing="0" w:after="0" w:afterAutospacing="0" w:line="540" w:lineRule="atLeast"/>
              <w:ind w:firstLine="480" w:firstLineChars="200"/>
              <w:rPr>
                <w:rFonts w:ascii="黑体" w:hAnsi="黑体" w:eastAsia="黑体"/>
                <w:color w:val="000000"/>
                <w:sz w:val="24"/>
              </w:rPr>
            </w:pPr>
            <w:r>
              <w:rPr>
                <w:rFonts w:hint="eastAsia" w:ascii="黑体" w:hAnsi="黑体" w:eastAsia="黑体"/>
                <w:color w:val="000000"/>
                <w:sz w:val="24"/>
              </w:rPr>
              <w:t xml:space="preserve">    销售线员工</w:t>
            </w:r>
          </w:p>
        </w:tc>
        <w:tc>
          <w:tcPr>
            <w:tcW w:w="1276"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15</w:t>
            </w:r>
          </w:p>
        </w:tc>
        <w:tc>
          <w:tcPr>
            <w:tcW w:w="1275"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20</w:t>
            </w:r>
          </w:p>
        </w:tc>
        <w:tc>
          <w:tcPr>
            <w:tcW w:w="1418"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25</w:t>
            </w:r>
          </w:p>
        </w:tc>
        <w:tc>
          <w:tcPr>
            <w:tcW w:w="1417"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30</w:t>
            </w:r>
          </w:p>
        </w:tc>
        <w:tc>
          <w:tcPr>
            <w:tcW w:w="1129"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adjustRightInd w:val="0"/>
              <w:snapToGrid w:val="0"/>
              <w:spacing w:before="0" w:beforeAutospacing="0" w:after="0" w:afterAutospacing="0" w:line="540" w:lineRule="atLeast"/>
              <w:ind w:firstLine="960" w:firstLineChars="400"/>
              <w:rPr>
                <w:rFonts w:ascii="黑体" w:hAnsi="黑体" w:eastAsia="黑体"/>
                <w:color w:val="000000"/>
                <w:sz w:val="24"/>
              </w:rPr>
            </w:pPr>
            <w:r>
              <w:rPr>
                <w:rFonts w:hint="eastAsia" w:ascii="黑体" w:hAnsi="黑体" w:eastAsia="黑体"/>
                <w:color w:val="000000"/>
                <w:sz w:val="24"/>
              </w:rPr>
              <w:t>维修线员工</w:t>
            </w:r>
          </w:p>
        </w:tc>
        <w:tc>
          <w:tcPr>
            <w:tcW w:w="1276"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20</w:t>
            </w:r>
          </w:p>
        </w:tc>
        <w:tc>
          <w:tcPr>
            <w:tcW w:w="1275"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25</w:t>
            </w:r>
          </w:p>
        </w:tc>
        <w:tc>
          <w:tcPr>
            <w:tcW w:w="1418"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35</w:t>
            </w:r>
          </w:p>
        </w:tc>
        <w:tc>
          <w:tcPr>
            <w:tcW w:w="1417"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40</w:t>
            </w:r>
          </w:p>
        </w:tc>
        <w:tc>
          <w:tcPr>
            <w:tcW w:w="1129" w:type="dxa"/>
            <w:vAlign w:val="center"/>
          </w:tcPr>
          <w:p>
            <w:pPr>
              <w:adjustRightInd w:val="0"/>
              <w:snapToGrid w:val="0"/>
              <w:spacing w:line="540" w:lineRule="atLeast"/>
              <w:jc w:val="right"/>
              <w:rPr>
                <w:rFonts w:eastAsia="仿宋_GB2312"/>
                <w:color w:val="000000"/>
                <w:sz w:val="24"/>
                <w:szCs w:val="24"/>
              </w:rPr>
            </w:pPr>
            <w:r>
              <w:rPr>
                <w:rFonts w:eastAsia="仿宋_GB2312"/>
                <w:color w:val="000000"/>
                <w:sz w:val="24"/>
                <w:szCs w:val="24"/>
              </w:rPr>
              <w:t>45</w:t>
            </w:r>
          </w:p>
        </w:tc>
      </w:tr>
    </w:tbl>
    <w:p>
      <w:pPr>
        <w:adjustRightInd w:val="0"/>
        <w:snapToGrid w:val="0"/>
        <w:spacing w:beforeLines="50" w:beforeAutospacing="0" w:afterLines="50" w:afterAutospacing="0" w:line="540" w:lineRule="atLeast"/>
        <w:ind w:firstLine="562" w:firstLineChars="200"/>
        <w:rPr>
          <w:rFonts w:ascii="仿宋" w:hAnsi="仿宋" w:eastAsia="仿宋"/>
          <w:color w:val="000000"/>
          <w:sz w:val="28"/>
          <w:szCs w:val="28"/>
        </w:rPr>
      </w:pPr>
      <w:r>
        <w:rPr>
          <w:rFonts w:hint="eastAsia" w:ascii="仿宋" w:hAnsi="仿宋" w:eastAsia="仿宋"/>
          <w:b/>
          <w:color w:val="000000"/>
          <w:sz w:val="28"/>
          <w:szCs w:val="28"/>
        </w:rPr>
        <w:t>本地区人力资源供给渠道及价格信息参考。</w:t>
      </w:r>
      <w:r>
        <w:rPr>
          <w:rFonts w:hint="eastAsia" w:ascii="仿宋" w:hAnsi="仿宋" w:eastAsia="仿宋"/>
          <w:color w:val="000000"/>
          <w:sz w:val="28"/>
          <w:szCs w:val="28"/>
        </w:rPr>
        <w:t>岳阳有湖南理工学院、岳阳职业技术学院、民族职业学院，2017年中等职业教育招生2万人，在校生7.5万人，毕业生2.3万人。普通工人基本月薪为1500元左右，技术工人基本月薪为3000元左右，高级工人基本月薪为4000元左右，养老保险、医疗保险、失业保险、工伤保险、生育保险和住房公积金的公缴比例为21%、9%、2%、0.5%、0.8%、8%。</w:t>
      </w:r>
    </w:p>
    <w:bookmarkEnd w:id="13"/>
    <w:p>
      <w:pPr>
        <w:pStyle w:val="2"/>
        <w:adjustRightInd w:val="0"/>
        <w:snapToGrid w:val="0"/>
        <w:spacing w:beforeLines="150" w:beforeAutospacing="0" w:afterLines="50" w:afterAutospacing="0" w:line="540" w:lineRule="atLeast"/>
        <w:jc w:val="center"/>
        <w:rPr>
          <w:rFonts w:ascii="黑体" w:hAnsi="黑体" w:eastAsia="黑体"/>
          <w:sz w:val="36"/>
          <w:szCs w:val="36"/>
        </w:rPr>
      </w:pPr>
      <w:bookmarkStart w:id="16" w:name="_Toc489013232"/>
      <w:bookmarkStart w:id="17" w:name="_Toc479956091"/>
      <w:r>
        <w:rPr>
          <w:rFonts w:hint="eastAsia" w:ascii="黑体" w:hAnsi="黑体" w:eastAsia="黑体"/>
          <w:sz w:val="36"/>
          <w:szCs w:val="36"/>
        </w:rPr>
        <w:t>第7章 投资方式和资金来源</w:t>
      </w:r>
      <w:bookmarkEnd w:id="16"/>
    </w:p>
    <w:p>
      <w:pPr>
        <w:adjustRightInd w:val="0"/>
        <w:snapToGrid w:val="0"/>
        <w:spacing w:before="0" w:beforeAutospacing="0" w:after="0" w:afterAutospacing="0" w:line="540" w:lineRule="atLeast"/>
        <w:ind w:firstLine="562" w:firstLineChars="200"/>
        <w:rPr>
          <w:rFonts w:ascii="仿宋_GB2312" w:hAnsi="华文楷体" w:eastAsia="仿宋_GB2312"/>
          <w:b/>
          <w:color w:val="000000"/>
          <w:sz w:val="28"/>
          <w:szCs w:val="28"/>
        </w:rPr>
      </w:pPr>
      <w:r>
        <w:rPr>
          <w:rFonts w:hint="eastAsia" w:ascii="仿宋_GB2312" w:hAnsi="华文楷体" w:eastAsia="仿宋_GB2312"/>
          <w:b/>
          <w:color w:val="000000"/>
          <w:sz w:val="28"/>
          <w:szCs w:val="28"/>
        </w:rPr>
        <w:t>1、投资方式</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项目可采取的投资方式</w:t>
      </w:r>
      <w:bookmarkEnd w:id="17"/>
      <w:r>
        <w:rPr>
          <w:rFonts w:hint="eastAsia" w:ascii="仿宋" w:hAnsi="仿宋" w:eastAsia="仿宋"/>
          <w:color w:val="000000"/>
          <w:sz w:val="28"/>
          <w:szCs w:val="28"/>
        </w:rPr>
        <w:t>包括：独资、合资、合作等。</w:t>
      </w:r>
    </w:p>
    <w:p>
      <w:pPr>
        <w:adjustRightInd w:val="0"/>
        <w:snapToGrid w:val="0"/>
        <w:spacing w:before="0" w:beforeAutospacing="0" w:after="0" w:afterAutospacing="0" w:line="540" w:lineRule="atLeast"/>
        <w:ind w:firstLine="562" w:firstLineChars="200"/>
        <w:rPr>
          <w:rFonts w:ascii="仿宋_GB2312" w:hAnsi="华文楷体" w:eastAsia="仿宋_GB2312"/>
          <w:b/>
          <w:color w:val="000000"/>
          <w:sz w:val="28"/>
          <w:szCs w:val="28"/>
        </w:rPr>
      </w:pPr>
      <w:r>
        <w:rPr>
          <w:rFonts w:hint="eastAsia" w:ascii="仿宋_GB2312" w:hAnsi="华文楷体" w:eastAsia="仿宋_GB2312"/>
          <w:b/>
          <w:color w:val="000000"/>
          <w:sz w:val="28"/>
          <w:szCs w:val="28"/>
        </w:rPr>
        <w:t>2、资金来源</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投资方式资金来源为自有资金和银行贷款。</w:t>
      </w:r>
    </w:p>
    <w:p>
      <w:pPr>
        <w:widowControl/>
        <w:spacing w:before="0" w:beforeAutospacing="0" w:after="0" w:afterAutospacing="0" w:line="540" w:lineRule="atLeast"/>
        <w:jc w:val="left"/>
        <w:rPr>
          <w:b/>
          <w:bCs/>
          <w:kern w:val="44"/>
          <w:sz w:val="44"/>
          <w:szCs w:val="44"/>
        </w:rPr>
      </w:pPr>
      <w:r>
        <w:br w:type="page"/>
      </w:r>
    </w:p>
    <w:p>
      <w:pPr>
        <w:pStyle w:val="2"/>
        <w:adjustRightInd w:val="0"/>
        <w:snapToGrid w:val="0"/>
        <w:spacing w:beforeLines="100" w:beforeAutospacing="0" w:afterLines="50" w:afterAutospacing="0" w:line="540" w:lineRule="atLeast"/>
        <w:jc w:val="center"/>
        <w:rPr>
          <w:rFonts w:ascii="黑体" w:hAnsi="黑体" w:eastAsia="黑体"/>
          <w:sz w:val="36"/>
          <w:szCs w:val="36"/>
        </w:rPr>
      </w:pPr>
      <w:bookmarkStart w:id="18" w:name="_Toc489013233"/>
      <w:r>
        <w:rPr>
          <w:rFonts w:hint="eastAsia" w:ascii="黑体" w:hAnsi="黑体" w:eastAsia="黑体"/>
          <w:sz w:val="36"/>
          <w:szCs w:val="36"/>
        </w:rPr>
        <w:t>第8章 效益分析</w:t>
      </w:r>
      <w:bookmarkEnd w:id="18"/>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本项目的经营效益预测涉及到一系列指标的假定。汽车交易特别是进口汽车交易过程中，涉及到的税收环节比较多，为了经营效益预测简化，将经销商可以转嫁给消费者的税种作为成本考虑。只考虑了进口汽车整车的最终利润情况。</w:t>
      </w:r>
    </w:p>
    <w:p>
      <w:pPr>
        <w:pStyle w:val="3"/>
        <w:adjustRightInd w:val="0"/>
        <w:snapToGrid w:val="0"/>
        <w:spacing w:beforeLines="150" w:beforeAutospacing="0" w:afterLines="50" w:afterAutospacing="0" w:line="540" w:lineRule="atLeast"/>
        <w:jc w:val="left"/>
        <w:rPr>
          <w:rFonts w:ascii="黑体" w:hAnsi="黑体" w:eastAsia="黑体"/>
          <w:b w:val="0"/>
          <w:sz w:val="32"/>
          <w:szCs w:val="32"/>
        </w:rPr>
      </w:pPr>
      <w:bookmarkStart w:id="19" w:name="_Toc489013234"/>
      <w:r>
        <w:rPr>
          <w:rFonts w:hint="eastAsia" w:ascii="黑体" w:hAnsi="黑体" w:eastAsia="黑体"/>
          <w:b w:val="0"/>
          <w:sz w:val="32"/>
          <w:szCs w:val="32"/>
        </w:rPr>
        <w:t>8.1经济效益</w:t>
      </w:r>
      <w:bookmarkEnd w:id="19"/>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经营效益预测中的几项关键指标见表4所示。关键指标的预测值均来源于本地汽车经销市场调研。</w:t>
      </w:r>
    </w:p>
    <w:p>
      <w:pPr>
        <w:adjustRightInd w:val="0"/>
        <w:snapToGrid w:val="0"/>
        <w:spacing w:before="0" w:beforeAutospacing="0" w:afterLines="50" w:afterAutospacing="0" w:line="540" w:lineRule="atLeast"/>
        <w:jc w:val="center"/>
        <w:rPr>
          <w:rFonts w:ascii="黑体" w:eastAsia="黑体"/>
          <w:color w:val="000000"/>
          <w:sz w:val="24"/>
          <w:szCs w:val="24"/>
        </w:rPr>
      </w:pPr>
      <w:r>
        <w:rPr>
          <w:rFonts w:hint="eastAsia" w:ascii="黑体" w:eastAsia="黑体"/>
          <w:color w:val="000000"/>
          <w:sz w:val="24"/>
          <w:szCs w:val="24"/>
        </w:rPr>
        <w:t>表4：经营预测主要指标说明</w:t>
      </w:r>
    </w:p>
    <w:tbl>
      <w:tblPr>
        <w:tblStyle w:val="13"/>
        <w:tblW w:w="7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0"/>
        <w:gridCol w:w="3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0" w:type="dxa"/>
            <w:shd w:val="clear" w:color="auto" w:fill="F1F1F1" w:themeFill="background1" w:themeFillShade="F2"/>
          </w:tcPr>
          <w:p>
            <w:pPr>
              <w:adjustRightInd w:val="0"/>
              <w:snapToGrid w:val="0"/>
              <w:spacing w:beforeLines="50" w:beforeAutospacing="0" w:afterLines="50" w:afterAutospacing="0" w:line="540" w:lineRule="atLeast"/>
              <w:jc w:val="center"/>
              <w:rPr>
                <w:rFonts w:ascii="黑体" w:eastAsia="黑体"/>
                <w:color w:val="000000"/>
                <w:sz w:val="24"/>
              </w:rPr>
            </w:pPr>
            <w:r>
              <w:rPr>
                <w:rFonts w:hint="eastAsia" w:ascii="黑体" w:eastAsia="黑体"/>
                <w:color w:val="000000"/>
                <w:sz w:val="24"/>
              </w:rPr>
              <w:t>主要指标</w:t>
            </w:r>
          </w:p>
        </w:tc>
        <w:tc>
          <w:tcPr>
            <w:tcW w:w="3672" w:type="dxa"/>
            <w:shd w:val="clear" w:color="auto" w:fill="F1F1F1" w:themeFill="background1" w:themeFillShade="F2"/>
          </w:tcPr>
          <w:p>
            <w:pPr>
              <w:adjustRightInd w:val="0"/>
              <w:snapToGrid w:val="0"/>
              <w:spacing w:beforeLines="50" w:beforeAutospacing="0" w:afterLines="50" w:afterAutospacing="0" w:line="540" w:lineRule="atLeast"/>
              <w:jc w:val="center"/>
              <w:rPr>
                <w:rFonts w:ascii="黑体" w:eastAsia="黑体"/>
                <w:color w:val="000000"/>
                <w:sz w:val="24"/>
              </w:rPr>
            </w:pPr>
            <w:r>
              <w:rPr>
                <w:rFonts w:hint="eastAsia" w:ascii="黑体" w:eastAsia="黑体"/>
                <w:color w:val="000000"/>
                <w:sz w:val="24"/>
              </w:rPr>
              <w:t>预测数值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0" w:type="dxa"/>
          </w:tcPr>
          <w:p>
            <w:pPr>
              <w:adjustRightInd w:val="0"/>
              <w:snapToGrid w:val="0"/>
              <w:spacing w:before="0" w:beforeAutospacing="0" w:after="0" w:afterAutospacing="0" w:line="540" w:lineRule="atLeast"/>
              <w:rPr>
                <w:rFonts w:ascii="黑体" w:hAnsi="黑体" w:eastAsia="黑体"/>
                <w:color w:val="000000"/>
                <w:sz w:val="24"/>
              </w:rPr>
            </w:pPr>
            <w:r>
              <w:rPr>
                <w:rFonts w:hint="eastAsia" w:ascii="黑体" w:hAnsi="黑体" w:eastAsia="黑体"/>
                <w:color w:val="000000"/>
                <w:sz w:val="24"/>
              </w:rPr>
              <w:t>一、进口汽车销售毛利润</w:t>
            </w:r>
          </w:p>
        </w:tc>
        <w:tc>
          <w:tcPr>
            <w:tcW w:w="3672"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2万元/台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0" w:type="dxa"/>
          </w:tcPr>
          <w:p>
            <w:pPr>
              <w:adjustRightInd w:val="0"/>
              <w:snapToGrid w:val="0"/>
              <w:spacing w:before="0" w:beforeAutospacing="0" w:after="0" w:afterAutospacing="0" w:line="540" w:lineRule="atLeast"/>
              <w:rPr>
                <w:rFonts w:ascii="黑体" w:hAnsi="黑体" w:eastAsia="黑体"/>
                <w:color w:val="000000"/>
                <w:sz w:val="24"/>
              </w:rPr>
            </w:pPr>
            <w:r>
              <w:rPr>
                <w:rFonts w:hint="eastAsia" w:ascii="黑体" w:hAnsi="黑体" w:eastAsia="黑体"/>
                <w:color w:val="000000"/>
                <w:sz w:val="24"/>
              </w:rPr>
              <w:t>二、进口汽车维修毛利润</w:t>
            </w:r>
          </w:p>
        </w:tc>
        <w:tc>
          <w:tcPr>
            <w:tcW w:w="3672"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0.25万元/台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0" w:type="dxa"/>
          </w:tcPr>
          <w:p>
            <w:pPr>
              <w:adjustRightInd w:val="0"/>
              <w:snapToGrid w:val="0"/>
              <w:spacing w:before="0" w:beforeAutospacing="0" w:after="0" w:afterAutospacing="0" w:line="540" w:lineRule="atLeast"/>
              <w:rPr>
                <w:rFonts w:ascii="黑体" w:eastAsia="黑体"/>
                <w:color w:val="000000"/>
                <w:sz w:val="24"/>
              </w:rPr>
            </w:pPr>
            <w:r>
              <w:rPr>
                <w:rFonts w:hint="eastAsia" w:ascii="黑体" w:eastAsia="黑体"/>
                <w:color w:val="000000"/>
                <w:sz w:val="24"/>
              </w:rPr>
              <w:t>三、单位人工成本</w:t>
            </w:r>
          </w:p>
        </w:tc>
        <w:tc>
          <w:tcPr>
            <w:tcW w:w="3672"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10万元/人.年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0" w:type="dxa"/>
          </w:tcPr>
          <w:p>
            <w:pPr>
              <w:adjustRightInd w:val="0"/>
              <w:snapToGrid w:val="0"/>
              <w:spacing w:before="0" w:beforeAutospacing="0" w:after="0" w:afterAutospacing="0" w:line="540" w:lineRule="atLeast"/>
              <w:rPr>
                <w:rFonts w:ascii="黑体" w:eastAsia="黑体"/>
                <w:color w:val="000000"/>
                <w:sz w:val="24"/>
              </w:rPr>
            </w:pPr>
            <w:r>
              <w:rPr>
                <w:rFonts w:hint="eastAsia" w:ascii="黑体" w:eastAsia="黑体"/>
                <w:color w:val="000000"/>
                <w:sz w:val="24"/>
              </w:rPr>
              <w:t>四、折旧</w:t>
            </w:r>
          </w:p>
        </w:tc>
        <w:tc>
          <w:tcPr>
            <w:tcW w:w="3672"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492万元/年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0" w:type="dxa"/>
          </w:tcPr>
          <w:p>
            <w:pPr>
              <w:adjustRightInd w:val="0"/>
              <w:snapToGrid w:val="0"/>
              <w:spacing w:before="0" w:beforeAutospacing="0" w:after="0" w:afterAutospacing="0" w:line="540" w:lineRule="atLeast"/>
              <w:ind w:firstLine="480" w:firstLineChars="200"/>
              <w:rPr>
                <w:rFonts w:ascii="黑体" w:eastAsia="黑体"/>
                <w:color w:val="000000"/>
                <w:sz w:val="24"/>
              </w:rPr>
            </w:pPr>
            <w:r>
              <w:rPr>
                <w:rFonts w:hint="eastAsia" w:ascii="仿宋" w:hAnsi="仿宋" w:eastAsia="仿宋"/>
                <w:color w:val="000000"/>
                <w:sz w:val="24"/>
              </w:rPr>
              <w:t>建筑工程与土地使用费折旧</w:t>
            </w:r>
          </w:p>
        </w:tc>
        <w:tc>
          <w:tcPr>
            <w:tcW w:w="3672"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212万元/年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0" w:type="dxa"/>
          </w:tcPr>
          <w:p>
            <w:pPr>
              <w:adjustRightInd w:val="0"/>
              <w:snapToGrid w:val="0"/>
              <w:spacing w:before="0" w:beforeAutospacing="0" w:after="0" w:afterAutospacing="0" w:line="540" w:lineRule="atLeast"/>
              <w:ind w:firstLine="480" w:firstLineChars="200"/>
              <w:rPr>
                <w:rFonts w:ascii="仿宋" w:hAnsi="仿宋" w:eastAsia="仿宋"/>
                <w:color w:val="000000"/>
                <w:sz w:val="24"/>
              </w:rPr>
            </w:pPr>
            <w:r>
              <w:rPr>
                <w:rFonts w:hint="eastAsia" w:ascii="仿宋" w:hAnsi="仿宋" w:eastAsia="仿宋"/>
                <w:color w:val="000000"/>
                <w:sz w:val="24"/>
              </w:rPr>
              <w:t>进口汽车维修设备折旧</w:t>
            </w:r>
          </w:p>
        </w:tc>
        <w:tc>
          <w:tcPr>
            <w:tcW w:w="3672"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280万元/年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0" w:type="dxa"/>
          </w:tcPr>
          <w:p>
            <w:pPr>
              <w:adjustRightInd w:val="0"/>
              <w:snapToGrid w:val="0"/>
              <w:spacing w:before="0" w:beforeAutospacing="0" w:after="0" w:afterAutospacing="0" w:line="540" w:lineRule="atLeast"/>
              <w:rPr>
                <w:rFonts w:ascii="仿宋" w:hAnsi="仿宋" w:eastAsia="仿宋"/>
                <w:color w:val="000000"/>
                <w:sz w:val="24"/>
              </w:rPr>
            </w:pPr>
            <w:r>
              <w:rPr>
                <w:rFonts w:hint="eastAsia" w:ascii="黑体" w:eastAsia="黑体"/>
                <w:color w:val="000000"/>
                <w:sz w:val="24"/>
              </w:rPr>
              <w:t>五、税收成本（所得税率）</w:t>
            </w:r>
          </w:p>
        </w:tc>
        <w:tc>
          <w:tcPr>
            <w:tcW w:w="3672" w:type="dxa"/>
          </w:tcPr>
          <w:p>
            <w:pPr>
              <w:adjustRightInd w:val="0"/>
              <w:snapToGrid w:val="0"/>
              <w:spacing w:before="0" w:beforeAutospacing="0" w:after="0" w:afterAutospacing="0" w:line="540" w:lineRule="atLeast"/>
              <w:jc w:val="right"/>
              <w:rPr>
                <w:rFonts w:ascii="黑体" w:eastAsia="黑体"/>
                <w:color w:val="000000"/>
                <w:sz w:val="24"/>
              </w:rPr>
            </w:pPr>
            <w:r>
              <w:rPr>
                <w:rFonts w:hint="eastAsia" w:ascii="黑体" w:eastAsia="黑体"/>
                <w:color w:val="000000"/>
                <w:sz w:val="24"/>
              </w:rPr>
              <w:t>25%</w:t>
            </w:r>
          </w:p>
        </w:tc>
      </w:tr>
    </w:tbl>
    <w:p>
      <w:pPr>
        <w:adjustRightInd w:val="0"/>
        <w:snapToGrid w:val="0"/>
        <w:spacing w:beforeLines="50" w:beforeAutospacing="0" w:afterLines="50" w:afterAutospacing="0" w:line="540" w:lineRule="atLeast"/>
        <w:ind w:firstLine="562" w:firstLineChars="200"/>
        <w:rPr>
          <w:rFonts w:ascii="仿宋" w:hAnsi="仿宋" w:eastAsia="仿宋"/>
          <w:b/>
          <w:color w:val="000000"/>
          <w:sz w:val="28"/>
          <w:szCs w:val="28"/>
        </w:rPr>
      </w:pPr>
      <w:r>
        <w:rPr>
          <w:rFonts w:hint="eastAsia" w:ascii="仿宋" w:hAnsi="仿宋" w:eastAsia="仿宋"/>
          <w:b/>
          <w:color w:val="000000"/>
          <w:sz w:val="28"/>
          <w:szCs w:val="28"/>
        </w:rPr>
        <w:t>指标取值的相关说明：</w:t>
      </w:r>
      <w:r>
        <w:rPr>
          <w:rFonts w:ascii="仿宋" w:hAnsi="仿宋" w:eastAsia="仿宋"/>
          <w:b/>
          <w:color w:val="000000"/>
          <w:sz w:val="28"/>
          <w:szCs w:val="28"/>
        </w:rPr>
        <w:t xml:space="preserve"> </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1、进口汽车销售价格以40万元/台为预测均价，进出口关税、增值税可以向消费者转嫁，为了估算方便，并根据目前市场实际情况，毛利润率取5%，即进口汽车销售单台毛利润为2万元。</w:t>
      </w:r>
    </w:p>
    <w:p>
      <w:pPr>
        <w:adjustRightInd w:val="0"/>
        <w:snapToGrid w:val="0"/>
        <w:spacing w:beforeLines="50" w:beforeAutospacing="0" w:afterLines="50" w:afterAutospacing="0" w:line="5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2、进口汽车维修费用为0.5万元/台.年。扣除零配件成本占比50%，进口汽车维修单台毛利润为0.25万元/台.年</w:t>
      </w:r>
    </w:p>
    <w:p>
      <w:pPr>
        <w:adjustRightInd w:val="0"/>
        <w:snapToGrid w:val="0"/>
        <w:spacing w:beforeLines="50" w:beforeAutospacing="0" w:afterLines="50" w:afterAutospacing="0" w:line="5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3、单位人工成本取值10万元/人.年，高于岳阳当地的行业平均薪酬水平，主要考虑了以下因素：一是本项目类似于行业发展的新来者，为了保证服务质量，提升市场竞争力，应该给员工提供具有行业竞争性的薪酬。10万元包含了社会保障领域的综合费率，即四险一金，甚至职业年金的实施空间；二是平行进口的方式会给汽车经销与后市场带来冲击，行业薪酬水平未来有较大幅度提升的可能。</w:t>
      </w:r>
    </w:p>
    <w:p>
      <w:pPr>
        <w:adjustRightInd w:val="0"/>
        <w:snapToGrid w:val="0"/>
        <w:spacing w:beforeLines="50" w:beforeAutospacing="0" w:afterLines="50" w:afterAutospacing="0" w:line="5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4、工程与土地使用费折旧期限50年，平均折旧法。</w:t>
      </w:r>
    </w:p>
    <w:p>
      <w:pPr>
        <w:adjustRightInd w:val="0"/>
        <w:snapToGrid w:val="0"/>
        <w:spacing w:beforeLines="50" w:beforeAutospacing="0" w:afterLines="50" w:afterAutospacing="0" w:line="5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5、进口汽车维修设备折旧期限5年，平均折旧法。</w:t>
      </w:r>
    </w:p>
    <w:p>
      <w:pPr>
        <w:adjustRightInd w:val="0"/>
        <w:snapToGrid w:val="0"/>
        <w:spacing w:beforeLines="50" w:beforeAutospacing="0" w:afterLines="50" w:afterAutospacing="0" w:line="5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根据前述各项指标预测及估算，项目建成运营的五年内（2018-2022年），纯利润分别为3500万元、5000万元、6500万元、8800万元和12000万元左右，在各项指标符合预测值的情况下，项目具备良好的经营效益（见表5所示）。</w:t>
      </w:r>
    </w:p>
    <w:p>
      <w:pPr>
        <w:adjustRightInd w:val="0"/>
        <w:snapToGrid w:val="0"/>
        <w:spacing w:beforeLines="50" w:beforeAutospacing="0" w:afterLines="50" w:afterAutospacing="0" w:line="540" w:lineRule="atLeast"/>
        <w:ind w:firstLine="480" w:firstLineChars="200"/>
        <w:jc w:val="center"/>
        <w:rPr>
          <w:rFonts w:ascii="仿宋" w:hAnsi="仿宋" w:eastAsia="仿宋"/>
          <w:color w:val="000000"/>
          <w:sz w:val="28"/>
          <w:szCs w:val="28"/>
        </w:rPr>
      </w:pPr>
      <w:r>
        <w:rPr>
          <w:rFonts w:hint="eastAsia" w:ascii="黑体" w:eastAsia="黑体"/>
          <w:color w:val="000000"/>
          <w:sz w:val="24"/>
          <w:szCs w:val="24"/>
        </w:rPr>
        <w:t>表5：分年度预测（万元）</w:t>
      </w:r>
    </w:p>
    <w:tbl>
      <w:tblPr>
        <w:tblStyle w:val="12"/>
        <w:tblW w:w="8653" w:type="dxa"/>
        <w:jc w:val="center"/>
        <w:tblLayout w:type="autofit"/>
        <w:tblCellMar>
          <w:top w:w="0" w:type="dxa"/>
          <w:left w:w="108" w:type="dxa"/>
          <w:bottom w:w="0" w:type="dxa"/>
          <w:right w:w="108" w:type="dxa"/>
        </w:tblCellMar>
      </w:tblPr>
      <w:tblGrid>
        <w:gridCol w:w="1509"/>
        <w:gridCol w:w="709"/>
        <w:gridCol w:w="709"/>
        <w:gridCol w:w="709"/>
        <w:gridCol w:w="708"/>
        <w:gridCol w:w="709"/>
        <w:gridCol w:w="709"/>
        <w:gridCol w:w="709"/>
        <w:gridCol w:w="850"/>
        <w:gridCol w:w="616"/>
        <w:gridCol w:w="716"/>
      </w:tblGrid>
      <w:tr>
        <w:tblPrEx>
          <w:tblCellMar>
            <w:top w:w="0" w:type="dxa"/>
            <w:left w:w="108" w:type="dxa"/>
            <w:bottom w:w="0" w:type="dxa"/>
            <w:right w:w="108" w:type="dxa"/>
          </w:tblCellMar>
        </w:tblPrEx>
        <w:trPr>
          <w:trHeight w:val="360" w:hRule="atLeast"/>
          <w:jc w:val="center"/>
        </w:trPr>
        <w:tc>
          <w:tcPr>
            <w:tcW w:w="1509"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widowControl/>
              <w:adjustRightInd w:val="0"/>
              <w:snapToGrid w:val="0"/>
              <w:spacing w:before="0" w:beforeAutospacing="0" w:after="0" w:afterAutospacing="0" w:line="540" w:lineRule="atLeast"/>
              <w:jc w:val="left"/>
              <w:rPr>
                <w:rFonts w:ascii="宋体" w:hAnsi="宋体" w:cs="宋体"/>
                <w:color w:val="000000"/>
                <w:kern w:val="0"/>
                <w:sz w:val="22"/>
              </w:rPr>
            </w:pPr>
            <w:r>
              <w:rPr>
                <w:rFonts w:hint="eastAsia" w:ascii="宋体" w:hAnsi="宋体" w:cs="宋体"/>
                <w:color w:val="000000"/>
                <w:kern w:val="0"/>
                <w:sz w:val="22"/>
              </w:rPr>
              <w:t>　</w:t>
            </w:r>
          </w:p>
        </w:tc>
        <w:tc>
          <w:tcPr>
            <w:tcW w:w="1418" w:type="dxa"/>
            <w:gridSpan w:val="2"/>
            <w:tcBorders>
              <w:top w:val="single" w:color="auto" w:sz="4" w:space="0"/>
              <w:left w:val="nil"/>
              <w:bottom w:val="single" w:color="auto" w:sz="4" w:space="0"/>
              <w:right w:val="single" w:color="auto" w:sz="4" w:space="0"/>
            </w:tcBorders>
            <w:shd w:val="clear" w:color="auto" w:fill="F1F1F1" w:themeFill="background1" w:themeFillShade="F2"/>
            <w:vAlign w:val="center"/>
          </w:tcPr>
          <w:p>
            <w:pPr>
              <w:widowControl/>
              <w:adjustRightInd w:val="0"/>
              <w:snapToGrid w:val="0"/>
              <w:spacing w:before="0" w:beforeAutospacing="0" w:after="0" w:afterAutospacing="0" w:line="54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2018年</w:t>
            </w:r>
          </w:p>
        </w:tc>
        <w:tc>
          <w:tcPr>
            <w:tcW w:w="1417" w:type="dxa"/>
            <w:gridSpan w:val="2"/>
            <w:tcBorders>
              <w:top w:val="single" w:color="auto" w:sz="4" w:space="0"/>
              <w:left w:val="nil"/>
              <w:bottom w:val="single" w:color="auto" w:sz="4" w:space="0"/>
              <w:right w:val="single" w:color="auto" w:sz="4" w:space="0"/>
            </w:tcBorders>
            <w:shd w:val="clear" w:color="auto" w:fill="F1F1F1" w:themeFill="background1" w:themeFillShade="F2"/>
            <w:vAlign w:val="center"/>
          </w:tcPr>
          <w:p>
            <w:pPr>
              <w:widowControl/>
              <w:adjustRightInd w:val="0"/>
              <w:snapToGrid w:val="0"/>
              <w:spacing w:before="0" w:beforeAutospacing="0" w:after="0" w:afterAutospacing="0" w:line="54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2019年</w:t>
            </w:r>
          </w:p>
        </w:tc>
        <w:tc>
          <w:tcPr>
            <w:tcW w:w="1418" w:type="dxa"/>
            <w:gridSpan w:val="2"/>
            <w:tcBorders>
              <w:top w:val="single" w:color="auto" w:sz="4" w:space="0"/>
              <w:left w:val="nil"/>
              <w:bottom w:val="single" w:color="auto" w:sz="4" w:space="0"/>
              <w:right w:val="single" w:color="auto" w:sz="4" w:space="0"/>
            </w:tcBorders>
            <w:shd w:val="clear" w:color="auto" w:fill="F1F1F1" w:themeFill="background1" w:themeFillShade="F2"/>
            <w:vAlign w:val="center"/>
          </w:tcPr>
          <w:p>
            <w:pPr>
              <w:widowControl/>
              <w:adjustRightInd w:val="0"/>
              <w:snapToGrid w:val="0"/>
              <w:spacing w:before="0" w:beforeAutospacing="0" w:after="0" w:afterAutospacing="0" w:line="54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2020年</w:t>
            </w:r>
          </w:p>
        </w:tc>
        <w:tc>
          <w:tcPr>
            <w:tcW w:w="1559" w:type="dxa"/>
            <w:gridSpan w:val="2"/>
            <w:tcBorders>
              <w:top w:val="single" w:color="auto" w:sz="4" w:space="0"/>
              <w:left w:val="nil"/>
              <w:bottom w:val="single" w:color="auto" w:sz="4" w:space="0"/>
              <w:right w:val="single" w:color="auto" w:sz="4" w:space="0"/>
            </w:tcBorders>
            <w:shd w:val="clear" w:color="auto" w:fill="F1F1F1" w:themeFill="background1" w:themeFillShade="F2"/>
            <w:vAlign w:val="center"/>
          </w:tcPr>
          <w:p>
            <w:pPr>
              <w:widowControl/>
              <w:adjustRightInd w:val="0"/>
              <w:snapToGrid w:val="0"/>
              <w:spacing w:before="0" w:beforeAutospacing="0" w:after="0" w:afterAutospacing="0" w:line="54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w:t>
            </w:r>
          </w:p>
        </w:tc>
        <w:tc>
          <w:tcPr>
            <w:tcW w:w="1332" w:type="dxa"/>
            <w:gridSpan w:val="2"/>
            <w:tcBorders>
              <w:top w:val="single" w:color="auto" w:sz="4" w:space="0"/>
              <w:left w:val="nil"/>
              <w:bottom w:val="single" w:color="auto" w:sz="4" w:space="0"/>
              <w:right w:val="single" w:color="auto" w:sz="4" w:space="0"/>
            </w:tcBorders>
            <w:shd w:val="clear" w:color="auto" w:fill="F1F1F1" w:themeFill="background1" w:themeFillShade="F2"/>
            <w:vAlign w:val="center"/>
          </w:tcPr>
          <w:p>
            <w:pPr>
              <w:widowControl/>
              <w:adjustRightInd w:val="0"/>
              <w:snapToGrid w:val="0"/>
              <w:spacing w:before="0" w:beforeAutospacing="0" w:after="0" w:afterAutospacing="0" w:line="54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w:t>
            </w:r>
          </w:p>
        </w:tc>
      </w:tr>
      <w:tr>
        <w:tblPrEx>
          <w:tblCellMar>
            <w:top w:w="0" w:type="dxa"/>
            <w:left w:w="108" w:type="dxa"/>
            <w:bottom w:w="0" w:type="dxa"/>
            <w:right w:w="108" w:type="dxa"/>
          </w:tblCellMar>
        </w:tblPrEx>
        <w:trPr>
          <w:trHeight w:val="360" w:hRule="atLeast"/>
          <w:jc w:val="center"/>
        </w:trPr>
        <w:tc>
          <w:tcPr>
            <w:tcW w:w="1509"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widowControl/>
              <w:adjustRightInd w:val="0"/>
              <w:snapToGrid w:val="0"/>
              <w:spacing w:before="0" w:beforeAutospacing="0" w:after="0" w:afterAutospacing="0" w:line="540" w:lineRule="atLeast"/>
              <w:jc w:val="left"/>
              <w:rPr>
                <w:rFonts w:ascii="宋体" w:hAnsi="宋体" w:cs="宋体"/>
                <w:color w:val="000000"/>
                <w:kern w:val="0"/>
                <w:sz w:val="22"/>
              </w:rPr>
            </w:pPr>
          </w:p>
        </w:tc>
        <w:tc>
          <w:tcPr>
            <w:tcW w:w="709" w:type="dxa"/>
            <w:tcBorders>
              <w:top w:val="nil"/>
              <w:left w:val="nil"/>
              <w:bottom w:val="single" w:color="auto" w:sz="4" w:space="0"/>
              <w:right w:val="single" w:color="auto" w:sz="4" w:space="0"/>
            </w:tcBorders>
            <w:shd w:val="clear" w:color="auto" w:fill="F1F1F1" w:themeFill="background1" w:themeFillShade="F2"/>
            <w:vAlign w:val="center"/>
          </w:tcPr>
          <w:p>
            <w:pPr>
              <w:widowControl/>
              <w:adjustRightInd w:val="0"/>
              <w:snapToGrid w:val="0"/>
              <w:spacing w:before="0" w:beforeAutospacing="0" w:after="0" w:afterAutospacing="0" w:line="54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量</w:t>
            </w:r>
          </w:p>
        </w:tc>
        <w:tc>
          <w:tcPr>
            <w:tcW w:w="709" w:type="dxa"/>
            <w:tcBorders>
              <w:top w:val="nil"/>
              <w:left w:val="nil"/>
              <w:bottom w:val="single" w:color="auto" w:sz="4" w:space="0"/>
              <w:right w:val="single" w:color="auto" w:sz="4" w:space="0"/>
            </w:tcBorders>
            <w:shd w:val="clear" w:color="auto" w:fill="F1F1F1" w:themeFill="background1" w:themeFillShade="F2"/>
            <w:noWrap/>
            <w:vAlign w:val="center"/>
          </w:tcPr>
          <w:p>
            <w:pPr>
              <w:widowControl/>
              <w:adjustRightInd w:val="0"/>
              <w:snapToGrid w:val="0"/>
              <w:spacing w:before="0" w:beforeAutospacing="0" w:after="0" w:afterAutospacing="0" w:line="540" w:lineRule="atLeas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金额</w:t>
            </w:r>
          </w:p>
        </w:tc>
        <w:tc>
          <w:tcPr>
            <w:tcW w:w="709" w:type="dxa"/>
            <w:tcBorders>
              <w:top w:val="nil"/>
              <w:left w:val="nil"/>
              <w:bottom w:val="single" w:color="auto" w:sz="4" w:space="0"/>
              <w:right w:val="single" w:color="auto" w:sz="4" w:space="0"/>
            </w:tcBorders>
            <w:shd w:val="clear" w:color="auto" w:fill="F1F1F1" w:themeFill="background1" w:themeFillShade="F2"/>
            <w:vAlign w:val="center"/>
          </w:tcPr>
          <w:p>
            <w:pPr>
              <w:widowControl/>
              <w:adjustRightInd w:val="0"/>
              <w:snapToGrid w:val="0"/>
              <w:spacing w:before="0" w:beforeAutospacing="0" w:after="0" w:afterAutospacing="0" w:line="54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量</w:t>
            </w:r>
          </w:p>
        </w:tc>
        <w:tc>
          <w:tcPr>
            <w:tcW w:w="708" w:type="dxa"/>
            <w:tcBorders>
              <w:top w:val="nil"/>
              <w:left w:val="nil"/>
              <w:bottom w:val="single" w:color="auto" w:sz="4" w:space="0"/>
              <w:right w:val="single" w:color="auto" w:sz="4" w:space="0"/>
            </w:tcBorders>
            <w:shd w:val="clear" w:color="auto" w:fill="F1F1F1" w:themeFill="background1" w:themeFillShade="F2"/>
            <w:noWrap/>
            <w:vAlign w:val="center"/>
          </w:tcPr>
          <w:p>
            <w:pPr>
              <w:widowControl/>
              <w:adjustRightInd w:val="0"/>
              <w:snapToGrid w:val="0"/>
              <w:spacing w:before="0" w:beforeAutospacing="0" w:after="0" w:afterAutospacing="0" w:line="540" w:lineRule="atLeas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金额</w:t>
            </w:r>
          </w:p>
        </w:tc>
        <w:tc>
          <w:tcPr>
            <w:tcW w:w="709" w:type="dxa"/>
            <w:tcBorders>
              <w:top w:val="nil"/>
              <w:left w:val="nil"/>
              <w:bottom w:val="single" w:color="auto" w:sz="4" w:space="0"/>
              <w:right w:val="single" w:color="auto" w:sz="4" w:space="0"/>
            </w:tcBorders>
            <w:shd w:val="clear" w:color="auto" w:fill="F1F1F1" w:themeFill="background1" w:themeFillShade="F2"/>
            <w:vAlign w:val="center"/>
          </w:tcPr>
          <w:p>
            <w:pPr>
              <w:widowControl/>
              <w:adjustRightInd w:val="0"/>
              <w:snapToGrid w:val="0"/>
              <w:spacing w:before="0" w:beforeAutospacing="0" w:after="0" w:afterAutospacing="0" w:line="54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量</w:t>
            </w:r>
          </w:p>
        </w:tc>
        <w:tc>
          <w:tcPr>
            <w:tcW w:w="709" w:type="dxa"/>
            <w:tcBorders>
              <w:top w:val="nil"/>
              <w:left w:val="nil"/>
              <w:bottom w:val="single" w:color="auto" w:sz="4" w:space="0"/>
              <w:right w:val="single" w:color="auto" w:sz="4" w:space="0"/>
            </w:tcBorders>
            <w:shd w:val="clear" w:color="auto" w:fill="F1F1F1" w:themeFill="background1" w:themeFillShade="F2"/>
            <w:noWrap/>
            <w:vAlign w:val="center"/>
          </w:tcPr>
          <w:p>
            <w:pPr>
              <w:widowControl/>
              <w:adjustRightInd w:val="0"/>
              <w:snapToGrid w:val="0"/>
              <w:spacing w:before="0" w:beforeAutospacing="0" w:after="0" w:afterAutospacing="0" w:line="540" w:lineRule="atLeas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金额</w:t>
            </w:r>
          </w:p>
        </w:tc>
        <w:tc>
          <w:tcPr>
            <w:tcW w:w="709" w:type="dxa"/>
            <w:tcBorders>
              <w:top w:val="nil"/>
              <w:left w:val="nil"/>
              <w:bottom w:val="single" w:color="auto" w:sz="4" w:space="0"/>
              <w:right w:val="single" w:color="auto" w:sz="4" w:space="0"/>
            </w:tcBorders>
            <w:shd w:val="clear" w:color="auto" w:fill="F1F1F1" w:themeFill="background1" w:themeFillShade="F2"/>
            <w:vAlign w:val="center"/>
          </w:tcPr>
          <w:p>
            <w:pPr>
              <w:widowControl/>
              <w:adjustRightInd w:val="0"/>
              <w:snapToGrid w:val="0"/>
              <w:spacing w:before="0" w:beforeAutospacing="0" w:after="0" w:afterAutospacing="0" w:line="54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量</w:t>
            </w:r>
          </w:p>
        </w:tc>
        <w:tc>
          <w:tcPr>
            <w:tcW w:w="850" w:type="dxa"/>
            <w:tcBorders>
              <w:top w:val="nil"/>
              <w:left w:val="nil"/>
              <w:bottom w:val="single" w:color="auto" w:sz="4" w:space="0"/>
              <w:right w:val="single" w:color="auto" w:sz="4" w:space="0"/>
            </w:tcBorders>
            <w:shd w:val="clear" w:color="auto" w:fill="F1F1F1" w:themeFill="background1" w:themeFillShade="F2"/>
            <w:noWrap/>
            <w:vAlign w:val="center"/>
          </w:tcPr>
          <w:p>
            <w:pPr>
              <w:widowControl/>
              <w:adjustRightInd w:val="0"/>
              <w:snapToGrid w:val="0"/>
              <w:spacing w:before="0" w:beforeAutospacing="0" w:after="0" w:afterAutospacing="0" w:line="540" w:lineRule="atLeas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金额</w:t>
            </w:r>
          </w:p>
        </w:tc>
        <w:tc>
          <w:tcPr>
            <w:tcW w:w="616" w:type="dxa"/>
            <w:tcBorders>
              <w:top w:val="nil"/>
              <w:left w:val="nil"/>
              <w:bottom w:val="single" w:color="auto" w:sz="4" w:space="0"/>
              <w:right w:val="single" w:color="auto" w:sz="4" w:space="0"/>
            </w:tcBorders>
            <w:shd w:val="clear" w:color="auto" w:fill="F1F1F1" w:themeFill="background1" w:themeFillShade="F2"/>
            <w:vAlign w:val="center"/>
          </w:tcPr>
          <w:p>
            <w:pPr>
              <w:widowControl/>
              <w:adjustRightInd w:val="0"/>
              <w:snapToGrid w:val="0"/>
              <w:spacing w:before="0" w:beforeAutospacing="0" w:after="0" w:afterAutospacing="0" w:line="540" w:lineRule="atLeas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量</w:t>
            </w:r>
          </w:p>
        </w:tc>
        <w:tc>
          <w:tcPr>
            <w:tcW w:w="716" w:type="dxa"/>
            <w:tcBorders>
              <w:top w:val="nil"/>
              <w:left w:val="nil"/>
              <w:bottom w:val="single" w:color="auto" w:sz="4" w:space="0"/>
              <w:right w:val="single" w:color="auto" w:sz="4" w:space="0"/>
            </w:tcBorders>
            <w:shd w:val="clear" w:color="auto" w:fill="F1F1F1" w:themeFill="background1" w:themeFillShade="F2"/>
            <w:noWrap/>
            <w:vAlign w:val="center"/>
          </w:tcPr>
          <w:p>
            <w:pPr>
              <w:widowControl/>
              <w:adjustRightInd w:val="0"/>
              <w:snapToGrid w:val="0"/>
              <w:spacing w:before="0" w:beforeAutospacing="0" w:after="0" w:afterAutospacing="0" w:line="540" w:lineRule="atLeas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金额</w:t>
            </w:r>
          </w:p>
        </w:tc>
      </w:tr>
      <w:tr>
        <w:tblPrEx>
          <w:tblCellMar>
            <w:top w:w="0" w:type="dxa"/>
            <w:left w:w="108" w:type="dxa"/>
            <w:bottom w:w="0" w:type="dxa"/>
            <w:right w:w="108" w:type="dxa"/>
          </w:tblCellMar>
        </w:tblPrEx>
        <w:trPr>
          <w:trHeight w:val="360" w:hRule="atLeast"/>
          <w:jc w:val="center"/>
        </w:trPr>
        <w:tc>
          <w:tcPr>
            <w:tcW w:w="15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销售毛利润</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2600</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5200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3500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7000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4500</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9000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5800</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11600</w:t>
            </w:r>
          </w:p>
        </w:tc>
        <w:tc>
          <w:tcPr>
            <w:tcW w:w="61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7500</w:t>
            </w:r>
          </w:p>
        </w:tc>
        <w:tc>
          <w:tcPr>
            <w:tcW w:w="71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15000</w:t>
            </w:r>
          </w:p>
        </w:tc>
      </w:tr>
      <w:tr>
        <w:tblPrEx>
          <w:tblCellMar>
            <w:top w:w="0" w:type="dxa"/>
            <w:left w:w="108" w:type="dxa"/>
            <w:bottom w:w="0" w:type="dxa"/>
            <w:right w:w="108" w:type="dxa"/>
          </w:tblCellMar>
        </w:tblPrEx>
        <w:trPr>
          <w:trHeight w:val="360" w:hRule="atLeast"/>
          <w:jc w:val="center"/>
        </w:trPr>
        <w:tc>
          <w:tcPr>
            <w:tcW w:w="15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维修毛利润</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1500</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375</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2300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575</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3500</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875</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5500</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1375</w:t>
            </w:r>
          </w:p>
        </w:tc>
        <w:tc>
          <w:tcPr>
            <w:tcW w:w="61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9000</w:t>
            </w:r>
          </w:p>
        </w:tc>
        <w:tc>
          <w:tcPr>
            <w:tcW w:w="71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2250</w:t>
            </w:r>
          </w:p>
        </w:tc>
      </w:tr>
      <w:tr>
        <w:tblPrEx>
          <w:tblCellMar>
            <w:top w:w="0" w:type="dxa"/>
            <w:left w:w="108" w:type="dxa"/>
            <w:bottom w:w="0" w:type="dxa"/>
            <w:right w:w="108" w:type="dxa"/>
          </w:tblCellMar>
        </w:tblPrEx>
        <w:trPr>
          <w:trHeight w:val="360" w:hRule="atLeast"/>
          <w:jc w:val="center"/>
        </w:trPr>
        <w:tc>
          <w:tcPr>
            <w:tcW w:w="15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人工成本</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50</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500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60</w:t>
            </w:r>
          </w:p>
        </w:tc>
        <w:tc>
          <w:tcPr>
            <w:tcW w:w="70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600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75</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750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80</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800</w:t>
            </w:r>
          </w:p>
        </w:tc>
        <w:tc>
          <w:tcPr>
            <w:tcW w:w="61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100</w:t>
            </w:r>
          </w:p>
        </w:tc>
        <w:tc>
          <w:tcPr>
            <w:tcW w:w="71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1000</w:t>
            </w:r>
          </w:p>
        </w:tc>
      </w:tr>
      <w:tr>
        <w:tblPrEx>
          <w:tblCellMar>
            <w:top w:w="0" w:type="dxa"/>
            <w:left w:w="108" w:type="dxa"/>
            <w:bottom w:w="0" w:type="dxa"/>
            <w:right w:w="108" w:type="dxa"/>
          </w:tblCellMar>
        </w:tblPrEx>
        <w:trPr>
          <w:trHeight w:val="360" w:hRule="atLeast"/>
          <w:jc w:val="center"/>
        </w:trPr>
        <w:tc>
          <w:tcPr>
            <w:tcW w:w="15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折旧</w:t>
            </w:r>
          </w:p>
        </w:tc>
        <w:tc>
          <w:tcPr>
            <w:tcW w:w="141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492</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492</w:t>
            </w:r>
          </w:p>
        </w:tc>
        <w:tc>
          <w:tcPr>
            <w:tcW w:w="141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492</w:t>
            </w:r>
          </w:p>
        </w:tc>
        <w:tc>
          <w:tcPr>
            <w:tcW w:w="155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492</w:t>
            </w:r>
          </w:p>
        </w:tc>
        <w:tc>
          <w:tcPr>
            <w:tcW w:w="133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492</w:t>
            </w:r>
          </w:p>
        </w:tc>
      </w:tr>
      <w:tr>
        <w:tblPrEx>
          <w:tblCellMar>
            <w:top w:w="0" w:type="dxa"/>
            <w:left w:w="108" w:type="dxa"/>
            <w:bottom w:w="0" w:type="dxa"/>
            <w:right w:w="108" w:type="dxa"/>
          </w:tblCellMar>
        </w:tblPrEx>
        <w:trPr>
          <w:trHeight w:val="360" w:hRule="atLeast"/>
          <w:jc w:val="center"/>
        </w:trPr>
        <w:tc>
          <w:tcPr>
            <w:tcW w:w="15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所得税</w:t>
            </w:r>
          </w:p>
        </w:tc>
        <w:tc>
          <w:tcPr>
            <w:tcW w:w="141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1145.75</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1620.75</w:t>
            </w:r>
          </w:p>
        </w:tc>
        <w:tc>
          <w:tcPr>
            <w:tcW w:w="141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2158.25</w:t>
            </w:r>
          </w:p>
        </w:tc>
        <w:tc>
          <w:tcPr>
            <w:tcW w:w="155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2920.75</w:t>
            </w:r>
          </w:p>
        </w:tc>
        <w:tc>
          <w:tcPr>
            <w:tcW w:w="133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3939.5</w:t>
            </w:r>
          </w:p>
        </w:tc>
      </w:tr>
      <w:tr>
        <w:tblPrEx>
          <w:tblCellMar>
            <w:top w:w="0" w:type="dxa"/>
            <w:left w:w="108" w:type="dxa"/>
            <w:bottom w:w="0" w:type="dxa"/>
            <w:right w:w="108" w:type="dxa"/>
          </w:tblCellMar>
        </w:tblPrEx>
        <w:trPr>
          <w:trHeight w:val="360" w:hRule="atLeast"/>
          <w:jc w:val="center"/>
        </w:trPr>
        <w:tc>
          <w:tcPr>
            <w:tcW w:w="150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纯利润</w:t>
            </w:r>
          </w:p>
        </w:tc>
        <w:tc>
          <w:tcPr>
            <w:tcW w:w="141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3437.25</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4862.25</w:t>
            </w:r>
          </w:p>
        </w:tc>
        <w:tc>
          <w:tcPr>
            <w:tcW w:w="141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6474.75</w:t>
            </w:r>
          </w:p>
        </w:tc>
        <w:tc>
          <w:tcPr>
            <w:tcW w:w="155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8762.25</w:t>
            </w:r>
          </w:p>
        </w:tc>
        <w:tc>
          <w:tcPr>
            <w:tcW w:w="133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beforeAutospacing="0" w:after="0" w:afterAutospacing="0" w:line="540" w:lineRule="atLeast"/>
              <w:jc w:val="right"/>
              <w:rPr>
                <w:color w:val="000000"/>
                <w:kern w:val="0"/>
                <w:sz w:val="20"/>
                <w:szCs w:val="20"/>
              </w:rPr>
            </w:pPr>
            <w:r>
              <w:rPr>
                <w:color w:val="000000"/>
                <w:kern w:val="0"/>
                <w:sz w:val="20"/>
                <w:szCs w:val="20"/>
              </w:rPr>
              <w:t>11818.5</w:t>
            </w:r>
          </w:p>
        </w:tc>
      </w:tr>
    </w:tbl>
    <w:p>
      <w:pPr>
        <w:adjustRightInd w:val="0"/>
        <w:snapToGrid w:val="0"/>
        <w:spacing w:before="0" w:beforeAutospacing="0" w:after="0" w:afterAutospacing="0" w:line="540" w:lineRule="atLeast"/>
        <w:rPr>
          <w:rFonts w:ascii="仿宋_GB2312" w:hAnsi="华文楷体" w:eastAsia="仿宋_GB2312"/>
          <w:b/>
          <w:color w:val="000000"/>
          <w:sz w:val="28"/>
          <w:szCs w:val="28"/>
        </w:rPr>
      </w:pPr>
    </w:p>
    <w:p>
      <w:pPr>
        <w:adjustRightInd w:val="0"/>
        <w:snapToGrid w:val="0"/>
        <w:spacing w:before="0" w:beforeAutospacing="0" w:after="0" w:afterAutospacing="0" w:line="540" w:lineRule="atLeast"/>
        <w:rPr>
          <w:rFonts w:ascii="仿宋_GB2312" w:hAnsi="华文楷体" w:eastAsia="仿宋_GB2312"/>
          <w:b/>
          <w:color w:val="000000"/>
          <w:sz w:val="28"/>
          <w:szCs w:val="28"/>
        </w:rPr>
      </w:pPr>
    </w:p>
    <w:p>
      <w:pPr>
        <w:pStyle w:val="3"/>
        <w:adjustRightInd w:val="0"/>
        <w:snapToGrid w:val="0"/>
        <w:spacing w:beforeLines="150" w:beforeAutospacing="0" w:afterLines="50" w:afterAutospacing="0" w:line="540" w:lineRule="atLeast"/>
        <w:jc w:val="left"/>
        <w:rPr>
          <w:rFonts w:ascii="黑体" w:hAnsi="黑体" w:eastAsia="黑体"/>
          <w:b w:val="0"/>
          <w:sz w:val="32"/>
          <w:szCs w:val="32"/>
        </w:rPr>
      </w:pPr>
      <w:bookmarkStart w:id="20" w:name="_Toc489013235"/>
      <w:r>
        <w:rPr>
          <w:rFonts w:hint="eastAsia" w:ascii="黑体" w:hAnsi="黑体" w:eastAsia="黑体"/>
          <w:b w:val="0"/>
          <w:sz w:val="32"/>
          <w:szCs w:val="32"/>
        </w:rPr>
        <w:t>8.2 社会效益</w:t>
      </w:r>
      <w:bookmarkEnd w:id="20"/>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本项目的社会效益体现为以下几个方面。</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1）为中西部地区汽车消费者提供性价比更高的进口新车购买与消费选择渠道。</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2）打破汽车经销品牌授权的垄断状况，改善市场主体结构，保障与提升汽车消费者权益。</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3）在汽车后服务市场引入竞争性参与者，为汽车的维修与保养增加供给能力与渠道。</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4）进一步提升城陵矶区域性航运物流中心的地位，促进城陵矶新港区社会经济发展。</w:t>
      </w:r>
    </w:p>
    <w:p>
      <w:pPr>
        <w:widowControl/>
        <w:spacing w:before="0" w:beforeAutospacing="0" w:after="0" w:afterAutospacing="0" w:line="540" w:lineRule="atLeast"/>
        <w:jc w:val="left"/>
        <w:rPr>
          <w:b/>
          <w:bCs/>
          <w:kern w:val="44"/>
          <w:sz w:val="44"/>
          <w:szCs w:val="44"/>
        </w:rPr>
      </w:pPr>
      <w:r>
        <w:br w:type="page"/>
      </w:r>
    </w:p>
    <w:p>
      <w:pPr>
        <w:pStyle w:val="2"/>
        <w:adjustRightInd w:val="0"/>
        <w:snapToGrid w:val="0"/>
        <w:spacing w:beforeLines="100" w:beforeAutospacing="0" w:afterLines="50" w:afterAutospacing="0" w:line="540" w:lineRule="atLeast"/>
        <w:jc w:val="center"/>
        <w:rPr>
          <w:rFonts w:ascii="黑体" w:hAnsi="黑体" w:eastAsia="黑体"/>
          <w:sz w:val="36"/>
          <w:szCs w:val="36"/>
        </w:rPr>
      </w:pPr>
      <w:bookmarkStart w:id="21" w:name="_Toc489013236"/>
      <w:r>
        <w:rPr>
          <w:rFonts w:hint="eastAsia" w:ascii="黑体" w:hAnsi="黑体" w:eastAsia="黑体"/>
          <w:sz w:val="36"/>
          <w:szCs w:val="36"/>
        </w:rPr>
        <w:t>第9章 风险提示</w:t>
      </w:r>
      <w:bookmarkEnd w:id="21"/>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本项目可能存在以下风险：</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1、消费者对平行进口车接受速度与程度低于预期；</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2、岳阳周边如长沙、武汉等地进口汽车口岸对整车进口鼓励政策力度大导致的岳阳城陵矶港业务量增长速度低于预期；</w:t>
      </w:r>
    </w:p>
    <w:p>
      <w:pPr>
        <w:adjustRightInd w:val="0"/>
        <w:snapToGrid w:val="0"/>
        <w:spacing w:beforeLines="50" w:beforeAutospacing="0" w:afterLines="50" w:afterAutospacing="0" w:line="54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3、项目投资单位内部管理不善，导致进口汽车维修与保养市场竞争处于劣势下，进口汽车售后服务业务量的发展低于预期。</w:t>
      </w:r>
    </w:p>
    <w:sectPr>
      <w:footerReference r:id="rId8" w:type="default"/>
      <w:pgSz w:w="11906" w:h="16838"/>
      <w:pgMar w:top="1440" w:right="1701" w:bottom="1440"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0000000000000000000"/>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663003"/>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9577184"/>
      <w:docPartObj>
        <w:docPartGallery w:val="AutoText"/>
      </w:docPartObj>
    </w:sdtPr>
    <w:sdtContent>
      <w:p>
        <w:pPr>
          <w:pStyle w:val="7"/>
          <w:jc w:val="center"/>
        </w:pPr>
        <w:r>
          <w:fldChar w:fldCharType="begin"/>
        </w:r>
        <w:r>
          <w:instrText xml:space="preserve">PAGE   \* MERGEFORMAT</w:instrText>
        </w:r>
        <w:r>
          <w:fldChar w:fldCharType="separate"/>
        </w:r>
        <w:r>
          <w:rPr>
            <w:lang w:val="zh-CN"/>
          </w:rPr>
          <w:t>I</w:t>
        </w:r>
        <w:r>
          <w:fldChar w:fldCharType="end"/>
        </w:r>
      </w:p>
    </w:sdtContent>
  </w:sdt>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1563306"/>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YTBlMGEzNWM1YWVkZDNlZTc0MTNmYWQzZjYzNTcifQ=="/>
  </w:docVars>
  <w:rsids>
    <w:rsidRoot w:val="00D71B32"/>
    <w:rsid w:val="00002DD1"/>
    <w:rsid w:val="000063F9"/>
    <w:rsid w:val="0002576A"/>
    <w:rsid w:val="00040E15"/>
    <w:rsid w:val="00041090"/>
    <w:rsid w:val="00051AA1"/>
    <w:rsid w:val="000631F5"/>
    <w:rsid w:val="00064638"/>
    <w:rsid w:val="00067D2F"/>
    <w:rsid w:val="000A368E"/>
    <w:rsid w:val="000C0A18"/>
    <w:rsid w:val="000D4A55"/>
    <w:rsid w:val="00164ECC"/>
    <w:rsid w:val="0016665D"/>
    <w:rsid w:val="00170EAA"/>
    <w:rsid w:val="00195814"/>
    <w:rsid w:val="001A010A"/>
    <w:rsid w:val="001A4570"/>
    <w:rsid w:val="001B4C3E"/>
    <w:rsid w:val="001E0FED"/>
    <w:rsid w:val="001F0D0F"/>
    <w:rsid w:val="00211C7F"/>
    <w:rsid w:val="00212DC7"/>
    <w:rsid w:val="00243B4C"/>
    <w:rsid w:val="00247B9D"/>
    <w:rsid w:val="002500D4"/>
    <w:rsid w:val="00250E23"/>
    <w:rsid w:val="00252304"/>
    <w:rsid w:val="00267611"/>
    <w:rsid w:val="00287C69"/>
    <w:rsid w:val="002B5AC0"/>
    <w:rsid w:val="002C68BC"/>
    <w:rsid w:val="002E1DA7"/>
    <w:rsid w:val="002F3811"/>
    <w:rsid w:val="00306525"/>
    <w:rsid w:val="0030688C"/>
    <w:rsid w:val="003137AF"/>
    <w:rsid w:val="003206B2"/>
    <w:rsid w:val="003400F6"/>
    <w:rsid w:val="00381D0D"/>
    <w:rsid w:val="003C02AD"/>
    <w:rsid w:val="003C489D"/>
    <w:rsid w:val="003C7F9F"/>
    <w:rsid w:val="003D0C1B"/>
    <w:rsid w:val="00404FEF"/>
    <w:rsid w:val="0041263D"/>
    <w:rsid w:val="00420DEA"/>
    <w:rsid w:val="00441328"/>
    <w:rsid w:val="00451018"/>
    <w:rsid w:val="00466D56"/>
    <w:rsid w:val="00471DFB"/>
    <w:rsid w:val="00477D8F"/>
    <w:rsid w:val="00491CB9"/>
    <w:rsid w:val="004B1A0E"/>
    <w:rsid w:val="004B66A4"/>
    <w:rsid w:val="004B687D"/>
    <w:rsid w:val="00537AE5"/>
    <w:rsid w:val="00580E21"/>
    <w:rsid w:val="005B101B"/>
    <w:rsid w:val="00616C72"/>
    <w:rsid w:val="00621BEC"/>
    <w:rsid w:val="00676B3F"/>
    <w:rsid w:val="006873BA"/>
    <w:rsid w:val="006A18E4"/>
    <w:rsid w:val="006D68F8"/>
    <w:rsid w:val="006E08CD"/>
    <w:rsid w:val="00700D95"/>
    <w:rsid w:val="00712F58"/>
    <w:rsid w:val="00745DE6"/>
    <w:rsid w:val="00772D86"/>
    <w:rsid w:val="007C2F7F"/>
    <w:rsid w:val="007C74E6"/>
    <w:rsid w:val="007F035E"/>
    <w:rsid w:val="007F3937"/>
    <w:rsid w:val="0080304A"/>
    <w:rsid w:val="0083770A"/>
    <w:rsid w:val="00850C6A"/>
    <w:rsid w:val="00851D7E"/>
    <w:rsid w:val="00874F2D"/>
    <w:rsid w:val="008776AC"/>
    <w:rsid w:val="00884E3E"/>
    <w:rsid w:val="008C2466"/>
    <w:rsid w:val="008D104F"/>
    <w:rsid w:val="008E520E"/>
    <w:rsid w:val="009115FA"/>
    <w:rsid w:val="0092147D"/>
    <w:rsid w:val="00925768"/>
    <w:rsid w:val="00945D88"/>
    <w:rsid w:val="00981C38"/>
    <w:rsid w:val="0098622D"/>
    <w:rsid w:val="009B04AB"/>
    <w:rsid w:val="00A36B87"/>
    <w:rsid w:val="00A36BA8"/>
    <w:rsid w:val="00A4599E"/>
    <w:rsid w:val="00A562E6"/>
    <w:rsid w:val="00A6500F"/>
    <w:rsid w:val="00A916C9"/>
    <w:rsid w:val="00A92306"/>
    <w:rsid w:val="00AB197F"/>
    <w:rsid w:val="00AB497F"/>
    <w:rsid w:val="00AD0137"/>
    <w:rsid w:val="00AD3091"/>
    <w:rsid w:val="00AE1730"/>
    <w:rsid w:val="00B0189A"/>
    <w:rsid w:val="00B15084"/>
    <w:rsid w:val="00B43652"/>
    <w:rsid w:val="00B63B95"/>
    <w:rsid w:val="00BA4310"/>
    <w:rsid w:val="00BB0516"/>
    <w:rsid w:val="00BC78EF"/>
    <w:rsid w:val="00BF3B7B"/>
    <w:rsid w:val="00C0494D"/>
    <w:rsid w:val="00C15CAF"/>
    <w:rsid w:val="00C220DA"/>
    <w:rsid w:val="00C23EB2"/>
    <w:rsid w:val="00C305F2"/>
    <w:rsid w:val="00C41F6F"/>
    <w:rsid w:val="00C437E8"/>
    <w:rsid w:val="00C8031A"/>
    <w:rsid w:val="00C806C0"/>
    <w:rsid w:val="00C87475"/>
    <w:rsid w:val="00C92964"/>
    <w:rsid w:val="00CC5F0A"/>
    <w:rsid w:val="00CE5A0A"/>
    <w:rsid w:val="00CF6F6B"/>
    <w:rsid w:val="00D31245"/>
    <w:rsid w:val="00D526E0"/>
    <w:rsid w:val="00D64973"/>
    <w:rsid w:val="00D6683E"/>
    <w:rsid w:val="00D70D11"/>
    <w:rsid w:val="00D71B32"/>
    <w:rsid w:val="00D7201B"/>
    <w:rsid w:val="00D87428"/>
    <w:rsid w:val="00D93A65"/>
    <w:rsid w:val="00D97F90"/>
    <w:rsid w:val="00DC6D04"/>
    <w:rsid w:val="00E3522A"/>
    <w:rsid w:val="00E60581"/>
    <w:rsid w:val="00E62B47"/>
    <w:rsid w:val="00E71828"/>
    <w:rsid w:val="00E84186"/>
    <w:rsid w:val="00EA1A97"/>
    <w:rsid w:val="00EC70F7"/>
    <w:rsid w:val="00EE4E3B"/>
    <w:rsid w:val="00EF3A73"/>
    <w:rsid w:val="00F24BD4"/>
    <w:rsid w:val="00F26A56"/>
    <w:rsid w:val="00F36F85"/>
    <w:rsid w:val="00F4749E"/>
    <w:rsid w:val="00F55717"/>
    <w:rsid w:val="00F6101A"/>
    <w:rsid w:val="00F61FD5"/>
    <w:rsid w:val="00F76D9E"/>
    <w:rsid w:val="00F813B7"/>
    <w:rsid w:val="00F85621"/>
    <w:rsid w:val="00FB2BCE"/>
    <w:rsid w:val="01CC46D7"/>
    <w:rsid w:val="02D812CF"/>
    <w:rsid w:val="05E729A9"/>
    <w:rsid w:val="073D218F"/>
    <w:rsid w:val="080A1461"/>
    <w:rsid w:val="08611A4D"/>
    <w:rsid w:val="09134089"/>
    <w:rsid w:val="0BD80575"/>
    <w:rsid w:val="0C05378C"/>
    <w:rsid w:val="0F287ED9"/>
    <w:rsid w:val="171210CE"/>
    <w:rsid w:val="1A712114"/>
    <w:rsid w:val="1E0A7CFF"/>
    <w:rsid w:val="1F55701A"/>
    <w:rsid w:val="1FCC595E"/>
    <w:rsid w:val="22B80153"/>
    <w:rsid w:val="2C985EE1"/>
    <w:rsid w:val="2FBA677A"/>
    <w:rsid w:val="31B15F3C"/>
    <w:rsid w:val="32400853"/>
    <w:rsid w:val="37A1685F"/>
    <w:rsid w:val="38000F01"/>
    <w:rsid w:val="38096D61"/>
    <w:rsid w:val="3B3732C3"/>
    <w:rsid w:val="3CEF0F94"/>
    <w:rsid w:val="3D52051E"/>
    <w:rsid w:val="3D7E5B9C"/>
    <w:rsid w:val="42C440D4"/>
    <w:rsid w:val="4D06754B"/>
    <w:rsid w:val="50911E29"/>
    <w:rsid w:val="52771D9E"/>
    <w:rsid w:val="54D74305"/>
    <w:rsid w:val="57C35E38"/>
    <w:rsid w:val="5A2B5ECB"/>
    <w:rsid w:val="652E74B0"/>
    <w:rsid w:val="65D84BB3"/>
    <w:rsid w:val="675E7EA8"/>
    <w:rsid w:val="68357EB9"/>
    <w:rsid w:val="69D63BC8"/>
    <w:rsid w:val="6BC93F23"/>
    <w:rsid w:val="6E2A6171"/>
    <w:rsid w:val="72CE1F8E"/>
    <w:rsid w:val="74E4026F"/>
    <w:rsid w:val="765243CA"/>
    <w:rsid w:val="772F29CF"/>
    <w:rsid w:val="788B1089"/>
    <w:rsid w:val="7894501D"/>
    <w:rsid w:val="78A5172A"/>
    <w:rsid w:val="79267BE1"/>
    <w:rsid w:val="79415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40" w:after="240"/>
      <w:jc w:val="center"/>
      <w:outlineLvl w:val="1"/>
    </w:pPr>
    <w:rPr>
      <w:rFonts w:ascii="Arial" w:hAnsi="Arial" w:eastAsia="仿宋"/>
      <w:b/>
      <w:kern w:val="0"/>
      <w:sz w:val="28"/>
      <w:szCs w:val="20"/>
    </w:rPr>
  </w:style>
  <w:style w:type="paragraph" w:styleId="5">
    <w:name w:val="heading 3"/>
    <w:basedOn w:val="1"/>
    <w:next w:val="4"/>
    <w:link w:val="17"/>
    <w:qFormat/>
    <w:uiPriority w:val="9"/>
    <w:pPr>
      <w:widowControl/>
      <w:jc w:val="left"/>
      <w:outlineLvl w:val="2"/>
    </w:pPr>
    <w:rPr>
      <w:rFonts w:ascii="宋体" w:hAnsi="宋体" w:cs="宋体"/>
      <w:b/>
      <w:bCs/>
      <w:kern w:val="0"/>
      <w:sz w:val="27"/>
      <w:szCs w:val="27"/>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6">
    <w:name w:val="Balloon Text"/>
    <w:basedOn w:val="1"/>
    <w:link w:val="22"/>
    <w:unhideWhenUsed/>
    <w:qFormat/>
    <w:uiPriority w:val="99"/>
    <w:pPr>
      <w:spacing w:before="0" w:after="0"/>
    </w:pPr>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paragraph" w:styleId="11">
    <w:name w:val="Normal (Web)"/>
    <w:basedOn w:val="1"/>
    <w:qFormat/>
    <w:uiPriority w:val="99"/>
    <w:pPr>
      <w:widowControl/>
      <w:jc w:val="left"/>
    </w:pPr>
    <w:rPr>
      <w:rFonts w:ascii="宋体" w:hAnsi="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u w:val="single"/>
    </w:rPr>
  </w:style>
  <w:style w:type="character" w:customStyle="1" w:styleId="16">
    <w:name w:val="页脚 Char"/>
    <w:basedOn w:val="14"/>
    <w:link w:val="7"/>
    <w:qFormat/>
    <w:uiPriority w:val="99"/>
    <w:rPr>
      <w:kern w:val="2"/>
      <w:sz w:val="18"/>
      <w:szCs w:val="18"/>
    </w:rPr>
  </w:style>
  <w:style w:type="character" w:customStyle="1" w:styleId="17">
    <w:name w:val="标题 3 Char"/>
    <w:basedOn w:val="14"/>
    <w:link w:val="5"/>
    <w:qFormat/>
    <w:uiPriority w:val="9"/>
    <w:rPr>
      <w:rFonts w:ascii="宋体" w:hAnsi="宋体" w:eastAsia="宋体" w:cs="宋体"/>
      <w:b/>
      <w:bCs/>
      <w:kern w:val="0"/>
      <w:sz w:val="27"/>
      <w:szCs w:val="27"/>
    </w:rPr>
  </w:style>
  <w:style w:type="character" w:customStyle="1" w:styleId="18">
    <w:name w:val="页眉 Char"/>
    <w:basedOn w:val="14"/>
    <w:link w:val="8"/>
    <w:semiHidden/>
    <w:qFormat/>
    <w:uiPriority w:val="99"/>
    <w:rPr>
      <w:kern w:val="2"/>
      <w:sz w:val="18"/>
      <w:szCs w:val="18"/>
    </w:rPr>
  </w:style>
  <w:style w:type="paragraph" w:customStyle="1" w:styleId="19">
    <w:name w:val="列出段落1"/>
    <w:basedOn w:val="1"/>
    <w:qFormat/>
    <w:uiPriority w:val="99"/>
    <w:pPr>
      <w:spacing w:before="0" w:beforeAutospacing="0" w:after="0" w:afterAutospacing="0"/>
      <w:ind w:firstLine="420"/>
    </w:pPr>
    <w:rPr>
      <w:sz w:val="28"/>
    </w:rPr>
  </w:style>
  <w:style w:type="paragraph" w:customStyle="1" w:styleId="20">
    <w:name w:val="列出段落2"/>
    <w:basedOn w:val="1"/>
    <w:qFormat/>
    <w:uiPriority w:val="34"/>
    <w:pPr>
      <w:ind w:firstLine="420" w:firstLineChars="200"/>
    </w:pPr>
  </w:style>
  <w:style w:type="paragraph" w:customStyle="1" w:styleId="21">
    <w:name w:val="样式 标题 1汉标题 1标题 1 Char + 黑体 18 磅 居中 段前: 12 磅 段后: 12 磅"/>
    <w:basedOn w:val="2"/>
    <w:qFormat/>
    <w:uiPriority w:val="0"/>
    <w:pPr>
      <w:spacing w:before="240" w:after="240" w:line="240" w:lineRule="auto"/>
      <w:jc w:val="center"/>
    </w:pPr>
    <w:rPr>
      <w:rFonts w:ascii="黑体" w:hAnsi="黑体" w:eastAsia="黑体" w:cs="宋体"/>
      <w:sz w:val="36"/>
      <w:szCs w:val="20"/>
    </w:rPr>
  </w:style>
  <w:style w:type="character" w:customStyle="1" w:styleId="22">
    <w:name w:val="批注框文本 Char"/>
    <w:basedOn w:val="14"/>
    <w:link w:val="6"/>
    <w:semiHidden/>
    <w:qFormat/>
    <w:uiPriority w:val="99"/>
    <w:rPr>
      <w:kern w:val="2"/>
      <w:sz w:val="18"/>
      <w:szCs w:val="18"/>
    </w:rPr>
  </w:style>
  <w:style w:type="paragraph" w:customStyle="1" w:styleId="23">
    <w:name w:val="reader-word-layer"/>
    <w:basedOn w:val="1"/>
    <w:qFormat/>
    <w:uiPriority w:val="0"/>
    <w:pPr>
      <w:widowControl/>
      <w:jc w:val="left"/>
    </w:pPr>
    <w:rPr>
      <w:rFonts w:ascii="宋体" w:hAnsi="宋体" w:cs="宋体"/>
      <w:kern w:val="0"/>
      <w:sz w:val="24"/>
      <w:szCs w:val="24"/>
    </w:rPr>
  </w:style>
  <w:style w:type="paragraph" w:customStyle="1" w:styleId="24">
    <w:name w:val="TOC Heading"/>
    <w:basedOn w:val="2"/>
    <w:next w:val="1"/>
    <w:unhideWhenUsed/>
    <w:qFormat/>
    <w:uiPriority w:val="39"/>
    <w:pPr>
      <w:widowControl/>
      <w:spacing w:before="480" w:beforeAutospacing="0" w:after="0" w:afterAutospacing="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3C6EF-A8E7-438F-8FFC-7B44FE14AB1A}">
  <ds:schemaRefs/>
</ds:datastoreItem>
</file>

<file path=docProps/app.xml><?xml version="1.0" encoding="utf-8"?>
<Properties xmlns="http://schemas.openxmlformats.org/officeDocument/2006/extended-properties" xmlns:vt="http://schemas.openxmlformats.org/officeDocument/2006/docPropsVTypes">
  <Template>Normal</Template>
  <Pages>19</Pages>
  <Words>5665</Words>
  <Characters>6247</Characters>
  <Lines>54</Lines>
  <Paragraphs>15</Paragraphs>
  <TotalTime>639</TotalTime>
  <ScaleCrop>false</ScaleCrop>
  <LinksUpToDate>false</LinksUpToDate>
  <CharactersWithSpaces>6345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2017-07-24T16:48:00Z</dcterms:created>
  <dc:creator>Administrator</dc:creator>
  <cp:lastModifiedBy>Amy</cp:lastModifiedBy>
  <cp:lastPrinted>2017-07-30T08:21:00Z</cp:lastPrinted>
  <dcterms:modified xsi:type="dcterms:W3CDTF">2024-06-13T02:14:49Z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B0E416E0FE414012BBB96CFBD371BCD0_13</vt:lpwstr>
  </property>
</Properties>
</file>