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房地产开发项目资本金监管协议</w:t>
      </w:r>
    </w:p>
    <w:p>
      <w:pPr>
        <w:spacing w:line="600" w:lineRule="exact"/>
        <w:ind w:firstLine="413" w:firstLineChars="196"/>
        <w:rPr>
          <w:rFonts w:hint="eastAsia" w:asciiTheme="minorEastAsia" w:hAnsiTheme="minorEastAsia" w:eastAsiaTheme="minorEastAsia"/>
          <w:b/>
          <w:color w:val="000000"/>
          <w:szCs w:val="32"/>
        </w:rPr>
      </w:pP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甲方（市住房和城乡建设局）：          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乙方（房地产开发企业）：          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根据《城市房地产开发经营管理条例》（国务院令第248号）、《湖南省城市房地产开发经营管理办法》（省政府令第207号）和《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各市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州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房地产开发项目资本金管理办法》的规定，为构建房地产开发诚实守信的市场秩序，维护购房人和相关权益人的合法权益，经甲、乙双方协商一致，现就乙方                       项目      栋（号）房地产开发项目资本金监管达成如下协议：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一、项目基本情况。                  项目，位于     区（县）                   街道（镇）         居委会；项目规划总规模    栋、总建筑面积         平方米（其中住宅      栋        平方米，非住宅      栋        平方米）；应监管项目资本金               万元。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二、本次开工建设并申请预售许可      栋          平方米，应监管项目资本金              万元，已交存监管项目资本金            万元。项目资本金监管交存银行：                     ，户名：                   ，帐户：                                  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三、所监管项目资本金解除监管条件：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（一）工程主体结构完成后，房地产开发主管部门解控40%所监管项目资本金；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（二）项目竣工验收备案后，房地产开发主管部门解控40%所监管项目资本金。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（三）办理完项目房屋初始登记，并完成项目配套设施、设备建设后，房地产开发主管部门解控剩余20%监管项目资本金及利息。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四、甲方在收到乙方项目资本金解控申请后，经核实符合条件的，应在3个工作日内办结解控审批手续，并不得收取任何费用。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五、乙方有下列情形之一的，为维护买受人等相关权益人的合法权益，甲方可依法处置所监管乙方的项目资本金。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（一）乙方代收购房人应缴存的房屋维修资金、办理商品房转移登记应缴税费后被挪用（贪污）的；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（二）乙方欠缴依法应缴税费导致项目不能完成竣工综合验收合格备案的；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（三）乙方不能按约定时限办理商品房初始登记的；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（四）出现建筑安装工程质量等问题后乙方未妥善处理的；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（五）其他需要处置监管项目资本金的情形。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出现上述情形，甲方应书面通知乙方责成限期整改。乙方限期不整改或整改不到位的，甲方处置所监管乙方的项目资本金用于乙方应整改事项。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甲方将乙方发生的上述情形记录为不良行为，并视情节依法给予行政处罚、直至吊销其开发企业资质，并将有关信息通报国土、税务、金融、工商等相关部门。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六、本协议一式叁份，甲乙双方各执壹份，项目资本金监管专户管理机构壹份。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甲方（盖章）                 乙方（盖章）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法定代表人：                 法定代表人：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委托代理人：                 委托代理人：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600" w:lineRule="exact"/>
        <w:ind w:firstLine="1760" w:firstLineChars="55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年  月  日                   年  月  日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CAA"/>
    <w:rsid w:val="00736CAA"/>
    <w:rsid w:val="00C57C70"/>
    <w:rsid w:val="00EB7BCC"/>
    <w:rsid w:val="53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电脑工作室</Company>
  <Pages>3</Pages>
  <Words>198</Words>
  <Characters>1132</Characters>
  <Lines>9</Lines>
  <Paragraphs>2</Paragraphs>
  <TotalTime>1</TotalTime>
  <ScaleCrop>false</ScaleCrop>
  <LinksUpToDate>false</LinksUpToDate>
  <CharactersWithSpaces>1328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2018-12-17T09:08:00Z</dcterms:created>
  <dc:creator>东浩</dc:creator>
  <cp:lastModifiedBy>欣好男人</cp:lastModifiedBy>
  <dcterms:modified xsi:type="dcterms:W3CDTF">2021-11-29T07:06:21Z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392E60C9751645D7AE869F42360C57AD</vt:lpwstr>
  </property>
</Properties>
</file>