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9082A">
      <w:pPr>
        <w:keepNext w:val="0"/>
        <w:keepLines w:val="0"/>
        <w:pageBreakBefore w:val="0"/>
        <w:widowControl/>
        <w:suppressLineNumbers w:val="0"/>
        <w:kinsoku w:val="0"/>
        <w:wordWrap w:val="0"/>
        <w:overflowPunct w:val="0"/>
        <w:topLinePunct w:val="0"/>
        <w:autoSpaceDE/>
        <w:autoSpaceDN/>
        <w:bidi w:val="0"/>
        <w:spacing w:before="312" w:beforeLines="100" w:beforeAutospacing="0" w:after="0" w:afterAutospacing="0" w:line="480" w:lineRule="exact"/>
        <w:ind w:left="0" w:right="0"/>
        <w:jc w:val="right"/>
        <w:rPr>
          <w:rFonts w:hint="eastAsia" w:ascii="仿宋" w:hAnsi="仿宋" w:eastAsia="仿宋" w:cs="仿宋"/>
          <w:b w:val="0"/>
          <w:bCs w:val="0"/>
          <w:color w:val="auto"/>
          <w:spacing w:val="-20"/>
          <w:kern w:val="0"/>
          <w:sz w:val="30"/>
          <w:szCs w:val="30"/>
          <w:highlight w:val="none"/>
          <w:u w:val="none" w:color="auto"/>
          <w:lang w:val="en-US" w:eastAsia="zh-CN" w:bidi="ar"/>
        </w:rPr>
      </w:pPr>
    </w:p>
    <w:p w14:paraId="4D5EC642">
      <w:pPr>
        <w:keepNext w:val="0"/>
        <w:keepLines w:val="0"/>
        <w:pageBreakBefore w:val="0"/>
        <w:widowControl/>
        <w:suppressLineNumbers w:val="0"/>
        <w:kinsoku w:val="0"/>
        <w:wordWrap w:val="0"/>
        <w:overflowPunct w:val="0"/>
        <w:topLinePunct w:val="0"/>
        <w:autoSpaceDE/>
        <w:autoSpaceDN/>
        <w:bidi w:val="0"/>
        <w:spacing w:before="312" w:beforeLines="100" w:beforeAutospacing="0" w:after="0" w:afterAutospacing="0" w:line="480" w:lineRule="exact"/>
        <w:ind w:left="0" w:right="0"/>
        <w:jc w:val="right"/>
        <w:rPr>
          <w:rFonts w:hint="eastAsia" w:ascii="仿宋" w:hAnsi="仿宋" w:eastAsia="仿宋" w:cs="仿宋"/>
          <w:b w:val="0"/>
          <w:bCs w:val="0"/>
          <w:color w:val="auto"/>
          <w:spacing w:val="-20"/>
          <w:kern w:val="0"/>
          <w:sz w:val="30"/>
          <w:szCs w:val="30"/>
          <w:highlight w:val="none"/>
          <w:u w:val="none" w:color="auto"/>
          <w:lang w:val="en-US" w:eastAsia="zh-CN" w:bidi="ar"/>
        </w:rPr>
      </w:pPr>
    </w:p>
    <w:p w14:paraId="13902863">
      <w:pPr>
        <w:keepNext w:val="0"/>
        <w:keepLines w:val="0"/>
        <w:pageBreakBefore w:val="0"/>
        <w:widowControl/>
        <w:suppressLineNumbers w:val="0"/>
        <w:kinsoku w:val="0"/>
        <w:wordWrap w:val="0"/>
        <w:overflowPunct w:val="0"/>
        <w:topLinePunct w:val="0"/>
        <w:autoSpaceDE/>
        <w:autoSpaceDN/>
        <w:bidi w:val="0"/>
        <w:spacing w:before="312" w:beforeLines="100" w:beforeAutospacing="0" w:after="0" w:afterAutospacing="0" w:line="480" w:lineRule="exact"/>
        <w:ind w:left="0" w:right="0"/>
        <w:jc w:val="right"/>
        <w:rPr>
          <w:rFonts w:hint="eastAsia" w:ascii="仿宋" w:hAnsi="仿宋" w:eastAsia="仿宋" w:cs="仿宋"/>
          <w:b w:val="0"/>
          <w:bCs w:val="0"/>
          <w:color w:val="auto"/>
          <w:spacing w:val="-20"/>
          <w:kern w:val="0"/>
          <w:sz w:val="30"/>
          <w:szCs w:val="30"/>
          <w:highlight w:val="none"/>
          <w:u w:val="none" w:color="auto"/>
          <w:lang w:val="en-US" w:eastAsia="zh-CN" w:bidi="ar"/>
        </w:rPr>
      </w:pPr>
    </w:p>
    <w:p w14:paraId="1666CAAA">
      <w:pPr>
        <w:keepNext w:val="0"/>
        <w:keepLines w:val="0"/>
        <w:pageBreakBefore w:val="0"/>
        <w:widowControl/>
        <w:suppressLineNumbers w:val="0"/>
        <w:kinsoku w:val="0"/>
        <w:wordWrap w:val="0"/>
        <w:overflowPunct w:val="0"/>
        <w:topLinePunct w:val="0"/>
        <w:autoSpaceDE/>
        <w:autoSpaceDN/>
        <w:bidi w:val="0"/>
        <w:spacing w:before="312" w:beforeLines="100" w:beforeAutospacing="0" w:after="0" w:afterAutospacing="0" w:line="480" w:lineRule="exact"/>
        <w:ind w:left="0" w:right="0"/>
        <w:jc w:val="right"/>
        <w:rPr>
          <w:rFonts w:hint="eastAsia" w:ascii="仿宋" w:hAnsi="仿宋" w:eastAsia="仿宋" w:cs="仿宋"/>
          <w:b w:val="0"/>
          <w:bCs w:val="0"/>
          <w:color w:val="auto"/>
          <w:spacing w:val="-20"/>
          <w:kern w:val="2"/>
          <w:sz w:val="30"/>
          <w:szCs w:val="30"/>
          <w:highlight w:val="none"/>
          <w:u w:val="none" w:color="auto"/>
          <w:lang w:val="en-US" w:eastAsia="zh-CN" w:bidi="ar"/>
        </w:rPr>
      </w:pPr>
      <w:r>
        <w:rPr>
          <w:rFonts w:hint="eastAsia" w:ascii="仿宋" w:hAnsi="仿宋" w:eastAsia="仿宋" w:cs="仿宋"/>
          <w:b w:val="0"/>
          <w:bCs w:val="0"/>
          <w:color w:val="auto"/>
          <w:spacing w:val="-20"/>
          <w:kern w:val="0"/>
          <w:sz w:val="30"/>
          <w:szCs w:val="30"/>
          <w:highlight w:val="none"/>
          <w:u w:val="none" w:color="auto"/>
          <w:lang w:val="en-US" w:eastAsia="zh-CN" w:bidi="ar"/>
        </w:rPr>
        <w:t>岳环评〔2024〕31 号</w:t>
      </w:r>
    </w:p>
    <w:p w14:paraId="38DA80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44"/>
          <w:szCs w:val="44"/>
          <w:highlight w:val="none"/>
          <w:u w:val="none" w:color="auto"/>
        </w:rPr>
      </w:pPr>
      <w:r>
        <w:rPr>
          <w:rFonts w:hint="eastAsia" w:ascii="仿宋" w:hAnsi="仿宋" w:eastAsia="仿宋" w:cs="仿宋"/>
          <w:b/>
          <w:bCs/>
          <w:color w:val="auto"/>
          <w:spacing w:val="-20"/>
          <w:w w:val="98"/>
          <w:kern w:val="0"/>
          <w:sz w:val="44"/>
          <w:szCs w:val="44"/>
          <w:highlight w:val="none"/>
          <w:u w:val="none" w:color="auto"/>
          <w:lang w:val="en-US" w:eastAsia="zh-CN" w:bidi="ar"/>
        </w:rPr>
        <w:t>关于</w:t>
      </w:r>
      <w:r>
        <w:rPr>
          <w:rFonts w:hint="eastAsia" w:ascii="仿宋" w:hAnsi="仿宋" w:eastAsia="仿宋" w:cs="仿宋"/>
          <w:b/>
          <w:bCs/>
          <w:color w:val="auto"/>
          <w:sz w:val="44"/>
          <w:szCs w:val="44"/>
          <w:highlight w:val="none"/>
          <w:u w:val="none" w:color="auto"/>
          <w:lang w:eastAsia="zh-CN"/>
        </w:rPr>
        <w:t>新能源储能集装箱数字化生产线项目</w:t>
      </w:r>
      <w:r>
        <w:rPr>
          <w:rFonts w:hint="eastAsia" w:ascii="仿宋" w:hAnsi="仿宋" w:eastAsia="仿宋" w:cs="仿宋"/>
          <w:b/>
          <w:bCs/>
          <w:color w:val="auto"/>
          <w:sz w:val="44"/>
          <w:szCs w:val="44"/>
          <w:highlight w:val="none"/>
          <w:u w:val="none" w:color="auto"/>
        </w:rPr>
        <w:t>环境</w:t>
      </w:r>
    </w:p>
    <w:p w14:paraId="521625C9">
      <w:pPr>
        <w:keepNext w:val="0"/>
        <w:keepLines w:val="0"/>
        <w:pageBreakBefore w:val="0"/>
        <w:widowControl w:val="0"/>
        <w:suppressLineNumbers w:val="0"/>
        <w:kinsoku w:val="0"/>
        <w:wordWrap w:val="0"/>
        <w:overflowPunct w:val="0"/>
        <w:topLinePunct w:val="0"/>
        <w:autoSpaceDE/>
        <w:autoSpaceDN/>
        <w:bidi w:val="0"/>
        <w:adjustRightInd/>
        <w:snapToGrid/>
        <w:spacing w:before="0" w:beforeAutospacing="0" w:after="313" w:afterLines="100" w:afterAutospacing="0" w:line="240" w:lineRule="auto"/>
        <w:ind w:left="0" w:right="108"/>
        <w:jc w:val="center"/>
        <w:textAlignment w:val="auto"/>
        <w:rPr>
          <w:rFonts w:hint="eastAsia" w:ascii="仿宋" w:hAnsi="仿宋" w:eastAsia="仿宋" w:cs="仿宋"/>
          <w:b/>
          <w:bCs/>
          <w:color w:val="auto"/>
          <w:spacing w:val="-20"/>
          <w:sz w:val="44"/>
          <w:szCs w:val="44"/>
          <w:highlight w:val="none"/>
          <w:u w:val="none" w:color="auto"/>
          <w:lang w:val="en-US"/>
        </w:rPr>
      </w:pPr>
      <w:r>
        <w:rPr>
          <w:rFonts w:hint="eastAsia" w:ascii="仿宋" w:hAnsi="仿宋" w:eastAsia="仿宋" w:cs="仿宋"/>
          <w:b/>
          <w:bCs/>
          <w:color w:val="auto"/>
          <w:sz w:val="44"/>
          <w:szCs w:val="44"/>
          <w:highlight w:val="none"/>
          <w:u w:val="none" w:color="auto"/>
        </w:rPr>
        <w:t>影响报告书</w:t>
      </w:r>
      <w:r>
        <w:rPr>
          <w:rFonts w:hint="eastAsia" w:ascii="仿宋" w:hAnsi="仿宋" w:eastAsia="仿宋" w:cs="仿宋"/>
          <w:b/>
          <w:bCs/>
          <w:color w:val="auto"/>
          <w:spacing w:val="-20"/>
          <w:w w:val="98"/>
          <w:kern w:val="0"/>
          <w:sz w:val="44"/>
          <w:szCs w:val="44"/>
          <w:highlight w:val="none"/>
          <w:u w:val="none" w:color="auto"/>
          <w:lang w:val="en-US" w:eastAsia="zh-CN" w:bidi="ar"/>
        </w:rPr>
        <w:t>的批复</w:t>
      </w:r>
    </w:p>
    <w:p w14:paraId="01B0FE24">
      <w:pPr>
        <w:keepNext w:val="0"/>
        <w:keepLines w:val="0"/>
        <w:pageBreakBefore w:val="0"/>
        <w:widowControl/>
        <w:suppressLineNumbers w:val="0"/>
        <w:tabs>
          <w:tab w:val="right" w:leader="dot" w:pos="9736"/>
        </w:tabs>
        <w:kinsoku w:val="0"/>
        <w:wordWrap w:val="0"/>
        <w:overflowPunct w:val="0"/>
        <w:topLinePunct w:val="0"/>
        <w:autoSpaceDE/>
        <w:autoSpaceDN/>
        <w:bidi w:val="0"/>
        <w:adjustRightInd/>
        <w:snapToGrid/>
        <w:spacing w:before="120" w:beforeAutospacing="0" w:after="0" w:afterAutospacing="0" w:line="460" w:lineRule="exact"/>
        <w:ind w:left="0" w:right="0"/>
        <w:jc w:val="left"/>
        <w:textAlignment w:val="auto"/>
        <w:rPr>
          <w:rFonts w:hint="eastAsia" w:ascii="仿宋" w:hAnsi="仿宋" w:eastAsia="仿宋" w:cs="仿宋"/>
          <w:b w:val="0"/>
          <w:bCs w:val="0"/>
          <w:caps/>
          <w:color w:val="auto"/>
          <w:kern w:val="2"/>
          <w:sz w:val="32"/>
          <w:szCs w:val="32"/>
          <w:highlight w:val="none"/>
          <w:u w:val="none" w:color="auto"/>
          <w:lang w:val="en-US" w:eastAsia="zh-CN" w:bidi="ar"/>
        </w:rPr>
      </w:pPr>
      <w:r>
        <w:rPr>
          <w:rFonts w:hint="eastAsia" w:ascii="仿宋" w:hAnsi="仿宋" w:eastAsia="仿宋" w:cs="仿宋"/>
          <w:b w:val="0"/>
          <w:bCs w:val="0"/>
          <w:caps/>
          <w:color w:val="auto"/>
          <w:kern w:val="2"/>
          <w:sz w:val="32"/>
          <w:szCs w:val="32"/>
          <w:highlight w:val="none"/>
          <w:u w:val="none" w:color="auto"/>
          <w:lang w:val="en-US" w:eastAsia="zh-CN" w:bidi="ar"/>
        </w:rPr>
        <w:t>湖南湘商智能科技有限公司：</w:t>
      </w:r>
    </w:p>
    <w:p w14:paraId="136D8C79">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both"/>
        <w:textAlignment w:val="auto"/>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sz w:val="32"/>
          <w:szCs w:val="32"/>
          <w:highlight w:val="none"/>
          <w:u w:val="none" w:color="auto"/>
          <w:lang w:eastAsia="zh-CN"/>
        </w:rPr>
        <w:t>你公司《新能源储能集装箱数字化生产线项目</w:t>
      </w:r>
      <w:r>
        <w:rPr>
          <w:rFonts w:hint="eastAsia" w:ascii="仿宋" w:hAnsi="仿宋" w:eastAsia="仿宋" w:cs="仿宋"/>
          <w:b w:val="0"/>
          <w:bCs w:val="0"/>
          <w:color w:val="auto"/>
          <w:sz w:val="32"/>
          <w:szCs w:val="32"/>
          <w:highlight w:val="none"/>
          <w:u w:val="none" w:color="auto"/>
        </w:rPr>
        <w:t>环境影响报告书</w:t>
      </w:r>
      <w:r>
        <w:rPr>
          <w:rFonts w:hint="eastAsia" w:ascii="仿宋" w:hAnsi="仿宋" w:eastAsia="仿宋" w:cs="仿宋"/>
          <w:b w:val="0"/>
          <w:bCs w:val="0"/>
          <w:color w:val="auto"/>
          <w:sz w:val="32"/>
          <w:szCs w:val="32"/>
          <w:highlight w:val="none"/>
          <w:u w:val="none" w:color="auto"/>
          <w:lang w:eastAsia="zh-CN"/>
        </w:rPr>
        <w:t>报批申请书》、岳阳市生态环境事务中心《新能源储能集装箱数字化生产线项目</w:t>
      </w:r>
      <w:r>
        <w:rPr>
          <w:rFonts w:hint="eastAsia" w:ascii="仿宋" w:hAnsi="仿宋" w:eastAsia="仿宋" w:cs="仿宋"/>
          <w:b w:val="0"/>
          <w:bCs w:val="0"/>
          <w:color w:val="auto"/>
          <w:sz w:val="32"/>
          <w:szCs w:val="32"/>
          <w:highlight w:val="none"/>
          <w:u w:val="none" w:color="auto"/>
        </w:rPr>
        <w:t>环境影响报告书技术评估报告</w:t>
      </w:r>
      <w:r>
        <w:rPr>
          <w:rFonts w:hint="eastAsia" w:ascii="仿宋" w:hAnsi="仿宋" w:eastAsia="仿宋" w:cs="仿宋"/>
          <w:b w:val="0"/>
          <w:bCs w:val="0"/>
          <w:color w:val="auto"/>
          <w:sz w:val="32"/>
          <w:szCs w:val="32"/>
          <w:highlight w:val="none"/>
          <w:u w:val="none" w:color="auto"/>
          <w:lang w:eastAsia="zh-CN"/>
        </w:rPr>
        <w:t>》（岳环事评估〔</w:t>
      </w:r>
      <w:r>
        <w:rPr>
          <w:rFonts w:hint="eastAsia" w:ascii="仿宋" w:hAnsi="仿宋" w:eastAsia="仿宋" w:cs="仿宋"/>
          <w:b w:val="0"/>
          <w:bCs w:val="0"/>
          <w:color w:val="auto"/>
          <w:sz w:val="32"/>
          <w:szCs w:val="32"/>
          <w:highlight w:val="none"/>
          <w:u w:val="none" w:color="auto"/>
          <w:lang w:val="en-US"/>
        </w:rPr>
        <w:t>202</w:t>
      </w:r>
      <w:r>
        <w:rPr>
          <w:rFonts w:hint="eastAsia" w:ascii="仿宋" w:hAnsi="仿宋" w:eastAsia="仿宋" w:cs="仿宋"/>
          <w:b w:val="0"/>
          <w:bCs w:val="0"/>
          <w:color w:val="auto"/>
          <w:sz w:val="32"/>
          <w:szCs w:val="32"/>
          <w:highlight w:val="none"/>
          <w:u w:val="none" w:color="auto"/>
          <w:lang w:val="en-US" w:eastAsia="zh-CN"/>
        </w:rPr>
        <w:t>4</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26</w:t>
      </w:r>
      <w:r>
        <w:rPr>
          <w:rFonts w:hint="eastAsia" w:ascii="仿宋" w:hAnsi="仿宋" w:eastAsia="仿宋" w:cs="仿宋"/>
          <w:b w:val="0"/>
          <w:bCs w:val="0"/>
          <w:color w:val="auto"/>
          <w:sz w:val="32"/>
          <w:szCs w:val="32"/>
          <w:highlight w:val="none"/>
          <w:u w:val="none" w:color="auto"/>
          <w:lang w:eastAsia="zh-CN"/>
        </w:rPr>
        <w:t>号）、岳阳市生态环境局</w:t>
      </w:r>
      <w:r>
        <w:rPr>
          <w:rFonts w:hint="eastAsia" w:ascii="仿宋" w:hAnsi="仿宋" w:eastAsia="仿宋" w:cs="仿宋"/>
          <w:b w:val="0"/>
          <w:bCs w:val="0"/>
          <w:color w:val="auto"/>
          <w:sz w:val="32"/>
          <w:szCs w:val="32"/>
          <w:highlight w:val="none"/>
          <w:u w:val="none" w:color="auto"/>
          <w:lang w:val="en-US" w:eastAsia="zh-CN"/>
        </w:rPr>
        <w:t>岳阳县</w:t>
      </w:r>
      <w:r>
        <w:rPr>
          <w:rFonts w:hint="eastAsia" w:ascii="仿宋" w:hAnsi="仿宋" w:eastAsia="仿宋" w:cs="仿宋"/>
          <w:b w:val="0"/>
          <w:bCs w:val="0"/>
          <w:color w:val="auto"/>
          <w:sz w:val="32"/>
          <w:szCs w:val="32"/>
          <w:highlight w:val="none"/>
          <w:u w:val="none" w:color="auto"/>
          <w:lang w:eastAsia="zh-CN"/>
        </w:rPr>
        <w:t>分局预审意见及有关附件收悉。经研究，批复如下：</w:t>
      </w:r>
    </w:p>
    <w:p w14:paraId="19D62F32">
      <w:pPr>
        <w:keepNext w:val="0"/>
        <w:keepLines w:val="0"/>
        <w:pageBreakBefore w:val="0"/>
        <w:autoSpaceDE/>
        <w:autoSpaceDN/>
        <w:bidi w:val="0"/>
        <w:spacing w:line="460" w:lineRule="exact"/>
        <w:ind w:firstLine="640" w:firstLineChars="200"/>
        <w:textAlignment w:val="auto"/>
        <w:rPr>
          <w:rFonts w:hint="eastAsia" w:ascii="仿宋" w:hAnsi="仿宋" w:eastAsia="仿宋" w:cs="仿宋"/>
          <w:b w:val="0"/>
          <w:bCs w:val="0"/>
          <w:color w:val="auto"/>
          <w:sz w:val="32"/>
          <w:szCs w:val="32"/>
          <w:highlight w:val="none"/>
          <w:u w:val="none" w:color="auto"/>
          <w:lang w:eastAsia="zh-CN"/>
        </w:rPr>
        <w:sectPr>
          <w:pgSz w:w="11906" w:h="16838"/>
          <w:pgMar w:top="1304" w:right="1474" w:bottom="1247" w:left="1531" w:header="851" w:footer="992" w:gutter="0"/>
          <w:pgNumType w:start="2"/>
          <w:cols w:space="425" w:num="1"/>
          <w:docGrid w:type="lines" w:linePitch="312" w:charSpace="0"/>
        </w:sectPr>
      </w:pPr>
      <w:r>
        <w:rPr>
          <w:rFonts w:hint="eastAsia" w:ascii="仿宋" w:hAnsi="仿宋" w:eastAsia="仿宋" w:cs="仿宋"/>
          <w:b w:val="0"/>
          <w:bCs w:val="0"/>
          <w:color w:val="auto"/>
          <w:sz w:val="32"/>
          <w:szCs w:val="32"/>
          <w:highlight w:val="none"/>
          <w:u w:val="none" w:color="auto"/>
          <w:lang w:val="en-US" w:eastAsia="zh-CN"/>
        </w:rPr>
        <w:t>一、湖南湘商智能科技有限公司位于岳阳县荣家湾镇岳阳高新技术产业园区工业大道9号，由于市场需求及公司发展规划需要，拟投资5000万元（其中环保投资347万元）在原有生产厂房内建设年产1000台套储能集装箱。本次改扩建主要工程内容：拆除位于1#厂房东侧的现有喷漆房和排气筒，调整厂房平面布局，在1#厂房西侧新建一个喷漆房、烘干房、喷砂房和排气筒；3号厂房北侧增加几台机加工设备以达到年产1000台套储能集装箱的产能要求；新建淋雨试验废水隔油沉淀池、改造</w:t>
      </w:r>
      <w:r>
        <w:rPr>
          <w:rFonts w:hint="eastAsia" w:ascii="仿宋" w:hAnsi="仿宋" w:eastAsia="仿宋" w:cs="仿宋"/>
          <w:b w:val="0"/>
          <w:bCs w:val="0"/>
          <w:color w:val="auto"/>
          <w:sz w:val="32"/>
          <w:szCs w:val="32"/>
          <w:highlight w:val="none"/>
          <w:u w:val="none" w:color="auto"/>
        </w:rPr>
        <w:t>危险</w:t>
      </w:r>
      <w:r>
        <w:rPr>
          <w:rFonts w:hint="eastAsia" w:ascii="仿宋" w:hAnsi="仿宋" w:eastAsia="仿宋" w:cs="仿宋"/>
          <w:b w:val="0"/>
          <w:bCs w:val="0"/>
          <w:color w:val="auto"/>
          <w:sz w:val="32"/>
          <w:szCs w:val="32"/>
          <w:highlight w:val="none"/>
          <w:u w:val="none" w:color="auto"/>
          <w:lang w:val="en-US" w:eastAsia="zh-CN"/>
        </w:rPr>
        <w:t>废物暂存间；其余供电、供水、供气等辅助工程、公共工程等均依托园区或企业现有设施。</w:t>
      </w:r>
      <w:r>
        <w:rPr>
          <w:rFonts w:hint="eastAsia" w:ascii="仿宋" w:hAnsi="仿宋" w:eastAsia="仿宋" w:cs="仿宋"/>
          <w:b w:val="0"/>
          <w:bCs w:val="0"/>
          <w:color w:val="auto"/>
          <w:kern w:val="2"/>
          <w:sz w:val="32"/>
          <w:szCs w:val="32"/>
          <w:highlight w:val="none"/>
          <w:u w:val="none" w:color="auto"/>
          <w:lang w:val="en-US" w:eastAsia="zh-CN" w:bidi="ar"/>
        </w:rPr>
        <w:t>主要原辅料及生产工艺：</w:t>
      </w:r>
      <w:r>
        <w:rPr>
          <w:rFonts w:hint="eastAsia" w:ascii="仿宋" w:hAnsi="仿宋" w:eastAsia="仿宋" w:cs="仿宋"/>
          <w:b w:val="0"/>
          <w:bCs w:val="0"/>
          <w:color w:val="auto"/>
          <w:sz w:val="32"/>
          <w:szCs w:val="32"/>
          <w:highlight w:val="none"/>
          <w:u w:val="none" w:color="auto"/>
          <w:lang w:val="en-US" w:eastAsia="zh-CN"/>
        </w:rPr>
        <w:t>以</w:t>
      </w:r>
      <w:r>
        <w:rPr>
          <w:rFonts w:hint="eastAsia" w:ascii="仿宋" w:hAnsi="仿宋" w:eastAsia="仿宋" w:cs="仿宋"/>
          <w:b w:val="0"/>
          <w:bCs w:val="0"/>
          <w:color w:val="auto"/>
          <w:sz w:val="32"/>
          <w:szCs w:val="32"/>
          <w:highlight w:val="none"/>
          <w:u w:val="none" w:color="auto"/>
        </w:rPr>
        <w:t>型材</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sz w:val="32"/>
          <w:szCs w:val="32"/>
          <w:highlight w:val="none"/>
          <w:u w:val="none" w:color="auto"/>
        </w:rPr>
        <w:t>板材、线材</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kern w:val="2"/>
          <w:sz w:val="32"/>
          <w:szCs w:val="32"/>
          <w:highlight w:val="none"/>
          <w:u w:val="none" w:color="auto"/>
          <w:lang w:val="en-US" w:eastAsia="zh-CN" w:bidi="ar-SA"/>
        </w:rPr>
        <w:t>ISO角件、集装箱锁件、岩棉</w:t>
      </w:r>
      <w:r>
        <w:rPr>
          <w:rFonts w:hint="eastAsia" w:ascii="仿宋" w:hAnsi="仿宋" w:eastAsia="仿宋" w:cs="仿宋"/>
          <w:b w:val="0"/>
          <w:bCs w:val="0"/>
          <w:color w:val="auto"/>
          <w:sz w:val="32"/>
          <w:szCs w:val="32"/>
          <w:highlight w:val="none"/>
          <w:u w:val="none" w:color="auto"/>
          <w:lang w:val="en-US" w:eastAsia="zh-CN"/>
        </w:rPr>
        <w:t>等为原材料，经钢材下料、成型、焊接、总装、总焊、打磨、抛丸、喷漆、组装、水密试验等工序生产20尺储能箱800台/a、SVG箱100台/a、一体机舱体100台/a）</w:t>
      </w:r>
      <w:r>
        <w:rPr>
          <w:rFonts w:hint="eastAsia" w:ascii="仿宋" w:hAnsi="仿宋" w:eastAsia="仿宋" w:cs="仿宋"/>
          <w:b w:val="0"/>
          <w:bCs w:val="0"/>
          <w:color w:val="auto"/>
          <w:kern w:val="2"/>
          <w:sz w:val="32"/>
          <w:szCs w:val="32"/>
          <w:highlight w:val="none"/>
          <w:u w:val="none" w:color="auto"/>
          <w:lang w:val="en-US" w:eastAsia="zh-CN" w:bidi="ar"/>
        </w:rPr>
        <w:t>根据</w:t>
      </w:r>
      <w:r>
        <w:rPr>
          <w:rFonts w:hint="eastAsia" w:ascii="仿宋" w:hAnsi="仿宋" w:eastAsia="仿宋" w:cs="仿宋"/>
          <w:b w:val="0"/>
          <w:bCs w:val="0"/>
          <w:color w:val="auto"/>
          <w:sz w:val="32"/>
          <w:szCs w:val="32"/>
          <w:highlight w:val="none"/>
          <w:u w:val="none" w:color="auto"/>
        </w:rPr>
        <w:t>湖南京帝环保科技研究院有限公司</w:t>
      </w:r>
      <w:r>
        <w:rPr>
          <w:rFonts w:hint="eastAsia" w:ascii="仿宋" w:hAnsi="仿宋" w:eastAsia="仿宋" w:cs="仿宋"/>
          <w:b w:val="0"/>
          <w:bCs w:val="0"/>
          <w:color w:val="auto"/>
          <w:kern w:val="2"/>
          <w:sz w:val="32"/>
          <w:szCs w:val="32"/>
          <w:highlight w:val="none"/>
          <w:u w:val="none" w:color="auto"/>
          <w:lang w:val="en-US" w:eastAsia="zh-CN" w:bidi="ar"/>
        </w:rPr>
        <w:t>编制的《</w:t>
      </w:r>
      <w:r>
        <w:rPr>
          <w:rFonts w:hint="eastAsia" w:ascii="仿宋" w:hAnsi="仿宋" w:eastAsia="仿宋" w:cs="仿宋"/>
          <w:b w:val="0"/>
          <w:bCs w:val="0"/>
          <w:color w:val="auto"/>
          <w:sz w:val="32"/>
          <w:szCs w:val="32"/>
          <w:highlight w:val="none"/>
          <w:u w:val="none" w:color="auto"/>
          <w:lang w:eastAsia="zh-CN"/>
        </w:rPr>
        <w:t>新能源储</w:t>
      </w:r>
    </w:p>
    <w:p w14:paraId="501FDBF6">
      <w:pPr>
        <w:keepNext w:val="0"/>
        <w:keepLines w:val="0"/>
        <w:pageBreakBefore w:val="0"/>
        <w:autoSpaceDE/>
        <w:autoSpaceDN/>
        <w:bidi w:val="0"/>
        <w:spacing w:line="460" w:lineRule="exact"/>
        <w:ind w:firstLine="640" w:firstLineChars="200"/>
        <w:textAlignment w:val="auto"/>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sz w:val="32"/>
          <w:szCs w:val="32"/>
          <w:highlight w:val="none"/>
          <w:u w:val="none" w:color="auto"/>
          <w:lang w:eastAsia="zh-CN"/>
        </w:rPr>
        <w:t>能集装箱数字化生产线项目</w:t>
      </w:r>
      <w:r>
        <w:rPr>
          <w:rFonts w:hint="eastAsia" w:ascii="仿宋" w:hAnsi="仿宋" w:eastAsia="仿宋" w:cs="仿宋"/>
          <w:b w:val="0"/>
          <w:bCs w:val="0"/>
          <w:color w:val="auto"/>
          <w:sz w:val="32"/>
          <w:szCs w:val="32"/>
          <w:highlight w:val="none"/>
          <w:u w:val="none" w:color="auto"/>
        </w:rPr>
        <w:t>环境影响报告书</w:t>
      </w:r>
      <w:r>
        <w:rPr>
          <w:rFonts w:hint="eastAsia" w:ascii="仿宋" w:hAnsi="仿宋" w:eastAsia="仿宋" w:cs="仿宋"/>
          <w:b w:val="0"/>
          <w:bCs w:val="0"/>
          <w:color w:val="auto"/>
          <w:kern w:val="2"/>
          <w:sz w:val="32"/>
          <w:szCs w:val="32"/>
          <w:highlight w:val="none"/>
          <w:u w:val="none" w:color="auto"/>
          <w:lang w:val="en-US" w:eastAsia="zh-CN" w:bidi="ar"/>
        </w:rPr>
        <w:t>》（报批稿）基本内容、结论和专家评审意见及岳阳市生态环境局岳阳县分局预审意见，从环境保护角度考虑，我局原则同意你公司环境影响报告书中所列建设项目的环境影响评价结论和环境保护对策措施。</w:t>
      </w:r>
    </w:p>
    <w:p w14:paraId="035CB9BB">
      <w:pPr>
        <w:keepNext w:val="0"/>
        <w:keepLines w:val="0"/>
        <w:pageBreakBefore w:val="0"/>
        <w:widowControl w:val="0"/>
        <w:numPr>
          <w:ilvl w:val="0"/>
          <w:numId w:val="1"/>
        </w:numPr>
        <w:suppressLineNumbers w:val="0"/>
        <w:kinsoku/>
        <w:wordWrap w:val="0"/>
        <w:overflowPunct/>
        <w:topLinePunct/>
        <w:autoSpaceDE/>
        <w:autoSpaceDN/>
        <w:bidi w:val="0"/>
        <w:adjustRightInd w:val="0"/>
        <w:snapToGrid w:val="0"/>
        <w:spacing w:before="0" w:beforeAutospacing="0" w:after="0" w:afterAutospacing="0" w:line="460" w:lineRule="exact"/>
        <w:ind w:left="0" w:right="0" w:firstLine="640" w:firstLineChars="200"/>
        <w:jc w:val="both"/>
        <w:textAlignment w:val="auto"/>
        <w:rPr>
          <w:rFonts w:hint="eastAsia" w:ascii="仿宋" w:hAnsi="仿宋" w:eastAsia="仿宋" w:cs="仿宋"/>
          <w:b w:val="0"/>
          <w:bCs w:val="0"/>
          <w:color w:val="auto"/>
          <w:sz w:val="32"/>
          <w:szCs w:val="32"/>
          <w:highlight w:val="none"/>
          <w:u w:val="none" w:color="auto"/>
          <w:lang w:val="en-US" w:eastAsia="zh-CN"/>
        </w:rPr>
      </w:pPr>
      <w:r>
        <w:rPr>
          <w:rFonts w:hint="eastAsia" w:ascii="仿宋" w:hAnsi="仿宋" w:eastAsia="仿宋" w:cs="仿宋"/>
          <w:b w:val="0"/>
          <w:bCs w:val="0"/>
          <w:color w:val="auto"/>
          <w:kern w:val="2"/>
          <w:sz w:val="32"/>
          <w:szCs w:val="32"/>
          <w:highlight w:val="none"/>
          <w:u w:val="none" w:color="auto"/>
          <w:lang w:val="en-US" w:eastAsia="zh-CN" w:bidi="ar"/>
        </w:rPr>
        <w:t>认真落实专家及环境影响报告书中提出的各项污染防治措施，并应着重注意以下问题：</w:t>
      </w:r>
    </w:p>
    <w:p w14:paraId="58D7D89D">
      <w:pPr>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left"/>
        <w:textAlignment w:val="auto"/>
        <w:rPr>
          <w:rFonts w:hint="default" w:ascii="仿宋" w:hAnsi="仿宋" w:eastAsia="仿宋" w:cs="仿宋"/>
          <w:b w:val="0"/>
          <w:bCs w:val="0"/>
          <w:color w:val="auto"/>
          <w:sz w:val="32"/>
          <w:szCs w:val="32"/>
          <w:highlight w:val="none"/>
          <w:u w:val="none" w:color="auto"/>
          <w:lang w:val="en-US" w:eastAsia="zh-CN"/>
        </w:rPr>
      </w:pPr>
      <w:r>
        <w:rPr>
          <w:rFonts w:hint="eastAsia" w:ascii="仿宋" w:hAnsi="仿宋" w:eastAsia="仿宋" w:cs="仿宋"/>
          <w:b w:val="0"/>
          <w:bCs w:val="0"/>
          <w:color w:val="auto"/>
          <w:sz w:val="32"/>
          <w:szCs w:val="32"/>
          <w:highlight w:val="none"/>
          <w:u w:val="none" w:color="auto"/>
          <w:lang w:val="en-US" w:eastAsia="zh-CN"/>
        </w:rPr>
        <w:t xml:space="preserve"> 1、做好施工期的扬尘控制措施；</w:t>
      </w:r>
      <w:r>
        <w:rPr>
          <w:rFonts w:hint="eastAsia" w:ascii="仿宋" w:hAnsi="仿宋" w:eastAsia="仿宋" w:cs="仿宋"/>
          <w:b w:val="0"/>
          <w:bCs w:val="0"/>
          <w:color w:val="auto"/>
          <w:sz w:val="32"/>
          <w:szCs w:val="32"/>
          <w:highlight w:val="none"/>
          <w:u w:val="none" w:color="auto"/>
        </w:rPr>
        <w:t>选取噪声低、振动小、能耗小的先进设备</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加强设备保养等措施确保施工场界噪声满足</w:t>
      </w:r>
      <w:r>
        <w:rPr>
          <w:rFonts w:hint="eastAsia" w:ascii="仿宋" w:hAnsi="仿宋" w:eastAsia="仿宋" w:cs="仿宋"/>
          <w:b w:val="0"/>
          <w:bCs w:val="0"/>
          <w:color w:val="auto"/>
          <w:sz w:val="32"/>
          <w:szCs w:val="32"/>
          <w:highlight w:val="none"/>
          <w:u w:val="none" w:color="auto"/>
        </w:rPr>
        <w:t>《建筑施工场界环境噪声排放标准》（GB12523-2011）</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生活污水</w:t>
      </w:r>
      <w:r>
        <w:rPr>
          <w:rFonts w:hint="eastAsia" w:ascii="仿宋" w:hAnsi="仿宋" w:eastAsia="仿宋" w:cs="仿宋"/>
          <w:color w:val="auto"/>
          <w:kern w:val="2"/>
          <w:sz w:val="32"/>
          <w:szCs w:val="32"/>
          <w:highlight w:val="none"/>
          <w:lang w:val="en-US" w:eastAsia="zh-CN" w:bidi="ar"/>
        </w:rPr>
        <w:t>排入市政污水管网</w:t>
      </w:r>
      <w:r>
        <w:rPr>
          <w:rFonts w:hint="eastAsia" w:ascii="仿宋" w:hAnsi="仿宋" w:eastAsia="仿宋" w:cs="仿宋"/>
          <w:b w:val="0"/>
          <w:bCs w:val="0"/>
          <w:color w:val="auto"/>
          <w:sz w:val="32"/>
          <w:szCs w:val="32"/>
          <w:highlight w:val="none"/>
          <w:u w:val="none" w:color="auto"/>
          <w:lang w:val="en-US" w:eastAsia="zh-CN"/>
        </w:rPr>
        <w:t>；建筑垃圾及生活垃圾妥善处理。</w:t>
      </w:r>
    </w:p>
    <w:p w14:paraId="4B71AD56">
      <w:pPr>
        <w:keepNext w:val="0"/>
        <w:keepLines w:val="0"/>
        <w:pageBreakBefore w:val="0"/>
        <w:numPr>
          <w:ilvl w:val="0"/>
          <w:numId w:val="0"/>
        </w:numPr>
        <w:tabs>
          <w:tab w:val="left" w:pos="0"/>
        </w:tabs>
        <w:autoSpaceDE/>
        <w:autoSpaceDN/>
        <w:bidi w:val="0"/>
        <w:adjustRightInd w:val="0"/>
        <w:snapToGrid w:val="0"/>
        <w:spacing w:before="0" w:after="0" w:line="460" w:lineRule="exact"/>
        <w:ind w:firstLine="640" w:firstLineChars="200"/>
        <w:textAlignment w:val="auto"/>
        <w:rPr>
          <w:rFonts w:hint="eastAsia" w:ascii="仿宋" w:hAnsi="仿宋" w:eastAsia="仿宋" w:cs="仿宋"/>
          <w:b w:val="0"/>
          <w:bCs w:val="0"/>
          <w:color w:val="auto"/>
          <w:sz w:val="32"/>
          <w:szCs w:val="32"/>
          <w:highlight w:val="none"/>
          <w:u w:val="none" w:color="auto"/>
          <w:lang w:val="en-US" w:eastAsia="zh-CN"/>
        </w:rPr>
      </w:pPr>
      <w:r>
        <w:rPr>
          <w:rFonts w:hint="eastAsia" w:ascii="仿宋" w:hAnsi="仿宋" w:eastAsia="仿宋" w:cs="仿宋"/>
          <w:b w:val="0"/>
          <w:bCs w:val="0"/>
          <w:color w:val="auto"/>
          <w:kern w:val="2"/>
          <w:sz w:val="32"/>
          <w:szCs w:val="32"/>
          <w:highlight w:val="none"/>
          <w:u w:val="none" w:color="auto"/>
          <w:lang w:val="en-US" w:eastAsia="zh-CN" w:bidi="ar"/>
        </w:rPr>
        <w:t>2、加强营运期大气污染防治。</w:t>
      </w:r>
      <w:r>
        <w:rPr>
          <w:rFonts w:hint="eastAsia" w:ascii="仿宋" w:hAnsi="仿宋" w:eastAsia="仿宋" w:cs="仿宋"/>
          <w:b w:val="0"/>
          <w:bCs w:val="0"/>
          <w:color w:val="auto"/>
          <w:sz w:val="32"/>
          <w:szCs w:val="32"/>
          <w:highlight w:val="none"/>
          <w:u w:val="none" w:color="auto"/>
          <w:lang w:val="en-US" w:eastAsia="zh-CN"/>
        </w:rPr>
        <w:t>3#车间切割、焊接工序产生的颗粒物经收集处理后，通过18m排气筒（DA009）达标排放，</w:t>
      </w:r>
      <w:r>
        <w:rPr>
          <w:rFonts w:hint="eastAsia" w:ascii="仿宋" w:hAnsi="仿宋" w:eastAsia="仿宋" w:cs="仿宋"/>
          <w:b w:val="0"/>
          <w:bCs w:val="0"/>
          <w:color w:val="auto"/>
          <w:sz w:val="32"/>
          <w:szCs w:val="32"/>
          <w:highlight w:val="none"/>
          <w:u w:val="none" w:color="auto"/>
        </w:rPr>
        <w:t>打磨粉尘</w:t>
      </w:r>
      <w:r>
        <w:rPr>
          <w:rFonts w:hint="eastAsia" w:ascii="仿宋" w:hAnsi="仿宋" w:eastAsia="仿宋" w:cs="仿宋"/>
          <w:b w:val="0"/>
          <w:bCs w:val="0"/>
          <w:color w:val="auto"/>
          <w:sz w:val="32"/>
          <w:szCs w:val="32"/>
          <w:highlight w:val="none"/>
          <w:u w:val="none" w:color="auto"/>
          <w:lang w:val="en-US" w:eastAsia="zh-CN"/>
        </w:rPr>
        <w:t>呈无组织排放；1#车间</w:t>
      </w:r>
      <w:r>
        <w:rPr>
          <w:rFonts w:hint="eastAsia" w:ascii="仿宋" w:hAnsi="仿宋" w:eastAsia="仿宋" w:cs="仿宋"/>
          <w:b w:val="0"/>
          <w:bCs w:val="0"/>
          <w:color w:val="auto"/>
          <w:kern w:val="0"/>
          <w:sz w:val="32"/>
          <w:szCs w:val="32"/>
          <w:highlight w:val="none"/>
          <w:u w:val="none" w:color="auto"/>
          <w:lang w:val="en-US" w:eastAsia="zh-CN"/>
        </w:rPr>
        <w:t>喷砂产生的颗粒物经</w:t>
      </w:r>
      <w:r>
        <w:rPr>
          <w:rFonts w:hint="eastAsia" w:ascii="仿宋" w:hAnsi="仿宋" w:eastAsia="仿宋" w:cs="仿宋"/>
          <w:b w:val="0"/>
          <w:bCs w:val="0"/>
          <w:color w:val="auto"/>
          <w:sz w:val="32"/>
          <w:szCs w:val="32"/>
          <w:highlight w:val="none"/>
          <w:u w:val="none" w:color="auto"/>
          <w:lang w:val="en-US" w:eastAsia="zh-CN"/>
        </w:rPr>
        <w:t>收集处理后，通过18m排气筒（DA0010）达标排放，喷漆</w:t>
      </w:r>
      <w:r>
        <w:rPr>
          <w:rFonts w:hint="eastAsia" w:ascii="仿宋" w:hAnsi="仿宋" w:eastAsia="仿宋" w:cs="仿宋"/>
          <w:b w:val="0"/>
          <w:bCs w:val="0"/>
          <w:color w:val="auto"/>
          <w:sz w:val="32"/>
          <w:szCs w:val="32"/>
          <w:highlight w:val="none"/>
          <w:u w:val="none" w:color="auto"/>
        </w:rPr>
        <w:t>工序中产生</w:t>
      </w:r>
      <w:r>
        <w:rPr>
          <w:rFonts w:hint="eastAsia" w:ascii="仿宋" w:hAnsi="仿宋" w:eastAsia="仿宋" w:cs="仿宋"/>
          <w:b w:val="0"/>
          <w:bCs w:val="0"/>
          <w:color w:val="auto"/>
          <w:sz w:val="32"/>
          <w:szCs w:val="32"/>
          <w:highlight w:val="none"/>
          <w:u w:val="none" w:color="auto"/>
          <w:lang w:eastAsia="zh-CN"/>
        </w:rPr>
        <w:t>VOC</w:t>
      </w:r>
      <w:r>
        <w:rPr>
          <w:rFonts w:hint="eastAsia" w:ascii="仿宋" w:hAnsi="仿宋" w:eastAsia="仿宋" w:cs="仿宋"/>
          <w:b w:val="0"/>
          <w:bCs w:val="0"/>
          <w:color w:val="auto"/>
          <w:sz w:val="32"/>
          <w:szCs w:val="32"/>
          <w:highlight w:val="none"/>
          <w:u w:val="none" w:color="auto"/>
          <w:vertAlign w:val="subscript"/>
          <w:lang w:eastAsia="zh-CN"/>
        </w:rPr>
        <w:t>S</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非甲烷总烃</w:t>
      </w:r>
      <w:r>
        <w:rPr>
          <w:rFonts w:hint="eastAsia" w:ascii="仿宋" w:hAnsi="仿宋" w:eastAsia="仿宋" w:cs="仿宋"/>
          <w:b w:val="0"/>
          <w:bCs w:val="0"/>
          <w:color w:val="auto"/>
          <w:kern w:val="2"/>
          <w:sz w:val="32"/>
          <w:szCs w:val="32"/>
          <w:highlight w:val="none"/>
          <w:u w:val="none" w:color="auto"/>
          <w:vertAlign w:val="baseline"/>
          <w:lang w:eastAsia="zh-CN"/>
        </w:rPr>
        <w:t>、</w:t>
      </w:r>
      <w:r>
        <w:rPr>
          <w:rFonts w:hint="eastAsia" w:ascii="仿宋" w:hAnsi="仿宋" w:eastAsia="仿宋" w:cs="仿宋"/>
          <w:b w:val="0"/>
          <w:bCs w:val="0"/>
          <w:color w:val="auto"/>
          <w:kern w:val="2"/>
          <w:sz w:val="32"/>
          <w:szCs w:val="32"/>
          <w:highlight w:val="none"/>
          <w:u w:val="none" w:color="auto"/>
          <w:vertAlign w:val="baseline"/>
          <w:lang w:val="en-US" w:eastAsia="zh-CN"/>
        </w:rPr>
        <w:t>二甲苯</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漆雾（以颗料物表征）经收集处理后，通过24m</w:t>
      </w:r>
      <w:r>
        <w:rPr>
          <w:rFonts w:hint="eastAsia" w:ascii="仿宋" w:hAnsi="仿宋" w:eastAsia="仿宋" w:cs="仿宋"/>
          <w:b w:val="0"/>
          <w:bCs w:val="0"/>
          <w:color w:val="auto"/>
          <w:sz w:val="32"/>
          <w:szCs w:val="32"/>
          <w:highlight w:val="none"/>
          <w:u w:val="none" w:color="auto"/>
        </w:rPr>
        <w:t>排气筒</w:t>
      </w:r>
      <w:r>
        <w:rPr>
          <w:rFonts w:hint="eastAsia" w:ascii="仿宋" w:hAnsi="仿宋" w:eastAsia="仿宋" w:cs="仿宋"/>
          <w:b w:val="0"/>
          <w:bCs w:val="0"/>
          <w:color w:val="auto"/>
          <w:sz w:val="32"/>
          <w:szCs w:val="32"/>
          <w:highlight w:val="none"/>
          <w:u w:val="none" w:color="auto"/>
          <w:lang w:val="en-US" w:eastAsia="zh-CN"/>
        </w:rPr>
        <w:t>（DA003）</w:t>
      </w:r>
      <w:r>
        <w:rPr>
          <w:rFonts w:hint="eastAsia" w:ascii="仿宋" w:hAnsi="仿宋" w:eastAsia="仿宋" w:cs="仿宋"/>
          <w:b w:val="0"/>
          <w:bCs w:val="0"/>
          <w:color w:val="auto"/>
          <w:sz w:val="32"/>
          <w:szCs w:val="32"/>
          <w:highlight w:val="none"/>
          <w:u w:val="none" w:color="auto"/>
        </w:rPr>
        <w:t>高空排放</w:t>
      </w:r>
      <w:r>
        <w:rPr>
          <w:rFonts w:hint="eastAsia" w:ascii="仿宋" w:hAnsi="仿宋" w:eastAsia="仿宋" w:cs="仿宋"/>
          <w:b w:val="0"/>
          <w:bCs w:val="0"/>
          <w:color w:val="auto"/>
          <w:sz w:val="32"/>
          <w:szCs w:val="32"/>
          <w:highlight w:val="none"/>
          <w:u w:val="none" w:color="auto"/>
          <w:lang w:val="en-US" w:eastAsia="zh-CN"/>
        </w:rPr>
        <w:t>；天然气燃烧废气经15m排气筒排放（DA011）</w:t>
      </w:r>
      <w:r>
        <w:rPr>
          <w:rFonts w:hint="eastAsia" w:ascii="仿宋" w:hAnsi="仿宋" w:eastAsia="仿宋" w:cs="仿宋"/>
          <w:b w:val="0"/>
          <w:bCs w:val="0"/>
          <w:color w:val="auto"/>
          <w:sz w:val="32"/>
          <w:szCs w:val="32"/>
          <w:highlight w:val="none"/>
          <w:u w:val="none" w:color="auto"/>
        </w:rPr>
        <w:t>高空排放</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油烟经油烟净化器处理后经专用油烟管道引至屋顶排放</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切割、焊接、</w:t>
      </w:r>
      <w:r>
        <w:rPr>
          <w:rFonts w:hint="eastAsia" w:ascii="仿宋" w:hAnsi="仿宋" w:eastAsia="仿宋" w:cs="仿宋"/>
          <w:b w:val="0"/>
          <w:bCs w:val="0"/>
          <w:color w:val="auto"/>
          <w:kern w:val="0"/>
          <w:sz w:val="32"/>
          <w:szCs w:val="32"/>
          <w:highlight w:val="none"/>
          <w:u w:val="none" w:color="auto"/>
          <w:lang w:val="en-US" w:eastAsia="zh-CN"/>
        </w:rPr>
        <w:t>喷砂</w:t>
      </w:r>
      <w:r>
        <w:rPr>
          <w:rFonts w:hint="eastAsia" w:ascii="仿宋" w:hAnsi="仿宋" w:eastAsia="仿宋" w:cs="仿宋"/>
          <w:b w:val="0"/>
          <w:bCs w:val="0"/>
          <w:color w:val="auto"/>
          <w:sz w:val="32"/>
          <w:szCs w:val="32"/>
          <w:highlight w:val="none"/>
          <w:u w:val="none" w:color="auto"/>
          <w:lang w:val="en-US" w:eastAsia="zh-CN"/>
        </w:rPr>
        <w:t>有组织废气颗粒物执行</w:t>
      </w:r>
      <w:r>
        <w:rPr>
          <w:rFonts w:hint="eastAsia" w:ascii="仿宋" w:hAnsi="仿宋" w:eastAsia="仿宋" w:cs="仿宋"/>
          <w:b w:val="0"/>
          <w:bCs w:val="0"/>
          <w:color w:val="auto"/>
          <w:sz w:val="32"/>
          <w:szCs w:val="32"/>
          <w:highlight w:val="none"/>
          <w:u w:val="none" w:color="auto"/>
        </w:rPr>
        <w:t>《大气污染物综合排放标准》（GB16297-1996）表2二级标准</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喷漆废气产生</w:t>
      </w:r>
      <w:r>
        <w:rPr>
          <w:rFonts w:hint="eastAsia" w:ascii="仿宋" w:hAnsi="仿宋" w:eastAsia="仿宋" w:cs="仿宋"/>
          <w:b w:val="0"/>
          <w:bCs w:val="0"/>
          <w:color w:val="auto"/>
          <w:sz w:val="32"/>
          <w:szCs w:val="32"/>
          <w:highlight w:val="none"/>
          <w:u w:val="none" w:color="auto"/>
          <w:lang w:eastAsia="zh-CN"/>
        </w:rPr>
        <w:t>VOC</w:t>
      </w:r>
      <w:r>
        <w:rPr>
          <w:rFonts w:hint="eastAsia" w:ascii="仿宋" w:hAnsi="仿宋" w:eastAsia="仿宋" w:cs="仿宋"/>
          <w:b w:val="0"/>
          <w:bCs w:val="0"/>
          <w:color w:val="auto"/>
          <w:sz w:val="32"/>
          <w:szCs w:val="32"/>
          <w:highlight w:val="none"/>
          <w:u w:val="none" w:color="auto"/>
          <w:vertAlign w:val="subscript"/>
          <w:lang w:eastAsia="zh-CN"/>
        </w:rPr>
        <w:t>S</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非甲烷总烃、二甲苯</w:t>
      </w:r>
      <w:r>
        <w:rPr>
          <w:rFonts w:hint="eastAsia" w:ascii="仿宋" w:hAnsi="仿宋" w:eastAsia="仿宋" w:cs="仿宋"/>
          <w:b w:val="0"/>
          <w:bCs w:val="0"/>
          <w:color w:val="auto"/>
          <w:sz w:val="32"/>
          <w:szCs w:val="32"/>
          <w:highlight w:val="none"/>
          <w:u w:val="none" w:color="auto"/>
        </w:rPr>
        <w:t>执行湖南省地方标准《表面涂装（汽车制造及维修）挥发性有机物、镍排放标准》（DB43/1356-2017）表1浓度限值，颗粒物执行《大气污染物综合排放标准》（GB16297-1996）表2二级标准</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kern w:val="0"/>
          <w:sz w:val="32"/>
          <w:szCs w:val="32"/>
          <w:highlight w:val="none"/>
          <w:u w:val="none" w:color="auto"/>
          <w:lang w:val="en-US" w:eastAsia="zh-CN" w:bidi="ar"/>
        </w:rPr>
        <w:t>天然气燃烧废气执行《湖南省工业炉窑大气污染综合治理实施方案》（湘环发〔2020〕6号）；</w:t>
      </w:r>
      <w:r>
        <w:rPr>
          <w:rFonts w:hint="eastAsia" w:ascii="仿宋" w:hAnsi="仿宋" w:eastAsia="仿宋" w:cs="仿宋"/>
          <w:b w:val="0"/>
          <w:bCs w:val="0"/>
          <w:color w:val="auto"/>
          <w:kern w:val="0"/>
          <w:sz w:val="32"/>
          <w:szCs w:val="32"/>
          <w:highlight w:val="none"/>
          <w:u w:val="none" w:color="auto"/>
        </w:rPr>
        <w:t>臭气浓度执行《恶臭污染物排放标准》（GB14554-93）表1标准</w:t>
      </w:r>
      <w:r>
        <w:rPr>
          <w:rFonts w:hint="eastAsia" w:ascii="仿宋" w:hAnsi="仿宋" w:eastAsia="仿宋" w:cs="仿宋"/>
          <w:b w:val="0"/>
          <w:bCs w:val="0"/>
          <w:color w:val="auto"/>
          <w:kern w:val="0"/>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食堂油烟执行《饮食业油烟排放标准（试行）》（GB18483-2001）</w:t>
      </w:r>
      <w:r>
        <w:rPr>
          <w:rFonts w:hint="eastAsia" w:ascii="仿宋" w:hAnsi="仿宋" w:eastAsia="仿宋" w:cs="仿宋"/>
          <w:b w:val="0"/>
          <w:bCs w:val="0"/>
          <w:color w:val="auto"/>
          <w:sz w:val="32"/>
          <w:szCs w:val="32"/>
          <w:highlight w:val="none"/>
          <w:u w:val="none" w:color="auto"/>
          <w:lang w:eastAsia="zh-CN"/>
        </w:rPr>
        <w:t>。</w:t>
      </w:r>
    </w:p>
    <w:p w14:paraId="03690AB6">
      <w:pPr>
        <w:keepNext w:val="0"/>
        <w:keepLines w:val="0"/>
        <w:pageBreakBefore w:val="0"/>
        <w:autoSpaceDE/>
        <w:autoSpaceDN/>
        <w:bidi w:val="0"/>
        <w:spacing w:line="460" w:lineRule="exact"/>
        <w:ind w:firstLine="640" w:firstLineChars="200"/>
        <w:textAlignment w:val="auto"/>
        <w:rPr>
          <w:rFonts w:hint="eastAsia" w:ascii="仿宋" w:hAnsi="仿宋" w:eastAsia="仿宋" w:cs="仿宋"/>
          <w:b w:val="0"/>
          <w:bCs w:val="0"/>
          <w:color w:val="auto"/>
          <w:sz w:val="32"/>
          <w:szCs w:val="32"/>
          <w:highlight w:val="none"/>
          <w:u w:val="none" w:color="auto"/>
          <w:lang w:eastAsia="zh-CN"/>
        </w:rPr>
      </w:pPr>
      <w:r>
        <w:rPr>
          <w:rFonts w:hint="eastAsia" w:ascii="仿宋" w:hAnsi="仿宋" w:eastAsia="仿宋" w:cs="仿宋"/>
          <w:b w:val="0"/>
          <w:bCs w:val="0"/>
          <w:color w:val="auto"/>
          <w:sz w:val="32"/>
          <w:szCs w:val="32"/>
          <w:highlight w:val="none"/>
          <w:u w:val="none" w:color="auto"/>
          <w:lang w:eastAsia="zh-CN"/>
        </w:rPr>
        <w:t>加强无组织废气污染防治。</w:t>
      </w:r>
      <w:r>
        <w:rPr>
          <w:rFonts w:hint="eastAsia" w:ascii="仿宋" w:hAnsi="仿宋" w:eastAsia="仿宋" w:cs="仿宋"/>
          <w:b w:val="0"/>
          <w:bCs w:val="0"/>
          <w:color w:val="auto"/>
          <w:sz w:val="32"/>
          <w:szCs w:val="32"/>
          <w:highlight w:val="none"/>
          <w:u w:val="none" w:color="auto"/>
          <w:lang w:val="en-US" w:eastAsia="zh-CN"/>
        </w:rPr>
        <w:t>通过</w:t>
      </w:r>
      <w:r>
        <w:rPr>
          <w:rFonts w:hint="eastAsia" w:ascii="仿宋" w:hAnsi="仿宋" w:eastAsia="仿宋" w:cs="仿宋"/>
          <w:b w:val="0"/>
          <w:bCs w:val="0"/>
          <w:color w:val="auto"/>
          <w:sz w:val="32"/>
          <w:szCs w:val="32"/>
          <w:highlight w:val="none"/>
          <w:u w:val="none" w:color="auto"/>
        </w:rPr>
        <w:t>优化工艺设计，加强</w:t>
      </w:r>
      <w:r>
        <w:rPr>
          <w:rFonts w:hint="eastAsia" w:ascii="仿宋" w:hAnsi="仿宋" w:eastAsia="仿宋" w:cs="仿宋"/>
          <w:b w:val="0"/>
          <w:bCs w:val="0"/>
          <w:color w:val="auto"/>
          <w:sz w:val="32"/>
          <w:szCs w:val="32"/>
          <w:highlight w:val="none"/>
          <w:u w:val="none" w:color="auto"/>
          <w:lang w:val="en-US" w:eastAsia="zh-CN"/>
        </w:rPr>
        <w:t>废气收集和</w:t>
      </w:r>
      <w:r>
        <w:rPr>
          <w:rFonts w:hint="eastAsia" w:ascii="仿宋" w:hAnsi="仿宋" w:eastAsia="仿宋" w:cs="仿宋"/>
          <w:b w:val="0"/>
          <w:bCs w:val="0"/>
          <w:color w:val="auto"/>
          <w:sz w:val="32"/>
          <w:szCs w:val="32"/>
          <w:highlight w:val="none"/>
          <w:u w:val="none" w:color="auto"/>
        </w:rPr>
        <w:t>操作工的培训</w:t>
      </w:r>
      <w:r>
        <w:rPr>
          <w:rFonts w:hint="eastAsia" w:ascii="仿宋" w:hAnsi="仿宋" w:eastAsia="仿宋" w:cs="仿宋"/>
          <w:b w:val="0"/>
          <w:bCs w:val="0"/>
          <w:color w:val="auto"/>
          <w:sz w:val="32"/>
          <w:szCs w:val="32"/>
          <w:highlight w:val="none"/>
          <w:u w:val="none" w:color="auto"/>
          <w:lang w:val="en-US" w:eastAsia="zh-CN"/>
        </w:rPr>
        <w:t>及</w:t>
      </w:r>
      <w:r>
        <w:rPr>
          <w:rFonts w:hint="eastAsia" w:ascii="仿宋" w:hAnsi="仿宋" w:eastAsia="仿宋" w:cs="仿宋"/>
          <w:b w:val="0"/>
          <w:bCs w:val="0"/>
          <w:color w:val="auto"/>
          <w:sz w:val="32"/>
          <w:szCs w:val="32"/>
          <w:highlight w:val="none"/>
          <w:u w:val="none" w:color="auto"/>
        </w:rPr>
        <w:t>管理</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kern w:val="2"/>
          <w:sz w:val="32"/>
          <w:szCs w:val="32"/>
          <w:highlight w:val="none"/>
          <w:u w:val="none" w:color="auto"/>
          <w:lang w:val="en-US" w:eastAsia="zh-CN" w:bidi="ar"/>
        </w:rPr>
        <w:t>原料</w:t>
      </w:r>
      <w:r>
        <w:rPr>
          <w:rFonts w:hint="eastAsia" w:ascii="仿宋" w:hAnsi="仿宋" w:eastAsia="仿宋" w:cs="仿宋"/>
          <w:b w:val="0"/>
          <w:bCs w:val="0"/>
          <w:color w:val="auto"/>
          <w:kern w:val="0"/>
          <w:sz w:val="32"/>
          <w:szCs w:val="32"/>
          <w:highlight w:val="none"/>
          <w:u w:val="none" w:color="auto"/>
          <w:lang w:val="en-US" w:eastAsia="zh-CN" w:bidi="ar"/>
        </w:rPr>
        <w:t>使用密闭容器盛装，运输过程实现全密闭；</w:t>
      </w:r>
      <w:r>
        <w:rPr>
          <w:rFonts w:hint="eastAsia" w:ascii="仿宋" w:hAnsi="仿宋" w:eastAsia="仿宋" w:cs="仿宋"/>
          <w:b w:val="0"/>
          <w:bCs w:val="0"/>
          <w:color w:val="auto"/>
          <w:sz w:val="32"/>
          <w:szCs w:val="32"/>
          <w:highlight w:val="none"/>
          <w:u w:val="none" w:color="auto"/>
        </w:rPr>
        <w:t>调配、使用、回收等过程均在密闭</w:t>
      </w:r>
      <w:r>
        <w:rPr>
          <w:rFonts w:hint="eastAsia" w:ascii="仿宋" w:hAnsi="仿宋" w:eastAsia="仿宋" w:cs="仿宋"/>
          <w:b w:val="0"/>
          <w:bCs w:val="0"/>
          <w:color w:val="auto"/>
          <w:sz w:val="32"/>
          <w:szCs w:val="32"/>
          <w:highlight w:val="none"/>
          <w:u w:val="none" w:color="auto"/>
          <w:lang w:val="en-US" w:eastAsia="zh-CN"/>
        </w:rPr>
        <w:t>空间内</w:t>
      </w:r>
      <w:r>
        <w:rPr>
          <w:rFonts w:hint="eastAsia" w:ascii="仿宋" w:hAnsi="仿宋" w:eastAsia="仿宋" w:cs="仿宋"/>
          <w:b w:val="0"/>
          <w:bCs w:val="0"/>
          <w:color w:val="auto"/>
          <w:sz w:val="32"/>
          <w:szCs w:val="32"/>
          <w:highlight w:val="none"/>
          <w:u w:val="none" w:color="auto"/>
        </w:rPr>
        <w:t>进行</w:t>
      </w:r>
      <w:r>
        <w:rPr>
          <w:rFonts w:hint="eastAsia" w:ascii="仿宋" w:hAnsi="仿宋" w:eastAsia="仿宋" w:cs="仿宋"/>
          <w:b w:val="0"/>
          <w:bCs w:val="0"/>
          <w:color w:val="auto"/>
          <w:sz w:val="32"/>
          <w:szCs w:val="32"/>
          <w:highlight w:val="none"/>
          <w:u w:val="none" w:color="auto"/>
          <w:lang w:val="en-US" w:eastAsia="zh-CN"/>
        </w:rPr>
        <w:t>；危废暂存间增设活性炭吸附等措施；</w:t>
      </w:r>
      <w:r>
        <w:rPr>
          <w:rFonts w:hint="eastAsia" w:ascii="仿宋" w:hAnsi="仿宋" w:eastAsia="仿宋" w:cs="仿宋"/>
          <w:b w:val="0"/>
          <w:bCs w:val="0"/>
          <w:color w:val="auto"/>
          <w:kern w:val="2"/>
          <w:sz w:val="32"/>
          <w:szCs w:val="32"/>
          <w:highlight w:val="none"/>
          <w:u w:val="none" w:color="auto"/>
          <w:lang w:val="en-US" w:eastAsia="zh-CN" w:bidi="ar"/>
        </w:rPr>
        <w:t>定期对设备、管道、阀门等进行维护和管理，杜绝生产过程中的跑、冒、滴、漏，最大限度减少生产过程中的废气无组织排放,确保厂界颗粒物满足</w:t>
      </w:r>
      <w:r>
        <w:rPr>
          <w:rFonts w:hint="eastAsia" w:ascii="仿宋" w:hAnsi="仿宋" w:eastAsia="仿宋" w:cs="仿宋"/>
          <w:b w:val="0"/>
          <w:bCs w:val="0"/>
          <w:color w:val="auto"/>
          <w:sz w:val="32"/>
          <w:szCs w:val="32"/>
          <w:highlight w:val="none"/>
          <w:u w:val="none" w:color="auto"/>
        </w:rPr>
        <w:t>《大气污染物排放标准》（GB16297-1996）表2的无组织排放浓度限值</w:t>
      </w:r>
      <w:r>
        <w:rPr>
          <w:rFonts w:hint="eastAsia" w:ascii="仿宋" w:hAnsi="仿宋" w:eastAsia="仿宋" w:cs="仿宋"/>
          <w:b w:val="0"/>
          <w:bCs w:val="0"/>
          <w:color w:val="auto"/>
          <w:sz w:val="32"/>
          <w:szCs w:val="32"/>
          <w:highlight w:val="none"/>
          <w:u w:val="none" w:color="auto"/>
          <w:lang w:val="en-US" w:eastAsia="zh-CN"/>
        </w:rPr>
        <w:t>；非甲烷总烃</w:t>
      </w:r>
      <w:r>
        <w:rPr>
          <w:rFonts w:hint="eastAsia" w:ascii="仿宋" w:hAnsi="仿宋" w:eastAsia="仿宋" w:cs="仿宋"/>
          <w:b w:val="0"/>
          <w:bCs w:val="0"/>
          <w:color w:val="auto"/>
          <w:kern w:val="2"/>
          <w:sz w:val="32"/>
          <w:szCs w:val="32"/>
          <w:highlight w:val="none"/>
          <w:u w:val="none" w:color="auto"/>
          <w:vertAlign w:val="baseline"/>
          <w:lang w:eastAsia="zh-CN"/>
        </w:rPr>
        <w:t>、</w:t>
      </w:r>
      <w:r>
        <w:rPr>
          <w:rFonts w:hint="eastAsia" w:ascii="仿宋" w:hAnsi="仿宋" w:eastAsia="仿宋" w:cs="仿宋"/>
          <w:b w:val="0"/>
          <w:bCs w:val="0"/>
          <w:color w:val="auto"/>
          <w:kern w:val="2"/>
          <w:sz w:val="32"/>
          <w:szCs w:val="32"/>
          <w:highlight w:val="none"/>
          <w:u w:val="none" w:color="auto"/>
          <w:vertAlign w:val="baseline"/>
          <w:lang w:val="en-US" w:eastAsia="zh-CN"/>
        </w:rPr>
        <w:t>二甲苯</w:t>
      </w:r>
      <w:r>
        <w:rPr>
          <w:rFonts w:hint="eastAsia" w:ascii="仿宋" w:hAnsi="仿宋" w:eastAsia="仿宋" w:cs="仿宋"/>
          <w:b w:val="0"/>
          <w:bCs w:val="0"/>
          <w:color w:val="auto"/>
          <w:kern w:val="2"/>
          <w:sz w:val="32"/>
          <w:szCs w:val="32"/>
          <w:highlight w:val="none"/>
          <w:u w:val="none" w:color="auto"/>
          <w:lang w:val="en-US" w:eastAsia="zh-CN" w:bidi="ar"/>
        </w:rPr>
        <w:t>满足</w:t>
      </w:r>
      <w:r>
        <w:rPr>
          <w:rFonts w:hint="eastAsia" w:ascii="仿宋" w:hAnsi="仿宋" w:eastAsia="仿宋" w:cs="仿宋"/>
          <w:b w:val="0"/>
          <w:bCs w:val="0"/>
          <w:color w:val="auto"/>
          <w:kern w:val="2"/>
          <w:sz w:val="32"/>
          <w:szCs w:val="32"/>
          <w:highlight w:val="none"/>
          <w:u w:val="none" w:color="auto"/>
        </w:rPr>
        <w:t>《表面涂装（汽车制造及维修）挥发性有机物、镍排放标准》（DB43/ 1356—2017）</w:t>
      </w:r>
      <w:r>
        <w:rPr>
          <w:rFonts w:hint="eastAsia" w:ascii="仿宋" w:hAnsi="仿宋" w:eastAsia="仿宋" w:cs="仿宋"/>
          <w:b w:val="0"/>
          <w:bCs w:val="0"/>
          <w:color w:val="auto"/>
          <w:sz w:val="32"/>
          <w:szCs w:val="32"/>
          <w:highlight w:val="none"/>
          <w:u w:val="none" w:color="auto"/>
        </w:rPr>
        <w:t>表3浓度限值</w:t>
      </w:r>
      <w:r>
        <w:rPr>
          <w:rFonts w:hint="eastAsia" w:ascii="仿宋" w:hAnsi="仿宋" w:eastAsia="仿宋" w:cs="仿宋"/>
          <w:b w:val="0"/>
          <w:bCs w:val="0"/>
          <w:color w:val="auto"/>
          <w:kern w:val="2"/>
          <w:sz w:val="32"/>
          <w:szCs w:val="32"/>
          <w:highlight w:val="none"/>
          <w:u w:val="none" w:color="auto"/>
          <w:lang w:val="en-US" w:eastAsia="zh-CN" w:bidi="ar"/>
        </w:rPr>
        <w:t>；</w:t>
      </w:r>
      <w:r>
        <w:rPr>
          <w:rFonts w:hint="eastAsia" w:ascii="仿宋" w:hAnsi="仿宋" w:eastAsia="仿宋" w:cs="仿宋"/>
          <w:b w:val="0"/>
          <w:bCs w:val="0"/>
          <w:color w:val="auto"/>
          <w:sz w:val="32"/>
          <w:szCs w:val="32"/>
          <w:highlight w:val="none"/>
          <w:u w:val="none" w:color="auto"/>
        </w:rPr>
        <w:t>厂区内</w:t>
      </w:r>
      <w:r>
        <w:rPr>
          <w:rFonts w:hint="eastAsia" w:ascii="仿宋" w:hAnsi="仿宋" w:eastAsia="仿宋" w:cs="仿宋"/>
          <w:b w:val="0"/>
          <w:bCs w:val="0"/>
          <w:color w:val="auto"/>
          <w:sz w:val="32"/>
          <w:szCs w:val="32"/>
          <w:highlight w:val="none"/>
          <w:u w:val="none" w:color="auto"/>
          <w:lang w:val="en-US" w:eastAsia="zh-CN"/>
        </w:rPr>
        <w:t>非甲烷总烃</w:t>
      </w:r>
      <w:r>
        <w:rPr>
          <w:rFonts w:hint="eastAsia" w:ascii="仿宋" w:hAnsi="仿宋" w:eastAsia="仿宋" w:cs="仿宋"/>
          <w:b w:val="0"/>
          <w:bCs w:val="0"/>
          <w:color w:val="auto"/>
          <w:sz w:val="32"/>
          <w:szCs w:val="32"/>
          <w:highlight w:val="none"/>
          <w:u w:val="none" w:color="auto"/>
        </w:rPr>
        <w:t>执行《挥发性有机物无组织排放控制标准》（GB37822-2019）附录A表A.1排放限值要求</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sz w:val="32"/>
          <w:szCs w:val="32"/>
          <w:highlight w:val="none"/>
          <w:u w:val="none" w:color="auto"/>
          <w:lang w:eastAsia="zh-CN"/>
        </w:rPr>
        <w:t>臭气浓度</w:t>
      </w:r>
      <w:r>
        <w:rPr>
          <w:rFonts w:hint="eastAsia" w:ascii="仿宋" w:hAnsi="仿宋" w:eastAsia="仿宋" w:cs="仿宋"/>
          <w:b w:val="0"/>
          <w:bCs w:val="0"/>
          <w:color w:val="auto"/>
          <w:sz w:val="32"/>
          <w:szCs w:val="32"/>
          <w:highlight w:val="none"/>
          <w:u w:val="none" w:color="auto"/>
          <w:lang w:val="en-US" w:eastAsia="zh-CN"/>
        </w:rPr>
        <w:t>满足</w:t>
      </w:r>
      <w:r>
        <w:rPr>
          <w:rFonts w:hint="eastAsia" w:ascii="仿宋" w:hAnsi="仿宋" w:eastAsia="仿宋" w:cs="仿宋"/>
          <w:b w:val="0"/>
          <w:bCs w:val="0"/>
          <w:color w:val="auto"/>
          <w:sz w:val="32"/>
          <w:szCs w:val="32"/>
          <w:highlight w:val="none"/>
          <w:u w:val="none" w:color="auto"/>
          <w:lang w:eastAsia="zh-CN"/>
        </w:rPr>
        <w:t>《恶臭污染物排放标准》（GB14554-93）表2标准</w:t>
      </w:r>
      <w:r>
        <w:rPr>
          <w:rFonts w:hint="eastAsia" w:ascii="仿宋" w:hAnsi="仿宋" w:eastAsia="仿宋" w:cs="仿宋"/>
          <w:b w:val="0"/>
          <w:bCs w:val="0"/>
          <w:color w:val="auto"/>
          <w:sz w:val="32"/>
          <w:szCs w:val="32"/>
          <w:highlight w:val="none"/>
          <w:u w:val="none" w:color="auto"/>
          <w:lang w:val="en-US" w:eastAsia="zh-CN"/>
        </w:rPr>
        <w:t>；废暂存间收集的有机废气满足</w:t>
      </w:r>
      <w:r>
        <w:rPr>
          <w:rFonts w:hint="eastAsia" w:ascii="仿宋" w:hAnsi="仿宋" w:eastAsia="仿宋" w:cs="仿宋"/>
          <w:b w:val="0"/>
          <w:bCs w:val="0"/>
          <w:color w:val="auto"/>
          <w:sz w:val="32"/>
          <w:szCs w:val="32"/>
          <w:highlight w:val="none"/>
          <w:u w:val="none" w:color="auto"/>
        </w:rPr>
        <w:t>《危险废物贮存污染控制标准》（GB 18597—2023）</w:t>
      </w:r>
      <w:r>
        <w:rPr>
          <w:rFonts w:hint="eastAsia" w:ascii="仿宋" w:hAnsi="仿宋" w:eastAsia="仿宋" w:cs="仿宋"/>
          <w:b w:val="0"/>
          <w:bCs w:val="0"/>
          <w:color w:val="auto"/>
          <w:sz w:val="32"/>
          <w:szCs w:val="32"/>
          <w:highlight w:val="none"/>
          <w:u w:val="none" w:color="auto"/>
          <w:lang w:val="en-US" w:eastAsia="zh-CN"/>
        </w:rPr>
        <w:t>的要求。</w:t>
      </w:r>
    </w:p>
    <w:p w14:paraId="5947872A">
      <w:pPr>
        <w:keepNext w:val="0"/>
        <w:keepLines w:val="0"/>
        <w:pageBreakBefore w:val="0"/>
        <w:autoSpaceDE/>
        <w:autoSpaceDN/>
        <w:bidi w:val="0"/>
        <w:adjustRightInd w:val="0"/>
        <w:snapToGrid w:val="0"/>
        <w:spacing w:line="460" w:lineRule="exact"/>
        <w:ind w:firstLine="640" w:firstLineChars="200"/>
        <w:textAlignment w:val="auto"/>
        <w:rPr>
          <w:rFonts w:hint="eastAsia" w:ascii="仿宋" w:hAnsi="仿宋" w:eastAsia="仿宋" w:cs="仿宋"/>
          <w:b w:val="0"/>
          <w:bCs w:val="0"/>
          <w:color w:val="auto"/>
          <w:sz w:val="32"/>
          <w:szCs w:val="32"/>
          <w:highlight w:val="none"/>
          <w:u w:val="none" w:color="auto"/>
          <w:lang w:val="en-US" w:eastAsia="zh-CN"/>
        </w:rPr>
      </w:pPr>
      <w:r>
        <w:rPr>
          <w:rFonts w:hint="eastAsia" w:ascii="仿宋" w:hAnsi="仿宋" w:eastAsia="仿宋" w:cs="仿宋"/>
          <w:b w:val="0"/>
          <w:bCs w:val="0"/>
          <w:color w:val="auto"/>
          <w:kern w:val="2"/>
          <w:sz w:val="32"/>
          <w:szCs w:val="32"/>
          <w:highlight w:val="none"/>
          <w:u w:val="none" w:color="auto"/>
          <w:lang w:val="en-US" w:eastAsia="zh-CN" w:bidi="ar"/>
        </w:rPr>
        <w:t>3、加强营运期水污染防治。严格按照“雨污分流、清污分流、污污分流”的原则规范建设厂区雨水及污水收集设施。</w:t>
      </w:r>
      <w:r>
        <w:rPr>
          <w:rFonts w:hint="eastAsia" w:ascii="仿宋" w:hAnsi="仿宋" w:eastAsia="仿宋" w:cs="仿宋"/>
          <w:b w:val="0"/>
          <w:bCs w:val="0"/>
          <w:color w:val="auto"/>
          <w:sz w:val="32"/>
          <w:szCs w:val="32"/>
          <w:highlight w:val="none"/>
          <w:u w:val="none" w:color="auto"/>
        </w:rPr>
        <w:t>本项目</w:t>
      </w:r>
      <w:r>
        <w:rPr>
          <w:rFonts w:hint="eastAsia" w:ascii="仿宋" w:hAnsi="仿宋" w:eastAsia="仿宋" w:cs="仿宋"/>
          <w:b w:val="0"/>
          <w:bCs w:val="0"/>
          <w:color w:val="auto"/>
          <w:sz w:val="32"/>
          <w:szCs w:val="32"/>
          <w:highlight w:val="none"/>
          <w:u w:val="none" w:color="auto"/>
          <w:lang w:val="en-US" w:eastAsia="zh-CN"/>
        </w:rPr>
        <w:t>无生产废水；</w:t>
      </w:r>
      <w:r>
        <w:rPr>
          <w:rFonts w:hint="eastAsia" w:ascii="仿宋" w:hAnsi="仿宋" w:eastAsia="仿宋" w:cs="仿宋"/>
          <w:b w:val="0"/>
          <w:bCs w:val="0"/>
          <w:color w:val="auto"/>
          <w:kern w:val="0"/>
          <w:sz w:val="32"/>
          <w:szCs w:val="32"/>
          <w:highlight w:val="none"/>
          <w:u w:val="none" w:color="auto"/>
          <w:lang w:val="en-US" w:eastAsia="zh-CN"/>
        </w:rPr>
        <w:t>淋雨试验喷淋废水</w:t>
      </w:r>
      <w:r>
        <w:rPr>
          <w:rFonts w:hint="eastAsia" w:ascii="仿宋" w:hAnsi="仿宋" w:eastAsia="仿宋" w:cs="仿宋"/>
          <w:b w:val="0"/>
          <w:bCs w:val="0"/>
          <w:color w:val="auto"/>
          <w:sz w:val="32"/>
          <w:szCs w:val="32"/>
          <w:highlight w:val="none"/>
          <w:u w:val="none" w:color="auto"/>
          <w:lang w:val="en-US" w:eastAsia="zh-CN"/>
        </w:rPr>
        <w:t>经隔油、沉淀池处理，</w:t>
      </w:r>
      <w:r>
        <w:rPr>
          <w:rFonts w:hint="eastAsia" w:ascii="仿宋" w:hAnsi="仿宋" w:eastAsia="仿宋" w:cs="仿宋"/>
          <w:b w:val="0"/>
          <w:bCs w:val="0"/>
          <w:color w:val="auto"/>
          <w:sz w:val="32"/>
          <w:szCs w:val="32"/>
          <w:highlight w:val="none"/>
          <w:u w:val="none" w:color="auto"/>
        </w:rPr>
        <w:t>生活污水经</w:t>
      </w:r>
      <w:r>
        <w:rPr>
          <w:rFonts w:hint="eastAsia" w:ascii="仿宋" w:hAnsi="仿宋" w:eastAsia="仿宋" w:cs="仿宋"/>
          <w:b w:val="0"/>
          <w:bCs w:val="0"/>
          <w:color w:val="auto"/>
          <w:sz w:val="32"/>
          <w:szCs w:val="32"/>
          <w:highlight w:val="none"/>
          <w:u w:val="none" w:color="auto"/>
          <w:lang w:val="en-US" w:eastAsia="zh-CN"/>
        </w:rPr>
        <w:t>隔油池+</w:t>
      </w:r>
      <w:r>
        <w:rPr>
          <w:rFonts w:hint="eastAsia" w:ascii="仿宋" w:hAnsi="仿宋" w:eastAsia="仿宋" w:cs="仿宋"/>
          <w:b w:val="0"/>
          <w:bCs w:val="0"/>
          <w:color w:val="auto"/>
          <w:sz w:val="32"/>
          <w:szCs w:val="32"/>
          <w:highlight w:val="none"/>
          <w:u w:val="none" w:color="auto"/>
        </w:rPr>
        <w:t>化粪池处理</w:t>
      </w:r>
      <w:r>
        <w:rPr>
          <w:rFonts w:hint="eastAsia" w:ascii="仿宋" w:hAnsi="仿宋" w:eastAsia="仿宋" w:cs="仿宋"/>
          <w:b w:val="0"/>
          <w:bCs w:val="0"/>
          <w:color w:val="auto"/>
          <w:sz w:val="32"/>
          <w:szCs w:val="32"/>
          <w:highlight w:val="none"/>
          <w:u w:val="none" w:color="auto"/>
          <w:lang w:val="en-US" w:eastAsia="zh-CN"/>
        </w:rPr>
        <w:t>后，同时满足《污水综合排放标准》（GB8978-1996）中表4三级标准以及岳阳高新技术产业园区污水处理厂接管标准要求，</w:t>
      </w:r>
      <w:r>
        <w:rPr>
          <w:rFonts w:hint="eastAsia" w:ascii="仿宋" w:hAnsi="仿宋" w:eastAsia="仿宋" w:cs="仿宋"/>
          <w:b w:val="0"/>
          <w:bCs w:val="0"/>
          <w:color w:val="auto"/>
          <w:sz w:val="32"/>
          <w:szCs w:val="32"/>
          <w:highlight w:val="none"/>
          <w:u w:val="none" w:color="auto"/>
        </w:rPr>
        <w:t>经</w:t>
      </w:r>
      <w:r>
        <w:rPr>
          <w:rFonts w:hint="eastAsia" w:ascii="仿宋" w:hAnsi="仿宋" w:eastAsia="仿宋" w:cs="仿宋"/>
          <w:b w:val="0"/>
          <w:bCs w:val="0"/>
          <w:color w:val="auto"/>
          <w:sz w:val="32"/>
          <w:szCs w:val="32"/>
          <w:highlight w:val="none"/>
          <w:u w:val="none" w:color="auto"/>
          <w:lang w:val="en-US" w:eastAsia="zh-CN"/>
        </w:rPr>
        <w:t>岳阳高新技术产业园区污水处理厂</w:t>
      </w:r>
      <w:r>
        <w:rPr>
          <w:rFonts w:hint="eastAsia" w:ascii="仿宋" w:hAnsi="仿宋" w:eastAsia="仿宋" w:cs="仿宋"/>
          <w:b w:val="0"/>
          <w:bCs w:val="0"/>
          <w:color w:val="auto"/>
          <w:sz w:val="32"/>
          <w:szCs w:val="32"/>
          <w:highlight w:val="none"/>
          <w:u w:val="none" w:color="auto"/>
        </w:rPr>
        <w:t>处理达</w:t>
      </w:r>
      <w:r>
        <w:rPr>
          <w:rFonts w:hint="eastAsia" w:ascii="仿宋" w:hAnsi="仿宋" w:eastAsia="仿宋" w:cs="仿宋"/>
          <w:b w:val="0"/>
          <w:bCs w:val="0"/>
          <w:color w:val="auto"/>
          <w:sz w:val="32"/>
          <w:szCs w:val="32"/>
          <w:highlight w:val="none"/>
          <w:u w:val="none" w:color="auto"/>
          <w:lang w:val="en-US" w:eastAsia="zh-CN"/>
        </w:rPr>
        <w:t>到</w:t>
      </w:r>
      <w:r>
        <w:rPr>
          <w:rFonts w:hint="eastAsia" w:ascii="仿宋" w:hAnsi="仿宋" w:eastAsia="仿宋" w:cs="仿宋"/>
          <w:color w:val="auto"/>
          <w:sz w:val="32"/>
          <w:szCs w:val="32"/>
          <w:highlight w:val="none"/>
          <w:u w:val="none" w:color="auto"/>
        </w:rPr>
        <w:t>《湖南省城镇污水处理厂主要水污染物排放标准》(DB43T 1546-2018)一级标准、其余未包含指标</w:t>
      </w:r>
      <w:r>
        <w:rPr>
          <w:rFonts w:hint="eastAsia" w:ascii="仿宋" w:hAnsi="仿宋" w:eastAsia="仿宋" w:cs="仿宋"/>
          <w:color w:val="auto"/>
          <w:sz w:val="32"/>
          <w:szCs w:val="32"/>
          <w:highlight w:val="none"/>
          <w:u w:val="none" w:color="auto"/>
          <w:lang w:val="en-US" w:eastAsia="zh-CN"/>
        </w:rPr>
        <w:t>满足</w:t>
      </w:r>
      <w:r>
        <w:rPr>
          <w:rFonts w:hint="eastAsia" w:ascii="仿宋" w:hAnsi="仿宋" w:eastAsia="仿宋" w:cs="仿宋"/>
          <w:color w:val="auto"/>
          <w:sz w:val="32"/>
          <w:szCs w:val="32"/>
          <w:highlight w:val="none"/>
          <w:u w:val="none" w:color="auto"/>
        </w:rPr>
        <w:t>《城镇污水处理厂污染物排放标准》(GB18918-2002)一级A标准</w:t>
      </w:r>
      <w:r>
        <w:rPr>
          <w:rFonts w:hint="eastAsia" w:ascii="仿宋" w:hAnsi="仿宋" w:eastAsia="仿宋" w:cs="仿宋"/>
          <w:b w:val="0"/>
          <w:bCs w:val="0"/>
          <w:color w:val="auto"/>
          <w:sz w:val="32"/>
          <w:szCs w:val="32"/>
          <w:highlight w:val="none"/>
          <w:u w:val="none" w:color="auto"/>
          <w:lang w:val="en-US" w:eastAsia="zh-CN"/>
        </w:rPr>
        <w:t>后排入新墙河。</w:t>
      </w:r>
    </w:p>
    <w:p w14:paraId="297B5FDE">
      <w:pPr>
        <w:keepNext w:val="0"/>
        <w:keepLines w:val="0"/>
        <w:pageBreakBefore w:val="0"/>
        <w:widowControl w:val="0"/>
        <w:suppressLineNumbers w:val="0"/>
        <w:kinsoku/>
        <w:wordWrap w:val="0"/>
        <w:overflowPunct/>
        <w:topLinePunct/>
        <w:autoSpaceDE/>
        <w:autoSpaceDN/>
        <w:bidi w:val="0"/>
        <w:spacing w:before="0" w:beforeAutospacing="0" w:after="0" w:afterAutospacing="0" w:line="460" w:lineRule="exact"/>
        <w:ind w:left="0" w:right="0" w:firstLine="640" w:firstLineChars="200"/>
        <w:jc w:val="both"/>
        <w:textAlignment w:val="auto"/>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按照“源头控制、分区防治、污染监控</w:t>
      </w:r>
      <w:bookmarkStart w:id="0" w:name="_GoBack"/>
      <w:bookmarkEnd w:id="0"/>
      <w:r>
        <w:rPr>
          <w:rFonts w:hint="eastAsia" w:ascii="仿宋" w:hAnsi="仿宋" w:eastAsia="仿宋" w:cs="仿宋"/>
          <w:b w:val="0"/>
          <w:bCs w:val="0"/>
          <w:color w:val="auto"/>
          <w:kern w:val="2"/>
          <w:sz w:val="32"/>
          <w:szCs w:val="32"/>
          <w:highlight w:val="none"/>
          <w:u w:val="none" w:color="auto"/>
          <w:lang w:val="en-US" w:eastAsia="zh-CN" w:bidi="ar"/>
        </w:rPr>
        <w:t>、应急响应”相结合的原则落实报告书提出的地下水污染防治措施。做好</w:t>
      </w:r>
      <w:r>
        <w:rPr>
          <w:rFonts w:hint="eastAsia" w:ascii="仿宋" w:hAnsi="仿宋" w:eastAsia="仿宋" w:cs="仿宋"/>
          <w:b w:val="0"/>
          <w:bCs w:val="0"/>
          <w:color w:val="auto"/>
          <w:sz w:val="32"/>
          <w:szCs w:val="32"/>
          <w:highlight w:val="none"/>
          <w:u w:val="none" w:color="auto"/>
        </w:rPr>
        <w:t>危险废物暂存间、</w:t>
      </w:r>
      <w:r>
        <w:rPr>
          <w:rFonts w:hint="eastAsia" w:ascii="仿宋" w:hAnsi="仿宋" w:eastAsia="仿宋" w:cs="仿宋"/>
          <w:b w:val="0"/>
          <w:bCs w:val="0"/>
          <w:color w:val="auto"/>
          <w:sz w:val="32"/>
          <w:szCs w:val="32"/>
          <w:highlight w:val="none"/>
          <w:u w:val="none" w:color="auto"/>
          <w:lang w:eastAsia="zh-CN"/>
        </w:rPr>
        <w:t>危化品仓库、</w:t>
      </w:r>
      <w:r>
        <w:rPr>
          <w:rFonts w:hint="eastAsia" w:ascii="仿宋" w:hAnsi="仿宋" w:eastAsia="仿宋" w:cs="仿宋"/>
          <w:b w:val="0"/>
          <w:bCs w:val="0"/>
          <w:color w:val="auto"/>
          <w:sz w:val="32"/>
          <w:szCs w:val="32"/>
          <w:highlight w:val="none"/>
          <w:u w:val="none" w:color="auto"/>
          <w:lang w:val="en-US" w:eastAsia="zh-CN"/>
        </w:rPr>
        <w:t>循环水池</w:t>
      </w:r>
      <w:r>
        <w:rPr>
          <w:rFonts w:hint="eastAsia" w:ascii="仿宋" w:hAnsi="仿宋" w:eastAsia="仿宋" w:cs="仿宋"/>
          <w:b w:val="0"/>
          <w:bCs w:val="0"/>
          <w:color w:val="auto"/>
          <w:sz w:val="32"/>
          <w:szCs w:val="32"/>
          <w:highlight w:val="none"/>
          <w:u w:val="none" w:color="auto"/>
          <w:lang w:val="en-US" w:eastAsia="zh-CN" w:bidi="ar"/>
        </w:rPr>
        <w:t>及</w:t>
      </w:r>
      <w:r>
        <w:rPr>
          <w:rFonts w:hint="eastAsia" w:ascii="仿宋" w:hAnsi="仿宋" w:eastAsia="仿宋" w:cs="仿宋"/>
          <w:b w:val="0"/>
          <w:bCs w:val="0"/>
          <w:color w:val="auto"/>
          <w:sz w:val="32"/>
          <w:szCs w:val="32"/>
          <w:highlight w:val="none"/>
          <w:u w:val="none" w:color="auto"/>
        </w:rPr>
        <w:t>生产车间</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仓库</w:t>
      </w:r>
      <w:r>
        <w:rPr>
          <w:rFonts w:hint="eastAsia" w:ascii="仿宋" w:hAnsi="仿宋" w:eastAsia="仿宋" w:cs="仿宋"/>
          <w:b w:val="0"/>
          <w:bCs w:val="0"/>
          <w:color w:val="auto"/>
          <w:sz w:val="32"/>
          <w:szCs w:val="32"/>
          <w:highlight w:val="none"/>
          <w:u w:val="none" w:color="auto"/>
        </w:rPr>
        <w:t>其他区域</w:t>
      </w:r>
      <w:r>
        <w:rPr>
          <w:rFonts w:hint="eastAsia" w:ascii="仿宋" w:hAnsi="仿宋" w:eastAsia="仿宋" w:cs="仿宋"/>
          <w:b w:val="0"/>
          <w:bCs w:val="0"/>
          <w:color w:val="auto"/>
          <w:sz w:val="32"/>
          <w:szCs w:val="32"/>
          <w:highlight w:val="none"/>
          <w:u w:val="none" w:color="auto"/>
          <w:lang w:val="en-US" w:eastAsia="zh-CN" w:bidi="ar"/>
        </w:rPr>
        <w:t>的</w:t>
      </w:r>
      <w:r>
        <w:rPr>
          <w:rFonts w:hint="eastAsia" w:ascii="仿宋" w:hAnsi="仿宋" w:eastAsia="仿宋" w:cs="仿宋"/>
          <w:b w:val="0"/>
          <w:bCs w:val="0"/>
          <w:color w:val="auto"/>
          <w:kern w:val="2"/>
          <w:sz w:val="32"/>
          <w:szCs w:val="32"/>
          <w:highlight w:val="none"/>
          <w:u w:val="none" w:color="auto"/>
          <w:lang w:val="en-US" w:eastAsia="zh-CN" w:bidi="ar"/>
        </w:rPr>
        <w:t>防渗工作和</w:t>
      </w:r>
      <w:r>
        <w:rPr>
          <w:rFonts w:hint="eastAsia" w:ascii="仿宋" w:hAnsi="仿宋" w:eastAsia="仿宋" w:cs="仿宋"/>
          <w:b w:val="0"/>
          <w:bCs w:val="0"/>
          <w:color w:val="auto"/>
          <w:kern w:val="0"/>
          <w:sz w:val="32"/>
          <w:szCs w:val="32"/>
          <w:highlight w:val="none"/>
          <w:u w:val="none" w:color="auto"/>
          <w:lang w:val="en-US" w:eastAsia="zh-CN" w:bidi="ar"/>
        </w:rPr>
        <w:t>厂区道路、办公区、停车场</w:t>
      </w:r>
      <w:r>
        <w:rPr>
          <w:rFonts w:hint="eastAsia" w:ascii="仿宋" w:hAnsi="仿宋" w:eastAsia="仿宋" w:cs="仿宋"/>
          <w:b w:val="0"/>
          <w:bCs w:val="0"/>
          <w:color w:val="auto"/>
          <w:kern w:val="2"/>
          <w:sz w:val="32"/>
          <w:szCs w:val="32"/>
          <w:highlight w:val="none"/>
          <w:u w:val="none" w:color="auto"/>
        </w:rPr>
        <w:t>区域</w:t>
      </w:r>
      <w:r>
        <w:rPr>
          <w:rFonts w:hint="eastAsia" w:ascii="仿宋" w:hAnsi="仿宋" w:eastAsia="仿宋" w:cs="仿宋"/>
          <w:b w:val="0"/>
          <w:bCs w:val="0"/>
          <w:color w:val="auto"/>
          <w:kern w:val="2"/>
          <w:sz w:val="32"/>
          <w:szCs w:val="32"/>
          <w:highlight w:val="none"/>
          <w:u w:val="none" w:color="auto"/>
          <w:lang w:val="en-US" w:eastAsia="zh-CN" w:bidi="ar"/>
        </w:rPr>
        <w:t>的地面硬化，避免由于防渗层破损造成污染物下渗污染地下水。根据《环境影响评价技术导则 地下水环境》(HJ610-2016)要求，跟踪监测地下水水质情况，确保地下水环境安全。</w:t>
      </w:r>
    </w:p>
    <w:p w14:paraId="160E9F89">
      <w:pPr>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0" w:afterAutospacing="0" w:line="460" w:lineRule="exact"/>
        <w:ind w:left="0" w:right="0" w:firstLine="640" w:firstLineChars="200"/>
        <w:jc w:val="both"/>
        <w:textAlignment w:val="auto"/>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4、加强营运期噪声污染防治。采用低噪声设备，合理布局，</w:t>
      </w:r>
      <w:r>
        <w:rPr>
          <w:rFonts w:hint="eastAsia" w:ascii="仿宋" w:hAnsi="仿宋" w:eastAsia="仿宋" w:cs="仿宋"/>
          <w:b w:val="0"/>
          <w:bCs w:val="0"/>
          <w:color w:val="auto"/>
          <w:sz w:val="32"/>
          <w:szCs w:val="32"/>
          <w:highlight w:val="none"/>
          <w:u w:val="none" w:color="auto"/>
        </w:rPr>
        <w:t>加强设备维护</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生产设备</w:t>
      </w:r>
      <w:r>
        <w:rPr>
          <w:rFonts w:hint="eastAsia" w:ascii="仿宋" w:hAnsi="仿宋" w:eastAsia="仿宋" w:cs="仿宋"/>
          <w:b w:val="0"/>
          <w:bCs w:val="0"/>
          <w:color w:val="auto"/>
          <w:sz w:val="32"/>
          <w:szCs w:val="32"/>
          <w:highlight w:val="none"/>
          <w:u w:val="none" w:color="auto"/>
          <w:lang w:val="en-US" w:eastAsia="zh-CN"/>
        </w:rPr>
        <w:t>采取</w:t>
      </w:r>
      <w:r>
        <w:rPr>
          <w:rFonts w:hint="eastAsia" w:ascii="仿宋" w:hAnsi="仿宋" w:eastAsia="仿宋" w:cs="仿宋"/>
          <w:b w:val="0"/>
          <w:bCs w:val="0"/>
          <w:color w:val="auto"/>
          <w:sz w:val="32"/>
          <w:szCs w:val="32"/>
          <w:highlight w:val="none"/>
          <w:u w:val="none" w:color="auto"/>
        </w:rPr>
        <w:t>基础减震</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厂房墙体隔声等降噪</w:t>
      </w:r>
      <w:r>
        <w:rPr>
          <w:rFonts w:hint="eastAsia" w:ascii="仿宋" w:hAnsi="仿宋" w:eastAsia="仿宋" w:cs="仿宋"/>
          <w:b w:val="0"/>
          <w:bCs w:val="0"/>
          <w:color w:val="auto"/>
          <w:kern w:val="0"/>
          <w:sz w:val="32"/>
          <w:szCs w:val="32"/>
          <w:highlight w:val="none"/>
          <w:u w:val="none" w:color="auto"/>
          <w:lang w:val="en-US" w:eastAsia="zh-CN" w:bidi="ar"/>
        </w:rPr>
        <w:t>措施</w:t>
      </w:r>
      <w:r>
        <w:rPr>
          <w:rFonts w:hint="eastAsia" w:ascii="仿宋" w:hAnsi="仿宋" w:eastAsia="仿宋" w:cs="仿宋"/>
          <w:b w:val="0"/>
          <w:bCs w:val="0"/>
          <w:color w:val="auto"/>
          <w:kern w:val="2"/>
          <w:sz w:val="32"/>
          <w:szCs w:val="32"/>
          <w:highlight w:val="none"/>
          <w:u w:val="none" w:color="auto"/>
          <w:lang w:val="en-US" w:eastAsia="zh-CN" w:bidi="ar"/>
        </w:rPr>
        <w:t>，确保厂界噪声达到</w:t>
      </w:r>
      <w:r>
        <w:rPr>
          <w:rFonts w:hint="eastAsia" w:ascii="仿宋" w:hAnsi="仿宋" w:eastAsia="仿宋" w:cs="仿宋"/>
          <w:b w:val="0"/>
          <w:bCs w:val="0"/>
          <w:color w:val="auto"/>
          <w:sz w:val="32"/>
          <w:szCs w:val="32"/>
          <w:highlight w:val="none"/>
          <w:u w:val="none" w:color="auto"/>
        </w:rPr>
        <w:t>《工业企业厂界环境噪声排放标准》（GB12348-2008）中的3类标准</w:t>
      </w:r>
      <w:r>
        <w:rPr>
          <w:rFonts w:hint="eastAsia" w:ascii="仿宋" w:hAnsi="仿宋" w:eastAsia="仿宋" w:cs="仿宋"/>
          <w:b w:val="0"/>
          <w:bCs w:val="0"/>
          <w:color w:val="auto"/>
          <w:kern w:val="2"/>
          <w:sz w:val="32"/>
          <w:szCs w:val="32"/>
          <w:highlight w:val="none"/>
          <w:u w:val="none" w:color="auto"/>
          <w:lang w:val="en-US" w:eastAsia="zh-CN" w:bidi="ar"/>
        </w:rPr>
        <w:t>。</w:t>
      </w:r>
    </w:p>
    <w:p w14:paraId="4D2C72E7">
      <w:pPr>
        <w:keepNext w:val="0"/>
        <w:keepLines w:val="0"/>
        <w:pageBreakBefore w:val="0"/>
        <w:autoSpaceDE/>
        <w:autoSpaceDN/>
        <w:bidi w:val="0"/>
        <w:spacing w:line="460" w:lineRule="exact"/>
        <w:ind w:firstLine="640" w:firstLineChars="200"/>
        <w:textAlignment w:val="auto"/>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sz w:val="32"/>
          <w:szCs w:val="32"/>
          <w:highlight w:val="none"/>
          <w:u w:val="none" w:color="auto"/>
          <w:lang w:val="en-US" w:eastAsia="zh-CN"/>
        </w:rPr>
        <w:t>5</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kern w:val="2"/>
          <w:sz w:val="32"/>
          <w:szCs w:val="32"/>
          <w:highlight w:val="none"/>
          <w:u w:val="none" w:color="auto"/>
          <w:lang w:val="en-US" w:eastAsia="zh-CN" w:bidi="ar"/>
        </w:rPr>
        <w:t>加强营运期</w:t>
      </w:r>
      <w:r>
        <w:rPr>
          <w:rFonts w:hint="eastAsia" w:ascii="仿宋" w:hAnsi="仿宋" w:eastAsia="仿宋" w:cs="仿宋"/>
          <w:b w:val="0"/>
          <w:bCs w:val="0"/>
          <w:color w:val="auto"/>
          <w:sz w:val="32"/>
          <w:szCs w:val="32"/>
          <w:highlight w:val="none"/>
          <w:u w:val="none" w:color="auto"/>
          <w:lang w:eastAsia="zh-CN"/>
        </w:rPr>
        <w:t>固体废物管理工作。按“无害化、减量化、资源化”原则，做好固体分类收集和综合利用，并建立固体废物产生、储存、处置管理台账，落实危险废物转移联单制度。</w:t>
      </w:r>
      <w:r>
        <w:rPr>
          <w:rFonts w:hint="eastAsia" w:ascii="仿宋" w:hAnsi="仿宋" w:eastAsia="仿宋" w:cs="仿宋"/>
          <w:b w:val="0"/>
          <w:bCs w:val="0"/>
          <w:color w:val="auto"/>
          <w:sz w:val="32"/>
          <w:szCs w:val="32"/>
          <w:highlight w:val="none"/>
          <w:u w:val="none" w:color="auto"/>
        </w:rPr>
        <w:t>废包装材料</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金属边角料</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收集的粉尘</w:t>
      </w:r>
      <w:r>
        <w:rPr>
          <w:rFonts w:hint="eastAsia" w:ascii="仿宋" w:hAnsi="仿宋" w:eastAsia="仿宋" w:cs="仿宋"/>
          <w:b w:val="0"/>
          <w:bCs w:val="0"/>
          <w:color w:val="auto"/>
          <w:kern w:val="2"/>
          <w:sz w:val="32"/>
          <w:szCs w:val="32"/>
          <w:highlight w:val="none"/>
          <w:u w:val="none" w:color="auto"/>
          <w:lang w:val="en-US" w:eastAsia="zh-CN"/>
        </w:rPr>
        <w:t>、</w:t>
      </w:r>
      <w:r>
        <w:rPr>
          <w:rFonts w:hint="eastAsia" w:ascii="仿宋" w:hAnsi="仿宋" w:eastAsia="仿宋" w:cs="仿宋"/>
          <w:b w:val="0"/>
          <w:bCs w:val="0"/>
          <w:color w:val="auto"/>
          <w:sz w:val="32"/>
          <w:szCs w:val="32"/>
          <w:highlight w:val="none"/>
          <w:u w:val="none" w:color="auto"/>
        </w:rPr>
        <w:t>焊渣</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废滤筒</w:t>
      </w:r>
      <w:r>
        <w:rPr>
          <w:rFonts w:hint="eastAsia" w:ascii="仿宋" w:hAnsi="仿宋" w:eastAsia="仿宋" w:cs="仿宋"/>
          <w:b w:val="0"/>
          <w:bCs w:val="0"/>
          <w:color w:val="auto"/>
          <w:kern w:val="2"/>
          <w:sz w:val="32"/>
          <w:szCs w:val="32"/>
          <w:highlight w:val="none"/>
          <w:u w:val="none" w:color="auto"/>
          <w:lang w:eastAsia="zh-CN"/>
        </w:rPr>
        <w:t>等</w:t>
      </w:r>
      <w:r>
        <w:rPr>
          <w:rFonts w:hint="eastAsia" w:ascii="仿宋" w:hAnsi="仿宋" w:eastAsia="仿宋" w:cs="仿宋"/>
          <w:b w:val="0"/>
          <w:bCs w:val="0"/>
          <w:color w:val="auto"/>
          <w:sz w:val="32"/>
          <w:szCs w:val="32"/>
          <w:highlight w:val="none"/>
          <w:u w:val="none" w:color="auto"/>
          <w:lang w:eastAsia="zh-CN"/>
        </w:rPr>
        <w:t>一般固体废物严格按《一般工业固体废物贮存和填埋污染控制标准》（GB 18599-2020）要求集中收集后</w:t>
      </w:r>
      <w:r>
        <w:rPr>
          <w:rFonts w:hint="eastAsia" w:ascii="仿宋" w:hAnsi="仿宋" w:eastAsia="仿宋" w:cs="仿宋"/>
          <w:b w:val="0"/>
          <w:bCs w:val="0"/>
          <w:color w:val="auto"/>
          <w:kern w:val="2"/>
          <w:sz w:val="32"/>
          <w:szCs w:val="32"/>
          <w:highlight w:val="none"/>
          <w:u w:val="none" w:color="auto"/>
          <w:lang w:val="en-US" w:eastAsia="zh-CN"/>
        </w:rPr>
        <w:t>综合利用</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废活性炭</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sz w:val="32"/>
          <w:szCs w:val="32"/>
          <w:highlight w:val="none"/>
          <w:u w:val="none" w:color="auto"/>
        </w:rPr>
        <w:t>废催化剂</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漆渣、</w:t>
      </w:r>
      <w:r>
        <w:rPr>
          <w:rFonts w:hint="eastAsia" w:ascii="仿宋" w:hAnsi="仿宋" w:eastAsia="仿宋" w:cs="仿宋"/>
          <w:b w:val="0"/>
          <w:bCs w:val="0"/>
          <w:color w:val="auto"/>
          <w:sz w:val="32"/>
          <w:szCs w:val="32"/>
          <w:highlight w:val="none"/>
          <w:u w:val="none" w:color="auto"/>
        </w:rPr>
        <w:t>废润滑油</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废含油抹布和手套</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废油漆桶、废稀释剂桶、废固化剂桶、喷枪清洗废水、喷淋塔更换废水及废漆渣等</w:t>
      </w:r>
      <w:r>
        <w:rPr>
          <w:rFonts w:hint="eastAsia" w:ascii="仿宋" w:hAnsi="仿宋" w:eastAsia="仿宋" w:cs="仿宋"/>
          <w:b w:val="0"/>
          <w:bCs w:val="0"/>
          <w:color w:val="auto"/>
          <w:sz w:val="32"/>
          <w:szCs w:val="32"/>
          <w:highlight w:val="none"/>
          <w:u w:val="none" w:color="auto"/>
          <w:lang w:eastAsia="zh-CN"/>
        </w:rPr>
        <w:t>危险废物严格按</w:t>
      </w:r>
      <w:r>
        <w:rPr>
          <w:rFonts w:hint="eastAsia" w:ascii="仿宋" w:hAnsi="仿宋" w:eastAsia="仿宋" w:cs="仿宋"/>
          <w:b w:val="0"/>
          <w:bCs w:val="0"/>
          <w:color w:val="auto"/>
          <w:sz w:val="32"/>
          <w:szCs w:val="32"/>
          <w:highlight w:val="none"/>
          <w:u w:val="none" w:color="auto"/>
        </w:rPr>
        <w:t>《危险废物贮存污染控制标准》（GB 18597—2023）</w:t>
      </w:r>
      <w:r>
        <w:rPr>
          <w:rFonts w:hint="eastAsia" w:ascii="仿宋" w:hAnsi="仿宋" w:eastAsia="仿宋" w:cs="仿宋"/>
          <w:b w:val="0"/>
          <w:bCs w:val="0"/>
          <w:color w:val="auto"/>
          <w:sz w:val="32"/>
          <w:szCs w:val="32"/>
          <w:highlight w:val="none"/>
          <w:u w:val="none" w:color="auto"/>
          <w:lang w:eastAsia="zh-CN"/>
        </w:rPr>
        <w:t>要求暂存，委托有资质的单位处置；生活垃圾交</w:t>
      </w:r>
      <w:r>
        <w:rPr>
          <w:rFonts w:hint="eastAsia" w:ascii="仿宋" w:hAnsi="仿宋" w:eastAsia="仿宋" w:cs="仿宋"/>
          <w:b w:val="0"/>
          <w:bCs w:val="0"/>
          <w:color w:val="auto"/>
          <w:kern w:val="2"/>
          <w:sz w:val="32"/>
          <w:szCs w:val="32"/>
          <w:highlight w:val="none"/>
          <w:u w:val="none" w:color="auto"/>
          <w:lang w:val="en-US" w:eastAsia="zh-CN"/>
        </w:rPr>
        <w:t>由环卫部门收集处理</w:t>
      </w:r>
      <w:r>
        <w:rPr>
          <w:rFonts w:hint="eastAsia" w:ascii="仿宋" w:hAnsi="仿宋" w:eastAsia="仿宋" w:cs="仿宋"/>
          <w:b w:val="0"/>
          <w:bCs w:val="0"/>
          <w:color w:val="auto"/>
          <w:sz w:val="32"/>
          <w:szCs w:val="32"/>
          <w:highlight w:val="none"/>
          <w:u w:val="none" w:color="auto"/>
          <w:lang w:eastAsia="zh-CN"/>
        </w:rPr>
        <w:t>。</w:t>
      </w:r>
    </w:p>
    <w:p w14:paraId="7FFCD386">
      <w:pPr>
        <w:keepNext w:val="0"/>
        <w:keepLines w:val="0"/>
        <w:pageBreakBefore w:val="0"/>
        <w:widowControl w:val="0"/>
        <w:suppressLineNumbers w:val="0"/>
        <w:kinsoku/>
        <w:wordWrap w:val="0"/>
        <w:overflowPunct/>
        <w:topLinePunct/>
        <w:autoSpaceDE/>
        <w:autoSpaceDN/>
        <w:bidi w:val="0"/>
        <w:spacing w:before="0" w:beforeAutospacing="0" w:after="0" w:afterAutospacing="0" w:line="460" w:lineRule="exact"/>
        <w:ind w:left="0" w:right="0" w:firstLine="640"/>
        <w:jc w:val="both"/>
        <w:textAlignment w:val="auto"/>
        <w:rPr>
          <w:rFonts w:hint="eastAsia" w:ascii="仿宋" w:hAnsi="仿宋" w:eastAsia="仿宋" w:cs="仿宋"/>
          <w:b w:val="0"/>
          <w:bCs w:val="0"/>
          <w:color w:val="auto"/>
          <w:kern w:val="2"/>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
        </w:rPr>
        <w:t>6、加强营运期环境风险防范。严格落实报告书提出的各项环境风险防范措施，</w:t>
      </w:r>
      <w:r>
        <w:rPr>
          <w:rFonts w:hint="eastAsia" w:ascii="仿宋" w:hAnsi="仿宋" w:eastAsia="仿宋" w:cs="仿宋"/>
          <w:b w:val="0"/>
          <w:bCs w:val="0"/>
          <w:color w:val="auto"/>
          <w:kern w:val="0"/>
          <w:sz w:val="32"/>
          <w:szCs w:val="32"/>
          <w:highlight w:val="none"/>
          <w:u w:val="none" w:color="auto"/>
          <w:lang w:bidi="ar"/>
        </w:rPr>
        <w:t>按</w:t>
      </w:r>
      <w:r>
        <w:rPr>
          <w:rFonts w:hint="eastAsia" w:ascii="仿宋" w:hAnsi="仿宋" w:eastAsia="仿宋" w:cs="仿宋"/>
          <w:b w:val="0"/>
          <w:bCs w:val="0"/>
          <w:color w:val="auto"/>
          <w:kern w:val="0"/>
          <w:sz w:val="32"/>
          <w:szCs w:val="32"/>
          <w:highlight w:val="none"/>
          <w:u w:val="none" w:color="auto"/>
          <w:lang w:val="en-US" w:eastAsia="zh-CN" w:bidi="ar"/>
        </w:rPr>
        <w:t>相关</w:t>
      </w:r>
      <w:r>
        <w:rPr>
          <w:rFonts w:hint="eastAsia" w:ascii="仿宋" w:hAnsi="仿宋" w:eastAsia="仿宋" w:cs="仿宋"/>
          <w:b w:val="0"/>
          <w:bCs w:val="0"/>
          <w:color w:val="auto"/>
          <w:kern w:val="0"/>
          <w:sz w:val="32"/>
          <w:szCs w:val="32"/>
          <w:highlight w:val="none"/>
          <w:u w:val="none" w:color="auto"/>
          <w:lang w:bidi="ar"/>
        </w:rPr>
        <w:t>要求进行企业突发环境事件应急预案的编制和备案</w:t>
      </w:r>
      <w:r>
        <w:rPr>
          <w:rFonts w:hint="eastAsia" w:ascii="仿宋" w:hAnsi="仿宋" w:eastAsia="仿宋" w:cs="仿宋"/>
          <w:b w:val="0"/>
          <w:bCs w:val="0"/>
          <w:color w:val="auto"/>
          <w:kern w:val="2"/>
          <w:sz w:val="32"/>
          <w:szCs w:val="32"/>
          <w:highlight w:val="none"/>
          <w:u w:val="none" w:color="auto"/>
          <w:lang w:val="en-US" w:eastAsia="zh-CN" w:bidi="ar"/>
        </w:rPr>
        <w:t>。</w:t>
      </w:r>
    </w:p>
    <w:p w14:paraId="6E3349D5">
      <w:pPr>
        <w:keepNext w:val="0"/>
        <w:keepLines w:val="0"/>
        <w:pageBreakBefore w:val="0"/>
        <w:widowControl w:val="0"/>
        <w:suppressLineNumbers w:val="0"/>
        <w:kinsoku/>
        <w:wordWrap w:val="0"/>
        <w:overflowPunct/>
        <w:topLinePunct/>
        <w:autoSpaceDE/>
        <w:autoSpaceDN/>
        <w:bidi w:val="0"/>
        <w:spacing w:before="0" w:beforeAutospacing="0" w:after="0" w:afterAutospacing="0" w:line="460" w:lineRule="exact"/>
        <w:ind w:left="0" w:right="0" w:firstLine="640"/>
        <w:jc w:val="both"/>
        <w:textAlignment w:val="auto"/>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7、加强营运期环境管理。设立</w:t>
      </w:r>
      <w:r>
        <w:rPr>
          <w:rFonts w:hint="eastAsia" w:ascii="仿宋" w:hAnsi="仿宋" w:eastAsia="仿宋" w:cs="仿宋"/>
          <w:b w:val="0"/>
          <w:bCs w:val="0"/>
          <w:color w:val="auto"/>
          <w:sz w:val="32"/>
          <w:szCs w:val="32"/>
          <w:highlight w:val="none"/>
          <w:u w:val="none" w:color="auto"/>
          <w:lang w:val="en-US" w:eastAsia="zh-CN"/>
        </w:rPr>
        <w:t>环境管理机构</w:t>
      </w:r>
      <w:r>
        <w:rPr>
          <w:rFonts w:hint="eastAsia" w:ascii="仿宋" w:hAnsi="仿宋" w:eastAsia="仿宋" w:cs="仿宋"/>
          <w:b w:val="0"/>
          <w:bCs w:val="0"/>
          <w:color w:val="auto"/>
          <w:kern w:val="2"/>
          <w:sz w:val="32"/>
          <w:szCs w:val="32"/>
          <w:highlight w:val="none"/>
          <w:u w:val="none" w:color="auto"/>
          <w:lang w:val="en-US" w:eastAsia="zh-CN" w:bidi="ar"/>
        </w:rPr>
        <w:t>及环保人员，建立健全污染防治设施运行管理台帐，确保各项污染防治设施的正常运行，各类污染物稳定达标排放。</w:t>
      </w:r>
    </w:p>
    <w:p w14:paraId="4B5BE2E7">
      <w:pPr>
        <w:keepNext w:val="0"/>
        <w:keepLines w:val="0"/>
        <w:pageBreakBefore w:val="0"/>
        <w:widowControl w:val="0"/>
        <w:suppressLineNumbers w:val="0"/>
        <w:kinsoku/>
        <w:overflowPunct/>
        <w:autoSpaceDE/>
        <w:autoSpaceDN/>
        <w:bidi w:val="0"/>
        <w:spacing w:before="0" w:beforeAutospacing="0" w:after="0" w:afterAutospacing="0" w:line="460" w:lineRule="exact"/>
        <w:ind w:left="0" w:right="0" w:firstLine="640" w:firstLineChars="200"/>
        <w:jc w:val="both"/>
        <w:textAlignment w:val="auto"/>
        <w:rPr>
          <w:rFonts w:hint="eastAsia" w:ascii="仿宋" w:hAnsi="仿宋" w:eastAsia="仿宋" w:cs="仿宋"/>
          <w:b w:val="0"/>
          <w:bCs w:val="0"/>
          <w:color w:val="auto"/>
          <w:kern w:val="28"/>
          <w:sz w:val="32"/>
          <w:szCs w:val="32"/>
          <w:highlight w:val="none"/>
          <w:u w:val="none" w:color="auto"/>
          <w:lang w:val="en-US" w:eastAsia="zh-CN" w:bidi="ar-SA"/>
        </w:rPr>
      </w:pPr>
      <w:r>
        <w:rPr>
          <w:rFonts w:hint="eastAsia" w:ascii="仿宋" w:hAnsi="仿宋" w:eastAsia="仿宋" w:cs="仿宋"/>
          <w:b w:val="0"/>
          <w:bCs w:val="0"/>
          <w:color w:val="auto"/>
          <w:kern w:val="2"/>
          <w:sz w:val="32"/>
          <w:szCs w:val="32"/>
          <w:highlight w:val="none"/>
          <w:u w:val="none" w:color="auto"/>
          <w:lang w:val="en-US" w:eastAsia="zh-CN" w:bidi="ar"/>
        </w:rPr>
        <w:t>8、你公司核定的总量指标为：</w:t>
      </w:r>
      <w:r>
        <w:rPr>
          <w:rFonts w:hint="eastAsia" w:ascii="仿宋" w:hAnsi="仿宋" w:eastAsia="仿宋" w:cs="仿宋"/>
          <w:b w:val="0"/>
          <w:bCs w:val="0"/>
          <w:color w:val="auto"/>
          <w:kern w:val="0"/>
          <w:sz w:val="32"/>
          <w:szCs w:val="32"/>
          <w:highlight w:val="none"/>
          <w:u w:val="none" w:color="auto"/>
          <w:lang w:val="en-US" w:eastAsia="zh-CN" w:bidi="ar"/>
        </w:rPr>
        <w:t>本项目建成后全厂各项污染物排放量分别为：</w:t>
      </w:r>
      <w:r>
        <w:rPr>
          <w:rFonts w:hint="eastAsia" w:ascii="仿宋" w:hAnsi="仿宋" w:eastAsia="仿宋" w:cs="仿宋"/>
          <w:b w:val="0"/>
          <w:bCs w:val="0"/>
          <w:color w:val="auto"/>
          <w:kern w:val="28"/>
          <w:sz w:val="32"/>
          <w:szCs w:val="32"/>
          <w:highlight w:val="none"/>
          <w:u w:val="none" w:color="auto"/>
          <w:lang w:val="en-US" w:eastAsia="zh-CN" w:bidi="ar"/>
        </w:rPr>
        <w:t>COD:</w:t>
      </w:r>
      <w:r>
        <w:rPr>
          <w:rFonts w:hint="eastAsia" w:ascii="仿宋" w:hAnsi="仿宋" w:eastAsia="仿宋" w:cs="仿宋"/>
          <w:b w:val="0"/>
          <w:bCs w:val="0"/>
          <w:color w:val="auto"/>
          <w:kern w:val="0"/>
          <w:sz w:val="32"/>
          <w:szCs w:val="32"/>
          <w:highlight w:val="none"/>
          <w:u w:val="none" w:color="auto"/>
          <w:lang w:val="en-US" w:eastAsia="zh-CN" w:bidi="ar"/>
        </w:rPr>
        <w:t>0.159t/a、NH</w:t>
      </w:r>
      <w:r>
        <w:rPr>
          <w:rFonts w:hint="eastAsia" w:ascii="仿宋" w:hAnsi="仿宋" w:eastAsia="仿宋" w:cs="仿宋"/>
          <w:b w:val="0"/>
          <w:bCs w:val="0"/>
          <w:color w:val="auto"/>
          <w:kern w:val="0"/>
          <w:sz w:val="32"/>
          <w:szCs w:val="32"/>
          <w:highlight w:val="none"/>
          <w:u w:val="none" w:color="auto"/>
          <w:vertAlign w:val="subscript"/>
          <w:lang w:val="en-US" w:eastAsia="zh-CN" w:bidi="ar"/>
        </w:rPr>
        <w:t>3</w:t>
      </w:r>
      <w:r>
        <w:rPr>
          <w:rFonts w:hint="eastAsia" w:ascii="仿宋" w:hAnsi="仿宋" w:eastAsia="仿宋" w:cs="仿宋"/>
          <w:b w:val="0"/>
          <w:bCs w:val="0"/>
          <w:color w:val="auto"/>
          <w:kern w:val="0"/>
          <w:sz w:val="32"/>
          <w:szCs w:val="32"/>
          <w:highlight w:val="none"/>
          <w:u w:val="none" w:color="auto"/>
          <w:lang w:val="en-US" w:eastAsia="zh-CN" w:bidi="ar"/>
        </w:rPr>
        <w:t>-N:0.0159t/a</w:t>
      </w:r>
      <w:r>
        <w:rPr>
          <w:rFonts w:hint="eastAsia" w:ascii="仿宋" w:hAnsi="仿宋" w:eastAsia="仿宋" w:cs="仿宋"/>
          <w:b w:val="0"/>
          <w:bCs w:val="0"/>
          <w:color w:val="auto"/>
          <w:kern w:val="0"/>
          <w:sz w:val="32"/>
          <w:szCs w:val="32"/>
          <w:highlight w:val="none"/>
          <w:u w:val="none" w:color="auto"/>
          <w:lang w:val="en-US" w:eastAsia="zh-CN" w:bidi="ar"/>
        </w:rPr>
        <w:t>、二氧化硫:</w:t>
      </w:r>
      <w:r>
        <w:rPr>
          <w:rFonts w:hint="eastAsia" w:ascii="仿宋" w:hAnsi="仿宋" w:eastAsia="仿宋" w:cs="仿宋"/>
          <w:b w:val="0"/>
          <w:bCs w:val="0"/>
          <w:color w:val="auto"/>
          <w:kern w:val="0"/>
          <w:sz w:val="32"/>
          <w:szCs w:val="32"/>
          <w:highlight w:val="none"/>
          <w:u w:val="none" w:color="auto"/>
          <w:lang w:val="en-US" w:eastAsia="zh-CN" w:bidi="ar"/>
        </w:rPr>
        <w:t>0.014t/a、NO</w:t>
      </w:r>
      <w:r>
        <w:rPr>
          <w:rFonts w:hint="eastAsia" w:ascii="仿宋" w:hAnsi="仿宋" w:eastAsia="仿宋" w:cs="仿宋"/>
          <w:b w:val="0"/>
          <w:bCs w:val="0"/>
          <w:color w:val="auto"/>
          <w:kern w:val="0"/>
          <w:sz w:val="32"/>
          <w:szCs w:val="32"/>
          <w:highlight w:val="none"/>
          <w:u w:val="none" w:color="auto"/>
          <w:vertAlign w:val="subscript"/>
          <w:lang w:val="en-US" w:eastAsia="zh-CN" w:bidi="ar"/>
        </w:rPr>
        <w:t xml:space="preserve">X: </w:t>
      </w:r>
      <w:r>
        <w:rPr>
          <w:rFonts w:hint="eastAsia" w:ascii="仿宋" w:hAnsi="仿宋" w:eastAsia="仿宋" w:cs="仿宋"/>
          <w:b w:val="0"/>
          <w:bCs w:val="0"/>
          <w:color w:val="auto"/>
          <w:kern w:val="0"/>
          <w:sz w:val="32"/>
          <w:szCs w:val="32"/>
          <w:highlight w:val="none"/>
          <w:u w:val="none" w:color="auto"/>
          <w:lang w:val="en-US" w:eastAsia="zh-CN" w:bidi="ar"/>
        </w:rPr>
        <w:t>0.128t/a</w:t>
      </w:r>
      <w:r>
        <w:rPr>
          <w:rFonts w:hint="eastAsia" w:ascii="仿宋" w:hAnsi="仿宋" w:eastAsia="仿宋" w:cs="仿宋"/>
          <w:b w:val="0"/>
          <w:bCs w:val="0"/>
          <w:color w:val="auto"/>
          <w:kern w:val="0"/>
          <w:sz w:val="32"/>
          <w:szCs w:val="32"/>
          <w:highlight w:val="none"/>
          <w:u w:val="none" w:color="auto"/>
          <w:lang w:val="en-US" w:eastAsia="zh-CN" w:bidi="ar"/>
        </w:rPr>
        <w:t>、VOC</w:t>
      </w:r>
      <w:r>
        <w:rPr>
          <w:rFonts w:hint="eastAsia" w:ascii="仿宋" w:hAnsi="仿宋" w:eastAsia="仿宋" w:cs="仿宋"/>
          <w:b w:val="0"/>
          <w:bCs w:val="0"/>
          <w:color w:val="auto"/>
          <w:kern w:val="0"/>
          <w:sz w:val="32"/>
          <w:szCs w:val="32"/>
          <w:highlight w:val="none"/>
          <w:u w:val="none" w:color="auto"/>
          <w:vertAlign w:val="subscript"/>
          <w:lang w:val="en-US" w:eastAsia="zh-CN" w:bidi="ar"/>
        </w:rPr>
        <w:t>S:</w:t>
      </w:r>
      <w:r>
        <w:rPr>
          <w:rFonts w:hint="eastAsia" w:ascii="仿宋" w:hAnsi="仿宋" w:eastAsia="仿宋" w:cs="仿宋"/>
          <w:b w:val="0"/>
          <w:bCs w:val="0"/>
          <w:color w:val="auto"/>
          <w:kern w:val="0"/>
          <w:sz w:val="32"/>
          <w:szCs w:val="32"/>
          <w:highlight w:val="none"/>
          <w:u w:val="none" w:color="auto"/>
          <w:lang w:val="en-US" w:eastAsia="zh-CN" w:bidi="ar"/>
        </w:rPr>
        <w:t>3.36t/a。截止目前，你公司已拥有二氧化硫:</w:t>
      </w:r>
      <w:r>
        <w:rPr>
          <w:rFonts w:hint="eastAsia" w:ascii="仿宋" w:hAnsi="仿宋" w:eastAsia="仿宋" w:cs="仿宋"/>
          <w:b w:val="0"/>
          <w:bCs w:val="0"/>
          <w:color w:val="auto"/>
          <w:kern w:val="0"/>
          <w:sz w:val="32"/>
          <w:szCs w:val="32"/>
          <w:highlight w:val="none"/>
          <w:u w:val="none" w:color="auto"/>
          <w:lang w:val="en-US" w:eastAsia="zh-CN" w:bidi="ar"/>
        </w:rPr>
        <w:t>0.1t/a、NO</w:t>
      </w:r>
      <w:r>
        <w:rPr>
          <w:rFonts w:hint="eastAsia" w:ascii="仿宋" w:hAnsi="仿宋" w:eastAsia="仿宋" w:cs="仿宋"/>
          <w:b w:val="0"/>
          <w:bCs w:val="0"/>
          <w:color w:val="auto"/>
          <w:kern w:val="0"/>
          <w:sz w:val="32"/>
          <w:szCs w:val="32"/>
          <w:highlight w:val="none"/>
          <w:u w:val="none" w:color="auto"/>
          <w:vertAlign w:val="subscript"/>
          <w:lang w:val="en-US" w:eastAsia="zh-CN" w:bidi="ar"/>
        </w:rPr>
        <w:t>X :</w:t>
      </w:r>
      <w:r>
        <w:rPr>
          <w:rFonts w:hint="eastAsia" w:ascii="仿宋" w:hAnsi="仿宋" w:eastAsia="仿宋" w:cs="仿宋"/>
          <w:b w:val="0"/>
          <w:bCs w:val="0"/>
          <w:color w:val="auto"/>
          <w:kern w:val="0"/>
          <w:sz w:val="32"/>
          <w:szCs w:val="32"/>
          <w:highlight w:val="none"/>
          <w:u w:val="none" w:color="auto"/>
          <w:lang w:val="en-US" w:eastAsia="zh-CN" w:bidi="ar"/>
        </w:rPr>
        <w:t>0.1t/a</w:t>
      </w:r>
      <w:r>
        <w:rPr>
          <w:rFonts w:hint="eastAsia" w:ascii="仿宋" w:hAnsi="仿宋" w:eastAsia="仿宋" w:cs="仿宋"/>
          <w:b w:val="0"/>
          <w:bCs w:val="0"/>
          <w:color w:val="auto"/>
          <w:kern w:val="0"/>
          <w:sz w:val="32"/>
          <w:szCs w:val="32"/>
          <w:highlight w:val="none"/>
          <w:u w:val="none" w:color="auto"/>
          <w:lang w:val="en-US" w:eastAsia="zh-CN" w:bidi="ar"/>
        </w:rPr>
        <w:t>、NH</w:t>
      </w:r>
      <w:r>
        <w:rPr>
          <w:rFonts w:hint="eastAsia" w:ascii="仿宋" w:hAnsi="仿宋" w:eastAsia="仿宋" w:cs="仿宋"/>
          <w:b w:val="0"/>
          <w:bCs w:val="0"/>
          <w:color w:val="auto"/>
          <w:kern w:val="0"/>
          <w:sz w:val="32"/>
          <w:szCs w:val="32"/>
          <w:highlight w:val="none"/>
          <w:u w:val="none" w:color="auto"/>
          <w:vertAlign w:val="subscript"/>
          <w:lang w:val="en-US" w:eastAsia="zh-CN" w:bidi="ar"/>
        </w:rPr>
        <w:t>3</w:t>
      </w:r>
      <w:r>
        <w:rPr>
          <w:rFonts w:hint="eastAsia" w:ascii="仿宋" w:hAnsi="仿宋" w:eastAsia="仿宋" w:cs="仿宋"/>
          <w:b w:val="0"/>
          <w:bCs w:val="0"/>
          <w:color w:val="auto"/>
          <w:kern w:val="0"/>
          <w:sz w:val="32"/>
          <w:szCs w:val="32"/>
          <w:highlight w:val="none"/>
          <w:u w:val="none" w:color="auto"/>
          <w:lang w:val="en-US" w:eastAsia="zh-CN" w:bidi="ar"/>
        </w:rPr>
        <w:t>-N :0.1t/a、</w:t>
      </w:r>
      <w:r>
        <w:rPr>
          <w:rFonts w:hint="eastAsia" w:ascii="仿宋" w:hAnsi="仿宋" w:eastAsia="仿宋" w:cs="仿宋"/>
          <w:b w:val="0"/>
          <w:bCs w:val="0"/>
          <w:color w:val="auto"/>
          <w:kern w:val="0"/>
          <w:sz w:val="32"/>
          <w:szCs w:val="32"/>
          <w:highlight w:val="none"/>
          <w:u w:val="none" w:color="auto"/>
          <w:lang w:val="en-US" w:eastAsia="zh-CN" w:bidi="ar"/>
        </w:rPr>
        <w:t>COD :0.1t/a，因此需新增申请购买总量指标</w:t>
      </w:r>
      <w:r>
        <w:rPr>
          <w:rFonts w:hint="eastAsia" w:ascii="仿宋" w:hAnsi="仿宋" w:eastAsia="仿宋" w:cs="仿宋"/>
          <w:b w:val="0"/>
          <w:bCs w:val="0"/>
          <w:color w:val="auto"/>
          <w:kern w:val="28"/>
          <w:sz w:val="32"/>
          <w:szCs w:val="32"/>
          <w:highlight w:val="none"/>
          <w:u w:val="none" w:color="auto"/>
          <w:lang w:val="en-US" w:eastAsia="zh-CN" w:bidi="ar"/>
        </w:rPr>
        <w:t>COD：</w:t>
      </w:r>
      <w:r>
        <w:rPr>
          <w:rFonts w:hint="eastAsia" w:ascii="仿宋" w:hAnsi="仿宋" w:eastAsia="仿宋" w:cs="仿宋"/>
          <w:b w:val="0"/>
          <w:bCs w:val="0"/>
          <w:color w:val="auto"/>
          <w:kern w:val="0"/>
          <w:sz w:val="32"/>
          <w:szCs w:val="32"/>
          <w:highlight w:val="none"/>
          <w:u w:val="none" w:color="auto"/>
          <w:lang w:val="en-US" w:eastAsia="zh-CN" w:bidi="ar"/>
        </w:rPr>
        <w:t>0.06</w:t>
      </w:r>
      <w:r>
        <w:rPr>
          <w:rFonts w:hint="eastAsia" w:ascii="仿宋" w:hAnsi="仿宋" w:eastAsia="仿宋" w:cs="仿宋"/>
          <w:b w:val="0"/>
          <w:bCs w:val="0"/>
          <w:color w:val="auto"/>
          <w:kern w:val="28"/>
          <w:sz w:val="32"/>
          <w:szCs w:val="32"/>
          <w:highlight w:val="none"/>
          <w:u w:val="none" w:color="auto"/>
          <w:lang w:val="en-US" w:eastAsia="zh-CN" w:bidi="ar"/>
        </w:rPr>
        <w:t>t/a、</w:t>
      </w:r>
      <w:r>
        <w:rPr>
          <w:rFonts w:hint="eastAsia" w:ascii="仿宋" w:hAnsi="仿宋" w:eastAsia="仿宋" w:cs="仿宋"/>
          <w:b w:val="0"/>
          <w:bCs w:val="0"/>
          <w:color w:val="auto"/>
          <w:kern w:val="0"/>
          <w:sz w:val="32"/>
          <w:szCs w:val="32"/>
          <w:highlight w:val="none"/>
          <w:u w:val="none" w:color="auto"/>
          <w:lang w:val="en-US" w:eastAsia="zh-CN" w:bidi="ar"/>
        </w:rPr>
        <w:t>NO</w:t>
      </w:r>
      <w:r>
        <w:rPr>
          <w:rFonts w:hint="eastAsia" w:ascii="仿宋" w:hAnsi="仿宋" w:eastAsia="仿宋" w:cs="仿宋"/>
          <w:b w:val="0"/>
          <w:bCs w:val="0"/>
          <w:color w:val="auto"/>
          <w:kern w:val="0"/>
          <w:sz w:val="32"/>
          <w:szCs w:val="32"/>
          <w:highlight w:val="none"/>
          <w:u w:val="none" w:color="auto"/>
          <w:vertAlign w:val="subscript"/>
          <w:lang w:val="en-US" w:eastAsia="zh-CN" w:bidi="ar"/>
        </w:rPr>
        <w:t>X</w:t>
      </w:r>
      <w:r>
        <w:rPr>
          <w:rFonts w:hint="eastAsia" w:ascii="仿宋" w:hAnsi="仿宋" w:eastAsia="仿宋" w:cs="仿宋"/>
          <w:b w:val="0"/>
          <w:bCs w:val="0"/>
          <w:color w:val="auto"/>
          <w:kern w:val="0"/>
          <w:sz w:val="32"/>
          <w:szCs w:val="32"/>
          <w:highlight w:val="none"/>
          <w:u w:val="none" w:color="auto"/>
          <w:vertAlign w:val="baseline"/>
          <w:lang w:val="en-US" w:eastAsia="zh-CN" w:bidi="ar"/>
        </w:rPr>
        <w:t>：</w:t>
      </w:r>
      <w:r>
        <w:rPr>
          <w:rFonts w:hint="eastAsia" w:ascii="仿宋" w:hAnsi="仿宋" w:eastAsia="仿宋" w:cs="仿宋"/>
          <w:b w:val="0"/>
          <w:bCs w:val="0"/>
          <w:color w:val="auto"/>
          <w:kern w:val="0"/>
          <w:sz w:val="32"/>
          <w:szCs w:val="32"/>
          <w:highlight w:val="none"/>
          <w:u w:val="none" w:color="auto"/>
          <w:lang w:val="en-US" w:eastAsia="zh-CN" w:bidi="ar"/>
        </w:rPr>
        <w:t>0.03</w:t>
      </w:r>
      <w:r>
        <w:rPr>
          <w:rFonts w:hint="eastAsia" w:ascii="仿宋" w:hAnsi="仿宋" w:eastAsia="仿宋" w:cs="仿宋"/>
          <w:b w:val="0"/>
          <w:bCs w:val="0"/>
          <w:color w:val="auto"/>
          <w:kern w:val="28"/>
          <w:sz w:val="32"/>
          <w:szCs w:val="32"/>
          <w:highlight w:val="none"/>
          <w:u w:val="none" w:color="auto"/>
          <w:lang w:val="en-US" w:eastAsia="zh-CN" w:bidi="ar"/>
        </w:rPr>
        <w:t>t/a 、</w:t>
      </w:r>
      <w:r>
        <w:rPr>
          <w:rFonts w:hint="eastAsia" w:ascii="仿宋" w:hAnsi="仿宋" w:eastAsia="仿宋" w:cs="仿宋"/>
          <w:b w:val="0"/>
          <w:bCs w:val="0"/>
          <w:color w:val="auto"/>
          <w:kern w:val="28"/>
          <w:sz w:val="32"/>
          <w:szCs w:val="32"/>
          <w:highlight w:val="none"/>
          <w:u w:val="none" w:color="auto"/>
          <w:lang w:val="en-US" w:eastAsia="zh-CN" w:bidi="ar-SA"/>
        </w:rPr>
        <w:t>VOCs：1.9t/a。</w:t>
      </w:r>
    </w:p>
    <w:p w14:paraId="6D036482">
      <w:pPr>
        <w:keepNext w:val="0"/>
        <w:keepLines w:val="0"/>
        <w:pageBreakBefore w:val="0"/>
        <w:autoSpaceDE/>
        <w:autoSpaceDN/>
        <w:bidi w:val="0"/>
        <w:spacing w:line="460" w:lineRule="exact"/>
        <w:textAlignment w:val="auto"/>
        <w:rPr>
          <w:rFonts w:hint="eastAsia" w:ascii="仿宋" w:hAnsi="仿宋" w:eastAsia="仿宋" w:cs="仿宋"/>
          <w:b w:val="0"/>
          <w:bCs w:val="0"/>
          <w:color w:val="auto"/>
          <w:sz w:val="32"/>
          <w:szCs w:val="32"/>
          <w:highlight w:val="none"/>
          <w:u w:val="none" w:color="auto"/>
          <w:lang w:val="en-US" w:eastAsia="zh-CN"/>
        </w:rPr>
      </w:pPr>
      <w:r>
        <w:rPr>
          <w:rFonts w:hint="eastAsia" w:ascii="仿宋" w:hAnsi="仿宋" w:eastAsia="仿宋" w:cs="仿宋"/>
          <w:b w:val="0"/>
          <w:bCs w:val="0"/>
          <w:color w:val="auto"/>
          <w:kern w:val="28"/>
          <w:sz w:val="32"/>
          <w:szCs w:val="32"/>
          <w:highlight w:val="none"/>
          <w:u w:val="none" w:color="auto"/>
          <w:lang w:val="en-US" w:eastAsia="zh-CN" w:bidi="ar-SA"/>
        </w:rPr>
        <w:t xml:space="preserve">    9、严格落实</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以新带老</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措施</w:t>
      </w:r>
      <w:r>
        <w:rPr>
          <w:rFonts w:hint="eastAsia" w:ascii="仿宋" w:hAnsi="仿宋" w:eastAsia="仿宋" w:cs="仿宋"/>
          <w:b w:val="0"/>
          <w:bCs w:val="0"/>
          <w:color w:val="auto"/>
          <w:sz w:val="32"/>
          <w:szCs w:val="32"/>
          <w:highlight w:val="none"/>
          <w:u w:val="none" w:color="auto"/>
          <w:lang w:eastAsia="zh-CN"/>
        </w:rPr>
        <w:t>。</w:t>
      </w:r>
    </w:p>
    <w:p w14:paraId="69D7987F">
      <w:pPr>
        <w:keepNext w:val="0"/>
        <w:keepLines w:val="0"/>
        <w:pageBreakBefore w:val="0"/>
        <w:kinsoku/>
        <w:overflowPunct/>
        <w:autoSpaceDE/>
        <w:autoSpaceDN/>
        <w:bidi w:val="0"/>
        <w:adjustRightInd w:val="0"/>
        <w:spacing w:line="460" w:lineRule="exact"/>
        <w:ind w:firstLine="640" w:firstLineChars="200"/>
        <w:jc w:val="left"/>
        <w:textAlignment w:val="auto"/>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三、你公司应在收到本批复后15个工作日内，将批复及批准的环评报告文本送至岳阳市生态环境局岳阳县分局、</w:t>
      </w:r>
      <w:r>
        <w:rPr>
          <w:rFonts w:hint="eastAsia" w:ascii="仿宋" w:hAnsi="仿宋" w:eastAsia="仿宋" w:cs="仿宋"/>
          <w:b w:val="0"/>
          <w:bCs w:val="0"/>
          <w:color w:val="auto"/>
          <w:sz w:val="32"/>
          <w:szCs w:val="32"/>
          <w:highlight w:val="none"/>
          <w:u w:val="none" w:color="auto"/>
        </w:rPr>
        <w:t>湖南京帝环保科技研究院有限公司</w:t>
      </w:r>
      <w:r>
        <w:rPr>
          <w:rFonts w:hint="eastAsia" w:ascii="仿宋" w:hAnsi="仿宋" w:eastAsia="仿宋" w:cs="仿宋"/>
          <w:b w:val="0"/>
          <w:bCs w:val="0"/>
          <w:color w:val="auto"/>
          <w:kern w:val="2"/>
          <w:sz w:val="32"/>
          <w:szCs w:val="32"/>
          <w:highlight w:val="none"/>
          <w:u w:val="none" w:color="auto"/>
          <w:lang w:val="en-US" w:eastAsia="zh-CN" w:bidi="ar"/>
        </w:rPr>
        <w:t>。</w:t>
      </w:r>
    </w:p>
    <w:p w14:paraId="324172B7">
      <w:pPr>
        <w:keepNext w:val="0"/>
        <w:keepLines w:val="0"/>
        <w:pageBreakBefore w:val="0"/>
        <w:widowControl w:val="0"/>
        <w:suppressLineNumbers w:val="0"/>
        <w:kinsoku/>
        <w:wordWrap w:val="0"/>
        <w:overflowPunct/>
        <w:topLinePunct/>
        <w:autoSpaceDE/>
        <w:autoSpaceDN/>
        <w:bidi w:val="0"/>
        <w:spacing w:before="0" w:beforeAutospacing="0" w:after="0" w:afterAutospacing="0" w:line="460" w:lineRule="exact"/>
        <w:ind w:left="0" w:right="0" w:firstLine="640" w:firstLineChars="200"/>
        <w:jc w:val="both"/>
        <w:textAlignment w:val="auto"/>
        <w:rPr>
          <w:rFonts w:hint="eastAsia" w:ascii="仿宋" w:hAnsi="仿宋" w:eastAsia="仿宋" w:cs="仿宋"/>
          <w:b w:val="0"/>
          <w:bCs w:val="0"/>
          <w:color w:val="auto"/>
          <w:kern w:val="2"/>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
        </w:rPr>
        <w:t>四、请岳阳市生态环境局岳阳县分局负责项目建设期和运营期的日常环境监管。</w:t>
      </w:r>
    </w:p>
    <w:p w14:paraId="5E4AECA3">
      <w:pPr>
        <w:keepNext w:val="0"/>
        <w:keepLines w:val="0"/>
        <w:pageBreakBefore w:val="0"/>
        <w:widowControl/>
        <w:suppressLineNumbers w:val="0"/>
        <w:kinsoku w:val="0"/>
        <w:wordWrap w:val="0"/>
        <w:overflowPunct w:val="0"/>
        <w:topLinePunct w:val="0"/>
        <w:autoSpaceDE/>
        <w:autoSpaceDN/>
        <w:bidi w:val="0"/>
        <w:snapToGrid w:val="0"/>
        <w:spacing w:before="0" w:beforeAutospacing="0" w:after="0" w:afterAutospacing="0" w:line="480" w:lineRule="exact"/>
        <w:ind w:right="0" w:firstLine="5440" w:firstLineChars="1700"/>
        <w:jc w:val="both"/>
        <w:rPr>
          <w:rFonts w:hint="eastAsia" w:ascii="仿宋" w:hAnsi="仿宋" w:eastAsia="仿宋" w:cs="仿宋"/>
          <w:b w:val="0"/>
          <w:bCs w:val="0"/>
          <w:color w:val="auto"/>
          <w:kern w:val="2"/>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
        </w:rPr>
        <w:t>岳阳市生态环境局</w:t>
      </w:r>
    </w:p>
    <w:p w14:paraId="481AD063">
      <w:pPr>
        <w:keepNext w:val="0"/>
        <w:keepLines w:val="0"/>
        <w:pageBreakBefore w:val="0"/>
        <w:widowControl w:val="0"/>
        <w:suppressLineNumbers w:val="0"/>
        <w:kinsoku w:val="0"/>
        <w:wordWrap w:val="0"/>
        <w:overflowPunct w:val="0"/>
        <w:topLinePunct w:val="0"/>
        <w:autoSpaceDE/>
        <w:autoSpaceDN/>
        <w:bidi w:val="0"/>
        <w:spacing w:before="0" w:beforeAutospacing="0" w:after="0" w:afterAutospacing="0" w:line="480" w:lineRule="exact"/>
        <w:ind w:left="0" w:right="0"/>
        <w:jc w:val="both"/>
        <w:rPr>
          <w:rFonts w:hint="eastAsia" w:ascii="仿宋" w:hAnsi="仿宋" w:eastAsia="仿宋" w:cs="仿宋"/>
          <w:b w:val="0"/>
          <w:bCs w:val="0"/>
          <w:color w:val="auto"/>
          <w:sz w:val="32"/>
          <w:szCs w:val="32"/>
          <w:highlight w:val="none"/>
          <w:u w:val="none" w:color="auto"/>
        </w:rPr>
      </w:pPr>
      <w:r>
        <w:rPr>
          <w:rFonts w:hint="eastAsia" w:ascii="仿宋" w:hAnsi="仿宋" w:eastAsia="仿宋" w:cs="仿宋"/>
          <w:b w:val="0"/>
          <w:bCs w:val="0"/>
          <w:color w:val="auto"/>
          <w:kern w:val="2"/>
          <w:sz w:val="32"/>
          <w:szCs w:val="32"/>
          <w:highlight w:val="none"/>
          <w:u w:val="none" w:color="auto"/>
          <w:lang w:val="en-US" w:eastAsia="zh-CN" w:bidi="ar"/>
        </w:rPr>
        <w:t xml:space="preserve">                                  2024年7月1日</w:t>
      </w:r>
    </w:p>
    <w:sectPr>
      <w:footerReference r:id="rId3" w:type="default"/>
      <w:pgSz w:w="11906" w:h="16838"/>
      <w:pgMar w:top="1304" w:right="1474" w:bottom="1247"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62D6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C6DC8">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3C6DC8">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3EB03"/>
    <w:multiLevelType w:val="singleLevel"/>
    <w:tmpl w:val="A373EB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DIxOTg1Y2IyNTIxZTQzNzE4NWY4NzljZDZiMDUifQ=="/>
  </w:docVars>
  <w:rsids>
    <w:rsidRoot w:val="00000000"/>
    <w:rsid w:val="005039AE"/>
    <w:rsid w:val="00D57384"/>
    <w:rsid w:val="04DD2C88"/>
    <w:rsid w:val="0B3B6F20"/>
    <w:rsid w:val="0FFB2011"/>
    <w:rsid w:val="10AA6129"/>
    <w:rsid w:val="11F33019"/>
    <w:rsid w:val="12566287"/>
    <w:rsid w:val="15AA656E"/>
    <w:rsid w:val="169D549A"/>
    <w:rsid w:val="18B27F3E"/>
    <w:rsid w:val="18CB677D"/>
    <w:rsid w:val="196860AE"/>
    <w:rsid w:val="19A26186"/>
    <w:rsid w:val="1BD3043A"/>
    <w:rsid w:val="1E05485B"/>
    <w:rsid w:val="1E22173B"/>
    <w:rsid w:val="1F9E2816"/>
    <w:rsid w:val="202B71FA"/>
    <w:rsid w:val="20A74C21"/>
    <w:rsid w:val="21336C34"/>
    <w:rsid w:val="249F581A"/>
    <w:rsid w:val="25CE46DD"/>
    <w:rsid w:val="26117AE7"/>
    <w:rsid w:val="26673750"/>
    <w:rsid w:val="2767391D"/>
    <w:rsid w:val="28052EE7"/>
    <w:rsid w:val="282E3CEA"/>
    <w:rsid w:val="2AD65872"/>
    <w:rsid w:val="2BF15EE5"/>
    <w:rsid w:val="2E044454"/>
    <w:rsid w:val="2F99513F"/>
    <w:rsid w:val="2FB86F68"/>
    <w:rsid w:val="309A0123"/>
    <w:rsid w:val="3121625B"/>
    <w:rsid w:val="31DC3098"/>
    <w:rsid w:val="32DC32D2"/>
    <w:rsid w:val="33442319"/>
    <w:rsid w:val="394F5704"/>
    <w:rsid w:val="3E101BC8"/>
    <w:rsid w:val="404A1044"/>
    <w:rsid w:val="41587A00"/>
    <w:rsid w:val="41C017A9"/>
    <w:rsid w:val="43FE7BD7"/>
    <w:rsid w:val="44316F05"/>
    <w:rsid w:val="44D254FC"/>
    <w:rsid w:val="44EF24B6"/>
    <w:rsid w:val="457051B2"/>
    <w:rsid w:val="4D056EBC"/>
    <w:rsid w:val="50C66479"/>
    <w:rsid w:val="52E53585"/>
    <w:rsid w:val="53C91D1E"/>
    <w:rsid w:val="545C1D7C"/>
    <w:rsid w:val="57C76782"/>
    <w:rsid w:val="5AF7049C"/>
    <w:rsid w:val="5B7E15EC"/>
    <w:rsid w:val="5C766531"/>
    <w:rsid w:val="5E880BAF"/>
    <w:rsid w:val="5F2E3757"/>
    <w:rsid w:val="5FFB0633"/>
    <w:rsid w:val="6065438E"/>
    <w:rsid w:val="613D23D3"/>
    <w:rsid w:val="61C15914"/>
    <w:rsid w:val="63577E08"/>
    <w:rsid w:val="650005BA"/>
    <w:rsid w:val="662875A1"/>
    <w:rsid w:val="67031A9D"/>
    <w:rsid w:val="67C11603"/>
    <w:rsid w:val="68257FC0"/>
    <w:rsid w:val="6873723D"/>
    <w:rsid w:val="68860414"/>
    <w:rsid w:val="68A610C0"/>
    <w:rsid w:val="68BF5CF0"/>
    <w:rsid w:val="68D92CCD"/>
    <w:rsid w:val="68F43BB9"/>
    <w:rsid w:val="6A2B7DCF"/>
    <w:rsid w:val="6ADD0FD4"/>
    <w:rsid w:val="6ADE00C7"/>
    <w:rsid w:val="6CE66C1F"/>
    <w:rsid w:val="6D364AA2"/>
    <w:rsid w:val="6E95615F"/>
    <w:rsid w:val="6FD77D91"/>
    <w:rsid w:val="71E14565"/>
    <w:rsid w:val="73C230E1"/>
    <w:rsid w:val="764141B6"/>
    <w:rsid w:val="765661D4"/>
    <w:rsid w:val="78302B99"/>
    <w:rsid w:val="78BA1272"/>
    <w:rsid w:val="79D85059"/>
    <w:rsid w:val="79FA08A9"/>
    <w:rsid w:val="7C514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10"/>
    <w:qFormat/>
    <w:uiPriority w:val="0"/>
    <w:pPr>
      <w:spacing w:after="120" w:afterLines="0" w:afterAutospacing="0"/>
    </w:pPr>
  </w:style>
  <w:style w:type="paragraph" w:customStyle="1" w:styleId="3">
    <w:name w:val="xl27"/>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left="420" w:leftChars="200"/>
      <w:jc w:val="center"/>
    </w:pPr>
    <w:rPr>
      <w:rFonts w:ascii="新宋体-18030" w:hAnsi="新宋体-18030" w:eastAsia="新宋体-18030" w:cs="新宋体-18030"/>
      <w:kern w:val="0"/>
      <w:sz w:val="21"/>
      <w:szCs w:val="24"/>
      <w:lang w:val="en-US" w:eastAsia="zh-CN" w:bidi="ar-SA"/>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keepNext w:val="0"/>
      <w:keepLines w:val="0"/>
      <w:widowControl w:val="0"/>
      <w:suppressLineNumbers w:val="0"/>
      <w:spacing w:before="120" w:beforeAutospacing="0" w:after="120" w:afterAutospacing="0"/>
      <w:ind w:left="0" w:right="0"/>
      <w:jc w:val="left"/>
    </w:pPr>
    <w:rPr>
      <w:rFonts w:hint="default" w:ascii="Calibri" w:hAnsi="Calibri" w:eastAsia="宋体" w:cs="Times New Roman"/>
      <w:b/>
      <w:bCs/>
      <w:caps/>
      <w:kern w:val="2"/>
      <w:sz w:val="20"/>
      <w:szCs w:val="20"/>
      <w:lang w:val="en-US" w:eastAsia="zh-CN" w:bidi="ar"/>
    </w:rPr>
  </w:style>
  <w:style w:type="paragraph" w:customStyle="1" w:styleId="9">
    <w:name w:val="0"/>
    <w:basedOn w:val="1"/>
    <w:qFormat/>
    <w:uiPriority w:val="0"/>
    <w:pPr>
      <w:keepNext w:val="0"/>
      <w:keepLines w:val="0"/>
      <w:widowControl/>
      <w:suppressLineNumbers w:val="0"/>
      <w:snapToGrid w:val="0"/>
      <w:spacing w:before="0" w:beforeAutospacing="0" w:after="0" w:afterAutospacing="0" w:line="365" w:lineRule="atLeast"/>
      <w:ind w:left="1" w:right="0"/>
      <w:jc w:val="both"/>
    </w:pPr>
    <w:rPr>
      <w:rFonts w:hint="default" w:ascii="Times New Roman" w:hAnsi="Times New Roman" w:eastAsia="宋体" w:cs="Times New Roman"/>
      <w:kern w:val="0"/>
      <w:sz w:val="20"/>
      <w:szCs w:val="20"/>
      <w:lang w:val="en-US" w:eastAsia="zh-CN" w:bidi="ar"/>
    </w:rPr>
  </w:style>
  <w:style w:type="character" w:customStyle="1" w:styleId="10">
    <w:name w:val="正文文本 字符"/>
    <w:basedOn w:val="8"/>
    <w:link w:val="2"/>
    <w:qFormat/>
    <w:uiPriority w:val="0"/>
    <w:rPr>
      <w:kern w:val="2"/>
      <w:sz w:val="21"/>
    </w:rPr>
  </w:style>
  <w:style w:type="character" w:customStyle="1" w:styleId="11">
    <w:name w:val="页脚 字符"/>
    <w:basedOn w:val="8"/>
    <w:link w:val="4"/>
    <w:qFormat/>
    <w:uiPriority w:val="0"/>
    <w:rPr>
      <w:kern w:val="2"/>
      <w:sz w:val="18"/>
    </w:rPr>
  </w:style>
  <w:style w:type="paragraph" w:customStyle="1" w:styleId="12">
    <w:name w:val="p0"/>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Calibri"/>
      <w:kern w:val="0"/>
      <w:sz w:val="21"/>
      <w:szCs w:val="21"/>
      <w:lang w:val="en-US" w:eastAsia="zh-CN" w:bidi="ar"/>
    </w:rPr>
  </w:style>
  <w:style w:type="paragraph" w:customStyle="1" w:styleId="13">
    <w:name w:val="正文1"/>
    <w:basedOn w:val="1"/>
    <w:next w:val="1"/>
    <w:qFormat/>
    <w:uiPriority w:val="0"/>
    <w:pPr>
      <w:keepNext w:val="0"/>
      <w:keepLines w:val="0"/>
      <w:widowControl w:val="0"/>
      <w:suppressLineNumbers w:val="0"/>
      <w:spacing w:before="0" w:beforeAutospacing="0" w:after="0" w:afterAutospacing="0" w:line="360" w:lineRule="auto"/>
      <w:ind w:left="0" w:right="0" w:firstLine="723" w:firstLineChars="200"/>
      <w:jc w:val="both"/>
    </w:pPr>
    <w:rPr>
      <w:rFonts w:hint="default" w:ascii="Calibri" w:hAnsi="Calibri" w:eastAsia="宋体" w:cs="Times New Roman"/>
      <w:kern w:val="0"/>
      <w:sz w:val="24"/>
      <w:szCs w:val="20"/>
      <w:lang w:val="en-US" w:eastAsia="zh-CN" w:bidi="ar"/>
    </w:rPr>
  </w:style>
  <w:style w:type="paragraph" w:customStyle="1" w:styleId="14">
    <w:name w:val="hj-正文"/>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0"/>
      <w:sz w:val="2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2709</Words>
  <Characters>3069</Characters>
  <Lines>0</Lines>
  <Paragraphs>0</Paragraphs>
  <TotalTime>3</TotalTime>
  <ScaleCrop>false</ScaleCrop>
  <LinksUpToDate>false</LinksUpToDate>
  <CharactersWithSpaces>3116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2023-03-02T09:22:00Z</dcterms:created>
  <dc:creator>LENOVO</dc:creator>
  <cp:lastModifiedBy>曾政嘉</cp:lastModifiedBy>
  <cp:lastPrinted>2024-07-01T07:26:15Z</cp:lastPrinted>
  <dcterms:modified xsi:type="dcterms:W3CDTF">2024-07-01T07:26:16Z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D2EC3B809E1C4359B6F2E3D3722A9448_13</vt:lpwstr>
  </property>
</Properties>
</file>