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wordWrap w:val="0"/>
        <w:topLinePunct/>
        <w:spacing w:before="312" w:beforeLines="100" w:beforeAutospacing="0" w:after="0" w:afterAutospacing="0" w:line="500" w:lineRule="exact"/>
        <w:ind w:left="0" w:right="0"/>
        <w:jc w:val="right"/>
        <w:rPr>
          <w:rFonts w:hint="eastAsia" w:ascii="Times New Roman" w:hAnsi="Times New Roman" w:eastAsia="仿宋" w:cs="Times New Roman"/>
          <w:kern w:val="0"/>
          <w:sz w:val="30"/>
          <w:szCs w:val="30"/>
          <w:lang w:val="en-US" w:eastAsia="zh-CN" w:bidi="ar"/>
        </w:rPr>
      </w:pPr>
    </w:p>
    <w:p>
      <w:pPr>
        <w:pStyle w:val="5"/>
        <w:keepNext w:val="0"/>
        <w:keepLines w:val="0"/>
        <w:widowControl/>
        <w:suppressLineNumbers w:val="0"/>
        <w:wordWrap w:val="0"/>
        <w:topLinePunct/>
        <w:spacing w:before="312" w:beforeLines="100" w:beforeAutospacing="0" w:after="0" w:afterAutospacing="0" w:line="500" w:lineRule="exact"/>
        <w:ind w:left="0" w:right="0"/>
        <w:jc w:val="right"/>
        <w:rPr>
          <w:rFonts w:hint="eastAsia" w:ascii="Times New Roman" w:hAnsi="Times New Roman" w:eastAsia="仿宋" w:cs="Times New Roman"/>
          <w:kern w:val="0"/>
          <w:sz w:val="30"/>
          <w:szCs w:val="30"/>
          <w:lang w:val="en-US" w:eastAsia="zh-CN" w:bidi="ar"/>
        </w:rPr>
      </w:pPr>
    </w:p>
    <w:p>
      <w:pPr>
        <w:pStyle w:val="5"/>
        <w:keepNext w:val="0"/>
        <w:keepLines w:val="0"/>
        <w:widowControl/>
        <w:suppressLineNumbers w:val="0"/>
        <w:wordWrap w:val="0"/>
        <w:topLinePunct/>
        <w:spacing w:before="312" w:beforeLines="100" w:beforeAutospacing="0" w:after="0" w:afterAutospacing="0" w:line="500" w:lineRule="exact"/>
        <w:ind w:left="0" w:right="0"/>
        <w:jc w:val="right"/>
        <w:rPr>
          <w:rFonts w:hint="default" w:ascii="Times New Roman" w:hAnsi="Times New Roman" w:eastAsia="仿宋" w:cs="Times New Roman"/>
          <w:kern w:val="2"/>
          <w:sz w:val="30"/>
          <w:szCs w:val="30"/>
          <w:lang w:val="en-US"/>
        </w:rPr>
      </w:pPr>
      <w:r>
        <w:rPr>
          <w:rFonts w:hint="eastAsia" w:ascii="Times New Roman" w:hAnsi="Times New Roman" w:eastAsia="仿宋" w:cs="Times New Roman"/>
          <w:kern w:val="0"/>
          <w:sz w:val="30"/>
          <w:szCs w:val="30"/>
          <w:lang w:val="en-US" w:eastAsia="zh-CN" w:bidi="ar"/>
        </w:rPr>
        <w:t>岳环评〔</w:t>
      </w:r>
      <w:r>
        <w:rPr>
          <w:rFonts w:hint="default" w:ascii="Times New Roman" w:hAnsi="Times New Roman" w:eastAsia="仿宋" w:cs="Times New Roman"/>
          <w:kern w:val="0"/>
          <w:sz w:val="30"/>
          <w:szCs w:val="30"/>
          <w:lang w:val="en-US" w:eastAsia="zh-CN" w:bidi="ar"/>
        </w:rPr>
        <w:t>2024</w:t>
      </w:r>
      <w:r>
        <w:rPr>
          <w:rFonts w:hint="eastAsia" w:ascii="Times New Roman" w:hAnsi="Times New Roman" w:eastAsia="仿宋" w:cs="Times New Roman"/>
          <w:kern w:val="0"/>
          <w:sz w:val="30"/>
          <w:szCs w:val="30"/>
          <w:lang w:val="en-US" w:eastAsia="zh-CN" w:bidi="ar"/>
        </w:rPr>
        <w:t>〕24</w:t>
      </w:r>
      <w:r>
        <w:rPr>
          <w:rFonts w:hint="default" w:ascii="Times New Roman" w:hAnsi="Times New Roman" w:eastAsia="仿宋" w:cs="Times New Roman"/>
          <w:kern w:val="0"/>
          <w:sz w:val="30"/>
          <w:szCs w:val="30"/>
          <w:lang w:val="en-US" w:eastAsia="zh-CN" w:bidi="ar"/>
        </w:rPr>
        <w:t xml:space="preserve"> </w:t>
      </w:r>
      <w:r>
        <w:rPr>
          <w:rFonts w:hint="eastAsia" w:ascii="Times New Roman" w:hAnsi="Times New Roman" w:eastAsia="仿宋" w:cs="Times New Roman"/>
          <w:kern w:val="0"/>
          <w:sz w:val="30"/>
          <w:szCs w:val="30"/>
          <w:lang w:val="en-US" w:eastAsia="zh-CN" w:bidi="ar"/>
        </w:rPr>
        <w:t>号</w:t>
      </w:r>
    </w:p>
    <w:p>
      <w:pPr>
        <w:keepNext w:val="0"/>
        <w:keepLines w:val="0"/>
        <w:widowControl/>
        <w:suppressLineNumbers w:val="0"/>
        <w:adjustRightInd w:val="0"/>
        <w:snapToGrid w:val="0"/>
        <w:spacing w:before="0" w:beforeAutospacing="0" w:after="312" w:afterLines="100" w:afterAutospacing="0" w:line="500" w:lineRule="exact"/>
        <w:ind w:left="0" w:right="0"/>
        <w:jc w:val="center"/>
        <w:rPr>
          <w:rFonts w:ascii="Calibri" w:hAnsi="Calibri" w:eastAsia="仿宋" w:cs="Calibri"/>
          <w:b/>
          <w:bCs/>
          <w:sz w:val="44"/>
          <w:szCs w:val="44"/>
          <w:lang w:val="en-US"/>
        </w:rPr>
      </w:pPr>
      <w:r>
        <w:rPr>
          <w:rFonts w:hint="eastAsia" w:ascii="Times New Roman" w:hAnsi="Times New Roman" w:eastAsia="仿宋" w:cs="仿宋"/>
          <w:b/>
          <w:bCs/>
          <w:w w:val="98"/>
          <w:kern w:val="0"/>
          <w:sz w:val="44"/>
          <w:szCs w:val="44"/>
          <w:lang w:val="en-US" w:eastAsia="zh-CN" w:bidi="ar"/>
        </w:rPr>
        <w:t>关于</w:t>
      </w:r>
      <w:r>
        <w:rPr>
          <w:rFonts w:hint="eastAsia" w:ascii="Times New Roman" w:hAnsi="Times New Roman" w:eastAsia="仿宋" w:cs="仿宋"/>
          <w:b/>
          <w:bCs/>
          <w:kern w:val="2"/>
          <w:sz w:val="44"/>
          <w:szCs w:val="44"/>
          <w:lang w:val="en-US" w:eastAsia="zh-CN" w:bidi="ar"/>
        </w:rPr>
        <w:t>岳阳市君山区鑫兴塑料包装厂年产编织袋</w:t>
      </w:r>
      <w:r>
        <w:rPr>
          <w:rFonts w:hint="default" w:ascii="Times New Roman" w:hAnsi="Times New Roman" w:eastAsia="仿宋" w:cs="Times New Roman"/>
          <w:b/>
          <w:bCs/>
          <w:kern w:val="2"/>
          <w:sz w:val="44"/>
          <w:szCs w:val="44"/>
          <w:lang w:val="en-US" w:eastAsia="zh-CN" w:bidi="ar"/>
        </w:rPr>
        <w:t>500</w:t>
      </w:r>
      <w:r>
        <w:rPr>
          <w:rFonts w:hint="eastAsia" w:ascii="Times New Roman" w:hAnsi="Times New Roman" w:eastAsia="仿宋" w:cs="仿宋"/>
          <w:b/>
          <w:bCs/>
          <w:kern w:val="2"/>
          <w:sz w:val="44"/>
          <w:szCs w:val="44"/>
          <w:lang w:val="en-US" w:eastAsia="zh-CN" w:bidi="ar"/>
        </w:rPr>
        <w:t>吨、无纺布原料</w:t>
      </w:r>
      <w:r>
        <w:rPr>
          <w:rFonts w:hint="default" w:ascii="Times New Roman" w:hAnsi="Times New Roman" w:eastAsia="仿宋" w:cs="Times New Roman"/>
          <w:b/>
          <w:bCs/>
          <w:kern w:val="2"/>
          <w:sz w:val="44"/>
          <w:szCs w:val="44"/>
          <w:lang w:val="en-US" w:eastAsia="zh-CN" w:bidi="ar"/>
        </w:rPr>
        <w:t>3000</w:t>
      </w:r>
      <w:r>
        <w:rPr>
          <w:rFonts w:hint="eastAsia" w:ascii="Times New Roman" w:hAnsi="Times New Roman" w:eastAsia="仿宋" w:cs="仿宋"/>
          <w:b/>
          <w:bCs/>
          <w:kern w:val="2"/>
          <w:sz w:val="44"/>
          <w:szCs w:val="44"/>
          <w:lang w:val="en-US" w:eastAsia="zh-CN" w:bidi="ar"/>
        </w:rPr>
        <w:t>吨改建项目环境影响报告书</w:t>
      </w:r>
      <w:r>
        <w:rPr>
          <w:rFonts w:hint="eastAsia" w:ascii="Times New Roman" w:hAnsi="Times New Roman" w:eastAsia="仿宋" w:cs="仿宋"/>
          <w:b/>
          <w:bCs/>
          <w:w w:val="98"/>
          <w:kern w:val="0"/>
          <w:sz w:val="44"/>
          <w:szCs w:val="44"/>
          <w:lang w:val="en-US" w:eastAsia="zh-CN" w:bidi="ar"/>
        </w:rPr>
        <w:t>的批复</w:t>
      </w:r>
    </w:p>
    <w:p>
      <w:pPr>
        <w:keepNext w:val="0"/>
        <w:keepLines w:val="0"/>
        <w:pageBreakBefore w:val="0"/>
        <w:widowControl/>
        <w:suppressLineNumbers w:val="0"/>
        <w:kinsoku/>
        <w:overflowPunct/>
        <w:bidi w:val="0"/>
        <w:adjustRightInd w:val="0"/>
        <w:snapToGrid w:val="0"/>
        <w:spacing w:before="0" w:beforeAutospacing="0" w:after="0" w:afterAutospacing="0" w:line="460" w:lineRule="exact"/>
        <w:ind w:left="0" w:right="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岳阳市君山区鑫兴塑料包装厂：</w:t>
      </w:r>
    </w:p>
    <w:p>
      <w:pPr>
        <w:keepNext w:val="0"/>
        <w:keepLines w:val="0"/>
        <w:pageBreakBefore w:val="0"/>
        <w:widowControl/>
        <w:suppressLineNumbers w:val="0"/>
        <w:kinsoku/>
        <w:overflowPunct/>
        <w:bidi w:val="0"/>
        <w:adjustRightInd w:val="0"/>
        <w:snapToGrid w:val="0"/>
        <w:spacing w:before="0" w:beforeAutospacing="0" w:after="0" w:afterAutospacing="0" w:line="460" w:lineRule="exact"/>
        <w:ind w:left="0" w:right="0" w:firstLine="640"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你公司《</w:t>
      </w:r>
      <w:r>
        <w:rPr>
          <w:rFonts w:hint="eastAsia" w:ascii="仿宋_GB2312" w:hAnsi="仿宋_GB2312" w:eastAsia="仿宋_GB2312" w:cs="仿宋_GB2312"/>
          <w:kern w:val="2"/>
          <w:sz w:val="32"/>
          <w:szCs w:val="32"/>
          <w:lang w:val="en-US" w:eastAsia="zh-CN" w:bidi="ar"/>
        </w:rPr>
        <w:t>岳阳市君山区鑫兴塑料包装厂年产编织袋500吨、无纺布原料3000吨改建项目环境影响报告书</w:t>
      </w:r>
      <w:r>
        <w:rPr>
          <w:rFonts w:hint="eastAsia" w:ascii="仿宋_GB2312" w:hAnsi="仿宋_GB2312" w:eastAsia="仿宋_GB2312" w:cs="仿宋_GB2312"/>
          <w:kern w:val="0"/>
          <w:sz w:val="32"/>
          <w:szCs w:val="32"/>
          <w:lang w:val="en-US" w:eastAsia="zh-CN" w:bidi="ar"/>
        </w:rPr>
        <w:t>报批申请书》、岳阳市生态环境事务中心《</w:t>
      </w:r>
      <w:r>
        <w:rPr>
          <w:rFonts w:hint="eastAsia" w:ascii="仿宋_GB2312" w:hAnsi="仿宋_GB2312" w:eastAsia="仿宋_GB2312" w:cs="仿宋_GB2312"/>
          <w:kern w:val="2"/>
          <w:sz w:val="32"/>
          <w:szCs w:val="32"/>
          <w:lang w:val="en-US" w:eastAsia="zh-CN" w:bidi="ar"/>
        </w:rPr>
        <w:t>岳阳市君山区鑫兴塑料包装厂年产编织袋500吨、无纺布原料3000吨改建项目环境影响报告书</w:t>
      </w:r>
      <w:r>
        <w:rPr>
          <w:rFonts w:hint="eastAsia" w:ascii="仿宋_GB2312" w:hAnsi="仿宋_GB2312" w:eastAsia="仿宋_GB2312" w:cs="仿宋_GB2312"/>
          <w:spacing w:val="-20"/>
          <w:kern w:val="0"/>
          <w:sz w:val="32"/>
          <w:szCs w:val="32"/>
          <w:lang w:val="en-US" w:eastAsia="zh-CN" w:bidi="ar"/>
        </w:rPr>
        <w:t>技术评估报告</w:t>
      </w:r>
      <w:r>
        <w:rPr>
          <w:rFonts w:hint="eastAsia" w:ascii="仿宋_GB2312" w:hAnsi="仿宋_GB2312" w:eastAsia="仿宋_GB2312" w:cs="仿宋_GB2312"/>
          <w:kern w:val="0"/>
          <w:sz w:val="32"/>
          <w:szCs w:val="32"/>
          <w:lang w:val="en-US" w:eastAsia="zh-CN" w:bidi="ar"/>
        </w:rPr>
        <w:t>》（岳环事评估〔2024〕15号）、岳阳市生态环境局</w:t>
      </w:r>
      <w:r>
        <w:rPr>
          <w:rFonts w:hint="eastAsia" w:ascii="仿宋_GB2312" w:hAnsi="仿宋_GB2312" w:eastAsia="仿宋_GB2312" w:cs="仿宋_GB2312"/>
          <w:kern w:val="2"/>
          <w:sz w:val="32"/>
          <w:szCs w:val="32"/>
          <w:lang w:val="en-US" w:eastAsia="zh-CN" w:bidi="ar"/>
        </w:rPr>
        <w:t>君山分局</w:t>
      </w:r>
      <w:r>
        <w:rPr>
          <w:rFonts w:hint="eastAsia" w:ascii="仿宋_GB2312" w:hAnsi="仿宋_GB2312" w:eastAsia="仿宋_GB2312" w:cs="仿宋_GB2312"/>
          <w:kern w:val="0"/>
          <w:sz w:val="32"/>
          <w:szCs w:val="32"/>
          <w:lang w:val="en-US" w:eastAsia="zh-CN" w:bidi="ar"/>
        </w:rPr>
        <w:t>预审意见及有关附件收悉。经研究，批复如下：</w:t>
      </w:r>
    </w:p>
    <w:p>
      <w:pPr>
        <w:keepNext w:val="0"/>
        <w:keepLines w:val="0"/>
        <w:pageBreakBefore w:val="0"/>
        <w:widowControl/>
        <w:suppressLineNumbers w:val="0"/>
        <w:kinsoku/>
        <w:overflowPunct/>
        <w:bidi w:val="0"/>
        <w:adjustRightInd w:val="0"/>
        <w:snapToGrid w:val="0"/>
        <w:spacing w:before="0" w:beforeAutospacing="0" w:after="0" w:afterAutospacing="0" w:line="4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sectPr>
          <w:pgSz w:w="11906" w:h="16838"/>
          <w:pgMar w:top="1440" w:right="1800" w:bottom="1440" w:left="1800" w:header="851" w:footer="992" w:gutter="0"/>
          <w:pgNumType w:start="2"/>
          <w:cols w:space="425" w:num="1"/>
          <w:docGrid w:type="lines" w:linePitch="312" w:charSpace="0"/>
        </w:sectPr>
      </w:pPr>
      <w:r>
        <w:rPr>
          <w:rFonts w:hint="eastAsia" w:ascii="仿宋_GB2312" w:hAnsi="仿宋_GB2312" w:eastAsia="仿宋_GB2312" w:cs="仿宋_GB2312"/>
          <w:kern w:val="2"/>
          <w:sz w:val="32"/>
          <w:szCs w:val="32"/>
          <w:lang w:val="en-US" w:eastAsia="zh-CN" w:bidi="ar"/>
        </w:rPr>
        <w:t>一、岳阳市君山区鑫兴塑料包装厂位于岳阳市君山区柳林洲街道办事处柳林路139号，现因原料成本上涨，岳阳市君山区鑫兴塑料包装厂拟投资500万元，其中环保投资</w:t>
      </w:r>
      <w:r>
        <w:rPr>
          <w:rFonts w:hint="eastAsia" w:ascii="仿宋_GB2312" w:hAnsi="仿宋_GB2312" w:eastAsia="仿宋_GB2312" w:cs="仿宋_GB2312"/>
          <w:kern w:val="0"/>
          <w:sz w:val="32"/>
          <w:szCs w:val="32"/>
          <w:lang w:val="en-US" w:eastAsia="zh-CN" w:bidi="ar"/>
        </w:rPr>
        <w:t>34万元</w:t>
      </w:r>
      <w:r>
        <w:rPr>
          <w:rFonts w:hint="eastAsia" w:ascii="仿宋_GB2312" w:hAnsi="仿宋_GB2312" w:eastAsia="仿宋_GB2312" w:cs="仿宋_GB2312"/>
          <w:kern w:val="2"/>
          <w:sz w:val="32"/>
          <w:szCs w:val="32"/>
          <w:lang w:val="en-US" w:eastAsia="zh-CN" w:bidi="ar"/>
        </w:rPr>
        <w:t>在现有厂区内进行改建，不新建厂房，不另新增用地。主要内容：新增聚丙烯再生颗粒为原料以替代现有工程部分聚丙烯颗粒原料来进行编织袋生产，新增吹膜、覆膜工序，新增一条废塑料造粒生产线对厂内产生的废塑料进行再生利用，并对厂区内现有废气处理设施进行优化，新建一间20m</w:t>
      </w:r>
      <w:r>
        <w:rPr>
          <w:rFonts w:hint="eastAsia" w:ascii="仿宋_GB2312" w:hAnsi="仿宋_GB2312" w:eastAsia="仿宋_GB2312" w:cs="仿宋_GB2312"/>
          <w:kern w:val="2"/>
          <w:sz w:val="32"/>
          <w:szCs w:val="32"/>
          <w:vertAlign w:val="superscript"/>
          <w:lang w:val="en-US" w:eastAsia="zh-CN" w:bidi="ar"/>
        </w:rPr>
        <w:t>2</w:t>
      </w:r>
      <w:r>
        <w:rPr>
          <w:rFonts w:hint="eastAsia" w:ascii="仿宋_GB2312" w:hAnsi="仿宋_GB2312" w:eastAsia="仿宋_GB2312" w:cs="仿宋_GB2312"/>
          <w:kern w:val="2"/>
          <w:sz w:val="32"/>
          <w:szCs w:val="32"/>
          <w:lang w:val="en-US" w:eastAsia="zh-CN" w:bidi="ar"/>
        </w:rPr>
        <w:t>危险废物暂存间和50m</w:t>
      </w:r>
      <w:r>
        <w:rPr>
          <w:rFonts w:hint="eastAsia" w:ascii="仿宋_GB2312" w:hAnsi="仿宋_GB2312" w:eastAsia="仿宋_GB2312" w:cs="仿宋_GB2312"/>
          <w:kern w:val="2"/>
          <w:sz w:val="32"/>
          <w:szCs w:val="32"/>
          <w:vertAlign w:val="superscript"/>
          <w:lang w:val="en-US" w:eastAsia="zh-CN" w:bidi="ar"/>
        </w:rPr>
        <w:t>3</w:t>
      </w:r>
      <w:r>
        <w:rPr>
          <w:rFonts w:hint="eastAsia" w:ascii="仿宋_GB2312" w:hAnsi="仿宋_GB2312" w:eastAsia="仿宋_GB2312" w:cs="仿宋_GB2312"/>
          <w:kern w:val="2"/>
          <w:sz w:val="32"/>
          <w:szCs w:val="32"/>
          <w:lang w:val="en-US" w:eastAsia="zh-CN" w:bidi="ar"/>
        </w:rPr>
        <w:t>的应急事故池，改变无纺布原料生产车间原料区位置；新增无纺布原料生产车间成品仓库面积70m</w:t>
      </w:r>
      <w:r>
        <w:rPr>
          <w:rFonts w:hint="eastAsia" w:ascii="仿宋_GB2312" w:hAnsi="仿宋_GB2312" w:eastAsia="仿宋_GB2312" w:cs="仿宋_GB2312"/>
          <w:kern w:val="2"/>
          <w:sz w:val="32"/>
          <w:szCs w:val="32"/>
          <w:vertAlign w:val="superscript"/>
          <w:lang w:val="en-US" w:eastAsia="zh-CN" w:bidi="ar"/>
        </w:rPr>
        <w:t>2</w:t>
      </w:r>
      <w:r>
        <w:rPr>
          <w:rFonts w:hint="eastAsia" w:ascii="仿宋_GB2312" w:hAnsi="仿宋_GB2312" w:eastAsia="仿宋_GB2312" w:cs="仿宋_GB2312"/>
          <w:kern w:val="2"/>
          <w:sz w:val="32"/>
          <w:szCs w:val="32"/>
          <w:lang w:val="en-US" w:eastAsia="zh-CN" w:bidi="ar"/>
        </w:rPr>
        <w:t>。其它工程依托现有，改建工程完成后依然保持现有年产塑料编织袋500吨、无纺布原料3000吨的生产能力。</w:t>
      </w:r>
      <w:r>
        <w:rPr>
          <w:rFonts w:hint="eastAsia" w:ascii="仿宋_GB2312" w:hAnsi="仿宋_GB2312" w:eastAsia="仿宋_GB2312" w:cs="仿宋_GB2312"/>
          <w:kern w:val="0"/>
          <w:sz w:val="32"/>
          <w:szCs w:val="32"/>
          <w:lang w:val="en-US" w:eastAsia="zh-CN" w:bidi="ar"/>
        </w:rPr>
        <w:t>主要原辅料：</w:t>
      </w:r>
      <w:r>
        <w:rPr>
          <w:rFonts w:hint="eastAsia" w:ascii="仿宋_GB2312" w:hAnsi="仿宋_GB2312" w:eastAsia="仿宋_GB2312" w:cs="仿宋_GB2312"/>
          <w:kern w:val="2"/>
          <w:sz w:val="32"/>
          <w:szCs w:val="32"/>
          <w:lang w:val="en-US" w:eastAsia="zh-CN" w:bidi="ar"/>
        </w:rPr>
        <w:t>本次改建项目无纺布原料生产所用原辅材料类型</w:t>
      </w:r>
    </w:p>
    <w:p>
      <w:pPr>
        <w:keepNext w:val="0"/>
        <w:keepLines w:val="0"/>
        <w:pageBreakBefore w:val="0"/>
        <w:widowControl/>
        <w:suppressLineNumbers w:val="0"/>
        <w:kinsoku/>
        <w:overflowPunct/>
        <w:bidi w:val="0"/>
        <w:adjustRightInd w:val="0"/>
        <w:snapToGrid w:val="0"/>
        <w:spacing w:before="0" w:beforeAutospacing="0" w:after="0" w:afterAutospacing="0" w:line="460" w:lineRule="exact"/>
        <w:ind w:right="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2"/>
          <w:sz w:val="32"/>
          <w:szCs w:val="32"/>
          <w:lang w:val="en-US" w:eastAsia="zh-CN" w:bidi="ar"/>
        </w:rPr>
        <w:t>与用量不发生变化，主要对塑料编织袋原辅材料进行调整，新增聚丙烯再生颗粒为原料以替代现有工程部分聚丙烯颗粒原料来进行编织袋生产。改建完成后，塑料编织袋生产采用的主要原料为聚丙烯颗粒、聚丙烯再生颗粒，辅以填充母料、色料、抗氧剂等，不使用进口废塑料、医疗废物、农药包装、危险废物等塑料</w:t>
      </w:r>
      <w:r>
        <w:rPr>
          <w:rFonts w:hint="eastAsia" w:ascii="仿宋_GB2312" w:hAnsi="仿宋_GB2312" w:eastAsia="仿宋_GB2312" w:cs="仿宋_GB2312"/>
          <w:kern w:val="0"/>
          <w:sz w:val="32"/>
          <w:szCs w:val="32"/>
          <w:lang w:val="en-US" w:eastAsia="zh-CN" w:bidi="ar"/>
        </w:rPr>
        <w:t>。生产工艺：1、</w:t>
      </w:r>
      <w:r>
        <w:rPr>
          <w:rFonts w:hint="eastAsia" w:ascii="仿宋_GB2312" w:hAnsi="仿宋_GB2312" w:eastAsia="仿宋_GB2312" w:cs="仿宋_GB2312"/>
          <w:kern w:val="2"/>
          <w:sz w:val="32"/>
          <w:szCs w:val="32"/>
          <w:lang w:val="en-US" w:eastAsia="zh-CN" w:bidi="ar"/>
        </w:rPr>
        <w:t>塑料编织袋生产线，混料搅拌→熔融挤出与拉丝→圆织→覆膜→印刷→切袋→吹膜→套袋、缝底→封口→打包；2、废塑料造粒生产线，熔融挤出→冷却、切粒；3、 无纺布原料生产线，原料入罐→熔融挤出→冷却、拉条→切粒→筛分→包装。</w:t>
      </w:r>
      <w:r>
        <w:rPr>
          <w:rFonts w:hint="eastAsia" w:ascii="仿宋_GB2312" w:hAnsi="仿宋_GB2312" w:eastAsia="仿宋_GB2312" w:cs="仿宋_GB2312"/>
          <w:kern w:val="0"/>
          <w:sz w:val="32"/>
          <w:szCs w:val="32"/>
          <w:lang w:val="en-US" w:eastAsia="zh-CN" w:bidi="ar"/>
        </w:rPr>
        <w:t>根据</w:t>
      </w:r>
      <w:r>
        <w:rPr>
          <w:rFonts w:hint="eastAsia" w:ascii="仿宋_GB2312" w:hAnsi="仿宋_GB2312" w:eastAsia="仿宋_GB2312" w:cs="仿宋_GB2312"/>
          <w:kern w:val="2"/>
          <w:sz w:val="32"/>
          <w:szCs w:val="32"/>
          <w:lang w:val="en-US" w:eastAsia="zh-CN" w:bidi="ar"/>
        </w:rPr>
        <w:t>湖南霖昇工程技术咨询有限公司</w:t>
      </w:r>
      <w:r>
        <w:rPr>
          <w:rFonts w:hint="eastAsia" w:ascii="仿宋_GB2312" w:hAnsi="仿宋_GB2312" w:eastAsia="仿宋_GB2312" w:cs="仿宋_GB2312"/>
          <w:kern w:val="0"/>
          <w:sz w:val="32"/>
          <w:szCs w:val="32"/>
          <w:lang w:val="en-US" w:eastAsia="zh-CN" w:bidi="ar"/>
        </w:rPr>
        <w:t>编制的《</w:t>
      </w:r>
      <w:r>
        <w:rPr>
          <w:rFonts w:hint="eastAsia" w:ascii="仿宋_GB2312" w:hAnsi="仿宋_GB2312" w:eastAsia="仿宋_GB2312" w:cs="仿宋_GB2312"/>
          <w:kern w:val="2"/>
          <w:sz w:val="32"/>
          <w:szCs w:val="32"/>
          <w:lang w:val="en-US" w:eastAsia="zh-CN" w:bidi="ar"/>
        </w:rPr>
        <w:t>岳阳市君山区鑫兴塑料包装厂年产编织袋500吨、无纺布原料3000吨改建项目环境影响报告书</w:t>
      </w:r>
      <w:r>
        <w:rPr>
          <w:rFonts w:hint="eastAsia" w:ascii="仿宋_GB2312" w:hAnsi="仿宋_GB2312" w:eastAsia="仿宋_GB2312" w:cs="仿宋_GB2312"/>
          <w:kern w:val="0"/>
          <w:sz w:val="32"/>
          <w:szCs w:val="32"/>
          <w:lang w:val="en-US" w:eastAsia="zh-CN" w:bidi="ar"/>
        </w:rPr>
        <w:t>》（报批稿）基本内容、结论和专家评审意见及岳阳市生态环境局君山分局预审意见，从环境保护角度考虑，我局原则同意你公司环境影响报告书中所列建设项目的环境影响评价结论和环境保护对策措施。</w:t>
      </w:r>
    </w:p>
    <w:p>
      <w:pPr>
        <w:keepNext w:val="0"/>
        <w:keepLines w:val="0"/>
        <w:pageBreakBefore w:val="0"/>
        <w:widowControl w:val="0"/>
        <w:suppressLineNumbers w:val="0"/>
        <w:kinsoku/>
        <w:wordWrap w:val="0"/>
        <w:overflowPunct/>
        <w:topLinePunct/>
        <w:bidi w:val="0"/>
        <w:adjustRightInd w:val="0"/>
        <w:snapToGrid w:val="0"/>
        <w:spacing w:before="0" w:beforeAutospacing="0" w:after="0" w:afterAutospacing="0" w:line="4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二、认真落实专家及环境影响报告书中提出的各项污染防治措施，并应着重注意以下问题：</w:t>
      </w:r>
    </w:p>
    <w:p>
      <w:pPr>
        <w:pStyle w:val="6"/>
        <w:keepNext w:val="0"/>
        <w:keepLines w:val="0"/>
        <w:pageBreakBefore w:val="0"/>
        <w:widowControl/>
        <w:suppressLineNumbers w:val="0"/>
        <w:kinsoku/>
        <w:overflowPunct/>
        <w:bidi w:val="0"/>
        <w:adjustRightInd w:val="0"/>
        <w:snapToGrid w:val="0"/>
        <w:spacing w:after="0" w:afterAutospacing="0" w:line="460" w:lineRule="exact"/>
        <w:ind w:left="0" w:firstLine="640" w:firstLineChars="200"/>
        <w:textAlignment w:val="auto"/>
        <w:rPr>
          <w:rFonts w:hint="eastAsia" w:ascii="仿宋_GB2312" w:hAnsi="仿宋_GB2312" w:eastAsia="仿宋_GB2312" w:cs="仿宋_GB2312"/>
          <w:kern w:val="0"/>
          <w:sz w:val="32"/>
          <w:szCs w:val="32"/>
          <w:highlight w:val="yellow"/>
          <w:lang w:val="en-US"/>
        </w:rPr>
      </w:pPr>
      <w:r>
        <w:rPr>
          <w:rFonts w:hint="eastAsia" w:ascii="仿宋_GB2312" w:hAnsi="仿宋_GB2312" w:eastAsia="仿宋_GB2312" w:cs="仿宋_GB2312"/>
          <w:kern w:val="0"/>
          <w:sz w:val="32"/>
          <w:szCs w:val="32"/>
          <w:lang w:val="en-US"/>
        </w:rPr>
        <w:t>1</w:t>
      </w:r>
      <w:r>
        <w:rPr>
          <w:rFonts w:hint="eastAsia" w:ascii="仿宋_GB2312" w:hAnsi="仿宋_GB2312" w:eastAsia="仿宋_GB2312" w:cs="仿宋_GB2312"/>
          <w:kern w:val="0"/>
          <w:sz w:val="32"/>
          <w:szCs w:val="32"/>
          <w:lang w:eastAsia="zh-CN"/>
        </w:rPr>
        <w:t>、营运期废气污染防治工作。通过</w:t>
      </w:r>
      <w:r>
        <w:rPr>
          <w:rFonts w:hint="eastAsia" w:ascii="仿宋_GB2312" w:hAnsi="仿宋_GB2312" w:eastAsia="仿宋_GB2312" w:cs="仿宋_GB2312"/>
          <w:snapToGrid w:val="0"/>
          <w:kern w:val="0"/>
          <w:sz w:val="32"/>
          <w:szCs w:val="32"/>
          <w:lang w:eastAsia="zh-CN"/>
        </w:rPr>
        <w:t>加强废气收集和车间通风</w:t>
      </w:r>
      <w:r>
        <w:rPr>
          <w:rFonts w:hint="eastAsia" w:ascii="仿宋_GB2312" w:hAnsi="仿宋_GB2312" w:eastAsia="仿宋_GB2312" w:cs="仿宋_GB2312"/>
          <w:kern w:val="0"/>
          <w:sz w:val="32"/>
          <w:szCs w:val="32"/>
          <w:lang w:eastAsia="zh-CN"/>
        </w:rPr>
        <w:t>，加强车间管理和日常监管，定期对设备、管道、阀门等进行维护和管理等措施，杜绝生产过程中的跑、冒、滴、漏，最大限度减少生产过程中的废气无组织排放</w:t>
      </w:r>
      <w:r>
        <w:rPr>
          <w:rFonts w:hint="eastAsia" w:ascii="仿宋_GB2312" w:hAnsi="仿宋_GB2312" w:eastAsia="仿宋_GB2312" w:cs="仿宋_GB2312"/>
          <w:kern w:val="0"/>
          <w:sz w:val="32"/>
          <w:szCs w:val="32"/>
          <w:lang w:val="en-US"/>
        </w:rPr>
        <w:t>,</w:t>
      </w:r>
      <w:r>
        <w:rPr>
          <w:rFonts w:hint="eastAsia" w:ascii="仿宋_GB2312" w:hAnsi="仿宋_GB2312" w:eastAsia="仿宋_GB2312" w:cs="仿宋_GB2312"/>
          <w:kern w:val="0"/>
          <w:sz w:val="32"/>
          <w:szCs w:val="32"/>
          <w:lang w:eastAsia="zh-CN"/>
        </w:rPr>
        <w:t>确保厂界</w:t>
      </w:r>
      <w:r>
        <w:rPr>
          <w:rFonts w:hint="eastAsia" w:ascii="仿宋_GB2312" w:hAnsi="仿宋_GB2312" w:eastAsia="仿宋_GB2312" w:cs="仿宋_GB2312"/>
          <w:sz w:val="32"/>
          <w:szCs w:val="32"/>
          <w:lang w:eastAsia="zh-CN"/>
        </w:rPr>
        <w:t>颗粒物、非甲烷总烃</w:t>
      </w:r>
      <w:r>
        <w:rPr>
          <w:rFonts w:hint="eastAsia" w:ascii="仿宋_GB2312" w:hAnsi="仿宋_GB2312" w:eastAsia="仿宋_GB2312" w:cs="仿宋_GB2312"/>
          <w:snapToGrid w:val="0"/>
          <w:kern w:val="0"/>
          <w:sz w:val="32"/>
          <w:szCs w:val="32"/>
          <w:lang w:eastAsia="zh-CN"/>
        </w:rPr>
        <w:t>满足</w:t>
      </w:r>
      <w:r>
        <w:rPr>
          <w:rFonts w:hint="eastAsia" w:ascii="仿宋_GB2312" w:hAnsi="仿宋_GB2312" w:eastAsia="仿宋_GB2312" w:cs="仿宋_GB2312"/>
          <w:sz w:val="32"/>
          <w:szCs w:val="32"/>
          <w:lang w:eastAsia="zh-CN"/>
        </w:rPr>
        <w:t>《合成树脂工业污染物排放标准》（</w:t>
      </w:r>
      <w:r>
        <w:rPr>
          <w:rFonts w:hint="eastAsia" w:ascii="仿宋_GB2312" w:hAnsi="仿宋_GB2312" w:eastAsia="仿宋_GB2312" w:cs="仿宋_GB2312"/>
          <w:sz w:val="32"/>
          <w:szCs w:val="32"/>
          <w:lang w:val="en-US"/>
        </w:rPr>
        <w:t>GB31572-2015</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rPr>
        <w:t>9</w:t>
      </w:r>
      <w:r>
        <w:rPr>
          <w:rFonts w:hint="eastAsia" w:ascii="仿宋_GB2312" w:hAnsi="仿宋_GB2312" w:eastAsia="仿宋_GB2312" w:cs="仿宋_GB2312"/>
          <w:sz w:val="32"/>
          <w:szCs w:val="32"/>
          <w:lang w:eastAsia="zh-CN"/>
        </w:rPr>
        <w:t>排放限值要求</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z w:val="32"/>
          <w:szCs w:val="32"/>
          <w:lang w:val="en-US"/>
        </w:rPr>
        <w:t>VOCs</w:t>
      </w:r>
      <w:r>
        <w:rPr>
          <w:rFonts w:hint="eastAsia" w:ascii="仿宋_GB2312" w:hAnsi="仿宋_GB2312" w:eastAsia="仿宋_GB2312" w:cs="仿宋_GB2312"/>
          <w:sz w:val="32"/>
          <w:szCs w:val="32"/>
          <w:lang w:eastAsia="zh-CN"/>
        </w:rPr>
        <w:t>满足《印刷行业挥发性有机化合物排放标准（</w:t>
      </w:r>
      <w:r>
        <w:rPr>
          <w:rFonts w:hint="eastAsia" w:ascii="仿宋_GB2312" w:hAnsi="仿宋_GB2312" w:eastAsia="仿宋_GB2312" w:cs="仿宋_GB2312"/>
          <w:sz w:val="32"/>
          <w:szCs w:val="32"/>
          <w:lang w:val="en-US"/>
        </w:rPr>
        <w:t>DB43/1357-2017</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排放限值；</w:t>
      </w:r>
      <w:r>
        <w:rPr>
          <w:rFonts w:hint="eastAsia" w:ascii="仿宋_GB2312" w:hAnsi="仿宋_GB2312" w:eastAsia="仿宋_GB2312" w:cs="仿宋_GB2312"/>
          <w:snapToGrid w:val="0"/>
          <w:kern w:val="0"/>
          <w:sz w:val="32"/>
          <w:szCs w:val="32"/>
          <w:lang w:eastAsia="zh-CN"/>
        </w:rPr>
        <w:t>臭气浓度满足《恶臭污染物排放标准》（</w:t>
      </w:r>
      <w:r>
        <w:rPr>
          <w:rFonts w:hint="eastAsia" w:ascii="仿宋_GB2312" w:hAnsi="仿宋_GB2312" w:eastAsia="仿宋_GB2312" w:cs="仿宋_GB2312"/>
          <w:kern w:val="0"/>
          <w:sz w:val="32"/>
          <w:szCs w:val="32"/>
          <w:lang w:val="en-US"/>
        </w:rPr>
        <w:t>GB14554-93</w:t>
      </w:r>
      <w:r>
        <w:rPr>
          <w:rFonts w:hint="eastAsia" w:ascii="仿宋_GB2312" w:hAnsi="仿宋_GB2312" w:eastAsia="仿宋_GB2312" w:cs="仿宋_GB2312"/>
          <w:snapToGrid w:val="0"/>
          <w:kern w:val="0"/>
          <w:sz w:val="32"/>
          <w:szCs w:val="32"/>
          <w:lang w:eastAsia="zh-CN"/>
        </w:rPr>
        <w:t>）表</w:t>
      </w:r>
      <w:r>
        <w:rPr>
          <w:rFonts w:hint="eastAsia" w:ascii="仿宋_GB2312" w:hAnsi="仿宋_GB2312" w:eastAsia="仿宋_GB2312" w:cs="仿宋_GB2312"/>
          <w:kern w:val="0"/>
          <w:sz w:val="32"/>
          <w:szCs w:val="32"/>
          <w:lang w:val="en-US"/>
        </w:rPr>
        <w:t>1</w:t>
      </w:r>
      <w:r>
        <w:rPr>
          <w:rFonts w:hint="eastAsia" w:ascii="仿宋_GB2312" w:hAnsi="仿宋_GB2312" w:eastAsia="仿宋_GB2312" w:cs="仿宋_GB2312"/>
          <w:snapToGrid w:val="0"/>
          <w:kern w:val="0"/>
          <w:sz w:val="32"/>
          <w:szCs w:val="32"/>
          <w:lang w:eastAsia="zh-CN"/>
        </w:rPr>
        <w:t>排放限值；厂区内无组织排放监控点非甲烷总烃执行《挥发性有机物无组织排放控制标准》（</w:t>
      </w:r>
      <w:r>
        <w:rPr>
          <w:rFonts w:hint="eastAsia" w:ascii="仿宋_GB2312" w:hAnsi="仿宋_GB2312" w:eastAsia="仿宋_GB2312" w:cs="仿宋_GB2312"/>
          <w:kern w:val="0"/>
          <w:sz w:val="32"/>
          <w:szCs w:val="32"/>
          <w:lang w:val="en-US"/>
        </w:rPr>
        <w:t>GB37822-2019</w:t>
      </w:r>
      <w:r>
        <w:rPr>
          <w:rFonts w:hint="eastAsia" w:ascii="仿宋_GB2312" w:hAnsi="仿宋_GB2312" w:eastAsia="仿宋_GB2312" w:cs="仿宋_GB2312"/>
          <w:snapToGrid w:val="0"/>
          <w:kern w:val="0"/>
          <w:sz w:val="32"/>
          <w:szCs w:val="32"/>
          <w:lang w:eastAsia="zh-CN"/>
        </w:rPr>
        <w:t>）附录</w:t>
      </w:r>
      <w:r>
        <w:rPr>
          <w:rFonts w:hint="eastAsia" w:ascii="仿宋_GB2312" w:hAnsi="仿宋_GB2312" w:eastAsia="仿宋_GB2312" w:cs="仿宋_GB2312"/>
          <w:kern w:val="0"/>
          <w:sz w:val="32"/>
          <w:szCs w:val="32"/>
          <w:lang w:val="en-US"/>
        </w:rPr>
        <w:t>A</w:t>
      </w:r>
      <w:r>
        <w:rPr>
          <w:rFonts w:hint="eastAsia" w:ascii="仿宋_GB2312" w:hAnsi="仿宋_GB2312" w:eastAsia="仿宋_GB2312" w:cs="仿宋_GB2312"/>
          <w:snapToGrid w:val="0"/>
          <w:kern w:val="0"/>
          <w:sz w:val="32"/>
          <w:szCs w:val="32"/>
          <w:lang w:eastAsia="zh-CN"/>
        </w:rPr>
        <w:t>表</w:t>
      </w:r>
      <w:r>
        <w:rPr>
          <w:rFonts w:hint="eastAsia" w:ascii="仿宋_GB2312" w:hAnsi="仿宋_GB2312" w:eastAsia="仿宋_GB2312" w:cs="仿宋_GB2312"/>
          <w:kern w:val="0"/>
          <w:sz w:val="32"/>
          <w:szCs w:val="32"/>
          <w:lang w:val="en-US"/>
        </w:rPr>
        <w:t>A.1</w:t>
      </w:r>
      <w:r>
        <w:rPr>
          <w:rFonts w:hint="eastAsia" w:ascii="仿宋_GB2312" w:hAnsi="仿宋_GB2312" w:eastAsia="仿宋_GB2312" w:cs="仿宋_GB2312"/>
          <w:snapToGrid w:val="0"/>
          <w:kern w:val="0"/>
          <w:sz w:val="32"/>
          <w:szCs w:val="32"/>
          <w:lang w:eastAsia="zh-CN"/>
        </w:rPr>
        <w:t>排放浓度限值要求。</w:t>
      </w:r>
      <w:r>
        <w:rPr>
          <w:rFonts w:hint="eastAsia" w:ascii="仿宋_GB2312" w:hAnsi="仿宋_GB2312" w:eastAsia="仿宋_GB2312" w:cs="仿宋_GB2312"/>
          <w:sz w:val="32"/>
          <w:szCs w:val="32"/>
          <w:lang w:eastAsia="zh-CN"/>
        </w:rPr>
        <w:t>塑料编织袋生产线的</w:t>
      </w:r>
      <w:r>
        <w:rPr>
          <w:rFonts w:hint="eastAsia" w:ascii="仿宋_GB2312" w:hAnsi="仿宋_GB2312" w:eastAsia="仿宋_GB2312" w:cs="仿宋_GB2312"/>
          <w:snapToGrid w:val="0"/>
          <w:kern w:val="0"/>
          <w:sz w:val="32"/>
          <w:szCs w:val="32"/>
          <w:lang w:eastAsia="zh-CN"/>
        </w:rPr>
        <w:t>投料废气（颗粒物）呈无组织排放，</w:t>
      </w:r>
      <w:r>
        <w:rPr>
          <w:rFonts w:hint="eastAsia" w:ascii="仿宋_GB2312" w:hAnsi="仿宋_GB2312" w:eastAsia="仿宋_GB2312" w:cs="仿宋_GB2312"/>
          <w:sz w:val="32"/>
          <w:szCs w:val="32"/>
          <w:lang w:eastAsia="zh-CN"/>
        </w:rPr>
        <w:t>熔融挤出、覆膜吹膜与废塑料造粒生产线熔融挤出废气（非甲烷总烃、臭气浓度）分别经收集处理后，通过一根</w:t>
      </w:r>
      <w:r>
        <w:rPr>
          <w:rFonts w:hint="eastAsia" w:ascii="仿宋_GB2312" w:hAnsi="仿宋_GB2312" w:eastAsia="仿宋_GB2312" w:cs="仿宋_GB2312"/>
          <w:sz w:val="32"/>
          <w:szCs w:val="32"/>
          <w:lang w:val="en-US"/>
        </w:rPr>
        <w:t>15m</w:t>
      </w:r>
      <w:r>
        <w:rPr>
          <w:rFonts w:hint="eastAsia" w:ascii="仿宋_GB2312" w:hAnsi="仿宋_GB2312" w:eastAsia="仿宋_GB2312" w:cs="仿宋_GB2312"/>
          <w:sz w:val="32"/>
          <w:szCs w:val="32"/>
          <w:lang w:eastAsia="zh-CN"/>
        </w:rPr>
        <w:t>高排气筒（</w:t>
      </w:r>
      <w:r>
        <w:rPr>
          <w:rFonts w:hint="eastAsia" w:ascii="仿宋_GB2312" w:hAnsi="仿宋_GB2312" w:eastAsia="仿宋_GB2312" w:cs="仿宋_GB2312"/>
          <w:sz w:val="32"/>
          <w:szCs w:val="32"/>
          <w:lang w:val="en-US"/>
        </w:rPr>
        <w:t>DA001</w:t>
      </w:r>
      <w:r>
        <w:rPr>
          <w:rFonts w:hint="eastAsia" w:ascii="仿宋_GB2312" w:hAnsi="仿宋_GB2312" w:eastAsia="仿宋_GB2312" w:cs="仿宋_GB2312"/>
          <w:sz w:val="32"/>
          <w:szCs w:val="32"/>
          <w:lang w:eastAsia="zh-CN"/>
        </w:rPr>
        <w:t>）排放</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z w:val="32"/>
          <w:szCs w:val="32"/>
          <w:lang w:eastAsia="zh-CN"/>
        </w:rPr>
        <w:t>印刷废气（</w:t>
      </w:r>
      <w:r>
        <w:rPr>
          <w:rFonts w:hint="eastAsia" w:ascii="仿宋_GB2312" w:hAnsi="仿宋_GB2312" w:eastAsia="仿宋_GB2312" w:cs="仿宋_GB2312"/>
          <w:sz w:val="32"/>
          <w:szCs w:val="32"/>
          <w:lang w:val="en-US"/>
        </w:rPr>
        <w:t>VOCs)</w:t>
      </w:r>
      <w:r>
        <w:rPr>
          <w:rFonts w:hint="eastAsia" w:ascii="仿宋_GB2312" w:hAnsi="仿宋_GB2312" w:eastAsia="仿宋_GB2312" w:cs="仿宋_GB2312"/>
          <w:sz w:val="32"/>
          <w:szCs w:val="32"/>
          <w:lang w:eastAsia="zh-CN"/>
        </w:rPr>
        <w:t>经收集处理后，通过一根</w:t>
      </w:r>
      <w:r>
        <w:rPr>
          <w:rFonts w:hint="eastAsia" w:ascii="仿宋_GB2312" w:hAnsi="仿宋_GB2312" w:eastAsia="仿宋_GB2312" w:cs="仿宋_GB2312"/>
          <w:sz w:val="32"/>
          <w:szCs w:val="32"/>
          <w:lang w:val="en-US"/>
        </w:rPr>
        <w:t>15m</w:t>
      </w:r>
      <w:r>
        <w:rPr>
          <w:rFonts w:hint="eastAsia" w:ascii="仿宋_GB2312" w:hAnsi="仿宋_GB2312" w:eastAsia="仿宋_GB2312" w:cs="仿宋_GB2312"/>
          <w:sz w:val="32"/>
          <w:szCs w:val="32"/>
          <w:lang w:eastAsia="zh-CN"/>
        </w:rPr>
        <w:t>高排气筒（</w:t>
      </w:r>
      <w:r>
        <w:rPr>
          <w:rFonts w:hint="eastAsia" w:ascii="仿宋_GB2312" w:hAnsi="仿宋_GB2312" w:eastAsia="仿宋_GB2312" w:cs="仿宋_GB2312"/>
          <w:sz w:val="32"/>
          <w:szCs w:val="32"/>
          <w:lang w:val="en-US"/>
        </w:rPr>
        <w:t>DA002</w:t>
      </w:r>
      <w:r>
        <w:rPr>
          <w:rFonts w:hint="eastAsia" w:ascii="仿宋_GB2312" w:hAnsi="仿宋_GB2312" w:eastAsia="仿宋_GB2312" w:cs="仿宋_GB2312"/>
          <w:sz w:val="32"/>
          <w:szCs w:val="32"/>
          <w:lang w:eastAsia="zh-CN"/>
        </w:rPr>
        <w:t>）排放；无纺布原料生产线投料</w:t>
      </w:r>
      <w:r>
        <w:rPr>
          <w:rFonts w:hint="eastAsia" w:ascii="仿宋_GB2312" w:hAnsi="仿宋_GB2312" w:eastAsia="仿宋_GB2312" w:cs="仿宋_GB2312"/>
          <w:snapToGrid w:val="0"/>
          <w:kern w:val="0"/>
          <w:sz w:val="32"/>
          <w:szCs w:val="32"/>
          <w:lang w:eastAsia="zh-CN"/>
        </w:rPr>
        <w:t>废气（颗粒物）呈无组织排放，</w:t>
      </w:r>
      <w:r>
        <w:rPr>
          <w:rFonts w:hint="eastAsia" w:ascii="仿宋_GB2312" w:hAnsi="仿宋_GB2312" w:eastAsia="仿宋_GB2312" w:cs="仿宋_GB2312"/>
          <w:sz w:val="32"/>
          <w:szCs w:val="32"/>
          <w:lang w:eastAsia="zh-CN"/>
        </w:rPr>
        <w:t>熔融挤出废气（非甲烷总烃、臭气浓度</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经收集处理后，通过</w:t>
      </w:r>
      <w:r>
        <w:rPr>
          <w:rFonts w:hint="eastAsia" w:ascii="仿宋_GB2312" w:hAnsi="仿宋_GB2312" w:eastAsia="仿宋_GB2312" w:cs="仿宋_GB2312"/>
          <w:sz w:val="32"/>
          <w:szCs w:val="32"/>
          <w:lang w:val="en-US"/>
        </w:rPr>
        <w:t>15m</w:t>
      </w:r>
      <w:r>
        <w:rPr>
          <w:rFonts w:hint="eastAsia" w:ascii="仿宋_GB2312" w:hAnsi="仿宋_GB2312" w:eastAsia="仿宋_GB2312" w:cs="仿宋_GB2312"/>
          <w:sz w:val="32"/>
          <w:szCs w:val="32"/>
          <w:lang w:eastAsia="zh-CN"/>
        </w:rPr>
        <w:t>高排气筒（</w:t>
      </w:r>
      <w:r>
        <w:rPr>
          <w:rFonts w:hint="eastAsia" w:ascii="仿宋_GB2312" w:hAnsi="仿宋_GB2312" w:eastAsia="仿宋_GB2312" w:cs="仿宋_GB2312"/>
          <w:sz w:val="32"/>
          <w:szCs w:val="32"/>
          <w:lang w:val="en-US"/>
        </w:rPr>
        <w:t>DA003</w:t>
      </w:r>
      <w:r>
        <w:rPr>
          <w:rFonts w:hint="eastAsia" w:ascii="仿宋_GB2312" w:hAnsi="仿宋_GB2312" w:eastAsia="仿宋_GB2312" w:cs="仿宋_GB2312"/>
          <w:sz w:val="32"/>
          <w:szCs w:val="32"/>
          <w:lang w:eastAsia="zh-CN"/>
        </w:rPr>
        <w:t>排放）。塑料编织袋生产线的熔融挤出工序、覆膜工序、吹膜工序，废塑料造粒熔融挤出废气、无纺布原料生产线熔融挤出废气非甲烷总烃执行《合成树脂工业污染物排放标准》（</w:t>
      </w:r>
      <w:r>
        <w:rPr>
          <w:rFonts w:hint="eastAsia" w:ascii="仿宋_GB2312" w:hAnsi="仿宋_GB2312" w:eastAsia="仿宋_GB2312" w:cs="仿宋_GB2312"/>
          <w:sz w:val="32"/>
          <w:szCs w:val="32"/>
          <w:lang w:val="en-US"/>
        </w:rPr>
        <w:t>GB31572-2015</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lang w:eastAsia="zh-CN"/>
        </w:rPr>
        <w:t>排放限值要求；印刷废气</w:t>
      </w:r>
      <w:r>
        <w:rPr>
          <w:rFonts w:hint="eastAsia" w:ascii="仿宋_GB2312" w:hAnsi="仿宋_GB2312" w:eastAsia="仿宋_GB2312" w:cs="仿宋_GB2312"/>
          <w:sz w:val="32"/>
          <w:szCs w:val="32"/>
          <w:lang w:val="en-US"/>
        </w:rPr>
        <w:t>VOCs</w:t>
      </w:r>
      <w:r>
        <w:rPr>
          <w:rFonts w:hint="eastAsia" w:ascii="仿宋_GB2312" w:hAnsi="仿宋_GB2312" w:eastAsia="仿宋_GB2312" w:cs="仿宋_GB2312"/>
          <w:sz w:val="32"/>
          <w:szCs w:val="32"/>
          <w:lang w:eastAsia="zh-CN"/>
        </w:rPr>
        <w:t>执行《印刷行业挥发性有机化合物排放标准（</w:t>
      </w:r>
      <w:r>
        <w:rPr>
          <w:rFonts w:hint="eastAsia" w:ascii="仿宋_GB2312" w:hAnsi="仿宋_GB2312" w:eastAsia="仿宋_GB2312" w:cs="仿宋_GB2312"/>
          <w:sz w:val="32"/>
          <w:szCs w:val="32"/>
          <w:lang w:val="en-US"/>
        </w:rPr>
        <w:t>DB43/1357-2017</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排放限值要求；</w:t>
      </w:r>
      <w:r>
        <w:rPr>
          <w:rFonts w:hint="eastAsia" w:ascii="仿宋_GB2312" w:hAnsi="仿宋_GB2312" w:eastAsia="仿宋_GB2312" w:cs="仿宋_GB2312"/>
          <w:snapToGrid w:val="0"/>
          <w:kern w:val="0"/>
          <w:sz w:val="32"/>
          <w:szCs w:val="32"/>
          <w:lang w:eastAsia="zh-CN"/>
        </w:rPr>
        <w:t>臭气浓度执行《恶臭污染物排放标准》（</w:t>
      </w:r>
      <w:r>
        <w:rPr>
          <w:rFonts w:hint="eastAsia" w:ascii="仿宋_GB2312" w:hAnsi="仿宋_GB2312" w:eastAsia="仿宋_GB2312" w:cs="仿宋_GB2312"/>
          <w:kern w:val="0"/>
          <w:sz w:val="32"/>
          <w:szCs w:val="32"/>
          <w:lang w:val="en-US"/>
        </w:rPr>
        <w:t>GB14554-93</w:t>
      </w:r>
      <w:r>
        <w:rPr>
          <w:rFonts w:hint="eastAsia" w:ascii="仿宋_GB2312" w:hAnsi="仿宋_GB2312" w:eastAsia="仿宋_GB2312" w:cs="仿宋_GB2312"/>
          <w:snapToGrid w:val="0"/>
          <w:kern w:val="0"/>
          <w:sz w:val="32"/>
          <w:szCs w:val="32"/>
          <w:lang w:eastAsia="zh-CN"/>
        </w:rPr>
        <w:t>）表</w:t>
      </w:r>
      <w:r>
        <w:rPr>
          <w:rFonts w:hint="eastAsia" w:ascii="仿宋_GB2312" w:hAnsi="仿宋_GB2312" w:eastAsia="仿宋_GB2312" w:cs="仿宋_GB2312"/>
          <w:kern w:val="0"/>
          <w:sz w:val="32"/>
          <w:szCs w:val="32"/>
          <w:lang w:val="en-US"/>
        </w:rPr>
        <w:t>2</w:t>
      </w:r>
      <w:r>
        <w:rPr>
          <w:rFonts w:hint="eastAsia" w:ascii="仿宋_GB2312" w:hAnsi="仿宋_GB2312" w:eastAsia="仿宋_GB2312" w:cs="仿宋_GB2312"/>
          <w:snapToGrid w:val="0"/>
          <w:kern w:val="0"/>
          <w:sz w:val="32"/>
          <w:szCs w:val="32"/>
          <w:lang w:eastAsia="zh-CN"/>
        </w:rPr>
        <w:t>排放限值。</w:t>
      </w:r>
    </w:p>
    <w:p>
      <w:pPr>
        <w:pStyle w:val="9"/>
        <w:keepNext w:val="0"/>
        <w:keepLines w:val="0"/>
        <w:pageBreakBefore w:val="0"/>
        <w:widowControl/>
        <w:kinsoku/>
        <w:wordWrap w:val="0"/>
        <w:overflowPunct/>
        <w:topLinePunct/>
        <w:autoSpaceDE/>
        <w:autoSpaceDN w:val="0"/>
        <w:bidi w:val="0"/>
        <w:spacing w:line="460" w:lineRule="exact"/>
        <w:ind w:left="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eastAsia="zh-CN"/>
        </w:rPr>
        <w:t>营运期</w:t>
      </w:r>
      <w:r>
        <w:rPr>
          <w:rFonts w:hint="eastAsia" w:ascii="仿宋_GB2312" w:hAnsi="仿宋_GB2312" w:eastAsia="仿宋_GB2312" w:cs="仿宋_GB2312"/>
          <w:color w:val="auto"/>
          <w:sz w:val="32"/>
          <w:szCs w:val="32"/>
          <w:lang w:eastAsia="zh-CN"/>
        </w:rPr>
        <w:t>废水污染防治工作。严格按照“雨污分流、清污分流、污污分流”的原则规范建设厂区雨水及污水收集设施。本项目无生产废水外排，冷却水依托现有循环水池冷却后循环使用；生活污水经现有化粪池处理达到《污水综合排放标准》（</w:t>
      </w:r>
      <w:r>
        <w:rPr>
          <w:rFonts w:hint="eastAsia" w:ascii="仿宋_GB2312" w:hAnsi="仿宋_GB2312" w:eastAsia="仿宋_GB2312" w:cs="仿宋_GB2312"/>
          <w:color w:val="auto"/>
          <w:sz w:val="32"/>
          <w:szCs w:val="32"/>
          <w:lang w:val="en-US"/>
        </w:rPr>
        <w:t>GB8978-1996</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lang w:val="en-US"/>
        </w:rPr>
        <w:t>4</w:t>
      </w:r>
      <w:r>
        <w:rPr>
          <w:rFonts w:hint="eastAsia" w:ascii="仿宋_GB2312" w:hAnsi="仿宋_GB2312" w:eastAsia="仿宋_GB2312" w:cs="仿宋_GB2312"/>
          <w:color w:val="auto"/>
          <w:sz w:val="32"/>
          <w:szCs w:val="32"/>
          <w:lang w:eastAsia="zh-CN"/>
        </w:rPr>
        <w:t>三级标准及君山区第一污水处理厂进水水质要求后排入岳阳市君山区第一污水处理厂处理达标后排入南干渠，汇入濠河。</w:t>
      </w:r>
    </w:p>
    <w:p>
      <w:pPr>
        <w:keepNext w:val="0"/>
        <w:keepLines w:val="0"/>
        <w:pageBreakBefore w:val="0"/>
        <w:widowControl w:val="0"/>
        <w:suppressLineNumbers w:val="0"/>
        <w:kinsoku/>
        <w:overflowPunct/>
        <w:bidi w:val="0"/>
        <w:spacing w:before="0" w:beforeAutospacing="0" w:after="0" w:afterAutospacing="0" w:line="460" w:lineRule="exact"/>
        <w:ind w:left="0" w:right="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按照“源头控制、分区防治、污染监控、应急响应”相结合的原则落实报告书提出的地下水污染防治措施。做好危废暂存间、原料仓库等重点防渗区及其他区域的硬化工作，避免由于防渗层破损造成污染物下渗污染地下水。</w:t>
      </w:r>
    </w:p>
    <w:p>
      <w:pPr>
        <w:keepNext w:val="0"/>
        <w:keepLines w:val="0"/>
        <w:pageBreakBefore w:val="0"/>
        <w:widowControl w:val="0"/>
        <w:suppressLineNumbers w:val="0"/>
        <w:kinsoku/>
        <w:wordWrap w:val="0"/>
        <w:overflowPunct/>
        <w:bidi w:val="0"/>
        <w:spacing w:before="0" w:beforeAutospacing="0" w:after="0" w:afterAutospacing="0" w:line="460" w:lineRule="exact"/>
        <w:ind w:left="0" w:right="0" w:firstLine="640"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3、营运期噪声防治工作。优先选用低噪声设备，</w:t>
      </w:r>
      <w:r>
        <w:rPr>
          <w:rFonts w:hint="eastAsia" w:ascii="仿宋_GB2312" w:hAnsi="仿宋_GB2312" w:eastAsia="仿宋_GB2312" w:cs="仿宋_GB2312"/>
          <w:kern w:val="2"/>
          <w:sz w:val="32"/>
          <w:szCs w:val="32"/>
          <w:lang w:val="en-US" w:eastAsia="zh-CN" w:bidi="ar"/>
        </w:rPr>
        <w:t>合理布局，</w:t>
      </w:r>
      <w:r>
        <w:rPr>
          <w:rFonts w:hint="eastAsia" w:ascii="仿宋_GB2312" w:hAnsi="仿宋_GB2312" w:eastAsia="仿宋_GB2312" w:cs="仿宋_GB2312"/>
          <w:kern w:val="0"/>
          <w:sz w:val="32"/>
          <w:szCs w:val="32"/>
          <w:lang w:val="en-US" w:eastAsia="zh-CN" w:bidi="ar"/>
        </w:rPr>
        <w:t>采取基础减振、厂房隔声</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加强设备的保养和维修等措施，确保</w:t>
      </w:r>
      <w:r>
        <w:rPr>
          <w:rFonts w:hint="eastAsia" w:ascii="仿宋_GB2312" w:hAnsi="仿宋_GB2312" w:eastAsia="仿宋_GB2312" w:cs="仿宋_GB2312"/>
          <w:spacing w:val="6"/>
          <w:kern w:val="0"/>
          <w:sz w:val="32"/>
          <w:szCs w:val="32"/>
          <w:lang w:val="en-US" w:eastAsia="zh-CN" w:bidi="ar"/>
        </w:rPr>
        <w:t>厂界</w:t>
      </w:r>
      <w:r>
        <w:rPr>
          <w:rFonts w:hint="eastAsia" w:ascii="仿宋_GB2312" w:hAnsi="仿宋_GB2312" w:eastAsia="仿宋_GB2312" w:cs="仿宋_GB2312"/>
          <w:kern w:val="2"/>
          <w:sz w:val="32"/>
          <w:szCs w:val="32"/>
          <w:lang w:val="en-US" w:eastAsia="zh-CN" w:bidi="ar"/>
        </w:rPr>
        <w:t>噪声</w:t>
      </w:r>
      <w:r>
        <w:rPr>
          <w:rFonts w:hint="eastAsia" w:ascii="仿宋_GB2312" w:hAnsi="仿宋_GB2312" w:eastAsia="仿宋_GB2312" w:cs="仿宋_GB2312"/>
          <w:spacing w:val="6"/>
          <w:kern w:val="0"/>
          <w:sz w:val="32"/>
          <w:szCs w:val="32"/>
          <w:lang w:val="en-US" w:eastAsia="zh-CN" w:bidi="ar"/>
        </w:rPr>
        <w:t>满足</w:t>
      </w:r>
      <w:r>
        <w:rPr>
          <w:rFonts w:hint="eastAsia" w:ascii="仿宋_GB2312" w:hAnsi="仿宋_GB2312" w:eastAsia="仿宋_GB2312" w:cs="仿宋_GB2312"/>
          <w:kern w:val="2"/>
          <w:sz w:val="32"/>
          <w:szCs w:val="32"/>
          <w:lang w:val="en-US" w:eastAsia="zh-CN" w:bidi="ar"/>
        </w:rPr>
        <w:t>《工业企业厂界环境噪声排放标准》（GB12348-2008）中的2类标准。</w:t>
      </w:r>
    </w:p>
    <w:p>
      <w:pPr>
        <w:keepNext w:val="0"/>
        <w:keepLines w:val="0"/>
        <w:pageBreakBefore w:val="0"/>
        <w:widowControl w:val="0"/>
        <w:suppressLineNumbers w:val="0"/>
        <w:kinsoku/>
        <w:overflowPunct/>
        <w:autoSpaceDE w:val="0"/>
        <w:autoSpaceDN w:val="0"/>
        <w:bidi w:val="0"/>
        <w:adjustRightInd w:val="0"/>
        <w:spacing w:before="0" w:beforeAutospacing="0" w:after="0" w:afterAutospacing="0" w:line="460" w:lineRule="exact"/>
        <w:ind w:left="0" w:right="0" w:firstLine="640"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2"/>
          <w:sz w:val="32"/>
          <w:szCs w:val="32"/>
          <w:lang w:val="en-US" w:eastAsia="zh-CN" w:bidi="ar"/>
        </w:rPr>
        <w:t>4、</w:t>
      </w:r>
      <w:r>
        <w:rPr>
          <w:rFonts w:hint="eastAsia" w:ascii="仿宋_GB2312" w:hAnsi="仿宋_GB2312" w:eastAsia="仿宋_GB2312" w:cs="仿宋_GB2312"/>
          <w:kern w:val="0"/>
          <w:sz w:val="32"/>
          <w:szCs w:val="32"/>
          <w:lang w:val="en-US" w:eastAsia="zh-CN" w:bidi="ar"/>
        </w:rPr>
        <w:t>营运期</w:t>
      </w:r>
      <w:r>
        <w:rPr>
          <w:rFonts w:hint="eastAsia" w:ascii="仿宋_GB2312" w:hAnsi="仿宋_GB2312" w:eastAsia="仿宋_GB2312" w:cs="仿宋_GB2312"/>
          <w:kern w:val="2"/>
          <w:sz w:val="32"/>
          <w:szCs w:val="32"/>
          <w:lang w:val="en-US" w:eastAsia="zh-CN" w:bidi="ar"/>
        </w:rPr>
        <w:t>固体废物管理工作。按“无害化、减量化、资源化”原则，做好固体分类收集和综合利用，并建立固体废物产生、储存、处置管理台账，落实危险废物转移联单制度。</w:t>
      </w:r>
      <w:r>
        <w:rPr>
          <w:rFonts w:hint="eastAsia" w:ascii="仿宋_GB2312" w:hAnsi="仿宋_GB2312" w:eastAsia="仿宋_GB2312" w:cs="仿宋_GB2312"/>
          <w:kern w:val="0"/>
          <w:sz w:val="32"/>
          <w:szCs w:val="32"/>
          <w:lang w:val="en-US" w:eastAsia="zh-CN" w:bidi="ar"/>
        </w:rPr>
        <w:t>废油墨桶、废抹布、</w:t>
      </w:r>
      <w:r>
        <w:rPr>
          <w:rFonts w:hint="eastAsia" w:ascii="仿宋_GB2312" w:hAnsi="仿宋_GB2312" w:eastAsia="仿宋_GB2312" w:cs="仿宋_GB2312"/>
          <w:kern w:val="2"/>
          <w:sz w:val="32"/>
          <w:szCs w:val="32"/>
          <w:lang w:val="en-US" w:eastAsia="zh-CN" w:bidi="ar"/>
        </w:rPr>
        <w:t>废灯管、废活性炭等危险废物严格按《危险废物贮存污染控制标准》（GB18597-2023）相关要求暂存，定期交有资质的单位处置。</w:t>
      </w:r>
      <w:r>
        <w:rPr>
          <w:rFonts w:hint="eastAsia" w:ascii="仿宋_GB2312" w:hAnsi="仿宋_GB2312" w:eastAsia="仿宋_GB2312" w:cs="仿宋_GB2312"/>
          <w:kern w:val="0"/>
          <w:sz w:val="32"/>
          <w:szCs w:val="32"/>
          <w:lang w:val="en-US" w:eastAsia="zh-CN" w:bidi="ar"/>
        </w:rPr>
        <w:t>废包装袋、废塑料、</w:t>
      </w:r>
      <w:r>
        <w:rPr>
          <w:rFonts w:hint="eastAsia" w:ascii="仿宋_GB2312" w:hAnsi="仿宋_GB2312" w:eastAsia="仿宋_GB2312" w:cs="仿宋_GB2312"/>
          <w:kern w:val="2"/>
          <w:sz w:val="32"/>
          <w:szCs w:val="32"/>
          <w:lang w:val="en-US" w:eastAsia="zh-CN" w:bidi="ar"/>
        </w:rPr>
        <w:t>不合格产品等一般固体废物严格按《一般工业固体废物贮存和填埋污染控制标准》（GB18599-2020）要求暂存，用作废塑料造粒生产线原料使用；生活垃圾由环卫部门收集处理。</w:t>
      </w:r>
    </w:p>
    <w:p>
      <w:pPr>
        <w:keepNext w:val="0"/>
        <w:keepLines w:val="0"/>
        <w:pageBreakBefore w:val="0"/>
        <w:widowControl w:val="0"/>
        <w:suppressLineNumbers w:val="0"/>
        <w:kinsoku/>
        <w:wordWrap w:val="0"/>
        <w:overflowPunct/>
        <w:topLinePunct/>
        <w:bidi w:val="0"/>
        <w:spacing w:before="0" w:beforeAutospacing="0" w:after="0" w:afterAutospacing="0" w:line="460" w:lineRule="exact"/>
        <w:ind w:left="0" w:right="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5、加强营运期风险防范。严格落实报告书提出的各项环境风险防范措施，按照《突发环境事件应急管理办法》制定突发环境事件应急预案。</w:t>
      </w:r>
    </w:p>
    <w:p>
      <w:pPr>
        <w:keepNext w:val="0"/>
        <w:keepLines w:val="0"/>
        <w:pageBreakBefore w:val="0"/>
        <w:widowControl w:val="0"/>
        <w:suppressLineNumbers w:val="0"/>
        <w:kinsoku/>
        <w:wordWrap w:val="0"/>
        <w:overflowPunct/>
        <w:topLinePunct/>
        <w:bidi w:val="0"/>
        <w:spacing w:before="0" w:beforeAutospacing="0" w:after="0" w:afterAutospacing="0" w:line="460" w:lineRule="exact"/>
        <w:ind w:left="0" w:right="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6、加强营运期环境管理。建立健全污染防治设施运行管理台帐，设专门的环保机构及环保人员，确保各项污染防治设施的正常运行，各类污染物稳定达标排放。</w:t>
      </w:r>
    </w:p>
    <w:p>
      <w:pPr>
        <w:pStyle w:val="6"/>
        <w:keepNext w:val="0"/>
        <w:keepLines w:val="0"/>
        <w:pageBreakBefore w:val="0"/>
        <w:widowControl/>
        <w:suppressLineNumbers w:val="0"/>
        <w:kinsoku/>
        <w:overflowPunct/>
        <w:bidi w:val="0"/>
        <w:adjustRightInd w:val="0"/>
        <w:snapToGrid w:val="0"/>
        <w:spacing w:after="0" w:afterAutospacing="0" w:line="460" w:lineRule="exact"/>
        <w:ind w:left="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lang w:eastAsia="zh-CN"/>
        </w:rPr>
        <w:t>、你公司核定的总量指标为：</w:t>
      </w:r>
      <w:r>
        <w:rPr>
          <w:rFonts w:hint="eastAsia" w:ascii="仿宋_GB2312" w:hAnsi="仿宋_GB2312" w:eastAsia="仿宋_GB2312" w:cs="仿宋_GB2312"/>
          <w:sz w:val="32"/>
          <w:szCs w:val="32"/>
          <w:lang w:val="en-US"/>
        </w:rPr>
        <w:t>COD 0.019t/a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 xml:space="preserve"> NH</w:t>
      </w:r>
      <w:r>
        <w:rPr>
          <w:rFonts w:hint="eastAsia" w:ascii="仿宋_GB2312" w:hAnsi="仿宋_GB2312" w:eastAsia="仿宋_GB2312" w:cs="仿宋_GB2312"/>
          <w:sz w:val="32"/>
          <w:szCs w:val="32"/>
          <w:vertAlign w:val="subscript"/>
          <w:lang w:val="en-US"/>
        </w:rPr>
        <w:t>3</w:t>
      </w:r>
      <w:r>
        <w:rPr>
          <w:rFonts w:hint="eastAsia" w:ascii="仿宋_GB2312" w:hAnsi="仿宋_GB2312" w:eastAsia="仿宋_GB2312" w:cs="仿宋_GB2312"/>
          <w:sz w:val="32"/>
          <w:szCs w:val="32"/>
          <w:lang w:val="en-US"/>
        </w:rPr>
        <w:t>-N 0</w:t>
      </w:r>
      <w:bookmarkStart w:id="0" w:name="_GoBack"/>
      <w:bookmarkEnd w:id="0"/>
      <w:r>
        <w:rPr>
          <w:rFonts w:hint="eastAsia" w:ascii="仿宋_GB2312" w:hAnsi="仿宋_GB2312" w:eastAsia="仿宋_GB2312" w:cs="仿宋_GB2312"/>
          <w:sz w:val="32"/>
          <w:szCs w:val="32"/>
          <w:lang w:val="en-US"/>
        </w:rPr>
        <w:t xml:space="preserve">.002t/a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rPr>
        <w:t xml:space="preserve">VOCs </w:t>
      </w:r>
      <w:r>
        <w:rPr>
          <w:rFonts w:hint="eastAsia" w:ascii="仿宋_GB2312" w:hAnsi="仿宋_GB2312" w:eastAsia="仿宋_GB2312" w:cs="仿宋_GB2312"/>
          <w:sz w:val="32"/>
          <w:szCs w:val="32"/>
          <w:lang w:val="en-US"/>
        </w:rPr>
        <w:t xml:space="preserve">0.6045t/a </w:t>
      </w:r>
      <w:r>
        <w:rPr>
          <w:rFonts w:hint="eastAsia" w:ascii="仿宋_GB2312" w:hAnsi="仿宋_GB2312" w:eastAsia="仿宋_GB2312" w:cs="仿宋_GB2312"/>
          <w:sz w:val="32"/>
          <w:szCs w:val="32"/>
          <w:lang w:eastAsia="zh-CN"/>
        </w:rPr>
        <w:t>，建设单位现有总量控制指标可满足改建后排污总量，无需额外申请总量。</w:t>
      </w:r>
    </w:p>
    <w:p>
      <w:pPr>
        <w:keepNext w:val="0"/>
        <w:keepLines w:val="0"/>
        <w:pageBreakBefore w:val="0"/>
        <w:widowControl w:val="0"/>
        <w:suppressLineNumbers w:val="0"/>
        <w:kinsoku/>
        <w:wordWrap w:val="0"/>
        <w:overflowPunct/>
        <w:bidi w:val="0"/>
        <w:adjustRightInd w:val="0"/>
        <w:snapToGrid w:val="0"/>
        <w:spacing w:before="0" w:beforeAutospacing="0" w:after="0" w:afterAutospacing="0" w:line="4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三、你公司应在收到本批复后15个工作日内，将批复及批准的环评报告文本送至岳阳市生态环境局君山分局、湖南霖昇工程技术咨询有限公司。</w:t>
      </w:r>
    </w:p>
    <w:p>
      <w:pPr>
        <w:keepNext w:val="0"/>
        <w:keepLines w:val="0"/>
        <w:pageBreakBefore w:val="0"/>
        <w:widowControl w:val="0"/>
        <w:suppressLineNumbers w:val="0"/>
        <w:kinsoku/>
        <w:wordWrap w:val="0"/>
        <w:overflowPunct/>
        <w:topLinePunct/>
        <w:bidi w:val="0"/>
        <w:spacing w:before="0" w:beforeAutospacing="0" w:after="0" w:afterAutospacing="0" w:line="4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四、请岳阳市生态环境局君山分局负责项目建设期和运营期的日常环境监管。</w:t>
      </w:r>
    </w:p>
    <w:p>
      <w:pPr>
        <w:keepNext w:val="0"/>
        <w:keepLines w:val="0"/>
        <w:pageBreakBefore w:val="0"/>
        <w:widowControl w:val="0"/>
        <w:suppressLineNumbers w:val="0"/>
        <w:kinsoku/>
        <w:wordWrap w:val="0"/>
        <w:overflowPunct/>
        <w:topLinePunct/>
        <w:bidi w:val="0"/>
        <w:spacing w:before="0" w:beforeAutospacing="0" w:after="0" w:afterAutospacing="0" w:line="460" w:lineRule="exact"/>
        <w:ind w:left="0" w:right="0" w:firstLine="640" w:firstLineChars="200"/>
        <w:jc w:val="both"/>
        <w:textAlignment w:val="auto"/>
        <w:rPr>
          <w:rFonts w:hint="eastAsia" w:ascii="仿宋_GB2312" w:hAnsi="仿宋_GB2312" w:eastAsia="仿宋_GB2312" w:cs="仿宋_GB2312"/>
          <w:sz w:val="32"/>
          <w:szCs w:val="32"/>
          <w:lang w:val="en-US"/>
        </w:rPr>
      </w:pPr>
    </w:p>
    <w:p>
      <w:pPr>
        <w:pStyle w:val="10"/>
        <w:widowControl/>
        <w:wordWrap w:val="0"/>
        <w:topLinePunct/>
        <w:spacing w:line="500" w:lineRule="exact"/>
        <w:rPr>
          <w:rFonts w:hint="eastAsia" w:ascii="仿宋_GB2312" w:hAnsi="仿宋_GB2312" w:eastAsia="仿宋_GB2312" w:cs="仿宋_GB2312"/>
          <w:kern w:val="2"/>
          <w:sz w:val="32"/>
          <w:szCs w:val="32"/>
          <w:lang w:val="en-US"/>
        </w:rPr>
      </w:pPr>
    </w:p>
    <w:p>
      <w:pPr>
        <w:pStyle w:val="10"/>
        <w:widowControl/>
        <w:wordWrap w:val="0"/>
        <w:topLinePunct/>
        <w:spacing w:line="500" w:lineRule="exact"/>
        <w:rPr>
          <w:rFonts w:hint="eastAsia" w:ascii="仿宋_GB2312" w:hAnsi="仿宋_GB2312" w:eastAsia="仿宋_GB2312" w:cs="仿宋_GB2312"/>
          <w:kern w:val="2"/>
          <w:sz w:val="32"/>
          <w:szCs w:val="32"/>
          <w:lang w:val="en-US"/>
        </w:rPr>
      </w:pPr>
    </w:p>
    <w:p>
      <w:pPr>
        <w:pStyle w:val="10"/>
        <w:widowControl/>
        <w:wordWrap w:val="0"/>
        <w:topLinePunct/>
        <w:spacing w:line="500" w:lineRule="exact"/>
        <w:ind w:left="0" w:firstLine="5120" w:firstLineChars="1600"/>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eastAsia="zh-CN"/>
        </w:rPr>
        <w:t>岳阳市生态环境局</w:t>
      </w:r>
    </w:p>
    <w:p>
      <w:pPr>
        <w:keepNext w:val="0"/>
        <w:keepLines w:val="0"/>
        <w:widowControl w:val="0"/>
        <w:suppressLineNumbers w:val="0"/>
        <w:tabs>
          <w:tab w:val="left" w:pos="6385"/>
        </w:tabs>
        <w:wordWrap w:val="0"/>
        <w:topLinePunct/>
        <w:spacing w:before="0" w:beforeAutospacing="0" w:after="0" w:afterAutospacing="0" w:line="500" w:lineRule="exact"/>
        <w:ind w:left="0" w:right="0" w:firstLine="5120" w:firstLineChars="16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2024年6月3日</w:t>
      </w:r>
    </w:p>
    <w:p/>
    <w:sectPr>
      <w:footerReference r:id="rId3"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MDIxOTg1Y2IyNTIxZTQzNzE4NWY4NzljZDZiMDUifQ=="/>
  </w:docVars>
  <w:rsids>
    <w:rsidRoot w:val="00000000"/>
    <w:rsid w:val="2A5C5058"/>
    <w:rsid w:val="2BB9184A"/>
    <w:rsid w:val="2D66536B"/>
    <w:rsid w:val="3D1A5085"/>
    <w:rsid w:val="5E050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spacing w:after="120" w:afterLines="0" w:afterAutospacing="0"/>
      <w:jc w:val="both"/>
    </w:pPr>
    <w:rPr>
      <w:rFonts w:ascii="Calibri" w:hAnsi="Calibri" w:eastAsia="宋体" w:cs="Calibri"/>
      <w:kern w:val="2"/>
      <w:sz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jc w:val="both"/>
    </w:pPr>
    <w:rPr>
      <w:rFonts w:ascii="Calibri" w:hAnsi="Calibri" w:eastAsia="宋体" w:cs="Calibri"/>
      <w:kern w:val="2"/>
      <w:sz w:val="24"/>
      <w:lang w:val="en-US" w:eastAsia="zh-CN" w:bidi="ar-SA"/>
    </w:rPr>
  </w:style>
  <w:style w:type="paragraph" w:styleId="6">
    <w:name w:val="Body Text First Indent"/>
    <w:next w:val="1"/>
    <w:qFormat/>
    <w:uiPriority w:val="0"/>
    <w:pPr>
      <w:keepNext w:val="0"/>
      <w:keepLines w:val="0"/>
      <w:widowControl w:val="0"/>
      <w:suppressLineNumbers w:val="0"/>
      <w:spacing w:before="0" w:beforeAutospacing="0" w:after="120" w:afterLines="0" w:afterAutospacing="0"/>
      <w:ind w:left="0" w:right="0" w:firstLine="420" w:firstLineChars="100"/>
      <w:jc w:val="both"/>
    </w:pPr>
    <w:rPr>
      <w:rFonts w:hint="eastAsia" w:ascii="宋体" w:hAnsi="Times New Roman" w:eastAsia="宋体" w:cs="Times New Roman"/>
      <w:kern w:val="2"/>
      <w:sz w:val="21"/>
      <w:szCs w:val="20"/>
      <w:lang w:val="en-US" w:eastAsia="zh-CN" w:bidi="ar"/>
    </w:rPr>
  </w:style>
  <w:style w:type="paragraph" w:customStyle="1" w:styleId="9">
    <w:name w:val="Default"/>
    <w:next w:val="1"/>
    <w:qFormat/>
    <w:uiPriority w:val="0"/>
    <w:pPr>
      <w:keepNext w:val="0"/>
      <w:keepLines w:val="0"/>
      <w:widowControl w:val="0"/>
      <w:suppressLineNumbers w:val="0"/>
      <w:autoSpaceDE w:val="0"/>
      <w:autoSpaceDN w:val="0"/>
      <w:adjustRightInd w:val="0"/>
      <w:spacing w:before="0" w:beforeAutospacing="0" w:after="0" w:afterAutospacing="0"/>
      <w:ind w:left="0" w:right="0"/>
      <w:jc w:val="both"/>
    </w:pPr>
    <w:rPr>
      <w:rFonts w:hint="eastAsia" w:ascii="黑体" w:hAnsi="Courier New" w:eastAsia="黑体" w:cs="黑体"/>
      <w:color w:val="000000"/>
      <w:kern w:val="2"/>
      <w:sz w:val="24"/>
      <w:szCs w:val="24"/>
      <w:lang w:val="en-US" w:eastAsia="zh-CN" w:bidi="ar"/>
    </w:rPr>
  </w:style>
  <w:style w:type="paragraph" w:customStyle="1" w:styleId="10">
    <w:name w:val="0"/>
    <w:qFormat/>
    <w:uiPriority w:val="0"/>
    <w:pPr>
      <w:keepNext w:val="0"/>
      <w:keepLines w:val="0"/>
      <w:widowControl/>
      <w:suppressLineNumbers w:val="0"/>
      <w:snapToGrid w:val="0"/>
      <w:spacing w:before="0" w:beforeAutospacing="0" w:after="0" w:afterAutospacing="0" w:line="365" w:lineRule="atLeast"/>
      <w:ind w:left="1" w:right="0"/>
      <w:jc w:val="both"/>
    </w:pPr>
    <w:rPr>
      <w:rFonts w:hint="default" w:ascii="Times New Roman" w:hAnsi="Times New Roman" w:eastAsia="宋体" w:cs="Times New Roman"/>
      <w:kern w:val="0"/>
      <w:sz w:val="20"/>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2024-05-31T08:23:14Z</dcterms:created>
  <dc:creator>Administrator</dc:creator>
  <cp:lastModifiedBy>尹丰平</cp:lastModifiedBy>
  <cp:lastPrinted>2024-05-31T08:31:51Z</cp:lastPrinted>
  <dcterms:modified xsi:type="dcterms:W3CDTF">2024-05-31T08:32:06Z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49B86EF4992D4C2AA08B8D84E338B851_12</vt:lpwstr>
  </property>
</Properties>
</file>